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D7F7E" w:rsidRPr="007D7F7E" w:rsidP="007D7F7E">
      <w:pPr>
        <w:spacing w:after="0" w:line="276" w:lineRule="auto"/>
        <w:jc w:val="center"/>
        <w:rPr>
          <w:rFonts w:eastAsia="Arial" w:asciiTheme="minorHAnsi" w:hAnsiTheme="minorHAnsi" w:cstheme="minorHAnsi"/>
          <w:b/>
        </w:rPr>
      </w:pPr>
      <w:r w:rsidRPr="007D7F7E">
        <w:rPr>
          <w:rFonts w:eastAsia="Arial" w:asciiTheme="minorHAnsi" w:hAnsiTheme="minorHAnsi" w:cstheme="minorHAnsi"/>
          <w:b/>
        </w:rPr>
        <w:t>WRITTEN EVIDENCE SUBMITTED BY REFUFEE AND MIGRANT CHILDRENS CONSORTIUM</w:t>
      </w:r>
    </w:p>
    <w:p w:rsidR="007D7F7E" w:rsidRPr="007D7F7E" w:rsidP="007D7F7E">
      <w:pPr>
        <w:spacing w:after="0" w:line="276" w:lineRule="auto"/>
        <w:jc w:val="center"/>
        <w:rPr>
          <w:rFonts w:eastAsia="Arial" w:asciiTheme="minorHAnsi" w:hAnsiTheme="minorHAnsi" w:cstheme="minorHAnsi"/>
          <w:b/>
        </w:rPr>
      </w:pPr>
    </w:p>
    <w:p w:rsidR="007D7F7E" w:rsidRPr="007D7F7E" w:rsidP="007D7F7E">
      <w:pPr>
        <w:spacing w:after="0" w:line="276" w:lineRule="auto"/>
        <w:jc w:val="center"/>
        <w:rPr>
          <w:rFonts w:eastAsia="Arial" w:asciiTheme="minorHAnsi" w:hAnsiTheme="minorHAnsi" w:cstheme="minorHAnsi"/>
          <w:b/>
        </w:rPr>
      </w:pPr>
      <w:r w:rsidRPr="007D7F7E">
        <w:rPr>
          <w:rFonts w:eastAsia="Arial" w:asciiTheme="minorHAnsi" w:hAnsiTheme="minorHAnsi" w:cstheme="minorHAnsi"/>
          <w:b/>
        </w:rPr>
        <w:t>(BSAI0019)</w:t>
      </w:r>
    </w:p>
    <w:p w:rsidR="007D7F7E" w:rsidRPr="007D7F7E" w:rsidP="0059036A">
      <w:pPr>
        <w:spacing w:after="0" w:line="276" w:lineRule="auto"/>
        <w:jc w:val="both"/>
        <w:rPr>
          <w:rFonts w:ascii="Arial" w:eastAsia="Arial" w:hAnsi="Arial" w:cs="Arial"/>
          <w:b/>
          <w:sz w:val="8"/>
          <w:szCs w:val="8"/>
        </w:rPr>
      </w:pPr>
    </w:p>
    <w:p w:rsidR="007D7F7E" w:rsidRPr="007D7F7E" w:rsidP="0059036A">
      <w:pPr>
        <w:spacing w:after="0" w:line="276" w:lineRule="auto"/>
        <w:jc w:val="both"/>
        <w:rPr>
          <w:rFonts w:ascii="Arial" w:eastAsia="Arial" w:hAnsi="Arial" w:cs="Arial"/>
          <w:b/>
          <w:sz w:val="8"/>
          <w:szCs w:val="8"/>
        </w:rPr>
      </w:pPr>
    </w:p>
    <w:p w:rsidR="007D7F7E" w:rsidRPr="007D7F7E" w:rsidP="0059036A">
      <w:pPr>
        <w:spacing w:after="0" w:line="276" w:lineRule="auto"/>
        <w:jc w:val="both"/>
        <w:rPr>
          <w:rFonts w:ascii="Arial" w:eastAsia="Arial" w:hAnsi="Arial" w:cs="Arial"/>
          <w:b/>
          <w:sz w:val="22"/>
          <w:szCs w:val="22"/>
        </w:rPr>
      </w:pPr>
      <w:r w:rsidRPr="007D7F7E">
        <w:rPr>
          <w:rFonts w:ascii="Arial" w:eastAsia="Arial" w:hAnsi="Arial" w:cs="Arial"/>
          <w:b/>
          <w:sz w:val="22"/>
          <w:szCs w:val="22"/>
        </w:rPr>
        <w:t>Introduction</w:t>
      </w:r>
    </w:p>
    <w:p w:rsidR="007D7F7E" w:rsidRPr="007D7F7E" w:rsidP="0059036A">
      <w:pPr>
        <w:spacing w:after="0" w:line="276" w:lineRule="auto"/>
        <w:jc w:val="both"/>
        <w:rPr>
          <w:rFonts w:ascii="Arial" w:eastAsia="Arial" w:hAnsi="Arial" w:cs="Arial"/>
          <w:b/>
          <w:sz w:val="14"/>
          <w:szCs w:val="14"/>
        </w:rPr>
      </w:pPr>
    </w:p>
    <w:p w:rsidR="007D7F7E" w:rsidRPr="007D7F7E" w:rsidP="0059036A">
      <w:pPr>
        <w:pStyle w:val="ListParagraph"/>
        <w:numPr>
          <w:ilvl w:val="0"/>
          <w:numId w:val="19"/>
        </w:numPr>
        <w:spacing w:after="0" w:line="276" w:lineRule="auto"/>
        <w:jc w:val="both"/>
        <w:rPr>
          <w:rFonts w:ascii="Arial" w:eastAsia="Arial" w:hAnsi="Arial" w:cs="Arial"/>
          <w:bCs/>
          <w:sz w:val="22"/>
          <w:szCs w:val="22"/>
        </w:rPr>
      </w:pPr>
      <w:r w:rsidRPr="007D7F7E">
        <w:rPr>
          <w:rFonts w:ascii="Arial" w:eastAsia="Arial" w:hAnsi="Arial" w:cs="Arial"/>
          <w:bCs/>
          <w:sz w:val="22"/>
          <w:szCs w:val="22"/>
        </w:rPr>
        <w:t xml:space="preserve">The Refugee and Migrant Children's Consortium (RMCC) is a coalition of </w:t>
      </w:r>
      <w:r w:rsidRPr="007D7F7E">
        <w:rPr>
          <w:rFonts w:ascii="Arial" w:eastAsia="Arial" w:hAnsi="Arial" w:cs="Arial"/>
          <w:bCs/>
          <w:sz w:val="22"/>
          <w:szCs w:val="22"/>
        </w:rPr>
        <w:t xml:space="preserve">over 100 </w:t>
      </w:r>
      <w:r w:rsidRPr="007D7F7E">
        <w:rPr>
          <w:rFonts w:ascii="Arial" w:eastAsia="Arial" w:hAnsi="Arial" w:cs="Arial"/>
          <w:bCs/>
          <w:sz w:val="22"/>
          <w:szCs w:val="22"/>
        </w:rPr>
        <w:t xml:space="preserve">organisations working together to promote and protect the rights of </w:t>
      </w:r>
      <w:r w:rsidRPr="007D7F7E">
        <w:rPr>
          <w:rFonts w:ascii="Arial" w:eastAsia="Arial" w:hAnsi="Arial" w:cs="Arial"/>
          <w:bCs/>
          <w:sz w:val="22"/>
          <w:szCs w:val="22"/>
        </w:rPr>
        <w:t>young refugees and migrants</w:t>
      </w:r>
      <w:r w:rsidRPr="007D7F7E">
        <w:rPr>
          <w:rFonts w:ascii="Arial" w:eastAsia="Arial" w:hAnsi="Arial" w:cs="Arial"/>
          <w:bCs/>
          <w:sz w:val="22"/>
          <w:szCs w:val="22"/>
        </w:rPr>
        <w:t xml:space="preserve"> in the UK</w:t>
      </w:r>
      <w:r w:rsidRPr="007D7F7E">
        <w:rPr>
          <w:rFonts w:ascii="Arial" w:eastAsia="Arial" w:hAnsi="Arial" w:cs="Arial"/>
          <w:bCs/>
          <w:sz w:val="22"/>
          <w:szCs w:val="22"/>
        </w:rPr>
        <w:t xml:space="preserve"> in line with domestic and international legal obligations. </w:t>
      </w:r>
      <w:r w:rsidRPr="007D7F7E">
        <w:rPr>
          <w:rFonts w:ascii="Arial" w:eastAsia="Arial" w:hAnsi="Arial" w:cs="Arial"/>
          <w:bCs/>
          <w:sz w:val="22"/>
          <w:szCs w:val="22"/>
        </w:rPr>
        <w:t xml:space="preserve"> </w:t>
      </w:r>
    </w:p>
    <w:p w:rsidR="007D7F7E" w:rsidRPr="007D7F7E" w:rsidP="0059036A">
      <w:pPr>
        <w:spacing w:after="0" w:line="276" w:lineRule="auto"/>
        <w:jc w:val="both"/>
        <w:rPr>
          <w:rFonts w:ascii="Arial" w:hAnsi="Arial" w:cs="Arial"/>
          <w:sz w:val="14"/>
          <w:szCs w:val="14"/>
        </w:rPr>
      </w:pPr>
    </w:p>
    <w:p w:rsidR="007D7F7E" w:rsidRPr="007D7F7E" w:rsidP="0059036A">
      <w:pPr>
        <w:pStyle w:val="ListParagraph"/>
        <w:numPr>
          <w:ilvl w:val="0"/>
          <w:numId w:val="19"/>
        </w:numPr>
        <w:spacing w:after="0" w:line="276" w:lineRule="auto"/>
        <w:jc w:val="both"/>
        <w:rPr>
          <w:rFonts w:ascii="Arial" w:hAnsi="Arial" w:cs="Arial"/>
          <w:sz w:val="22"/>
          <w:szCs w:val="22"/>
        </w:rPr>
      </w:pPr>
      <w:r w:rsidRPr="007D7F7E">
        <w:rPr>
          <w:rFonts w:ascii="Arial" w:hAnsi="Arial" w:cs="Arial"/>
          <w:sz w:val="22"/>
          <w:szCs w:val="22"/>
        </w:rPr>
        <w:t xml:space="preserve">The </w:t>
      </w:r>
      <w:r w:rsidRPr="007D7F7E">
        <w:rPr>
          <w:rFonts w:ascii="Arial" w:hAnsi="Arial" w:cs="Arial"/>
          <w:sz w:val="22"/>
          <w:szCs w:val="22"/>
        </w:rPr>
        <w:t>RMCC</w:t>
      </w:r>
      <w:r w:rsidRPr="007D7F7E">
        <w:rPr>
          <w:rFonts w:ascii="Arial" w:hAnsi="Arial" w:cs="Arial"/>
          <w:sz w:val="22"/>
          <w:szCs w:val="22"/>
        </w:rPr>
        <w:t xml:space="preserve"> welcomes aspects of the Border Security, Asylum and Immigration Bill (BSAIB), particularly the repeal of the Safety of Rwanda Act 2024 and significant portions of the Illegal Migration Act 2023 (IMA), such as:</w:t>
      </w:r>
    </w:p>
    <w:p w:rsidR="007D7F7E" w:rsidRPr="007D7F7E" w:rsidP="0059036A">
      <w:pPr>
        <w:pStyle w:val="ListParagraph"/>
        <w:numPr>
          <w:ilvl w:val="0"/>
          <w:numId w:val="22"/>
        </w:numPr>
        <w:spacing w:after="0" w:line="276" w:lineRule="auto"/>
        <w:jc w:val="both"/>
        <w:rPr>
          <w:rFonts w:ascii="Arial" w:hAnsi="Arial" w:cs="Arial"/>
          <w:sz w:val="22"/>
          <w:szCs w:val="22"/>
        </w:rPr>
      </w:pPr>
      <w:r w:rsidRPr="007D7F7E">
        <w:rPr>
          <w:rFonts w:ascii="Arial" w:hAnsi="Arial" w:cs="Arial"/>
          <w:sz w:val="22"/>
          <w:szCs w:val="22"/>
        </w:rPr>
        <w:t>child detention powers</w:t>
      </w:r>
      <w:r w:rsidRPr="007D7F7E">
        <w:rPr>
          <w:rFonts w:ascii="Arial" w:hAnsi="Arial" w:cs="Arial"/>
          <w:sz w:val="22"/>
          <w:szCs w:val="22"/>
        </w:rPr>
        <w:t>.</w:t>
      </w:r>
      <w:r>
        <w:rPr>
          <w:rFonts w:ascii="Arial" w:hAnsi="Arial" w:cs="Arial"/>
          <w:sz w:val="22"/>
          <w:szCs w:val="22"/>
          <w:vertAlign w:val="superscript"/>
        </w:rPr>
        <w:footnoteReference w:id="2"/>
      </w:r>
      <w:r w:rsidRPr="007D7F7E">
        <w:rPr>
          <w:rFonts w:ascii="Arial" w:hAnsi="Arial" w:cs="Arial"/>
          <w:sz w:val="22"/>
          <w:szCs w:val="22"/>
        </w:rPr>
        <w:t xml:space="preserve"> </w:t>
      </w:r>
    </w:p>
    <w:p w:rsidR="007D7F7E" w:rsidRPr="007D7F7E" w:rsidP="0059036A">
      <w:pPr>
        <w:pStyle w:val="ListParagraph"/>
        <w:numPr>
          <w:ilvl w:val="0"/>
          <w:numId w:val="22"/>
        </w:numPr>
        <w:spacing w:after="0" w:line="276" w:lineRule="auto"/>
        <w:jc w:val="both"/>
        <w:rPr>
          <w:rFonts w:ascii="Arial" w:hAnsi="Arial" w:cs="Arial"/>
          <w:sz w:val="22"/>
          <w:szCs w:val="22"/>
        </w:rPr>
      </w:pPr>
      <w:r w:rsidRPr="007D7F7E">
        <w:rPr>
          <w:rFonts w:ascii="Arial" w:hAnsi="Arial" w:cs="Arial"/>
          <w:sz w:val="22"/>
          <w:szCs w:val="22"/>
        </w:rPr>
        <w:t>Home Office accommodation</w:t>
      </w:r>
      <w:r w:rsidRPr="007D7F7E">
        <w:rPr>
          <w:rFonts w:ascii="Arial" w:hAnsi="Arial" w:cs="Arial"/>
          <w:sz w:val="22"/>
          <w:szCs w:val="22"/>
        </w:rPr>
        <w:t>, support,</w:t>
      </w:r>
      <w:r w:rsidRPr="007D7F7E">
        <w:rPr>
          <w:rFonts w:ascii="Arial" w:hAnsi="Arial" w:cs="Arial"/>
          <w:sz w:val="22"/>
          <w:szCs w:val="22"/>
        </w:rPr>
        <w:t xml:space="preserve"> and transfer powers over unaccompanied children</w:t>
      </w:r>
      <w:r w:rsidRPr="007D7F7E">
        <w:rPr>
          <w:rFonts w:ascii="Arial" w:hAnsi="Arial" w:cs="Arial"/>
          <w:sz w:val="22"/>
          <w:szCs w:val="22"/>
        </w:rPr>
        <w:t>.</w:t>
      </w:r>
      <w:r>
        <w:rPr>
          <w:rFonts w:ascii="Arial" w:hAnsi="Arial" w:cs="Arial"/>
          <w:sz w:val="22"/>
          <w:szCs w:val="22"/>
          <w:vertAlign w:val="superscript"/>
        </w:rPr>
        <w:footnoteReference w:id="3"/>
      </w:r>
      <w:r w:rsidRPr="007D7F7E">
        <w:rPr>
          <w:rFonts w:ascii="Arial" w:hAnsi="Arial" w:cs="Arial"/>
          <w:sz w:val="22"/>
          <w:szCs w:val="22"/>
        </w:rPr>
        <w:t xml:space="preserve"> </w:t>
      </w:r>
    </w:p>
    <w:p w:rsidR="007D7F7E" w:rsidRPr="007D7F7E" w:rsidP="0059036A">
      <w:pPr>
        <w:pStyle w:val="ListParagraph"/>
        <w:numPr>
          <w:ilvl w:val="0"/>
          <w:numId w:val="22"/>
        </w:numPr>
        <w:spacing w:after="0" w:line="276" w:lineRule="auto"/>
        <w:jc w:val="both"/>
        <w:rPr>
          <w:rFonts w:ascii="Arial" w:hAnsi="Arial" w:cs="Arial"/>
          <w:sz w:val="22"/>
          <w:szCs w:val="22"/>
        </w:rPr>
      </w:pPr>
      <w:r w:rsidRPr="007D7F7E">
        <w:rPr>
          <w:rFonts w:ascii="Arial" w:hAnsi="Arial" w:cs="Arial"/>
          <w:sz w:val="22"/>
          <w:szCs w:val="22"/>
        </w:rPr>
        <w:t>measures that would have penalised young people for refusing scientific age assessments and limited legal challenges</w:t>
      </w:r>
      <w:r w:rsidRPr="007D7F7E">
        <w:rPr>
          <w:rFonts w:ascii="Arial" w:hAnsi="Arial" w:cs="Arial"/>
          <w:sz w:val="22"/>
          <w:szCs w:val="22"/>
        </w:rPr>
        <w:t xml:space="preserve"> and unhelpful limitations to judicial review proceedings</w:t>
      </w:r>
      <w:r w:rsidRPr="007D7F7E">
        <w:rPr>
          <w:rFonts w:ascii="Arial" w:hAnsi="Arial" w:cs="Arial"/>
          <w:sz w:val="22"/>
          <w:szCs w:val="22"/>
        </w:rPr>
        <w:t xml:space="preserve">. </w:t>
      </w:r>
      <w:r w:rsidRPr="007D7F7E">
        <w:rPr>
          <w:rFonts w:ascii="Arial" w:hAnsi="Arial" w:cs="Arial"/>
          <w:sz w:val="22"/>
          <w:szCs w:val="22"/>
        </w:rPr>
        <w:t xml:space="preserve"> </w:t>
      </w:r>
    </w:p>
    <w:p w:rsidR="007D7F7E" w:rsidRPr="007D7F7E" w:rsidP="0059036A">
      <w:pPr>
        <w:spacing w:after="0" w:line="276" w:lineRule="auto"/>
        <w:rPr>
          <w:rFonts w:ascii="Arial" w:hAnsi="Arial" w:cs="Arial"/>
          <w:sz w:val="14"/>
          <w:szCs w:val="14"/>
        </w:rPr>
      </w:pPr>
    </w:p>
    <w:p w:rsidR="007D7F7E" w:rsidRPr="007D7F7E" w:rsidP="0059036A">
      <w:pPr>
        <w:pStyle w:val="ListParagraph"/>
        <w:numPr>
          <w:ilvl w:val="0"/>
          <w:numId w:val="19"/>
        </w:numPr>
        <w:spacing w:after="0" w:line="276" w:lineRule="auto"/>
        <w:rPr>
          <w:rFonts w:ascii="Arial" w:hAnsi="Arial" w:cs="Arial"/>
          <w:sz w:val="22"/>
          <w:szCs w:val="22"/>
        </w:rPr>
      </w:pPr>
      <w:r w:rsidRPr="007D7F7E">
        <w:rPr>
          <w:rFonts w:ascii="Arial" w:hAnsi="Arial" w:cs="Arial"/>
          <w:sz w:val="22"/>
          <w:szCs w:val="22"/>
        </w:rPr>
        <w:t xml:space="preserve">We </w:t>
      </w:r>
      <w:r w:rsidRPr="007D7F7E">
        <w:rPr>
          <w:rFonts w:ascii="Arial" w:hAnsi="Arial" w:cs="Arial"/>
          <w:sz w:val="22"/>
          <w:szCs w:val="22"/>
        </w:rPr>
        <w:t>remain deeply concerned about</w:t>
      </w:r>
      <w:r w:rsidRPr="007D7F7E">
        <w:rPr>
          <w:rFonts w:ascii="Arial" w:hAnsi="Arial" w:cs="Arial"/>
          <w:sz w:val="22"/>
          <w:szCs w:val="22"/>
        </w:rPr>
        <w:t>:</w:t>
      </w:r>
      <w:r w:rsidRPr="007D7F7E">
        <w:rPr>
          <w:rFonts w:ascii="Arial" w:hAnsi="Arial" w:cs="Arial"/>
          <w:sz w:val="22"/>
          <w:szCs w:val="22"/>
        </w:rPr>
        <w:t xml:space="preserve"> </w:t>
      </w:r>
    </w:p>
    <w:p w:rsidR="007D7F7E" w:rsidRPr="007D7F7E" w:rsidP="0059036A">
      <w:pPr>
        <w:pStyle w:val="ListParagraph"/>
        <w:numPr>
          <w:ilvl w:val="0"/>
          <w:numId w:val="20"/>
        </w:numPr>
        <w:spacing w:after="0" w:line="276" w:lineRule="auto"/>
        <w:jc w:val="both"/>
        <w:rPr>
          <w:rFonts w:ascii="Arial" w:eastAsia="Arial" w:hAnsi="Arial" w:cs="Arial"/>
          <w:sz w:val="22"/>
          <w:szCs w:val="22"/>
        </w:rPr>
      </w:pPr>
      <w:r w:rsidRPr="007D7F7E">
        <w:rPr>
          <w:rFonts w:ascii="Arial" w:eastAsia="Arial" w:hAnsi="Arial" w:cs="Arial"/>
          <w:sz w:val="22"/>
          <w:szCs w:val="22"/>
        </w:rPr>
        <w:t>The r</w:t>
      </w:r>
      <w:r w:rsidRPr="007D7F7E">
        <w:rPr>
          <w:rFonts w:ascii="Arial" w:eastAsia="Arial" w:hAnsi="Arial" w:cs="Arial"/>
          <w:sz w:val="22"/>
          <w:szCs w:val="22"/>
        </w:rPr>
        <w:t xml:space="preserve">etention of modern slavery provisions under the </w:t>
      </w:r>
      <w:r w:rsidRPr="007D7F7E">
        <w:rPr>
          <w:rFonts w:ascii="Arial" w:eastAsia="Arial" w:hAnsi="Arial" w:cs="Arial"/>
          <w:sz w:val="22"/>
          <w:szCs w:val="22"/>
        </w:rPr>
        <w:t xml:space="preserve">IMA and the </w:t>
      </w:r>
      <w:r w:rsidRPr="007D7F7E">
        <w:rPr>
          <w:rFonts w:ascii="Arial" w:eastAsia="Arial" w:hAnsi="Arial" w:cs="Arial"/>
          <w:sz w:val="22"/>
          <w:szCs w:val="22"/>
        </w:rPr>
        <w:t>Nationality and Borders Act 2022 (NABA)</w:t>
      </w:r>
      <w:r w:rsidRPr="007D7F7E">
        <w:rPr>
          <w:rFonts w:ascii="Arial" w:eastAsia="Arial" w:hAnsi="Arial" w:cs="Arial"/>
          <w:sz w:val="22"/>
          <w:szCs w:val="22"/>
        </w:rPr>
        <w:t>,</w:t>
      </w:r>
      <w:r w:rsidRPr="007D7F7E">
        <w:rPr>
          <w:rFonts w:ascii="Arial" w:eastAsia="Arial" w:hAnsi="Arial" w:cs="Arial"/>
          <w:sz w:val="22"/>
          <w:szCs w:val="22"/>
        </w:rPr>
        <w:t xml:space="preserve"> </w:t>
      </w:r>
      <w:r w:rsidRPr="007D7F7E">
        <w:rPr>
          <w:rFonts w:ascii="Arial" w:eastAsia="Arial" w:hAnsi="Arial" w:cs="Arial"/>
          <w:sz w:val="22"/>
          <w:szCs w:val="22"/>
        </w:rPr>
        <w:t>leading to c</w:t>
      </w:r>
      <w:r w:rsidRPr="007D7F7E">
        <w:rPr>
          <w:rFonts w:ascii="Arial" w:eastAsia="Arial" w:hAnsi="Arial" w:cs="Arial"/>
          <w:sz w:val="22"/>
          <w:szCs w:val="22"/>
        </w:rPr>
        <w:t xml:space="preserve">hild victims of trafficking </w:t>
      </w:r>
      <w:r w:rsidRPr="007D7F7E">
        <w:rPr>
          <w:rFonts w:ascii="Arial" w:eastAsia="Arial" w:hAnsi="Arial" w:cs="Arial"/>
          <w:sz w:val="22"/>
          <w:szCs w:val="22"/>
        </w:rPr>
        <w:t xml:space="preserve">being </w:t>
      </w:r>
      <w:r w:rsidRPr="007D7F7E">
        <w:rPr>
          <w:rFonts w:ascii="Arial" w:eastAsia="Arial" w:hAnsi="Arial" w:cs="Arial"/>
          <w:sz w:val="22"/>
          <w:szCs w:val="22"/>
        </w:rPr>
        <w:t xml:space="preserve">denied essential protections.  </w:t>
      </w:r>
      <w:r w:rsidRPr="007D7F7E">
        <w:rPr>
          <w:rFonts w:ascii="Arial" w:eastAsia="Arial" w:hAnsi="Arial" w:cs="Arial"/>
          <w:sz w:val="22"/>
          <w:szCs w:val="22"/>
        </w:rPr>
        <w:t xml:space="preserve">  </w:t>
      </w:r>
    </w:p>
    <w:p w:rsidR="007D7F7E" w:rsidRPr="007D7F7E" w:rsidP="0059036A">
      <w:pPr>
        <w:pStyle w:val="ListParagraph"/>
        <w:numPr>
          <w:ilvl w:val="0"/>
          <w:numId w:val="20"/>
        </w:numPr>
        <w:spacing w:after="0" w:line="276" w:lineRule="auto"/>
        <w:jc w:val="both"/>
        <w:rPr>
          <w:rFonts w:ascii="Arial" w:eastAsia="Arial" w:hAnsi="Arial" w:cs="Arial"/>
          <w:sz w:val="22"/>
          <w:szCs w:val="22"/>
        </w:rPr>
      </w:pPr>
      <w:r w:rsidRPr="007D7F7E">
        <w:rPr>
          <w:rFonts w:ascii="Arial" w:eastAsia="Arial" w:hAnsi="Arial" w:cs="Arial"/>
          <w:sz w:val="22"/>
          <w:szCs w:val="22"/>
        </w:rPr>
        <w:t>The r</w:t>
      </w:r>
      <w:r w:rsidRPr="007D7F7E">
        <w:rPr>
          <w:rFonts w:ascii="Arial" w:eastAsia="Arial" w:hAnsi="Arial" w:cs="Arial"/>
          <w:sz w:val="22"/>
          <w:szCs w:val="22"/>
        </w:rPr>
        <w:t xml:space="preserve">isk of children being </w:t>
      </w:r>
      <w:r w:rsidRPr="007D7F7E">
        <w:rPr>
          <w:rFonts w:ascii="Arial" w:eastAsia="Arial" w:hAnsi="Arial" w:cs="Arial"/>
          <w:sz w:val="22"/>
          <w:szCs w:val="22"/>
        </w:rPr>
        <w:t>wrongly treated as adults</w:t>
      </w:r>
      <w:r w:rsidRPr="007D7F7E">
        <w:rPr>
          <w:rFonts w:ascii="Arial" w:eastAsia="Arial" w:hAnsi="Arial" w:cs="Arial"/>
          <w:sz w:val="22"/>
          <w:szCs w:val="22"/>
        </w:rPr>
        <w:t xml:space="preserve"> and denied their rights as children</w:t>
      </w:r>
      <w:r w:rsidRPr="007D7F7E">
        <w:rPr>
          <w:rFonts w:ascii="Arial" w:eastAsia="Arial" w:hAnsi="Arial" w:cs="Arial"/>
          <w:sz w:val="22"/>
          <w:szCs w:val="22"/>
        </w:rPr>
        <w:t xml:space="preserve"> due to flawed age assessment procedures.  </w:t>
      </w:r>
    </w:p>
    <w:p w:rsidR="007D7F7E" w:rsidRPr="007D7F7E" w:rsidP="0059036A">
      <w:pPr>
        <w:pStyle w:val="ListParagraph"/>
        <w:numPr>
          <w:ilvl w:val="0"/>
          <w:numId w:val="20"/>
        </w:numPr>
        <w:spacing w:after="0" w:line="276" w:lineRule="auto"/>
        <w:jc w:val="both"/>
        <w:rPr>
          <w:rFonts w:ascii="Arial" w:eastAsia="Arial" w:hAnsi="Arial" w:cs="Arial"/>
          <w:sz w:val="22"/>
          <w:szCs w:val="22"/>
        </w:rPr>
      </w:pPr>
      <w:r w:rsidRPr="007D7F7E">
        <w:rPr>
          <w:rFonts w:ascii="Arial" w:eastAsia="Arial" w:hAnsi="Arial" w:cs="Arial"/>
          <w:sz w:val="22"/>
          <w:szCs w:val="22"/>
        </w:rPr>
        <w:t>The p</w:t>
      </w:r>
      <w:r w:rsidRPr="007D7F7E">
        <w:rPr>
          <w:rFonts w:ascii="Arial" w:eastAsia="Arial" w:hAnsi="Arial" w:cs="Arial"/>
          <w:sz w:val="22"/>
          <w:szCs w:val="22"/>
        </w:rPr>
        <w:t xml:space="preserve">otential for increased criminalisation of migrants, including children.  </w:t>
      </w:r>
    </w:p>
    <w:p w:rsidR="007D7F7E" w:rsidRPr="007D7F7E" w:rsidP="0059036A">
      <w:pPr>
        <w:pStyle w:val="ListParagraph"/>
        <w:numPr>
          <w:ilvl w:val="0"/>
          <w:numId w:val="20"/>
        </w:numPr>
        <w:spacing w:after="0" w:line="276" w:lineRule="auto"/>
        <w:jc w:val="both"/>
        <w:rPr>
          <w:rFonts w:ascii="Arial" w:eastAsia="Arial" w:hAnsi="Arial" w:cs="Arial"/>
          <w:sz w:val="22"/>
          <w:szCs w:val="22"/>
        </w:rPr>
      </w:pPr>
      <w:r w:rsidRPr="007D7F7E">
        <w:rPr>
          <w:rFonts w:ascii="Arial" w:eastAsia="Arial" w:hAnsi="Arial" w:cs="Arial"/>
          <w:sz w:val="22"/>
          <w:szCs w:val="22"/>
        </w:rPr>
        <w:t>The ongoing ability for the government to use ‘scientific’ methods of assessing age.</w:t>
      </w:r>
    </w:p>
    <w:p w:rsidR="007D7F7E" w:rsidRPr="007D7F7E" w:rsidP="0059036A">
      <w:pPr>
        <w:pStyle w:val="ListParagraph"/>
        <w:numPr>
          <w:ilvl w:val="0"/>
          <w:numId w:val="20"/>
        </w:numPr>
        <w:spacing w:after="0" w:line="276" w:lineRule="auto"/>
        <w:jc w:val="both"/>
        <w:rPr>
          <w:rFonts w:ascii="Arial" w:eastAsia="Arial" w:hAnsi="Arial" w:cs="Arial"/>
          <w:sz w:val="22"/>
          <w:szCs w:val="22"/>
        </w:rPr>
      </w:pPr>
      <w:r w:rsidRPr="007D7F7E">
        <w:rPr>
          <w:rFonts w:ascii="Arial" w:eastAsia="Arial" w:hAnsi="Arial" w:cs="Arial"/>
          <w:sz w:val="22"/>
          <w:szCs w:val="22"/>
        </w:rPr>
        <w:t>The r</w:t>
      </w:r>
      <w:r w:rsidRPr="007D7F7E">
        <w:rPr>
          <w:rFonts w:ascii="Arial" w:eastAsia="Arial" w:hAnsi="Arial" w:cs="Arial"/>
          <w:sz w:val="22"/>
          <w:szCs w:val="22"/>
        </w:rPr>
        <w:t xml:space="preserve">etention of blanket exclusions on asylum claims from certain countries (e.g., Albania, Georgia, India).  </w:t>
      </w:r>
    </w:p>
    <w:p w:rsidR="007D7F7E" w:rsidRPr="007D7F7E" w:rsidP="0059036A">
      <w:pPr>
        <w:pStyle w:val="ListParagraph"/>
        <w:numPr>
          <w:ilvl w:val="0"/>
          <w:numId w:val="20"/>
        </w:numPr>
        <w:spacing w:after="0" w:line="276" w:lineRule="auto"/>
        <w:jc w:val="both"/>
        <w:rPr>
          <w:rFonts w:ascii="Arial" w:eastAsia="Arial" w:hAnsi="Arial" w:cs="Arial"/>
          <w:sz w:val="22"/>
          <w:szCs w:val="22"/>
        </w:rPr>
      </w:pPr>
      <w:r w:rsidRPr="007D7F7E">
        <w:rPr>
          <w:rFonts w:ascii="Arial" w:eastAsia="Arial" w:hAnsi="Arial" w:cs="Arial"/>
          <w:sz w:val="22"/>
          <w:szCs w:val="22"/>
        </w:rPr>
        <w:t xml:space="preserve">The lack of any provision for legal routes for children to come to the UK. </w:t>
      </w:r>
    </w:p>
    <w:p w:rsidR="007D7F7E" w:rsidRPr="007D7F7E" w:rsidP="0059036A">
      <w:pPr>
        <w:spacing w:after="0" w:line="276" w:lineRule="auto"/>
        <w:rPr>
          <w:rFonts w:ascii="Arial" w:hAnsi="Arial" w:cs="Arial"/>
          <w:sz w:val="14"/>
          <w:szCs w:val="14"/>
        </w:rPr>
      </w:pPr>
    </w:p>
    <w:p w:rsidR="007D7F7E" w:rsidRPr="007D7F7E" w:rsidP="0059036A">
      <w:pPr>
        <w:pStyle w:val="ListParagraph"/>
        <w:numPr>
          <w:ilvl w:val="0"/>
          <w:numId w:val="19"/>
        </w:numPr>
        <w:spacing w:after="0" w:line="276" w:lineRule="auto"/>
        <w:rPr>
          <w:rFonts w:ascii="Arial" w:hAnsi="Arial" w:cs="Arial"/>
          <w:sz w:val="16"/>
          <w:szCs w:val="16"/>
        </w:rPr>
      </w:pPr>
      <w:r w:rsidRPr="007D7F7E">
        <w:rPr>
          <w:rFonts w:ascii="Arial" w:hAnsi="Arial" w:cs="Arial"/>
          <w:sz w:val="22"/>
          <w:szCs w:val="22"/>
        </w:rPr>
        <w:t xml:space="preserve">In its scrutiny of the Illegal Migration Bill, the </w:t>
      </w:r>
      <w:r w:rsidRPr="007D7F7E">
        <w:rPr>
          <w:rFonts w:ascii="Arial" w:hAnsi="Arial" w:cs="Arial"/>
          <w:sz w:val="22"/>
          <w:szCs w:val="22"/>
        </w:rPr>
        <w:t>Joint Committee on Human Rights (</w:t>
      </w:r>
      <w:r w:rsidRPr="007D7F7E">
        <w:rPr>
          <w:rFonts w:ascii="Arial" w:hAnsi="Arial" w:cs="Arial"/>
          <w:sz w:val="22"/>
          <w:szCs w:val="22"/>
        </w:rPr>
        <w:t>JCHR</w:t>
      </w:r>
      <w:r w:rsidRPr="007D7F7E">
        <w:rPr>
          <w:rFonts w:ascii="Arial" w:hAnsi="Arial" w:cs="Arial"/>
          <w:sz w:val="22"/>
          <w:szCs w:val="22"/>
        </w:rPr>
        <w:t>)</w:t>
      </w:r>
      <w:r w:rsidRPr="007D7F7E">
        <w:rPr>
          <w:rFonts w:ascii="Arial" w:hAnsi="Arial" w:cs="Arial"/>
          <w:sz w:val="22"/>
          <w:szCs w:val="22"/>
        </w:rPr>
        <w:t xml:space="preserve"> </w:t>
      </w:r>
      <w:r w:rsidRPr="007D7F7E">
        <w:rPr>
          <w:rFonts w:ascii="Arial" w:hAnsi="Arial" w:cs="Arial"/>
          <w:sz w:val="22"/>
          <w:szCs w:val="22"/>
        </w:rPr>
        <w:t>rightly outlin</w:t>
      </w:r>
      <w:r w:rsidRPr="007D7F7E">
        <w:rPr>
          <w:rFonts w:ascii="Arial" w:hAnsi="Arial" w:cs="Arial"/>
          <w:sz w:val="22"/>
          <w:szCs w:val="22"/>
        </w:rPr>
        <w:t>ed that:</w:t>
      </w:r>
      <w:r w:rsidRPr="007D7F7E">
        <w:rPr>
          <w:rFonts w:ascii="Arial" w:hAnsi="Arial" w:cs="Arial"/>
          <w:sz w:val="22"/>
          <w:szCs w:val="22"/>
        </w:rPr>
        <w:br/>
      </w:r>
    </w:p>
    <w:p w:rsidR="007D7F7E" w:rsidRPr="007D7F7E" w:rsidP="0059036A">
      <w:pPr>
        <w:spacing w:after="0" w:line="276" w:lineRule="auto"/>
        <w:ind w:left="720"/>
        <w:rPr>
          <w:rFonts w:ascii="Arial" w:hAnsi="Arial" w:cs="Arial"/>
          <w:i/>
          <w:iCs/>
          <w:sz w:val="22"/>
          <w:szCs w:val="22"/>
        </w:rPr>
      </w:pPr>
      <w:r w:rsidRPr="007D7F7E">
        <w:rPr>
          <w:rFonts w:ascii="Arial" w:hAnsi="Arial" w:cs="Arial"/>
          <w:i/>
          <w:iCs/>
          <w:sz w:val="22"/>
          <w:szCs w:val="22"/>
        </w:rPr>
        <w:t xml:space="preserve">“The Government has a clear legal responsibility to protect the best interests of children under the UN Convention on the Rights of the Child (UNCRC). The Home Office has stated that the provisions in the Bill relating to children are intended to </w:t>
      </w:r>
      <w:r w:rsidRPr="007D7F7E">
        <w:rPr>
          <w:rFonts w:ascii="Arial" w:hAnsi="Arial" w:cs="Arial"/>
          <w:i/>
          <w:iCs/>
          <w:sz w:val="22"/>
          <w:szCs w:val="22"/>
        </w:rPr>
        <w:t>deter children from making dangerous journeys to the UK and dissuade adults from inciting them to make such journeys. However, it is clear that such aims cannot negate or override the UK’s duty to protect the rights of all children in the UK.”</w:t>
      </w:r>
      <w:r>
        <w:rPr>
          <w:rStyle w:val="FootnoteReference"/>
          <w:rFonts w:ascii="Arial" w:hAnsi="Arial" w:cs="Arial"/>
          <w:i/>
          <w:iCs/>
          <w:sz w:val="22"/>
          <w:szCs w:val="22"/>
        </w:rPr>
        <w:footnoteReference w:id="4"/>
      </w:r>
    </w:p>
    <w:p w:rsidR="007D7F7E" w:rsidRPr="007D7F7E" w:rsidP="0059036A">
      <w:pPr>
        <w:spacing w:after="0" w:line="276" w:lineRule="auto"/>
        <w:rPr>
          <w:rFonts w:ascii="Arial" w:hAnsi="Arial" w:cs="Arial"/>
          <w:sz w:val="12"/>
          <w:szCs w:val="12"/>
        </w:rPr>
      </w:pPr>
    </w:p>
    <w:p w:rsidR="007D7F7E" w:rsidRPr="007D7F7E" w:rsidP="0059036A">
      <w:pPr>
        <w:pStyle w:val="ListParagraph"/>
        <w:numPr>
          <w:ilvl w:val="0"/>
          <w:numId w:val="19"/>
        </w:numPr>
        <w:spacing w:after="0" w:line="276" w:lineRule="auto"/>
        <w:rPr>
          <w:rFonts w:ascii="Arial" w:hAnsi="Arial" w:cs="Arial"/>
          <w:sz w:val="22"/>
          <w:szCs w:val="22"/>
        </w:rPr>
      </w:pPr>
      <w:r w:rsidRPr="007D7F7E">
        <w:rPr>
          <w:rFonts w:ascii="Arial" w:hAnsi="Arial" w:cs="Arial"/>
          <w:sz w:val="22"/>
          <w:szCs w:val="22"/>
        </w:rPr>
        <w:t>Similarly, the BSAIB aims to “disrupt organised crime networks” and “deter irregular migration to the UK”</w:t>
      </w:r>
      <w:r>
        <w:rPr>
          <w:rStyle w:val="FootnoteReference"/>
          <w:rFonts w:ascii="Arial" w:hAnsi="Arial" w:cs="Arial"/>
          <w:sz w:val="22"/>
          <w:szCs w:val="22"/>
        </w:rPr>
        <w:footnoteReference w:id="5"/>
      </w:r>
      <w:r w:rsidRPr="007D7F7E">
        <w:rPr>
          <w:rFonts w:ascii="Arial" w:hAnsi="Arial" w:cs="Arial"/>
          <w:sz w:val="22"/>
          <w:szCs w:val="22"/>
        </w:rPr>
        <w:t xml:space="preserve"> but such aims do not supersede the government’s duty to protection the rights of children in the UK. It is important to note that at the time of writing the government ha</w:t>
      </w:r>
      <w:r w:rsidRPr="007D7F7E">
        <w:rPr>
          <w:rFonts w:ascii="Arial" w:hAnsi="Arial" w:cs="Arial"/>
          <w:sz w:val="22"/>
          <w:szCs w:val="22"/>
        </w:rPr>
        <w:t>s</w:t>
      </w:r>
      <w:r w:rsidRPr="007D7F7E">
        <w:rPr>
          <w:rFonts w:ascii="Arial" w:hAnsi="Arial" w:cs="Arial"/>
          <w:sz w:val="22"/>
          <w:szCs w:val="22"/>
        </w:rPr>
        <w:t xml:space="preserve"> not published a Child Rights Impact Assessment of the Bill. </w:t>
      </w:r>
    </w:p>
    <w:p w:rsidR="007D7F7E" w:rsidRPr="007D7F7E" w:rsidP="00EC3792">
      <w:pPr>
        <w:pStyle w:val="ListParagraph"/>
        <w:spacing w:after="0" w:line="276" w:lineRule="auto"/>
        <w:ind w:left="360"/>
        <w:rPr>
          <w:rFonts w:ascii="Arial" w:hAnsi="Arial" w:cs="Arial"/>
          <w:sz w:val="12"/>
          <w:szCs w:val="12"/>
        </w:rPr>
      </w:pPr>
    </w:p>
    <w:p w:rsidR="007D7F7E" w:rsidRPr="007D7F7E" w:rsidP="0059036A">
      <w:pPr>
        <w:pStyle w:val="ListParagraph"/>
        <w:numPr>
          <w:ilvl w:val="0"/>
          <w:numId w:val="19"/>
        </w:numPr>
        <w:spacing w:after="0" w:line="276" w:lineRule="auto"/>
        <w:rPr>
          <w:rFonts w:ascii="Arial" w:hAnsi="Arial" w:cs="Arial"/>
          <w:sz w:val="22"/>
          <w:szCs w:val="22"/>
        </w:rPr>
      </w:pPr>
      <w:r w:rsidRPr="007D7F7E">
        <w:rPr>
          <w:rFonts w:ascii="Arial" w:hAnsi="Arial" w:cs="Arial"/>
          <w:sz w:val="22"/>
          <w:szCs w:val="22"/>
        </w:rPr>
        <w:t xml:space="preserve">Below we answer the questions </w:t>
      </w:r>
      <w:r w:rsidRPr="007D7F7E">
        <w:rPr>
          <w:rFonts w:ascii="Arial" w:hAnsi="Arial" w:cs="Arial"/>
          <w:sz w:val="22"/>
          <w:szCs w:val="22"/>
        </w:rPr>
        <w:t xml:space="preserve">most relevant to the RMCC’s concerns regarding children and young people. </w:t>
      </w:r>
    </w:p>
    <w:p w:rsidR="007D7F7E" w:rsidRPr="007D7F7E" w:rsidP="0059036A">
      <w:pPr>
        <w:spacing w:after="0" w:line="276" w:lineRule="auto"/>
        <w:jc w:val="both"/>
        <w:rPr>
          <w:rFonts w:ascii="Arial" w:eastAsia="Arial" w:hAnsi="Arial" w:cs="Arial"/>
          <w:b/>
          <w:sz w:val="22"/>
          <w:szCs w:val="22"/>
        </w:rPr>
      </w:pPr>
    </w:p>
    <w:p w:rsidR="007D7F7E" w:rsidRPr="007D7F7E" w:rsidP="00EC3792">
      <w:pPr>
        <w:spacing w:after="0" w:line="276" w:lineRule="auto"/>
        <w:jc w:val="both"/>
        <w:rPr>
          <w:rFonts w:ascii="Arial" w:eastAsia="Arial" w:hAnsi="Arial" w:cs="Arial"/>
          <w:b/>
          <w:sz w:val="22"/>
          <w:szCs w:val="22"/>
        </w:rPr>
      </w:pPr>
      <w:r w:rsidRPr="007D7F7E">
        <w:rPr>
          <w:rFonts w:ascii="Arial" w:eastAsia="Arial" w:hAnsi="Arial" w:cs="Arial"/>
          <w:b/>
          <w:sz w:val="22"/>
          <w:szCs w:val="22"/>
        </w:rPr>
        <w:t>Clauses 13-17 create new ‘precursor’ offences relating to immigration crimes, including supplying or handling articles for use in immigration crime, and collecting information for use in immigration crime. Is the scope of these provisions sufficiently clear and circumscribed, having regard in particular to Article 31 of the Refugee Convention, which prohibits the penalisation of refugees in certain circumstances? </w:t>
      </w:r>
    </w:p>
    <w:p w:rsidR="007D7F7E" w:rsidRPr="007D7F7E" w:rsidP="00EC3792">
      <w:pPr>
        <w:spacing w:after="0" w:line="276" w:lineRule="auto"/>
        <w:jc w:val="both"/>
        <w:rPr>
          <w:rFonts w:ascii="Arial" w:eastAsia="Arial" w:hAnsi="Arial" w:cs="Arial"/>
          <w:b/>
          <w:sz w:val="14"/>
          <w:szCs w:val="14"/>
        </w:rPr>
      </w:pPr>
    </w:p>
    <w:p w:rsidR="007D7F7E" w:rsidRPr="007D7F7E" w:rsidP="003E5B84">
      <w:pPr>
        <w:pStyle w:val="ListParagraph"/>
        <w:numPr>
          <w:ilvl w:val="0"/>
          <w:numId w:val="19"/>
        </w:numPr>
        <w:spacing w:after="0" w:line="276" w:lineRule="auto"/>
        <w:jc w:val="both"/>
        <w:rPr>
          <w:rFonts w:ascii="Arial" w:hAnsi="Arial" w:cs="Arial"/>
          <w:sz w:val="22"/>
          <w:szCs w:val="22"/>
        </w:rPr>
      </w:pPr>
      <w:r w:rsidRPr="007D7F7E">
        <w:rPr>
          <w:rFonts w:ascii="Arial" w:hAnsi="Arial" w:cs="Arial"/>
          <w:sz w:val="22"/>
          <w:szCs w:val="22"/>
        </w:rPr>
        <w:t xml:space="preserve">Clauses </w:t>
      </w:r>
      <w:r w:rsidRPr="007D7F7E">
        <w:rPr>
          <w:rFonts w:ascii="Arial" w:hAnsi="Arial" w:cs="Arial"/>
          <w:sz w:val="22"/>
          <w:szCs w:val="22"/>
        </w:rPr>
        <w:t>13–17 are problematic in their breadth and ambiguity, and the absence of exemptions for children and trafficking survivors makes them particularly concerning</w:t>
      </w:r>
      <w:r w:rsidRPr="007D7F7E">
        <w:rPr>
          <w:rFonts w:ascii="Arial" w:hAnsi="Arial" w:cs="Arial"/>
          <w:sz w:val="22"/>
          <w:szCs w:val="22"/>
        </w:rPr>
        <w:t xml:space="preserve">. </w:t>
      </w:r>
      <w:r w:rsidRPr="007D7F7E">
        <w:rPr>
          <w:rFonts w:ascii="Arial" w:hAnsi="Arial" w:cs="Arial"/>
          <w:sz w:val="22"/>
          <w:szCs w:val="22"/>
        </w:rPr>
        <w:t>These provisions:</w:t>
      </w:r>
    </w:p>
    <w:p w:rsidR="007D7F7E" w:rsidRPr="007D7F7E" w:rsidP="003E5B84">
      <w:pPr>
        <w:numPr>
          <w:ilvl w:val="0"/>
          <w:numId w:val="33"/>
        </w:numPr>
        <w:tabs>
          <w:tab w:val="num" w:pos="720"/>
        </w:tabs>
        <w:spacing w:after="0" w:line="276" w:lineRule="auto"/>
        <w:ind w:left="714" w:hanging="357"/>
        <w:jc w:val="both"/>
        <w:rPr>
          <w:rFonts w:ascii="Arial" w:hAnsi="Arial" w:cs="Arial"/>
          <w:sz w:val="22"/>
          <w:szCs w:val="22"/>
        </w:rPr>
      </w:pPr>
      <w:r w:rsidRPr="007D7F7E">
        <w:rPr>
          <w:rFonts w:ascii="Arial" w:hAnsi="Arial" w:cs="Arial"/>
          <w:sz w:val="22"/>
          <w:szCs w:val="22"/>
        </w:rPr>
        <w:t>Fail to distinguish between trafficked children, coerced into carrying phones or items on behalf of smugglers, and adult organisers of migration;</w:t>
      </w:r>
    </w:p>
    <w:p w:rsidR="007D7F7E" w:rsidRPr="007D7F7E" w:rsidP="003E5B84">
      <w:pPr>
        <w:numPr>
          <w:ilvl w:val="0"/>
          <w:numId w:val="33"/>
        </w:numPr>
        <w:tabs>
          <w:tab w:val="num" w:pos="720"/>
        </w:tabs>
        <w:spacing w:after="0" w:line="276" w:lineRule="auto"/>
        <w:ind w:left="714" w:hanging="357"/>
        <w:jc w:val="both"/>
        <w:rPr>
          <w:rFonts w:ascii="Arial" w:hAnsi="Arial" w:cs="Arial"/>
          <w:sz w:val="22"/>
          <w:szCs w:val="22"/>
        </w:rPr>
      </w:pPr>
      <w:r w:rsidRPr="007D7F7E">
        <w:rPr>
          <w:rFonts w:ascii="Arial" w:hAnsi="Arial" w:cs="Arial"/>
          <w:sz w:val="22"/>
          <w:szCs w:val="22"/>
        </w:rPr>
        <w:t>Risk penalising children who are fleeing danger and simply using phones for navigation or to stay in contact with family;</w:t>
      </w:r>
    </w:p>
    <w:p w:rsidR="007D7F7E" w:rsidRPr="007D7F7E" w:rsidP="003E5B84">
      <w:pPr>
        <w:numPr>
          <w:ilvl w:val="0"/>
          <w:numId w:val="33"/>
        </w:numPr>
        <w:tabs>
          <w:tab w:val="num" w:pos="720"/>
        </w:tabs>
        <w:spacing w:after="0" w:line="276" w:lineRule="auto"/>
        <w:ind w:left="714" w:hanging="357"/>
        <w:jc w:val="both"/>
        <w:rPr>
          <w:rFonts w:ascii="Arial" w:hAnsi="Arial" w:cs="Arial"/>
          <w:sz w:val="22"/>
          <w:szCs w:val="22"/>
        </w:rPr>
      </w:pPr>
      <w:r w:rsidRPr="007D7F7E">
        <w:rPr>
          <w:rFonts w:ascii="Arial" w:hAnsi="Arial" w:cs="Arial"/>
          <w:sz w:val="22"/>
          <w:szCs w:val="22"/>
        </w:rPr>
        <w:t xml:space="preserve">Are incompatible with Article 31 of the Refugee </w:t>
      </w:r>
      <w:r w:rsidRPr="007D7F7E">
        <w:rPr>
          <w:rFonts w:ascii="Arial" w:hAnsi="Arial" w:cs="Arial"/>
          <w:sz w:val="22"/>
          <w:szCs w:val="22"/>
        </w:rPr>
        <w:t>Convention, which prohibits the penalisation of refugees for irregular entry.</w:t>
      </w:r>
      <w:r>
        <w:rPr>
          <w:rStyle w:val="FootnoteReference"/>
          <w:rFonts w:ascii="Arial" w:hAnsi="Arial" w:cs="Arial"/>
          <w:sz w:val="22"/>
          <w:szCs w:val="22"/>
        </w:rPr>
        <w:footnoteReference w:id="6"/>
      </w:r>
    </w:p>
    <w:p w:rsidR="007D7F7E" w:rsidRPr="007D7F7E" w:rsidP="003E5B84">
      <w:pPr>
        <w:pStyle w:val="ListParagraph"/>
        <w:spacing w:after="0" w:line="276" w:lineRule="auto"/>
        <w:ind w:left="360"/>
        <w:jc w:val="both"/>
        <w:rPr>
          <w:rFonts w:ascii="Arial" w:hAnsi="Arial" w:cs="Arial"/>
          <w:sz w:val="12"/>
          <w:szCs w:val="12"/>
        </w:rPr>
      </w:pPr>
    </w:p>
    <w:p w:rsidR="007D7F7E" w:rsidRPr="007D7F7E" w:rsidP="003E5B84">
      <w:pPr>
        <w:pStyle w:val="ListParagraph"/>
        <w:numPr>
          <w:ilvl w:val="0"/>
          <w:numId w:val="19"/>
        </w:numPr>
        <w:spacing w:after="0" w:line="276" w:lineRule="auto"/>
        <w:jc w:val="both"/>
        <w:rPr>
          <w:rFonts w:ascii="Arial" w:hAnsi="Arial" w:cs="Arial"/>
          <w:sz w:val="22"/>
          <w:szCs w:val="22"/>
        </w:rPr>
      </w:pPr>
      <w:r w:rsidRPr="007D7F7E">
        <w:rPr>
          <w:rFonts w:ascii="Arial" w:hAnsi="Arial" w:cs="Arial"/>
          <w:sz w:val="22"/>
          <w:szCs w:val="22"/>
        </w:rPr>
        <w:t>This is especially troubling given the well-documented failures in age assessment, where children are frequently misclassified as adults and thus exposed to adult criminal justice processes</w:t>
      </w:r>
      <w:r w:rsidRPr="007D7F7E">
        <w:rPr>
          <w:rFonts w:ascii="Arial" w:hAnsi="Arial" w:cs="Arial"/>
          <w:sz w:val="22"/>
          <w:szCs w:val="22"/>
        </w:rPr>
        <w:t xml:space="preserve"> (see below)</w:t>
      </w:r>
      <w:r w:rsidRPr="007D7F7E">
        <w:rPr>
          <w:rFonts w:ascii="Arial" w:hAnsi="Arial" w:cs="Arial"/>
          <w:sz w:val="22"/>
          <w:szCs w:val="22"/>
        </w:rPr>
        <w:t>.</w:t>
      </w:r>
      <w:r>
        <w:rPr>
          <w:rStyle w:val="FootnoteReference"/>
          <w:rFonts w:ascii="Arial" w:hAnsi="Arial" w:cs="Arial"/>
          <w:sz w:val="22"/>
          <w:szCs w:val="22"/>
        </w:rPr>
        <w:footnoteReference w:id="7"/>
      </w:r>
    </w:p>
    <w:p w:rsidR="007D7F7E" w:rsidRPr="007D7F7E" w:rsidP="003E5B84">
      <w:pPr>
        <w:pStyle w:val="ListParagraph"/>
        <w:spacing w:after="0" w:line="276" w:lineRule="auto"/>
        <w:ind w:left="360"/>
        <w:jc w:val="both"/>
        <w:rPr>
          <w:rFonts w:ascii="Arial" w:hAnsi="Arial" w:cs="Arial"/>
          <w:sz w:val="16"/>
          <w:szCs w:val="16"/>
        </w:rPr>
      </w:pPr>
    </w:p>
    <w:p w:rsidR="007D7F7E" w:rsidRPr="007D7F7E" w:rsidP="00EC3792">
      <w:pPr>
        <w:spacing w:after="0" w:line="276" w:lineRule="auto"/>
        <w:jc w:val="both"/>
        <w:rPr>
          <w:rFonts w:ascii="Arial" w:eastAsia="Arial" w:hAnsi="Arial" w:cs="Arial"/>
          <w:b/>
          <w:sz w:val="22"/>
          <w:szCs w:val="22"/>
        </w:rPr>
      </w:pPr>
      <w:r w:rsidRPr="007D7F7E">
        <w:rPr>
          <w:rFonts w:ascii="Arial" w:eastAsia="Arial" w:hAnsi="Arial" w:cs="Arial"/>
          <w:b/>
          <w:sz w:val="22"/>
          <w:szCs w:val="22"/>
        </w:rPr>
        <w:t>Clause 18 makes it an offence for a person, while journeying by water to the UK from France, Belgium or the Netherlands, to endanger another person (i.e. to do an act which causes or risks death of or serious injury to another person). Are the CPS’s general discretion and guidance for public prosecutors an adequate safeguard against breaches of Article 8 (right to private and family life) in relation to the endangerment offence in clause 18? </w:t>
      </w:r>
    </w:p>
    <w:p w:rsidR="007D7F7E" w:rsidRPr="007D7F7E" w:rsidP="0059036A">
      <w:pPr>
        <w:spacing w:after="0" w:line="276" w:lineRule="auto"/>
        <w:jc w:val="both"/>
        <w:rPr>
          <w:rFonts w:ascii="Arial" w:eastAsia="Arial" w:hAnsi="Arial" w:cs="Arial"/>
          <w:sz w:val="14"/>
          <w:szCs w:val="14"/>
        </w:rPr>
      </w:pPr>
    </w:p>
    <w:p w:rsidR="007D7F7E" w:rsidRPr="007D7F7E" w:rsidP="0059036A">
      <w:pPr>
        <w:pStyle w:val="ListParagraph"/>
        <w:numPr>
          <w:ilvl w:val="0"/>
          <w:numId w:val="19"/>
        </w:numPr>
        <w:spacing w:after="0" w:line="276" w:lineRule="auto"/>
        <w:jc w:val="both"/>
        <w:rPr>
          <w:rFonts w:ascii="Arial" w:eastAsia="Arial" w:hAnsi="Arial" w:cs="Arial"/>
          <w:sz w:val="22"/>
          <w:szCs w:val="22"/>
        </w:rPr>
      </w:pPr>
      <w:r w:rsidRPr="007D7F7E">
        <w:rPr>
          <w:rFonts w:ascii="Arial" w:eastAsia="Arial" w:hAnsi="Arial" w:cs="Arial"/>
          <w:sz w:val="22"/>
          <w:szCs w:val="22"/>
        </w:rPr>
        <w:t xml:space="preserve">While one </w:t>
      </w:r>
      <w:r w:rsidRPr="007D7F7E">
        <w:rPr>
          <w:rFonts w:ascii="Arial" w:eastAsia="Arial" w:hAnsi="Arial" w:cs="Arial"/>
          <w:sz w:val="22"/>
          <w:szCs w:val="22"/>
        </w:rPr>
        <w:t>of the main aims of</w:t>
      </w:r>
      <w:r w:rsidRPr="007D7F7E">
        <w:rPr>
          <w:rFonts w:ascii="Arial" w:eastAsia="Arial" w:hAnsi="Arial" w:cs="Arial"/>
          <w:sz w:val="22"/>
          <w:szCs w:val="22"/>
        </w:rPr>
        <w:t xml:space="preserve"> the Bill </w:t>
      </w:r>
      <w:r w:rsidRPr="007D7F7E">
        <w:rPr>
          <w:rFonts w:ascii="Arial" w:eastAsia="Arial" w:hAnsi="Arial" w:cs="Arial"/>
          <w:sz w:val="22"/>
          <w:szCs w:val="22"/>
        </w:rPr>
        <w:t>is “preventing, investigating and prosecuting Organised Immigration Crime (OIC), providing additional deterrents and penalties for criminals involved in such activity”</w:t>
      </w:r>
      <w:r w:rsidRPr="007D7F7E">
        <w:rPr>
          <w:rFonts w:ascii="Arial" w:eastAsia="Arial" w:hAnsi="Arial" w:cs="Arial"/>
          <w:sz w:val="22"/>
          <w:szCs w:val="22"/>
        </w:rPr>
        <w:t>,</w:t>
      </w:r>
      <w:r>
        <w:rPr>
          <w:rFonts w:ascii="Arial" w:hAnsi="Arial" w:cs="Arial"/>
          <w:sz w:val="22"/>
          <w:szCs w:val="22"/>
          <w:vertAlign w:val="superscript"/>
        </w:rPr>
        <w:footnoteReference w:id="8"/>
      </w:r>
      <w:r w:rsidRPr="007D7F7E">
        <w:rPr>
          <w:rFonts w:ascii="Arial" w:eastAsia="Arial" w:hAnsi="Arial" w:cs="Arial"/>
          <w:sz w:val="22"/>
          <w:szCs w:val="22"/>
        </w:rPr>
        <w:t xml:space="preserve"> the measures in BSAIB risk criminalising people seeking safety who have no other means of reaching the UK, including child victims of trafficking and children </w:t>
      </w:r>
      <w:r w:rsidRPr="007D7F7E">
        <w:rPr>
          <w:rFonts w:ascii="Arial" w:eastAsia="Arial" w:hAnsi="Arial" w:cs="Arial"/>
          <w:sz w:val="22"/>
          <w:szCs w:val="22"/>
        </w:rPr>
        <w:t xml:space="preserve">seeking asylum </w:t>
      </w:r>
      <w:r w:rsidRPr="007D7F7E">
        <w:rPr>
          <w:rFonts w:ascii="Arial" w:eastAsia="Arial" w:hAnsi="Arial" w:cs="Arial"/>
          <w:sz w:val="22"/>
          <w:szCs w:val="22"/>
        </w:rPr>
        <w:t xml:space="preserve">travelling alone. </w:t>
      </w:r>
      <w:r w:rsidRPr="007D7F7E">
        <w:rPr>
          <w:rFonts w:ascii="Arial" w:eastAsia="Arial" w:hAnsi="Arial" w:cs="Arial"/>
          <w:sz w:val="22"/>
          <w:szCs w:val="22"/>
        </w:rPr>
        <w:t>NABA</w:t>
      </w:r>
      <w:r w:rsidRPr="007D7F7E">
        <w:rPr>
          <w:rFonts w:ascii="Arial" w:eastAsia="Arial" w:hAnsi="Arial" w:cs="Arial"/>
          <w:sz w:val="22"/>
          <w:szCs w:val="22"/>
        </w:rPr>
        <w:t xml:space="preserve"> created a new offence of </w:t>
      </w:r>
      <w:r w:rsidRPr="007D7F7E">
        <w:rPr>
          <w:rFonts w:ascii="Arial" w:eastAsia="Arial" w:hAnsi="Arial" w:cs="Arial"/>
          <w:sz w:val="22"/>
          <w:szCs w:val="22"/>
        </w:rPr>
        <w:t>‘illegal arrival’</w:t>
      </w:r>
      <w:r w:rsidRPr="007D7F7E">
        <w:rPr>
          <w:rFonts w:ascii="Arial" w:eastAsia="Arial" w:hAnsi="Arial" w:cs="Arial"/>
          <w:sz w:val="22"/>
          <w:szCs w:val="22"/>
        </w:rPr>
        <w:t>,</w:t>
      </w:r>
      <w:r w:rsidRPr="007D7F7E">
        <w:rPr>
          <w:rFonts w:ascii="Arial" w:eastAsia="Arial" w:hAnsi="Arial" w:cs="Arial"/>
          <w:sz w:val="22"/>
          <w:szCs w:val="22"/>
        </w:rPr>
        <w:t xml:space="preserve"> to enable the prosecution of people who make asylum claims upon arrival</w:t>
      </w:r>
      <w:r w:rsidRPr="007D7F7E">
        <w:rPr>
          <w:rFonts w:ascii="Arial" w:eastAsia="Arial" w:hAnsi="Arial" w:cs="Arial"/>
          <w:sz w:val="22"/>
          <w:szCs w:val="22"/>
        </w:rPr>
        <w:t xml:space="preserve">, and </w:t>
      </w:r>
      <w:r w:rsidRPr="007D7F7E">
        <w:rPr>
          <w:rFonts w:ascii="Arial" w:eastAsia="Arial" w:hAnsi="Arial" w:cs="Arial"/>
          <w:sz w:val="22"/>
          <w:szCs w:val="22"/>
        </w:rPr>
        <w:t xml:space="preserve">expanded the scope of the offence of ‘facilitating a breach of immigration law’, which now has a maximum sentence of life imprisonment. </w:t>
      </w:r>
      <w:r w:rsidRPr="007D7F7E">
        <w:rPr>
          <w:rFonts w:ascii="Arial" w:eastAsia="Arial" w:hAnsi="Arial" w:cs="Arial"/>
          <w:sz w:val="22"/>
          <w:szCs w:val="22"/>
        </w:rPr>
        <w:t xml:space="preserve">Clauses 13 to 18 </w:t>
      </w:r>
      <w:r w:rsidRPr="007D7F7E">
        <w:rPr>
          <w:rFonts w:ascii="Arial" w:eastAsia="Arial" w:hAnsi="Arial" w:cs="Arial"/>
          <w:sz w:val="22"/>
          <w:szCs w:val="22"/>
        </w:rPr>
        <w:t xml:space="preserve">in this Bill </w:t>
      </w:r>
      <w:r w:rsidRPr="007D7F7E">
        <w:rPr>
          <w:rFonts w:ascii="Arial" w:eastAsia="Arial" w:hAnsi="Arial" w:cs="Arial"/>
          <w:sz w:val="22"/>
          <w:szCs w:val="22"/>
        </w:rPr>
        <w:t>set out new offences in rel</w:t>
      </w:r>
      <w:r w:rsidRPr="007D7F7E">
        <w:rPr>
          <w:rFonts w:ascii="Arial" w:eastAsia="Arial" w:hAnsi="Arial" w:cs="Arial"/>
          <w:sz w:val="22"/>
          <w:szCs w:val="22"/>
        </w:rPr>
        <w:t xml:space="preserve">ation to the preparatory acts to commit an immigration offence and </w:t>
      </w:r>
      <w:r w:rsidRPr="007D7F7E">
        <w:rPr>
          <w:rFonts w:ascii="Arial" w:eastAsia="Arial" w:hAnsi="Arial" w:cs="Arial"/>
          <w:sz w:val="22"/>
          <w:szCs w:val="22"/>
        </w:rPr>
        <w:t>creates a new offence if someone travels by boat and creates a risk of injury to another person</w:t>
      </w:r>
      <w:r w:rsidRPr="007D7F7E">
        <w:rPr>
          <w:rFonts w:ascii="Arial" w:eastAsia="Arial" w:hAnsi="Arial" w:cs="Arial"/>
          <w:sz w:val="22"/>
          <w:szCs w:val="22"/>
        </w:rPr>
        <w:t xml:space="preserve"> (clause 18)</w:t>
      </w:r>
      <w:r w:rsidRPr="007D7F7E">
        <w:rPr>
          <w:rFonts w:ascii="Arial" w:eastAsia="Arial" w:hAnsi="Arial" w:cs="Arial"/>
          <w:sz w:val="22"/>
          <w:szCs w:val="22"/>
        </w:rPr>
        <w:t xml:space="preserve">. </w:t>
      </w:r>
      <w:r w:rsidRPr="007D7F7E">
        <w:rPr>
          <w:rFonts w:ascii="Arial" w:eastAsia="Arial" w:hAnsi="Arial" w:cs="Arial"/>
          <w:sz w:val="22"/>
          <w:szCs w:val="22"/>
        </w:rPr>
        <w:t xml:space="preserve">The new offence </w:t>
      </w:r>
      <w:r w:rsidRPr="007D7F7E">
        <w:rPr>
          <w:rFonts w:ascii="Arial" w:eastAsia="Arial" w:hAnsi="Arial" w:cs="Arial"/>
          <w:sz w:val="22"/>
          <w:szCs w:val="22"/>
        </w:rPr>
        <w:t>“</w:t>
      </w:r>
      <w:r w:rsidRPr="007D7F7E">
        <w:rPr>
          <w:rFonts w:ascii="Arial" w:eastAsia="Arial" w:hAnsi="Arial" w:cs="Arial"/>
          <w:sz w:val="22"/>
          <w:szCs w:val="22"/>
        </w:rPr>
        <w:t>is intended to disincentivise dangerous behaviour, including in the refusal of assistance, and be a strong deterrent for those contemplating travel to the UK</w:t>
      </w:r>
      <w:r w:rsidRPr="007D7F7E">
        <w:rPr>
          <w:rFonts w:ascii="Arial" w:eastAsia="Arial" w:hAnsi="Arial" w:cs="Arial"/>
          <w:sz w:val="22"/>
          <w:szCs w:val="22"/>
        </w:rPr>
        <w:t>.”</w:t>
      </w:r>
      <w:r>
        <w:rPr>
          <w:rStyle w:val="FootnoteReference"/>
          <w:rFonts w:ascii="Arial" w:eastAsia="Arial" w:hAnsi="Arial" w:cs="Arial"/>
          <w:sz w:val="22"/>
          <w:szCs w:val="22"/>
        </w:rPr>
        <w:footnoteReference w:id="9"/>
      </w:r>
    </w:p>
    <w:p w:rsidR="007D7F7E" w:rsidRPr="007D7F7E" w:rsidP="0059036A">
      <w:pPr>
        <w:pStyle w:val="ListParagraph"/>
        <w:spacing w:after="0" w:line="276" w:lineRule="auto"/>
        <w:ind w:left="360"/>
        <w:jc w:val="both"/>
        <w:rPr>
          <w:rFonts w:ascii="Arial" w:eastAsia="Arial" w:hAnsi="Arial" w:cs="Arial"/>
          <w:sz w:val="12"/>
          <w:szCs w:val="12"/>
        </w:rPr>
      </w:pPr>
    </w:p>
    <w:p w:rsidR="007D7F7E" w:rsidRPr="007D7F7E" w:rsidP="0059036A">
      <w:pPr>
        <w:pStyle w:val="ListParagraph"/>
        <w:numPr>
          <w:ilvl w:val="0"/>
          <w:numId w:val="19"/>
        </w:numPr>
        <w:spacing w:after="0" w:line="276" w:lineRule="auto"/>
        <w:jc w:val="both"/>
        <w:rPr>
          <w:rFonts w:ascii="Arial" w:eastAsia="Arial" w:hAnsi="Arial" w:cs="Arial"/>
          <w:sz w:val="22"/>
          <w:szCs w:val="22"/>
        </w:rPr>
      </w:pPr>
      <w:r w:rsidRPr="007D7F7E">
        <w:rPr>
          <w:rFonts w:ascii="Arial" w:eastAsia="Arial" w:hAnsi="Arial" w:cs="Arial"/>
          <w:sz w:val="22"/>
          <w:szCs w:val="22"/>
        </w:rPr>
        <w:t>The RMCC strongly opposes the criminalisation of a</w:t>
      </w:r>
      <w:r w:rsidRPr="007D7F7E">
        <w:rPr>
          <w:rFonts w:ascii="Arial" w:eastAsia="Arial" w:hAnsi="Arial" w:cs="Arial"/>
          <w:sz w:val="22"/>
          <w:szCs w:val="22"/>
        </w:rPr>
        <w:t>ny person</w:t>
      </w:r>
      <w:r w:rsidRPr="007D7F7E">
        <w:rPr>
          <w:rFonts w:ascii="Arial" w:eastAsia="Arial" w:hAnsi="Arial" w:cs="Arial"/>
          <w:sz w:val="22"/>
          <w:szCs w:val="22"/>
        </w:rPr>
        <w:t xml:space="preserve"> seeking asylum in the UK. </w:t>
      </w:r>
      <w:r w:rsidRPr="007D7F7E">
        <w:rPr>
          <w:rFonts w:ascii="Arial" w:eastAsia="Arial" w:hAnsi="Arial" w:cs="Arial"/>
          <w:sz w:val="22"/>
          <w:szCs w:val="22"/>
        </w:rPr>
        <w:t xml:space="preserve">There is no </w:t>
      </w:r>
      <w:r w:rsidRPr="007D7F7E">
        <w:rPr>
          <w:rFonts w:ascii="Arial" w:hAnsi="Arial" w:cs="Arial"/>
          <w:sz w:val="22"/>
          <w:szCs w:val="22"/>
        </w:rPr>
        <w:t>e</w:t>
      </w:r>
      <w:r w:rsidRPr="007D7F7E">
        <w:rPr>
          <w:rFonts w:ascii="Arial" w:hAnsi="Arial" w:cs="Arial"/>
          <w:sz w:val="22"/>
          <w:szCs w:val="22"/>
        </w:rPr>
        <w:t>vidence</w:t>
      </w:r>
      <w:r w:rsidRPr="007D7F7E">
        <w:rPr>
          <w:rFonts w:ascii="Arial" w:hAnsi="Arial" w:cs="Arial"/>
          <w:sz w:val="22"/>
          <w:szCs w:val="22"/>
        </w:rPr>
        <w:t xml:space="preserve"> that criminalisation acts as a deterrence – instead it risks</w:t>
      </w:r>
      <w:r w:rsidRPr="007D7F7E">
        <w:rPr>
          <w:rFonts w:ascii="Arial" w:hAnsi="Arial" w:cs="Arial"/>
          <w:sz w:val="22"/>
          <w:szCs w:val="22"/>
        </w:rPr>
        <w:t xml:space="preserve"> result</w:t>
      </w:r>
      <w:r w:rsidRPr="007D7F7E">
        <w:rPr>
          <w:rFonts w:ascii="Arial" w:hAnsi="Arial" w:cs="Arial"/>
          <w:sz w:val="22"/>
          <w:szCs w:val="22"/>
        </w:rPr>
        <w:t>ing</w:t>
      </w:r>
      <w:r w:rsidRPr="007D7F7E">
        <w:rPr>
          <w:rFonts w:ascii="Arial" w:hAnsi="Arial" w:cs="Arial"/>
          <w:sz w:val="22"/>
          <w:szCs w:val="22"/>
        </w:rPr>
        <w:t xml:space="preserve"> in the prosecution of vulnerable refugees acting out of desperation or victims of trafficking under coercive control.</w:t>
      </w:r>
      <w:r>
        <w:rPr>
          <w:rStyle w:val="FootnoteReference"/>
          <w:rFonts w:ascii="Arial" w:hAnsi="Arial" w:cs="Arial"/>
          <w:sz w:val="22"/>
          <w:szCs w:val="22"/>
        </w:rPr>
        <w:footnoteReference w:id="10"/>
      </w:r>
      <w:r w:rsidRPr="007D7F7E">
        <w:rPr>
          <w:rFonts w:ascii="Arial" w:hAnsi="Arial" w:cs="Arial"/>
          <w:sz w:val="22"/>
          <w:szCs w:val="22"/>
        </w:rPr>
        <w:t xml:space="preserve"> </w:t>
      </w:r>
      <w:r w:rsidRPr="007D7F7E">
        <w:rPr>
          <w:rFonts w:ascii="Arial" w:hAnsi="Arial" w:cs="Arial"/>
          <w:sz w:val="22"/>
          <w:szCs w:val="22"/>
        </w:rPr>
        <w:t>As</w:t>
      </w:r>
      <w:r w:rsidRPr="007D7F7E">
        <w:rPr>
          <w:rFonts w:ascii="Arial" w:eastAsia="Arial" w:hAnsi="Arial" w:cs="Arial"/>
          <w:sz w:val="22"/>
          <w:szCs w:val="22"/>
        </w:rPr>
        <w:t xml:space="preserve"> a coalition working on children, we are particularly concerned that children will face prosecution and spend months in adult prisons due to being wrongly classified as adults by the Home Office.</w:t>
      </w:r>
    </w:p>
    <w:p w:rsidR="007D7F7E" w:rsidRPr="007D7F7E" w:rsidP="0059036A">
      <w:pPr>
        <w:pStyle w:val="ListParagraph"/>
        <w:spacing w:line="276" w:lineRule="auto"/>
        <w:rPr>
          <w:rFonts w:ascii="Arial" w:eastAsia="Arial" w:hAnsi="Arial" w:cs="Arial"/>
          <w:sz w:val="12"/>
          <w:szCs w:val="12"/>
        </w:rPr>
      </w:pPr>
    </w:p>
    <w:p w:rsidR="007D7F7E" w:rsidRPr="007D7F7E" w:rsidP="0059036A">
      <w:pPr>
        <w:pStyle w:val="ListParagraph"/>
        <w:numPr>
          <w:ilvl w:val="0"/>
          <w:numId w:val="19"/>
        </w:numPr>
        <w:spacing w:after="0" w:line="276" w:lineRule="auto"/>
        <w:jc w:val="both"/>
        <w:rPr>
          <w:rFonts w:ascii="Arial" w:eastAsia="Arial" w:hAnsi="Arial" w:cs="Arial"/>
          <w:sz w:val="22"/>
          <w:szCs w:val="22"/>
        </w:rPr>
      </w:pPr>
      <w:r w:rsidRPr="007D7F7E">
        <w:rPr>
          <w:rFonts w:ascii="Arial" w:eastAsia="Arial" w:hAnsi="Arial" w:cs="Arial"/>
          <w:sz w:val="22"/>
          <w:szCs w:val="22"/>
        </w:rPr>
        <w:t>Since coming into force on 28</w:t>
      </w:r>
      <w:r w:rsidRPr="007D7F7E">
        <w:rPr>
          <w:rFonts w:ascii="Arial" w:eastAsia="Arial" w:hAnsi="Arial" w:cs="Arial"/>
          <w:sz w:val="22"/>
          <w:szCs w:val="22"/>
          <w:vertAlign w:val="superscript"/>
        </w:rPr>
        <w:t>th</w:t>
      </w:r>
      <w:r w:rsidRPr="007D7F7E">
        <w:rPr>
          <w:rFonts w:ascii="Arial" w:eastAsia="Arial" w:hAnsi="Arial" w:cs="Arial"/>
          <w:sz w:val="22"/>
          <w:szCs w:val="22"/>
        </w:rPr>
        <w:t xml:space="preserve"> June 2022, the NABA offences have been used routinely against people on the move themselves, including people seeking asylum, victims of trafficking and torture, and age disputed children. From the introduction of NABA offences on 28</w:t>
      </w:r>
      <w:r w:rsidRPr="007D7F7E">
        <w:rPr>
          <w:rFonts w:ascii="Arial" w:eastAsia="Arial" w:hAnsi="Arial" w:cs="Arial"/>
          <w:sz w:val="22"/>
          <w:szCs w:val="22"/>
          <w:vertAlign w:val="superscript"/>
        </w:rPr>
        <w:t>th</w:t>
      </w:r>
      <w:r w:rsidRPr="007D7F7E">
        <w:rPr>
          <w:rFonts w:ascii="Arial" w:eastAsia="Arial" w:hAnsi="Arial" w:cs="Arial"/>
          <w:sz w:val="22"/>
          <w:szCs w:val="22"/>
        </w:rPr>
        <w:t xml:space="preserve"> June 2022 to the end of 2024, the best available data indicates that 556 people were charged with ‘illegal arrival’ via small boats, and 455 were convicted</w:t>
      </w:r>
      <w:r w:rsidRPr="007D7F7E">
        <w:rPr>
          <w:rFonts w:ascii="Arial" w:eastAsia="Arial" w:hAnsi="Arial" w:cs="Arial"/>
          <w:sz w:val="22"/>
          <w:szCs w:val="22"/>
        </w:rPr>
        <w:t xml:space="preserve">. </w:t>
      </w:r>
      <w:r w:rsidRPr="007D7F7E">
        <w:rPr>
          <w:rFonts w:ascii="Arial" w:eastAsia="Arial" w:hAnsi="Arial" w:cs="Arial"/>
          <w:b/>
          <w:bCs/>
          <w:sz w:val="22"/>
          <w:szCs w:val="22"/>
        </w:rPr>
        <w:t>At least 26 children with ongoing age disputes, arrested as adults after a cursory age determination on arrival, hav</w:t>
      </w:r>
      <w:r w:rsidRPr="007D7F7E">
        <w:rPr>
          <w:rFonts w:ascii="Arial" w:eastAsia="Arial" w:hAnsi="Arial" w:cs="Arial"/>
          <w:b/>
          <w:bCs/>
          <w:sz w:val="22"/>
          <w:szCs w:val="22"/>
        </w:rPr>
        <w:t>e been charged. At least 16 of these children have spent time in adult prisons, sharing cells with adults.</w:t>
      </w:r>
      <w:r w:rsidRPr="007D7F7E">
        <w:rPr>
          <w:rFonts w:ascii="Arial" w:eastAsia="Arial" w:hAnsi="Arial" w:cs="Arial"/>
          <w:sz w:val="22"/>
          <w:szCs w:val="22"/>
        </w:rPr>
        <w:t xml:space="preserve"> The actual number is likely higher. Mostly, these people are part of one or both of two groups: those identified as having an ‘immigration history’ in the UK, or those accused of steering the dinghy. Many of those arrested come from high asylum grant rate nationalities, including from Sudan, South Sudan, and Afghanistan</w:t>
      </w:r>
      <w:r w:rsidRPr="007D7F7E">
        <w:rPr>
          <w:rFonts w:ascii="Arial" w:eastAsia="Arial" w:hAnsi="Arial" w:cs="Arial"/>
          <w:sz w:val="22"/>
          <w:szCs w:val="22"/>
        </w:rPr>
        <w:t>.</w:t>
      </w:r>
      <w:r>
        <w:rPr>
          <w:rStyle w:val="FootnoteReference"/>
          <w:rFonts w:ascii="Arial" w:eastAsia="Arial" w:hAnsi="Arial" w:cs="Arial"/>
          <w:sz w:val="22"/>
          <w:szCs w:val="22"/>
        </w:rPr>
        <w:footnoteReference w:id="11"/>
      </w:r>
    </w:p>
    <w:p w:rsidR="007D7F7E" w:rsidRPr="007D7F7E" w:rsidP="0059036A">
      <w:pPr>
        <w:pStyle w:val="ListParagraph"/>
        <w:spacing w:line="276" w:lineRule="auto"/>
        <w:rPr>
          <w:rFonts w:ascii="Arial" w:eastAsia="Arial" w:hAnsi="Arial" w:cs="Arial"/>
          <w:sz w:val="14"/>
          <w:szCs w:val="14"/>
        </w:rPr>
      </w:pPr>
    </w:p>
    <w:p w:rsidR="007D7F7E" w:rsidRPr="007D7F7E" w:rsidP="0059036A">
      <w:pPr>
        <w:pStyle w:val="ListParagraph"/>
        <w:numPr>
          <w:ilvl w:val="0"/>
          <w:numId w:val="19"/>
        </w:numPr>
        <w:spacing w:after="0" w:line="276" w:lineRule="auto"/>
        <w:jc w:val="both"/>
        <w:rPr>
          <w:rFonts w:ascii="Arial" w:eastAsia="Arial" w:hAnsi="Arial" w:cs="Arial"/>
          <w:sz w:val="22"/>
          <w:szCs w:val="22"/>
        </w:rPr>
      </w:pPr>
      <w:r w:rsidRPr="007D7F7E">
        <w:rPr>
          <w:rFonts w:ascii="Arial" w:eastAsia="Arial" w:hAnsi="Arial" w:cs="Arial"/>
          <w:sz w:val="22"/>
          <w:szCs w:val="22"/>
        </w:rPr>
        <w:t xml:space="preserve">Unaccompanied children seeking asylum have fled war, persecution, and human rights abuses, often enduring dangerous journeys. Many who arrive in the UK from countries such as Afghanistan, Sudan, and Eritrea cannot provide official identity documents like passports or birth certificates. Some have never had them, while others have had them lost, destroyed, or taken away. In many cases, children are forced to travel on false documents. As a result, their ages are frequently </w:t>
      </w:r>
      <w:r w:rsidRPr="007D7F7E">
        <w:rPr>
          <w:rFonts w:ascii="Arial" w:eastAsia="Arial" w:hAnsi="Arial" w:cs="Arial"/>
          <w:sz w:val="22"/>
          <w:szCs w:val="22"/>
        </w:rPr>
        <w:t>disputed</w:t>
      </w:r>
      <w:r w:rsidRPr="007D7F7E">
        <w:rPr>
          <w:rFonts w:ascii="Arial" w:eastAsia="Arial" w:hAnsi="Arial" w:cs="Arial"/>
          <w:sz w:val="22"/>
          <w:szCs w:val="22"/>
        </w:rPr>
        <w:t xml:space="preserve"> an</w:t>
      </w:r>
      <w:r w:rsidRPr="007D7F7E">
        <w:rPr>
          <w:rFonts w:ascii="Arial" w:eastAsia="Times New Roman" w:hAnsi="Arial" w:cs="Arial"/>
          <w:sz w:val="22"/>
          <w:szCs w:val="22"/>
        </w:rPr>
        <w:t>d many will have their age ‘assessed’ by the Home Office and/or local authority children’s services.</w:t>
      </w:r>
    </w:p>
    <w:p w:rsidR="007D7F7E" w:rsidRPr="007D7F7E" w:rsidP="0059036A">
      <w:pPr>
        <w:pStyle w:val="ListParagraph"/>
        <w:spacing w:line="276" w:lineRule="auto"/>
        <w:rPr>
          <w:rFonts w:ascii="Arial" w:eastAsia="Arial" w:hAnsi="Arial" w:cs="Arial"/>
          <w:sz w:val="14"/>
          <w:szCs w:val="14"/>
        </w:rPr>
      </w:pPr>
    </w:p>
    <w:p w:rsidR="007D7F7E" w:rsidRPr="007D7F7E" w:rsidP="0059036A">
      <w:pPr>
        <w:pStyle w:val="ListParagraph"/>
        <w:numPr>
          <w:ilvl w:val="0"/>
          <w:numId w:val="19"/>
        </w:numPr>
        <w:spacing w:after="0" w:line="276" w:lineRule="auto"/>
        <w:jc w:val="both"/>
        <w:rPr>
          <w:rFonts w:ascii="Arial" w:eastAsia="Arial" w:hAnsi="Arial" w:cs="Arial"/>
          <w:sz w:val="22"/>
          <w:szCs w:val="22"/>
        </w:rPr>
      </w:pPr>
      <w:r w:rsidRPr="007D7F7E">
        <w:rPr>
          <w:rFonts w:ascii="Arial" w:eastAsia="Arial" w:hAnsi="Arial" w:cs="Arial"/>
          <w:sz w:val="22"/>
          <w:szCs w:val="22"/>
        </w:rPr>
        <w:t xml:space="preserve">At present, Home Office guidance states that a </w:t>
      </w:r>
      <w:r w:rsidRPr="007D7F7E">
        <w:rPr>
          <w:rFonts w:ascii="Arial" w:eastAsia="Arial" w:hAnsi="Arial" w:cs="Arial"/>
          <w:sz w:val="22"/>
          <w:szCs w:val="22"/>
        </w:rPr>
        <w:t>person claiming to be a child can simply be treated as an adult i</w:t>
      </w:r>
      <w:r w:rsidRPr="007D7F7E">
        <w:rPr>
          <w:rFonts w:ascii="Arial" w:eastAsia="Arial" w:hAnsi="Arial" w:cs="Arial"/>
          <w:sz w:val="22"/>
          <w:szCs w:val="22"/>
        </w:rPr>
        <w:t>f</w:t>
      </w:r>
      <w:r w:rsidRPr="007D7F7E">
        <w:rPr>
          <w:rFonts w:ascii="Arial" w:eastAsia="Arial" w:hAnsi="Arial" w:cs="Arial"/>
          <w:sz w:val="22"/>
          <w:szCs w:val="22"/>
        </w:rPr>
        <w:t xml:space="preserve"> “</w:t>
      </w:r>
      <w:r w:rsidRPr="007D7F7E">
        <w:rPr>
          <w:rFonts w:ascii="Arial" w:eastAsia="Arial" w:hAnsi="Arial" w:cs="Arial"/>
          <w:sz w:val="22"/>
          <w:szCs w:val="22"/>
        </w:rPr>
        <w:t>their physical appearance and demeanour very strongly suggests that they are 25 years of age or over”.</w:t>
      </w:r>
      <w:r w:rsidRPr="007D7F7E">
        <w:rPr>
          <w:rFonts w:ascii="Arial" w:eastAsia="Arial" w:hAnsi="Arial" w:cs="Arial"/>
          <w:sz w:val="22"/>
          <w:szCs w:val="22"/>
        </w:rPr>
        <w:t xml:space="preserve"> </w:t>
      </w:r>
      <w:r w:rsidRPr="007D7F7E">
        <w:rPr>
          <w:rFonts w:ascii="Arial" w:eastAsia="Arial" w:hAnsi="Arial" w:cs="Arial"/>
          <w:sz w:val="22"/>
          <w:szCs w:val="22"/>
        </w:rPr>
        <w:t>By comparison, if an individual is referred to a local authority they can</w:t>
      </w:r>
      <w:r w:rsidRPr="007D7F7E">
        <w:rPr>
          <w:rFonts w:ascii="Arial" w:eastAsia="Arial" w:hAnsi="Arial" w:cs="Arial"/>
          <w:sz w:val="22"/>
          <w:szCs w:val="22"/>
        </w:rPr>
        <w:t xml:space="preserve"> conduct a</w:t>
      </w:r>
      <w:r w:rsidRPr="007D7F7E">
        <w:rPr>
          <w:rFonts w:ascii="Arial" w:eastAsia="Arial" w:hAnsi="Arial" w:cs="Arial"/>
          <w:sz w:val="22"/>
          <w:szCs w:val="22"/>
        </w:rPr>
        <w:t xml:space="preserve"> far more detailed</w:t>
      </w:r>
      <w:r w:rsidRPr="007D7F7E">
        <w:rPr>
          <w:rFonts w:ascii="Arial" w:eastAsia="Arial" w:hAnsi="Arial" w:cs="Arial"/>
          <w:sz w:val="22"/>
          <w:szCs w:val="22"/>
        </w:rPr>
        <w:t xml:space="preserve"> ‘Merton compliant’ age assessment. This is an</w:t>
      </w:r>
      <w:r w:rsidRPr="007D7F7E">
        <w:rPr>
          <w:rFonts w:ascii="Arial" w:eastAsia="Arial" w:hAnsi="Arial" w:cs="Arial"/>
          <w:sz w:val="22"/>
          <w:szCs w:val="22"/>
        </w:rPr>
        <w:t xml:space="preserve"> </w:t>
      </w:r>
      <w:r w:rsidRPr="007D7F7E">
        <w:rPr>
          <w:rFonts w:ascii="Arial" w:eastAsia="Arial" w:hAnsi="Arial" w:cs="Arial"/>
          <w:sz w:val="22"/>
          <w:szCs w:val="22"/>
        </w:rPr>
        <w:t xml:space="preserve">age assessment led by social workers, which must adhere to the </w:t>
      </w:r>
      <w:r w:rsidRPr="007D7F7E">
        <w:rPr>
          <w:rFonts w:ascii="Arial" w:eastAsia="Arial" w:hAnsi="Arial" w:cs="Arial"/>
          <w:sz w:val="22"/>
          <w:szCs w:val="22"/>
        </w:rPr>
        <w:t>principles and procedures set out in caselaw</w:t>
      </w:r>
      <w:r w:rsidRPr="007D7F7E">
        <w:rPr>
          <w:rFonts w:ascii="Arial" w:eastAsia="Arial" w:hAnsi="Arial" w:cs="Arial"/>
          <w:sz w:val="22"/>
          <w:szCs w:val="22"/>
        </w:rPr>
        <w:t xml:space="preserve"> with focus on appropriate safeguarding rather than immigration control.</w:t>
      </w:r>
    </w:p>
    <w:p w:rsidR="007D7F7E" w:rsidRPr="007D7F7E" w:rsidP="0059036A">
      <w:pPr>
        <w:pStyle w:val="ListParagraph"/>
        <w:spacing w:line="276" w:lineRule="auto"/>
        <w:rPr>
          <w:rFonts w:ascii="Arial" w:eastAsia="Arial" w:hAnsi="Arial" w:cs="Arial"/>
          <w:sz w:val="12"/>
          <w:szCs w:val="12"/>
        </w:rPr>
      </w:pPr>
    </w:p>
    <w:p w:rsidR="007D7F7E" w:rsidRPr="007D7F7E" w:rsidP="0059036A">
      <w:pPr>
        <w:pStyle w:val="ListParagraph"/>
        <w:numPr>
          <w:ilvl w:val="0"/>
          <w:numId w:val="19"/>
        </w:numPr>
        <w:spacing w:after="0" w:line="276" w:lineRule="auto"/>
        <w:jc w:val="both"/>
        <w:rPr>
          <w:rFonts w:ascii="Arial" w:eastAsia="Arial" w:hAnsi="Arial" w:cs="Arial"/>
          <w:sz w:val="22"/>
          <w:szCs w:val="22"/>
        </w:rPr>
      </w:pPr>
      <w:r w:rsidRPr="007D7F7E">
        <w:rPr>
          <w:rFonts w:ascii="Arial" w:eastAsia="Arial" w:hAnsi="Arial" w:cs="Arial"/>
          <w:sz w:val="22"/>
          <w:szCs w:val="22"/>
        </w:rPr>
        <w:t xml:space="preserve">RMCC members repeatedly </w:t>
      </w:r>
      <w:r w:rsidRPr="007D7F7E">
        <w:rPr>
          <w:rFonts w:ascii="Arial" w:eastAsia="Arial" w:hAnsi="Arial" w:cs="Arial"/>
          <w:sz w:val="22"/>
          <w:szCs w:val="22"/>
        </w:rPr>
        <w:t>see</w:t>
      </w:r>
      <w:r w:rsidRPr="007D7F7E">
        <w:rPr>
          <w:rFonts w:ascii="Arial" w:eastAsia="Arial" w:hAnsi="Arial" w:cs="Arial"/>
          <w:sz w:val="22"/>
          <w:szCs w:val="22"/>
        </w:rPr>
        <w:t xml:space="preserve"> unaccompanied children being wrongly classified as adults based on </w:t>
      </w:r>
      <w:r w:rsidRPr="007D7F7E">
        <w:rPr>
          <w:rFonts w:ascii="Arial" w:eastAsia="Arial" w:hAnsi="Arial" w:cs="Arial"/>
          <w:sz w:val="22"/>
          <w:szCs w:val="22"/>
        </w:rPr>
        <w:t xml:space="preserve">a </w:t>
      </w:r>
      <w:r w:rsidRPr="007D7F7E">
        <w:rPr>
          <w:rFonts w:ascii="Arial" w:eastAsia="Arial" w:hAnsi="Arial" w:cs="Arial"/>
          <w:sz w:val="22"/>
          <w:szCs w:val="22"/>
        </w:rPr>
        <w:t xml:space="preserve">quick visual </w:t>
      </w:r>
      <w:r w:rsidRPr="007D7F7E">
        <w:rPr>
          <w:rFonts w:ascii="Arial" w:eastAsia="Arial" w:hAnsi="Arial" w:cs="Arial"/>
          <w:sz w:val="22"/>
          <w:szCs w:val="22"/>
        </w:rPr>
        <w:t>‘assessment’</w:t>
      </w:r>
      <w:r w:rsidRPr="007D7F7E">
        <w:rPr>
          <w:rFonts w:ascii="Arial" w:eastAsia="Arial" w:hAnsi="Arial" w:cs="Arial"/>
          <w:sz w:val="22"/>
          <w:szCs w:val="22"/>
        </w:rPr>
        <w:t xml:space="preserve"> </w:t>
      </w:r>
      <w:r w:rsidRPr="007D7F7E">
        <w:rPr>
          <w:rFonts w:ascii="Arial" w:eastAsia="Arial" w:hAnsi="Arial" w:cs="Arial"/>
          <w:sz w:val="22"/>
          <w:szCs w:val="22"/>
        </w:rPr>
        <w:t xml:space="preserve">conducted </w:t>
      </w:r>
      <w:r w:rsidRPr="007D7F7E">
        <w:rPr>
          <w:rFonts w:ascii="Arial" w:eastAsia="Arial" w:hAnsi="Arial" w:cs="Arial"/>
          <w:sz w:val="22"/>
          <w:szCs w:val="22"/>
        </w:rPr>
        <w:t xml:space="preserve">by immigration officials. However, further detailed assessments by social workers later confirm they are children. While the government does not release data on these errors, evidence from local authorities’ children’s services shows that, </w:t>
      </w:r>
      <w:r w:rsidRPr="007D7F7E">
        <w:rPr>
          <w:rFonts w:ascii="Arial" w:eastAsia="Arial" w:hAnsi="Arial" w:cs="Arial"/>
          <w:b/>
          <w:bCs/>
          <w:sz w:val="22"/>
          <w:szCs w:val="22"/>
        </w:rPr>
        <w:t>over an 18-month period, more than 1,300 children were wrongly assessed as adults by the Home Office.</w:t>
      </w:r>
      <w:r w:rsidRPr="007D7F7E">
        <w:rPr>
          <w:rFonts w:ascii="Arial" w:hAnsi="Arial" w:cs="Arial"/>
          <w:b/>
          <w:bCs/>
          <w:sz w:val="22"/>
          <w:szCs w:val="22"/>
          <w:vertAlign w:val="superscript"/>
        </w:rPr>
        <w:t xml:space="preserve"> </w:t>
      </w:r>
      <w:r>
        <w:rPr>
          <w:rFonts w:ascii="Arial" w:hAnsi="Arial" w:cs="Arial"/>
          <w:b/>
          <w:bCs/>
          <w:sz w:val="22"/>
          <w:szCs w:val="22"/>
          <w:vertAlign w:val="superscript"/>
        </w:rPr>
        <w:footnoteReference w:id="12"/>
      </w:r>
      <w:r w:rsidRPr="007D7F7E">
        <w:rPr>
          <w:rFonts w:ascii="Arial" w:eastAsia="Arial" w:hAnsi="Arial" w:cs="Arial"/>
          <w:b/>
          <w:bCs/>
          <w:sz w:val="22"/>
          <w:szCs w:val="22"/>
        </w:rPr>
        <w:t xml:space="preserve"> In the first half of 2024, over 250 children were wrongly treated as adults.</w:t>
      </w:r>
      <w:r>
        <w:rPr>
          <w:rStyle w:val="FootnoteReference"/>
          <w:rFonts w:ascii="Arial" w:eastAsia="Arial" w:hAnsi="Arial" w:cs="Arial"/>
          <w:sz w:val="22"/>
          <w:szCs w:val="22"/>
        </w:rPr>
        <w:footnoteReference w:id="13"/>
      </w:r>
      <w:r w:rsidRPr="007D7F7E">
        <w:rPr>
          <w:rFonts w:ascii="Arial" w:eastAsia="Arial" w:hAnsi="Arial" w:cs="Arial"/>
          <w:sz w:val="22"/>
          <w:szCs w:val="22"/>
        </w:rPr>
        <w:t xml:space="preserve"> </w:t>
      </w:r>
    </w:p>
    <w:p w:rsidR="007D7F7E" w:rsidRPr="007D7F7E" w:rsidP="0059036A">
      <w:pPr>
        <w:pStyle w:val="ListParagraph"/>
        <w:spacing w:line="276" w:lineRule="auto"/>
        <w:rPr>
          <w:rFonts w:ascii="Arial" w:eastAsia="Arial" w:hAnsi="Arial" w:cs="Arial"/>
          <w:sz w:val="12"/>
          <w:szCs w:val="12"/>
        </w:rPr>
      </w:pPr>
    </w:p>
    <w:p w:rsidR="007D7F7E" w:rsidRPr="007D7F7E" w:rsidP="0059036A">
      <w:pPr>
        <w:pStyle w:val="ListParagraph"/>
        <w:numPr>
          <w:ilvl w:val="0"/>
          <w:numId w:val="19"/>
        </w:numPr>
        <w:spacing w:after="0" w:line="276" w:lineRule="auto"/>
        <w:jc w:val="both"/>
        <w:rPr>
          <w:rFonts w:ascii="Arial" w:eastAsia="Arial" w:hAnsi="Arial" w:cs="Arial"/>
          <w:sz w:val="22"/>
          <w:szCs w:val="22"/>
        </w:rPr>
      </w:pPr>
      <w:r w:rsidRPr="007D7F7E">
        <w:rPr>
          <w:rFonts w:ascii="Arial" w:eastAsia="Arial" w:hAnsi="Arial" w:cs="Arial"/>
          <w:sz w:val="22"/>
          <w:szCs w:val="22"/>
        </w:rPr>
        <w:t xml:space="preserve">Due to the criminal offences introduced under NABA, children who were </w:t>
      </w:r>
      <w:r w:rsidRPr="007D7F7E">
        <w:rPr>
          <w:rFonts w:ascii="Arial" w:eastAsia="Arial" w:hAnsi="Arial" w:cs="Arial"/>
          <w:sz w:val="22"/>
          <w:szCs w:val="22"/>
        </w:rPr>
        <w:t>disbelieved about their age by border officials have already faced wrongful prosecution. Criminal courts often accept the Home Office’s classification of a child as an adult without questioning it, treating it as an undisputed fact. Judges frequently assume that dates of birth were provided by the children themselves, without recogni</w:t>
      </w:r>
      <w:r w:rsidRPr="007D7F7E">
        <w:rPr>
          <w:rFonts w:ascii="Arial" w:eastAsia="Arial" w:hAnsi="Arial" w:cs="Arial"/>
          <w:sz w:val="22"/>
          <w:szCs w:val="22"/>
        </w:rPr>
        <w:t>s</w:t>
      </w:r>
      <w:r w:rsidRPr="007D7F7E">
        <w:rPr>
          <w:rFonts w:ascii="Arial" w:eastAsia="Arial" w:hAnsi="Arial" w:cs="Arial"/>
          <w:sz w:val="22"/>
          <w:szCs w:val="22"/>
        </w:rPr>
        <w:t>ing the deeply flawed age determination process. In reality,</w:t>
      </w:r>
      <w:r w:rsidRPr="007D7F7E">
        <w:rPr>
          <w:rFonts w:ascii="Arial" w:eastAsia="Arial" w:hAnsi="Arial" w:cs="Arial"/>
          <w:sz w:val="22"/>
          <w:szCs w:val="22"/>
        </w:rPr>
        <w:t xml:space="preserve"> </w:t>
      </w:r>
      <w:r w:rsidRPr="007D7F7E">
        <w:rPr>
          <w:rFonts w:ascii="Arial" w:eastAsia="Arial" w:hAnsi="Arial" w:cs="Arial"/>
          <w:sz w:val="22"/>
          <w:szCs w:val="22"/>
        </w:rPr>
        <w:t>immigration officers often assign arbitrary dates, leading to wrongful convictions.</w:t>
      </w:r>
      <w:r>
        <w:rPr>
          <w:rFonts w:ascii="Arial" w:hAnsi="Arial" w:cs="Arial"/>
          <w:b/>
          <w:sz w:val="22"/>
          <w:szCs w:val="22"/>
          <w:vertAlign w:val="superscript"/>
        </w:rPr>
        <w:footnoteReference w:id="14"/>
      </w:r>
      <w:r w:rsidRPr="007D7F7E">
        <w:rPr>
          <w:rFonts w:ascii="Arial" w:eastAsia="Arial" w:hAnsi="Arial" w:cs="Arial"/>
          <w:sz w:val="22"/>
          <w:szCs w:val="22"/>
        </w:rPr>
        <w:t>  </w:t>
      </w:r>
    </w:p>
    <w:p w:rsidR="007D7F7E" w:rsidRPr="007D7F7E" w:rsidP="0059036A">
      <w:pPr>
        <w:pStyle w:val="ListParagraph"/>
        <w:spacing w:line="276" w:lineRule="auto"/>
        <w:rPr>
          <w:rFonts w:ascii="Arial" w:eastAsia="Arial" w:hAnsi="Arial" w:cs="Arial"/>
          <w:sz w:val="12"/>
          <w:szCs w:val="12"/>
        </w:rPr>
      </w:pPr>
    </w:p>
    <w:p w:rsidR="007D7F7E" w:rsidRPr="007D7F7E" w:rsidP="0059036A">
      <w:pPr>
        <w:pStyle w:val="ListParagraph"/>
        <w:numPr>
          <w:ilvl w:val="0"/>
          <w:numId w:val="19"/>
        </w:numPr>
        <w:spacing w:after="0" w:line="276" w:lineRule="auto"/>
        <w:jc w:val="both"/>
        <w:rPr>
          <w:rFonts w:ascii="Arial" w:eastAsia="Arial" w:hAnsi="Arial" w:cs="Arial"/>
          <w:bCs/>
          <w:sz w:val="22"/>
          <w:szCs w:val="22"/>
        </w:rPr>
      </w:pPr>
      <w:r w:rsidRPr="007D7F7E">
        <w:rPr>
          <w:rFonts w:ascii="Arial" w:eastAsia="Arial" w:hAnsi="Arial" w:cs="Arial"/>
          <w:bCs/>
          <w:sz w:val="22"/>
          <w:szCs w:val="22"/>
        </w:rPr>
        <w:t xml:space="preserve">The </w:t>
      </w:r>
      <w:r w:rsidRPr="007D7F7E">
        <w:rPr>
          <w:rFonts w:ascii="Arial" w:eastAsia="Arial" w:hAnsi="Arial" w:cs="Arial"/>
          <w:bCs/>
          <w:sz w:val="22"/>
          <w:szCs w:val="22"/>
        </w:rPr>
        <w:t>JCHR</w:t>
      </w:r>
      <w:r w:rsidRPr="007D7F7E">
        <w:rPr>
          <w:rFonts w:ascii="Arial" w:eastAsia="Arial" w:hAnsi="Arial" w:cs="Arial"/>
          <w:bCs/>
          <w:sz w:val="22"/>
          <w:szCs w:val="22"/>
        </w:rPr>
        <w:t xml:space="preserve"> has previously emphasised that: </w:t>
      </w:r>
    </w:p>
    <w:p w:rsidR="007D7F7E" w:rsidRPr="007D7F7E" w:rsidP="0059036A">
      <w:pPr>
        <w:pStyle w:val="ListParagraph"/>
        <w:spacing w:line="276" w:lineRule="auto"/>
        <w:rPr>
          <w:rFonts w:ascii="Arial" w:eastAsia="Arial" w:hAnsi="Arial" w:cs="Arial"/>
          <w:bCs/>
          <w:sz w:val="12"/>
          <w:szCs w:val="12"/>
        </w:rPr>
      </w:pPr>
    </w:p>
    <w:p w:rsidR="007D7F7E" w:rsidRPr="007D7F7E" w:rsidP="0059036A">
      <w:pPr>
        <w:pStyle w:val="ListParagraph"/>
        <w:spacing w:after="0" w:line="276" w:lineRule="auto"/>
        <w:jc w:val="both"/>
        <w:rPr>
          <w:rFonts w:ascii="Arial" w:eastAsia="Arial" w:hAnsi="Arial" w:cs="Arial"/>
          <w:bCs/>
          <w:i/>
          <w:iCs/>
          <w:sz w:val="22"/>
          <w:szCs w:val="22"/>
        </w:rPr>
      </w:pPr>
      <w:r w:rsidRPr="007D7F7E">
        <w:rPr>
          <w:rFonts w:ascii="Arial" w:eastAsia="Arial" w:hAnsi="Arial" w:cs="Arial"/>
          <w:bCs/>
          <w:i/>
          <w:iCs/>
          <w:sz w:val="22"/>
          <w:szCs w:val="22"/>
        </w:rPr>
        <w:t>“…there are severe consequences of mistakenly treating a child as an adult, which would amount to a denial of that child’s rights to education, support, and accommodation. Any lowering of the threshold increases the risk of wrongly identifying a child as an adult and unlawfully detaining a child in immigration detention. Whilst it is a burden on resources to give young adults the benefit of the doubt and treat them as children, a lower threshold may result in more children being placed into unsafe accommoda</w:t>
      </w:r>
      <w:r w:rsidRPr="007D7F7E">
        <w:rPr>
          <w:rFonts w:ascii="Arial" w:eastAsia="Arial" w:hAnsi="Arial" w:cs="Arial"/>
          <w:bCs/>
          <w:i/>
          <w:iCs/>
          <w:sz w:val="22"/>
          <w:szCs w:val="22"/>
        </w:rPr>
        <w:t>tion with inadequate safeguarding and no access to services such as education, to which they are legally entitled. Depending on the circumstances, treating a child as an adult may also result in trauma which may reach the threshold of violating Article 3 ECHR. It is imperative that the threshold test minimises as far as possible the risk that children will be misidentified as adults and denied their rights.”</w:t>
      </w:r>
      <w:r>
        <w:rPr>
          <w:rStyle w:val="FootnoteReference"/>
          <w:rFonts w:ascii="Arial" w:eastAsia="Arial" w:hAnsi="Arial" w:cs="Arial"/>
          <w:bCs/>
          <w:i/>
          <w:iCs/>
          <w:sz w:val="22"/>
          <w:szCs w:val="22"/>
        </w:rPr>
        <w:footnoteReference w:id="15"/>
      </w:r>
    </w:p>
    <w:p w:rsidR="007D7F7E" w:rsidRPr="007D7F7E" w:rsidP="0059036A">
      <w:pPr>
        <w:spacing w:after="0" w:line="276" w:lineRule="auto"/>
        <w:jc w:val="both"/>
        <w:rPr>
          <w:rFonts w:ascii="Arial" w:eastAsia="Arial" w:hAnsi="Arial" w:cs="Arial"/>
          <w:sz w:val="12"/>
          <w:szCs w:val="12"/>
        </w:rPr>
      </w:pPr>
    </w:p>
    <w:p w:rsidR="007D7F7E" w:rsidRPr="007D7F7E" w:rsidP="0059036A">
      <w:pPr>
        <w:pStyle w:val="ListParagraph"/>
        <w:numPr>
          <w:ilvl w:val="0"/>
          <w:numId w:val="19"/>
        </w:numPr>
        <w:spacing w:after="0" w:line="276" w:lineRule="auto"/>
        <w:jc w:val="both"/>
        <w:rPr>
          <w:rFonts w:ascii="Arial" w:eastAsia="Arial" w:hAnsi="Arial" w:cs="Arial"/>
          <w:sz w:val="22"/>
          <w:szCs w:val="22"/>
        </w:rPr>
      </w:pPr>
      <w:r w:rsidRPr="007D7F7E">
        <w:rPr>
          <w:rFonts w:ascii="Arial" w:eastAsia="Arial" w:hAnsi="Arial" w:cs="Arial"/>
          <w:b/>
          <w:bCs/>
          <w:sz w:val="22"/>
          <w:szCs w:val="22"/>
        </w:rPr>
        <w:t>Recommendations:</w:t>
      </w:r>
    </w:p>
    <w:p w:rsidR="007D7F7E" w:rsidRPr="007D7F7E" w:rsidP="0059036A">
      <w:pPr>
        <w:pStyle w:val="ListParagraph"/>
        <w:spacing w:line="276" w:lineRule="auto"/>
        <w:rPr>
          <w:rFonts w:ascii="Arial" w:eastAsia="Arial" w:hAnsi="Arial" w:cs="Arial"/>
          <w:sz w:val="12"/>
          <w:szCs w:val="12"/>
        </w:rPr>
      </w:pPr>
    </w:p>
    <w:p w:rsidR="007D7F7E" w:rsidRPr="007D7F7E" w:rsidP="0059036A">
      <w:pPr>
        <w:pStyle w:val="ListParagraph"/>
        <w:numPr>
          <w:ilvl w:val="1"/>
          <w:numId w:val="27"/>
        </w:numPr>
        <w:spacing w:after="0" w:line="276" w:lineRule="auto"/>
        <w:jc w:val="both"/>
        <w:rPr>
          <w:rFonts w:ascii="Arial" w:eastAsia="Arial" w:hAnsi="Arial" w:cs="Arial"/>
          <w:b/>
          <w:bCs/>
          <w:sz w:val="22"/>
          <w:szCs w:val="22"/>
        </w:rPr>
      </w:pPr>
      <w:r w:rsidRPr="007D7F7E">
        <w:rPr>
          <w:rFonts w:ascii="Arial" w:eastAsia="Arial" w:hAnsi="Arial" w:cs="Arial"/>
          <w:b/>
          <w:bCs/>
          <w:sz w:val="22"/>
          <w:szCs w:val="22"/>
        </w:rPr>
        <w:t xml:space="preserve">The government should repeal </w:t>
      </w:r>
      <w:r w:rsidRPr="007D7F7E">
        <w:rPr>
          <w:rFonts w:ascii="Arial" w:eastAsia="Arial" w:hAnsi="Arial" w:cs="Arial"/>
          <w:b/>
          <w:bCs/>
          <w:sz w:val="22"/>
          <w:szCs w:val="22"/>
        </w:rPr>
        <w:t xml:space="preserve">relevant age assessment </w:t>
      </w:r>
      <w:r w:rsidRPr="007D7F7E">
        <w:rPr>
          <w:rFonts w:ascii="Arial" w:eastAsia="Arial" w:hAnsi="Arial" w:cs="Arial"/>
          <w:b/>
          <w:bCs/>
          <w:sz w:val="22"/>
          <w:szCs w:val="22"/>
        </w:rPr>
        <w:t xml:space="preserve">NABA provisions and halt their expansion through this Bill. </w:t>
      </w:r>
    </w:p>
    <w:p w:rsidR="007D7F7E" w:rsidRPr="007D7F7E" w:rsidP="0059036A">
      <w:pPr>
        <w:pStyle w:val="ListParagraph"/>
        <w:numPr>
          <w:ilvl w:val="1"/>
          <w:numId w:val="27"/>
        </w:numPr>
        <w:spacing w:after="0" w:line="276" w:lineRule="auto"/>
        <w:jc w:val="both"/>
        <w:rPr>
          <w:rFonts w:ascii="Arial" w:eastAsia="Arial" w:hAnsi="Arial" w:cs="Arial"/>
          <w:b/>
          <w:bCs/>
          <w:sz w:val="22"/>
          <w:szCs w:val="22"/>
        </w:rPr>
      </w:pPr>
      <w:r w:rsidRPr="007D7F7E">
        <w:rPr>
          <w:rFonts w:ascii="Arial" w:eastAsia="Arial" w:hAnsi="Arial" w:cs="Arial"/>
          <w:b/>
          <w:bCs/>
          <w:sz w:val="22"/>
          <w:szCs w:val="22"/>
        </w:rPr>
        <w:t xml:space="preserve">Additionally, there </w:t>
      </w:r>
      <w:r w:rsidRPr="007D7F7E">
        <w:rPr>
          <w:rFonts w:ascii="Arial" w:eastAsia="Arial" w:hAnsi="Arial" w:cs="Arial"/>
          <w:b/>
          <w:bCs/>
          <w:sz w:val="22"/>
          <w:szCs w:val="22"/>
        </w:rPr>
        <w:t xml:space="preserve">is an urgent need for a change to the Home Office’s age determination policy </w:t>
      </w:r>
      <w:r w:rsidRPr="007D7F7E">
        <w:rPr>
          <w:rFonts w:ascii="Arial" w:eastAsia="Arial" w:hAnsi="Arial" w:cs="Arial"/>
          <w:b/>
          <w:bCs/>
          <w:sz w:val="22"/>
          <w:szCs w:val="22"/>
        </w:rPr>
        <w:t xml:space="preserve">and practice </w:t>
      </w:r>
      <w:r w:rsidRPr="007D7F7E">
        <w:rPr>
          <w:rFonts w:ascii="Arial" w:eastAsia="Arial" w:hAnsi="Arial" w:cs="Arial"/>
          <w:b/>
          <w:bCs/>
          <w:sz w:val="22"/>
          <w:szCs w:val="22"/>
        </w:rPr>
        <w:t>at the border. Young people who claim to be children should be treated as such upon arrival, except in exceptional cases—such as when clear evidence indicates they are in their late 20s.</w:t>
      </w:r>
    </w:p>
    <w:p w:rsidR="007D7F7E" w:rsidRPr="007D7F7E" w:rsidP="0059036A">
      <w:pPr>
        <w:pStyle w:val="ListParagraph"/>
        <w:numPr>
          <w:ilvl w:val="1"/>
          <w:numId w:val="27"/>
        </w:numPr>
        <w:spacing w:after="0" w:line="276" w:lineRule="auto"/>
        <w:jc w:val="both"/>
        <w:rPr>
          <w:rFonts w:ascii="Arial" w:eastAsia="Arial" w:hAnsi="Arial" w:cs="Arial"/>
          <w:b/>
          <w:bCs/>
          <w:sz w:val="22"/>
          <w:szCs w:val="22"/>
        </w:rPr>
      </w:pPr>
      <w:r w:rsidRPr="007D7F7E">
        <w:rPr>
          <w:rFonts w:ascii="Arial" w:eastAsia="Arial" w:hAnsi="Arial" w:cs="Arial"/>
          <w:b/>
          <w:bCs/>
          <w:sz w:val="22"/>
          <w:szCs w:val="22"/>
        </w:rPr>
        <w:t xml:space="preserve">No individual claiming to be a child should be prosecuted without first being referred for a full ‘Merton-compliant’ age assessment conducted by local authority social workers. </w:t>
      </w:r>
    </w:p>
    <w:p w:rsidR="007D7F7E" w:rsidRPr="007D7F7E" w:rsidP="0059036A">
      <w:pPr>
        <w:pStyle w:val="ListParagraph"/>
        <w:spacing w:line="276" w:lineRule="auto"/>
        <w:rPr>
          <w:rFonts w:ascii="Arial" w:eastAsia="Arial" w:hAnsi="Arial" w:cs="Arial"/>
          <w:b/>
          <w:sz w:val="16"/>
          <w:szCs w:val="16"/>
        </w:rPr>
      </w:pPr>
    </w:p>
    <w:p w:rsidR="007D7F7E" w:rsidRPr="007D7F7E" w:rsidP="008113E0">
      <w:pPr>
        <w:spacing w:after="0" w:line="276" w:lineRule="auto"/>
        <w:jc w:val="both"/>
        <w:rPr>
          <w:rFonts w:ascii="Arial" w:eastAsia="Arial" w:hAnsi="Arial" w:cs="Arial"/>
          <w:b/>
          <w:sz w:val="22"/>
          <w:szCs w:val="22"/>
        </w:rPr>
      </w:pPr>
      <w:r w:rsidRPr="007D7F7E">
        <w:rPr>
          <w:rFonts w:ascii="Arial" w:eastAsia="Arial" w:hAnsi="Arial" w:cs="Arial"/>
          <w:b/>
          <w:sz w:val="22"/>
          <w:szCs w:val="22"/>
        </w:rPr>
        <w:t>Is the retention of section 29 IMA, which broadens the public order disqualification in relation to victims of trafficking and modern slavery, compatible with the UK’s obligations under ECAT and Article 4 of the ECHR?</w:t>
      </w:r>
    </w:p>
    <w:p w:rsidR="007D7F7E" w:rsidRPr="007D7F7E" w:rsidP="00337179">
      <w:pPr>
        <w:spacing w:after="0" w:line="276" w:lineRule="auto"/>
        <w:jc w:val="both"/>
        <w:rPr>
          <w:rFonts w:asciiTheme="minorHAnsi" w:hAnsiTheme="minorHAnsi" w:cstheme="minorHAnsi"/>
          <w:sz w:val="16"/>
          <w:szCs w:val="16"/>
          <w:lang w:val="en-US"/>
        </w:rPr>
      </w:pPr>
    </w:p>
    <w:p w:rsidR="007D7F7E" w:rsidRPr="007D7F7E" w:rsidP="003E5B84">
      <w:pPr>
        <w:pStyle w:val="ListParagraph"/>
        <w:numPr>
          <w:ilvl w:val="0"/>
          <w:numId w:val="19"/>
        </w:numPr>
        <w:spacing w:after="0" w:line="276" w:lineRule="auto"/>
        <w:jc w:val="both"/>
        <w:rPr>
          <w:rFonts w:ascii="Arial" w:eastAsia="Arial" w:hAnsi="Arial" w:cs="Arial"/>
          <w:bCs/>
          <w:sz w:val="22"/>
          <w:szCs w:val="22"/>
        </w:rPr>
      </w:pPr>
      <w:r w:rsidRPr="007D7F7E">
        <w:rPr>
          <w:rFonts w:ascii="Arial" w:hAnsi="Arial" w:cs="Arial"/>
          <w:sz w:val="22"/>
          <w:szCs w:val="22"/>
          <w:lang w:val="en-US"/>
        </w:rPr>
        <w:t xml:space="preserve">No. </w:t>
      </w:r>
      <w:r w:rsidRPr="007D7F7E">
        <w:rPr>
          <w:rFonts w:ascii="Arial" w:hAnsi="Arial" w:cs="Arial"/>
          <w:sz w:val="22"/>
          <w:szCs w:val="22"/>
          <w:lang w:val="en-US"/>
        </w:rPr>
        <w:t>Section 63 of NABA</w:t>
      </w:r>
      <w:r w:rsidRPr="007D7F7E">
        <w:rPr>
          <w:rFonts w:ascii="Arial" w:hAnsi="Arial" w:cs="Arial"/>
          <w:sz w:val="22"/>
          <w:szCs w:val="22"/>
          <w:lang w:val="en-US"/>
        </w:rPr>
        <w:t xml:space="preserve"> allows for the disqualification of survivors of trafficking from modern </w:t>
      </w:r>
      <w:r w:rsidRPr="007D7F7E">
        <w:rPr>
          <w:rFonts w:ascii="Arial" w:hAnsi="Arial" w:cs="Arial"/>
          <w:sz w:val="22"/>
          <w:szCs w:val="22"/>
          <w:lang w:val="en-US"/>
        </w:rPr>
        <w:t xml:space="preserve">slavery protections on ‘bad faith’ or ‘public order’ grounds, including convictions of a year or more that could have been the result of their exploitation. So, for example, if a Vietnamese young person forced to work in a cannabis farm is subsequently imprisoned for at least 12 months they could find themselves blocked entirely from any support and protection as a victim of trafficking once released. </w:t>
      </w:r>
      <w:r w:rsidRPr="007D7F7E">
        <w:rPr>
          <w:rFonts w:ascii="Arial" w:eastAsia="Arial" w:hAnsi="Arial" w:cs="Arial"/>
          <w:bCs/>
          <w:sz w:val="22"/>
          <w:szCs w:val="22"/>
        </w:rPr>
        <w:t>In its scrutiny of the Nationality</w:t>
      </w:r>
      <w:r w:rsidRPr="007D7F7E">
        <w:rPr>
          <w:rFonts w:ascii="Arial" w:eastAsia="Arial" w:hAnsi="Arial" w:cs="Arial"/>
          <w:bCs/>
          <w:sz w:val="22"/>
          <w:szCs w:val="22"/>
        </w:rPr>
        <w:t xml:space="preserve"> and Borders Bill, the </w:t>
      </w:r>
      <w:r w:rsidRPr="007D7F7E">
        <w:rPr>
          <w:rFonts w:ascii="Arial" w:eastAsia="Arial" w:hAnsi="Arial" w:cs="Arial"/>
          <w:bCs/>
          <w:sz w:val="22"/>
          <w:szCs w:val="22"/>
        </w:rPr>
        <w:t>JCHR</w:t>
      </w:r>
      <w:r w:rsidRPr="007D7F7E">
        <w:rPr>
          <w:rFonts w:ascii="Arial" w:eastAsia="Arial" w:hAnsi="Arial" w:cs="Arial"/>
          <w:bCs/>
          <w:sz w:val="22"/>
          <w:szCs w:val="22"/>
        </w:rPr>
        <w:t xml:space="preserve"> has previously warned that t</w:t>
      </w:r>
      <w:r w:rsidRPr="007D7F7E">
        <w:rPr>
          <w:rFonts w:ascii="Arial" w:eastAsia="Arial" w:hAnsi="Arial" w:cs="Arial"/>
          <w:bCs/>
          <w:i/>
          <w:iCs/>
          <w:sz w:val="22"/>
          <w:szCs w:val="22"/>
        </w:rPr>
        <w:t xml:space="preserve">he wide definition of “public order” contained with the Bill “risks catching levels of behaviour that fall below what we consider to be the appropriate threshold to deprive a person of protection as a victim of slavery or human trafficking.” </w:t>
      </w:r>
      <w:r>
        <w:rPr>
          <w:rStyle w:val="FootnoteReference"/>
          <w:rFonts w:ascii="Arial" w:eastAsia="Arial" w:hAnsi="Arial" w:cs="Arial"/>
          <w:bCs/>
          <w:i/>
          <w:iCs/>
          <w:sz w:val="22"/>
          <w:szCs w:val="22"/>
        </w:rPr>
        <w:footnoteReference w:id="16"/>
      </w:r>
    </w:p>
    <w:p w:rsidR="007D7F7E" w:rsidRPr="007D7F7E" w:rsidP="008113E0">
      <w:pPr>
        <w:pStyle w:val="ListParagraph"/>
        <w:spacing w:after="0" w:line="276" w:lineRule="auto"/>
        <w:jc w:val="both"/>
        <w:rPr>
          <w:rFonts w:ascii="Arial" w:eastAsia="Arial" w:hAnsi="Arial" w:cs="Arial"/>
          <w:bCs/>
          <w:i/>
          <w:iCs/>
          <w:sz w:val="12"/>
          <w:szCs w:val="12"/>
        </w:rPr>
      </w:pPr>
    </w:p>
    <w:p w:rsidR="007D7F7E" w:rsidRPr="007D7F7E" w:rsidP="008113E0">
      <w:pPr>
        <w:pStyle w:val="ListParagraph"/>
        <w:numPr>
          <w:ilvl w:val="0"/>
          <w:numId w:val="19"/>
        </w:numPr>
        <w:spacing w:before="100" w:beforeAutospacing="1" w:after="100" w:afterAutospacing="1" w:line="276" w:lineRule="auto"/>
        <w:jc w:val="both"/>
        <w:rPr>
          <w:rFonts w:ascii="Arial" w:eastAsia="Times New Roman" w:hAnsi="Arial" w:cs="Arial"/>
          <w:sz w:val="22"/>
          <w:szCs w:val="22"/>
        </w:rPr>
      </w:pPr>
      <w:r w:rsidRPr="007D7F7E">
        <w:rPr>
          <w:rFonts w:ascii="Arial" w:hAnsi="Arial" w:cs="Arial"/>
          <w:sz w:val="22"/>
          <w:szCs w:val="22"/>
        </w:rPr>
        <w:t>Section 29 of the Illegal Migration Act 2023, if enacted, would make the disqualification of victims like EO a ‘</w:t>
      </w:r>
      <w:r w:rsidRPr="007D7F7E">
        <w:rPr>
          <w:rFonts w:ascii="Arial" w:hAnsi="Arial" w:cs="Arial"/>
          <w:i/>
          <w:iCs/>
          <w:sz w:val="22"/>
          <w:szCs w:val="22"/>
        </w:rPr>
        <w:t>duty</w:t>
      </w:r>
      <w:r w:rsidRPr="007D7F7E">
        <w:rPr>
          <w:rFonts w:ascii="Arial" w:hAnsi="Arial" w:cs="Arial"/>
          <w:sz w:val="22"/>
          <w:szCs w:val="22"/>
        </w:rPr>
        <w:t xml:space="preserve">’, rather than a ‘discretion’, so that disqualification would happen unless there were compelling circumstances. It </w:t>
      </w:r>
      <w:r w:rsidRPr="007D7F7E">
        <w:rPr>
          <w:rFonts w:ascii="Arial" w:hAnsi="Arial" w:cs="Arial"/>
          <w:sz w:val="22"/>
          <w:szCs w:val="22"/>
        </w:rPr>
        <w:t xml:space="preserve">would </w:t>
      </w:r>
      <w:r w:rsidRPr="007D7F7E">
        <w:rPr>
          <w:rFonts w:ascii="Arial" w:hAnsi="Arial" w:cs="Arial"/>
          <w:sz w:val="22"/>
          <w:szCs w:val="22"/>
        </w:rPr>
        <w:t xml:space="preserve">also extend the scope of the disqualification to </w:t>
      </w:r>
      <w:r w:rsidRPr="007D7F7E">
        <w:rPr>
          <w:rFonts w:ascii="Arial" w:hAnsi="Arial" w:cs="Arial"/>
          <w:i/>
          <w:iCs/>
          <w:sz w:val="22"/>
          <w:szCs w:val="22"/>
        </w:rPr>
        <w:t>any</w:t>
      </w:r>
      <w:r w:rsidRPr="007D7F7E">
        <w:rPr>
          <w:rFonts w:ascii="Arial" w:hAnsi="Arial" w:cs="Arial"/>
          <w:sz w:val="22"/>
          <w:szCs w:val="22"/>
        </w:rPr>
        <w:t xml:space="preserve"> non-British survivor convicted of an offence of </w:t>
      </w:r>
      <w:r w:rsidRPr="007D7F7E">
        <w:rPr>
          <w:rFonts w:ascii="Arial" w:hAnsi="Arial" w:cs="Arial"/>
          <w:i/>
          <w:iCs/>
          <w:sz w:val="22"/>
          <w:szCs w:val="22"/>
        </w:rPr>
        <w:t>any length</w:t>
      </w:r>
      <w:r w:rsidRPr="007D7F7E">
        <w:rPr>
          <w:rFonts w:ascii="Arial" w:hAnsi="Arial" w:cs="Arial"/>
          <w:sz w:val="22"/>
          <w:szCs w:val="22"/>
        </w:rPr>
        <w:t xml:space="preserve"> of sentence. </w:t>
      </w:r>
    </w:p>
    <w:p w:rsidR="007D7F7E" w:rsidRPr="007D7F7E" w:rsidP="008113E0">
      <w:pPr>
        <w:pStyle w:val="ListParagraph"/>
        <w:spacing w:before="100" w:beforeAutospacing="1" w:after="100" w:afterAutospacing="1" w:line="276" w:lineRule="auto"/>
        <w:ind w:left="360"/>
        <w:jc w:val="both"/>
        <w:rPr>
          <w:rFonts w:ascii="Arial" w:eastAsia="Times New Roman" w:hAnsi="Arial" w:cs="Arial"/>
          <w:sz w:val="14"/>
          <w:szCs w:val="14"/>
        </w:rPr>
      </w:pPr>
    </w:p>
    <w:p w:rsidR="007D7F7E" w:rsidRPr="007D7F7E" w:rsidP="008113E0">
      <w:pPr>
        <w:pStyle w:val="ListParagraph"/>
        <w:numPr>
          <w:ilvl w:val="0"/>
          <w:numId w:val="19"/>
        </w:numPr>
        <w:spacing w:before="100" w:beforeAutospacing="1" w:after="100" w:afterAutospacing="1" w:line="276" w:lineRule="auto"/>
        <w:jc w:val="both"/>
        <w:rPr>
          <w:rFonts w:ascii="Arial" w:eastAsia="Times New Roman" w:hAnsi="Arial" w:cs="Arial"/>
          <w:sz w:val="22"/>
          <w:szCs w:val="22"/>
        </w:rPr>
      </w:pPr>
      <w:r w:rsidRPr="007D7F7E">
        <w:rPr>
          <w:rFonts w:ascii="Arial" w:eastAsia="Arial" w:hAnsi="Arial" w:cs="Arial"/>
          <w:sz w:val="22"/>
          <w:szCs w:val="22"/>
        </w:rPr>
        <w:t>The government has declined to remove the expansion of the public order disqualification in this Bill as part of Clause 38, which repeals nearly all other provisions related to modern slavery in the IMA. The harmful provisions in NABA have already increased the risk of child trafficking, and criminalisation.</w:t>
      </w:r>
      <w:r>
        <w:rPr>
          <w:rFonts w:ascii="Arial" w:hAnsi="Arial" w:cs="Arial"/>
          <w:vertAlign w:val="superscript"/>
        </w:rPr>
        <w:footnoteReference w:id="17"/>
      </w:r>
      <w:r w:rsidRPr="007D7F7E">
        <w:rPr>
          <w:rFonts w:ascii="Arial" w:eastAsia="Arial" w:hAnsi="Arial" w:cs="Arial"/>
          <w:sz w:val="22"/>
          <w:szCs w:val="22"/>
        </w:rPr>
        <w:t xml:space="preserve"> The retention of section 29 risks further penalising children prosecuted for offences and excluding them from protection, despite the prevalence of child criminal exploitation, which may lead to wrongful criminalisation for offences committed as a result of their exploitation.</w:t>
      </w:r>
      <w:r>
        <w:rPr>
          <w:rFonts w:ascii="Arial" w:hAnsi="Arial" w:cs="Arial"/>
          <w:vertAlign w:val="superscript"/>
        </w:rPr>
        <w:footnoteReference w:id="18"/>
      </w:r>
      <w:r w:rsidRPr="007D7F7E">
        <w:rPr>
          <w:rFonts w:ascii="Arial" w:eastAsia="Arial" w:hAnsi="Arial" w:cs="Arial"/>
          <w:sz w:val="22"/>
          <w:szCs w:val="22"/>
        </w:rPr>
        <w:t xml:space="preserve"> 65% of all disqualified potential victims exploited as children were acknowledged as having an element of criminal exploitation in their case.</w:t>
      </w:r>
    </w:p>
    <w:p w:rsidR="007D7F7E" w:rsidRPr="007D7F7E" w:rsidP="008113E0">
      <w:pPr>
        <w:pStyle w:val="ListParagraph"/>
        <w:spacing w:before="100" w:beforeAutospacing="1" w:after="100" w:afterAutospacing="1" w:line="276" w:lineRule="auto"/>
        <w:ind w:left="360"/>
        <w:jc w:val="both"/>
        <w:rPr>
          <w:rFonts w:ascii="Arial" w:eastAsia="Times New Roman" w:hAnsi="Arial" w:cs="Arial"/>
          <w:sz w:val="10"/>
          <w:szCs w:val="10"/>
        </w:rPr>
      </w:pPr>
    </w:p>
    <w:p w:rsidR="007D7F7E" w:rsidRPr="007D7F7E" w:rsidP="008113E0">
      <w:pPr>
        <w:pStyle w:val="ListParagraph"/>
        <w:numPr>
          <w:ilvl w:val="0"/>
          <w:numId w:val="19"/>
        </w:numPr>
        <w:spacing w:line="276" w:lineRule="auto"/>
        <w:jc w:val="both"/>
        <w:rPr>
          <w:rFonts w:ascii="Arial" w:eastAsia="Times New Roman" w:hAnsi="Arial" w:cs="Arial"/>
          <w:sz w:val="22"/>
          <w:szCs w:val="22"/>
        </w:rPr>
      </w:pPr>
      <w:r w:rsidRPr="007D7F7E">
        <w:rPr>
          <w:rFonts w:ascii="Arial" w:eastAsia="Arial" w:hAnsi="Arial" w:cs="Arial"/>
          <w:sz w:val="22"/>
          <w:szCs w:val="22"/>
        </w:rPr>
        <w:t>The RMCC consider</w:t>
      </w:r>
      <w:r w:rsidRPr="007D7F7E">
        <w:rPr>
          <w:rFonts w:ascii="Arial" w:eastAsia="Arial" w:hAnsi="Arial" w:cs="Arial"/>
          <w:sz w:val="22"/>
          <w:szCs w:val="22"/>
        </w:rPr>
        <w:t>s</w:t>
      </w:r>
      <w:r w:rsidRPr="007D7F7E">
        <w:rPr>
          <w:rFonts w:ascii="Arial" w:eastAsia="Arial" w:hAnsi="Arial" w:cs="Arial"/>
          <w:sz w:val="22"/>
          <w:szCs w:val="22"/>
        </w:rPr>
        <w:t xml:space="preserve"> the </w:t>
      </w:r>
      <w:r w:rsidRPr="007D7F7E">
        <w:rPr>
          <w:rFonts w:ascii="Arial" w:eastAsia="Times New Roman" w:hAnsi="Arial" w:cs="Arial"/>
          <w:sz w:val="22"/>
          <w:szCs w:val="22"/>
        </w:rPr>
        <w:t xml:space="preserve">retention of </w:t>
      </w:r>
      <w:r w:rsidRPr="007D7F7E">
        <w:rPr>
          <w:rFonts w:ascii="Arial" w:eastAsia="Times New Roman" w:hAnsi="Arial" w:cs="Arial"/>
          <w:sz w:val="22"/>
          <w:szCs w:val="22"/>
        </w:rPr>
        <w:t>s</w:t>
      </w:r>
      <w:r w:rsidRPr="007D7F7E">
        <w:rPr>
          <w:rFonts w:ascii="Arial" w:eastAsia="Times New Roman" w:hAnsi="Arial" w:cs="Arial"/>
          <w:sz w:val="22"/>
          <w:szCs w:val="22"/>
        </w:rPr>
        <w:t xml:space="preserve">ection 29 fundamentally non-compliant with the UK’s adherence to its obligations under Council of Europe Convention on Action against Trafficking in Human Beings </w:t>
      </w:r>
      <w:r w:rsidRPr="007D7F7E">
        <w:rPr>
          <w:rFonts w:ascii="Arial" w:eastAsia="Times New Roman" w:hAnsi="Arial" w:cs="Arial"/>
          <w:sz w:val="22"/>
          <w:szCs w:val="22"/>
        </w:rPr>
        <w:t>(</w:t>
      </w:r>
      <w:r w:rsidRPr="007D7F7E">
        <w:rPr>
          <w:rFonts w:ascii="Arial" w:eastAsia="Times New Roman" w:hAnsi="Arial" w:cs="Arial"/>
          <w:sz w:val="22"/>
          <w:szCs w:val="22"/>
        </w:rPr>
        <w:t>ECAT</w:t>
      </w:r>
      <w:r w:rsidRPr="007D7F7E">
        <w:rPr>
          <w:rFonts w:ascii="Arial" w:eastAsia="Times New Roman" w:hAnsi="Arial" w:cs="Arial"/>
          <w:sz w:val="22"/>
          <w:szCs w:val="22"/>
        </w:rPr>
        <w:t>)</w:t>
      </w:r>
      <w:r w:rsidRPr="007D7F7E">
        <w:rPr>
          <w:rFonts w:ascii="Arial" w:eastAsia="Times New Roman" w:hAnsi="Arial" w:cs="Arial"/>
          <w:sz w:val="22"/>
          <w:szCs w:val="22"/>
        </w:rPr>
        <w:t xml:space="preserve">, and Article 4 of the European Convention on Human Rights, despite </w:t>
      </w:r>
      <w:r w:rsidRPr="007D7F7E">
        <w:rPr>
          <w:rFonts w:ascii="Arial" w:eastAsia="Times New Roman" w:hAnsi="Arial" w:cs="Arial"/>
          <w:sz w:val="22"/>
          <w:szCs w:val="22"/>
        </w:rPr>
        <w:t>commitments from this government to adhere to the international rule of law.</w:t>
      </w:r>
      <w:r w:rsidRPr="007D7F7E">
        <w:rPr>
          <w:rFonts w:ascii="Arial" w:eastAsia="Times New Roman" w:hAnsi="Arial" w:cs="Arial"/>
          <w:sz w:val="22"/>
          <w:szCs w:val="22"/>
        </w:rPr>
        <w:t xml:space="preserve"> </w:t>
      </w:r>
    </w:p>
    <w:p w:rsidR="007D7F7E" w:rsidRPr="007D7F7E" w:rsidP="008113E0">
      <w:pPr>
        <w:pStyle w:val="ListParagraph"/>
        <w:rPr>
          <w:rFonts w:ascii="Arial" w:eastAsia="Arial" w:hAnsi="Arial" w:cs="Arial"/>
          <w:b/>
          <w:bCs/>
          <w:sz w:val="12"/>
          <w:szCs w:val="12"/>
        </w:rPr>
      </w:pPr>
    </w:p>
    <w:p w:rsidR="007D7F7E" w:rsidRPr="007D7F7E" w:rsidP="008113E0">
      <w:pPr>
        <w:pStyle w:val="ListParagraph"/>
        <w:numPr>
          <w:ilvl w:val="0"/>
          <w:numId w:val="19"/>
        </w:numPr>
        <w:spacing w:line="276" w:lineRule="auto"/>
        <w:jc w:val="both"/>
        <w:rPr>
          <w:rFonts w:ascii="Arial" w:eastAsia="Times New Roman" w:hAnsi="Arial" w:cs="Arial"/>
          <w:sz w:val="22"/>
          <w:szCs w:val="22"/>
        </w:rPr>
      </w:pPr>
      <w:r w:rsidRPr="007D7F7E">
        <w:rPr>
          <w:rFonts w:ascii="Arial" w:eastAsia="Arial" w:hAnsi="Arial" w:cs="Arial"/>
          <w:b/>
          <w:bCs/>
          <w:sz w:val="22"/>
          <w:szCs w:val="22"/>
        </w:rPr>
        <w:t xml:space="preserve">Recommendation: </w:t>
      </w:r>
    </w:p>
    <w:p w:rsidR="007D7F7E" w:rsidRPr="007D7F7E" w:rsidP="00D32175">
      <w:pPr>
        <w:pStyle w:val="ListParagraph"/>
        <w:numPr>
          <w:ilvl w:val="0"/>
          <w:numId w:val="29"/>
        </w:numPr>
        <w:spacing w:after="0" w:line="276" w:lineRule="auto"/>
        <w:jc w:val="both"/>
        <w:rPr>
          <w:rFonts w:ascii="Arial" w:eastAsia="Arial" w:hAnsi="Arial" w:cs="Arial"/>
          <w:b/>
          <w:bCs/>
          <w:sz w:val="22"/>
          <w:szCs w:val="22"/>
        </w:rPr>
      </w:pPr>
      <w:r w:rsidRPr="007D7F7E">
        <w:rPr>
          <w:rFonts w:ascii="Arial" w:eastAsia="Arial" w:hAnsi="Arial" w:cs="Arial"/>
          <w:b/>
          <w:bCs/>
          <w:sz w:val="22"/>
          <w:szCs w:val="22"/>
        </w:rPr>
        <w:t>C</w:t>
      </w:r>
      <w:r w:rsidRPr="007D7F7E">
        <w:rPr>
          <w:rFonts w:ascii="Arial" w:eastAsia="Arial" w:hAnsi="Arial" w:cs="Arial"/>
          <w:b/>
          <w:bCs/>
          <w:sz w:val="22"/>
          <w:szCs w:val="22"/>
        </w:rPr>
        <w:t xml:space="preserve">lause 38 of the </w:t>
      </w:r>
      <w:r w:rsidRPr="007D7F7E">
        <w:rPr>
          <w:rFonts w:ascii="Arial" w:eastAsia="Arial" w:hAnsi="Arial" w:cs="Arial"/>
          <w:b/>
          <w:bCs/>
          <w:sz w:val="22"/>
          <w:szCs w:val="22"/>
        </w:rPr>
        <w:t xml:space="preserve">Border Security, Asylum and Immigration </w:t>
      </w:r>
      <w:r w:rsidRPr="007D7F7E">
        <w:rPr>
          <w:rFonts w:ascii="Arial" w:eastAsia="Arial" w:hAnsi="Arial" w:cs="Arial"/>
          <w:b/>
          <w:bCs/>
          <w:sz w:val="22"/>
          <w:szCs w:val="22"/>
        </w:rPr>
        <w:t>Bill</w:t>
      </w:r>
      <w:r w:rsidRPr="007D7F7E">
        <w:rPr>
          <w:rFonts w:ascii="Arial" w:eastAsia="Arial" w:hAnsi="Arial" w:cs="Arial"/>
          <w:b/>
          <w:bCs/>
          <w:sz w:val="22"/>
          <w:szCs w:val="22"/>
        </w:rPr>
        <w:t xml:space="preserve"> should</w:t>
      </w:r>
      <w:r w:rsidRPr="007D7F7E">
        <w:rPr>
          <w:rFonts w:ascii="Arial" w:eastAsia="Arial" w:hAnsi="Arial" w:cs="Arial"/>
          <w:b/>
          <w:bCs/>
          <w:sz w:val="22"/>
          <w:szCs w:val="22"/>
        </w:rPr>
        <w:t xml:space="preserve"> include the repeal of </w:t>
      </w:r>
      <w:r w:rsidRPr="007D7F7E">
        <w:rPr>
          <w:rFonts w:ascii="Arial" w:eastAsia="Arial" w:hAnsi="Arial" w:cs="Arial"/>
          <w:b/>
          <w:bCs/>
          <w:sz w:val="22"/>
          <w:szCs w:val="22"/>
        </w:rPr>
        <w:t>section 29 of the IMA and also c</w:t>
      </w:r>
      <w:r w:rsidRPr="007D7F7E">
        <w:rPr>
          <w:rFonts w:ascii="Arial" w:eastAsia="Arial" w:hAnsi="Arial" w:cs="Arial"/>
          <w:b/>
          <w:bCs/>
          <w:sz w:val="22"/>
          <w:szCs w:val="22"/>
        </w:rPr>
        <w:t>lauses 49 to 53 and 58 to 63 of the Nationality and Borders Act 2022</w:t>
      </w:r>
      <w:r w:rsidRPr="007D7F7E">
        <w:rPr>
          <w:rFonts w:ascii="Arial" w:eastAsia="Arial" w:hAnsi="Arial" w:cs="Arial"/>
          <w:b/>
          <w:bCs/>
          <w:sz w:val="22"/>
          <w:szCs w:val="22"/>
        </w:rPr>
        <w:t xml:space="preserve"> in order for the UK to comply with its obligations under ECAT and </w:t>
      </w:r>
      <w:r w:rsidRPr="007D7F7E">
        <w:rPr>
          <w:rFonts w:ascii="Arial" w:eastAsia="Arial" w:hAnsi="Arial" w:cs="Arial"/>
          <w:b/>
          <w:bCs/>
          <w:sz w:val="22"/>
          <w:szCs w:val="22"/>
        </w:rPr>
        <w:t xml:space="preserve">Article 4 of the </w:t>
      </w:r>
      <w:r w:rsidRPr="007D7F7E">
        <w:rPr>
          <w:rFonts w:ascii="Arial" w:eastAsia="Arial" w:hAnsi="Arial" w:cs="Arial"/>
          <w:b/>
          <w:bCs/>
          <w:sz w:val="22"/>
          <w:szCs w:val="22"/>
        </w:rPr>
        <w:t xml:space="preserve">ECHR. </w:t>
      </w:r>
    </w:p>
    <w:p w:rsidR="007D7F7E" w:rsidRPr="007D7F7E" w:rsidP="0059036A">
      <w:pPr>
        <w:spacing w:after="0" w:line="276" w:lineRule="auto"/>
        <w:jc w:val="both"/>
        <w:rPr>
          <w:rFonts w:ascii="Arial" w:eastAsia="Arial" w:hAnsi="Arial" w:cs="Arial"/>
          <w:b/>
        </w:rPr>
      </w:pPr>
    </w:p>
    <w:p w:rsidR="007D7F7E" w:rsidRPr="007D7F7E" w:rsidP="00EC3792">
      <w:pPr>
        <w:spacing w:after="0" w:line="276" w:lineRule="auto"/>
        <w:jc w:val="both"/>
        <w:rPr>
          <w:rFonts w:ascii="Arial" w:eastAsia="Arial" w:hAnsi="Arial" w:cs="Arial"/>
          <w:b/>
          <w:sz w:val="22"/>
          <w:szCs w:val="22"/>
        </w:rPr>
      </w:pPr>
      <w:r w:rsidRPr="007D7F7E">
        <w:rPr>
          <w:rFonts w:ascii="Arial" w:eastAsia="Arial" w:hAnsi="Arial" w:cs="Arial"/>
          <w:b/>
          <w:sz w:val="22"/>
          <w:szCs w:val="22"/>
        </w:rPr>
        <w:t xml:space="preserve">Is the retention of section 59 IMA, which makes asylum and human rights claims by people from certain states </w:t>
      </w:r>
      <w:r w:rsidRPr="007D7F7E">
        <w:rPr>
          <w:rFonts w:ascii="Arial" w:eastAsia="Arial" w:hAnsi="Arial" w:cs="Arial"/>
          <w:b/>
          <w:sz w:val="22"/>
          <w:szCs w:val="22"/>
        </w:rPr>
        <w:t>automatically inadmissible, compatible with the rights of people from those states who seek asylum in the UK?</w:t>
      </w:r>
    </w:p>
    <w:p w:rsidR="007D7F7E" w:rsidRPr="007D7F7E" w:rsidP="0059036A">
      <w:pPr>
        <w:spacing w:after="0" w:line="276" w:lineRule="auto"/>
        <w:jc w:val="both"/>
        <w:rPr>
          <w:rFonts w:ascii="Arial" w:eastAsia="Arial" w:hAnsi="Arial" w:cs="Arial"/>
          <w:b/>
          <w:sz w:val="14"/>
          <w:szCs w:val="14"/>
        </w:rPr>
      </w:pPr>
    </w:p>
    <w:p w:rsidR="007D7F7E" w:rsidRPr="007D7F7E" w:rsidP="008113E0">
      <w:pPr>
        <w:pStyle w:val="ListParagraph"/>
        <w:numPr>
          <w:ilvl w:val="0"/>
          <w:numId w:val="19"/>
        </w:numPr>
        <w:spacing w:after="0" w:line="264" w:lineRule="auto"/>
        <w:jc w:val="both"/>
        <w:rPr>
          <w:rFonts w:ascii="Arial" w:hAnsi="Arial" w:cs="Arial"/>
          <w:sz w:val="22"/>
          <w:szCs w:val="22"/>
        </w:rPr>
      </w:pPr>
      <w:r w:rsidRPr="007D7F7E">
        <w:rPr>
          <w:rFonts w:ascii="Arial" w:eastAsia="Arial" w:hAnsi="Arial" w:cs="Arial"/>
          <w:sz w:val="22"/>
          <w:szCs w:val="22"/>
        </w:rPr>
        <w:t xml:space="preserve">No. </w:t>
      </w:r>
      <w:r w:rsidRPr="007D7F7E">
        <w:rPr>
          <w:rFonts w:ascii="Arial" w:eastAsia="Arial" w:hAnsi="Arial" w:cs="Arial"/>
          <w:sz w:val="22"/>
          <w:szCs w:val="22"/>
        </w:rPr>
        <w:t xml:space="preserve">The decision to retain </w:t>
      </w:r>
      <w:r w:rsidRPr="007D7F7E">
        <w:rPr>
          <w:rFonts w:ascii="Arial" w:eastAsia="Arial" w:hAnsi="Arial" w:cs="Arial"/>
          <w:sz w:val="22"/>
          <w:szCs w:val="22"/>
        </w:rPr>
        <w:t>s</w:t>
      </w:r>
      <w:r w:rsidRPr="007D7F7E">
        <w:rPr>
          <w:rFonts w:ascii="Arial" w:eastAsia="Arial" w:hAnsi="Arial" w:cs="Arial"/>
          <w:sz w:val="22"/>
          <w:szCs w:val="22"/>
        </w:rPr>
        <w:t>ection 59 of the IMA is deeply concerning, particularly for children and young people. This provision imposes blanket exclusions on people seeking asylum from certain countries, including from India, Georgia, and Albania, meaning claims are only considered in “exceptional circumstances”.</w:t>
      </w:r>
      <w:r>
        <w:rPr>
          <w:vertAlign w:val="superscript"/>
        </w:rPr>
        <w:footnoteReference w:id="19"/>
      </w:r>
      <w:r w:rsidRPr="007D7F7E">
        <w:rPr>
          <w:rFonts w:ascii="Arial" w:eastAsia="Arial" w:hAnsi="Arial" w:cs="Arial"/>
          <w:sz w:val="22"/>
          <w:szCs w:val="22"/>
        </w:rPr>
        <w:t xml:space="preserve"> </w:t>
      </w:r>
      <w:r w:rsidRPr="007D7F7E">
        <w:rPr>
          <w:rFonts w:ascii="Arial" w:hAnsi="Arial" w:cs="Arial"/>
          <w:sz w:val="22"/>
          <w:szCs w:val="22"/>
        </w:rPr>
        <w:t>For children and young people</w:t>
      </w:r>
      <w:r w:rsidRPr="007D7F7E">
        <w:rPr>
          <w:rFonts w:ascii="Arial" w:hAnsi="Arial" w:cs="Arial"/>
          <w:sz w:val="22"/>
          <w:szCs w:val="22"/>
        </w:rPr>
        <w:t xml:space="preserve"> </w:t>
      </w:r>
      <w:r w:rsidRPr="007D7F7E">
        <w:rPr>
          <w:rFonts w:ascii="Arial" w:hAnsi="Arial" w:cs="Arial"/>
          <w:sz w:val="22"/>
          <w:szCs w:val="22"/>
        </w:rPr>
        <w:t>deemed inadmissible, th</w:t>
      </w:r>
      <w:r w:rsidRPr="007D7F7E">
        <w:rPr>
          <w:rFonts w:ascii="Arial" w:hAnsi="Arial" w:cs="Arial"/>
          <w:sz w:val="22"/>
          <w:szCs w:val="22"/>
        </w:rPr>
        <w:t>is</w:t>
      </w:r>
      <w:r w:rsidRPr="007D7F7E">
        <w:rPr>
          <w:rFonts w:ascii="Arial" w:hAnsi="Arial" w:cs="Arial"/>
          <w:sz w:val="22"/>
          <w:szCs w:val="22"/>
        </w:rPr>
        <w:t xml:space="preserve"> provision </w:t>
      </w:r>
      <w:r w:rsidRPr="007D7F7E">
        <w:rPr>
          <w:rFonts w:ascii="Arial" w:hAnsi="Arial" w:cs="Arial"/>
          <w:sz w:val="22"/>
          <w:szCs w:val="22"/>
        </w:rPr>
        <w:t xml:space="preserve">would </w:t>
      </w:r>
      <w:r w:rsidRPr="007D7F7E">
        <w:rPr>
          <w:rFonts w:ascii="Arial" w:hAnsi="Arial" w:cs="Arial"/>
          <w:sz w:val="22"/>
          <w:szCs w:val="22"/>
        </w:rPr>
        <w:t>prevent them from being properly safeguarded</w:t>
      </w:r>
      <w:r w:rsidRPr="007D7F7E">
        <w:rPr>
          <w:rFonts w:ascii="Arial" w:hAnsi="Arial" w:cs="Arial"/>
          <w:sz w:val="22"/>
          <w:szCs w:val="22"/>
        </w:rPr>
        <w:t xml:space="preserve"> due to the nature of their particular protection needs</w:t>
      </w:r>
      <w:r w:rsidRPr="007D7F7E">
        <w:rPr>
          <w:rFonts w:ascii="Arial" w:hAnsi="Arial" w:cs="Arial"/>
          <w:sz w:val="22"/>
          <w:szCs w:val="22"/>
        </w:rPr>
        <w:t xml:space="preserve">. </w:t>
      </w:r>
      <w:r w:rsidRPr="007D7F7E">
        <w:rPr>
          <w:rFonts w:ascii="Arial" w:hAnsi="Arial" w:cs="Arial"/>
          <w:sz w:val="22"/>
          <w:szCs w:val="22"/>
        </w:rPr>
        <w:t>It</w:t>
      </w:r>
      <w:r w:rsidRPr="007D7F7E">
        <w:rPr>
          <w:rFonts w:ascii="Arial" w:hAnsi="Arial" w:cs="Arial"/>
          <w:sz w:val="22"/>
          <w:szCs w:val="22"/>
        </w:rPr>
        <w:t xml:space="preserve"> </w:t>
      </w:r>
      <w:r w:rsidRPr="007D7F7E">
        <w:rPr>
          <w:rFonts w:ascii="Arial" w:hAnsi="Arial" w:cs="Arial"/>
          <w:sz w:val="22"/>
          <w:szCs w:val="22"/>
        </w:rPr>
        <w:t>fail</w:t>
      </w:r>
      <w:r w:rsidRPr="007D7F7E">
        <w:rPr>
          <w:rFonts w:ascii="Arial" w:hAnsi="Arial" w:cs="Arial"/>
          <w:sz w:val="22"/>
          <w:szCs w:val="22"/>
        </w:rPr>
        <w:t>s</w:t>
      </w:r>
      <w:r w:rsidRPr="007D7F7E">
        <w:rPr>
          <w:rFonts w:ascii="Arial" w:hAnsi="Arial" w:cs="Arial"/>
          <w:sz w:val="22"/>
          <w:szCs w:val="22"/>
        </w:rPr>
        <w:t xml:space="preserve"> to acknowledge the unique challenges children and young people may face if forcibly</w:t>
      </w:r>
      <w:r w:rsidRPr="007D7F7E">
        <w:rPr>
          <w:rFonts w:ascii="Arial" w:hAnsi="Arial" w:cs="Arial"/>
          <w:sz w:val="22"/>
          <w:szCs w:val="22"/>
        </w:rPr>
        <w:t xml:space="preserve"> </w:t>
      </w:r>
      <w:r w:rsidRPr="007D7F7E">
        <w:rPr>
          <w:rFonts w:ascii="Arial" w:hAnsi="Arial" w:cs="Arial"/>
          <w:sz w:val="22"/>
          <w:szCs w:val="22"/>
        </w:rPr>
        <w:t>returned, as well as their heightened vulnerabilities.</w:t>
      </w:r>
    </w:p>
    <w:p w:rsidR="007D7F7E" w:rsidRPr="007D7F7E" w:rsidP="00185FFC">
      <w:pPr>
        <w:pStyle w:val="ListParagraph"/>
        <w:spacing w:after="0" w:line="264" w:lineRule="auto"/>
        <w:ind w:left="360"/>
        <w:jc w:val="both"/>
        <w:rPr>
          <w:rFonts w:ascii="Arial" w:hAnsi="Arial" w:cs="Arial"/>
          <w:sz w:val="12"/>
          <w:szCs w:val="12"/>
        </w:rPr>
      </w:pPr>
    </w:p>
    <w:p w:rsidR="007D7F7E" w:rsidRPr="007D7F7E" w:rsidP="00941BB4">
      <w:pPr>
        <w:pStyle w:val="ListParagraph"/>
        <w:numPr>
          <w:ilvl w:val="0"/>
          <w:numId w:val="19"/>
        </w:numPr>
        <w:spacing w:after="0" w:line="276" w:lineRule="auto"/>
        <w:jc w:val="both"/>
        <w:rPr>
          <w:rFonts w:ascii="Arial" w:hAnsi="Arial" w:cs="Arial"/>
          <w:sz w:val="22"/>
          <w:szCs w:val="22"/>
        </w:rPr>
      </w:pPr>
      <w:r w:rsidRPr="007D7F7E">
        <w:rPr>
          <w:rFonts w:ascii="Arial" w:eastAsia="Arial" w:hAnsi="Arial" w:cs="Arial"/>
          <w:sz w:val="22"/>
          <w:szCs w:val="22"/>
        </w:rPr>
        <w:t xml:space="preserve">Evidence </w:t>
      </w:r>
      <w:r w:rsidRPr="007D7F7E">
        <w:rPr>
          <w:rFonts w:ascii="Arial" w:eastAsia="Arial" w:hAnsi="Arial" w:cs="Arial"/>
          <w:sz w:val="22"/>
          <w:szCs w:val="22"/>
        </w:rPr>
        <w:t xml:space="preserve">clearly </w:t>
      </w:r>
      <w:r w:rsidRPr="007D7F7E">
        <w:rPr>
          <w:rFonts w:ascii="Arial" w:eastAsia="Arial" w:hAnsi="Arial" w:cs="Arial"/>
          <w:sz w:val="22"/>
          <w:szCs w:val="22"/>
        </w:rPr>
        <w:t>shows that individuals—including children—are not always safe in these countries.</w:t>
      </w:r>
      <w:r>
        <w:rPr>
          <w:vertAlign w:val="superscript"/>
        </w:rPr>
        <w:footnoteReference w:id="20"/>
      </w:r>
      <w:r w:rsidRPr="007D7F7E">
        <w:rPr>
          <w:rFonts w:ascii="Arial" w:eastAsia="Arial" w:hAnsi="Arial" w:cs="Arial"/>
          <w:sz w:val="22"/>
          <w:szCs w:val="22"/>
        </w:rPr>
        <w:t xml:space="preserve"> In relation to Albania, for example, the Home Office’s own Country Profile Information Notes (CPINs) about Albania, highlight the risks concerning human trafficking, blood feuds, and LGBTQIA+ persecution.</w:t>
      </w:r>
      <w:r>
        <w:rPr>
          <w:vertAlign w:val="superscript"/>
        </w:rPr>
        <w:footnoteReference w:id="21"/>
      </w:r>
      <w:r w:rsidRPr="007D7F7E">
        <w:rPr>
          <w:rFonts w:ascii="Arial" w:eastAsia="Arial" w:hAnsi="Arial" w:cs="Arial"/>
          <w:sz w:val="22"/>
          <w:szCs w:val="22"/>
        </w:rPr>
        <w:t xml:space="preserve"> Albanians received grants of protection with 60% positive decisions in 2022, then falling significantly to 10% in 2023</w:t>
      </w:r>
      <w:r>
        <w:rPr>
          <w:vertAlign w:val="superscript"/>
        </w:rPr>
        <w:footnoteReference w:id="22"/>
      </w:r>
      <w:r w:rsidRPr="007D7F7E">
        <w:rPr>
          <w:rFonts w:ascii="Arial" w:eastAsia="Arial" w:hAnsi="Arial" w:cs="Arial"/>
          <w:sz w:val="22"/>
          <w:szCs w:val="22"/>
        </w:rPr>
        <w:t xml:space="preserve"> as a result of changes in government policy</w:t>
      </w:r>
      <w:r>
        <w:rPr>
          <w:vertAlign w:val="superscript"/>
        </w:rPr>
        <w:footnoteReference w:id="23"/>
      </w:r>
      <w:r w:rsidRPr="007D7F7E">
        <w:rPr>
          <w:rFonts w:ascii="Arial" w:eastAsia="Arial" w:hAnsi="Arial" w:cs="Arial"/>
          <w:sz w:val="22"/>
          <w:szCs w:val="22"/>
        </w:rPr>
        <w:t xml:space="preserve"> and not because the context in Albania has changed in any significant way. Furthermore, at appeal, many Albanians secure protection, but currently, the government is not publishing appeal outcomes.</w:t>
      </w:r>
      <w:r>
        <w:rPr>
          <w:vertAlign w:val="superscript"/>
        </w:rPr>
        <w:footnoteReference w:id="24"/>
      </w:r>
    </w:p>
    <w:p w:rsidR="007D7F7E" w:rsidRPr="007D7F7E" w:rsidP="00941BB4">
      <w:pPr>
        <w:pStyle w:val="ListParagraph"/>
        <w:spacing w:line="276" w:lineRule="auto"/>
        <w:rPr>
          <w:rFonts w:ascii="Arial" w:eastAsia="Arial" w:hAnsi="Arial" w:cs="Arial"/>
          <w:sz w:val="12"/>
          <w:szCs w:val="12"/>
        </w:rPr>
      </w:pPr>
    </w:p>
    <w:p w:rsidR="007D7F7E" w:rsidRPr="007D7F7E" w:rsidP="00941BB4">
      <w:pPr>
        <w:pStyle w:val="ListParagraph"/>
        <w:numPr>
          <w:ilvl w:val="0"/>
          <w:numId w:val="19"/>
        </w:numPr>
        <w:spacing w:after="0" w:line="276" w:lineRule="auto"/>
        <w:jc w:val="both"/>
        <w:rPr>
          <w:rFonts w:ascii="Arial" w:hAnsi="Arial" w:cs="Arial"/>
          <w:sz w:val="22"/>
          <w:szCs w:val="22"/>
        </w:rPr>
      </w:pPr>
      <w:r w:rsidRPr="007D7F7E">
        <w:rPr>
          <w:rFonts w:ascii="Arial" w:eastAsia="Arial" w:hAnsi="Arial" w:cs="Arial"/>
          <w:sz w:val="22"/>
          <w:szCs w:val="22"/>
        </w:rPr>
        <w:t xml:space="preserve">Children and young people are particularly at risk under these rules. They could lose crucial protections and face the danger of refoulement without proper consideration of their vulnerabilities. Just as women, LGBTQ+ individuals, and minoritised groups require additional safeguards, so too do children. Section 59 prevents the Home Office from assessing individual needs and must not be retained in this Bill. </w:t>
      </w:r>
    </w:p>
    <w:p w:rsidR="007D7F7E" w:rsidRPr="007D7F7E" w:rsidP="00941BB4">
      <w:pPr>
        <w:pStyle w:val="ListParagraph"/>
        <w:spacing w:line="276" w:lineRule="auto"/>
        <w:rPr>
          <w:rFonts w:ascii="Arial" w:hAnsi="Arial" w:cs="Arial"/>
          <w:sz w:val="12"/>
          <w:szCs w:val="12"/>
        </w:rPr>
      </w:pPr>
    </w:p>
    <w:p w:rsidR="007D7F7E" w:rsidRPr="007D7F7E" w:rsidP="00941BB4">
      <w:pPr>
        <w:pStyle w:val="ListParagraph"/>
        <w:numPr>
          <w:ilvl w:val="0"/>
          <w:numId w:val="19"/>
        </w:numPr>
        <w:spacing w:after="0" w:line="276" w:lineRule="auto"/>
        <w:jc w:val="both"/>
        <w:rPr>
          <w:rFonts w:ascii="Arial" w:hAnsi="Arial" w:cs="Arial"/>
          <w:sz w:val="22"/>
          <w:szCs w:val="22"/>
        </w:rPr>
      </w:pPr>
      <w:r w:rsidRPr="007D7F7E">
        <w:rPr>
          <w:rFonts w:ascii="Arial" w:hAnsi="Arial" w:cs="Arial"/>
          <w:sz w:val="22"/>
          <w:szCs w:val="22"/>
        </w:rPr>
        <w:t>Article 3 of the ECHR</w:t>
      </w:r>
      <w:r w:rsidRPr="007D7F7E">
        <w:rPr>
          <w:rFonts w:ascii="Arial" w:hAnsi="Arial" w:cs="Arial"/>
          <w:sz w:val="22"/>
          <w:szCs w:val="22"/>
        </w:rPr>
        <w:t xml:space="preserve"> prohibits the expulsion of individuals to countries where they face a real risk of being subjected to inhuman or degrading treatment. This risk is even more significant for children, who are particularly vulnerable to exploitation, trafficking, and various forms of abuse—issues that are not adequately addressed under blanket inadmissibility and exclusion policies as defined in section 59 of the IMA. </w:t>
      </w:r>
      <w:r w:rsidRPr="007D7F7E">
        <w:rPr>
          <w:rFonts w:ascii="Arial" w:hAnsi="Arial" w:cs="Arial"/>
          <w:sz w:val="22"/>
          <w:szCs w:val="22"/>
        </w:rPr>
        <w:t xml:space="preserve">This is also non-compliant with </w:t>
      </w:r>
      <w:r w:rsidRPr="007D7F7E">
        <w:rPr>
          <w:rFonts w:ascii="Arial" w:hAnsi="Arial" w:cs="Arial"/>
          <w:sz w:val="22"/>
          <w:szCs w:val="22"/>
        </w:rPr>
        <w:t xml:space="preserve">the 1951 Refugee Convention, particularly Article 33 on non-refoulement, </w:t>
      </w:r>
      <w:r w:rsidRPr="007D7F7E">
        <w:rPr>
          <w:rFonts w:ascii="Arial" w:hAnsi="Arial" w:cs="Arial"/>
          <w:sz w:val="22"/>
          <w:szCs w:val="22"/>
        </w:rPr>
        <w:t>whi</w:t>
      </w:r>
      <w:r w:rsidRPr="007D7F7E">
        <w:rPr>
          <w:rFonts w:ascii="Arial" w:hAnsi="Arial" w:cs="Arial"/>
          <w:sz w:val="22"/>
          <w:szCs w:val="22"/>
        </w:rPr>
        <w:t xml:space="preserve">ch </w:t>
      </w:r>
      <w:r w:rsidRPr="007D7F7E">
        <w:rPr>
          <w:rFonts w:ascii="Arial" w:hAnsi="Arial" w:cs="Arial"/>
          <w:sz w:val="22"/>
          <w:szCs w:val="22"/>
        </w:rPr>
        <w:t xml:space="preserve">guarantees that individuals will not be deported to places where they face a legitimate fear of persecution. Blanket exclusion policies undermine this principle by preventing </w:t>
      </w:r>
      <w:r w:rsidRPr="007D7F7E">
        <w:rPr>
          <w:rFonts w:ascii="Arial" w:hAnsi="Arial" w:cs="Arial"/>
          <w:sz w:val="22"/>
          <w:szCs w:val="22"/>
        </w:rPr>
        <w:t>individualis</w:t>
      </w:r>
      <w:r w:rsidRPr="007D7F7E">
        <w:rPr>
          <w:rFonts w:ascii="Arial" w:hAnsi="Arial" w:cs="Arial"/>
          <w:sz w:val="22"/>
          <w:szCs w:val="22"/>
        </w:rPr>
        <w:t>ed assessments of asylum claims, denying the opportunity to seek protection under the Refugee Convention.</w:t>
      </w:r>
    </w:p>
    <w:p w:rsidR="007D7F7E" w:rsidRPr="007D7F7E" w:rsidP="000F5343">
      <w:pPr>
        <w:pStyle w:val="ListParagraph"/>
        <w:rPr>
          <w:rFonts w:ascii="Arial" w:eastAsia="Arial" w:hAnsi="Arial" w:cs="Arial"/>
          <w:bCs/>
          <w:sz w:val="12"/>
          <w:szCs w:val="12"/>
        </w:rPr>
      </w:pPr>
    </w:p>
    <w:p w:rsidR="007D7F7E" w:rsidRPr="007D7F7E" w:rsidP="00941BB4">
      <w:pPr>
        <w:pStyle w:val="ListParagraph"/>
        <w:numPr>
          <w:ilvl w:val="0"/>
          <w:numId w:val="19"/>
        </w:numPr>
        <w:spacing w:after="0" w:line="276" w:lineRule="auto"/>
        <w:jc w:val="both"/>
        <w:rPr>
          <w:rFonts w:ascii="Arial" w:hAnsi="Arial" w:cs="Arial"/>
          <w:sz w:val="22"/>
          <w:szCs w:val="22"/>
        </w:rPr>
      </w:pPr>
      <w:r w:rsidRPr="007D7F7E">
        <w:rPr>
          <w:rFonts w:ascii="Arial" w:eastAsia="Arial" w:hAnsi="Arial" w:cs="Arial"/>
          <w:bCs/>
          <w:sz w:val="22"/>
          <w:szCs w:val="22"/>
        </w:rPr>
        <w:t>The J</w:t>
      </w:r>
      <w:r w:rsidRPr="007D7F7E">
        <w:rPr>
          <w:rFonts w:ascii="Arial" w:eastAsia="Arial" w:hAnsi="Arial" w:cs="Arial"/>
          <w:bCs/>
          <w:sz w:val="22"/>
          <w:szCs w:val="22"/>
        </w:rPr>
        <w:t xml:space="preserve">CHR </w:t>
      </w:r>
      <w:r w:rsidRPr="007D7F7E">
        <w:rPr>
          <w:rFonts w:ascii="Arial" w:eastAsia="Arial" w:hAnsi="Arial" w:cs="Arial"/>
          <w:bCs/>
          <w:sz w:val="22"/>
          <w:szCs w:val="22"/>
        </w:rPr>
        <w:t>has previously reported that</w:t>
      </w:r>
      <w:r w:rsidRPr="007D7F7E">
        <w:rPr>
          <w:rFonts w:ascii="Arial" w:eastAsia="Arial" w:hAnsi="Arial" w:cs="Arial"/>
          <w:bCs/>
          <w:sz w:val="22"/>
          <w:szCs w:val="22"/>
        </w:rPr>
        <w:t xml:space="preserve"> </w:t>
      </w:r>
      <w:r w:rsidRPr="007D7F7E">
        <w:rPr>
          <w:rFonts w:ascii="Arial" w:eastAsia="Arial" w:hAnsi="Arial" w:cs="Arial"/>
          <w:bCs/>
          <w:i/>
          <w:iCs/>
          <w:sz w:val="22"/>
          <w:szCs w:val="22"/>
        </w:rPr>
        <w:t>“</w:t>
      </w:r>
      <w:r w:rsidRPr="007D7F7E">
        <w:rPr>
          <w:rFonts w:ascii="Arial" w:eastAsia="Arial" w:hAnsi="Arial" w:cs="Arial"/>
          <w:bCs/>
          <w:i/>
          <w:iCs/>
          <w:sz w:val="22"/>
          <w:szCs w:val="22"/>
        </w:rPr>
        <w:t>t</w:t>
      </w:r>
      <w:r w:rsidRPr="007D7F7E">
        <w:rPr>
          <w:rFonts w:ascii="Arial" w:eastAsia="Arial" w:hAnsi="Arial" w:cs="Arial"/>
          <w:bCs/>
          <w:i/>
          <w:iCs/>
          <w:sz w:val="22"/>
          <w:szCs w:val="22"/>
        </w:rPr>
        <w:t xml:space="preserve">he designation of third states as safe ‘in general’, in the absence of any individualised assessments of risk, is not an adequate safeguard </w:t>
      </w:r>
      <w:r w:rsidRPr="007D7F7E">
        <w:rPr>
          <w:rFonts w:ascii="Arial" w:eastAsia="Arial" w:hAnsi="Arial" w:cs="Arial"/>
          <w:bCs/>
          <w:i/>
          <w:iCs/>
          <w:sz w:val="22"/>
          <w:szCs w:val="22"/>
        </w:rPr>
        <w:t>against refoulement</w:t>
      </w:r>
      <w:r w:rsidRPr="007D7F7E">
        <w:rPr>
          <w:rFonts w:ascii="Arial" w:eastAsia="Arial" w:hAnsi="Arial" w:cs="Arial"/>
          <w:bCs/>
          <w:sz w:val="22"/>
          <w:szCs w:val="22"/>
        </w:rPr>
        <w:t>”</w:t>
      </w:r>
      <w:r>
        <w:rPr>
          <w:rStyle w:val="FootnoteReference"/>
          <w:rFonts w:ascii="Arial" w:hAnsi="Arial" w:cs="Arial"/>
          <w:i/>
          <w:iCs/>
          <w:sz w:val="22"/>
          <w:szCs w:val="22"/>
        </w:rPr>
        <w:footnoteReference w:id="25"/>
      </w:r>
      <w:r w:rsidRPr="007D7F7E">
        <w:rPr>
          <w:rFonts w:ascii="Arial" w:eastAsia="Arial" w:hAnsi="Arial" w:cs="Arial"/>
          <w:bCs/>
          <w:sz w:val="22"/>
          <w:szCs w:val="22"/>
        </w:rPr>
        <w:t xml:space="preserve"> a</w:t>
      </w:r>
      <w:r w:rsidRPr="007D7F7E">
        <w:rPr>
          <w:rFonts w:ascii="Arial" w:eastAsia="Arial" w:hAnsi="Arial" w:cs="Arial"/>
          <w:bCs/>
          <w:sz w:val="22"/>
          <w:szCs w:val="22"/>
        </w:rPr>
        <w:t>nd that with regards section 59</w:t>
      </w:r>
      <w:r w:rsidRPr="007D7F7E">
        <w:rPr>
          <w:rFonts w:ascii="Arial" w:eastAsia="Arial" w:hAnsi="Arial" w:cs="Arial"/>
          <w:bCs/>
          <w:sz w:val="22"/>
          <w:szCs w:val="22"/>
        </w:rPr>
        <w:t xml:space="preserve"> </w:t>
      </w:r>
      <w:r w:rsidRPr="007D7F7E">
        <w:rPr>
          <w:rFonts w:ascii="Arial" w:eastAsia="Arial" w:hAnsi="Arial" w:cs="Arial"/>
          <w:bCs/>
          <w:i/>
          <w:iCs/>
          <w:sz w:val="22"/>
          <w:szCs w:val="22"/>
        </w:rPr>
        <w:t>“</w:t>
      </w:r>
      <w:r w:rsidRPr="007D7F7E">
        <w:rPr>
          <w:rFonts w:ascii="Arial" w:eastAsia="Arial" w:hAnsi="Arial" w:cs="Arial"/>
          <w:bCs/>
          <w:i/>
          <w:iCs/>
          <w:sz w:val="22"/>
          <w:szCs w:val="22"/>
        </w:rPr>
        <w:t>t</w:t>
      </w:r>
      <w:r w:rsidRPr="007D7F7E">
        <w:rPr>
          <w:rFonts w:ascii="Arial" w:eastAsia="Arial" w:hAnsi="Arial" w:cs="Arial"/>
          <w:bCs/>
          <w:i/>
          <w:iCs/>
          <w:sz w:val="22"/>
          <w:szCs w:val="22"/>
        </w:rPr>
        <w:t xml:space="preserve">he implications for Albanian women and </w:t>
      </w:r>
      <w:r w:rsidRPr="007D7F7E">
        <w:rPr>
          <w:rFonts w:ascii="Arial" w:eastAsia="Arial" w:hAnsi="Arial" w:cs="Arial"/>
          <w:bCs/>
          <w:i/>
          <w:iCs/>
          <w:sz w:val="22"/>
          <w:szCs w:val="22"/>
        </w:rPr>
        <w:t>children are particularly concerning</w:t>
      </w:r>
      <w:r w:rsidRPr="007D7F7E">
        <w:rPr>
          <w:rFonts w:ascii="Arial" w:eastAsia="Arial" w:hAnsi="Arial" w:cs="Arial"/>
          <w:bCs/>
          <w:i/>
          <w:iCs/>
          <w:sz w:val="22"/>
          <w:szCs w:val="22"/>
        </w:rPr>
        <w:t>”</w:t>
      </w:r>
      <w:r w:rsidRPr="007D7F7E">
        <w:rPr>
          <w:rFonts w:ascii="Arial" w:eastAsia="Arial" w:hAnsi="Arial" w:cs="Arial"/>
          <w:bCs/>
          <w:sz w:val="22"/>
          <w:szCs w:val="22"/>
        </w:rPr>
        <w:t>.</w:t>
      </w:r>
      <w:r>
        <w:rPr>
          <w:rStyle w:val="FootnoteReference"/>
          <w:rFonts w:ascii="Arial" w:eastAsia="Arial" w:hAnsi="Arial" w:cs="Arial"/>
          <w:bCs/>
          <w:sz w:val="22"/>
          <w:szCs w:val="22"/>
        </w:rPr>
        <w:footnoteReference w:id="26"/>
      </w:r>
    </w:p>
    <w:p w:rsidR="007D7F7E" w:rsidRPr="007D7F7E" w:rsidP="000F5343">
      <w:pPr>
        <w:pStyle w:val="ListParagraph"/>
        <w:rPr>
          <w:rFonts w:ascii="Arial" w:eastAsia="Arial" w:hAnsi="Arial" w:cs="Arial"/>
          <w:b/>
          <w:bCs/>
          <w:sz w:val="14"/>
          <w:szCs w:val="14"/>
        </w:rPr>
      </w:pPr>
    </w:p>
    <w:p w:rsidR="007D7F7E" w:rsidRPr="007D7F7E" w:rsidP="008113E0">
      <w:pPr>
        <w:pStyle w:val="ListParagraph"/>
        <w:numPr>
          <w:ilvl w:val="0"/>
          <w:numId w:val="19"/>
        </w:numPr>
        <w:spacing w:after="0" w:line="264" w:lineRule="auto"/>
        <w:jc w:val="both"/>
        <w:rPr>
          <w:rFonts w:ascii="Arial" w:hAnsi="Arial" w:cs="Arial"/>
          <w:sz w:val="22"/>
          <w:szCs w:val="22"/>
        </w:rPr>
      </w:pPr>
      <w:r w:rsidRPr="007D7F7E">
        <w:rPr>
          <w:rFonts w:ascii="Arial" w:eastAsia="Arial" w:hAnsi="Arial" w:cs="Arial"/>
          <w:b/>
          <w:bCs/>
          <w:sz w:val="22"/>
          <w:szCs w:val="22"/>
        </w:rPr>
        <w:t xml:space="preserve">Recommendation: </w:t>
      </w:r>
    </w:p>
    <w:p w:rsidR="007D7F7E" w:rsidRPr="007D7F7E" w:rsidP="004330CE">
      <w:pPr>
        <w:pStyle w:val="ListParagraph"/>
        <w:numPr>
          <w:ilvl w:val="0"/>
          <w:numId w:val="29"/>
        </w:numPr>
        <w:spacing w:after="0" w:line="276" w:lineRule="auto"/>
        <w:jc w:val="both"/>
        <w:rPr>
          <w:rFonts w:ascii="Arial" w:eastAsia="Arial" w:hAnsi="Arial" w:cs="Arial"/>
          <w:b/>
          <w:bCs/>
          <w:sz w:val="22"/>
          <w:szCs w:val="22"/>
        </w:rPr>
      </w:pPr>
      <w:r w:rsidRPr="007D7F7E">
        <w:rPr>
          <w:rFonts w:ascii="Arial" w:eastAsia="Arial" w:hAnsi="Arial" w:cs="Arial"/>
          <w:b/>
          <w:bCs/>
          <w:sz w:val="22"/>
          <w:szCs w:val="22"/>
        </w:rPr>
        <w:t xml:space="preserve">Section 59 </w:t>
      </w:r>
      <w:r w:rsidRPr="007D7F7E">
        <w:rPr>
          <w:rFonts w:ascii="Arial" w:eastAsia="Arial" w:hAnsi="Arial" w:cs="Arial"/>
          <w:b/>
          <w:bCs/>
          <w:sz w:val="22"/>
          <w:szCs w:val="22"/>
        </w:rPr>
        <w:t xml:space="preserve">of the </w:t>
      </w:r>
      <w:r w:rsidRPr="007D7F7E">
        <w:rPr>
          <w:rFonts w:ascii="Arial" w:eastAsia="Arial" w:hAnsi="Arial" w:cs="Arial"/>
          <w:b/>
          <w:bCs/>
          <w:sz w:val="22"/>
          <w:szCs w:val="22"/>
        </w:rPr>
        <w:t>Illegal Migration Act should be repealed as part of the Border Security, Asylum and Immigration Bill</w:t>
      </w:r>
    </w:p>
    <w:p w:rsidR="007D7F7E" w:rsidRPr="007D7F7E" w:rsidP="005E6D77">
      <w:pPr>
        <w:pStyle w:val="ListParagraph"/>
        <w:spacing w:after="0" w:line="276" w:lineRule="auto"/>
        <w:ind w:left="1980"/>
        <w:jc w:val="both"/>
        <w:rPr>
          <w:rFonts w:ascii="Arial" w:eastAsia="Arial" w:hAnsi="Arial" w:cs="Arial"/>
          <w:b/>
        </w:rPr>
      </w:pPr>
    </w:p>
    <w:p w:rsidR="007D7F7E" w:rsidRPr="007D7F7E" w:rsidP="00EC3792">
      <w:pPr>
        <w:spacing w:after="0" w:line="276" w:lineRule="auto"/>
        <w:jc w:val="both"/>
        <w:rPr>
          <w:rFonts w:ascii="Arial" w:eastAsia="Arial" w:hAnsi="Arial" w:cs="Arial"/>
          <w:b/>
          <w:sz w:val="22"/>
          <w:szCs w:val="22"/>
        </w:rPr>
      </w:pPr>
      <w:r w:rsidRPr="007D7F7E">
        <w:rPr>
          <w:rFonts w:ascii="Arial" w:eastAsia="Arial" w:hAnsi="Arial" w:cs="Arial"/>
          <w:b/>
          <w:sz w:val="22"/>
          <w:szCs w:val="22"/>
        </w:rPr>
        <w:t xml:space="preserve">Are there any other human rights issues arising from the Bill that you </w:t>
      </w:r>
      <w:r w:rsidRPr="007D7F7E">
        <w:rPr>
          <w:rFonts w:ascii="Arial" w:eastAsia="Arial" w:hAnsi="Arial" w:cs="Arial"/>
          <w:b/>
          <w:sz w:val="22"/>
          <w:szCs w:val="22"/>
        </w:rPr>
        <w:t>wish to draw to the attention of the Committee?</w:t>
      </w:r>
    </w:p>
    <w:p w:rsidR="007D7F7E" w:rsidRPr="007D7F7E" w:rsidP="0059036A">
      <w:pPr>
        <w:spacing w:after="0" w:line="276" w:lineRule="auto"/>
        <w:jc w:val="both"/>
        <w:rPr>
          <w:rFonts w:ascii="Arial" w:eastAsia="Arial" w:hAnsi="Arial" w:cs="Arial"/>
          <w:b/>
          <w:sz w:val="14"/>
          <w:szCs w:val="14"/>
        </w:rPr>
      </w:pPr>
    </w:p>
    <w:p w:rsidR="007D7F7E" w:rsidRPr="007D7F7E" w:rsidP="000F5343">
      <w:pPr>
        <w:spacing w:after="0" w:line="276" w:lineRule="auto"/>
        <w:jc w:val="both"/>
        <w:rPr>
          <w:rFonts w:ascii="Arial" w:eastAsia="Arial" w:hAnsi="Arial" w:cs="Arial"/>
          <w:b/>
          <w:sz w:val="22"/>
          <w:szCs w:val="22"/>
        </w:rPr>
      </w:pPr>
      <w:r w:rsidRPr="007D7F7E">
        <w:rPr>
          <w:rFonts w:ascii="Arial" w:eastAsia="Arial" w:hAnsi="Arial" w:cs="Arial"/>
          <w:b/>
          <w:sz w:val="22"/>
          <w:szCs w:val="22"/>
        </w:rPr>
        <w:t xml:space="preserve">Scientific methods of assessing age </w:t>
      </w:r>
    </w:p>
    <w:p w:rsidR="007D7F7E" w:rsidRPr="007D7F7E" w:rsidP="000F5343">
      <w:pPr>
        <w:spacing w:after="0" w:line="276" w:lineRule="auto"/>
        <w:jc w:val="both"/>
        <w:rPr>
          <w:rFonts w:ascii="Arial" w:eastAsia="Arial" w:hAnsi="Arial" w:cs="Arial"/>
          <w:bCs/>
          <w:sz w:val="22"/>
          <w:szCs w:val="22"/>
        </w:rPr>
      </w:pPr>
    </w:p>
    <w:p w:rsidR="007D7F7E" w:rsidRPr="007D7F7E" w:rsidP="008113E0">
      <w:pPr>
        <w:pStyle w:val="ListParagraph"/>
        <w:numPr>
          <w:ilvl w:val="0"/>
          <w:numId w:val="19"/>
        </w:numPr>
        <w:spacing w:after="0" w:line="276" w:lineRule="auto"/>
        <w:jc w:val="both"/>
        <w:rPr>
          <w:rFonts w:ascii="Arial" w:eastAsia="Arial" w:hAnsi="Arial" w:cs="Arial"/>
          <w:bCs/>
          <w:sz w:val="22"/>
          <w:szCs w:val="22"/>
        </w:rPr>
      </w:pPr>
      <w:r w:rsidRPr="007D7F7E">
        <w:rPr>
          <w:rFonts w:ascii="Arial" w:eastAsia="Arial" w:hAnsi="Arial" w:cs="Arial"/>
          <w:bCs/>
          <w:sz w:val="22"/>
          <w:szCs w:val="22"/>
        </w:rPr>
        <w:t xml:space="preserve">Whilst the RMCC welcomes the Bill’s repeal of </w:t>
      </w:r>
      <w:r w:rsidRPr="007D7F7E">
        <w:rPr>
          <w:rFonts w:ascii="Arial" w:hAnsi="Arial" w:cs="Arial"/>
          <w:sz w:val="22"/>
          <w:szCs w:val="22"/>
        </w:rPr>
        <w:t xml:space="preserve">measures that would have </w:t>
      </w:r>
      <w:r w:rsidRPr="007D7F7E">
        <w:rPr>
          <w:rFonts w:ascii="Arial" w:hAnsi="Arial" w:cs="Arial"/>
          <w:sz w:val="22"/>
          <w:szCs w:val="22"/>
        </w:rPr>
        <w:t>meant that</w:t>
      </w:r>
      <w:r w:rsidRPr="007D7F7E">
        <w:rPr>
          <w:rFonts w:ascii="Arial" w:hAnsi="Arial" w:cs="Arial"/>
          <w:sz w:val="22"/>
          <w:szCs w:val="22"/>
        </w:rPr>
        <w:t xml:space="preserve"> young people </w:t>
      </w:r>
      <w:r w:rsidRPr="007D7F7E">
        <w:rPr>
          <w:rFonts w:ascii="Arial" w:hAnsi="Arial" w:cs="Arial"/>
          <w:sz w:val="22"/>
          <w:szCs w:val="22"/>
        </w:rPr>
        <w:t>who r</w:t>
      </w:r>
      <w:r w:rsidRPr="007D7F7E">
        <w:rPr>
          <w:rFonts w:ascii="Arial" w:hAnsi="Arial" w:cs="Arial"/>
          <w:sz w:val="22"/>
          <w:szCs w:val="22"/>
        </w:rPr>
        <w:t>efus</w:t>
      </w:r>
      <w:r w:rsidRPr="007D7F7E">
        <w:rPr>
          <w:rFonts w:ascii="Arial" w:hAnsi="Arial" w:cs="Arial"/>
          <w:sz w:val="22"/>
          <w:szCs w:val="22"/>
        </w:rPr>
        <w:t>ed</w:t>
      </w:r>
      <w:r w:rsidRPr="007D7F7E">
        <w:rPr>
          <w:rFonts w:ascii="Arial" w:hAnsi="Arial" w:cs="Arial"/>
          <w:sz w:val="22"/>
          <w:szCs w:val="22"/>
        </w:rPr>
        <w:t xml:space="preserve"> scientific age assessments</w:t>
      </w:r>
      <w:r w:rsidRPr="007D7F7E">
        <w:rPr>
          <w:rFonts w:ascii="Arial" w:hAnsi="Arial" w:cs="Arial"/>
          <w:sz w:val="22"/>
          <w:szCs w:val="22"/>
        </w:rPr>
        <w:t xml:space="preserve"> would have been automatically been treated as adults</w:t>
      </w:r>
      <w:r w:rsidRPr="007D7F7E">
        <w:rPr>
          <w:rFonts w:ascii="Arial" w:hAnsi="Arial" w:cs="Arial"/>
          <w:sz w:val="22"/>
          <w:szCs w:val="22"/>
        </w:rPr>
        <w:t>, we</w:t>
      </w:r>
      <w:r w:rsidRPr="007D7F7E">
        <w:rPr>
          <w:rFonts w:ascii="Arial" w:eastAsia="Arial" w:hAnsi="Arial" w:cs="Arial"/>
          <w:bCs/>
          <w:sz w:val="22"/>
          <w:szCs w:val="22"/>
        </w:rPr>
        <w:t xml:space="preserve"> remain concerned about the ongoing commitment to using ‘scientific’ methods to assess age. </w:t>
      </w:r>
    </w:p>
    <w:p w:rsidR="007D7F7E" w:rsidRPr="007D7F7E" w:rsidP="00EC3792">
      <w:pPr>
        <w:pStyle w:val="ListParagraph"/>
        <w:spacing w:after="0" w:line="276" w:lineRule="auto"/>
        <w:ind w:left="360"/>
        <w:jc w:val="both"/>
        <w:rPr>
          <w:rFonts w:ascii="Arial" w:eastAsia="Arial" w:hAnsi="Arial" w:cs="Arial"/>
          <w:bCs/>
          <w:sz w:val="12"/>
          <w:szCs w:val="12"/>
        </w:rPr>
      </w:pPr>
    </w:p>
    <w:p w:rsidR="007D7F7E" w:rsidRPr="007D7F7E" w:rsidP="008113E0">
      <w:pPr>
        <w:pStyle w:val="ListParagraph"/>
        <w:numPr>
          <w:ilvl w:val="0"/>
          <w:numId w:val="19"/>
        </w:numPr>
        <w:spacing w:after="0" w:line="276" w:lineRule="auto"/>
        <w:jc w:val="both"/>
        <w:rPr>
          <w:rFonts w:ascii="Arial" w:eastAsia="Arial" w:hAnsi="Arial" w:cs="Arial"/>
          <w:bCs/>
          <w:sz w:val="22"/>
          <w:szCs w:val="22"/>
        </w:rPr>
      </w:pPr>
      <w:r w:rsidRPr="007D7F7E">
        <w:rPr>
          <w:rFonts w:ascii="Arial" w:eastAsia="Arial" w:hAnsi="Arial" w:cs="Arial"/>
          <w:bCs/>
          <w:sz w:val="22"/>
          <w:szCs w:val="22"/>
        </w:rPr>
        <w:t xml:space="preserve">The </w:t>
      </w:r>
      <w:r w:rsidRPr="007D7F7E">
        <w:rPr>
          <w:rFonts w:ascii="Arial" w:eastAsia="Arial" w:hAnsi="Arial" w:cs="Arial"/>
          <w:bCs/>
          <w:sz w:val="22"/>
          <w:szCs w:val="22"/>
        </w:rPr>
        <w:t xml:space="preserve">JCHR </w:t>
      </w:r>
      <w:r w:rsidRPr="007D7F7E">
        <w:rPr>
          <w:rFonts w:ascii="Arial" w:eastAsia="Arial" w:hAnsi="Arial" w:cs="Arial"/>
          <w:bCs/>
          <w:sz w:val="22"/>
          <w:szCs w:val="22"/>
        </w:rPr>
        <w:t xml:space="preserve">has previously highlighted that </w:t>
      </w:r>
      <w:r w:rsidRPr="007D7F7E">
        <w:rPr>
          <w:rFonts w:ascii="Arial" w:eastAsia="Arial" w:hAnsi="Arial" w:cs="Arial"/>
          <w:bCs/>
          <w:sz w:val="22"/>
          <w:szCs w:val="22"/>
        </w:rPr>
        <w:t>Article 3</w:t>
      </w:r>
      <w:r w:rsidRPr="007D7F7E">
        <w:rPr>
          <w:rFonts w:ascii="Arial" w:eastAsia="Arial" w:hAnsi="Arial" w:cs="Arial"/>
          <w:bCs/>
          <w:sz w:val="22"/>
          <w:szCs w:val="22"/>
        </w:rPr>
        <w:t xml:space="preserve"> of the Convention on the Rights of the Child </w:t>
      </w:r>
      <w:r w:rsidRPr="007D7F7E">
        <w:rPr>
          <w:rFonts w:ascii="Arial" w:eastAsia="Arial" w:hAnsi="Arial" w:cs="Arial"/>
          <w:bCs/>
          <w:sz w:val="22"/>
          <w:szCs w:val="22"/>
        </w:rPr>
        <w:t xml:space="preserve">requires that in all actions concerning children, the best interests of the child shall be a primary consideration. To ensure the best interests of the child are upheld, the UN Committee on the Rights of the Child recommends the following methodology with regard to assessing age: </w:t>
      </w:r>
    </w:p>
    <w:p w:rsidR="007D7F7E" w:rsidRPr="007D7F7E" w:rsidP="0059036A">
      <w:pPr>
        <w:pStyle w:val="ListParagraph"/>
        <w:spacing w:line="276" w:lineRule="auto"/>
        <w:rPr>
          <w:rFonts w:ascii="Arial" w:eastAsia="Arial" w:hAnsi="Arial" w:cs="Arial"/>
          <w:bCs/>
          <w:sz w:val="12"/>
          <w:szCs w:val="12"/>
        </w:rPr>
      </w:pPr>
    </w:p>
    <w:p w:rsidR="007D7F7E" w:rsidRPr="007D7F7E" w:rsidP="0059036A">
      <w:pPr>
        <w:pStyle w:val="ListParagraph"/>
        <w:spacing w:after="0" w:line="276" w:lineRule="auto"/>
        <w:jc w:val="both"/>
        <w:rPr>
          <w:rFonts w:ascii="Arial" w:eastAsia="Arial" w:hAnsi="Arial" w:cs="Arial"/>
          <w:bCs/>
          <w:sz w:val="22"/>
          <w:szCs w:val="22"/>
        </w:rPr>
      </w:pPr>
      <w:r w:rsidRPr="007D7F7E">
        <w:rPr>
          <w:rFonts w:ascii="Arial" w:eastAsia="Arial" w:hAnsi="Arial" w:cs="Arial"/>
          <w:bCs/>
          <w:sz w:val="22"/>
          <w:szCs w:val="22"/>
        </w:rPr>
        <w:t>“</w:t>
      </w:r>
      <w:r w:rsidRPr="007D7F7E">
        <w:rPr>
          <w:rFonts w:ascii="Arial" w:eastAsia="Arial" w:hAnsi="Arial" w:cs="Arial"/>
          <w:bCs/>
          <w:i/>
          <w:iCs/>
          <w:sz w:val="22"/>
          <w:szCs w:val="22"/>
        </w:rPr>
        <w:t xml:space="preserve">To make an informed estimate of age, States should undertake a comprehensive assessment of the child’s physical and psychological development, conducted by specialist paediatricians or other professionals [e.g. social workers] who are </w:t>
      </w:r>
      <w:r w:rsidRPr="007D7F7E">
        <w:rPr>
          <w:rFonts w:ascii="Arial" w:eastAsia="Arial" w:hAnsi="Arial" w:cs="Arial"/>
          <w:bCs/>
          <w:i/>
          <w:iCs/>
          <w:sz w:val="22"/>
          <w:szCs w:val="22"/>
        </w:rPr>
        <w:t>skilled in combining different aspects of development. Such assessments should be carried out in a prompt, child</w:t>
      </w:r>
      <w:r w:rsidRPr="007D7F7E">
        <w:rPr>
          <w:rFonts w:ascii="Arial" w:eastAsia="Arial" w:hAnsi="Arial" w:cs="Arial"/>
          <w:bCs/>
          <w:i/>
          <w:iCs/>
          <w:sz w:val="22"/>
          <w:szCs w:val="22"/>
        </w:rPr>
        <w:t>-</w:t>
      </w:r>
      <w:r w:rsidRPr="007D7F7E">
        <w:rPr>
          <w:rFonts w:ascii="Arial" w:eastAsia="Arial" w:hAnsi="Arial" w:cs="Arial"/>
          <w:bCs/>
          <w:i/>
          <w:iCs/>
          <w:sz w:val="22"/>
          <w:szCs w:val="22"/>
        </w:rPr>
        <w:t>friendly, gender-sensitive and culturally appropriate manner, including interviews of children and, as appropriate, accompanying adults, in a language the child understands. . . The benefit of the doubt should be given to the individual being assessed. States should refrain from using medical methods . . . which may be inaccurate, with wide margins of error . . . States should ensure that their d</w:t>
      </w:r>
      <w:r w:rsidRPr="007D7F7E">
        <w:rPr>
          <w:rFonts w:ascii="Arial" w:eastAsia="Arial" w:hAnsi="Arial" w:cs="Arial"/>
          <w:bCs/>
          <w:i/>
          <w:iCs/>
          <w:sz w:val="22"/>
          <w:szCs w:val="22"/>
        </w:rPr>
        <w:t>eterminations can be reviewed or appealed to a suitable independent body.”</w:t>
      </w:r>
      <w:r w:rsidRPr="007D7F7E">
        <w:rPr>
          <w:rStyle w:val="FootnoteReference"/>
          <w:rFonts w:ascii="Arial" w:eastAsia="Arial" w:hAnsi="Arial" w:cs="Arial"/>
          <w:bCs/>
          <w:i/>
          <w:iCs/>
          <w:sz w:val="22"/>
          <w:szCs w:val="22"/>
        </w:rPr>
        <w:t xml:space="preserve"> </w:t>
      </w:r>
      <w:r>
        <w:rPr>
          <w:rStyle w:val="FootnoteReference"/>
          <w:rFonts w:ascii="Arial" w:eastAsia="Arial" w:hAnsi="Arial" w:cs="Arial"/>
          <w:bCs/>
          <w:i/>
          <w:iCs/>
          <w:sz w:val="22"/>
          <w:szCs w:val="22"/>
        </w:rPr>
        <w:footnoteReference w:id="27"/>
      </w:r>
    </w:p>
    <w:p w:rsidR="007D7F7E" w:rsidRPr="007D7F7E" w:rsidP="0059036A">
      <w:pPr>
        <w:spacing w:after="0" w:line="276" w:lineRule="auto"/>
        <w:jc w:val="both"/>
        <w:rPr>
          <w:rFonts w:ascii="Arial" w:eastAsia="Arial" w:hAnsi="Arial" w:cs="Arial"/>
          <w:b/>
          <w:sz w:val="22"/>
          <w:szCs w:val="22"/>
        </w:rPr>
      </w:pPr>
    </w:p>
    <w:p w:rsidR="007D7F7E" w:rsidRPr="007D7F7E" w:rsidP="008113E0">
      <w:pPr>
        <w:pStyle w:val="ListParagraph"/>
        <w:numPr>
          <w:ilvl w:val="0"/>
          <w:numId w:val="19"/>
        </w:numPr>
        <w:spacing w:after="0" w:line="276" w:lineRule="auto"/>
        <w:jc w:val="both"/>
        <w:rPr>
          <w:rFonts w:ascii="Arial" w:eastAsia="Arial" w:hAnsi="Arial" w:cs="Arial"/>
          <w:sz w:val="22"/>
          <w:szCs w:val="22"/>
        </w:rPr>
      </w:pPr>
      <w:r w:rsidRPr="007D7F7E">
        <w:rPr>
          <w:rFonts w:ascii="Arial" w:eastAsia="Arial" w:hAnsi="Arial" w:cs="Arial"/>
          <w:sz w:val="22"/>
          <w:szCs w:val="22"/>
        </w:rPr>
        <w:t xml:space="preserve">As discussed above, the Home Office has </w:t>
      </w:r>
      <w:r w:rsidRPr="007D7F7E">
        <w:rPr>
          <w:rFonts w:ascii="Arial" w:eastAsia="Arial" w:hAnsi="Arial" w:cs="Arial"/>
          <w:sz w:val="22"/>
          <w:szCs w:val="22"/>
        </w:rPr>
        <w:t xml:space="preserve">been made aware that they </w:t>
      </w:r>
      <w:r w:rsidRPr="007D7F7E">
        <w:rPr>
          <w:rFonts w:ascii="Arial" w:eastAsia="Arial" w:hAnsi="Arial" w:cs="Arial"/>
          <w:sz w:val="22"/>
          <w:szCs w:val="22"/>
        </w:rPr>
        <w:t>needed to address the problem of visual assessments on arrival. Yet, instead, resources have been allocated to developing scientific (biological) age assessment methods</w:t>
      </w:r>
      <w:r w:rsidRPr="007D7F7E">
        <w:rPr>
          <w:rFonts w:ascii="Arial" w:eastAsia="Arial" w:hAnsi="Arial" w:cs="Arial"/>
          <w:sz w:val="22"/>
          <w:szCs w:val="22"/>
        </w:rPr>
        <w:t xml:space="preserve">. This will not </w:t>
      </w:r>
      <w:r w:rsidRPr="007D7F7E">
        <w:rPr>
          <w:rFonts w:ascii="Arial" w:eastAsia="Arial" w:hAnsi="Arial" w:cs="Arial"/>
          <w:sz w:val="22"/>
          <w:szCs w:val="22"/>
        </w:rPr>
        <w:t xml:space="preserve">tackle the key problem of children wrongly treated as adults at port and simply further complicate the age-determination process. </w:t>
      </w:r>
    </w:p>
    <w:p w:rsidR="007D7F7E" w:rsidRPr="007D7F7E" w:rsidP="0059036A">
      <w:pPr>
        <w:pStyle w:val="ListParagraph"/>
        <w:spacing w:after="0" w:line="276" w:lineRule="auto"/>
        <w:jc w:val="both"/>
        <w:rPr>
          <w:rFonts w:ascii="Arial" w:eastAsia="Arial" w:hAnsi="Arial" w:cs="Arial"/>
          <w:sz w:val="14"/>
          <w:szCs w:val="14"/>
        </w:rPr>
      </w:pPr>
    </w:p>
    <w:p w:rsidR="007D7F7E" w:rsidRPr="007D7F7E" w:rsidP="008113E0">
      <w:pPr>
        <w:pStyle w:val="ListParagraph"/>
        <w:numPr>
          <w:ilvl w:val="0"/>
          <w:numId w:val="19"/>
        </w:numPr>
        <w:shd w:val="clear" w:color="auto" w:fill="FFFFFF"/>
        <w:spacing w:after="0" w:line="276" w:lineRule="auto"/>
        <w:jc w:val="both"/>
        <w:rPr>
          <w:rFonts w:ascii="Arial" w:eastAsia="Arial" w:hAnsi="Arial" w:cs="Arial"/>
          <w:i/>
          <w:iCs/>
          <w:sz w:val="14"/>
          <w:szCs w:val="14"/>
        </w:rPr>
      </w:pPr>
      <w:r w:rsidRPr="007D7F7E">
        <w:rPr>
          <w:rFonts w:ascii="Arial" w:eastAsia="Arial" w:hAnsi="Arial" w:cs="Arial"/>
          <w:sz w:val="22"/>
          <w:szCs w:val="22"/>
        </w:rPr>
        <w:t xml:space="preserve">The use of scientific methods to assess age has long been the </w:t>
      </w:r>
      <w:r>
        <w:fldChar w:fldCharType="begin"/>
      </w:r>
      <w:r>
        <w:instrText xml:space="preserve"> HYPERLINK "https://www.lag.org.uk/article/203643/the-end-of-dental-x-rays-in-age-assessments" </w:instrText>
      </w:r>
      <w:r>
        <w:fldChar w:fldCharType="separate"/>
      </w:r>
      <w:r w:rsidRPr="007D7F7E">
        <w:rPr>
          <w:rFonts w:ascii="Arial" w:eastAsia="Arial" w:hAnsi="Arial" w:cs="Arial"/>
          <w:sz w:val="22"/>
          <w:szCs w:val="22"/>
        </w:rPr>
        <w:t>subject of debate</w:t>
      </w:r>
      <w:r>
        <w:fldChar w:fldCharType="end"/>
      </w:r>
      <w:r w:rsidRPr="007D7F7E">
        <w:rPr>
          <w:rFonts w:ascii="Arial" w:eastAsia="Arial" w:hAnsi="Arial" w:cs="Arial"/>
          <w:sz w:val="22"/>
          <w:szCs w:val="22"/>
        </w:rPr>
        <w:t xml:space="preserve"> and professional medical bodies in the UK have been </w:t>
      </w:r>
      <w:r>
        <w:fldChar w:fldCharType="begin"/>
      </w:r>
      <w:r>
        <w:instrText xml:space="preserve"> HYPERLINK "https://www.rcpch.ac.uk/resources/refugee-unaccompanied-asylum-seeking-children-young-people-guidance-paediatricians" </w:instrText>
      </w:r>
      <w:r>
        <w:fldChar w:fldCharType="separate"/>
      </w:r>
      <w:r w:rsidRPr="007D7F7E">
        <w:rPr>
          <w:rFonts w:ascii="Arial" w:eastAsia="Arial" w:hAnsi="Arial" w:cs="Arial"/>
          <w:sz w:val="22"/>
          <w:szCs w:val="22"/>
        </w:rPr>
        <w:t>unequivocal in their rejection</w:t>
      </w:r>
      <w:r>
        <w:fldChar w:fldCharType="end"/>
      </w:r>
      <w:r w:rsidRPr="007D7F7E">
        <w:rPr>
          <w:rFonts w:ascii="Arial" w:eastAsia="Arial" w:hAnsi="Arial" w:cs="Arial"/>
          <w:sz w:val="22"/>
          <w:szCs w:val="22"/>
        </w:rPr>
        <w:t xml:space="preserve"> of use of dental x-rays, bone age and genital examination as being “extremely imprecise” as methods for assessing age. </w:t>
      </w:r>
      <w:r w:rsidRPr="007D7F7E">
        <w:rPr>
          <w:rFonts w:ascii="Arial" w:eastAsia="Arial" w:hAnsi="Arial" w:cs="Arial"/>
          <w:sz w:val="22"/>
          <w:szCs w:val="22"/>
        </w:rPr>
        <w:t>T</w:t>
      </w:r>
      <w:r w:rsidRPr="007D7F7E">
        <w:rPr>
          <w:rFonts w:ascii="Arial" w:eastAsia="Arial" w:hAnsi="Arial" w:cs="Arial"/>
          <w:sz w:val="22"/>
          <w:szCs w:val="22"/>
        </w:rPr>
        <w:t>here h</w:t>
      </w:r>
      <w:r w:rsidRPr="007D7F7E">
        <w:rPr>
          <w:rFonts w:ascii="Arial" w:eastAsia="Arial" w:hAnsi="Arial" w:cs="Arial"/>
          <w:sz w:val="22"/>
          <w:szCs w:val="22"/>
        </w:rPr>
        <w:t xml:space="preserve">ave </w:t>
      </w:r>
      <w:r w:rsidRPr="007D7F7E">
        <w:rPr>
          <w:rFonts w:ascii="Arial" w:eastAsia="Arial" w:hAnsi="Arial" w:cs="Arial"/>
          <w:sz w:val="22"/>
          <w:szCs w:val="22"/>
        </w:rPr>
        <w:t xml:space="preserve">been significant legal decisions in Europe </w:t>
      </w:r>
      <w:r w:rsidRPr="007D7F7E">
        <w:rPr>
          <w:rFonts w:ascii="Arial" w:eastAsia="Arial" w:hAnsi="Arial" w:cs="Arial"/>
          <w:sz w:val="22"/>
          <w:szCs w:val="22"/>
        </w:rPr>
        <w:t xml:space="preserve">which concluded </w:t>
      </w:r>
      <w:r w:rsidRPr="007D7F7E">
        <w:rPr>
          <w:rFonts w:ascii="Arial" w:eastAsia="Arial" w:hAnsi="Arial" w:cs="Arial"/>
          <w:sz w:val="22"/>
          <w:szCs w:val="22"/>
        </w:rPr>
        <w:t xml:space="preserve">that scientific methodology is not sufficiently sound to be relied upon. The </w:t>
      </w:r>
      <w:r w:rsidRPr="007D7F7E">
        <w:rPr>
          <w:rFonts w:ascii="Arial" w:eastAsia="Arial" w:hAnsi="Arial" w:cs="Arial"/>
          <w:sz w:val="22"/>
          <w:szCs w:val="22"/>
        </w:rPr>
        <w:t>Council of Europe has highlighted the “broad consensus that physical and medical age assessment methods are not backed up by empirically sound medical science and that they cannot be assumed to result in a reliable determination of chronological</w:t>
      </w:r>
      <w:r w:rsidRPr="007D7F7E">
        <w:rPr>
          <w:rFonts w:ascii="Arial" w:eastAsia="Arial" w:hAnsi="Arial" w:cs="Arial"/>
          <w:sz w:val="22"/>
          <w:szCs w:val="22"/>
        </w:rPr>
        <w:t xml:space="preserve"> age...[they are] at best an educated guess</w:t>
      </w:r>
      <w:r w:rsidRPr="007D7F7E">
        <w:rPr>
          <w:rFonts w:ascii="Arial" w:eastAsia="Arial" w:hAnsi="Arial" w:cs="Arial"/>
          <w:sz w:val="22"/>
          <w:szCs w:val="22"/>
        </w:rPr>
        <w:t>… the use of invasive medical exams should be reduced to a minimum and has to remain a measure of last resort</w:t>
      </w:r>
      <w:r w:rsidRPr="007D7F7E">
        <w:rPr>
          <w:rFonts w:ascii="Arial" w:eastAsia="Arial" w:hAnsi="Arial" w:cs="Arial"/>
          <w:sz w:val="22"/>
          <w:szCs w:val="22"/>
        </w:rPr>
        <w:t>”.</w:t>
      </w:r>
      <w:r>
        <w:rPr>
          <w:rStyle w:val="FootnoteReference"/>
          <w:rFonts w:ascii="Arial" w:eastAsia="Arial" w:hAnsi="Arial" w:cs="Arial"/>
          <w:sz w:val="22"/>
          <w:szCs w:val="22"/>
        </w:rPr>
        <w:footnoteReference w:id="28"/>
      </w:r>
      <w:r w:rsidRPr="007D7F7E">
        <w:rPr>
          <w:rFonts w:ascii="Arial" w:eastAsia="Arial" w:hAnsi="Arial" w:cs="Arial"/>
          <w:sz w:val="22"/>
          <w:szCs w:val="22"/>
        </w:rPr>
        <w:t xml:space="preserve"> </w:t>
      </w:r>
      <w:r w:rsidRPr="007D7F7E">
        <w:rPr>
          <w:rFonts w:ascii="Arial" w:eastAsia="Arial" w:hAnsi="Arial" w:cs="Arial"/>
          <w:sz w:val="22"/>
          <w:szCs w:val="22"/>
        </w:rPr>
        <w:t xml:space="preserve"> </w:t>
      </w:r>
    </w:p>
    <w:p w:rsidR="007D7F7E" w:rsidRPr="007D7F7E" w:rsidP="0059036A">
      <w:pPr>
        <w:shd w:val="clear" w:color="auto" w:fill="FFFFFF"/>
        <w:spacing w:after="0" w:line="276" w:lineRule="auto"/>
        <w:jc w:val="both"/>
        <w:rPr>
          <w:rFonts w:ascii="Arial" w:eastAsia="Arial" w:hAnsi="Arial" w:cs="Arial"/>
          <w:i/>
          <w:iCs/>
          <w:sz w:val="14"/>
          <w:szCs w:val="14"/>
        </w:rPr>
      </w:pPr>
    </w:p>
    <w:p w:rsidR="007D7F7E" w:rsidRPr="007D7F7E" w:rsidP="008113E0">
      <w:pPr>
        <w:pStyle w:val="ListParagraph"/>
        <w:numPr>
          <w:ilvl w:val="0"/>
          <w:numId w:val="19"/>
        </w:numPr>
        <w:shd w:val="clear" w:color="auto" w:fill="FFFFFF"/>
        <w:spacing w:after="0" w:line="276" w:lineRule="auto"/>
        <w:jc w:val="both"/>
        <w:rPr>
          <w:rFonts w:ascii="Arial" w:eastAsia="Arial" w:hAnsi="Arial" w:cs="Arial"/>
          <w:sz w:val="22"/>
          <w:szCs w:val="22"/>
        </w:rPr>
      </w:pPr>
      <w:r w:rsidRPr="007D7F7E">
        <w:rPr>
          <w:rFonts w:ascii="Arial" w:eastAsia="Arial" w:hAnsi="Arial" w:cs="Arial"/>
          <w:sz w:val="22"/>
          <w:szCs w:val="22"/>
        </w:rPr>
        <w:t xml:space="preserve">The Home Office’s own advisory committee made it very clear that scientific methods can only be used to assess whether the age claimed is </w:t>
      </w:r>
      <w:r w:rsidRPr="007D7F7E">
        <w:rPr>
          <w:rFonts w:ascii="Arial" w:eastAsia="Arial" w:hAnsi="Arial" w:cs="Arial"/>
          <w:i/>
          <w:sz w:val="22"/>
          <w:szCs w:val="22"/>
        </w:rPr>
        <w:t>possible</w:t>
      </w:r>
      <w:r w:rsidRPr="007D7F7E">
        <w:rPr>
          <w:rFonts w:ascii="Arial" w:eastAsia="Arial" w:hAnsi="Arial" w:cs="Arial"/>
          <w:sz w:val="22"/>
          <w:szCs w:val="22"/>
        </w:rPr>
        <w:t xml:space="preserve"> and should only be used as part of a wider social work assessment that is compliant with existing guidance and case law.</w:t>
      </w:r>
      <w:r>
        <w:rPr>
          <w:rFonts w:ascii="Arial" w:hAnsi="Arial" w:cs="Arial"/>
          <w:sz w:val="22"/>
          <w:szCs w:val="22"/>
          <w:vertAlign w:val="superscript"/>
        </w:rPr>
        <w:footnoteReference w:id="29"/>
      </w:r>
      <w:r w:rsidRPr="007D7F7E">
        <w:rPr>
          <w:rFonts w:ascii="Arial" w:eastAsia="Arial" w:hAnsi="Arial" w:cs="Arial"/>
          <w:sz w:val="22"/>
          <w:szCs w:val="22"/>
        </w:rPr>
        <w:t xml:space="preserve">  </w:t>
      </w:r>
    </w:p>
    <w:p w:rsidR="007D7F7E" w:rsidRPr="007D7F7E" w:rsidP="0059036A">
      <w:pPr>
        <w:pStyle w:val="ListParagraph"/>
        <w:shd w:val="clear" w:color="auto" w:fill="FFFFFF"/>
        <w:spacing w:after="0" w:line="276" w:lineRule="auto"/>
        <w:jc w:val="both"/>
        <w:rPr>
          <w:rFonts w:ascii="Arial" w:eastAsia="Arial" w:hAnsi="Arial" w:cs="Arial"/>
          <w:sz w:val="14"/>
          <w:szCs w:val="14"/>
        </w:rPr>
      </w:pPr>
    </w:p>
    <w:p w:rsidR="007D7F7E" w:rsidRPr="007D7F7E" w:rsidP="008113E0">
      <w:pPr>
        <w:pStyle w:val="ListParagraph"/>
        <w:numPr>
          <w:ilvl w:val="0"/>
          <w:numId w:val="19"/>
        </w:numPr>
        <w:shd w:val="clear" w:color="auto" w:fill="FFFFFF"/>
        <w:spacing w:after="0" w:line="276" w:lineRule="auto"/>
        <w:jc w:val="both"/>
        <w:rPr>
          <w:rFonts w:ascii="Arial" w:eastAsia="Arial" w:hAnsi="Arial" w:cs="Arial"/>
          <w:sz w:val="22"/>
          <w:szCs w:val="22"/>
        </w:rPr>
      </w:pPr>
      <w:r w:rsidRPr="007D7F7E">
        <w:rPr>
          <w:rFonts w:ascii="Arial" w:eastAsia="Arial" w:hAnsi="Arial" w:cs="Arial"/>
          <w:sz w:val="22"/>
          <w:szCs w:val="22"/>
        </w:rPr>
        <w:t>Under section 52(7) of the Nationality and Borders Act 2022 a child will be seen as less credible if they do not agree to undergo medical procedures, undermining the principle of informed consent.</w:t>
      </w:r>
      <w:r w:rsidRPr="007D7F7E">
        <w:rPr>
          <w:rFonts w:ascii="Arial" w:eastAsia="Arial" w:hAnsi="Arial" w:cs="Arial"/>
          <w:sz w:val="22"/>
          <w:szCs w:val="22"/>
        </w:rPr>
        <w:t xml:space="preserve"> </w:t>
      </w:r>
      <w:r w:rsidRPr="007D7F7E">
        <w:rPr>
          <w:rFonts w:ascii="Arial" w:eastAsia="Arial" w:hAnsi="Arial" w:cs="Arial"/>
          <w:sz w:val="22"/>
          <w:szCs w:val="22"/>
        </w:rPr>
        <w:t xml:space="preserve">This is already extremely concerning in light of the above. </w:t>
      </w:r>
      <w:r w:rsidRPr="007D7F7E">
        <w:rPr>
          <w:rFonts w:ascii="Arial" w:eastAsia="Arial" w:hAnsi="Arial" w:cs="Arial"/>
          <w:sz w:val="22"/>
          <w:szCs w:val="22"/>
        </w:rPr>
        <w:t xml:space="preserve">For them to be automatically treated as an adult, as the IMA would have allowed, would </w:t>
      </w:r>
      <w:r w:rsidRPr="007D7F7E">
        <w:rPr>
          <w:rFonts w:ascii="Arial" w:eastAsia="Arial" w:hAnsi="Arial" w:cs="Arial"/>
          <w:sz w:val="22"/>
          <w:szCs w:val="22"/>
        </w:rPr>
        <w:t xml:space="preserve">have </w:t>
      </w:r>
      <w:r w:rsidRPr="007D7F7E">
        <w:rPr>
          <w:rFonts w:ascii="Arial" w:eastAsia="Arial" w:hAnsi="Arial" w:cs="Arial"/>
          <w:sz w:val="22"/>
          <w:szCs w:val="22"/>
        </w:rPr>
        <w:t>be</w:t>
      </w:r>
      <w:r w:rsidRPr="007D7F7E">
        <w:rPr>
          <w:rFonts w:ascii="Arial" w:eastAsia="Arial" w:hAnsi="Arial" w:cs="Arial"/>
          <w:sz w:val="22"/>
          <w:szCs w:val="22"/>
        </w:rPr>
        <w:t>en</w:t>
      </w:r>
      <w:r w:rsidRPr="007D7F7E">
        <w:rPr>
          <w:rFonts w:ascii="Arial" w:eastAsia="Arial" w:hAnsi="Arial" w:cs="Arial"/>
          <w:sz w:val="22"/>
          <w:szCs w:val="22"/>
        </w:rPr>
        <w:t xml:space="preserve"> even more egregious. </w:t>
      </w:r>
    </w:p>
    <w:p w:rsidR="007D7F7E" w:rsidRPr="007D7F7E" w:rsidP="0059036A">
      <w:pPr>
        <w:pStyle w:val="ListParagraph"/>
        <w:spacing w:line="276" w:lineRule="auto"/>
        <w:rPr>
          <w:rFonts w:ascii="Arial" w:eastAsia="Arial" w:hAnsi="Arial" w:cs="Arial"/>
          <w:sz w:val="14"/>
          <w:szCs w:val="14"/>
        </w:rPr>
      </w:pPr>
    </w:p>
    <w:p w:rsidR="007D7F7E" w:rsidRPr="007D7F7E" w:rsidP="008113E0">
      <w:pPr>
        <w:pStyle w:val="ListParagraph"/>
        <w:numPr>
          <w:ilvl w:val="0"/>
          <w:numId w:val="19"/>
        </w:numPr>
        <w:shd w:val="clear" w:color="auto" w:fill="FFFFFF"/>
        <w:spacing w:after="0" w:line="276" w:lineRule="auto"/>
        <w:jc w:val="both"/>
        <w:rPr>
          <w:rFonts w:ascii="Arial" w:eastAsia="Arial" w:hAnsi="Arial" w:cs="Arial"/>
          <w:sz w:val="22"/>
          <w:szCs w:val="22"/>
        </w:rPr>
      </w:pPr>
      <w:r w:rsidRPr="007D7F7E">
        <w:rPr>
          <w:rFonts w:ascii="Arial" w:eastAsia="Arial" w:hAnsi="Arial" w:cs="Arial"/>
          <w:sz w:val="22"/>
          <w:szCs w:val="22"/>
        </w:rPr>
        <w:t>The JCHR has itself recognised “</w:t>
      </w:r>
      <w:r w:rsidRPr="007D7F7E">
        <w:rPr>
          <w:rFonts w:ascii="Arial" w:eastAsia="Arial" w:hAnsi="Arial" w:cs="Arial"/>
          <w:i/>
          <w:iCs/>
          <w:sz w:val="22"/>
          <w:szCs w:val="22"/>
        </w:rPr>
        <w:t xml:space="preserve">the threat of adverse inferences may apply pressure to the individual </w:t>
      </w:r>
      <w:r w:rsidRPr="007D7F7E">
        <w:rPr>
          <w:rFonts w:ascii="Arial" w:eastAsia="Arial" w:hAnsi="Arial" w:cs="Arial"/>
          <w:i/>
          <w:iCs/>
          <w:sz w:val="22"/>
          <w:szCs w:val="22"/>
        </w:rPr>
        <w:t>concerned to consent to an age assessment, particularly a young child, who may fear the consequences of refusing to consent to a procedure”</w:t>
      </w:r>
      <w:r w:rsidRPr="007D7F7E">
        <w:rPr>
          <w:rFonts w:ascii="Arial" w:eastAsia="Arial" w:hAnsi="Arial" w:cs="Arial"/>
          <w:sz w:val="22"/>
          <w:szCs w:val="22"/>
        </w:rPr>
        <w:t xml:space="preserve"> and</w:t>
      </w:r>
      <w:r w:rsidRPr="007D7F7E">
        <w:rPr>
          <w:rFonts w:ascii="Arial" w:eastAsia="Arial" w:hAnsi="Arial" w:cs="Arial"/>
          <w:sz w:val="22"/>
          <w:szCs w:val="22"/>
        </w:rPr>
        <w:t xml:space="preserve"> suggest</w:t>
      </w:r>
      <w:r w:rsidRPr="007D7F7E">
        <w:rPr>
          <w:rFonts w:ascii="Arial" w:eastAsia="Arial" w:hAnsi="Arial" w:cs="Arial"/>
          <w:sz w:val="22"/>
          <w:szCs w:val="22"/>
        </w:rPr>
        <w:t>ed</w:t>
      </w:r>
      <w:r w:rsidRPr="007D7F7E">
        <w:rPr>
          <w:rFonts w:ascii="Arial" w:eastAsia="Arial" w:hAnsi="Arial" w:cs="Arial"/>
          <w:sz w:val="22"/>
          <w:szCs w:val="22"/>
        </w:rPr>
        <w:t xml:space="preserve"> that </w:t>
      </w:r>
      <w:r w:rsidRPr="007D7F7E">
        <w:rPr>
          <w:rFonts w:ascii="Arial" w:eastAsia="Arial" w:hAnsi="Arial" w:cs="Arial"/>
          <w:i/>
          <w:iCs/>
          <w:sz w:val="22"/>
          <w:szCs w:val="22"/>
        </w:rPr>
        <w:t>“refusal to consent to scientific procedures should not be taken into account when assessing the credibility of an age-disputed person who may be a child.”</w:t>
      </w:r>
      <w:r w:rsidRPr="007D7F7E">
        <w:rPr>
          <w:rFonts w:ascii="Arial" w:eastAsia="Arial" w:hAnsi="Arial" w:cs="Arial"/>
          <w:sz w:val="22"/>
          <w:szCs w:val="22"/>
        </w:rPr>
        <w:t xml:space="preserve"> </w:t>
      </w:r>
      <w:r w:rsidRPr="007D7F7E">
        <w:rPr>
          <w:rFonts w:ascii="Arial" w:eastAsia="Arial" w:hAnsi="Arial" w:cs="Arial"/>
          <w:sz w:val="22"/>
          <w:szCs w:val="22"/>
        </w:rPr>
        <w:t>It has also recommended that t</w:t>
      </w:r>
      <w:r w:rsidRPr="007D7F7E">
        <w:rPr>
          <w:rFonts w:ascii="Arial" w:eastAsia="Arial" w:hAnsi="Arial" w:cs="Arial"/>
          <w:sz w:val="22"/>
          <w:szCs w:val="22"/>
        </w:rPr>
        <w:t xml:space="preserve">he use of scientific methods as set out in any regulations in the </w:t>
      </w:r>
      <w:r w:rsidRPr="007D7F7E">
        <w:rPr>
          <w:rFonts w:ascii="Arial" w:eastAsia="Arial" w:hAnsi="Arial" w:cs="Arial"/>
          <w:sz w:val="22"/>
          <w:szCs w:val="22"/>
        </w:rPr>
        <w:t xml:space="preserve">future </w:t>
      </w:r>
      <w:r w:rsidRPr="007D7F7E">
        <w:rPr>
          <w:rFonts w:ascii="Arial" w:eastAsia="Arial" w:hAnsi="Arial" w:cs="Arial"/>
          <w:sz w:val="22"/>
          <w:szCs w:val="22"/>
        </w:rPr>
        <w:t>be scrutinised to ensure that they do not breach the right to be free from inhuman and degradi</w:t>
      </w:r>
      <w:r w:rsidRPr="007D7F7E">
        <w:rPr>
          <w:rFonts w:ascii="Arial" w:eastAsia="Arial" w:hAnsi="Arial" w:cs="Arial"/>
          <w:sz w:val="22"/>
          <w:szCs w:val="22"/>
        </w:rPr>
        <w:t>ng treatment (Article 3 ECHR) and the right to privacy (Article 8 ECHR)</w:t>
      </w:r>
      <w:r w:rsidRPr="007D7F7E">
        <w:rPr>
          <w:rFonts w:ascii="Arial" w:eastAsia="Arial" w:hAnsi="Arial" w:cs="Arial"/>
          <w:sz w:val="22"/>
          <w:szCs w:val="22"/>
        </w:rPr>
        <w:t>, stating that</w:t>
      </w:r>
      <w:r w:rsidRPr="007D7F7E">
        <w:rPr>
          <w:rFonts w:ascii="Arial" w:eastAsia="Arial" w:hAnsi="Arial" w:cs="Arial"/>
          <w:sz w:val="22"/>
          <w:szCs w:val="22"/>
        </w:rPr>
        <w:t xml:space="preserve"> </w:t>
      </w:r>
      <w:r w:rsidRPr="007D7F7E">
        <w:rPr>
          <w:rFonts w:ascii="Arial" w:eastAsia="Arial" w:hAnsi="Arial" w:cs="Arial"/>
          <w:sz w:val="22"/>
          <w:szCs w:val="22"/>
        </w:rPr>
        <w:t>“</w:t>
      </w:r>
      <w:r w:rsidRPr="007D7F7E">
        <w:rPr>
          <w:rFonts w:ascii="Arial" w:eastAsia="Arial" w:hAnsi="Arial" w:cs="Arial"/>
          <w:i/>
          <w:iCs/>
          <w:sz w:val="22"/>
          <w:szCs w:val="22"/>
        </w:rPr>
        <w:t>if it is the case that scientific methods will not offer any greater accuracy than the current holistic methodology, the use of such methods may not constitute necessary and proportionate incursions of the right to privacy. Where holistic assessments already exist as an alternative (as they currently do), it would not be in the best interests of the child to subject them to scientific procedures</w:t>
      </w:r>
      <w:r w:rsidRPr="007D7F7E">
        <w:rPr>
          <w:rFonts w:ascii="Arial" w:eastAsia="Arial" w:hAnsi="Arial" w:cs="Arial"/>
          <w:sz w:val="22"/>
          <w:szCs w:val="22"/>
        </w:rPr>
        <w:t>”</w:t>
      </w:r>
      <w:r w:rsidRPr="007D7F7E">
        <w:rPr>
          <w:rFonts w:ascii="Arial" w:eastAsia="Arial" w:hAnsi="Arial" w:cs="Arial"/>
          <w:sz w:val="22"/>
          <w:szCs w:val="22"/>
        </w:rPr>
        <w:t>.</w:t>
      </w:r>
      <w:r>
        <w:rPr>
          <w:rStyle w:val="FootnoteReference"/>
          <w:rFonts w:ascii="Arial" w:eastAsia="Arial" w:hAnsi="Arial" w:cs="Arial"/>
          <w:sz w:val="22"/>
          <w:szCs w:val="22"/>
        </w:rPr>
        <w:footnoteReference w:id="30"/>
      </w:r>
    </w:p>
    <w:p w:rsidR="007D7F7E" w:rsidRPr="007D7F7E" w:rsidP="00C1331F">
      <w:pPr>
        <w:shd w:val="clear" w:color="auto" w:fill="FFFFFF"/>
        <w:spacing w:after="0" w:line="264" w:lineRule="auto"/>
        <w:jc w:val="both"/>
        <w:rPr>
          <w:rFonts w:ascii="Arial" w:eastAsia="Arial" w:hAnsi="Arial" w:cs="Arial"/>
          <w:sz w:val="14"/>
          <w:szCs w:val="14"/>
        </w:rPr>
      </w:pPr>
    </w:p>
    <w:p w:rsidR="007D7F7E" w:rsidRPr="007D7F7E" w:rsidP="008113E0">
      <w:pPr>
        <w:pStyle w:val="ListParagraph"/>
        <w:numPr>
          <w:ilvl w:val="0"/>
          <w:numId w:val="19"/>
        </w:numPr>
        <w:shd w:val="clear" w:color="auto" w:fill="FFFFFF"/>
        <w:spacing w:after="0" w:line="264" w:lineRule="auto"/>
        <w:jc w:val="both"/>
        <w:rPr>
          <w:rFonts w:ascii="Arial" w:eastAsia="Arial" w:hAnsi="Arial" w:cs="Arial"/>
          <w:b/>
          <w:bCs/>
          <w:sz w:val="22"/>
          <w:szCs w:val="22"/>
        </w:rPr>
      </w:pPr>
      <w:r w:rsidRPr="007D7F7E">
        <w:rPr>
          <w:rFonts w:ascii="Arial" w:eastAsia="Arial" w:hAnsi="Arial" w:cs="Arial"/>
          <w:b/>
          <w:bCs/>
          <w:sz w:val="22"/>
          <w:szCs w:val="22"/>
        </w:rPr>
        <w:t xml:space="preserve">Recommendation: </w:t>
      </w:r>
    </w:p>
    <w:p w:rsidR="007D7F7E" w:rsidRPr="007D7F7E" w:rsidP="00713491">
      <w:pPr>
        <w:pStyle w:val="ListParagraph"/>
        <w:numPr>
          <w:ilvl w:val="0"/>
          <w:numId w:val="28"/>
        </w:numPr>
        <w:spacing w:after="0" w:line="264" w:lineRule="auto"/>
        <w:jc w:val="both"/>
        <w:rPr>
          <w:rFonts w:ascii="Arial" w:eastAsia="Arial" w:hAnsi="Arial" w:cs="Arial"/>
          <w:b/>
          <w:bCs/>
          <w:sz w:val="22"/>
          <w:szCs w:val="22"/>
        </w:rPr>
      </w:pPr>
      <w:r w:rsidRPr="007D7F7E">
        <w:rPr>
          <w:rFonts w:ascii="Arial" w:eastAsia="Arial" w:hAnsi="Arial" w:cs="Arial"/>
          <w:b/>
          <w:bCs/>
          <w:sz w:val="22"/>
          <w:szCs w:val="22"/>
        </w:rPr>
        <w:t xml:space="preserve">The government should repeal Sections 52 and 53 of NABA, ending the push for scientific age assessments and the Home Office-led codification of the process. Funding should be redirected to training and supporting local authorities—who, as child protection experts, are best placed to conduct independent social work assessments. </w:t>
      </w:r>
    </w:p>
    <w:p w:rsidR="007D7F7E" w:rsidRPr="007D7F7E" w:rsidP="00FB2DE4">
      <w:pPr>
        <w:spacing w:after="0" w:line="264" w:lineRule="auto"/>
        <w:jc w:val="both"/>
        <w:rPr>
          <w:rFonts w:ascii="Arial" w:eastAsia="Arial" w:hAnsi="Arial" w:cs="Arial"/>
          <w:sz w:val="22"/>
          <w:szCs w:val="22"/>
        </w:rPr>
      </w:pPr>
    </w:p>
    <w:p w:rsidR="007D7F7E" w:rsidRPr="007D7F7E">
      <w:pPr>
        <w:rPr>
          <w:rFonts w:ascii="Arial" w:eastAsia="Arial" w:hAnsi="Arial" w:cs="Arial"/>
          <w:b/>
          <w:sz w:val="22"/>
          <w:szCs w:val="22"/>
        </w:rPr>
      </w:pPr>
      <w:r w:rsidRPr="007D7F7E">
        <w:rPr>
          <w:rFonts w:ascii="Arial" w:eastAsia="Arial" w:hAnsi="Arial" w:cs="Arial"/>
          <w:b/>
          <w:sz w:val="22"/>
          <w:szCs w:val="22"/>
        </w:rPr>
        <w:br w:type="page"/>
      </w:r>
    </w:p>
    <w:p w:rsidR="007D7F7E" w:rsidRPr="007D7F7E" w:rsidP="00FB2DE4">
      <w:pPr>
        <w:spacing w:after="0" w:line="264" w:lineRule="auto"/>
        <w:jc w:val="both"/>
        <w:rPr>
          <w:rFonts w:ascii="Arial" w:eastAsia="Arial" w:hAnsi="Arial" w:cs="Arial"/>
          <w:b/>
          <w:sz w:val="22"/>
          <w:szCs w:val="22"/>
        </w:rPr>
      </w:pPr>
      <w:r w:rsidRPr="007D7F7E">
        <w:rPr>
          <w:rFonts w:ascii="Arial" w:eastAsia="Arial" w:hAnsi="Arial" w:cs="Arial"/>
          <w:b/>
          <w:sz w:val="22"/>
          <w:szCs w:val="22"/>
        </w:rPr>
        <w:t xml:space="preserve">Refugee family reunion </w:t>
      </w:r>
    </w:p>
    <w:p w:rsidR="007D7F7E" w:rsidRPr="007D7F7E" w:rsidP="00FB2DE4">
      <w:pPr>
        <w:spacing w:after="0" w:line="264" w:lineRule="auto"/>
        <w:jc w:val="both"/>
        <w:rPr>
          <w:rFonts w:ascii="Arial" w:eastAsia="Arial" w:hAnsi="Arial" w:cs="Arial"/>
          <w:b/>
          <w:sz w:val="14"/>
          <w:szCs w:val="14"/>
        </w:rPr>
      </w:pPr>
    </w:p>
    <w:p w:rsidR="007D7F7E" w:rsidRPr="007D7F7E" w:rsidP="008113E0">
      <w:pPr>
        <w:pStyle w:val="ListParagraph"/>
        <w:numPr>
          <w:ilvl w:val="0"/>
          <w:numId w:val="19"/>
        </w:numPr>
        <w:spacing w:line="276" w:lineRule="auto"/>
        <w:jc w:val="both"/>
        <w:rPr>
          <w:rFonts w:ascii="Arial" w:hAnsi="Arial" w:cs="Arial"/>
          <w:sz w:val="22"/>
          <w:szCs w:val="22"/>
        </w:rPr>
      </w:pPr>
      <w:r w:rsidRPr="007D7F7E">
        <w:rPr>
          <w:rFonts w:ascii="Arial" w:hAnsi="Arial" w:cs="Arial"/>
          <w:sz w:val="22"/>
          <w:szCs w:val="22"/>
        </w:rPr>
        <w:t>There is an urgent need to create and maintain accessible and safe routes for children and young people</w:t>
      </w:r>
      <w:r w:rsidRPr="007D7F7E">
        <w:rPr>
          <w:rFonts w:ascii="Arial" w:hAnsi="Arial" w:cs="Arial"/>
          <w:sz w:val="22"/>
          <w:szCs w:val="22"/>
        </w:rPr>
        <w:t xml:space="preserve"> </w:t>
      </w:r>
      <w:r w:rsidRPr="007D7F7E">
        <w:rPr>
          <w:rFonts w:ascii="Arial" w:hAnsi="Arial" w:cs="Arial"/>
          <w:sz w:val="22"/>
          <w:szCs w:val="22"/>
        </w:rPr>
        <w:t xml:space="preserve">seeking asylum in the UK. The absence of such </w:t>
      </w:r>
      <w:r w:rsidRPr="007D7F7E">
        <w:rPr>
          <w:rFonts w:ascii="Arial" w:hAnsi="Arial" w:cs="Arial"/>
          <w:sz w:val="22"/>
          <w:szCs w:val="22"/>
        </w:rPr>
        <w:t>pathways drives vulnerable children into dangerous journeys, where they are at risk of trafficking, exploitation, and serious harm. The Border Security, Asylum and Immigration (BSAI) Bill introduces new criminal offences under Clauses 13–17, including so-called “precursor” offences. Without the availability of safe routes, children who are fleeing conflict, persecution, or separation from family are at increased risk of being wrongly criminalised for actions taken out of necessity or desperation.</w:t>
      </w:r>
    </w:p>
    <w:p w:rsidR="007D7F7E" w:rsidRPr="007D7F7E" w:rsidP="000F5343">
      <w:pPr>
        <w:pStyle w:val="ListParagraph"/>
        <w:spacing w:line="276" w:lineRule="auto"/>
        <w:ind w:left="360"/>
        <w:jc w:val="both"/>
        <w:rPr>
          <w:rFonts w:ascii="Arial" w:hAnsi="Arial" w:cs="Arial"/>
          <w:sz w:val="12"/>
          <w:szCs w:val="12"/>
        </w:rPr>
      </w:pPr>
    </w:p>
    <w:p w:rsidR="007D7F7E" w:rsidRPr="007D7F7E" w:rsidP="008113E0">
      <w:pPr>
        <w:pStyle w:val="ListParagraph"/>
        <w:numPr>
          <w:ilvl w:val="0"/>
          <w:numId w:val="19"/>
        </w:numPr>
        <w:spacing w:line="276" w:lineRule="auto"/>
        <w:jc w:val="both"/>
        <w:rPr>
          <w:rFonts w:ascii="Arial" w:hAnsi="Arial" w:cs="Arial"/>
          <w:sz w:val="22"/>
          <w:szCs w:val="22"/>
        </w:rPr>
      </w:pPr>
      <w:r w:rsidRPr="007D7F7E">
        <w:rPr>
          <w:rFonts w:ascii="Arial" w:hAnsi="Arial" w:cs="Arial"/>
          <w:sz w:val="22"/>
          <w:szCs w:val="22"/>
        </w:rPr>
        <w:t>Children seeking protection in the UK have extremely limited options for arriving safely. The UK currently offers only a narrow range of recognised routes, most of which are either heavily restricted, or unsuitable for unaccompanied or separated children. For many, dangerous and irregular journeys—such as crossing the Channel in small boats—are the only available option.</w:t>
      </w:r>
      <w:r w:rsidRPr="007D7F7E">
        <w:rPr>
          <w:rFonts w:ascii="Arial" w:hAnsi="Arial" w:cs="Arial"/>
          <w:sz w:val="22"/>
          <w:szCs w:val="22"/>
        </w:rPr>
        <w:t xml:space="preserve"> </w:t>
      </w:r>
    </w:p>
    <w:p w:rsidR="007D7F7E" w:rsidRPr="007D7F7E" w:rsidP="00220BFD">
      <w:pPr>
        <w:pStyle w:val="ListParagraph"/>
        <w:spacing w:line="276" w:lineRule="auto"/>
        <w:ind w:left="360"/>
        <w:jc w:val="both"/>
        <w:rPr>
          <w:rFonts w:ascii="Arial" w:hAnsi="Arial" w:cs="Arial"/>
          <w:sz w:val="12"/>
          <w:szCs w:val="12"/>
        </w:rPr>
      </w:pPr>
    </w:p>
    <w:p w:rsidR="007D7F7E" w:rsidRPr="007D7F7E" w:rsidP="008113E0">
      <w:pPr>
        <w:pStyle w:val="ListParagraph"/>
        <w:numPr>
          <w:ilvl w:val="0"/>
          <w:numId w:val="19"/>
        </w:numPr>
        <w:spacing w:line="276" w:lineRule="auto"/>
        <w:jc w:val="both"/>
        <w:rPr>
          <w:rFonts w:ascii="Arial" w:hAnsi="Arial" w:cs="Arial"/>
          <w:sz w:val="22"/>
          <w:szCs w:val="22"/>
        </w:rPr>
      </w:pPr>
      <w:r w:rsidRPr="007D7F7E">
        <w:rPr>
          <w:rFonts w:ascii="Arial" w:hAnsi="Arial" w:cs="Arial"/>
          <w:sz w:val="22"/>
          <w:szCs w:val="22"/>
        </w:rPr>
        <w:t xml:space="preserve">The JCHR </w:t>
      </w:r>
      <w:r w:rsidRPr="007D7F7E">
        <w:rPr>
          <w:rFonts w:ascii="Arial" w:hAnsi="Arial" w:cs="Arial"/>
          <w:sz w:val="22"/>
          <w:szCs w:val="22"/>
        </w:rPr>
        <w:t xml:space="preserve">has </w:t>
      </w:r>
      <w:r w:rsidRPr="007D7F7E">
        <w:rPr>
          <w:rFonts w:ascii="Arial" w:hAnsi="Arial" w:cs="Arial"/>
          <w:sz w:val="22"/>
          <w:szCs w:val="22"/>
        </w:rPr>
        <w:t xml:space="preserve">observed that </w:t>
      </w:r>
      <w:r w:rsidRPr="007D7F7E">
        <w:rPr>
          <w:rFonts w:ascii="Arial" w:hAnsi="Arial" w:cs="Arial"/>
          <w:i/>
          <w:iCs/>
          <w:sz w:val="22"/>
          <w:szCs w:val="22"/>
        </w:rPr>
        <w:t>“many of those who make dangerous journeys do not have the options of a safe and legal route into the UK. We welcome the Government’s commitment to safe and legal routes and encourage them to specify what these new routes will be as soon as reasonably practicable.”</w:t>
      </w:r>
      <w:r>
        <w:rPr>
          <w:rStyle w:val="FootnoteReference"/>
          <w:rFonts w:ascii="Arial" w:hAnsi="Arial" w:cs="Arial"/>
          <w:i/>
          <w:iCs/>
          <w:sz w:val="22"/>
          <w:szCs w:val="22"/>
        </w:rPr>
        <w:footnoteReference w:id="31"/>
      </w:r>
      <w:r w:rsidRPr="007D7F7E">
        <w:rPr>
          <w:rFonts w:ascii="Arial" w:hAnsi="Arial" w:cs="Arial"/>
          <w:i/>
          <w:iCs/>
          <w:sz w:val="22"/>
          <w:szCs w:val="22"/>
        </w:rPr>
        <w:t xml:space="preserve"> </w:t>
      </w:r>
      <w:r w:rsidRPr="007D7F7E">
        <w:rPr>
          <w:rFonts w:ascii="Arial" w:hAnsi="Arial" w:cs="Arial"/>
          <w:sz w:val="22"/>
          <w:szCs w:val="22"/>
        </w:rPr>
        <w:t>It has also recognised that “</w:t>
      </w:r>
      <w:r w:rsidRPr="007D7F7E">
        <w:rPr>
          <w:rFonts w:ascii="Arial" w:hAnsi="Arial" w:cs="Arial"/>
          <w:i/>
          <w:iCs/>
          <w:sz w:val="22"/>
          <w:szCs w:val="22"/>
        </w:rPr>
        <w:t>a</w:t>
      </w:r>
      <w:r w:rsidRPr="007D7F7E">
        <w:rPr>
          <w:rFonts w:ascii="Arial" w:hAnsi="Arial" w:cs="Arial"/>
          <w:i/>
          <w:iCs/>
          <w:sz w:val="22"/>
          <w:szCs w:val="22"/>
        </w:rPr>
        <w:t xml:space="preserve"> more effective means of deterring individuals from making dangerous journeys would be to provide more safe and legal routes for people to come to the UK.”</w:t>
      </w:r>
      <w:r>
        <w:rPr>
          <w:rStyle w:val="FootnoteReference"/>
          <w:rFonts w:ascii="Arial" w:hAnsi="Arial" w:cs="Arial"/>
          <w:i/>
          <w:iCs/>
          <w:sz w:val="22"/>
          <w:szCs w:val="22"/>
        </w:rPr>
        <w:footnoteReference w:id="32"/>
      </w:r>
    </w:p>
    <w:p w:rsidR="007D7F7E" w:rsidRPr="007D7F7E" w:rsidP="007C61E8">
      <w:pPr>
        <w:pStyle w:val="ListParagraph"/>
        <w:spacing w:line="276" w:lineRule="auto"/>
        <w:ind w:left="360"/>
        <w:jc w:val="both"/>
        <w:rPr>
          <w:rFonts w:ascii="Arial" w:hAnsi="Arial" w:cs="Arial"/>
          <w:sz w:val="12"/>
          <w:szCs w:val="12"/>
        </w:rPr>
      </w:pPr>
    </w:p>
    <w:p w:rsidR="007D7F7E" w:rsidRPr="007D7F7E" w:rsidP="008113E0">
      <w:pPr>
        <w:pStyle w:val="ListParagraph"/>
        <w:numPr>
          <w:ilvl w:val="0"/>
          <w:numId w:val="19"/>
        </w:numPr>
        <w:spacing w:line="276" w:lineRule="auto"/>
        <w:jc w:val="both"/>
        <w:rPr>
          <w:rFonts w:ascii="Arial" w:hAnsi="Arial" w:cs="Arial"/>
          <w:sz w:val="22"/>
          <w:szCs w:val="22"/>
        </w:rPr>
      </w:pPr>
      <w:r w:rsidRPr="007D7F7E">
        <w:rPr>
          <w:rFonts w:ascii="Arial" w:hAnsi="Arial" w:cs="Arial"/>
          <w:sz w:val="22"/>
          <w:szCs w:val="22"/>
        </w:rPr>
        <w:t>Family reunification is widely recognised as right for refugee children under international law, including the UN Convention on the Rights of the Child (UNCRC)</w:t>
      </w:r>
      <w:r>
        <w:rPr>
          <w:rStyle w:val="FootnoteReference"/>
          <w:rFonts w:ascii="Arial" w:hAnsi="Arial" w:cs="Arial"/>
          <w:sz w:val="22"/>
          <w:szCs w:val="22"/>
        </w:rPr>
        <w:footnoteReference w:id="33"/>
      </w:r>
      <w:r w:rsidRPr="007D7F7E">
        <w:rPr>
          <w:rFonts w:ascii="Arial" w:hAnsi="Arial" w:cs="Arial"/>
          <w:sz w:val="22"/>
          <w:szCs w:val="22"/>
        </w:rPr>
        <w:t xml:space="preserve"> and the Refugee Convention. However, current UK rules are restrictive and discriminatory, especially for children.</w:t>
      </w:r>
      <w:r w:rsidRPr="007D7F7E">
        <w:rPr>
          <w:rFonts w:ascii="Arial" w:hAnsi="Arial" w:cs="Arial"/>
          <w:sz w:val="22"/>
          <w:szCs w:val="22"/>
        </w:rPr>
        <w:t xml:space="preserve"> </w:t>
      </w:r>
      <w:r w:rsidRPr="007D7F7E">
        <w:rPr>
          <w:rFonts w:ascii="Arial" w:hAnsi="Arial" w:cs="Arial"/>
          <w:sz w:val="22"/>
          <w:szCs w:val="22"/>
        </w:rPr>
        <w:t>Children in the UK cannot sponsor their parents or siblings, even when they are alone and in need of care.</w:t>
      </w:r>
      <w:r w:rsidRPr="007D7F7E">
        <w:rPr>
          <w:rFonts w:ascii="Arial" w:hAnsi="Arial" w:cs="Arial"/>
          <w:sz w:val="22"/>
          <w:szCs w:val="22"/>
        </w:rPr>
        <w:t xml:space="preserve"> </w:t>
      </w:r>
      <w:r w:rsidRPr="007D7F7E">
        <w:rPr>
          <w:rFonts w:ascii="Arial" w:hAnsi="Arial" w:cs="Arial"/>
          <w:sz w:val="22"/>
          <w:szCs w:val="22"/>
        </w:rPr>
        <w:t>Relatives such as aunts, uncles, and grandparents—common caregivers in many cultures—are also excluded from eligibility.</w:t>
      </w:r>
      <w:r w:rsidRPr="007D7F7E">
        <w:rPr>
          <w:rFonts w:ascii="Arial" w:hAnsi="Arial" w:cs="Arial"/>
          <w:sz w:val="22"/>
          <w:szCs w:val="22"/>
        </w:rPr>
        <w:t xml:space="preserve"> </w:t>
      </w:r>
      <w:r w:rsidRPr="007D7F7E">
        <w:rPr>
          <w:rFonts w:ascii="Arial" w:hAnsi="Arial" w:cs="Arial"/>
          <w:sz w:val="22"/>
          <w:szCs w:val="22"/>
        </w:rPr>
        <w:t>Children outside the UK face numerous logistical barriers, including inaccessible visa application centres, high evidentiary burdens, and long delays.</w:t>
      </w:r>
      <w:r>
        <w:rPr>
          <w:rStyle w:val="FootnoteReference"/>
          <w:rFonts w:ascii="Arial" w:hAnsi="Arial" w:cs="Arial"/>
          <w:sz w:val="22"/>
          <w:szCs w:val="22"/>
        </w:rPr>
        <w:footnoteReference w:id="34"/>
      </w:r>
    </w:p>
    <w:p w:rsidR="007D7F7E" w:rsidRPr="007D7F7E" w:rsidP="00007950">
      <w:pPr>
        <w:pStyle w:val="ListParagraph"/>
        <w:spacing w:line="276" w:lineRule="auto"/>
        <w:ind w:left="360"/>
        <w:jc w:val="both"/>
        <w:rPr>
          <w:rFonts w:ascii="Arial" w:hAnsi="Arial" w:cs="Arial"/>
          <w:sz w:val="12"/>
          <w:szCs w:val="12"/>
        </w:rPr>
      </w:pPr>
    </w:p>
    <w:p w:rsidR="007D7F7E" w:rsidRPr="007D7F7E" w:rsidP="008113E0">
      <w:pPr>
        <w:pStyle w:val="ListParagraph"/>
        <w:numPr>
          <w:ilvl w:val="0"/>
          <w:numId w:val="19"/>
        </w:numPr>
        <w:spacing w:line="276" w:lineRule="auto"/>
        <w:jc w:val="both"/>
        <w:rPr>
          <w:rFonts w:ascii="Arial" w:hAnsi="Arial" w:cs="Arial"/>
          <w:sz w:val="22"/>
          <w:szCs w:val="22"/>
        </w:rPr>
      </w:pPr>
      <w:r w:rsidRPr="007D7F7E">
        <w:rPr>
          <w:rFonts w:ascii="Arial" w:hAnsi="Arial" w:cs="Arial"/>
          <w:sz w:val="22"/>
          <w:szCs w:val="22"/>
        </w:rPr>
        <w:t>In the year ending December 2024, 86,049 family-related visas were issued. Although this marks a 7% increase from the previous year, this figure includes all categories and does not reflect the limited access refugee children have to family reunion specifically.</w:t>
      </w:r>
      <w:r>
        <w:rPr>
          <w:rStyle w:val="FootnoteReference"/>
          <w:rFonts w:ascii="Arial" w:hAnsi="Arial" w:cs="Arial"/>
          <w:sz w:val="22"/>
          <w:szCs w:val="22"/>
        </w:rPr>
        <w:footnoteReference w:id="35"/>
      </w:r>
      <w:r w:rsidRPr="007D7F7E">
        <w:rPr>
          <w:rFonts w:ascii="Arial" w:hAnsi="Arial" w:cs="Arial"/>
          <w:sz w:val="22"/>
          <w:szCs w:val="22"/>
        </w:rPr>
        <w:t xml:space="preserve"> Evidence from organisations like Safe Passage and Refugee Council shows that children in camps across Europe—such as northern France or Greece—often wait months or years to reunite with family in the UK, despite legal entitlements to do so.</w:t>
      </w:r>
      <w:r>
        <w:rPr>
          <w:rStyle w:val="FootnoteReference"/>
          <w:rFonts w:ascii="Arial" w:hAnsi="Arial" w:cs="Arial"/>
          <w:sz w:val="22"/>
          <w:szCs w:val="22"/>
        </w:rPr>
        <w:footnoteReference w:id="36"/>
      </w:r>
    </w:p>
    <w:p w:rsidR="007D7F7E" w:rsidRPr="007D7F7E" w:rsidP="00220BFD">
      <w:pPr>
        <w:pStyle w:val="ListParagraph"/>
        <w:spacing w:line="276" w:lineRule="auto"/>
        <w:ind w:left="360"/>
        <w:jc w:val="both"/>
        <w:rPr>
          <w:rFonts w:ascii="Arial" w:hAnsi="Arial" w:cs="Arial"/>
          <w:sz w:val="12"/>
          <w:szCs w:val="12"/>
        </w:rPr>
      </w:pPr>
    </w:p>
    <w:p w:rsidR="007D7F7E" w:rsidRPr="007D7F7E" w:rsidP="008113E0">
      <w:pPr>
        <w:pStyle w:val="ListParagraph"/>
        <w:numPr>
          <w:ilvl w:val="0"/>
          <w:numId w:val="19"/>
        </w:numPr>
        <w:spacing w:line="276" w:lineRule="auto"/>
        <w:jc w:val="both"/>
        <w:rPr>
          <w:rFonts w:ascii="Arial" w:hAnsi="Arial" w:cs="Arial"/>
          <w:sz w:val="22"/>
          <w:szCs w:val="22"/>
        </w:rPr>
      </w:pPr>
      <w:r w:rsidRPr="007D7F7E">
        <w:rPr>
          <w:rFonts w:ascii="Arial" w:hAnsi="Arial" w:cs="Arial"/>
          <w:sz w:val="22"/>
          <w:szCs w:val="22"/>
        </w:rPr>
        <w:t xml:space="preserve">In some </w:t>
      </w:r>
      <w:r w:rsidRPr="007D7F7E">
        <w:rPr>
          <w:rFonts w:ascii="Arial" w:hAnsi="Arial" w:cs="Arial"/>
          <w:sz w:val="22"/>
          <w:szCs w:val="22"/>
        </w:rPr>
        <w:t>cases, families in conflict zones are effectively blocked from reunion altogether due to the UK’s failure to provide functioning visa infrastructure in those areas.</w:t>
      </w:r>
      <w:r>
        <w:rPr>
          <w:rStyle w:val="FootnoteReference"/>
          <w:rFonts w:ascii="Arial" w:hAnsi="Arial" w:cs="Arial"/>
          <w:sz w:val="22"/>
          <w:szCs w:val="22"/>
        </w:rPr>
        <w:footnoteReference w:id="37"/>
      </w:r>
    </w:p>
    <w:p w:rsidR="007D7F7E" w:rsidRPr="007D7F7E" w:rsidP="00007950">
      <w:pPr>
        <w:pStyle w:val="ListParagraph"/>
        <w:spacing w:line="276" w:lineRule="auto"/>
        <w:ind w:left="360"/>
        <w:jc w:val="both"/>
        <w:rPr>
          <w:rFonts w:ascii="Arial" w:hAnsi="Arial" w:cs="Arial"/>
          <w:b/>
          <w:bCs/>
          <w:sz w:val="22"/>
          <w:szCs w:val="22"/>
        </w:rPr>
      </w:pPr>
    </w:p>
    <w:p w:rsidR="007D7F7E" w:rsidRPr="007D7F7E" w:rsidP="008113E0">
      <w:pPr>
        <w:pStyle w:val="ListParagraph"/>
        <w:numPr>
          <w:ilvl w:val="0"/>
          <w:numId w:val="19"/>
        </w:numPr>
        <w:spacing w:line="276" w:lineRule="auto"/>
        <w:jc w:val="both"/>
        <w:rPr>
          <w:rFonts w:ascii="Arial" w:hAnsi="Arial" w:cs="Arial"/>
          <w:b/>
          <w:bCs/>
          <w:sz w:val="22"/>
          <w:szCs w:val="22"/>
        </w:rPr>
      </w:pPr>
      <w:r w:rsidRPr="007D7F7E">
        <w:rPr>
          <w:rFonts w:ascii="Arial" w:hAnsi="Arial" w:cs="Arial"/>
          <w:b/>
          <w:bCs/>
          <w:sz w:val="22"/>
          <w:szCs w:val="22"/>
        </w:rPr>
        <w:t>Recommendations</w:t>
      </w:r>
      <w:r w:rsidRPr="007D7F7E">
        <w:rPr>
          <w:rFonts w:ascii="Arial" w:hAnsi="Arial" w:cs="Arial"/>
          <w:b/>
          <w:bCs/>
          <w:sz w:val="22"/>
          <w:szCs w:val="22"/>
        </w:rPr>
        <w:t xml:space="preserve">: </w:t>
      </w:r>
      <w:r w:rsidRPr="007D7F7E">
        <w:rPr>
          <w:rFonts w:ascii="Arial" w:hAnsi="Arial" w:cs="Arial"/>
          <w:b/>
          <w:bCs/>
          <w:sz w:val="22"/>
          <w:szCs w:val="22"/>
        </w:rPr>
        <w:t xml:space="preserve">To ensure compatibility with the UK’s human rights obligations and prevent unnecessary criminalisation, the UK </w:t>
      </w:r>
      <w:r w:rsidRPr="007D7F7E">
        <w:rPr>
          <w:rFonts w:ascii="Arial" w:hAnsi="Arial" w:cs="Arial"/>
          <w:b/>
          <w:bCs/>
          <w:sz w:val="22"/>
          <w:szCs w:val="22"/>
        </w:rPr>
        <w:t xml:space="preserve">government </w:t>
      </w:r>
      <w:r w:rsidRPr="007D7F7E">
        <w:rPr>
          <w:rFonts w:ascii="Arial" w:hAnsi="Arial" w:cs="Arial"/>
          <w:b/>
          <w:bCs/>
          <w:sz w:val="22"/>
          <w:szCs w:val="22"/>
        </w:rPr>
        <w:t>should:</w:t>
      </w:r>
    </w:p>
    <w:p w:rsidR="007D7F7E" w:rsidRPr="007D7F7E" w:rsidP="00007950">
      <w:pPr>
        <w:numPr>
          <w:ilvl w:val="0"/>
          <w:numId w:val="35"/>
        </w:numPr>
        <w:tabs>
          <w:tab w:val="clear" w:pos="360"/>
          <w:tab w:val="num" w:pos="1080"/>
        </w:tabs>
        <w:spacing w:after="0" w:line="276" w:lineRule="auto"/>
        <w:ind w:left="714" w:hanging="357"/>
        <w:jc w:val="both"/>
        <w:rPr>
          <w:rFonts w:ascii="Arial" w:hAnsi="Arial" w:cs="Arial"/>
          <w:b/>
          <w:bCs/>
          <w:sz w:val="22"/>
          <w:szCs w:val="22"/>
        </w:rPr>
      </w:pPr>
      <w:r w:rsidRPr="007D7F7E">
        <w:rPr>
          <w:rFonts w:ascii="Arial" w:hAnsi="Arial" w:cs="Arial"/>
          <w:b/>
          <w:bCs/>
          <w:sz w:val="22"/>
          <w:szCs w:val="22"/>
        </w:rPr>
        <w:t>Amend immigration rules to allow child refugees to sponsor parents and siblings.</w:t>
      </w:r>
    </w:p>
    <w:p w:rsidR="007D7F7E" w:rsidRPr="007D7F7E" w:rsidP="00007950">
      <w:pPr>
        <w:numPr>
          <w:ilvl w:val="0"/>
          <w:numId w:val="35"/>
        </w:numPr>
        <w:tabs>
          <w:tab w:val="clear" w:pos="360"/>
          <w:tab w:val="num" w:pos="1080"/>
        </w:tabs>
        <w:spacing w:after="0" w:line="276" w:lineRule="auto"/>
        <w:ind w:left="714" w:hanging="357"/>
        <w:jc w:val="both"/>
        <w:rPr>
          <w:rFonts w:ascii="Arial" w:hAnsi="Arial" w:cs="Arial"/>
          <w:b/>
          <w:bCs/>
          <w:sz w:val="22"/>
          <w:szCs w:val="22"/>
        </w:rPr>
      </w:pPr>
      <w:r w:rsidRPr="007D7F7E">
        <w:rPr>
          <w:rFonts w:ascii="Arial" w:hAnsi="Arial" w:cs="Arial"/>
          <w:b/>
          <w:bCs/>
          <w:sz w:val="22"/>
          <w:szCs w:val="22"/>
        </w:rPr>
        <w:t>Expand eligibility for family reunion to include extended family members such as aunts, uncles, and grandparents, where in the child’s best interests.</w:t>
      </w:r>
    </w:p>
    <w:p w:rsidR="007D7F7E" w:rsidRPr="007D7F7E" w:rsidP="00007950">
      <w:pPr>
        <w:numPr>
          <w:ilvl w:val="0"/>
          <w:numId w:val="36"/>
        </w:numPr>
        <w:tabs>
          <w:tab w:val="clear" w:pos="360"/>
          <w:tab w:val="num" w:pos="1080"/>
        </w:tabs>
        <w:spacing w:after="0" w:line="276" w:lineRule="auto"/>
        <w:ind w:left="714" w:hanging="357"/>
        <w:jc w:val="both"/>
        <w:rPr>
          <w:rFonts w:ascii="Arial" w:hAnsi="Arial" w:cs="Arial"/>
          <w:b/>
          <w:bCs/>
          <w:sz w:val="22"/>
          <w:szCs w:val="22"/>
        </w:rPr>
      </w:pPr>
      <w:r w:rsidRPr="007D7F7E">
        <w:rPr>
          <w:rFonts w:ascii="Arial" w:hAnsi="Arial" w:cs="Arial"/>
          <w:b/>
          <w:bCs/>
          <w:sz w:val="22"/>
          <w:szCs w:val="22"/>
        </w:rPr>
        <w:t>Launch a new resettlement scheme for children and families with children modelled on the Vulnerable Children’s Resettlement Scheme (VCRS).</w:t>
      </w:r>
    </w:p>
    <w:p w:rsidR="007D7F7E" w:rsidRPr="007D7F7E" w:rsidP="00007950">
      <w:pPr>
        <w:numPr>
          <w:ilvl w:val="0"/>
          <w:numId w:val="36"/>
        </w:numPr>
        <w:tabs>
          <w:tab w:val="clear" w:pos="360"/>
          <w:tab w:val="num" w:pos="1080"/>
        </w:tabs>
        <w:spacing w:after="0" w:line="276" w:lineRule="auto"/>
        <w:ind w:left="714" w:hanging="357"/>
        <w:jc w:val="both"/>
        <w:rPr>
          <w:rFonts w:ascii="Arial" w:hAnsi="Arial" w:cs="Arial"/>
          <w:b/>
          <w:bCs/>
          <w:sz w:val="22"/>
          <w:szCs w:val="22"/>
        </w:rPr>
      </w:pPr>
      <w:r w:rsidRPr="007D7F7E">
        <w:rPr>
          <w:rFonts w:ascii="Arial" w:hAnsi="Arial" w:cs="Arial"/>
          <w:b/>
          <w:bCs/>
          <w:sz w:val="22"/>
          <w:szCs w:val="22"/>
        </w:rPr>
        <w:t>The new scheme must not be limited by nationality or geography and should use risk and vulnerability as key criteria.</w:t>
      </w:r>
    </w:p>
    <w:p w:rsidR="007D7F7E" w:rsidRPr="007D7F7E" w:rsidP="00007950">
      <w:pPr>
        <w:numPr>
          <w:ilvl w:val="0"/>
          <w:numId w:val="37"/>
        </w:numPr>
        <w:tabs>
          <w:tab w:val="clear" w:pos="360"/>
          <w:tab w:val="num" w:pos="1080"/>
        </w:tabs>
        <w:spacing w:after="0" w:line="276" w:lineRule="auto"/>
        <w:ind w:left="714" w:hanging="357"/>
        <w:jc w:val="both"/>
        <w:rPr>
          <w:rFonts w:ascii="Arial" w:hAnsi="Arial" w:cs="Arial"/>
          <w:b/>
          <w:bCs/>
          <w:sz w:val="22"/>
          <w:szCs w:val="22"/>
        </w:rPr>
      </w:pPr>
      <w:r w:rsidRPr="007D7F7E">
        <w:rPr>
          <w:rFonts w:ascii="Arial" w:hAnsi="Arial" w:cs="Arial"/>
          <w:b/>
          <w:bCs/>
          <w:sz w:val="22"/>
          <w:szCs w:val="22"/>
        </w:rPr>
        <w:t>Ensure children in and outside the UK can access family reunion procedures regardless of where they are (with particular focus on those who are in conflict areas and where they, e.g. could not travel to V</w:t>
      </w:r>
      <w:r w:rsidRPr="007D7F7E">
        <w:rPr>
          <w:rFonts w:ascii="Arial" w:hAnsi="Arial" w:cs="Arial"/>
          <w:b/>
          <w:bCs/>
          <w:sz w:val="22"/>
          <w:szCs w:val="22"/>
        </w:rPr>
        <w:t xml:space="preserve">isa </w:t>
      </w:r>
      <w:r w:rsidRPr="007D7F7E">
        <w:rPr>
          <w:rFonts w:ascii="Arial" w:hAnsi="Arial" w:cs="Arial"/>
          <w:b/>
          <w:bCs/>
          <w:sz w:val="22"/>
          <w:szCs w:val="22"/>
        </w:rPr>
        <w:t>A</w:t>
      </w:r>
      <w:r w:rsidRPr="007D7F7E">
        <w:rPr>
          <w:rFonts w:ascii="Arial" w:hAnsi="Arial" w:cs="Arial"/>
          <w:b/>
          <w:bCs/>
          <w:sz w:val="22"/>
          <w:szCs w:val="22"/>
        </w:rPr>
        <w:t xml:space="preserve">pplication </w:t>
      </w:r>
      <w:r w:rsidRPr="007D7F7E">
        <w:rPr>
          <w:rFonts w:ascii="Arial" w:hAnsi="Arial" w:cs="Arial"/>
          <w:b/>
          <w:bCs/>
          <w:sz w:val="22"/>
          <w:szCs w:val="22"/>
        </w:rPr>
        <w:t>C</w:t>
      </w:r>
      <w:r w:rsidRPr="007D7F7E">
        <w:rPr>
          <w:rFonts w:ascii="Arial" w:hAnsi="Arial" w:cs="Arial"/>
          <w:b/>
          <w:bCs/>
          <w:sz w:val="22"/>
          <w:szCs w:val="22"/>
        </w:rPr>
        <w:t>entre, VAC</w:t>
      </w:r>
      <w:r w:rsidRPr="007D7F7E">
        <w:rPr>
          <w:rFonts w:ascii="Arial" w:hAnsi="Arial" w:cs="Arial"/>
          <w:b/>
          <w:bCs/>
          <w:sz w:val="22"/>
          <w:szCs w:val="22"/>
        </w:rPr>
        <w:t>).</w:t>
      </w:r>
    </w:p>
    <w:p w:rsidR="007D7F7E" w:rsidRPr="007D7F7E" w:rsidP="00220BFD">
      <w:pPr>
        <w:numPr>
          <w:ilvl w:val="0"/>
          <w:numId w:val="37"/>
        </w:numPr>
        <w:tabs>
          <w:tab w:val="clear" w:pos="360"/>
          <w:tab w:val="num" w:pos="1080"/>
        </w:tabs>
        <w:spacing w:after="0" w:line="276" w:lineRule="auto"/>
        <w:ind w:left="714" w:hanging="357"/>
        <w:jc w:val="both"/>
        <w:rPr>
          <w:rFonts w:ascii="Arial" w:hAnsi="Arial" w:cs="Arial"/>
          <w:sz w:val="22"/>
          <w:szCs w:val="22"/>
        </w:rPr>
      </w:pPr>
      <w:r w:rsidRPr="007D7F7E">
        <w:rPr>
          <w:rFonts w:ascii="Arial" w:hAnsi="Arial" w:cs="Arial"/>
          <w:b/>
          <w:bCs/>
          <w:sz w:val="22"/>
          <w:szCs w:val="22"/>
        </w:rPr>
        <w:t>Fund legal aid and support services to assist separated families in navigating the complex system</w:t>
      </w:r>
      <w:r w:rsidRPr="007D7F7E">
        <w:rPr>
          <w:rFonts w:ascii="Arial" w:hAnsi="Arial" w:cs="Arial"/>
          <w:sz w:val="22"/>
          <w:szCs w:val="22"/>
        </w:rPr>
        <w:t>.</w:t>
      </w:r>
      <w:r w:rsidRPr="007D7F7E">
        <w:rPr>
          <w:rFonts w:ascii="Arial" w:hAnsi="Arial" w:cs="Arial"/>
          <w:sz w:val="22"/>
          <w:szCs w:val="22"/>
        </w:rPr>
        <w:t xml:space="preserve"> </w:t>
      </w:r>
    </w:p>
    <w:p w:rsidR="007D7F7E" w:rsidRPr="007D7F7E" w:rsidP="007D7F7E">
      <w:pPr>
        <w:spacing w:after="0" w:line="276" w:lineRule="auto"/>
        <w:ind w:left="714"/>
        <w:jc w:val="both"/>
        <w:rPr>
          <w:rFonts w:ascii="Arial" w:hAnsi="Arial" w:cs="Arial"/>
          <w:sz w:val="22"/>
          <w:szCs w:val="22"/>
        </w:rPr>
      </w:pPr>
    </w:p>
    <w:p w:rsidR="007D7F7E" w:rsidRPr="007D7F7E" w:rsidP="007D7F7E">
      <w:pPr>
        <w:spacing w:after="0" w:line="276" w:lineRule="auto"/>
        <w:jc w:val="both"/>
        <w:rPr>
          <w:rFonts w:asciiTheme="minorHAnsi" w:hAnsiTheme="minorHAnsi" w:cstheme="minorHAnsi"/>
          <w:b/>
          <w:bCs/>
          <w:i/>
          <w:iCs/>
        </w:rPr>
      </w:pPr>
      <w:r w:rsidRPr="007D7F7E">
        <w:rPr>
          <w:rFonts w:asciiTheme="minorHAnsi" w:hAnsiTheme="minorHAnsi" w:cstheme="minorHAnsi"/>
          <w:b/>
          <w:bCs/>
          <w:i/>
          <w:iCs/>
        </w:rPr>
        <w:t>(April 2025)</w:t>
      </w:r>
    </w:p>
    <w:sectPr>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9676CD25-11ED-4391-82E3-70632DCE6B81}"/>
    <w:embedBold r:id="rId2" w:fontKey="{F6A42AC0-97B0-4944-A575-C59C4E53E8B5}"/>
    <w:embedItalic r:id="rId3" w:fontKey="{973B507F-4105-495B-BB0F-F58975FF14D4}"/>
    <w:embedBoldItalic r:id="rId4" w:fontKey="{4CC68345-2578-4CC5-AF1D-C2A60F01A5BC}"/>
  </w:font>
  <w:font w:name="Play">
    <w:charset w:val="00"/>
    <w:family w:val="auto"/>
    <w:pitch w:val="default"/>
    <w:embedRegular r:id="rId5" w:fontKey="{105B9BD3-61DD-4D54-BEF5-1A75BF993D59}"/>
  </w:font>
  <w:font w:name="Calibri">
    <w:panose1 w:val="020F0502020204030204"/>
    <w:charset w:val="00"/>
    <w:family w:val="swiss"/>
    <w:pitch w:val="variable"/>
    <w:sig w:usb0="E4002EFF" w:usb1="C000247B" w:usb2="00000009" w:usb3="00000000" w:csb0="000001FF" w:csb1="00000000"/>
    <w:embedRegular r:id="rId6" w:fontKey="{559C04FE-EF9B-4628-A1F6-E4E97FC013A8}"/>
    <w:embedBold r:id="rId7" w:fontKey="{58828977-7A2E-4A30-A219-BE866B9991D1}"/>
    <w:embedBoldItalic r:id="rId8" w:fontKey="{704E43C1-A7C2-488F-BA23-22204CB16325}"/>
  </w:font>
  <w:font w:name="Calibri Light">
    <w:panose1 w:val="020F0302020204030204"/>
    <w:charset w:val="00"/>
    <w:family w:val="swiss"/>
    <w:pitch w:val="variable"/>
    <w:sig w:usb0="E4002EFF" w:usb1="C000247B" w:usb2="00000009" w:usb3="00000000" w:csb0="000001FF" w:csb1="00000000"/>
    <w:embedRegular r:id="rId9" w:fontKey="{60A1E7C6-46CF-4E06-B27A-5A74395C47E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D7F7E">
      <w:pPr>
        <w:spacing w:after="0" w:line="240" w:lineRule="auto"/>
      </w:pPr>
      <w:r>
        <w:separator/>
      </w:r>
    </w:p>
  </w:footnote>
  <w:footnote w:type="continuationSeparator" w:id="1">
    <w:p w:rsidR="007D7F7E">
      <w:pPr>
        <w:spacing w:after="0" w:line="240" w:lineRule="auto"/>
      </w:pPr>
      <w:r>
        <w:continuationSeparator/>
      </w:r>
    </w:p>
  </w:footnote>
  <w:footnote w:id="2">
    <w:p w:rsidR="007D7F7E" w:rsidRPr="003E634F">
      <w:pPr>
        <w:spacing w:after="0" w:line="240" w:lineRule="auto"/>
        <w:rPr>
          <w:rFonts w:ascii="Arial" w:eastAsia="Arial" w:hAnsi="Arial" w:cs="Arial"/>
          <w:sz w:val="18"/>
          <w:szCs w:val="18"/>
        </w:rPr>
      </w:pPr>
      <w:r w:rsidRPr="003E634F">
        <w:rPr>
          <w:rFonts w:ascii="Arial" w:hAnsi="Arial" w:cs="Arial"/>
          <w:sz w:val="18"/>
          <w:szCs w:val="18"/>
          <w:vertAlign w:val="superscript"/>
        </w:rPr>
        <w:footnoteRef/>
      </w:r>
      <w:r w:rsidRPr="003E634F">
        <w:rPr>
          <w:rFonts w:ascii="Arial" w:hAnsi="Arial" w:cs="Arial"/>
          <w:sz w:val="18"/>
          <w:szCs w:val="18"/>
        </w:rPr>
        <w:t xml:space="preserve"> </w:t>
      </w:r>
      <w:r w:rsidRPr="003E634F">
        <w:rPr>
          <w:rFonts w:ascii="Arial" w:eastAsia="Arial" w:hAnsi="Arial" w:cs="Arial"/>
          <w:sz w:val="18"/>
          <w:szCs w:val="18"/>
        </w:rPr>
        <w:t xml:space="preserve">We welcome the </w:t>
      </w:r>
      <w:r w:rsidRPr="003E634F">
        <w:rPr>
          <w:rFonts w:ascii="Arial" w:eastAsia="Arial" w:hAnsi="Arial" w:cs="Arial"/>
          <w:sz w:val="18"/>
          <w:szCs w:val="18"/>
        </w:rPr>
        <w:t>repeal of powers to detain children that were brought in with section 11 of the IMA. These powers had not yet been commenced. The scrapping of the powers preserves the status quo of the Immigration Act 2014. This means unaccompanied children can only be detained for 24 hours in airports and other short-term facilities and children in families can only be detained for 72 hours or a week if personally authorised by the minister and in special facilities and with certain safeguards.</w:t>
      </w:r>
    </w:p>
  </w:footnote>
  <w:footnote w:id="3">
    <w:p w:rsidR="007D7F7E" w:rsidRPr="003E634F">
      <w:pPr>
        <w:spacing w:after="0" w:line="240" w:lineRule="auto"/>
        <w:rPr>
          <w:rFonts w:ascii="Arial" w:eastAsia="Arial" w:hAnsi="Arial" w:cs="Arial"/>
          <w:sz w:val="18"/>
          <w:szCs w:val="18"/>
        </w:rPr>
      </w:pPr>
      <w:r w:rsidRPr="003E634F">
        <w:rPr>
          <w:rFonts w:ascii="Arial" w:hAnsi="Arial" w:cs="Arial"/>
          <w:sz w:val="18"/>
          <w:szCs w:val="18"/>
          <w:vertAlign w:val="superscript"/>
        </w:rPr>
        <w:footnoteRef/>
      </w:r>
      <w:r w:rsidRPr="003E634F">
        <w:rPr>
          <w:rFonts w:ascii="Arial" w:hAnsi="Arial" w:cs="Arial"/>
          <w:sz w:val="18"/>
          <w:szCs w:val="18"/>
        </w:rPr>
        <w:t xml:space="preserve"> </w:t>
      </w:r>
      <w:r w:rsidRPr="003E634F">
        <w:rPr>
          <w:rFonts w:ascii="Arial" w:eastAsia="Arial" w:hAnsi="Arial" w:cs="Arial"/>
          <w:sz w:val="18"/>
          <w:szCs w:val="18"/>
        </w:rPr>
        <w:t>From 2021, the Home Office diverted unaccompanied children from the care system and placed them instead in Home Office-run hotels l</w:t>
      </w:r>
      <w:r w:rsidRPr="003E634F">
        <w:rPr>
          <w:rFonts w:ascii="Arial" w:eastAsia="Arial" w:hAnsi="Arial" w:cs="Arial"/>
          <w:sz w:val="18"/>
          <w:szCs w:val="18"/>
          <w:highlight w:val="white"/>
        </w:rPr>
        <w:t>eading to hundreds of children going missing, with 90 still unaccounted for as of 30 October 2024</w:t>
      </w:r>
      <w:r w:rsidRPr="003E634F">
        <w:rPr>
          <w:rFonts w:ascii="Arial" w:eastAsia="Arial" w:hAnsi="Arial" w:cs="Arial"/>
          <w:sz w:val="18"/>
          <w:szCs w:val="18"/>
        </w:rPr>
        <w:t>. The IMA, at sections 16-21, the previous government legislated to claim the power to directly accommodate, transport and remove unaccompanied children from care by the Home Office. This power was not commenced and undermined the landmark provisions enshrined in the Children Act 19</w:t>
      </w:r>
      <w:r w:rsidRPr="003E634F">
        <w:rPr>
          <w:rFonts w:ascii="Arial" w:eastAsia="Arial" w:hAnsi="Arial" w:cs="Arial"/>
          <w:sz w:val="18"/>
          <w:szCs w:val="18"/>
        </w:rPr>
        <w:t xml:space="preserve">89 preventing Local Authorities from discharging their statutory duties towards children, creating a two-tier system of care. Following </w:t>
      </w:r>
      <w:r>
        <w:fldChar w:fldCharType="begin"/>
      </w:r>
      <w:r>
        <w:instrText xml:space="preserve"> HYPERLINK "https://www.ecpat.org.uk/news/final-judgment-issued-in-ecpat-uk-case-against-kent-county-council-and-the-home-office" </w:instrText>
      </w:r>
      <w:r>
        <w:fldChar w:fldCharType="separate"/>
      </w:r>
      <w:r w:rsidRPr="003E634F">
        <w:rPr>
          <w:rFonts w:ascii="Arial" w:eastAsia="Arial" w:hAnsi="Arial" w:cs="Arial"/>
          <w:color w:val="1155CC"/>
          <w:sz w:val="18"/>
          <w:szCs w:val="18"/>
          <w:u w:val="single"/>
        </w:rPr>
        <w:t>litigation brought by RMCC member ECPAT UK</w:t>
      </w:r>
      <w:r>
        <w:fldChar w:fldCharType="end"/>
      </w:r>
      <w:r w:rsidRPr="003E634F">
        <w:rPr>
          <w:rFonts w:ascii="Arial" w:eastAsia="Arial" w:hAnsi="Arial" w:cs="Arial"/>
          <w:sz w:val="18"/>
          <w:szCs w:val="18"/>
        </w:rPr>
        <w:t>, the Home Office directly accommodating unaccompanied children outside the care system was found to be unlawful.</w:t>
      </w:r>
    </w:p>
  </w:footnote>
  <w:footnote w:id="4">
    <w:p w:rsidR="007D7F7E" w:rsidRPr="00C1331F" w:rsidP="00337179">
      <w:pPr>
        <w:pStyle w:val="FootnoteText"/>
        <w:rPr>
          <w:rStyle w:val="Hyperlink"/>
          <w:rFonts w:ascii="Arial" w:hAnsi="Arial" w:cs="Arial"/>
          <w:sz w:val="18"/>
          <w:szCs w:val="18"/>
        </w:rPr>
      </w:pPr>
      <w:r w:rsidRPr="00417ADF">
        <w:rPr>
          <w:rStyle w:val="FootnoteReference"/>
          <w:rFonts w:ascii="Arial" w:hAnsi="Arial" w:cs="Arial"/>
          <w:sz w:val="18"/>
          <w:szCs w:val="18"/>
        </w:rPr>
        <w:footnoteRef/>
      </w:r>
      <w:r w:rsidRPr="00417ADF">
        <w:rPr>
          <w:rFonts w:ascii="Arial" w:hAnsi="Arial" w:cs="Arial"/>
          <w:sz w:val="18"/>
          <w:szCs w:val="18"/>
        </w:rPr>
        <w:t xml:space="preserve"> </w:t>
      </w:r>
      <w:r w:rsidRPr="00C1331F">
        <w:rPr>
          <w:rFonts w:ascii="Arial" w:hAnsi="Arial" w:cs="Arial"/>
          <w:sz w:val="18"/>
          <w:szCs w:val="18"/>
        </w:rPr>
        <w:t>Joint Committee on Human</w:t>
      </w:r>
      <w:r>
        <w:rPr>
          <w:rFonts w:ascii="Arial" w:hAnsi="Arial" w:cs="Arial"/>
          <w:sz w:val="18"/>
          <w:szCs w:val="18"/>
        </w:rPr>
        <w:t xml:space="preserve"> </w:t>
      </w:r>
      <w:r w:rsidRPr="00C1331F">
        <w:rPr>
          <w:rFonts w:ascii="Arial" w:hAnsi="Arial" w:cs="Arial"/>
          <w:sz w:val="18"/>
          <w:szCs w:val="18"/>
        </w:rPr>
        <w:t>Rights</w:t>
      </w:r>
      <w:r>
        <w:rPr>
          <w:rFonts w:ascii="Arial" w:hAnsi="Arial" w:cs="Arial"/>
          <w:sz w:val="18"/>
          <w:szCs w:val="18"/>
        </w:rPr>
        <w:t xml:space="preserve">, </w:t>
      </w:r>
      <w:r>
        <w:rPr>
          <w:rFonts w:ascii="Arial" w:hAnsi="Arial" w:cs="Arial"/>
          <w:sz w:val="18"/>
          <w:szCs w:val="18"/>
        </w:rPr>
        <w:fldChar w:fldCharType="begin"/>
      </w:r>
      <w:r>
        <w:rPr>
          <w:rFonts w:ascii="Arial" w:hAnsi="Arial" w:cs="Arial"/>
          <w:sz w:val="18"/>
          <w:szCs w:val="18"/>
        </w:rPr>
        <w:instrText xml:space="preserve">HYPERLINK </w:instrText>
      </w:r>
      <w:r>
        <w:rPr>
          <w:rFonts w:ascii="Arial" w:hAnsi="Arial" w:cs="Arial"/>
          <w:sz w:val="18"/>
          <w:szCs w:val="18"/>
        </w:rPr>
        <w:instrText>"https://committees.parliament.uk/publications/40298/documents/196781/default/"</w:instrText>
      </w:r>
      <w:r>
        <w:rPr>
          <w:rFonts w:ascii="Arial" w:hAnsi="Arial" w:cs="Arial"/>
          <w:sz w:val="18"/>
          <w:szCs w:val="18"/>
        </w:rPr>
        <w:fldChar w:fldCharType="separate"/>
      </w:r>
      <w:r w:rsidRPr="00C1331F">
        <w:rPr>
          <w:rStyle w:val="Hyperlink"/>
          <w:rFonts w:ascii="Arial" w:hAnsi="Arial" w:cs="Arial"/>
          <w:sz w:val="18"/>
          <w:szCs w:val="18"/>
        </w:rPr>
        <w:t>Legislative Scrutiny: Illegal Migration Bill</w:t>
      </w:r>
    </w:p>
    <w:p w:rsidR="007D7F7E" w:rsidRPr="00417ADF" w:rsidP="00337179">
      <w:pPr>
        <w:pStyle w:val="FootnoteText"/>
        <w:rPr>
          <w:rFonts w:ascii="Arial" w:hAnsi="Arial" w:cs="Arial"/>
          <w:sz w:val="18"/>
          <w:szCs w:val="18"/>
          <w:lang w:val="en-US"/>
        </w:rPr>
      </w:pPr>
      <w:r w:rsidRPr="00C1331F">
        <w:rPr>
          <w:rStyle w:val="Hyperlink"/>
          <w:rFonts w:ascii="Arial" w:hAnsi="Arial" w:cs="Arial"/>
          <w:sz w:val="18"/>
          <w:szCs w:val="18"/>
        </w:rPr>
        <w:t>Twelfth Report of Session 2022–23</w:t>
      </w:r>
      <w:r>
        <w:rPr>
          <w:rFonts w:ascii="Arial" w:hAnsi="Arial" w:cs="Arial"/>
          <w:sz w:val="18"/>
          <w:szCs w:val="18"/>
        </w:rPr>
        <w:fldChar w:fldCharType="end"/>
      </w:r>
      <w:r>
        <w:rPr>
          <w:rFonts w:ascii="Arial" w:hAnsi="Arial" w:cs="Arial"/>
          <w:sz w:val="18"/>
          <w:szCs w:val="18"/>
        </w:rPr>
        <w:t xml:space="preserve">, June 2023 </w:t>
      </w:r>
    </w:p>
  </w:footnote>
  <w:footnote w:id="5">
    <w:p w:rsidR="007D7F7E" w:rsidRPr="00417ADF" w:rsidP="00337179">
      <w:pPr>
        <w:pStyle w:val="FootnoteText"/>
        <w:rPr>
          <w:rFonts w:ascii="Arial" w:hAnsi="Arial" w:cs="Arial"/>
          <w:sz w:val="18"/>
          <w:szCs w:val="18"/>
          <w:lang w:val="en-US"/>
        </w:rPr>
      </w:pPr>
      <w:r w:rsidRPr="00417ADF">
        <w:rPr>
          <w:rStyle w:val="FootnoteReference"/>
          <w:rFonts w:ascii="Arial" w:hAnsi="Arial" w:cs="Arial"/>
          <w:sz w:val="18"/>
          <w:szCs w:val="18"/>
        </w:rPr>
        <w:footnoteRef/>
      </w:r>
      <w:r w:rsidRPr="00417ADF">
        <w:rPr>
          <w:rFonts w:ascii="Arial" w:hAnsi="Arial" w:cs="Arial"/>
          <w:sz w:val="18"/>
          <w:szCs w:val="18"/>
        </w:rPr>
        <w:t xml:space="preserve"> </w:t>
      </w:r>
      <w:r>
        <w:fldChar w:fldCharType="begin"/>
      </w:r>
      <w:r>
        <w:instrText xml:space="preserve"> HYPERLINK "https://publications.parliament.uk/pa/bills/cbill/59-01/0173/HCB173ImpactAssessment.pdf" </w:instrText>
      </w:r>
      <w:r>
        <w:fldChar w:fldCharType="separate"/>
      </w:r>
      <w:r w:rsidRPr="00C1331F">
        <w:rPr>
          <w:rStyle w:val="Hyperlink"/>
          <w:rFonts w:ascii="Arial" w:hAnsi="Arial" w:cs="Arial"/>
          <w:sz w:val="18"/>
          <w:szCs w:val="18"/>
        </w:rPr>
        <w:t>Border Security, Asylum and Immigration Bill Impact Assessment</w:t>
      </w:r>
      <w:r>
        <w:fldChar w:fldCharType="end"/>
      </w:r>
      <w:r>
        <w:rPr>
          <w:rFonts w:ascii="Arial" w:hAnsi="Arial" w:cs="Arial"/>
          <w:sz w:val="18"/>
          <w:szCs w:val="18"/>
        </w:rPr>
        <w:t xml:space="preserve">, January 2025 </w:t>
      </w:r>
    </w:p>
  </w:footnote>
  <w:footnote w:id="6">
    <w:p w:rsidR="007D7F7E" w:rsidRPr="001D0C99" w:rsidP="00337179">
      <w:pPr>
        <w:spacing w:after="0" w:line="240" w:lineRule="auto"/>
        <w:rPr>
          <w:rFonts w:ascii="Arial" w:hAnsi="Arial" w:cs="Arial"/>
          <w:sz w:val="18"/>
          <w:szCs w:val="18"/>
        </w:rPr>
      </w:pPr>
      <w:r>
        <w:rPr>
          <w:rStyle w:val="FootnoteReference"/>
        </w:rPr>
        <w:footnoteRef/>
      </w:r>
      <w:r>
        <w:t xml:space="preserve"> </w:t>
      </w:r>
      <w:r w:rsidRPr="005938AD">
        <w:rPr>
          <w:rFonts w:ascii="Arial" w:hAnsi="Arial" w:cs="Arial"/>
          <w:sz w:val="18"/>
          <w:szCs w:val="18"/>
        </w:rPr>
        <w:t xml:space="preserve">UNHCR. </w:t>
      </w:r>
      <w:r>
        <w:fldChar w:fldCharType="begin"/>
      </w:r>
      <w:r>
        <w:instrText xml:space="preserve"> HYPERLINK "https://www.unhcr.org/uk/publications/unhcr-comments-illegal-migration-bill" </w:instrText>
      </w:r>
      <w:r>
        <w:fldChar w:fldCharType="separate"/>
      </w:r>
      <w:r w:rsidRPr="00EF1606">
        <w:rPr>
          <w:rStyle w:val="Hyperlink"/>
          <w:rFonts w:ascii="Arial" w:hAnsi="Arial" w:cs="Arial"/>
          <w:i/>
          <w:iCs/>
          <w:sz w:val="18"/>
          <w:szCs w:val="18"/>
        </w:rPr>
        <w:t>Comments on UK Illegal Migration Bill</w:t>
      </w:r>
      <w:r>
        <w:fldChar w:fldCharType="end"/>
      </w:r>
      <w:r w:rsidRPr="005938AD">
        <w:rPr>
          <w:rFonts w:ascii="Arial" w:hAnsi="Arial" w:cs="Arial"/>
          <w:sz w:val="18"/>
          <w:szCs w:val="18"/>
        </w:rPr>
        <w:t>, March 2023</w:t>
      </w:r>
    </w:p>
  </w:footnote>
  <w:footnote w:id="7">
    <w:p w:rsidR="007D7F7E" w:rsidRPr="001D0C99" w:rsidP="00337179">
      <w:pPr>
        <w:spacing w:after="0" w:line="240" w:lineRule="auto"/>
        <w:rPr>
          <w:rFonts w:ascii="Arial" w:hAnsi="Arial" w:cs="Arial"/>
          <w:sz w:val="18"/>
          <w:szCs w:val="18"/>
        </w:rPr>
      </w:pPr>
      <w:r>
        <w:rPr>
          <w:rStyle w:val="FootnoteReference"/>
        </w:rPr>
        <w:footnoteRef/>
      </w:r>
      <w:r>
        <w:t xml:space="preserve"> </w:t>
      </w:r>
      <w:r w:rsidRPr="005938AD">
        <w:rPr>
          <w:rFonts w:ascii="Arial" w:hAnsi="Arial" w:cs="Arial"/>
          <w:sz w:val="18"/>
          <w:szCs w:val="18"/>
        </w:rPr>
        <w:t xml:space="preserve">Refugee and Migrant Children’s Consortium. </w:t>
      </w:r>
      <w:r>
        <w:fldChar w:fldCharType="begin"/>
      </w:r>
      <w:r>
        <w:instrText xml:space="preserve"> HYPERLINK "https://www.refugeecouncil.org.uk/wp-content/uploads/2025/03/RMCC-Lost-Childhoods-March-2025-1.pdf" </w:instrText>
      </w:r>
      <w:r>
        <w:fldChar w:fldCharType="separate"/>
      </w:r>
      <w:r w:rsidRPr="00337179">
        <w:rPr>
          <w:rStyle w:val="Hyperlink"/>
          <w:rFonts w:ascii="Arial" w:hAnsi="Arial" w:cs="Arial"/>
          <w:i/>
          <w:iCs/>
          <w:sz w:val="18"/>
          <w:szCs w:val="18"/>
        </w:rPr>
        <w:t>Lost Childhoods</w:t>
      </w:r>
      <w:r>
        <w:fldChar w:fldCharType="end"/>
      </w:r>
      <w:r>
        <w:rPr>
          <w:rFonts w:ascii="Arial" w:hAnsi="Arial" w:cs="Arial"/>
          <w:i/>
          <w:iCs/>
          <w:sz w:val="18"/>
          <w:szCs w:val="18"/>
        </w:rPr>
        <w:t xml:space="preserve">, </w:t>
      </w:r>
      <w:r w:rsidRPr="005938AD">
        <w:rPr>
          <w:rFonts w:ascii="Arial" w:hAnsi="Arial" w:cs="Arial"/>
          <w:sz w:val="18"/>
          <w:szCs w:val="18"/>
        </w:rPr>
        <w:t>March 2025</w:t>
      </w:r>
      <w:r>
        <w:rPr>
          <w:rFonts w:ascii="Arial" w:hAnsi="Arial" w:cs="Arial"/>
          <w:sz w:val="18"/>
          <w:szCs w:val="18"/>
        </w:rPr>
        <w:t xml:space="preserve"> </w:t>
      </w:r>
    </w:p>
  </w:footnote>
  <w:footnote w:id="8">
    <w:p w:rsidR="007D7F7E" w:rsidRPr="00417ADF" w:rsidP="00566211">
      <w:pPr>
        <w:pBdr>
          <w:top w:val="nil"/>
          <w:left w:val="nil"/>
          <w:bottom w:val="nil"/>
          <w:right w:val="nil"/>
          <w:between w:val="nil"/>
        </w:pBdr>
        <w:spacing w:after="0" w:line="240" w:lineRule="auto"/>
        <w:rPr>
          <w:rFonts w:ascii="Arial" w:eastAsia="Arial" w:hAnsi="Arial" w:cs="Arial"/>
          <w:color w:val="000000"/>
          <w:sz w:val="18"/>
          <w:szCs w:val="18"/>
        </w:rPr>
      </w:pPr>
      <w:r w:rsidRPr="00417ADF">
        <w:rPr>
          <w:rFonts w:ascii="Arial" w:hAnsi="Arial" w:cs="Arial"/>
          <w:sz w:val="18"/>
          <w:szCs w:val="18"/>
          <w:vertAlign w:val="superscript"/>
        </w:rPr>
        <w:footnoteRef/>
      </w:r>
      <w:r w:rsidRPr="00417ADF">
        <w:rPr>
          <w:rFonts w:ascii="Arial" w:eastAsia="Arial" w:hAnsi="Arial" w:cs="Arial"/>
          <w:color w:val="000000"/>
          <w:sz w:val="18"/>
          <w:szCs w:val="18"/>
        </w:rPr>
        <w:t xml:space="preserve"> </w:t>
      </w:r>
      <w:r>
        <w:fldChar w:fldCharType="begin"/>
      </w:r>
      <w:r>
        <w:instrText xml:space="preserve"> HYPERLINK "https://publications.parliament.uk/pa/bills/cbill/59-01/0173/240173.pdf" </w:instrText>
      </w:r>
      <w:r>
        <w:fldChar w:fldCharType="separate"/>
      </w:r>
      <w:r w:rsidRPr="00417ADF">
        <w:rPr>
          <w:rFonts w:ascii="Arial" w:eastAsia="Arial" w:hAnsi="Arial" w:cs="Arial"/>
          <w:color w:val="00688E"/>
          <w:sz w:val="18"/>
          <w:szCs w:val="18"/>
          <w:u w:val="single"/>
        </w:rPr>
        <w:t>Border Security, Asylum and Immigration Bill Explanatory Notes</w:t>
      </w:r>
      <w:r>
        <w:fldChar w:fldCharType="end"/>
      </w:r>
      <w:r w:rsidRPr="00417ADF">
        <w:rPr>
          <w:rFonts w:ascii="Arial" w:eastAsia="Arial" w:hAnsi="Arial" w:cs="Arial"/>
          <w:color w:val="000000"/>
          <w:sz w:val="18"/>
          <w:szCs w:val="18"/>
        </w:rPr>
        <w:t xml:space="preserve"> </w:t>
      </w:r>
    </w:p>
  </w:footnote>
  <w:footnote w:id="9">
    <w:p w:rsidR="007D7F7E" w:rsidRPr="00417ADF">
      <w:pPr>
        <w:pStyle w:val="FootnoteText"/>
        <w:rPr>
          <w:rFonts w:ascii="Arial" w:hAnsi="Arial" w:cs="Arial"/>
          <w:sz w:val="18"/>
          <w:szCs w:val="18"/>
          <w:lang w:val="en-US"/>
        </w:rPr>
      </w:pPr>
      <w:r w:rsidRPr="00417ADF">
        <w:rPr>
          <w:rStyle w:val="FootnoteReference"/>
          <w:rFonts w:ascii="Arial" w:hAnsi="Arial" w:cs="Arial"/>
          <w:sz w:val="18"/>
          <w:szCs w:val="18"/>
        </w:rPr>
        <w:footnoteRef/>
      </w:r>
      <w:r w:rsidRPr="00417ADF">
        <w:rPr>
          <w:rFonts w:ascii="Arial" w:hAnsi="Arial" w:cs="Arial"/>
          <w:sz w:val="18"/>
          <w:szCs w:val="18"/>
        </w:rPr>
        <w:t xml:space="preserve"> </w:t>
      </w:r>
      <w:r>
        <w:fldChar w:fldCharType="begin"/>
      </w:r>
      <w:r>
        <w:instrText xml:space="preserve"> HYPERLINK "https://publications.parliament.uk/pa/bills/cbill/59-01/0173/HCB173ImpactAssessment.pdf" </w:instrText>
      </w:r>
      <w:r>
        <w:fldChar w:fldCharType="separate"/>
      </w:r>
      <w:r w:rsidRPr="00C1331F">
        <w:rPr>
          <w:rStyle w:val="Hyperlink"/>
          <w:rFonts w:ascii="Arial" w:hAnsi="Arial" w:cs="Arial"/>
          <w:sz w:val="18"/>
          <w:szCs w:val="18"/>
        </w:rPr>
        <w:t>Border Security, Asylum and Immigration Bill Impact Assessment</w:t>
      </w:r>
      <w:r>
        <w:fldChar w:fldCharType="end"/>
      </w:r>
      <w:r>
        <w:rPr>
          <w:rFonts w:ascii="Arial" w:hAnsi="Arial" w:cs="Arial"/>
          <w:sz w:val="18"/>
          <w:szCs w:val="18"/>
        </w:rPr>
        <w:t>, January 2025</w:t>
      </w:r>
    </w:p>
  </w:footnote>
  <w:footnote w:id="10">
    <w:p w:rsidR="007D7F7E" w:rsidP="00254115">
      <w:pPr>
        <w:pStyle w:val="FootnoteText"/>
      </w:pPr>
      <w:r w:rsidRPr="00417ADF">
        <w:rPr>
          <w:rStyle w:val="FootnoteReference"/>
          <w:rFonts w:ascii="Arial" w:hAnsi="Arial" w:cs="Arial"/>
          <w:sz w:val="18"/>
          <w:szCs w:val="18"/>
        </w:rPr>
        <w:footnoteRef/>
      </w:r>
      <w:r w:rsidRPr="00417ADF">
        <w:rPr>
          <w:rFonts w:ascii="Arial" w:hAnsi="Arial" w:cs="Arial"/>
          <w:sz w:val="18"/>
          <w:szCs w:val="18"/>
        </w:rPr>
        <w:t xml:space="preserve"> </w:t>
      </w:r>
      <w:r>
        <w:fldChar w:fldCharType="begin"/>
      </w:r>
      <w:r>
        <w:instrText xml:space="preserve"> HYPERLINK "https://publications.parliament.uk/pa/cm5804/cmselect/cmhaff/124/report.html" \l "heading-3" </w:instrText>
      </w:r>
      <w:r>
        <w:fldChar w:fldCharType="separate"/>
      </w:r>
      <w:r w:rsidRPr="00417ADF">
        <w:rPr>
          <w:rStyle w:val="Hyperlink"/>
          <w:rFonts w:ascii="Arial" w:hAnsi="Arial" w:cs="Arial"/>
          <w:sz w:val="18"/>
          <w:szCs w:val="18"/>
        </w:rPr>
        <w:t>Home Office Committee Report December 2023</w:t>
      </w:r>
      <w:r>
        <w:fldChar w:fldCharType="end"/>
      </w:r>
      <w:r w:rsidRPr="00417ADF">
        <w:rPr>
          <w:rFonts w:ascii="Arial" w:hAnsi="Arial" w:cs="Arial"/>
          <w:sz w:val="18"/>
          <w:szCs w:val="18"/>
        </w:rPr>
        <w:t>.</w:t>
      </w:r>
    </w:p>
  </w:footnote>
  <w:footnote w:id="11">
    <w:p w:rsidR="007D7F7E" w:rsidRPr="0059036A">
      <w:pPr>
        <w:pStyle w:val="FootnoteText"/>
        <w:rPr>
          <w:rFonts w:ascii="Arial" w:hAnsi="Arial" w:cs="Arial"/>
          <w:sz w:val="18"/>
          <w:szCs w:val="18"/>
          <w:lang w:val="en-US"/>
        </w:rPr>
      </w:pPr>
      <w:r w:rsidRPr="0059036A">
        <w:rPr>
          <w:rStyle w:val="FootnoteReference"/>
          <w:rFonts w:ascii="Arial" w:hAnsi="Arial" w:cs="Arial"/>
          <w:sz w:val="18"/>
          <w:szCs w:val="18"/>
        </w:rPr>
        <w:footnoteRef/>
      </w:r>
      <w:r w:rsidRPr="0059036A">
        <w:rPr>
          <w:rFonts w:ascii="Arial" w:hAnsi="Arial" w:cs="Arial"/>
          <w:sz w:val="18"/>
          <w:szCs w:val="18"/>
        </w:rPr>
        <w:t xml:space="preserve"> </w:t>
      </w:r>
      <w:r w:rsidRPr="0059036A">
        <w:rPr>
          <w:rFonts w:ascii="Arial" w:hAnsi="Arial" w:cs="Arial"/>
          <w:sz w:val="18"/>
          <w:szCs w:val="18"/>
        </w:rPr>
        <w:t xml:space="preserve">University of Oxford Centre for Criminology &amp; Border Criminologies and Humans for Rights Network, </w:t>
      </w:r>
      <w:r>
        <w:fldChar w:fldCharType="begin"/>
      </w:r>
      <w:r>
        <w:instrText xml:space="preserve"> HYPERLINK "https://www.law.ox.ac.uk/sites/default/files/2025-02/border_security_asylum_and_immigration_bill._briefing_on_the_expansion_of_criminal_offences_relating_to_irregular_arrival_to_the_uk_1.pdf" </w:instrText>
      </w:r>
      <w:r>
        <w:fldChar w:fldCharType="separate"/>
      </w:r>
      <w:r w:rsidRPr="0059036A">
        <w:rPr>
          <w:rStyle w:val="Hyperlink"/>
          <w:rFonts w:ascii="Arial" w:hAnsi="Arial" w:cs="Arial"/>
          <w:sz w:val="18"/>
          <w:szCs w:val="18"/>
        </w:rPr>
        <w:t>Border Security, Asylum and Immigration Bill: briefing on the expansion of criminal offences relating to irregular arrival to the UK</w:t>
      </w:r>
      <w:r>
        <w:fldChar w:fldCharType="end"/>
      </w:r>
      <w:r w:rsidRPr="0059036A">
        <w:rPr>
          <w:rFonts w:ascii="Arial" w:hAnsi="Arial" w:cs="Arial"/>
          <w:sz w:val="18"/>
          <w:szCs w:val="18"/>
        </w:rPr>
        <w:t xml:space="preserve">, February 2025 </w:t>
      </w:r>
    </w:p>
  </w:footnote>
  <w:footnote w:id="12">
    <w:p w:rsidR="007D7F7E" w:rsidRPr="0059036A" w:rsidP="00254115">
      <w:pPr>
        <w:spacing w:after="0" w:line="240" w:lineRule="auto"/>
        <w:rPr>
          <w:rFonts w:ascii="Arial" w:eastAsia="Arial" w:hAnsi="Arial" w:cs="Arial"/>
          <w:sz w:val="18"/>
          <w:szCs w:val="18"/>
        </w:rPr>
      </w:pPr>
      <w:r w:rsidRPr="0059036A">
        <w:rPr>
          <w:rFonts w:ascii="Arial" w:hAnsi="Arial" w:cs="Arial"/>
          <w:sz w:val="18"/>
          <w:szCs w:val="18"/>
          <w:vertAlign w:val="superscript"/>
        </w:rPr>
        <w:footnoteRef/>
      </w:r>
      <w:r w:rsidRPr="0059036A">
        <w:rPr>
          <w:rFonts w:ascii="Arial" w:eastAsia="Arial" w:hAnsi="Arial" w:cs="Arial"/>
          <w:sz w:val="18"/>
          <w:szCs w:val="18"/>
        </w:rPr>
        <w:t xml:space="preserve"> Helen Bamber Foundation, Humans for Rights Network, and Refugee Council. (2024). </w:t>
      </w:r>
      <w:r>
        <w:fldChar w:fldCharType="begin"/>
      </w:r>
      <w:r>
        <w:instrText xml:space="preserve"> HYPERLINK "https://www.refugeecouncil.org.uk/wp-content/uploads/2024/01/Forced-Adulthood-joint-report-on-age-disputes-January-2024.pdf" </w:instrText>
      </w:r>
      <w:r>
        <w:fldChar w:fldCharType="separate"/>
      </w:r>
      <w:r w:rsidRPr="0059036A">
        <w:rPr>
          <w:rFonts w:ascii="Arial" w:eastAsia="Arial" w:hAnsi="Arial" w:cs="Arial"/>
          <w:color w:val="00688E"/>
          <w:sz w:val="18"/>
          <w:szCs w:val="18"/>
          <w:u w:val="single"/>
        </w:rPr>
        <w:t>Forced Adulthood: The Home Office’s incorrect determination of age and how this leaves child refugees at risk</w:t>
      </w:r>
      <w:r>
        <w:fldChar w:fldCharType="end"/>
      </w:r>
      <w:r w:rsidRPr="0059036A">
        <w:rPr>
          <w:rFonts w:ascii="Arial" w:eastAsia="Arial" w:hAnsi="Arial" w:cs="Arial"/>
          <w:sz w:val="18"/>
          <w:szCs w:val="18"/>
        </w:rPr>
        <w:t>.</w:t>
      </w:r>
    </w:p>
  </w:footnote>
  <w:footnote w:id="13">
    <w:p w:rsidR="007D7F7E" w:rsidRPr="0059036A" w:rsidP="00254115">
      <w:pPr>
        <w:pStyle w:val="FootnoteText"/>
        <w:rPr>
          <w:rFonts w:ascii="Arial" w:hAnsi="Arial" w:cs="Arial"/>
          <w:sz w:val="18"/>
          <w:szCs w:val="18"/>
        </w:rPr>
      </w:pPr>
      <w:r w:rsidRPr="0059036A">
        <w:rPr>
          <w:rStyle w:val="FootnoteReference"/>
          <w:rFonts w:ascii="Arial" w:hAnsi="Arial" w:cs="Arial"/>
          <w:sz w:val="18"/>
          <w:szCs w:val="18"/>
        </w:rPr>
        <w:footnoteRef/>
      </w:r>
      <w:r w:rsidRPr="0059036A">
        <w:rPr>
          <w:rFonts w:ascii="Arial" w:hAnsi="Arial" w:cs="Arial"/>
          <w:sz w:val="18"/>
          <w:szCs w:val="18"/>
        </w:rPr>
        <w:t xml:space="preserve"> R</w:t>
      </w:r>
      <w:r w:rsidRPr="0059036A">
        <w:rPr>
          <w:rFonts w:ascii="Arial" w:hAnsi="Arial" w:cs="Arial"/>
          <w:sz w:val="18"/>
          <w:szCs w:val="18"/>
        </w:rPr>
        <w:t xml:space="preserve">efugee and Migrant Children’s Consortium, </w:t>
      </w:r>
      <w:r>
        <w:fldChar w:fldCharType="begin"/>
      </w:r>
      <w:r>
        <w:instrText xml:space="preserve"> HYPERLINK "https://helenbamber.org/resources/reportsbriefings/lost-childhoods-consequences-flawed-age-assessments-uk-border" </w:instrText>
      </w:r>
      <w:r>
        <w:fldChar w:fldCharType="separate"/>
      </w:r>
      <w:r w:rsidRPr="0059036A">
        <w:rPr>
          <w:rStyle w:val="Hyperlink"/>
          <w:rFonts w:ascii="Arial" w:hAnsi="Arial" w:cs="Arial"/>
          <w:sz w:val="18"/>
          <w:szCs w:val="18"/>
        </w:rPr>
        <w:t>Lost Childhoods</w:t>
      </w:r>
      <w:r w:rsidRPr="0059036A">
        <w:rPr>
          <w:rStyle w:val="Hyperlink"/>
          <w:rFonts w:ascii="Arial" w:hAnsi="Arial" w:cs="Arial"/>
          <w:sz w:val="18"/>
          <w:szCs w:val="18"/>
        </w:rPr>
        <w:t>: The consequences of flaw age assessments at the UK Border</w:t>
      </w:r>
      <w:r>
        <w:fldChar w:fldCharType="end"/>
      </w:r>
      <w:r w:rsidRPr="0059036A">
        <w:rPr>
          <w:rFonts w:ascii="Arial" w:hAnsi="Arial" w:cs="Arial"/>
          <w:sz w:val="18"/>
          <w:szCs w:val="18"/>
        </w:rPr>
        <w:t>,</w:t>
      </w:r>
      <w:r w:rsidRPr="0059036A">
        <w:rPr>
          <w:rFonts w:ascii="Arial" w:hAnsi="Arial" w:cs="Arial"/>
          <w:sz w:val="18"/>
          <w:szCs w:val="18"/>
        </w:rPr>
        <w:t xml:space="preserve"> </w:t>
      </w:r>
      <w:r w:rsidRPr="0059036A">
        <w:rPr>
          <w:rFonts w:ascii="Arial" w:hAnsi="Arial" w:cs="Arial"/>
          <w:sz w:val="18"/>
          <w:szCs w:val="18"/>
        </w:rPr>
        <w:t>March 2025.</w:t>
      </w:r>
    </w:p>
  </w:footnote>
  <w:footnote w:id="14">
    <w:p w:rsidR="007D7F7E" w:rsidRPr="0059036A" w:rsidP="00A4467A">
      <w:pPr>
        <w:spacing w:after="0" w:line="240" w:lineRule="auto"/>
        <w:rPr>
          <w:rFonts w:ascii="Arial" w:eastAsia="Arial" w:hAnsi="Arial" w:cs="Arial"/>
          <w:iCs/>
          <w:sz w:val="18"/>
          <w:szCs w:val="18"/>
        </w:rPr>
      </w:pPr>
      <w:r w:rsidRPr="0059036A">
        <w:rPr>
          <w:rFonts w:ascii="Arial" w:hAnsi="Arial" w:cs="Arial"/>
          <w:sz w:val="18"/>
          <w:szCs w:val="18"/>
          <w:vertAlign w:val="superscript"/>
        </w:rPr>
        <w:footnoteRef/>
      </w:r>
      <w:r w:rsidRPr="0059036A">
        <w:rPr>
          <w:rFonts w:ascii="Arial" w:eastAsia="Arial" w:hAnsi="Arial" w:cs="Arial"/>
          <w:sz w:val="18"/>
          <w:szCs w:val="18"/>
        </w:rPr>
        <w:t xml:space="preserve"> </w:t>
      </w:r>
      <w:r w:rsidRPr="0059036A">
        <w:rPr>
          <w:rFonts w:ascii="Arial" w:eastAsia="Arial" w:hAnsi="Arial" w:cs="Arial"/>
          <w:sz w:val="18"/>
          <w:szCs w:val="18"/>
        </w:rPr>
        <w:t>ibid</w:t>
      </w:r>
    </w:p>
  </w:footnote>
  <w:footnote w:id="15">
    <w:p w:rsidR="007D7F7E" w:rsidRPr="0059036A" w:rsidP="00C1331F">
      <w:pPr>
        <w:pStyle w:val="FootnoteText"/>
        <w:rPr>
          <w:rFonts w:ascii="Arial" w:hAnsi="Arial" w:cs="Arial"/>
          <w:sz w:val="18"/>
          <w:szCs w:val="18"/>
        </w:rPr>
      </w:pPr>
      <w:r w:rsidRPr="0059036A">
        <w:rPr>
          <w:rStyle w:val="FootnoteReference"/>
          <w:rFonts w:ascii="Arial" w:hAnsi="Arial" w:cs="Arial"/>
          <w:sz w:val="18"/>
          <w:szCs w:val="18"/>
        </w:rPr>
        <w:footnoteRef/>
      </w:r>
      <w:r w:rsidRPr="0059036A">
        <w:rPr>
          <w:rFonts w:ascii="Arial" w:hAnsi="Arial" w:cs="Arial"/>
          <w:sz w:val="18"/>
          <w:szCs w:val="18"/>
        </w:rPr>
        <w:t xml:space="preserve"> </w:t>
      </w:r>
      <w:r w:rsidRPr="0059036A">
        <w:rPr>
          <w:rFonts w:ascii="Arial" w:hAnsi="Arial" w:cs="Arial"/>
          <w:sz w:val="18"/>
          <w:szCs w:val="18"/>
        </w:rPr>
        <w:t xml:space="preserve">Joint Committee on Human Rights, </w:t>
      </w:r>
      <w:r>
        <w:fldChar w:fldCharType="begin"/>
      </w:r>
      <w:r>
        <w:instrText xml:space="preserve"> HYPERLINK "https://committees.parliament.uk/publications/8549/documents/86371/default/" </w:instrText>
      </w:r>
      <w:r>
        <w:fldChar w:fldCharType="separate"/>
      </w:r>
      <w:r w:rsidRPr="0059036A">
        <w:rPr>
          <w:rStyle w:val="Hyperlink"/>
          <w:rFonts w:ascii="Arial" w:hAnsi="Arial" w:cs="Arial"/>
          <w:sz w:val="18"/>
          <w:szCs w:val="18"/>
        </w:rPr>
        <w:t>Legislative Scrutiny: Nationality and Borders Bill (Parts 1, 2 and 4) – Asylum, Home Office Decision-Making, Age Assessments, and Deprivation of Citizenship Orders, Twelfth Report of Session 2021-22</w:t>
      </w:r>
      <w:r>
        <w:fldChar w:fldCharType="end"/>
      </w:r>
      <w:r w:rsidRPr="0059036A">
        <w:rPr>
          <w:rFonts w:ascii="Arial" w:hAnsi="Arial" w:cs="Arial"/>
          <w:sz w:val="18"/>
          <w:szCs w:val="18"/>
        </w:rPr>
        <w:t>, January 2022</w:t>
      </w:r>
      <w:r w:rsidRPr="0059036A">
        <w:rPr>
          <w:rFonts w:ascii="Arial" w:hAnsi="Arial" w:cs="Arial"/>
          <w:sz w:val="18"/>
          <w:szCs w:val="18"/>
        </w:rPr>
        <w:t xml:space="preserve"> </w:t>
      </w:r>
    </w:p>
  </w:footnote>
  <w:footnote w:id="16">
    <w:p w:rsidR="007D7F7E" w:rsidRPr="008113E0" w:rsidP="008113E0">
      <w:pPr>
        <w:pStyle w:val="FootnoteText"/>
        <w:rPr>
          <w:sz w:val="18"/>
          <w:szCs w:val="18"/>
        </w:rPr>
      </w:pPr>
      <w:r w:rsidRPr="008113E0">
        <w:rPr>
          <w:rStyle w:val="FootnoteReference"/>
          <w:sz w:val="18"/>
          <w:szCs w:val="18"/>
        </w:rPr>
        <w:footnoteRef/>
      </w:r>
      <w:r w:rsidRPr="008113E0">
        <w:rPr>
          <w:sz w:val="18"/>
          <w:szCs w:val="18"/>
        </w:rPr>
        <w:t xml:space="preserve"> </w:t>
      </w:r>
      <w:r w:rsidRPr="008113E0">
        <w:rPr>
          <w:rFonts w:ascii="Arial" w:hAnsi="Arial" w:cs="Arial"/>
          <w:sz w:val="18"/>
          <w:szCs w:val="18"/>
        </w:rPr>
        <w:t xml:space="preserve">Joint Committee on Human Rights, </w:t>
      </w:r>
      <w:r>
        <w:fldChar w:fldCharType="begin"/>
      </w:r>
      <w:r>
        <w:instrText xml:space="preserve"> HYPERLINK "https://committees.parliament.uk/publications/8328/documents/84688/default/" </w:instrText>
      </w:r>
      <w:r>
        <w:fldChar w:fldCharType="separate"/>
      </w:r>
      <w:r w:rsidRPr="008113E0">
        <w:rPr>
          <w:rStyle w:val="Hyperlink"/>
          <w:rFonts w:ascii="Arial" w:hAnsi="Arial" w:cs="Arial"/>
          <w:sz w:val="18"/>
          <w:szCs w:val="18"/>
        </w:rPr>
        <w:t>Legislative Scrutiny: Nationality and Borders Bill (Part 5)—Modern slavery Eleventh Report of Session 2021–22</w:t>
      </w:r>
      <w:r>
        <w:fldChar w:fldCharType="end"/>
      </w:r>
      <w:r w:rsidRPr="008113E0">
        <w:rPr>
          <w:rFonts w:ascii="Arial" w:hAnsi="Arial" w:cs="Arial"/>
          <w:sz w:val="18"/>
          <w:szCs w:val="18"/>
        </w:rPr>
        <w:t>, December 2021, para 69</w:t>
      </w:r>
    </w:p>
  </w:footnote>
  <w:footnote w:id="17">
    <w:p w:rsidR="007D7F7E" w:rsidRPr="008113E0" w:rsidP="008113E0">
      <w:pPr>
        <w:pBdr>
          <w:top w:val="nil"/>
          <w:left w:val="nil"/>
          <w:bottom w:val="nil"/>
          <w:right w:val="nil"/>
          <w:between w:val="nil"/>
        </w:pBdr>
        <w:spacing w:after="0" w:line="240" w:lineRule="auto"/>
        <w:rPr>
          <w:rFonts w:ascii="Arial" w:eastAsia="Arial" w:hAnsi="Arial" w:cs="Arial"/>
          <w:color w:val="000000"/>
          <w:sz w:val="18"/>
          <w:szCs w:val="18"/>
        </w:rPr>
      </w:pPr>
      <w:r w:rsidRPr="008113E0">
        <w:rPr>
          <w:rFonts w:ascii="Arial" w:hAnsi="Arial" w:cs="Arial"/>
          <w:sz w:val="18"/>
          <w:szCs w:val="18"/>
          <w:vertAlign w:val="superscript"/>
        </w:rPr>
        <w:footnoteRef/>
      </w:r>
      <w:r w:rsidRPr="008113E0">
        <w:rPr>
          <w:rFonts w:ascii="Arial" w:hAnsi="Arial" w:cs="Arial"/>
          <w:color w:val="000000"/>
          <w:sz w:val="18"/>
          <w:szCs w:val="18"/>
        </w:rPr>
        <w:t xml:space="preserve"> </w:t>
      </w:r>
      <w:r w:rsidRPr="008113E0">
        <w:rPr>
          <w:rFonts w:ascii="Arial" w:eastAsia="Arial" w:hAnsi="Arial" w:cs="Arial"/>
          <w:color w:val="000000"/>
          <w:sz w:val="18"/>
          <w:szCs w:val="18"/>
        </w:rPr>
        <w:t xml:space="preserve">IASC and ECPAT UK, </w:t>
      </w:r>
      <w:r>
        <w:fldChar w:fldCharType="begin"/>
      </w:r>
      <w:r>
        <w:instrText xml:space="preserve"> HYPERLINK "https://www.ecpat.org.uk/Handlers/Download.ashx?IDMF=3000811a-60bd-491e-88d2-3201080a2163" </w:instrText>
      </w:r>
      <w:r>
        <w:fldChar w:fldCharType="separate"/>
      </w:r>
      <w:r w:rsidRPr="008113E0">
        <w:rPr>
          <w:rFonts w:ascii="Arial" w:eastAsia="Arial" w:hAnsi="Arial" w:cs="Arial"/>
          <w:color w:val="1155CC"/>
          <w:sz w:val="18"/>
          <w:szCs w:val="18"/>
          <w:u w:val="single"/>
        </w:rPr>
        <w:t xml:space="preserve">Child Trafficking in the UK: A </w:t>
      </w:r>
      <w:r w:rsidRPr="008113E0">
        <w:rPr>
          <w:rFonts w:ascii="Arial" w:eastAsia="Arial" w:hAnsi="Arial" w:cs="Arial"/>
          <w:color w:val="1155CC"/>
          <w:sz w:val="18"/>
          <w:szCs w:val="18"/>
          <w:u w:val="single"/>
        </w:rPr>
        <w:t>Snapshot.</w:t>
      </w:r>
      <w:r>
        <w:fldChar w:fldCharType="end"/>
      </w:r>
      <w:r w:rsidRPr="008113E0">
        <w:rPr>
          <w:sz w:val="18"/>
          <w:szCs w:val="18"/>
        </w:rPr>
        <w:t>,2024</w:t>
      </w:r>
      <w:r w:rsidRPr="008113E0">
        <w:rPr>
          <w:rFonts w:ascii="Arial" w:eastAsia="Arial" w:hAnsi="Arial" w:cs="Arial"/>
          <w:color w:val="000000"/>
          <w:sz w:val="18"/>
          <w:szCs w:val="18"/>
        </w:rPr>
        <w:t xml:space="preserve"> </w:t>
      </w:r>
    </w:p>
  </w:footnote>
  <w:footnote w:id="18">
    <w:p w:rsidR="007D7F7E" w:rsidRPr="003E634F" w:rsidP="008113E0">
      <w:pPr>
        <w:pBdr>
          <w:top w:val="nil"/>
          <w:left w:val="nil"/>
          <w:bottom w:val="nil"/>
          <w:right w:val="nil"/>
          <w:between w:val="nil"/>
        </w:pBdr>
        <w:spacing w:after="0" w:line="240" w:lineRule="auto"/>
        <w:rPr>
          <w:rFonts w:ascii="Arial" w:eastAsia="Arial" w:hAnsi="Arial" w:cs="Arial"/>
          <w:color w:val="000000"/>
          <w:sz w:val="18"/>
          <w:szCs w:val="18"/>
        </w:rPr>
      </w:pPr>
      <w:r w:rsidRPr="008113E0">
        <w:rPr>
          <w:rFonts w:ascii="Arial" w:hAnsi="Arial" w:cs="Arial"/>
          <w:sz w:val="18"/>
          <w:szCs w:val="18"/>
          <w:vertAlign w:val="superscript"/>
        </w:rPr>
        <w:footnoteRef/>
      </w:r>
      <w:r w:rsidRPr="008113E0">
        <w:rPr>
          <w:rFonts w:ascii="Arial" w:hAnsi="Arial" w:cs="Arial"/>
          <w:color w:val="000000"/>
          <w:sz w:val="18"/>
          <w:szCs w:val="18"/>
        </w:rPr>
        <w:t xml:space="preserve"> </w:t>
      </w:r>
      <w:r w:rsidRPr="008113E0">
        <w:rPr>
          <w:rFonts w:ascii="Arial" w:eastAsia="Arial" w:hAnsi="Arial" w:cs="Arial"/>
          <w:color w:val="000000"/>
          <w:sz w:val="18"/>
          <w:szCs w:val="18"/>
        </w:rPr>
        <w:t xml:space="preserve">Magugliani, N. et al., </w:t>
      </w:r>
      <w:r>
        <w:fldChar w:fldCharType="begin"/>
      </w:r>
      <w:r>
        <w:instrText xml:space="preserve"> HYPERLINK "https://www.antislavery.org/wp-content/uploads/2024/06/NABA_report_ATMG_FINAL.pdf" </w:instrText>
      </w:r>
      <w:r>
        <w:fldChar w:fldCharType="separate"/>
      </w:r>
      <w:r w:rsidRPr="008113E0">
        <w:rPr>
          <w:rFonts w:ascii="Arial" w:eastAsia="Arial" w:hAnsi="Arial" w:cs="Arial"/>
          <w:color w:val="00688E"/>
          <w:sz w:val="18"/>
          <w:szCs w:val="18"/>
          <w:u w:val="single"/>
        </w:rPr>
        <w:t>Assessing the Modern Slavery Impacts of the Nationality and Borders Act: One Year On.</w:t>
      </w:r>
      <w:r>
        <w:fldChar w:fldCharType="end"/>
      </w:r>
      <w:r w:rsidRPr="008113E0">
        <w:rPr>
          <w:sz w:val="18"/>
          <w:szCs w:val="18"/>
        </w:rPr>
        <w:t>, 2024</w:t>
      </w:r>
    </w:p>
  </w:footnote>
  <w:footnote w:id="19">
    <w:p w:rsidR="007D7F7E" w:rsidRPr="003E634F" w:rsidP="00185FFC">
      <w:pPr>
        <w:pBdr>
          <w:top w:val="nil"/>
          <w:left w:val="nil"/>
          <w:bottom w:val="nil"/>
          <w:right w:val="nil"/>
          <w:between w:val="nil"/>
        </w:pBdr>
        <w:spacing w:after="0" w:line="240" w:lineRule="auto"/>
        <w:rPr>
          <w:rFonts w:ascii="Arial" w:eastAsia="Arial" w:hAnsi="Arial" w:cs="Arial"/>
          <w:color w:val="000000"/>
          <w:sz w:val="18"/>
          <w:szCs w:val="18"/>
        </w:rPr>
      </w:pPr>
      <w:r w:rsidRPr="003E634F">
        <w:rPr>
          <w:rFonts w:ascii="Arial" w:hAnsi="Arial" w:cs="Arial"/>
          <w:sz w:val="18"/>
          <w:szCs w:val="18"/>
          <w:vertAlign w:val="superscript"/>
        </w:rPr>
        <w:footnoteRef/>
      </w:r>
      <w:r w:rsidRPr="003E634F">
        <w:rPr>
          <w:rFonts w:ascii="Arial" w:eastAsia="Arial" w:hAnsi="Arial" w:cs="Arial"/>
          <w:color w:val="000000"/>
          <w:sz w:val="18"/>
          <w:szCs w:val="18"/>
        </w:rPr>
        <w:t xml:space="preserve"> </w:t>
      </w:r>
      <w:r>
        <w:fldChar w:fldCharType="begin"/>
      </w:r>
      <w:r>
        <w:instrText xml:space="preserve"> HYPERLINK "https://bills.parliament.uk/bills/3429/stages/17649" </w:instrText>
      </w:r>
      <w:r>
        <w:fldChar w:fldCharType="separate"/>
      </w:r>
      <w:r w:rsidRPr="003E634F">
        <w:rPr>
          <w:rFonts w:ascii="Arial" w:eastAsia="Arial" w:hAnsi="Arial" w:cs="Arial"/>
          <w:color w:val="1155CC"/>
          <w:sz w:val="18"/>
          <w:szCs w:val="18"/>
          <w:u w:val="single"/>
        </w:rPr>
        <w:t xml:space="preserve">Illegal Migration Act 2023, Second Reading. </w:t>
      </w:r>
      <w:r>
        <w:fldChar w:fldCharType="end"/>
      </w:r>
    </w:p>
  </w:footnote>
  <w:footnote w:id="20">
    <w:p w:rsidR="007D7F7E" w:rsidRPr="003E634F" w:rsidP="00185FFC">
      <w:pPr>
        <w:pBdr>
          <w:top w:val="nil"/>
          <w:left w:val="nil"/>
          <w:bottom w:val="nil"/>
          <w:right w:val="nil"/>
          <w:between w:val="nil"/>
        </w:pBdr>
        <w:spacing w:after="0" w:line="240" w:lineRule="auto"/>
        <w:rPr>
          <w:rFonts w:ascii="Arial" w:hAnsi="Arial" w:cs="Arial"/>
          <w:sz w:val="18"/>
          <w:szCs w:val="18"/>
        </w:rPr>
      </w:pPr>
      <w:r w:rsidRPr="003E634F">
        <w:rPr>
          <w:rFonts w:ascii="Arial" w:hAnsi="Arial" w:cs="Arial"/>
          <w:sz w:val="18"/>
          <w:szCs w:val="18"/>
          <w:vertAlign w:val="superscript"/>
        </w:rPr>
        <w:footnoteRef/>
      </w:r>
      <w:r w:rsidRPr="003E634F">
        <w:rPr>
          <w:rFonts w:ascii="Arial" w:hAnsi="Arial" w:cs="Arial"/>
          <w:color w:val="000000"/>
          <w:sz w:val="18"/>
          <w:szCs w:val="18"/>
        </w:rPr>
        <w:t xml:space="preserve"> </w:t>
      </w:r>
      <w:r w:rsidRPr="003E634F">
        <w:rPr>
          <w:rFonts w:ascii="Arial" w:eastAsia="Arial" w:hAnsi="Arial" w:cs="Arial"/>
          <w:color w:val="000000"/>
          <w:sz w:val="18"/>
          <w:szCs w:val="18"/>
        </w:rPr>
        <w:t xml:space="preserve">ILPA and Rainbow Migration. (2023). </w:t>
      </w:r>
      <w:r>
        <w:fldChar w:fldCharType="begin"/>
      </w:r>
      <w:r>
        <w:instrText xml:space="preserve"> HYPERLINK "https://www.rainbowmigration.org.uk/wp-content/uploads/2024/01/Briefing-on-Amendment-of-List-of-Safe-States-Regulations-2024-WEB-VERSION.pdf" </w:instrText>
      </w:r>
      <w:r>
        <w:fldChar w:fldCharType="separate"/>
      </w:r>
      <w:r w:rsidRPr="003E634F">
        <w:rPr>
          <w:rFonts w:ascii="Arial" w:eastAsia="Arial" w:hAnsi="Arial" w:cs="Arial"/>
          <w:color w:val="1155CC"/>
          <w:sz w:val="18"/>
          <w:szCs w:val="18"/>
          <w:u w:val="single"/>
        </w:rPr>
        <w:t>Joint Briefing on Draft Nationality, Immigration and Asylum Act 2002 (Amendment of List of Safe States) Regulations 2024.</w:t>
      </w:r>
      <w:r>
        <w:fldChar w:fldCharType="end"/>
      </w:r>
    </w:p>
  </w:footnote>
  <w:footnote w:id="21">
    <w:p w:rsidR="007D7F7E" w:rsidRPr="003E634F" w:rsidP="00185FFC">
      <w:pPr>
        <w:pBdr>
          <w:top w:val="nil"/>
          <w:left w:val="nil"/>
          <w:bottom w:val="nil"/>
          <w:right w:val="nil"/>
          <w:between w:val="nil"/>
        </w:pBdr>
        <w:spacing w:after="0" w:line="240" w:lineRule="auto"/>
        <w:rPr>
          <w:rFonts w:ascii="Arial" w:hAnsi="Arial" w:cs="Arial"/>
          <w:sz w:val="18"/>
          <w:szCs w:val="18"/>
        </w:rPr>
      </w:pPr>
      <w:r w:rsidRPr="003E634F">
        <w:rPr>
          <w:rFonts w:ascii="Arial" w:hAnsi="Arial" w:cs="Arial"/>
          <w:sz w:val="18"/>
          <w:szCs w:val="18"/>
          <w:vertAlign w:val="superscript"/>
        </w:rPr>
        <w:footnoteRef/>
      </w:r>
      <w:r w:rsidRPr="003E634F">
        <w:rPr>
          <w:rFonts w:ascii="Arial" w:eastAsia="Arial" w:hAnsi="Arial" w:cs="Arial"/>
          <w:sz w:val="18"/>
          <w:szCs w:val="18"/>
        </w:rPr>
        <w:t xml:space="preserve"> Home Office. (2024). Country policy and information note: human trafficking, Albania.  </w:t>
      </w:r>
    </w:p>
  </w:footnote>
  <w:footnote w:id="22">
    <w:p w:rsidR="007D7F7E" w:rsidRPr="003E634F" w:rsidP="00185FFC">
      <w:pPr>
        <w:pBdr>
          <w:top w:val="nil"/>
          <w:left w:val="nil"/>
          <w:bottom w:val="nil"/>
          <w:right w:val="nil"/>
          <w:between w:val="nil"/>
        </w:pBdr>
        <w:spacing w:after="0" w:line="240" w:lineRule="auto"/>
        <w:rPr>
          <w:rFonts w:ascii="Arial" w:eastAsia="Arial" w:hAnsi="Arial" w:cs="Arial"/>
          <w:sz w:val="18"/>
          <w:szCs w:val="18"/>
        </w:rPr>
      </w:pPr>
      <w:r w:rsidRPr="003E634F">
        <w:rPr>
          <w:rFonts w:ascii="Arial" w:hAnsi="Arial" w:cs="Arial"/>
          <w:sz w:val="18"/>
          <w:szCs w:val="18"/>
          <w:vertAlign w:val="superscript"/>
        </w:rPr>
        <w:footnoteRef/>
      </w:r>
      <w:r w:rsidRPr="003E634F">
        <w:rPr>
          <w:rFonts w:ascii="Arial" w:hAnsi="Arial" w:cs="Arial"/>
          <w:color w:val="000000"/>
          <w:sz w:val="18"/>
          <w:szCs w:val="18"/>
        </w:rPr>
        <w:t xml:space="preserve"> </w:t>
      </w:r>
      <w:r w:rsidRPr="003E634F">
        <w:rPr>
          <w:rFonts w:ascii="Arial" w:eastAsia="Arial" w:hAnsi="Arial" w:cs="Arial"/>
          <w:sz w:val="18"/>
          <w:szCs w:val="18"/>
        </w:rPr>
        <w:t xml:space="preserve">UKVI Immigration System Statistics: Asylum and Resettlement - Applications, Initial decisions, and Resettlement (to year ending June 2024). Main applicants and dependants included. </w:t>
      </w:r>
    </w:p>
  </w:footnote>
  <w:footnote w:id="23">
    <w:p w:rsidR="007D7F7E" w:rsidRPr="003E634F" w:rsidP="00185FFC">
      <w:pPr>
        <w:pBdr>
          <w:top w:val="nil"/>
          <w:left w:val="nil"/>
          <w:bottom w:val="nil"/>
          <w:right w:val="nil"/>
          <w:between w:val="nil"/>
        </w:pBdr>
        <w:spacing w:after="0" w:line="240" w:lineRule="auto"/>
        <w:rPr>
          <w:rFonts w:ascii="Arial" w:eastAsia="Arial" w:hAnsi="Arial" w:cs="Arial"/>
          <w:color w:val="000000"/>
          <w:sz w:val="18"/>
          <w:szCs w:val="18"/>
        </w:rPr>
      </w:pPr>
      <w:r w:rsidRPr="003E634F">
        <w:rPr>
          <w:rFonts w:ascii="Arial" w:hAnsi="Arial" w:cs="Arial"/>
          <w:sz w:val="18"/>
          <w:szCs w:val="18"/>
          <w:vertAlign w:val="superscript"/>
        </w:rPr>
        <w:footnoteRef/>
      </w:r>
      <w:r w:rsidRPr="003E634F">
        <w:rPr>
          <w:rFonts w:ascii="Arial" w:hAnsi="Arial" w:cs="Arial"/>
          <w:sz w:val="18"/>
          <w:szCs w:val="18"/>
        </w:rPr>
        <w:t xml:space="preserve"> </w:t>
      </w:r>
      <w:r w:rsidRPr="003E634F">
        <w:rPr>
          <w:rFonts w:ascii="Arial" w:eastAsia="Arial" w:hAnsi="Arial" w:cs="Arial"/>
          <w:sz w:val="18"/>
          <w:szCs w:val="18"/>
        </w:rPr>
        <w:t xml:space="preserve">ICIBI. (2023). </w:t>
      </w:r>
      <w:r>
        <w:fldChar w:fldCharType="begin"/>
      </w:r>
      <w:r>
        <w:instrText xml:space="preserve"> HYPERLINK "https://assets.publishing.service.gov.uk/media/65e06d45f1cab36b60fc47ad/An_inspection_of_asylum_casework_June_to_October_2023.pdf" </w:instrText>
      </w:r>
      <w:r>
        <w:fldChar w:fldCharType="separate"/>
      </w:r>
      <w:r w:rsidRPr="003E634F">
        <w:rPr>
          <w:rFonts w:ascii="Arial" w:eastAsia="Arial" w:hAnsi="Arial" w:cs="Arial"/>
          <w:color w:val="1155CC"/>
          <w:sz w:val="18"/>
          <w:szCs w:val="18"/>
          <w:u w:val="single"/>
        </w:rPr>
        <w:t>An Inspection of Asylum Casework.</w:t>
      </w:r>
      <w:r>
        <w:fldChar w:fldCharType="end"/>
      </w:r>
      <w:r w:rsidRPr="003E634F">
        <w:rPr>
          <w:rFonts w:ascii="Arial" w:eastAsia="Arial" w:hAnsi="Arial" w:cs="Arial"/>
          <w:sz w:val="18"/>
          <w:szCs w:val="18"/>
        </w:rPr>
        <w:t xml:space="preserve"> </w:t>
      </w:r>
    </w:p>
  </w:footnote>
  <w:footnote w:id="24">
    <w:p w:rsidR="007D7F7E" w:rsidP="00185FFC">
      <w:pPr>
        <w:pBdr>
          <w:top w:val="nil"/>
          <w:left w:val="nil"/>
          <w:bottom w:val="nil"/>
          <w:right w:val="nil"/>
          <w:between w:val="nil"/>
        </w:pBdr>
        <w:spacing w:after="0" w:line="240" w:lineRule="auto"/>
        <w:rPr>
          <w:color w:val="000000"/>
          <w:sz w:val="18"/>
          <w:szCs w:val="18"/>
        </w:rPr>
      </w:pPr>
      <w:r w:rsidRPr="003E634F">
        <w:rPr>
          <w:rFonts w:ascii="Arial" w:hAnsi="Arial" w:cs="Arial"/>
          <w:sz w:val="18"/>
          <w:szCs w:val="18"/>
          <w:vertAlign w:val="superscript"/>
        </w:rPr>
        <w:footnoteRef/>
      </w:r>
      <w:r w:rsidRPr="003E634F">
        <w:rPr>
          <w:rFonts w:ascii="Arial" w:hAnsi="Arial" w:cs="Arial"/>
          <w:color w:val="000000"/>
          <w:sz w:val="18"/>
          <w:szCs w:val="18"/>
        </w:rPr>
        <w:t xml:space="preserve"> Home Office. (2023).  </w:t>
      </w:r>
      <w:r>
        <w:fldChar w:fldCharType="begin"/>
      </w:r>
      <w:r>
        <w:instrText xml:space="preserve"> HYPERLINK "https://www.gov.uk/government/statistics/immigration-system-statistics-year-ending-december-2022" </w:instrText>
      </w:r>
      <w:r>
        <w:fldChar w:fldCharType="separate"/>
      </w:r>
      <w:r w:rsidRPr="003E634F">
        <w:rPr>
          <w:rFonts w:ascii="Arial" w:hAnsi="Arial" w:cs="Arial"/>
          <w:color w:val="1155CC"/>
          <w:sz w:val="18"/>
          <w:szCs w:val="18"/>
          <w:u w:val="single"/>
        </w:rPr>
        <w:t>Immigration Statistics - Asylum and Resettlement - Asylum appeals lodged and determined</w:t>
      </w:r>
      <w:r>
        <w:fldChar w:fldCharType="end"/>
      </w:r>
      <w:r>
        <w:fldChar w:fldCharType="begin"/>
      </w:r>
      <w:r>
        <w:instrText xml:space="preserve"> HYPERLINK "https://www.gov.uk/government/statistics/immigration-system-statistics-year-ending-december-2022" </w:instrText>
      </w:r>
      <w:r>
        <w:fldChar w:fldCharType="separate"/>
      </w:r>
      <w:r w:rsidRPr="003E634F">
        <w:rPr>
          <w:rFonts w:ascii="Arial" w:hAnsi="Arial" w:cs="Arial"/>
          <w:color w:val="1155CC"/>
          <w:sz w:val="18"/>
          <w:szCs w:val="18"/>
          <w:u w:val="single"/>
        </w:rPr>
        <w:t>.</w:t>
      </w:r>
      <w:r>
        <w:fldChar w:fldCharType="end"/>
      </w:r>
      <w:r>
        <w:fldChar w:fldCharType="begin"/>
      </w:r>
      <w:r>
        <w:instrText xml:space="preserve"> HYPERLINK "https://www.gov.uk/government/statistics/immigration-system-statistics-year-ending-december-2022" </w:instrText>
      </w:r>
      <w:r>
        <w:fldChar w:fldCharType="separate"/>
      </w:r>
      <w:r w:rsidRPr="003E634F">
        <w:rPr>
          <w:rFonts w:ascii="Arial" w:hAnsi="Arial" w:cs="Arial"/>
          <w:color w:val="1155CC"/>
          <w:sz w:val="18"/>
          <w:szCs w:val="18"/>
          <w:u w:val="single"/>
        </w:rPr>
        <w:t xml:space="preserve"> Data excludes dependants and withdrawn appeals.</w:t>
      </w:r>
      <w:r>
        <w:rPr>
          <w:color w:val="1155CC"/>
          <w:sz w:val="18"/>
          <w:szCs w:val="18"/>
          <w:u w:val="single"/>
        </w:rPr>
        <w:t xml:space="preserve"> </w:t>
      </w:r>
      <w:r>
        <w:fldChar w:fldCharType="end"/>
      </w:r>
    </w:p>
  </w:footnote>
  <w:footnote w:id="25">
    <w:p w:rsidR="007D7F7E" w:rsidRPr="00F82ADD" w:rsidP="000B27DF">
      <w:pPr>
        <w:pStyle w:val="FootnoteText"/>
        <w:rPr>
          <w:rFonts w:ascii="Arial" w:hAnsi="Arial" w:cs="Arial"/>
          <w:sz w:val="18"/>
          <w:szCs w:val="18"/>
        </w:rPr>
      </w:pPr>
      <w:r>
        <w:rPr>
          <w:rStyle w:val="FootnoteReference"/>
        </w:rPr>
        <w:footnoteRef/>
      </w:r>
      <w:r>
        <w:t xml:space="preserve"> </w:t>
      </w:r>
      <w:r w:rsidRPr="00F82ADD">
        <w:rPr>
          <w:rFonts w:ascii="Arial" w:hAnsi="Arial" w:cs="Arial"/>
          <w:sz w:val="18"/>
          <w:szCs w:val="18"/>
        </w:rPr>
        <w:t xml:space="preserve">Joint Committee on Human Rights, </w:t>
      </w:r>
      <w:r>
        <w:fldChar w:fldCharType="begin"/>
      </w:r>
      <w:r>
        <w:instrText xml:space="preserve"> HYPERLINK "https://committees.parliament.uk/publications/40298/documents/196781/default/" </w:instrText>
      </w:r>
      <w:r>
        <w:fldChar w:fldCharType="separate"/>
      </w:r>
      <w:r w:rsidRPr="00F82ADD">
        <w:rPr>
          <w:rStyle w:val="Hyperlink"/>
          <w:rFonts w:ascii="Arial" w:hAnsi="Arial" w:cs="Arial"/>
          <w:sz w:val="18"/>
          <w:szCs w:val="18"/>
        </w:rPr>
        <w:t>Legislative Scrutiny: Illegal Migration Bill Twelfth Report of Session 2022–23</w:t>
      </w:r>
      <w:r>
        <w:fldChar w:fldCharType="end"/>
      </w:r>
      <w:r w:rsidRPr="00F82ADD">
        <w:rPr>
          <w:rFonts w:ascii="Arial" w:hAnsi="Arial" w:cs="Arial"/>
          <w:sz w:val="18"/>
          <w:szCs w:val="18"/>
        </w:rPr>
        <w:t>, January 2022</w:t>
      </w:r>
      <w:r>
        <w:rPr>
          <w:rFonts w:ascii="Arial" w:hAnsi="Arial" w:cs="Arial"/>
          <w:sz w:val="18"/>
          <w:szCs w:val="18"/>
        </w:rPr>
        <w:t>, para 169</w:t>
      </w:r>
      <w:r w:rsidRPr="00F82ADD">
        <w:rPr>
          <w:rFonts w:ascii="Arial" w:hAnsi="Arial" w:cs="Arial"/>
          <w:sz w:val="18"/>
          <w:szCs w:val="18"/>
        </w:rPr>
        <w:t xml:space="preserve"> </w:t>
      </w:r>
    </w:p>
  </w:footnote>
  <w:footnote w:id="26">
    <w:p w:rsidR="007D7F7E" w:rsidRPr="000F5343">
      <w:pPr>
        <w:pStyle w:val="FootnoteText"/>
        <w:rPr>
          <w:lang w:val="en-US"/>
        </w:rPr>
      </w:pPr>
      <w:r>
        <w:rPr>
          <w:rStyle w:val="FootnoteReference"/>
        </w:rPr>
        <w:footnoteRef/>
      </w:r>
      <w:r>
        <w:t xml:space="preserve"> </w:t>
      </w:r>
      <w:r>
        <w:rPr>
          <w:lang w:val="en-US"/>
        </w:rPr>
        <w:t>Ibid, para 158</w:t>
      </w:r>
    </w:p>
  </w:footnote>
  <w:footnote w:id="27">
    <w:p w:rsidR="007D7F7E" w:rsidRPr="003B5FC1" w:rsidP="0016097A">
      <w:pPr>
        <w:pStyle w:val="FootnoteText"/>
        <w:rPr>
          <w:lang w:val="en-US"/>
        </w:rPr>
      </w:pPr>
      <w:r w:rsidRPr="00F82ADD">
        <w:rPr>
          <w:rStyle w:val="FootnoteReference"/>
          <w:rFonts w:ascii="Arial" w:hAnsi="Arial" w:cs="Arial"/>
          <w:sz w:val="18"/>
          <w:szCs w:val="18"/>
        </w:rPr>
        <w:footnoteRef/>
      </w:r>
      <w:r w:rsidRPr="00F82ADD">
        <w:rPr>
          <w:rFonts w:ascii="Arial" w:hAnsi="Arial" w:cs="Arial"/>
          <w:sz w:val="18"/>
          <w:szCs w:val="18"/>
        </w:rPr>
        <w:t xml:space="preserve"> </w:t>
      </w:r>
      <w:r w:rsidRPr="00F82ADD">
        <w:rPr>
          <w:rFonts w:ascii="Arial" w:hAnsi="Arial" w:cs="Arial"/>
          <w:sz w:val="18"/>
          <w:szCs w:val="18"/>
        </w:rPr>
        <w:t>ibid</w:t>
      </w:r>
      <w:r>
        <w:t xml:space="preserve"> </w:t>
      </w:r>
    </w:p>
  </w:footnote>
  <w:footnote w:id="28">
    <w:p w:rsidR="007D7F7E" w:rsidRPr="00C1331F" w:rsidP="00C1331F">
      <w:pPr>
        <w:spacing w:after="0" w:line="240" w:lineRule="auto"/>
        <w:rPr>
          <w:rFonts w:ascii="Arial" w:hAnsi="Arial" w:cs="Arial"/>
          <w:sz w:val="18"/>
          <w:szCs w:val="18"/>
        </w:rPr>
      </w:pPr>
      <w:r w:rsidRPr="00C1331F">
        <w:rPr>
          <w:rStyle w:val="FootnoteReference"/>
          <w:rFonts w:ascii="Arial" w:hAnsi="Arial" w:cs="Arial"/>
          <w:sz w:val="18"/>
          <w:szCs w:val="18"/>
        </w:rPr>
        <w:footnoteRef/>
      </w:r>
      <w:r w:rsidRPr="00C1331F">
        <w:rPr>
          <w:rFonts w:ascii="Arial" w:hAnsi="Arial" w:cs="Arial"/>
          <w:sz w:val="18"/>
          <w:szCs w:val="18"/>
        </w:rPr>
        <w:t xml:space="preserve"> </w:t>
      </w:r>
      <w:r w:rsidRPr="00C1331F">
        <w:rPr>
          <w:rFonts w:ascii="Arial" w:eastAsia="Arial" w:hAnsi="Arial" w:cs="Arial"/>
          <w:sz w:val="18"/>
          <w:szCs w:val="18"/>
        </w:rPr>
        <w:t xml:space="preserve">Helen Bamber Foundation, </w:t>
      </w:r>
      <w:r>
        <w:fldChar w:fldCharType="begin"/>
      </w:r>
      <w:r>
        <w:instrText xml:space="preserve"> HYPERLINK "https://helenbamber.org/resources/latest-news/educated-guess-best-x-raying-children-determine-their-age" </w:instrText>
      </w:r>
      <w:r>
        <w:fldChar w:fldCharType="separate"/>
      </w:r>
      <w:r w:rsidRPr="00C1331F">
        <w:rPr>
          <w:rFonts w:ascii="Arial" w:eastAsia="Arial" w:hAnsi="Arial" w:cs="Arial"/>
          <w:color w:val="00688E"/>
          <w:sz w:val="18"/>
          <w:szCs w:val="18"/>
          <w:u w:val="single"/>
        </w:rPr>
        <w:t>“An educated guess at best": x-raying children to determine their age</w:t>
      </w:r>
      <w:r>
        <w:fldChar w:fldCharType="end"/>
      </w:r>
      <w:r w:rsidRPr="00C1331F">
        <w:rPr>
          <w:rFonts w:ascii="Arial" w:hAnsi="Arial" w:cs="Arial"/>
          <w:sz w:val="18"/>
          <w:szCs w:val="18"/>
        </w:rPr>
        <w:t>, 2023</w:t>
      </w:r>
    </w:p>
  </w:footnote>
  <w:footnote w:id="29">
    <w:p w:rsidR="007D7F7E" w:rsidRPr="00C1331F" w:rsidP="003E634F">
      <w:pPr>
        <w:spacing w:after="0" w:line="240" w:lineRule="auto"/>
        <w:rPr>
          <w:rFonts w:ascii="Arial" w:hAnsi="Arial" w:cs="Arial"/>
          <w:sz w:val="18"/>
          <w:szCs w:val="18"/>
        </w:rPr>
      </w:pPr>
      <w:r w:rsidRPr="00C1331F">
        <w:rPr>
          <w:rFonts w:ascii="Arial" w:hAnsi="Arial" w:cs="Arial"/>
          <w:sz w:val="18"/>
          <w:szCs w:val="18"/>
          <w:vertAlign w:val="superscript"/>
        </w:rPr>
        <w:footnoteRef/>
      </w:r>
      <w:r w:rsidRPr="00C1331F">
        <w:rPr>
          <w:rFonts w:ascii="Arial" w:eastAsia="Arial" w:hAnsi="Arial" w:cs="Arial"/>
          <w:sz w:val="18"/>
          <w:szCs w:val="18"/>
        </w:rPr>
        <w:t xml:space="preserve"> Helen Bamber Foundation</w:t>
      </w:r>
      <w:r w:rsidRPr="00C1331F">
        <w:rPr>
          <w:rFonts w:ascii="Arial" w:eastAsia="Arial" w:hAnsi="Arial" w:cs="Arial"/>
          <w:sz w:val="18"/>
          <w:szCs w:val="18"/>
        </w:rPr>
        <w:t xml:space="preserve">, </w:t>
      </w:r>
      <w:r>
        <w:fldChar w:fldCharType="begin"/>
      </w:r>
      <w:r>
        <w:instrText xml:space="preserve"> HYPERLINK "https://helenbamber.org/resources/latest-news/educated-guess-best-x-raying-children-determine-their-age" </w:instrText>
      </w:r>
      <w:r>
        <w:fldChar w:fldCharType="separate"/>
      </w:r>
      <w:r w:rsidRPr="00C1331F">
        <w:rPr>
          <w:rFonts w:ascii="Arial" w:eastAsia="Arial" w:hAnsi="Arial" w:cs="Arial"/>
          <w:color w:val="00688E"/>
          <w:sz w:val="18"/>
          <w:szCs w:val="18"/>
          <w:u w:val="single"/>
        </w:rPr>
        <w:t>“An educated guess at best": x-raying children to determine their age</w:t>
      </w:r>
      <w:r>
        <w:fldChar w:fldCharType="end"/>
      </w:r>
      <w:r w:rsidRPr="00C1331F">
        <w:rPr>
          <w:rFonts w:ascii="Arial" w:eastAsia="Arial" w:hAnsi="Arial" w:cs="Arial"/>
          <w:sz w:val="18"/>
          <w:szCs w:val="18"/>
        </w:rPr>
        <w:t>, 2023</w:t>
      </w:r>
      <w:r w:rsidRPr="00C1331F">
        <w:rPr>
          <w:rFonts w:ascii="Arial" w:eastAsia="Arial" w:hAnsi="Arial" w:cs="Arial"/>
          <w:sz w:val="18"/>
          <w:szCs w:val="18"/>
        </w:rPr>
        <w:t>  </w:t>
      </w:r>
    </w:p>
  </w:footnote>
  <w:footnote w:id="30">
    <w:p w:rsidR="007D7F7E" w:rsidRPr="00C1331F">
      <w:pPr>
        <w:pStyle w:val="FootnoteText"/>
        <w:rPr>
          <w:lang w:val="en-US"/>
        </w:rPr>
      </w:pPr>
      <w:r w:rsidRPr="00C1331F">
        <w:rPr>
          <w:rStyle w:val="FootnoteReference"/>
          <w:rFonts w:ascii="Arial" w:hAnsi="Arial" w:cs="Arial"/>
          <w:sz w:val="18"/>
          <w:szCs w:val="18"/>
        </w:rPr>
        <w:footnoteRef/>
      </w:r>
      <w:r w:rsidRPr="00C1331F">
        <w:rPr>
          <w:rFonts w:ascii="Arial" w:hAnsi="Arial" w:cs="Arial"/>
          <w:sz w:val="18"/>
          <w:szCs w:val="18"/>
        </w:rPr>
        <w:t xml:space="preserve"> </w:t>
      </w:r>
      <w:r w:rsidRPr="0059036A">
        <w:rPr>
          <w:rFonts w:ascii="Arial" w:hAnsi="Arial" w:cs="Arial"/>
          <w:sz w:val="18"/>
          <w:szCs w:val="18"/>
        </w:rPr>
        <w:t xml:space="preserve">Joint Committee on Human Rights, </w:t>
      </w:r>
      <w:r>
        <w:fldChar w:fldCharType="begin"/>
      </w:r>
      <w:r>
        <w:instrText xml:space="preserve"> HYPERLINK "https://committees.parliament.uk/publications/8549/documents/86371/default/" </w:instrText>
      </w:r>
      <w:r>
        <w:fldChar w:fldCharType="separate"/>
      </w:r>
      <w:r w:rsidRPr="0059036A">
        <w:rPr>
          <w:rStyle w:val="Hyperlink"/>
          <w:rFonts w:ascii="Arial" w:hAnsi="Arial" w:cs="Arial"/>
          <w:sz w:val="18"/>
          <w:szCs w:val="18"/>
        </w:rPr>
        <w:t>Legislative Scrutiny: Nationality and Borders Bill (Parts 1, 2 and 4) – Asylum, Home Office Decision-Making, Age Assessments, and Deprivation of Citizenship Orders, Twelfth Report of Session 2021-22</w:t>
      </w:r>
      <w:r>
        <w:fldChar w:fldCharType="end"/>
      </w:r>
      <w:r w:rsidRPr="0059036A">
        <w:rPr>
          <w:rFonts w:ascii="Arial" w:hAnsi="Arial" w:cs="Arial"/>
          <w:sz w:val="18"/>
          <w:szCs w:val="18"/>
        </w:rPr>
        <w:t>, January 2022</w:t>
      </w:r>
    </w:p>
  </w:footnote>
  <w:footnote w:id="31">
    <w:p w:rsidR="007D7F7E" w:rsidRPr="00EF1606">
      <w:pPr>
        <w:pStyle w:val="FootnoteText"/>
        <w:rPr>
          <w:rFonts w:ascii="Arial" w:hAnsi="Arial" w:cs="Arial"/>
          <w:sz w:val="18"/>
          <w:szCs w:val="18"/>
        </w:rPr>
      </w:pPr>
      <w:r w:rsidRPr="00EF1606">
        <w:rPr>
          <w:rStyle w:val="FootnoteReference"/>
          <w:rFonts w:ascii="Arial" w:hAnsi="Arial" w:cs="Arial"/>
          <w:sz w:val="18"/>
          <w:szCs w:val="18"/>
        </w:rPr>
        <w:footnoteRef/>
      </w:r>
      <w:r w:rsidRPr="00EF1606">
        <w:rPr>
          <w:rFonts w:ascii="Arial" w:hAnsi="Arial" w:cs="Arial"/>
          <w:sz w:val="18"/>
          <w:szCs w:val="18"/>
        </w:rPr>
        <w:t xml:space="preserve"> </w:t>
      </w:r>
      <w:r w:rsidRPr="00EF1606">
        <w:rPr>
          <w:rFonts w:ascii="Arial" w:hAnsi="Arial" w:cs="Arial"/>
          <w:i/>
          <w:iCs/>
          <w:sz w:val="18"/>
          <w:szCs w:val="18"/>
        </w:rPr>
        <w:t>Op.cit</w:t>
      </w:r>
      <w:r w:rsidRPr="00EF1606">
        <w:rPr>
          <w:rFonts w:ascii="Arial" w:hAnsi="Arial" w:cs="Arial"/>
          <w:sz w:val="18"/>
          <w:szCs w:val="18"/>
        </w:rPr>
        <w:t>, para 23.</w:t>
      </w:r>
    </w:p>
  </w:footnote>
  <w:footnote w:id="32">
    <w:p w:rsidR="007D7F7E" w:rsidRPr="00EF1606">
      <w:pPr>
        <w:pStyle w:val="FootnoteText"/>
        <w:rPr>
          <w:rFonts w:ascii="Arial" w:hAnsi="Arial" w:cs="Arial"/>
          <w:sz w:val="18"/>
          <w:szCs w:val="18"/>
        </w:rPr>
      </w:pPr>
      <w:r w:rsidRPr="00EF1606">
        <w:rPr>
          <w:rStyle w:val="FootnoteReference"/>
          <w:rFonts w:ascii="Arial" w:hAnsi="Arial" w:cs="Arial"/>
          <w:sz w:val="18"/>
          <w:szCs w:val="18"/>
        </w:rPr>
        <w:footnoteRef/>
      </w:r>
      <w:r w:rsidRPr="00EF1606">
        <w:rPr>
          <w:rFonts w:ascii="Arial" w:hAnsi="Arial" w:cs="Arial"/>
          <w:sz w:val="18"/>
          <w:szCs w:val="18"/>
        </w:rPr>
        <w:t xml:space="preserve"> </w:t>
      </w:r>
      <w:r w:rsidRPr="00EF1606">
        <w:rPr>
          <w:rFonts w:ascii="Arial" w:hAnsi="Arial" w:cs="Arial"/>
          <w:i/>
          <w:iCs/>
          <w:sz w:val="18"/>
          <w:szCs w:val="18"/>
        </w:rPr>
        <w:t>Ibid.</w:t>
      </w:r>
      <w:r w:rsidRPr="00EF1606">
        <w:rPr>
          <w:rFonts w:ascii="Arial" w:hAnsi="Arial" w:cs="Arial"/>
          <w:sz w:val="18"/>
          <w:szCs w:val="18"/>
        </w:rPr>
        <w:t>, para 53.</w:t>
      </w:r>
    </w:p>
  </w:footnote>
  <w:footnote w:id="33">
    <w:p w:rsidR="007D7F7E" w:rsidRPr="00EF1606">
      <w:pPr>
        <w:pStyle w:val="FootnoteText"/>
        <w:rPr>
          <w:rFonts w:ascii="Arial" w:hAnsi="Arial" w:cs="Arial"/>
          <w:sz w:val="18"/>
          <w:szCs w:val="18"/>
          <w:lang w:val="en-US"/>
        </w:rPr>
      </w:pPr>
      <w:r w:rsidRPr="00EF1606">
        <w:rPr>
          <w:rStyle w:val="FootnoteReference"/>
          <w:rFonts w:ascii="Arial" w:hAnsi="Arial" w:cs="Arial"/>
          <w:sz w:val="18"/>
          <w:szCs w:val="18"/>
        </w:rPr>
        <w:footnoteRef/>
      </w:r>
      <w:r w:rsidRPr="00EF1606">
        <w:rPr>
          <w:rFonts w:ascii="Arial" w:hAnsi="Arial" w:cs="Arial"/>
          <w:sz w:val="18"/>
          <w:szCs w:val="18"/>
        </w:rPr>
        <w:t xml:space="preserve"> UN Convention on the Rights of the Child (UNCRC): Articles 3, 9, 10, and 22 affirm the </w:t>
      </w:r>
      <w:r w:rsidRPr="00EF1606">
        <w:rPr>
          <w:rFonts w:ascii="Arial" w:hAnsi="Arial" w:cs="Arial"/>
          <w:sz w:val="18"/>
          <w:szCs w:val="18"/>
        </w:rPr>
        <w:t>child's right to family unity, protection from harm, and treatment in accordance with their best interests</w:t>
      </w:r>
    </w:p>
  </w:footnote>
  <w:footnote w:id="34">
    <w:p w:rsidR="007D7F7E" w:rsidRPr="00EF1606" w:rsidP="001D0C99">
      <w:pPr>
        <w:spacing w:after="0" w:line="259" w:lineRule="auto"/>
        <w:rPr>
          <w:rFonts w:ascii="Arial" w:hAnsi="Arial" w:cs="Arial"/>
          <w:sz w:val="18"/>
          <w:szCs w:val="18"/>
        </w:rPr>
      </w:pPr>
      <w:r w:rsidRPr="00EF1606">
        <w:rPr>
          <w:rStyle w:val="FootnoteReference"/>
          <w:rFonts w:ascii="Arial" w:hAnsi="Arial" w:cs="Arial"/>
          <w:sz w:val="18"/>
          <w:szCs w:val="18"/>
        </w:rPr>
        <w:footnoteRef/>
      </w:r>
      <w:r w:rsidRPr="00EF1606">
        <w:rPr>
          <w:rFonts w:ascii="Arial" w:hAnsi="Arial" w:cs="Arial"/>
          <w:sz w:val="18"/>
          <w:szCs w:val="18"/>
        </w:rPr>
        <w:t xml:space="preserve"> Refugee Council. </w:t>
      </w:r>
      <w:r>
        <w:fldChar w:fldCharType="begin"/>
      </w:r>
      <w:r>
        <w:instrText xml:space="preserve"> HYPERLINK "https://www.refugeecouncil.org.uk/information/resources/briefing-the-case-for-safe-routes/" </w:instrText>
      </w:r>
      <w:r>
        <w:fldChar w:fldCharType="separate"/>
      </w:r>
      <w:r w:rsidRPr="00EF1606">
        <w:rPr>
          <w:rStyle w:val="Hyperlink"/>
          <w:rFonts w:ascii="Arial" w:hAnsi="Arial" w:cs="Arial"/>
          <w:i/>
          <w:iCs/>
          <w:sz w:val="18"/>
          <w:szCs w:val="18"/>
        </w:rPr>
        <w:t>Briefing: The Case for Safe Routes</w:t>
      </w:r>
      <w:r>
        <w:fldChar w:fldCharType="end"/>
      </w:r>
      <w:r w:rsidRPr="00EF1606">
        <w:rPr>
          <w:rFonts w:ascii="Arial" w:hAnsi="Arial" w:cs="Arial"/>
          <w:sz w:val="18"/>
          <w:szCs w:val="18"/>
        </w:rPr>
        <w:t xml:space="preserve">, October 2023.  and Safe Passage. </w:t>
      </w:r>
      <w:r w:rsidRPr="00EF1606">
        <w:rPr>
          <w:rFonts w:ascii="Arial" w:hAnsi="Arial" w:cs="Arial"/>
          <w:i/>
          <w:iCs/>
          <w:sz w:val="18"/>
          <w:szCs w:val="18"/>
        </w:rPr>
        <w:t>Family Reunion and Safe Routes for Children</w:t>
      </w:r>
      <w:r w:rsidRPr="00EF1606">
        <w:rPr>
          <w:rFonts w:ascii="Arial" w:hAnsi="Arial" w:cs="Arial"/>
          <w:sz w:val="18"/>
          <w:szCs w:val="18"/>
        </w:rPr>
        <w:t xml:space="preserve">, 2024. </w:t>
      </w:r>
      <w:r>
        <w:fldChar w:fldCharType="begin"/>
      </w:r>
      <w:r>
        <w:instrText xml:space="preserve"> HYPERLINK "https://www.safepassage.org.uk/family-reunion" </w:instrText>
      </w:r>
      <w:r>
        <w:fldChar w:fldCharType="separate"/>
      </w:r>
      <w:r w:rsidRPr="00EF1606">
        <w:rPr>
          <w:rStyle w:val="Hyperlink"/>
          <w:rFonts w:ascii="Arial" w:hAnsi="Arial" w:cs="Arial"/>
          <w:sz w:val="18"/>
          <w:szCs w:val="18"/>
        </w:rPr>
        <w:t>https://www.safepassage.org.uk/family-reunion</w:t>
      </w:r>
      <w:r>
        <w:fldChar w:fldCharType="end"/>
      </w:r>
      <w:r w:rsidRPr="00EF1606">
        <w:rPr>
          <w:rFonts w:ascii="Arial" w:hAnsi="Arial" w:cs="Arial"/>
          <w:sz w:val="18"/>
          <w:szCs w:val="18"/>
        </w:rPr>
        <w:t xml:space="preserve"> </w:t>
      </w:r>
    </w:p>
  </w:footnote>
  <w:footnote w:id="35">
    <w:p w:rsidR="007D7F7E" w:rsidRPr="00EF1606" w:rsidP="001D0C99">
      <w:pPr>
        <w:spacing w:after="0" w:line="259" w:lineRule="auto"/>
        <w:rPr>
          <w:rFonts w:ascii="Arial" w:hAnsi="Arial" w:cs="Arial"/>
          <w:sz w:val="18"/>
          <w:szCs w:val="18"/>
        </w:rPr>
      </w:pPr>
      <w:r w:rsidRPr="00EF1606">
        <w:rPr>
          <w:rStyle w:val="FootnoteReference"/>
          <w:rFonts w:ascii="Arial" w:hAnsi="Arial" w:cs="Arial"/>
          <w:sz w:val="18"/>
          <w:szCs w:val="18"/>
        </w:rPr>
        <w:footnoteRef/>
      </w:r>
      <w:r w:rsidRPr="00EF1606">
        <w:rPr>
          <w:rFonts w:ascii="Arial" w:hAnsi="Arial" w:cs="Arial"/>
          <w:sz w:val="18"/>
          <w:szCs w:val="18"/>
        </w:rPr>
        <w:t xml:space="preserve"> UK Home Office. </w:t>
      </w:r>
      <w:r>
        <w:fldChar w:fldCharType="begin"/>
      </w:r>
      <w:r>
        <w:instrText xml:space="preserve"> HYPERLINK "https://www.gov.uk/government/statistics/immigration-system-statistics-year-ending-december-2024" </w:instrText>
      </w:r>
      <w:r>
        <w:fldChar w:fldCharType="separate"/>
      </w:r>
      <w:r w:rsidRPr="00EF1606">
        <w:rPr>
          <w:rStyle w:val="Hyperlink"/>
          <w:rFonts w:ascii="Arial" w:hAnsi="Arial" w:cs="Arial"/>
          <w:i/>
          <w:iCs/>
          <w:sz w:val="18"/>
          <w:szCs w:val="18"/>
        </w:rPr>
        <w:t>Immigration system statistics, year ending December 2024 – Family route</w:t>
      </w:r>
      <w:r>
        <w:fldChar w:fldCharType="end"/>
      </w:r>
      <w:r w:rsidRPr="00EF1606">
        <w:rPr>
          <w:rFonts w:ascii="Arial" w:hAnsi="Arial" w:cs="Arial"/>
          <w:sz w:val="18"/>
          <w:szCs w:val="18"/>
        </w:rPr>
        <w:t>.</w:t>
      </w:r>
    </w:p>
  </w:footnote>
  <w:footnote w:id="36">
    <w:p w:rsidR="007D7F7E" w:rsidRPr="00EF1606" w:rsidP="001D0C99">
      <w:pPr>
        <w:spacing w:after="0" w:line="259" w:lineRule="auto"/>
        <w:rPr>
          <w:rFonts w:ascii="Arial" w:hAnsi="Arial" w:cs="Arial"/>
          <w:sz w:val="18"/>
          <w:szCs w:val="18"/>
        </w:rPr>
      </w:pPr>
      <w:r w:rsidRPr="00EF1606">
        <w:rPr>
          <w:rStyle w:val="FootnoteReference"/>
          <w:rFonts w:ascii="Arial" w:hAnsi="Arial" w:cs="Arial"/>
          <w:sz w:val="18"/>
          <w:szCs w:val="18"/>
        </w:rPr>
        <w:footnoteRef/>
      </w:r>
      <w:r w:rsidRPr="00EF1606">
        <w:rPr>
          <w:rFonts w:ascii="Arial" w:hAnsi="Arial" w:cs="Arial"/>
          <w:sz w:val="18"/>
          <w:szCs w:val="18"/>
        </w:rPr>
        <w:t xml:space="preserve"> </w:t>
      </w:r>
      <w:bookmarkStart w:id="0" w:name="_Hlk195175467"/>
      <w:r w:rsidRPr="00EF1606">
        <w:rPr>
          <w:rFonts w:ascii="Arial" w:hAnsi="Arial" w:cs="Arial"/>
          <w:sz w:val="18"/>
          <w:szCs w:val="18"/>
        </w:rPr>
        <w:t xml:space="preserve">UNHCR UK. </w:t>
      </w:r>
      <w:r>
        <w:fldChar w:fldCharType="begin"/>
      </w:r>
      <w:r>
        <w:instrText xml:space="preserve"> HYPERLINK "https://www.unhcr.org/uk/publications" </w:instrText>
      </w:r>
      <w:r>
        <w:fldChar w:fldCharType="separate"/>
      </w:r>
      <w:r w:rsidRPr="00EF1606">
        <w:rPr>
          <w:rStyle w:val="Hyperlink"/>
          <w:rFonts w:ascii="Arial" w:hAnsi="Arial" w:cs="Arial"/>
          <w:i/>
          <w:iCs/>
          <w:sz w:val="18"/>
          <w:szCs w:val="18"/>
        </w:rPr>
        <w:t>Legal pathways for refugees</w:t>
      </w:r>
      <w:r>
        <w:fldChar w:fldCharType="end"/>
      </w:r>
      <w:r w:rsidRPr="00EF1606">
        <w:rPr>
          <w:rFonts w:ascii="Arial" w:hAnsi="Arial" w:cs="Arial"/>
          <w:sz w:val="18"/>
          <w:szCs w:val="18"/>
        </w:rPr>
        <w:t xml:space="preserve">, 2023. </w:t>
      </w:r>
      <w:bookmarkEnd w:id="0"/>
    </w:p>
  </w:footnote>
  <w:footnote w:id="37">
    <w:p w:rsidR="007D7F7E" w:rsidRPr="00EF1606" w:rsidP="001D0C99">
      <w:pPr>
        <w:spacing w:line="259" w:lineRule="auto"/>
        <w:rPr>
          <w:rFonts w:ascii="Arial" w:hAnsi="Arial" w:cs="Arial"/>
          <w:sz w:val="18"/>
          <w:szCs w:val="18"/>
        </w:rPr>
      </w:pPr>
      <w:r w:rsidRPr="00EF1606">
        <w:rPr>
          <w:rStyle w:val="FootnoteReference"/>
          <w:rFonts w:ascii="Arial" w:hAnsi="Arial" w:cs="Arial"/>
          <w:sz w:val="18"/>
          <w:szCs w:val="18"/>
        </w:rPr>
        <w:footnoteRef/>
      </w:r>
      <w:r w:rsidRPr="00EF1606">
        <w:rPr>
          <w:rFonts w:ascii="Arial" w:hAnsi="Arial" w:cs="Arial"/>
          <w:sz w:val="18"/>
          <w:szCs w:val="18"/>
        </w:rPr>
        <w:t xml:space="preserve"> The Guardian. </w:t>
      </w:r>
      <w:r>
        <w:fldChar w:fldCharType="begin"/>
      </w:r>
      <w:r>
        <w:instrText xml:space="preserve"> HYPERLINK "https://www.theguardian.com/uk-news/2025/jan/18/home-office-accused-of-blocking-people-stuck-in-war-zones-from-joining-family-in-uk" </w:instrText>
      </w:r>
      <w:r>
        <w:fldChar w:fldCharType="separate"/>
      </w:r>
      <w:r w:rsidRPr="00EF1606">
        <w:rPr>
          <w:rStyle w:val="Hyperlink"/>
          <w:rFonts w:ascii="Arial" w:hAnsi="Arial" w:cs="Arial"/>
          <w:i/>
          <w:iCs/>
          <w:sz w:val="18"/>
          <w:szCs w:val="18"/>
        </w:rPr>
        <w:t>Home Office accused of blocking people stuck in war zones from joining family in UK</w:t>
      </w:r>
      <w:r>
        <w:fldChar w:fldCharType="end"/>
      </w:r>
      <w:r w:rsidRPr="00EF1606">
        <w:rPr>
          <w:rFonts w:ascii="Arial" w:hAnsi="Arial" w:cs="Arial"/>
          <w:sz w:val="18"/>
          <w:szCs w:val="18"/>
        </w:rPr>
        <w:t xml:space="preserve">, 18 January 2025. </w:t>
      </w:r>
    </w:p>
    <w:p w:rsidR="007D7F7E" w:rsidRPr="00007950">
      <w:pPr>
        <w:pStyle w:val="FootnoteText"/>
        <w:rPr>
          <w:sz w:val="12"/>
          <w:szCs w:val="1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572C55"/>
    <w:multiLevelType w:val="hybridMultilevel"/>
    <w:tmpl w:val="6FF21AF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25E7BFD"/>
    <w:multiLevelType w:val="hybridMultilevel"/>
    <w:tmpl w:val="9E8E5F56"/>
    <w:lvl w:ilvl="0">
      <w:start w:val="1"/>
      <w:numFmt w:val="bullet"/>
      <w:lvlText w:val=""/>
      <w:lvlJc w:val="left"/>
      <w:pPr>
        <w:ind w:left="1440" w:hanging="360"/>
      </w:pPr>
      <w:rPr>
        <w:rFonts w:ascii="Symbol" w:hAnsi="Symbol" w:hint="default"/>
      </w:r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058A3AA3"/>
    <w:multiLevelType w:val="hybridMultilevel"/>
    <w:tmpl w:val="A000B61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05C7616D"/>
    <w:multiLevelType w:val="hybridMultilevel"/>
    <w:tmpl w:val="23B67BF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0ACC6D5E"/>
    <w:multiLevelType w:val="hybridMultilevel"/>
    <w:tmpl w:val="D26CF5EC"/>
    <w:lvl w:ilvl="0">
      <w:start w:val="1"/>
      <w:numFmt w:val="bullet"/>
      <w:lvlText w:val=""/>
      <w:lvlJc w:val="left"/>
      <w:pPr>
        <w:ind w:left="1080" w:hanging="360"/>
      </w:pPr>
      <w:rPr>
        <w:rFonts w:ascii="Symbol" w:hAnsi="Symbol" w:hint="default"/>
        <w:color w:val="B91E4C" w:themeColor="text2"/>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5">
    <w:nsid w:val="0F5138CA"/>
    <w:multiLevelType w:val="multilevel"/>
    <w:tmpl w:val="C010A54C"/>
    <w:lvl w:ilvl="0">
      <w:start w:val="1"/>
      <w:numFmt w:val="bullet"/>
      <w:lvlText w:val=""/>
      <w:lvlJc w:val="left"/>
      <w:pPr>
        <w:tabs>
          <w:tab w:val="num" w:pos="1788"/>
        </w:tabs>
        <w:ind w:left="1788" w:hanging="360"/>
      </w:pPr>
      <w:rPr>
        <w:rFonts w:ascii="Symbol" w:hAnsi="Symbol" w:hint="default"/>
        <w:color w:val="B91E4C" w:themeColor="text2"/>
        <w:sz w:val="20"/>
      </w:rPr>
    </w:lvl>
    <w:lvl w:ilvl="1" w:tentative="1">
      <w:start w:val="1"/>
      <w:numFmt w:val="bullet"/>
      <w:lvlText w:val="o"/>
      <w:lvlJc w:val="left"/>
      <w:pPr>
        <w:tabs>
          <w:tab w:val="num" w:pos="2508"/>
        </w:tabs>
        <w:ind w:left="2508" w:hanging="360"/>
      </w:pPr>
      <w:rPr>
        <w:rFonts w:ascii="Courier New" w:hAnsi="Courier New" w:hint="default"/>
        <w:sz w:val="20"/>
      </w:rPr>
    </w:lvl>
    <w:lvl w:ilvl="2" w:tentative="1">
      <w:start w:val="1"/>
      <w:numFmt w:val="bullet"/>
      <w:lvlText w:val=""/>
      <w:lvlJc w:val="left"/>
      <w:pPr>
        <w:tabs>
          <w:tab w:val="num" w:pos="3228"/>
        </w:tabs>
        <w:ind w:left="3228" w:hanging="360"/>
      </w:pPr>
      <w:rPr>
        <w:rFonts w:ascii="Wingdings" w:hAnsi="Wingdings" w:hint="default"/>
        <w:sz w:val="20"/>
      </w:rPr>
    </w:lvl>
    <w:lvl w:ilvl="3" w:tentative="1">
      <w:start w:val="1"/>
      <w:numFmt w:val="bullet"/>
      <w:lvlText w:val=""/>
      <w:lvlJc w:val="left"/>
      <w:pPr>
        <w:tabs>
          <w:tab w:val="num" w:pos="3948"/>
        </w:tabs>
        <w:ind w:left="3948" w:hanging="360"/>
      </w:pPr>
      <w:rPr>
        <w:rFonts w:ascii="Wingdings" w:hAnsi="Wingdings" w:hint="default"/>
        <w:sz w:val="20"/>
      </w:rPr>
    </w:lvl>
    <w:lvl w:ilvl="4" w:tentative="1">
      <w:start w:val="1"/>
      <w:numFmt w:val="bullet"/>
      <w:lvlText w:val=""/>
      <w:lvlJc w:val="left"/>
      <w:pPr>
        <w:tabs>
          <w:tab w:val="num" w:pos="4668"/>
        </w:tabs>
        <w:ind w:left="4668" w:hanging="360"/>
      </w:pPr>
      <w:rPr>
        <w:rFonts w:ascii="Wingdings" w:hAnsi="Wingdings" w:hint="default"/>
        <w:sz w:val="20"/>
      </w:rPr>
    </w:lvl>
    <w:lvl w:ilvl="5" w:tentative="1">
      <w:start w:val="1"/>
      <w:numFmt w:val="bullet"/>
      <w:lvlText w:val=""/>
      <w:lvlJc w:val="left"/>
      <w:pPr>
        <w:tabs>
          <w:tab w:val="num" w:pos="5388"/>
        </w:tabs>
        <w:ind w:left="5388" w:hanging="360"/>
      </w:pPr>
      <w:rPr>
        <w:rFonts w:ascii="Wingdings" w:hAnsi="Wingdings" w:hint="default"/>
        <w:sz w:val="20"/>
      </w:rPr>
    </w:lvl>
    <w:lvl w:ilvl="6" w:tentative="1">
      <w:start w:val="1"/>
      <w:numFmt w:val="bullet"/>
      <w:lvlText w:val=""/>
      <w:lvlJc w:val="left"/>
      <w:pPr>
        <w:tabs>
          <w:tab w:val="num" w:pos="6108"/>
        </w:tabs>
        <w:ind w:left="6108" w:hanging="360"/>
      </w:pPr>
      <w:rPr>
        <w:rFonts w:ascii="Wingdings" w:hAnsi="Wingdings" w:hint="default"/>
        <w:sz w:val="20"/>
      </w:rPr>
    </w:lvl>
    <w:lvl w:ilvl="7" w:tentative="1">
      <w:start w:val="1"/>
      <w:numFmt w:val="bullet"/>
      <w:lvlText w:val=""/>
      <w:lvlJc w:val="left"/>
      <w:pPr>
        <w:tabs>
          <w:tab w:val="num" w:pos="6828"/>
        </w:tabs>
        <w:ind w:left="6828" w:hanging="360"/>
      </w:pPr>
      <w:rPr>
        <w:rFonts w:ascii="Wingdings" w:hAnsi="Wingdings" w:hint="default"/>
        <w:sz w:val="20"/>
      </w:rPr>
    </w:lvl>
    <w:lvl w:ilvl="8" w:tentative="1">
      <w:start w:val="1"/>
      <w:numFmt w:val="bullet"/>
      <w:lvlText w:val=""/>
      <w:lvlJc w:val="left"/>
      <w:pPr>
        <w:tabs>
          <w:tab w:val="num" w:pos="7548"/>
        </w:tabs>
        <w:ind w:left="7548" w:hanging="360"/>
      </w:pPr>
      <w:rPr>
        <w:rFonts w:ascii="Wingdings" w:hAnsi="Wingdings" w:hint="default"/>
        <w:sz w:val="20"/>
      </w:rPr>
    </w:lvl>
  </w:abstractNum>
  <w:abstractNum w:abstractNumId="6">
    <w:nsid w:val="1CC85940"/>
    <w:multiLevelType w:val="hybridMultilevel"/>
    <w:tmpl w:val="86A034E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21014C8D"/>
    <w:multiLevelType w:val="hybridMultilevel"/>
    <w:tmpl w:val="211C7C68"/>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227F274C"/>
    <w:multiLevelType w:val="multilevel"/>
    <w:tmpl w:val="31609D5A"/>
    <w:lvl w:ilvl="0">
      <w:start w:val="1"/>
      <w:numFmt w:val="bullet"/>
      <w:lvlText w:val=""/>
      <w:lvlJc w:val="left"/>
      <w:pPr>
        <w:tabs>
          <w:tab w:val="num" w:pos="360"/>
        </w:tabs>
        <w:ind w:left="360" w:hanging="360"/>
      </w:pPr>
      <w:rPr>
        <w:rFonts w:ascii="Symbol" w:hAnsi="Symbol" w:hint="default"/>
        <w:color w:val="B91E4C" w:themeColor="text2"/>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27A17C91"/>
    <w:multiLevelType w:val="hybridMultilevel"/>
    <w:tmpl w:val="0C7EB73C"/>
    <w:lvl w:ilvl="0">
      <w:start w:val="1"/>
      <w:numFmt w:val="bullet"/>
      <w:lvlText w:val=""/>
      <w:lvlJc w:val="left"/>
      <w:pPr>
        <w:ind w:left="480" w:hanging="360"/>
      </w:pPr>
      <w:rPr>
        <w:rFonts w:ascii="Symbol" w:hAnsi="Symbol" w:hint="default"/>
      </w:rPr>
    </w:lvl>
    <w:lvl w:ilvl="1" w:tentative="1">
      <w:start w:val="1"/>
      <w:numFmt w:val="bullet"/>
      <w:lvlText w:val="o"/>
      <w:lvlJc w:val="left"/>
      <w:pPr>
        <w:ind w:left="1200" w:hanging="360"/>
      </w:pPr>
      <w:rPr>
        <w:rFonts w:ascii="Courier New" w:hAnsi="Courier New" w:cs="Courier New" w:hint="default"/>
      </w:rPr>
    </w:lvl>
    <w:lvl w:ilvl="2" w:tentative="1">
      <w:start w:val="1"/>
      <w:numFmt w:val="bullet"/>
      <w:lvlText w:val=""/>
      <w:lvlJc w:val="left"/>
      <w:pPr>
        <w:ind w:left="1920" w:hanging="360"/>
      </w:pPr>
      <w:rPr>
        <w:rFonts w:ascii="Wingdings" w:hAnsi="Wingdings" w:hint="default"/>
      </w:rPr>
    </w:lvl>
    <w:lvl w:ilvl="3" w:tentative="1">
      <w:start w:val="1"/>
      <w:numFmt w:val="bullet"/>
      <w:lvlText w:val=""/>
      <w:lvlJc w:val="left"/>
      <w:pPr>
        <w:ind w:left="2640" w:hanging="360"/>
      </w:pPr>
      <w:rPr>
        <w:rFonts w:ascii="Symbol" w:hAnsi="Symbol" w:hint="default"/>
      </w:rPr>
    </w:lvl>
    <w:lvl w:ilvl="4" w:tentative="1">
      <w:start w:val="1"/>
      <w:numFmt w:val="bullet"/>
      <w:lvlText w:val="o"/>
      <w:lvlJc w:val="left"/>
      <w:pPr>
        <w:ind w:left="3360" w:hanging="360"/>
      </w:pPr>
      <w:rPr>
        <w:rFonts w:ascii="Courier New" w:hAnsi="Courier New" w:cs="Courier New" w:hint="default"/>
      </w:rPr>
    </w:lvl>
    <w:lvl w:ilvl="5" w:tentative="1">
      <w:start w:val="1"/>
      <w:numFmt w:val="bullet"/>
      <w:lvlText w:val=""/>
      <w:lvlJc w:val="left"/>
      <w:pPr>
        <w:ind w:left="4080" w:hanging="360"/>
      </w:pPr>
      <w:rPr>
        <w:rFonts w:ascii="Wingdings" w:hAnsi="Wingdings" w:hint="default"/>
      </w:rPr>
    </w:lvl>
    <w:lvl w:ilvl="6" w:tentative="1">
      <w:start w:val="1"/>
      <w:numFmt w:val="bullet"/>
      <w:lvlText w:val=""/>
      <w:lvlJc w:val="left"/>
      <w:pPr>
        <w:ind w:left="4800" w:hanging="360"/>
      </w:pPr>
      <w:rPr>
        <w:rFonts w:ascii="Symbol" w:hAnsi="Symbol" w:hint="default"/>
      </w:rPr>
    </w:lvl>
    <w:lvl w:ilvl="7" w:tentative="1">
      <w:start w:val="1"/>
      <w:numFmt w:val="bullet"/>
      <w:lvlText w:val="o"/>
      <w:lvlJc w:val="left"/>
      <w:pPr>
        <w:ind w:left="5520" w:hanging="360"/>
      </w:pPr>
      <w:rPr>
        <w:rFonts w:ascii="Courier New" w:hAnsi="Courier New" w:cs="Courier New" w:hint="default"/>
      </w:rPr>
    </w:lvl>
    <w:lvl w:ilvl="8" w:tentative="1">
      <w:start w:val="1"/>
      <w:numFmt w:val="bullet"/>
      <w:lvlText w:val=""/>
      <w:lvlJc w:val="left"/>
      <w:pPr>
        <w:ind w:left="6240" w:hanging="360"/>
      </w:pPr>
      <w:rPr>
        <w:rFonts w:ascii="Wingdings" w:hAnsi="Wingdings" w:hint="default"/>
      </w:rPr>
    </w:lvl>
  </w:abstractNum>
  <w:abstractNum w:abstractNumId="10">
    <w:nsid w:val="283A7743"/>
    <w:multiLevelType w:val="hybridMultilevel"/>
    <w:tmpl w:val="4FF6F394"/>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B90690D"/>
    <w:multiLevelType w:val="hybridMultilevel"/>
    <w:tmpl w:val="E352828C"/>
    <w:lvl w:ilvl="0">
      <w:start w:val="1"/>
      <w:numFmt w:val="decimal"/>
      <w:lvlText w:val="%1."/>
      <w:lvlJc w:val="left"/>
      <w:pPr>
        <w:ind w:left="360" w:hanging="360"/>
      </w:pPr>
      <w:rPr>
        <w:sz w:val="22"/>
        <w:szCs w:val="22"/>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
    <w:nsid w:val="2D2F1CC1"/>
    <w:multiLevelType w:val="hybridMultilevel"/>
    <w:tmpl w:val="C4CE95BC"/>
    <w:lvl w:ilvl="0">
      <w:start w:val="0"/>
      <w:numFmt w:val="bullet"/>
      <w:lvlText w:val="-"/>
      <w:lvlJc w:val="left"/>
      <w:pPr>
        <w:ind w:left="480" w:hanging="360"/>
      </w:pPr>
      <w:rPr>
        <w:rFonts w:ascii="Arial" w:eastAsia="Arial" w:hAnsi="Arial" w:cs="Arial" w:hint="default"/>
      </w:rPr>
    </w:lvl>
    <w:lvl w:ilvl="1" w:tentative="1">
      <w:start w:val="1"/>
      <w:numFmt w:val="bullet"/>
      <w:lvlText w:val="o"/>
      <w:lvlJc w:val="left"/>
      <w:pPr>
        <w:ind w:left="1200" w:hanging="360"/>
      </w:pPr>
      <w:rPr>
        <w:rFonts w:ascii="Courier New" w:hAnsi="Courier New" w:cs="Courier New" w:hint="default"/>
      </w:rPr>
    </w:lvl>
    <w:lvl w:ilvl="2" w:tentative="1">
      <w:start w:val="1"/>
      <w:numFmt w:val="bullet"/>
      <w:lvlText w:val=""/>
      <w:lvlJc w:val="left"/>
      <w:pPr>
        <w:ind w:left="1920" w:hanging="360"/>
      </w:pPr>
      <w:rPr>
        <w:rFonts w:ascii="Wingdings" w:hAnsi="Wingdings" w:hint="default"/>
      </w:rPr>
    </w:lvl>
    <w:lvl w:ilvl="3" w:tentative="1">
      <w:start w:val="1"/>
      <w:numFmt w:val="bullet"/>
      <w:lvlText w:val=""/>
      <w:lvlJc w:val="left"/>
      <w:pPr>
        <w:ind w:left="2640" w:hanging="360"/>
      </w:pPr>
      <w:rPr>
        <w:rFonts w:ascii="Symbol" w:hAnsi="Symbol" w:hint="default"/>
      </w:rPr>
    </w:lvl>
    <w:lvl w:ilvl="4" w:tentative="1">
      <w:start w:val="1"/>
      <w:numFmt w:val="bullet"/>
      <w:lvlText w:val="o"/>
      <w:lvlJc w:val="left"/>
      <w:pPr>
        <w:ind w:left="3360" w:hanging="360"/>
      </w:pPr>
      <w:rPr>
        <w:rFonts w:ascii="Courier New" w:hAnsi="Courier New" w:cs="Courier New" w:hint="default"/>
      </w:rPr>
    </w:lvl>
    <w:lvl w:ilvl="5" w:tentative="1">
      <w:start w:val="1"/>
      <w:numFmt w:val="bullet"/>
      <w:lvlText w:val=""/>
      <w:lvlJc w:val="left"/>
      <w:pPr>
        <w:ind w:left="4080" w:hanging="360"/>
      </w:pPr>
      <w:rPr>
        <w:rFonts w:ascii="Wingdings" w:hAnsi="Wingdings" w:hint="default"/>
      </w:rPr>
    </w:lvl>
    <w:lvl w:ilvl="6" w:tentative="1">
      <w:start w:val="1"/>
      <w:numFmt w:val="bullet"/>
      <w:lvlText w:val=""/>
      <w:lvlJc w:val="left"/>
      <w:pPr>
        <w:ind w:left="4800" w:hanging="360"/>
      </w:pPr>
      <w:rPr>
        <w:rFonts w:ascii="Symbol" w:hAnsi="Symbol" w:hint="default"/>
      </w:rPr>
    </w:lvl>
    <w:lvl w:ilvl="7" w:tentative="1">
      <w:start w:val="1"/>
      <w:numFmt w:val="bullet"/>
      <w:lvlText w:val="o"/>
      <w:lvlJc w:val="left"/>
      <w:pPr>
        <w:ind w:left="5520" w:hanging="360"/>
      </w:pPr>
      <w:rPr>
        <w:rFonts w:ascii="Courier New" w:hAnsi="Courier New" w:cs="Courier New" w:hint="default"/>
      </w:rPr>
    </w:lvl>
    <w:lvl w:ilvl="8" w:tentative="1">
      <w:start w:val="1"/>
      <w:numFmt w:val="bullet"/>
      <w:lvlText w:val=""/>
      <w:lvlJc w:val="left"/>
      <w:pPr>
        <w:ind w:left="6240" w:hanging="360"/>
      </w:pPr>
      <w:rPr>
        <w:rFonts w:ascii="Wingdings" w:hAnsi="Wingdings" w:hint="default"/>
      </w:rPr>
    </w:lvl>
  </w:abstractNum>
  <w:abstractNum w:abstractNumId="13">
    <w:nsid w:val="2EBF2156"/>
    <w:multiLevelType w:val="hybridMultilevel"/>
    <w:tmpl w:val="3500AC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1E90637"/>
    <w:multiLevelType w:val="hybridMultilevel"/>
    <w:tmpl w:val="48EE56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1F414FB"/>
    <w:multiLevelType w:val="hybridMultilevel"/>
    <w:tmpl w:val="BD366F9A"/>
    <w:lvl w:ilvl="0">
      <w:start w:val="0"/>
      <w:numFmt w:val="bullet"/>
      <w:lvlText w:val="-"/>
      <w:lvlJc w:val="left"/>
      <w:pPr>
        <w:ind w:left="480" w:hanging="360"/>
      </w:pPr>
      <w:rPr>
        <w:rFonts w:ascii="Arial" w:eastAsia="Arial" w:hAnsi="Arial" w:cs="Arial" w:hint="default"/>
      </w:rPr>
    </w:lvl>
    <w:lvl w:ilvl="1" w:tentative="1">
      <w:start w:val="1"/>
      <w:numFmt w:val="bullet"/>
      <w:lvlText w:val="o"/>
      <w:lvlJc w:val="left"/>
      <w:pPr>
        <w:ind w:left="1200" w:hanging="360"/>
      </w:pPr>
      <w:rPr>
        <w:rFonts w:ascii="Courier New" w:hAnsi="Courier New" w:cs="Courier New" w:hint="default"/>
      </w:rPr>
    </w:lvl>
    <w:lvl w:ilvl="2" w:tentative="1">
      <w:start w:val="1"/>
      <w:numFmt w:val="bullet"/>
      <w:lvlText w:val=""/>
      <w:lvlJc w:val="left"/>
      <w:pPr>
        <w:ind w:left="1920" w:hanging="360"/>
      </w:pPr>
      <w:rPr>
        <w:rFonts w:ascii="Wingdings" w:hAnsi="Wingdings" w:hint="default"/>
      </w:rPr>
    </w:lvl>
    <w:lvl w:ilvl="3" w:tentative="1">
      <w:start w:val="1"/>
      <w:numFmt w:val="bullet"/>
      <w:lvlText w:val=""/>
      <w:lvlJc w:val="left"/>
      <w:pPr>
        <w:ind w:left="2640" w:hanging="360"/>
      </w:pPr>
      <w:rPr>
        <w:rFonts w:ascii="Symbol" w:hAnsi="Symbol" w:hint="default"/>
      </w:rPr>
    </w:lvl>
    <w:lvl w:ilvl="4" w:tentative="1">
      <w:start w:val="1"/>
      <w:numFmt w:val="bullet"/>
      <w:lvlText w:val="o"/>
      <w:lvlJc w:val="left"/>
      <w:pPr>
        <w:ind w:left="3360" w:hanging="360"/>
      </w:pPr>
      <w:rPr>
        <w:rFonts w:ascii="Courier New" w:hAnsi="Courier New" w:cs="Courier New" w:hint="default"/>
      </w:rPr>
    </w:lvl>
    <w:lvl w:ilvl="5" w:tentative="1">
      <w:start w:val="1"/>
      <w:numFmt w:val="bullet"/>
      <w:lvlText w:val=""/>
      <w:lvlJc w:val="left"/>
      <w:pPr>
        <w:ind w:left="4080" w:hanging="360"/>
      </w:pPr>
      <w:rPr>
        <w:rFonts w:ascii="Wingdings" w:hAnsi="Wingdings" w:hint="default"/>
      </w:rPr>
    </w:lvl>
    <w:lvl w:ilvl="6" w:tentative="1">
      <w:start w:val="1"/>
      <w:numFmt w:val="bullet"/>
      <w:lvlText w:val=""/>
      <w:lvlJc w:val="left"/>
      <w:pPr>
        <w:ind w:left="4800" w:hanging="360"/>
      </w:pPr>
      <w:rPr>
        <w:rFonts w:ascii="Symbol" w:hAnsi="Symbol" w:hint="default"/>
      </w:rPr>
    </w:lvl>
    <w:lvl w:ilvl="7" w:tentative="1">
      <w:start w:val="1"/>
      <w:numFmt w:val="bullet"/>
      <w:lvlText w:val="o"/>
      <w:lvlJc w:val="left"/>
      <w:pPr>
        <w:ind w:left="5520" w:hanging="360"/>
      </w:pPr>
      <w:rPr>
        <w:rFonts w:ascii="Courier New" w:hAnsi="Courier New" w:cs="Courier New" w:hint="default"/>
      </w:rPr>
    </w:lvl>
    <w:lvl w:ilvl="8" w:tentative="1">
      <w:start w:val="1"/>
      <w:numFmt w:val="bullet"/>
      <w:lvlText w:val=""/>
      <w:lvlJc w:val="left"/>
      <w:pPr>
        <w:ind w:left="6240" w:hanging="360"/>
      </w:pPr>
      <w:rPr>
        <w:rFonts w:ascii="Wingdings" w:hAnsi="Wingdings" w:hint="default"/>
      </w:rPr>
    </w:lvl>
  </w:abstractNum>
  <w:abstractNum w:abstractNumId="16">
    <w:nsid w:val="35F778FC"/>
    <w:multiLevelType w:val="multilevel"/>
    <w:tmpl w:val="3B581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AD35EBA"/>
    <w:multiLevelType w:val="multilevel"/>
    <w:tmpl w:val="8ACE76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3B660B03"/>
    <w:multiLevelType w:val="multilevel"/>
    <w:tmpl w:val="096E2042"/>
    <w:lvl w:ilvl="0">
      <w:start w:val="1"/>
      <w:numFmt w:val="bullet"/>
      <w:lvlText w:val=""/>
      <w:lvlJc w:val="left"/>
      <w:pPr>
        <w:tabs>
          <w:tab w:val="num" w:pos="360"/>
        </w:tabs>
        <w:ind w:left="360" w:hanging="360"/>
      </w:pPr>
      <w:rPr>
        <w:rFonts w:ascii="Symbol" w:hAnsi="Symbol" w:hint="default"/>
        <w:color w:val="B91E4C" w:themeColor="text2"/>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nsid w:val="3C530F88"/>
    <w:multiLevelType w:val="multilevel"/>
    <w:tmpl w:val="0AF6F0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F4D25E1"/>
    <w:multiLevelType w:val="hybridMultilevel"/>
    <w:tmpl w:val="E352828C"/>
    <w:lvl w:ilvl="0">
      <w:start w:val="1"/>
      <w:numFmt w:val="decimal"/>
      <w:lvlText w:val="%1."/>
      <w:lvlJc w:val="left"/>
      <w:pPr>
        <w:ind w:left="360" w:hanging="360"/>
      </w:pPr>
      <w:rPr>
        <w:sz w:val="22"/>
        <w:szCs w:val="22"/>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1">
    <w:nsid w:val="3F5149D2"/>
    <w:multiLevelType w:val="hybridMultilevel"/>
    <w:tmpl w:val="7CE8327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73A2F5D"/>
    <w:multiLevelType w:val="multilevel"/>
    <w:tmpl w:val="E1AE5EB4"/>
    <w:lvl w:ilvl="0">
      <w:start w:val="1"/>
      <w:numFmt w:val="bullet"/>
      <w:lvlText w:val=""/>
      <w:lvlJc w:val="left"/>
      <w:pPr>
        <w:tabs>
          <w:tab w:val="num" w:pos="360"/>
        </w:tabs>
        <w:ind w:left="360" w:hanging="360"/>
      </w:pPr>
      <w:rPr>
        <w:rFonts w:ascii="Symbol" w:hAnsi="Symbol" w:hint="default"/>
        <w:color w:val="B91E4C" w:themeColor="text2"/>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nsid w:val="47460258"/>
    <w:multiLevelType w:val="hybridMultilevel"/>
    <w:tmpl w:val="E352828C"/>
    <w:lvl w:ilvl="0">
      <w:start w:val="1"/>
      <w:numFmt w:val="decimal"/>
      <w:lvlText w:val="%1."/>
      <w:lvlJc w:val="left"/>
      <w:pPr>
        <w:ind w:left="360" w:hanging="360"/>
      </w:pPr>
      <w:rPr>
        <w:sz w:val="22"/>
        <w:szCs w:val="22"/>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
    <w:nsid w:val="4CF81960"/>
    <w:multiLevelType w:val="hybridMultilevel"/>
    <w:tmpl w:val="82E63A62"/>
    <w:lvl w:ilvl="0">
      <w:start w:val="1"/>
      <w:numFmt w:val="decimal"/>
      <w:lvlText w:val="%1."/>
      <w:lvlJc w:val="left"/>
      <w:pPr>
        <w:ind w:left="360" w:hanging="360"/>
      </w:pPr>
      <w:rPr>
        <w:sz w:val="22"/>
        <w:szCs w:val="22"/>
      </w:rPr>
    </w:lvl>
    <w:lvl w:ilvl="1">
      <w:start w:val="1"/>
      <w:numFmt w:val="bullet"/>
      <w:lvlText w:val=""/>
      <w:lvlJc w:val="left"/>
      <w:pPr>
        <w:ind w:left="1080" w:hanging="360"/>
      </w:pPr>
      <w:rPr>
        <w:rFonts w:ascii="Symbol" w:hAnsi="Symbol" w:hint="default"/>
        <w:color w:val="B91E4C" w:themeColor="text2"/>
      </w:rPr>
    </w:lvl>
    <w:lvl w:ilvl="2">
      <w:start w:val="27"/>
      <w:numFmt w:val="bullet"/>
      <w:lvlText w:val="-"/>
      <w:lvlJc w:val="left"/>
      <w:pPr>
        <w:ind w:left="1980" w:hanging="360"/>
      </w:pPr>
      <w:rPr>
        <w:rFonts w:ascii="Arial" w:eastAsia="Arial" w:hAnsi="Arial" w:cs="Arial"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4FE07800"/>
    <w:multiLevelType w:val="hybridMultilevel"/>
    <w:tmpl w:val="77CE74C4"/>
    <w:lvl w:ilvl="0">
      <w:start w:val="1"/>
      <w:numFmt w:val="bullet"/>
      <w:lvlText w:val=""/>
      <w:lvlJc w:val="left"/>
      <w:pPr>
        <w:ind w:left="480" w:hanging="360"/>
      </w:pPr>
      <w:rPr>
        <w:rFonts w:ascii="Symbol" w:hAnsi="Symbol" w:hint="default"/>
      </w:rPr>
    </w:lvl>
    <w:lvl w:ilvl="1" w:tentative="1">
      <w:start w:val="1"/>
      <w:numFmt w:val="bullet"/>
      <w:lvlText w:val="o"/>
      <w:lvlJc w:val="left"/>
      <w:pPr>
        <w:ind w:left="1200" w:hanging="360"/>
      </w:pPr>
      <w:rPr>
        <w:rFonts w:ascii="Courier New" w:hAnsi="Courier New" w:cs="Courier New" w:hint="default"/>
      </w:rPr>
    </w:lvl>
    <w:lvl w:ilvl="2" w:tentative="1">
      <w:start w:val="1"/>
      <w:numFmt w:val="bullet"/>
      <w:lvlText w:val=""/>
      <w:lvlJc w:val="left"/>
      <w:pPr>
        <w:ind w:left="1920" w:hanging="360"/>
      </w:pPr>
      <w:rPr>
        <w:rFonts w:ascii="Wingdings" w:hAnsi="Wingdings" w:hint="default"/>
      </w:rPr>
    </w:lvl>
    <w:lvl w:ilvl="3" w:tentative="1">
      <w:start w:val="1"/>
      <w:numFmt w:val="bullet"/>
      <w:lvlText w:val=""/>
      <w:lvlJc w:val="left"/>
      <w:pPr>
        <w:ind w:left="2640" w:hanging="360"/>
      </w:pPr>
      <w:rPr>
        <w:rFonts w:ascii="Symbol" w:hAnsi="Symbol" w:hint="default"/>
      </w:rPr>
    </w:lvl>
    <w:lvl w:ilvl="4" w:tentative="1">
      <w:start w:val="1"/>
      <w:numFmt w:val="bullet"/>
      <w:lvlText w:val="o"/>
      <w:lvlJc w:val="left"/>
      <w:pPr>
        <w:ind w:left="3360" w:hanging="360"/>
      </w:pPr>
      <w:rPr>
        <w:rFonts w:ascii="Courier New" w:hAnsi="Courier New" w:cs="Courier New" w:hint="default"/>
      </w:rPr>
    </w:lvl>
    <w:lvl w:ilvl="5" w:tentative="1">
      <w:start w:val="1"/>
      <w:numFmt w:val="bullet"/>
      <w:lvlText w:val=""/>
      <w:lvlJc w:val="left"/>
      <w:pPr>
        <w:ind w:left="4080" w:hanging="360"/>
      </w:pPr>
      <w:rPr>
        <w:rFonts w:ascii="Wingdings" w:hAnsi="Wingdings" w:hint="default"/>
      </w:rPr>
    </w:lvl>
    <w:lvl w:ilvl="6" w:tentative="1">
      <w:start w:val="1"/>
      <w:numFmt w:val="bullet"/>
      <w:lvlText w:val=""/>
      <w:lvlJc w:val="left"/>
      <w:pPr>
        <w:ind w:left="4800" w:hanging="360"/>
      </w:pPr>
      <w:rPr>
        <w:rFonts w:ascii="Symbol" w:hAnsi="Symbol" w:hint="default"/>
      </w:rPr>
    </w:lvl>
    <w:lvl w:ilvl="7" w:tentative="1">
      <w:start w:val="1"/>
      <w:numFmt w:val="bullet"/>
      <w:lvlText w:val="o"/>
      <w:lvlJc w:val="left"/>
      <w:pPr>
        <w:ind w:left="5520" w:hanging="360"/>
      </w:pPr>
      <w:rPr>
        <w:rFonts w:ascii="Courier New" w:hAnsi="Courier New" w:cs="Courier New" w:hint="default"/>
      </w:rPr>
    </w:lvl>
    <w:lvl w:ilvl="8" w:tentative="1">
      <w:start w:val="1"/>
      <w:numFmt w:val="bullet"/>
      <w:lvlText w:val=""/>
      <w:lvlJc w:val="left"/>
      <w:pPr>
        <w:ind w:left="6240" w:hanging="360"/>
      </w:pPr>
      <w:rPr>
        <w:rFonts w:ascii="Wingdings" w:hAnsi="Wingdings" w:hint="default"/>
      </w:rPr>
    </w:lvl>
  </w:abstractNum>
  <w:abstractNum w:abstractNumId="26">
    <w:nsid w:val="50B73C3F"/>
    <w:multiLevelType w:val="hybridMultilevel"/>
    <w:tmpl w:val="8EC239D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5118452E"/>
    <w:multiLevelType w:val="multilevel"/>
    <w:tmpl w:val="52AC0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32B6FA5"/>
    <w:multiLevelType w:val="hybridMultilevel"/>
    <w:tmpl w:val="C6BCC24C"/>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8422BC5"/>
    <w:multiLevelType w:val="multilevel"/>
    <w:tmpl w:val="A246F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989356C"/>
    <w:multiLevelType w:val="multilevel"/>
    <w:tmpl w:val="27728ED4"/>
    <w:lvl w:ilvl="0">
      <w:start w:val="1"/>
      <w:numFmt w:val="bullet"/>
      <w:lvlText w:val=""/>
      <w:lvlJc w:val="left"/>
      <w:pPr>
        <w:tabs>
          <w:tab w:val="num" w:pos="360"/>
        </w:tabs>
        <w:ind w:left="360" w:hanging="360"/>
      </w:pPr>
      <w:rPr>
        <w:rFonts w:ascii="Symbol" w:hAnsi="Symbol" w:hint="default"/>
        <w:sz w:val="20"/>
      </w:rPr>
    </w:lvl>
    <w:lvl w:ilvl="1">
      <w:start w:val="9"/>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nsid w:val="59F26721"/>
    <w:multiLevelType w:val="hybridMultilevel"/>
    <w:tmpl w:val="7340D3A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2">
    <w:nsid w:val="5C143831"/>
    <w:multiLevelType w:val="multilevel"/>
    <w:tmpl w:val="E04EAA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nsid w:val="5E7200CA"/>
    <w:multiLevelType w:val="hybridMultilevel"/>
    <w:tmpl w:val="A99EA90A"/>
    <w:lvl w:ilvl="0">
      <w:start w:val="1"/>
      <w:numFmt w:val="decimal"/>
      <w:lvlText w:val="%1."/>
      <w:lvlJc w:val="left"/>
      <w:pPr>
        <w:ind w:left="1080" w:hanging="360"/>
      </w:pPr>
    </w:lvl>
    <w:lvl w:ilvl="1">
      <w:start w:val="1"/>
      <w:numFmt w:val="bullet"/>
      <w:lvlText w:val=""/>
      <w:lvlJc w:val="left"/>
      <w:pPr>
        <w:ind w:left="1800" w:hanging="360"/>
      </w:pPr>
      <w:rPr>
        <w:rFonts w:ascii="Symbol" w:hAnsi="Symbol"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4">
    <w:nsid w:val="63160CD3"/>
    <w:multiLevelType w:val="multilevel"/>
    <w:tmpl w:val="46DCFA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nsid w:val="666A2C85"/>
    <w:multiLevelType w:val="hybridMultilevel"/>
    <w:tmpl w:val="3B0EF410"/>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6">
    <w:nsid w:val="6D6A431A"/>
    <w:multiLevelType w:val="hybridMultilevel"/>
    <w:tmpl w:val="AE1A8B2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A666A19"/>
    <w:multiLevelType w:val="hybridMultilevel"/>
    <w:tmpl w:val="857C4D58"/>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8">
    <w:nsid w:val="7D2A12E7"/>
    <w:multiLevelType w:val="hybridMultilevel"/>
    <w:tmpl w:val="08E23B92"/>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7"/>
  </w:num>
  <w:num w:numId="2">
    <w:abstractNumId w:val="13"/>
  </w:num>
  <w:num w:numId="3">
    <w:abstractNumId w:val="15"/>
  </w:num>
  <w:num w:numId="4">
    <w:abstractNumId w:val="9"/>
  </w:num>
  <w:num w:numId="5">
    <w:abstractNumId w:val="14"/>
  </w:num>
  <w:num w:numId="6">
    <w:abstractNumId w:val="12"/>
  </w:num>
  <w:num w:numId="7">
    <w:abstractNumId w:val="25"/>
  </w:num>
  <w:num w:numId="8">
    <w:abstractNumId w:val="28"/>
  </w:num>
  <w:num w:numId="9">
    <w:abstractNumId w:val="21"/>
  </w:num>
  <w:num w:numId="10">
    <w:abstractNumId w:val="35"/>
  </w:num>
  <w:num w:numId="11">
    <w:abstractNumId w:val="16"/>
  </w:num>
  <w:num w:numId="12">
    <w:abstractNumId w:val="36"/>
  </w:num>
  <w:num w:numId="13">
    <w:abstractNumId w:val="2"/>
  </w:num>
  <w:num w:numId="14">
    <w:abstractNumId w:val="31"/>
  </w:num>
  <w:num w:numId="15">
    <w:abstractNumId w:val="10"/>
  </w:num>
  <w:num w:numId="16">
    <w:abstractNumId w:val="1"/>
  </w:num>
  <w:num w:numId="17">
    <w:abstractNumId w:val="38"/>
  </w:num>
  <w:num w:numId="18">
    <w:abstractNumId w:val="26"/>
  </w:num>
  <w:num w:numId="19">
    <w:abstractNumId w:val="23"/>
  </w:num>
  <w:num w:numId="20">
    <w:abstractNumId w:val="7"/>
  </w:num>
  <w:num w:numId="21">
    <w:abstractNumId w:val="33"/>
  </w:num>
  <w:num w:numId="22">
    <w:abstractNumId w:val="37"/>
  </w:num>
  <w:num w:numId="23">
    <w:abstractNumId w:val="0"/>
  </w:num>
  <w:num w:numId="24">
    <w:abstractNumId w:val="29"/>
  </w:num>
  <w:num w:numId="25">
    <w:abstractNumId w:val="19"/>
  </w:num>
  <w:num w:numId="26">
    <w:abstractNumId w:val="27"/>
  </w:num>
  <w:num w:numId="27">
    <w:abstractNumId w:val="24"/>
  </w:num>
  <w:num w:numId="28">
    <w:abstractNumId w:val="6"/>
  </w:num>
  <w:num w:numId="29">
    <w:abstractNumId w:val="4"/>
  </w:num>
  <w:num w:numId="30">
    <w:abstractNumId w:val="20"/>
  </w:num>
  <w:num w:numId="31">
    <w:abstractNumId w:val="3"/>
  </w:num>
  <w:num w:numId="32">
    <w:abstractNumId w:val="30"/>
  </w:num>
  <w:num w:numId="33">
    <w:abstractNumId w:val="5"/>
  </w:num>
  <w:num w:numId="34">
    <w:abstractNumId w:val="34"/>
  </w:num>
  <w:num w:numId="35">
    <w:abstractNumId w:val="8"/>
  </w:num>
  <w:num w:numId="36">
    <w:abstractNumId w:val="18"/>
  </w:num>
  <w:num w:numId="37">
    <w:abstractNumId w:val="22"/>
  </w:num>
  <w:num w:numId="38">
    <w:abstractNumId w:val="32"/>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name w:val="a"/>
    <w:basedOn w:val="TableNormal"/>
    <w:tblPr>
      <w:tblStyleRowBandSize w:val="1"/>
      <w:tblStyleColBandSize w:val="1"/>
      <w:tblCellMar>
        <w:top w:w="100" w:type="dxa"/>
        <w:left w:w="100" w:type="dxa"/>
        <w:bottom w:w="100" w:type="dxa"/>
        <w:right w:w="100" w:type="dxa"/>
      </w:tblCellMar>
    </w:tblPr>
  </w:style>
  <w:style w:type="paragraph" w:styleId="FootnoteText">
    <w:name w:val="footnote text"/>
    <w:basedOn w:val="Normal"/>
    <w:link w:val="FootnoteTextChar"/>
    <w:uiPriority w:val="99"/>
    <w:semiHidden/>
    <w:unhideWhenUsed/>
    <w:rsid w:val="003E63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634F"/>
    <w:rPr>
      <w:sz w:val="20"/>
      <w:szCs w:val="20"/>
    </w:rPr>
  </w:style>
  <w:style w:type="character" w:styleId="FootnoteReference">
    <w:name w:val="footnote reference"/>
    <w:basedOn w:val="DefaultParagraphFont"/>
    <w:uiPriority w:val="99"/>
    <w:semiHidden/>
    <w:unhideWhenUsed/>
    <w:rsid w:val="003E634F"/>
    <w:rPr>
      <w:vertAlign w:val="superscript"/>
    </w:rPr>
  </w:style>
  <w:style w:type="character" w:styleId="Hyperlink">
    <w:name w:val="Hyperlink"/>
    <w:basedOn w:val="DefaultParagraphFont"/>
    <w:uiPriority w:val="99"/>
    <w:unhideWhenUsed/>
    <w:rsid w:val="003E634F"/>
    <w:rPr>
      <w:color w:val="00688E" w:themeColor="hyperlink"/>
      <w:u w:val="single"/>
    </w:rPr>
  </w:style>
  <w:style w:type="character" w:customStyle="1" w:styleId="UnresolvedMention1">
    <w:name w:val="Unresolved Mention1"/>
    <w:basedOn w:val="DefaultParagraphFont"/>
    <w:uiPriority w:val="99"/>
    <w:semiHidden/>
    <w:unhideWhenUsed/>
    <w:rsid w:val="003E634F"/>
    <w:rPr>
      <w:color w:val="605E5C"/>
      <w:shd w:val="clear" w:color="auto" w:fill="E1DFDD"/>
    </w:rPr>
  </w:style>
  <w:style w:type="paragraph" w:styleId="Header">
    <w:name w:val="header"/>
    <w:basedOn w:val="Normal"/>
    <w:link w:val="HeaderChar"/>
    <w:uiPriority w:val="99"/>
    <w:unhideWhenUsed/>
    <w:rsid w:val="003E63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634F"/>
  </w:style>
  <w:style w:type="paragraph" w:styleId="Footer">
    <w:name w:val="footer"/>
    <w:basedOn w:val="Normal"/>
    <w:link w:val="FooterChar"/>
    <w:uiPriority w:val="99"/>
    <w:unhideWhenUsed/>
    <w:rsid w:val="003E63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634F"/>
  </w:style>
  <w:style w:type="character" w:styleId="CommentReference">
    <w:name w:val="annotation reference"/>
    <w:basedOn w:val="DefaultParagraphFont"/>
    <w:uiPriority w:val="99"/>
    <w:semiHidden/>
    <w:unhideWhenUsed/>
    <w:rsid w:val="00416AFA"/>
    <w:rPr>
      <w:sz w:val="16"/>
      <w:szCs w:val="16"/>
    </w:rPr>
  </w:style>
  <w:style w:type="paragraph" w:styleId="CommentText">
    <w:name w:val="annotation text"/>
    <w:basedOn w:val="Normal"/>
    <w:link w:val="CommentTextChar"/>
    <w:uiPriority w:val="99"/>
    <w:unhideWhenUsed/>
    <w:rsid w:val="00416AFA"/>
    <w:pPr>
      <w:spacing w:line="240" w:lineRule="auto"/>
    </w:pPr>
    <w:rPr>
      <w:sz w:val="20"/>
      <w:szCs w:val="20"/>
    </w:rPr>
  </w:style>
  <w:style w:type="character" w:customStyle="1" w:styleId="CommentTextChar">
    <w:name w:val="Comment Text Char"/>
    <w:basedOn w:val="DefaultParagraphFont"/>
    <w:link w:val="CommentText"/>
    <w:uiPriority w:val="99"/>
    <w:rsid w:val="00416AFA"/>
    <w:rPr>
      <w:sz w:val="20"/>
      <w:szCs w:val="20"/>
    </w:rPr>
  </w:style>
  <w:style w:type="paragraph" w:styleId="CommentSubject">
    <w:name w:val="annotation subject"/>
    <w:basedOn w:val="CommentText"/>
    <w:next w:val="CommentText"/>
    <w:link w:val="CommentSubjectChar"/>
    <w:uiPriority w:val="99"/>
    <w:semiHidden/>
    <w:unhideWhenUsed/>
    <w:rsid w:val="00416AFA"/>
    <w:rPr>
      <w:b/>
      <w:bCs/>
    </w:rPr>
  </w:style>
  <w:style w:type="character" w:customStyle="1" w:styleId="CommentSubjectChar">
    <w:name w:val="Comment Subject Char"/>
    <w:basedOn w:val="CommentTextChar"/>
    <w:link w:val="CommentSubject"/>
    <w:uiPriority w:val="99"/>
    <w:semiHidden/>
    <w:rsid w:val="00416AFA"/>
    <w:rPr>
      <w:b/>
      <w:bCs/>
      <w:sz w:val="20"/>
      <w:szCs w:val="20"/>
    </w:rPr>
  </w:style>
  <w:style w:type="paragraph" w:styleId="Revision">
    <w:name w:val="Revision"/>
    <w:hidden/>
    <w:uiPriority w:val="99"/>
    <w:semiHidden/>
    <w:rsid w:val="00416AFA"/>
    <w:pPr>
      <w:spacing w:after="0" w:line="240" w:lineRule="auto"/>
    </w:pPr>
  </w:style>
  <w:style w:type="paragraph" w:styleId="ListParagraph">
    <w:name w:val="List Paragraph"/>
    <w:basedOn w:val="Normal"/>
    <w:uiPriority w:val="34"/>
    <w:qFormat/>
    <w:rsid w:val="00C8424A"/>
    <w:pPr>
      <w:ind w:left="720"/>
      <w:contextualSpacing/>
    </w:pPr>
  </w:style>
  <w:style w:type="paragraph" w:styleId="NormalWeb">
    <w:name w:val="Normal (Web)"/>
    <w:basedOn w:val="Normal"/>
    <w:uiPriority w:val="99"/>
    <w:unhideWhenUsed/>
    <w:rsid w:val="00911337"/>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303E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HBF Brand Theme">
  <a:themeElements>
    <a:clrScheme name="HBF Colour Palette">
      <a:dk1>
        <a:srgbClr val="5A5A54"/>
      </a:dk1>
      <a:lt1>
        <a:srgbClr val="FFFFFF"/>
      </a:lt1>
      <a:dk2>
        <a:srgbClr val="B91E4C"/>
      </a:dk2>
      <a:lt2>
        <a:srgbClr val="FCEAD3"/>
      </a:lt2>
      <a:accent1>
        <a:srgbClr val="B91E4C"/>
      </a:accent1>
      <a:accent2>
        <a:srgbClr val="F29724"/>
      </a:accent2>
      <a:accent3>
        <a:srgbClr val="5A5A54"/>
      </a:accent3>
      <a:accent4>
        <a:srgbClr val="00688E"/>
      </a:accent4>
      <a:accent5>
        <a:srgbClr val="248474"/>
      </a:accent5>
      <a:accent6>
        <a:srgbClr val="FFFFFF"/>
      </a:accent6>
      <a:hlink>
        <a:srgbClr val="00688E"/>
      </a:hlink>
      <a:folHlink>
        <a:srgbClr val="F2972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32651fc-fb77-475e-94b7-ac29b34e20a9">
      <Terms xmlns="http://schemas.microsoft.com/office/infopath/2007/PartnerControls"/>
    </lcf76f155ced4ddcb4097134ff3c332f>
    <TaxCatchAll xmlns="5fdc85af-72f2-484e-84e7-da75dbbdf48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1D6A743BA66514AAC76C5492AD19681" ma:contentTypeVersion="18" ma:contentTypeDescription="Create a new document." ma:contentTypeScope="" ma:versionID="b7ec00efd435e7837e09b2181f95979d">
  <xsd:schema xmlns:xsd="http://www.w3.org/2001/XMLSchema" xmlns:xs="http://www.w3.org/2001/XMLSchema" xmlns:p="http://schemas.microsoft.com/office/2006/metadata/properties" xmlns:ns2="432651fc-fb77-475e-94b7-ac29b34e20a9" xmlns:ns3="5fdc85af-72f2-484e-84e7-da75dbbdf48e" targetNamespace="http://schemas.microsoft.com/office/2006/metadata/properties" ma:root="true" ma:fieldsID="7795ed9b0fb1c93bc8508a7fd471bebc" ns2:_="" ns3:_="">
    <xsd:import namespace="432651fc-fb77-475e-94b7-ac29b34e20a9"/>
    <xsd:import namespace="5fdc85af-72f2-484e-84e7-da75dbbdf4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2651fc-fb77-475e-94b7-ac29b34e20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d8e2843-1c2b-4603-ab09-9fa04eeb888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dc85af-72f2-484e-84e7-da75dbbdf48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6b8331c-aa39-40ee-8032-bf9ef8b425c5}" ma:internalName="TaxCatchAll" ma:showField="CatchAllData" ma:web="5fdc85af-72f2-484e-84e7-da75dbbdf4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6CEFBC-AE89-4991-B569-A35A9364D28B}">
  <ds:schemaRefs>
    <ds:schemaRef ds:uri="http://schemas.microsoft.com/sharepoint/v3/contenttype/forms"/>
  </ds:schemaRefs>
</ds:datastoreItem>
</file>

<file path=customXml/itemProps2.xml><?xml version="1.0" encoding="utf-8"?>
<ds:datastoreItem xmlns:ds="http://schemas.openxmlformats.org/officeDocument/2006/customXml" ds:itemID="{6415193B-E976-4207-8811-BF03B2FBA7E9}">
  <ds:schemaRefs>
    <ds:schemaRef ds:uri="http://schemas.microsoft.com/office/2006/metadata/properties"/>
    <ds:schemaRef ds:uri="http://schemas.microsoft.com/office/infopath/2007/PartnerControls"/>
    <ds:schemaRef ds:uri="432651fc-fb77-475e-94b7-ac29b34e20a9"/>
    <ds:schemaRef ds:uri="5fdc85af-72f2-484e-84e7-da75dbbdf48e"/>
  </ds:schemaRefs>
</ds:datastoreItem>
</file>

<file path=customXml/itemProps3.xml><?xml version="1.0" encoding="utf-8"?>
<ds:datastoreItem xmlns:ds="http://schemas.openxmlformats.org/officeDocument/2006/customXml" ds:itemID="{28308794-747A-476F-B27D-9ED49F2E78DC}">
  <ds:schemaRefs>
    <ds:schemaRef ds:uri="http://schemas.openxmlformats.org/officeDocument/2006/bibliography"/>
  </ds:schemaRefs>
</ds:datastoreItem>
</file>

<file path=customXml/itemProps4.xml><?xml version="1.0" encoding="utf-8"?>
<ds:datastoreItem xmlns:ds="http://schemas.openxmlformats.org/officeDocument/2006/customXml" ds:itemID="{A7D7E627-11F0-4A56-A02F-C4F8D8454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2651fc-fb77-475e-94b7-ac29b34e20a9"/>
    <ds:schemaRef ds:uri="5fdc85af-72f2-484e-84e7-da75dbbdf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