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057A" w:rsidRPr="0020057A" w:rsidP="0020057A">
      <w:pPr>
        <w:tabs>
          <w:tab w:val="num" w:pos="720"/>
        </w:tabs>
        <w:spacing w:line="360" w:lineRule="auto"/>
        <w:ind w:left="720" w:hanging="360"/>
        <w:jc w:val="center"/>
        <w:rPr>
          <w:rFonts w:ascii="Calibri" w:hAnsi="Calibri" w:cs="Calibri"/>
          <w:b/>
          <w:bCs/>
        </w:rPr>
      </w:pPr>
      <w:r w:rsidRPr="0020057A">
        <w:rPr>
          <w:rFonts w:ascii="Calibri" w:hAnsi="Calibri" w:cs="Calibri"/>
          <w:b/>
          <w:bCs/>
        </w:rPr>
        <w:t>WRITTEN EVIDENCE SUBMITTED BY AYESHA RIAZ</w:t>
      </w:r>
    </w:p>
    <w:p w:rsidR="0020057A" w:rsidRPr="0020057A" w:rsidP="0020057A">
      <w:pPr>
        <w:tabs>
          <w:tab w:val="num" w:pos="720"/>
        </w:tabs>
        <w:spacing w:line="360" w:lineRule="auto"/>
        <w:ind w:left="720" w:hanging="360"/>
        <w:jc w:val="center"/>
        <w:rPr>
          <w:rFonts w:ascii="Calibri" w:hAnsi="Calibri" w:cs="Calibri"/>
          <w:b/>
          <w:bCs/>
        </w:rPr>
      </w:pPr>
      <w:r w:rsidRPr="0020057A">
        <w:rPr>
          <w:rFonts w:ascii="Calibri" w:hAnsi="Calibri" w:cs="Calibri"/>
          <w:b/>
          <w:bCs/>
        </w:rPr>
        <w:t>(BSAI0017)</w:t>
      </w:r>
    </w:p>
    <w:p w:rsidR="0020057A" w:rsidRPr="0020057A" w:rsidP="00295555">
      <w:pPr>
        <w:pStyle w:val="NormalWeb"/>
        <w:numPr>
          <w:ilvl w:val="0"/>
          <w:numId w:val="1"/>
        </w:numPr>
        <w:spacing w:line="360" w:lineRule="auto"/>
        <w:rPr>
          <w:rFonts w:ascii="Calibri" w:hAnsi="Calibri" w:cs="Calibri"/>
          <w:b/>
          <w:bCs/>
        </w:rPr>
      </w:pPr>
      <w:r w:rsidRPr="0020057A">
        <w:rPr>
          <w:rFonts w:ascii="Calibri" w:hAnsi="Calibri" w:cs="Calibri"/>
          <w:b/>
          <w:bCs/>
        </w:rPr>
        <w:t>Introduction</w:t>
      </w:r>
    </w:p>
    <w:p w:rsidR="0020057A" w:rsidRPr="0020057A" w:rsidP="00295555">
      <w:pPr>
        <w:pStyle w:val="NormalWeb"/>
        <w:spacing w:line="360" w:lineRule="auto"/>
        <w:rPr>
          <w:rFonts w:ascii="Calibri" w:hAnsi="Calibri" w:cs="Calibri"/>
        </w:rPr>
      </w:pPr>
      <w:r w:rsidRPr="0020057A">
        <w:rPr>
          <w:rFonts w:ascii="Calibri" w:hAnsi="Calibri" w:cs="Calibri"/>
        </w:rPr>
        <w:t xml:space="preserve">This evidence </w:t>
      </w:r>
      <w:r w:rsidRPr="0020057A">
        <w:rPr>
          <w:rFonts w:ascii="Calibri" w:hAnsi="Calibri" w:cs="Calibri"/>
        </w:rPr>
        <w:t>i</w:t>
      </w:r>
      <w:r w:rsidRPr="0020057A">
        <w:rPr>
          <w:rFonts w:ascii="Calibri" w:hAnsi="Calibri" w:cs="Calibri"/>
        </w:rPr>
        <w:t xml:space="preserve">s prepared by academic staff researching and teaching in the field of immigration and asylum law at the University of Greenwich. The author previously worked in the field of immigration and asylum law for a substantial number of years. </w:t>
      </w:r>
    </w:p>
    <w:p w:rsidR="0020057A" w:rsidRPr="0020057A" w:rsidP="00295555">
      <w:pPr>
        <w:pStyle w:val="NormalWeb"/>
        <w:spacing w:line="360" w:lineRule="auto"/>
        <w:rPr>
          <w:rFonts w:ascii="Calibri" w:hAnsi="Calibri" w:cs="Calibri"/>
        </w:rPr>
      </w:pPr>
      <w:r w:rsidRPr="0020057A">
        <w:rPr>
          <w:rFonts w:ascii="Calibri" w:hAnsi="Calibri" w:cs="Calibri"/>
        </w:rPr>
        <w:t xml:space="preserve">This submission </w:t>
      </w:r>
      <w:r w:rsidRPr="0020057A">
        <w:rPr>
          <w:rFonts w:ascii="Calibri" w:hAnsi="Calibri" w:cs="Calibri"/>
        </w:rPr>
        <w:t xml:space="preserve">addresses the first part of Question 4 from the call for </w:t>
      </w:r>
      <w:r w:rsidRPr="0020057A">
        <w:rPr>
          <w:rFonts w:ascii="Calibri" w:hAnsi="Calibri" w:cs="Calibri"/>
        </w:rPr>
        <w:t>evidence, and</w:t>
      </w:r>
      <w:r w:rsidRPr="0020057A">
        <w:rPr>
          <w:rFonts w:ascii="Calibri" w:hAnsi="Calibri" w:cs="Calibri"/>
        </w:rPr>
        <w:t xml:space="preserve"> </w:t>
      </w:r>
      <w:r w:rsidRPr="0020057A">
        <w:rPr>
          <w:rFonts w:ascii="Calibri" w:hAnsi="Calibri" w:cs="Calibri"/>
        </w:rPr>
        <w:t xml:space="preserve">explains why section 12 of the Illegal Migration Act 2023 (IMA) should not be retained. It explores the serious human rights concerns raised by indefinite immigration detention and shows how this law conflicts with the right to liberty under Article 5 of the European Convention on Human Rights (ECHR). </w:t>
      </w:r>
      <w:r w:rsidRPr="0020057A">
        <w:rPr>
          <w:rFonts w:ascii="Calibri" w:hAnsi="Calibri" w:cs="Calibri"/>
        </w:rPr>
        <w:t>In sum</w:t>
      </w:r>
      <w:r w:rsidRPr="0020057A">
        <w:rPr>
          <w:rFonts w:ascii="Calibri" w:hAnsi="Calibri" w:cs="Calibri"/>
        </w:rPr>
        <w:t>, the law gives the government too much unchecked power to hold people in detention without proper limits or oversight. This goes ag</w:t>
      </w:r>
      <w:r w:rsidRPr="0020057A">
        <w:rPr>
          <w:rFonts w:ascii="Calibri" w:hAnsi="Calibri" w:cs="Calibri"/>
        </w:rPr>
        <w:t>ainst both UK legal traditions and international legal standards.</w:t>
      </w:r>
    </w:p>
    <w:p w:rsidR="0020057A" w:rsidRPr="0020057A" w:rsidP="00295555">
      <w:pPr>
        <w:pStyle w:val="NormalWeb"/>
        <w:numPr>
          <w:ilvl w:val="0"/>
          <w:numId w:val="2"/>
        </w:numPr>
        <w:spacing w:line="360" w:lineRule="auto"/>
        <w:rPr>
          <w:rFonts w:ascii="Calibri" w:hAnsi="Calibri" w:cs="Calibri"/>
          <w:b/>
          <w:bCs/>
        </w:rPr>
      </w:pPr>
      <w:r w:rsidRPr="0020057A">
        <w:rPr>
          <w:rFonts w:ascii="Calibri" w:hAnsi="Calibri" w:cs="Calibri"/>
          <w:b/>
          <w:bCs/>
        </w:rPr>
        <w:t>The UK’s Unique Position on Immigration Detention</w:t>
      </w:r>
    </w:p>
    <w:p w:rsidR="0020057A" w:rsidRPr="0020057A" w:rsidP="00295555">
      <w:pPr>
        <w:pStyle w:val="NormalWeb"/>
        <w:spacing w:line="360" w:lineRule="auto"/>
        <w:rPr>
          <w:rFonts w:ascii="Calibri" w:hAnsi="Calibri" w:cs="Calibri"/>
        </w:rPr>
      </w:pPr>
      <w:r w:rsidRPr="0020057A">
        <w:rPr>
          <w:rFonts w:ascii="Calibri" w:hAnsi="Calibri" w:cs="Calibri"/>
        </w:rPr>
        <w:t xml:space="preserve">The power to detain people for immigration purposes exists under </w:t>
      </w:r>
      <w:r w:rsidRPr="0020057A">
        <w:rPr>
          <w:rFonts w:ascii="Calibri" w:hAnsi="Calibri" w:cs="Calibri"/>
        </w:rPr>
        <w:t>a number of</w:t>
      </w:r>
      <w:r w:rsidRPr="0020057A">
        <w:rPr>
          <w:rFonts w:ascii="Calibri" w:hAnsi="Calibri" w:cs="Calibri"/>
        </w:rPr>
        <w:t xml:space="preserve"> laws. The Immigration Act 1971 first gave the Home Office powers to detain people while their immigration status is being examined, during deportation, or while they are awaiting removal. The UK Borders Act 2007 allows detention of foreign national offenders, and the Nationality, Immigration and Asylum Act 2002 gives the Home Secretary the power to detain people while setting removal directions.</w:t>
      </w:r>
    </w:p>
    <w:p w:rsidR="0020057A" w:rsidRPr="0020057A" w:rsidP="00295555">
      <w:pPr>
        <w:pStyle w:val="NormalWeb"/>
        <w:spacing w:line="360" w:lineRule="auto"/>
        <w:rPr>
          <w:rFonts w:ascii="Calibri" w:hAnsi="Calibri" w:cs="Calibri"/>
        </w:rPr>
      </w:pPr>
      <w:r w:rsidRPr="0020057A">
        <w:rPr>
          <w:rFonts w:ascii="Calibri" w:hAnsi="Calibri" w:cs="Calibri"/>
        </w:rPr>
        <w:t xml:space="preserve">Although these laws provide the legal foundation for detention, there is a clear presumption in favour of release. Official Home Office policy, particularly within Chapter 55 of the Enforcement Instructions Guidance, states that detention should be used only when </w:t>
      </w:r>
      <w:r w:rsidRPr="0020057A">
        <w:rPr>
          <w:rFonts w:ascii="Calibri" w:hAnsi="Calibri" w:cs="Calibri"/>
        </w:rPr>
        <w:t>absolutely necessary</w:t>
      </w:r>
      <w:r w:rsidRPr="0020057A">
        <w:rPr>
          <w:rFonts w:ascii="Calibri" w:hAnsi="Calibri" w:cs="Calibri"/>
        </w:rPr>
        <w:t>, and for the shortest period possible.</w:t>
      </w:r>
      <w:r>
        <w:rPr>
          <w:rStyle w:val="FootnoteReference"/>
          <w:rFonts w:ascii="Calibri" w:hAnsi="Calibri" w:cs="Calibri"/>
        </w:rPr>
        <w:footnoteReference w:id="2"/>
      </w:r>
      <w:r w:rsidRPr="0020057A">
        <w:rPr>
          <w:rFonts w:ascii="Calibri" w:hAnsi="Calibri" w:cs="Calibri"/>
        </w:rPr>
        <w:t xml:space="preserve"> Detention is said to be </w:t>
      </w:r>
      <w:r w:rsidRPr="0020057A">
        <w:rPr>
          <w:rFonts w:ascii="Calibri" w:hAnsi="Calibri" w:cs="Calibri"/>
        </w:rPr>
        <w:t>appropriate only where removal is imminent, where a person's identity or basis of claim needs to be established, or where there's a high risk they might abscond if released.</w:t>
      </w:r>
      <w:r>
        <w:rPr>
          <w:rStyle w:val="FootnoteReference"/>
          <w:rFonts w:ascii="Calibri" w:hAnsi="Calibri" w:cs="Calibri"/>
        </w:rPr>
        <w:footnoteReference w:id="3"/>
      </w:r>
    </w:p>
    <w:p w:rsidR="0020057A" w:rsidRPr="0020057A" w:rsidP="00295555">
      <w:pPr>
        <w:pStyle w:val="NormalWeb"/>
        <w:spacing w:line="360" w:lineRule="auto"/>
        <w:rPr>
          <w:rFonts w:ascii="Calibri" w:hAnsi="Calibri" w:cs="Calibri"/>
        </w:rPr>
      </w:pPr>
      <w:r w:rsidRPr="0020057A">
        <w:rPr>
          <w:rFonts w:ascii="Calibri" w:hAnsi="Calibri" w:cs="Calibri"/>
        </w:rPr>
        <w:t>Previously, when the UK was part of the Common European Asylum System, the Reception Conditions Directive applied.</w:t>
      </w:r>
      <w:r>
        <w:rPr>
          <w:rStyle w:val="FootnoteReference"/>
          <w:rFonts w:ascii="Calibri" w:hAnsi="Calibri" w:cs="Calibri"/>
        </w:rPr>
        <w:footnoteReference w:id="4"/>
      </w:r>
      <w:r w:rsidRPr="0020057A">
        <w:rPr>
          <w:rFonts w:ascii="Calibri" w:hAnsi="Calibri" w:cs="Calibri"/>
        </w:rPr>
        <w:t xml:space="preserve"> This directive, which encouraged the use of alternatives to detention (ATDs), was reflected in UK practice through the Detention Centre Rules 2001.</w:t>
      </w:r>
      <w:r>
        <w:rPr>
          <w:rStyle w:val="FootnoteReference"/>
          <w:rFonts w:ascii="Calibri" w:hAnsi="Calibri" w:cs="Calibri"/>
        </w:rPr>
        <w:footnoteReference w:id="5"/>
      </w:r>
      <w:r w:rsidRPr="0020057A">
        <w:rPr>
          <w:rFonts w:ascii="Calibri" w:hAnsi="Calibri" w:cs="Calibri"/>
        </w:rPr>
        <w:t xml:space="preserve"> These rules emphasised the importance of treating detained individuals with dignity. Home Office guidance also supports using ATDs whenever possible.</w:t>
      </w:r>
      <w:r>
        <w:rPr>
          <w:rStyle w:val="FootnoteReference"/>
          <w:rFonts w:ascii="Calibri" w:hAnsi="Calibri" w:cs="Calibri"/>
        </w:rPr>
        <w:footnoteReference w:id="6"/>
      </w:r>
    </w:p>
    <w:p w:rsidR="0020057A" w:rsidRPr="0020057A" w:rsidP="00295555">
      <w:pPr>
        <w:pStyle w:val="NormalWeb"/>
        <w:spacing w:line="360" w:lineRule="auto"/>
        <w:rPr>
          <w:rFonts w:ascii="Calibri" w:hAnsi="Calibri" w:cs="Calibri"/>
        </w:rPr>
      </w:pPr>
      <w:r w:rsidRPr="0020057A">
        <w:rPr>
          <w:rFonts w:ascii="Calibri" w:hAnsi="Calibri" w:cs="Calibri"/>
        </w:rPr>
        <w:t>However, despite these policies and international standards, UK law still does not impose a clear legal limit on the length of detention.</w:t>
      </w:r>
      <w:r>
        <w:rPr>
          <w:rStyle w:val="FootnoteReference"/>
          <w:rFonts w:ascii="Calibri" w:hAnsi="Calibri" w:cs="Calibri"/>
        </w:rPr>
        <w:footnoteReference w:id="7"/>
      </w:r>
      <w:r w:rsidRPr="0020057A">
        <w:rPr>
          <w:rFonts w:ascii="Calibri" w:hAnsi="Calibri" w:cs="Calibri"/>
        </w:rPr>
        <w:t xml:space="preserve"> This creates a serious gap. In practice, people are sometimes detained for months or even years without any clarity on when they will be released.</w:t>
      </w:r>
    </w:p>
    <w:p w:rsidR="0020057A" w:rsidRPr="0020057A" w:rsidP="00295555">
      <w:pPr>
        <w:pStyle w:val="NormalWeb"/>
        <w:numPr>
          <w:ilvl w:val="0"/>
          <w:numId w:val="3"/>
        </w:numPr>
        <w:spacing w:line="360" w:lineRule="auto"/>
        <w:rPr>
          <w:rFonts w:ascii="Calibri" w:hAnsi="Calibri" w:cs="Calibri"/>
          <w:b/>
          <w:bCs/>
        </w:rPr>
      </w:pPr>
      <w:r w:rsidRPr="0020057A">
        <w:rPr>
          <w:rFonts w:ascii="Calibri" w:hAnsi="Calibri" w:cs="Calibri"/>
          <w:b/>
          <w:bCs/>
        </w:rPr>
        <w:t>What the Law Requires</w:t>
      </w:r>
    </w:p>
    <w:p w:rsidR="0020057A" w:rsidRPr="0020057A" w:rsidP="00295555">
      <w:pPr>
        <w:pStyle w:val="NormalWeb"/>
        <w:spacing w:line="360" w:lineRule="auto"/>
        <w:rPr>
          <w:rFonts w:ascii="Calibri" w:hAnsi="Calibri" w:cs="Calibri"/>
        </w:rPr>
      </w:pPr>
      <w:r w:rsidRPr="0020057A">
        <w:rPr>
          <w:rFonts w:ascii="Calibri" w:hAnsi="Calibri" w:cs="Calibri"/>
        </w:rPr>
        <w:t>To be lawful, immigration detention in the UK must meet not just the conditions laid in immigration statutes and Home Office guidance but also the requirements of the ECHR. Under Article 5(1)(f) of the ECHR, a person may be detained to prevent unlawful entry or to facilitate removal. But the courts have made it clear that this power must be used fairly and only within strict limits.</w:t>
      </w:r>
    </w:p>
    <w:p w:rsidR="0020057A" w:rsidRPr="0020057A" w:rsidP="00295555">
      <w:pPr>
        <w:pStyle w:val="NormalWeb"/>
        <w:spacing w:line="360" w:lineRule="auto"/>
        <w:rPr>
          <w:rFonts w:ascii="Calibri" w:hAnsi="Calibri" w:cs="Calibri"/>
        </w:rPr>
      </w:pPr>
      <w:r w:rsidRPr="0020057A">
        <w:rPr>
          <w:rFonts w:ascii="Calibri" w:hAnsi="Calibri" w:cs="Calibri"/>
        </w:rPr>
        <w:t xml:space="preserve">The leading UK case on this matter is </w:t>
      </w:r>
      <w:r w:rsidRPr="0020057A">
        <w:rPr>
          <w:rFonts w:ascii="Calibri" w:hAnsi="Calibri" w:cs="Calibri"/>
          <w:i/>
          <w:iCs/>
        </w:rPr>
        <w:t>R v Governor of Durham Prison, ex parte Hardial Singh</w:t>
      </w:r>
      <w:r w:rsidRPr="0020057A">
        <w:rPr>
          <w:rFonts w:ascii="Calibri" w:hAnsi="Calibri" w:cs="Calibri"/>
        </w:rPr>
        <w:t>.</w:t>
      </w:r>
      <w:r>
        <w:rPr>
          <w:rStyle w:val="FootnoteReference"/>
          <w:rFonts w:ascii="Calibri" w:hAnsi="Calibri" w:cs="Calibri"/>
        </w:rPr>
        <w:footnoteReference w:id="8"/>
      </w:r>
      <w:r w:rsidRPr="0020057A">
        <w:rPr>
          <w:rFonts w:ascii="Calibri" w:hAnsi="Calibri" w:cs="Calibri"/>
        </w:rPr>
        <w:t xml:space="preserve"> In that case, the court set out four key principles:</w:t>
      </w:r>
    </w:p>
    <w:p w:rsidR="0020057A" w:rsidRPr="0020057A" w:rsidP="00295555">
      <w:pPr>
        <w:pStyle w:val="NormalWeb"/>
        <w:numPr>
          <w:ilvl w:val="0"/>
          <w:numId w:val="4"/>
        </w:numPr>
        <w:spacing w:line="360" w:lineRule="auto"/>
        <w:rPr>
          <w:rFonts w:ascii="Calibri" w:hAnsi="Calibri" w:cs="Calibri"/>
        </w:rPr>
      </w:pPr>
      <w:r w:rsidRPr="0020057A">
        <w:rPr>
          <w:rFonts w:ascii="Calibri" w:hAnsi="Calibri" w:cs="Calibri"/>
        </w:rPr>
        <w:t>Detention must be used only to achieve removal.</w:t>
      </w:r>
    </w:p>
    <w:p w:rsidR="0020057A" w:rsidRPr="0020057A" w:rsidP="00295555">
      <w:pPr>
        <w:pStyle w:val="NormalWeb"/>
        <w:numPr>
          <w:ilvl w:val="0"/>
          <w:numId w:val="4"/>
        </w:numPr>
        <w:spacing w:line="360" w:lineRule="auto"/>
        <w:rPr>
          <w:rFonts w:ascii="Calibri" w:hAnsi="Calibri" w:cs="Calibri"/>
        </w:rPr>
      </w:pPr>
      <w:r w:rsidRPr="0020057A">
        <w:rPr>
          <w:rFonts w:ascii="Calibri" w:hAnsi="Calibri" w:cs="Calibri"/>
        </w:rPr>
        <w:t>Detention must not last longer than is reasonable.</w:t>
      </w:r>
    </w:p>
    <w:p w:rsidR="0020057A" w:rsidRPr="0020057A" w:rsidP="00295555">
      <w:pPr>
        <w:pStyle w:val="NormalWeb"/>
        <w:numPr>
          <w:ilvl w:val="0"/>
          <w:numId w:val="4"/>
        </w:numPr>
        <w:spacing w:line="360" w:lineRule="auto"/>
        <w:rPr>
          <w:rFonts w:ascii="Calibri" w:hAnsi="Calibri" w:cs="Calibri"/>
        </w:rPr>
      </w:pPr>
      <w:r w:rsidRPr="0020057A">
        <w:rPr>
          <w:rFonts w:ascii="Calibri" w:hAnsi="Calibri" w:cs="Calibri"/>
        </w:rPr>
        <w:t xml:space="preserve">If it becomes clear that removal </w:t>
      </w:r>
      <w:r w:rsidRPr="0020057A">
        <w:rPr>
          <w:rFonts w:ascii="Calibri" w:hAnsi="Calibri" w:cs="Calibri"/>
        </w:rPr>
        <w:t xml:space="preserve">will not be </w:t>
      </w:r>
      <w:r w:rsidRPr="0020057A">
        <w:rPr>
          <w:rFonts w:ascii="Calibri" w:hAnsi="Calibri" w:cs="Calibri"/>
        </w:rPr>
        <w:t>effected</w:t>
      </w:r>
      <w:r w:rsidRPr="0020057A">
        <w:rPr>
          <w:rFonts w:ascii="Calibri" w:hAnsi="Calibri" w:cs="Calibri"/>
        </w:rPr>
        <w:t xml:space="preserve"> soon</w:t>
      </w:r>
      <w:r w:rsidRPr="0020057A">
        <w:rPr>
          <w:rFonts w:ascii="Calibri" w:hAnsi="Calibri" w:cs="Calibri"/>
        </w:rPr>
        <w:t>, the person must be released.</w:t>
      </w:r>
    </w:p>
    <w:p w:rsidR="0020057A" w:rsidRPr="0020057A" w:rsidP="00295555">
      <w:pPr>
        <w:pStyle w:val="NormalWeb"/>
        <w:numPr>
          <w:ilvl w:val="0"/>
          <w:numId w:val="4"/>
        </w:numPr>
        <w:spacing w:line="360" w:lineRule="auto"/>
        <w:rPr>
          <w:rFonts w:ascii="Calibri" w:hAnsi="Calibri" w:cs="Calibri"/>
        </w:rPr>
      </w:pPr>
      <w:r w:rsidRPr="0020057A">
        <w:rPr>
          <w:rFonts w:ascii="Calibri" w:hAnsi="Calibri" w:cs="Calibri"/>
        </w:rPr>
        <w:t>The government must act diligently to carry out removal</w:t>
      </w:r>
      <w:r w:rsidRPr="0020057A">
        <w:rPr>
          <w:rFonts w:ascii="Calibri" w:hAnsi="Calibri" w:cs="Calibri"/>
        </w:rPr>
        <w:t>s</w:t>
      </w:r>
      <w:r w:rsidRPr="0020057A">
        <w:rPr>
          <w:rFonts w:ascii="Calibri" w:hAnsi="Calibri" w:cs="Calibri"/>
        </w:rPr>
        <w:t>.</w:t>
      </w:r>
    </w:p>
    <w:p w:rsidR="0020057A" w:rsidRPr="0020057A" w:rsidP="00295555">
      <w:pPr>
        <w:pStyle w:val="NormalWeb"/>
        <w:spacing w:line="360" w:lineRule="auto"/>
        <w:rPr>
          <w:rFonts w:ascii="Calibri" w:hAnsi="Calibri" w:cs="Calibri"/>
        </w:rPr>
      </w:pPr>
      <w:r w:rsidRPr="0020057A">
        <w:rPr>
          <w:rFonts w:ascii="Calibri" w:hAnsi="Calibri" w:cs="Calibri"/>
        </w:rPr>
        <w:t xml:space="preserve">These principles remain fundamental and have been upheld in more recent cases. In </w:t>
      </w:r>
      <w:r w:rsidRPr="0020057A">
        <w:rPr>
          <w:rFonts w:ascii="Calibri" w:hAnsi="Calibri" w:cs="Calibri"/>
          <w:i/>
          <w:iCs/>
        </w:rPr>
        <w:t>Lumba v Secretary of State for the Home Departmen</w:t>
      </w:r>
      <w:r w:rsidRPr="0020057A">
        <w:rPr>
          <w:rFonts w:ascii="Calibri" w:hAnsi="Calibri" w:cs="Calibri"/>
        </w:rPr>
        <w:t>t, the Supreme Court found that detention must be consistent with both policy and legal authority.</w:t>
      </w:r>
      <w:r>
        <w:rPr>
          <w:rStyle w:val="FootnoteReference"/>
          <w:rFonts w:ascii="Calibri" w:hAnsi="Calibri" w:cs="Calibri"/>
        </w:rPr>
        <w:footnoteReference w:id="9"/>
      </w:r>
      <w:r w:rsidRPr="0020057A">
        <w:rPr>
          <w:rFonts w:ascii="Calibri" w:hAnsi="Calibri" w:cs="Calibri"/>
        </w:rPr>
        <w:t xml:space="preserve"> Similarly, in </w:t>
      </w:r>
      <w:r w:rsidRPr="0020057A">
        <w:rPr>
          <w:rFonts w:ascii="Calibri" w:hAnsi="Calibri" w:cs="Calibri"/>
          <w:i/>
          <w:iCs/>
        </w:rPr>
        <w:t>R (on the application of Sino) v Secretary of State for the Home Department</w:t>
      </w:r>
      <w:r w:rsidRPr="0020057A">
        <w:rPr>
          <w:rFonts w:ascii="Calibri" w:hAnsi="Calibri" w:cs="Calibri"/>
        </w:rPr>
        <w:t xml:space="preserve">, the High Court found that nearly five years of immigration detention was unlawful, since there was no realistic </w:t>
      </w:r>
      <w:r w:rsidRPr="0020057A">
        <w:rPr>
          <w:rFonts w:ascii="Calibri" w:hAnsi="Calibri" w:cs="Calibri"/>
        </w:rPr>
        <w:t>prospect of deportation from the outset.</w:t>
      </w:r>
      <w:r>
        <w:rPr>
          <w:rStyle w:val="FootnoteReference"/>
          <w:rFonts w:ascii="Calibri" w:hAnsi="Calibri" w:cs="Calibri"/>
        </w:rPr>
        <w:footnoteReference w:id="10"/>
      </w:r>
    </w:p>
    <w:p w:rsidR="0020057A" w:rsidRPr="0020057A" w:rsidP="00295555">
      <w:pPr>
        <w:pStyle w:val="NormalWeb"/>
        <w:spacing w:line="360" w:lineRule="auto"/>
        <w:rPr>
          <w:rFonts w:ascii="Calibri" w:hAnsi="Calibri" w:cs="Calibri"/>
        </w:rPr>
      </w:pPr>
      <w:r w:rsidRPr="0020057A">
        <w:rPr>
          <w:rFonts w:ascii="Calibri" w:hAnsi="Calibri" w:cs="Calibri"/>
        </w:rPr>
        <w:t xml:space="preserve">The European Court of Human Rights (ECtHR) has also addressed these issues. In </w:t>
      </w:r>
      <w:r w:rsidRPr="0020057A">
        <w:rPr>
          <w:rFonts w:ascii="Calibri" w:hAnsi="Calibri" w:cs="Calibri"/>
          <w:i/>
          <w:iCs/>
        </w:rPr>
        <w:t>J.N. v United Kingdom</w:t>
      </w:r>
      <w:r w:rsidRPr="0020057A">
        <w:rPr>
          <w:rFonts w:ascii="Calibri" w:hAnsi="Calibri" w:cs="Calibri"/>
        </w:rPr>
        <w:t>,</w:t>
      </w:r>
      <w:r>
        <w:rPr>
          <w:rStyle w:val="FootnoteReference"/>
          <w:rFonts w:ascii="Calibri" w:hAnsi="Calibri" w:cs="Calibri"/>
        </w:rPr>
        <w:footnoteReference w:id="11"/>
      </w:r>
      <w:r w:rsidRPr="0020057A">
        <w:rPr>
          <w:rFonts w:ascii="Calibri" w:hAnsi="Calibri" w:cs="Calibri"/>
        </w:rPr>
        <w:t xml:space="preserve"> and </w:t>
      </w:r>
      <w:r w:rsidRPr="0020057A">
        <w:rPr>
          <w:rFonts w:ascii="Calibri" w:hAnsi="Calibri" w:cs="Calibri"/>
          <w:i/>
          <w:iCs/>
        </w:rPr>
        <w:t>Saadi v United Kingdom</w:t>
      </w:r>
      <w:r w:rsidRPr="0020057A">
        <w:rPr>
          <w:rFonts w:ascii="Calibri" w:hAnsi="Calibri" w:cs="Calibri"/>
        </w:rPr>
        <w:t>,</w:t>
      </w:r>
      <w:r>
        <w:rPr>
          <w:rStyle w:val="FootnoteReference"/>
          <w:rFonts w:ascii="Calibri" w:hAnsi="Calibri" w:cs="Calibri"/>
        </w:rPr>
        <w:footnoteReference w:id="12"/>
      </w:r>
      <w:r w:rsidRPr="0020057A">
        <w:rPr>
          <w:rFonts w:ascii="Calibri" w:hAnsi="Calibri" w:cs="Calibri"/>
        </w:rPr>
        <w:t xml:space="preserve"> the Court confirmed that detention must be legal, proportionate, and </w:t>
      </w:r>
      <w:r w:rsidRPr="0020057A">
        <w:rPr>
          <w:rFonts w:ascii="Calibri" w:hAnsi="Calibri" w:cs="Calibri"/>
        </w:rPr>
        <w:t>time-limited</w:t>
      </w:r>
      <w:r w:rsidRPr="0020057A">
        <w:rPr>
          <w:rFonts w:ascii="Calibri" w:hAnsi="Calibri" w:cs="Calibri"/>
        </w:rPr>
        <w:t xml:space="preserve">. In </w:t>
      </w:r>
      <w:r w:rsidRPr="0020057A">
        <w:rPr>
          <w:rFonts w:ascii="Calibri" w:hAnsi="Calibri" w:cs="Calibri"/>
          <w:i/>
          <w:iCs/>
        </w:rPr>
        <w:t>O.M. v Hungary</w:t>
      </w:r>
      <w:r w:rsidRPr="0020057A">
        <w:rPr>
          <w:rFonts w:ascii="Calibri" w:hAnsi="Calibri" w:cs="Calibri"/>
        </w:rPr>
        <w:t>,</w:t>
      </w:r>
      <w:r>
        <w:rPr>
          <w:rStyle w:val="FootnoteReference"/>
          <w:rFonts w:ascii="Calibri" w:hAnsi="Calibri" w:cs="Calibri"/>
        </w:rPr>
        <w:footnoteReference w:id="13"/>
      </w:r>
      <w:r w:rsidRPr="0020057A">
        <w:rPr>
          <w:rFonts w:ascii="Calibri" w:hAnsi="Calibri" w:cs="Calibri"/>
        </w:rPr>
        <w:t xml:space="preserve"> the ECtHR held that where a state creates legal provisions allowing people to remain while seeking asylum, detaining them under the justification of preventing unauthorised entry may breach Article 5(1)(f).</w:t>
      </w:r>
    </w:p>
    <w:p w:rsidR="0020057A" w:rsidRPr="0020057A" w:rsidP="00295555">
      <w:pPr>
        <w:pStyle w:val="NormalWeb"/>
        <w:spacing w:line="360" w:lineRule="auto"/>
        <w:rPr>
          <w:rFonts w:ascii="Calibri" w:hAnsi="Calibri" w:cs="Calibri"/>
        </w:rPr>
      </w:pPr>
      <w:r w:rsidRPr="0020057A">
        <w:rPr>
          <w:rFonts w:ascii="Calibri" w:hAnsi="Calibri" w:cs="Calibri"/>
        </w:rPr>
        <w:t xml:space="preserve">Other cases highlight the importance of compliance with domestic law. In </w:t>
      </w:r>
      <w:r w:rsidRPr="0020057A">
        <w:rPr>
          <w:rFonts w:ascii="Calibri" w:hAnsi="Calibri" w:cs="Calibri"/>
          <w:i/>
          <w:iCs/>
        </w:rPr>
        <w:t>AAM (a child) v Secretary of State for the Home Department</w:t>
      </w:r>
      <w:r w:rsidRPr="0020057A">
        <w:rPr>
          <w:rFonts w:ascii="Calibri" w:hAnsi="Calibri" w:cs="Calibri"/>
        </w:rPr>
        <w:t>, the Secretary of State conceded that detention was unlawful because officials applied a blanket presumption to detain clandestine entrants, without lawful justification.</w:t>
      </w:r>
      <w:r>
        <w:rPr>
          <w:rStyle w:val="FootnoteReference"/>
          <w:rFonts w:ascii="Calibri" w:hAnsi="Calibri" w:cs="Calibri"/>
        </w:rPr>
        <w:footnoteReference w:id="14"/>
      </w:r>
    </w:p>
    <w:p w:rsidR="0020057A" w:rsidRPr="0020057A" w:rsidP="00295555">
      <w:pPr>
        <w:pStyle w:val="NormalWeb"/>
        <w:spacing w:line="360" w:lineRule="auto"/>
        <w:rPr>
          <w:rFonts w:ascii="Calibri" w:hAnsi="Calibri" w:cs="Calibri"/>
        </w:rPr>
      </w:pPr>
      <w:r w:rsidRPr="0020057A">
        <w:rPr>
          <w:rFonts w:ascii="Calibri" w:hAnsi="Calibri" w:cs="Calibri"/>
        </w:rPr>
        <w:t xml:space="preserve">In </w:t>
      </w:r>
      <w:r w:rsidRPr="0020057A">
        <w:rPr>
          <w:rFonts w:ascii="Calibri" w:hAnsi="Calibri" w:cs="Calibri"/>
          <w:i/>
          <w:iCs/>
        </w:rPr>
        <w:t>Nabil &amp; Ors v Hungary</w:t>
      </w:r>
      <w:r w:rsidRPr="0020057A">
        <w:rPr>
          <w:rFonts w:ascii="Calibri" w:hAnsi="Calibri" w:cs="Calibri"/>
        </w:rPr>
        <w:t>, the ECtHR reaffirmed that detention must be linked to a realistic and ongoing deportation process.</w:t>
      </w:r>
      <w:r>
        <w:rPr>
          <w:rStyle w:val="FootnoteReference"/>
          <w:rFonts w:ascii="Calibri" w:hAnsi="Calibri" w:cs="Calibri"/>
        </w:rPr>
        <w:footnoteReference w:id="15"/>
      </w:r>
      <w:r w:rsidRPr="0020057A">
        <w:rPr>
          <w:rFonts w:ascii="Calibri" w:hAnsi="Calibri" w:cs="Calibri"/>
        </w:rPr>
        <w:t xml:space="preserve"> The mere possibility of future deportation does not justify indefinite detention, especially where asylum applications are still being processed.</w:t>
      </w:r>
    </w:p>
    <w:p w:rsidR="0020057A" w:rsidRPr="0020057A" w:rsidP="00295555">
      <w:pPr>
        <w:pStyle w:val="NormalWeb"/>
        <w:spacing w:line="360" w:lineRule="auto"/>
        <w:rPr>
          <w:rFonts w:ascii="Calibri" w:hAnsi="Calibri" w:cs="Calibri"/>
        </w:rPr>
      </w:pPr>
      <w:r w:rsidRPr="0020057A">
        <w:rPr>
          <w:rFonts w:ascii="Calibri" w:hAnsi="Calibri" w:cs="Calibri"/>
        </w:rPr>
        <w:t xml:space="preserve">This section is directly relevant to the Joint Committee on Human Rights' scrutiny of the Border Security, Asylum and Immigration Bill, particularly its compatibility with Article 5 of the </w:t>
      </w:r>
      <w:r w:rsidRPr="0020057A">
        <w:rPr>
          <w:rFonts w:ascii="Calibri" w:hAnsi="Calibri" w:cs="Calibri"/>
        </w:rPr>
        <w:t>ECHR</w:t>
      </w:r>
      <w:r w:rsidRPr="0020057A">
        <w:rPr>
          <w:rFonts w:ascii="Calibri" w:hAnsi="Calibri" w:cs="Calibri"/>
        </w:rPr>
        <w:t xml:space="preserve">. The retention of section 12 of the Illegal Migration Act 2023 must be assessed against the legal requirement that detention be lawful, non-arbitrary, and proportionate. The case law discussed here illustrates that the UK courts and the </w:t>
      </w:r>
      <w:r w:rsidRPr="0020057A">
        <w:rPr>
          <w:rFonts w:ascii="Calibri" w:hAnsi="Calibri" w:cs="Calibri"/>
        </w:rPr>
        <w:t>ECtHR</w:t>
      </w:r>
      <w:r w:rsidRPr="0020057A">
        <w:rPr>
          <w:rFonts w:ascii="Calibri" w:hAnsi="Calibri" w:cs="Calibri"/>
        </w:rPr>
        <w:t xml:space="preserve"> have consistently ruled that immigration detention must be used only when strictly necessary and for the shortest possible time. Any framework that allows detention without a realistic prospect of removal, as section 12 arguably does, poses a serious risk of viola</w:t>
      </w:r>
      <w:r w:rsidRPr="0020057A">
        <w:rPr>
          <w:rFonts w:ascii="Calibri" w:hAnsi="Calibri" w:cs="Calibri"/>
        </w:rPr>
        <w:t>ting the UK's human rights obligations.</w:t>
      </w:r>
    </w:p>
    <w:p w:rsidR="0020057A" w:rsidRPr="0020057A" w:rsidP="00295555">
      <w:pPr>
        <w:pStyle w:val="NormalWeb"/>
        <w:spacing w:line="360" w:lineRule="auto"/>
        <w:rPr>
          <w:rFonts w:ascii="Calibri" w:hAnsi="Calibri" w:cs="Calibri"/>
        </w:rPr>
      </w:pPr>
      <w:r w:rsidRPr="0020057A">
        <w:rPr>
          <w:rFonts w:ascii="Calibri" w:hAnsi="Calibri" w:cs="Calibri"/>
        </w:rPr>
        <w:t xml:space="preserve">Taken together, these legal authorities spanning UK case law, the </w:t>
      </w:r>
      <w:r w:rsidRPr="0020057A">
        <w:rPr>
          <w:rFonts w:ascii="Calibri" w:hAnsi="Calibri" w:cs="Calibri"/>
        </w:rPr>
        <w:t>ECtHR</w:t>
      </w:r>
      <w:r w:rsidRPr="0020057A">
        <w:rPr>
          <w:rFonts w:ascii="Calibri" w:hAnsi="Calibri" w:cs="Calibri"/>
        </w:rPr>
        <w:t xml:space="preserve">, and the Refugee Convention </w:t>
      </w:r>
      <w:r w:rsidRPr="0020057A">
        <w:rPr>
          <w:rFonts w:ascii="Calibri" w:hAnsi="Calibri" w:cs="Calibri"/>
        </w:rPr>
        <w:t xml:space="preserve">1951 </w:t>
      </w:r>
      <w:r w:rsidRPr="0020057A">
        <w:rPr>
          <w:rFonts w:ascii="Calibri" w:hAnsi="Calibri" w:cs="Calibri"/>
        </w:rPr>
        <w:t xml:space="preserve">establish that immigration detention must be strictly limited, used only where removal is realistically imminent, and subject to both legal and procedural safeguards. Section 12 of the Illegal Migration Act 2023, by allowing detention based on ministerial discretion without time limits or a guaranteed prospect of removal, is incompatible with these requirements. It undermines Article 5 of the ECHR, defies the </w:t>
      </w:r>
      <w:r w:rsidRPr="0020057A">
        <w:rPr>
          <w:rFonts w:ascii="Calibri" w:hAnsi="Calibri" w:cs="Calibri"/>
          <w:i/>
          <w:iCs/>
        </w:rPr>
        <w:t>Hardial Singh</w:t>
      </w:r>
      <w:r w:rsidRPr="0020057A">
        <w:rPr>
          <w:rFonts w:ascii="Calibri" w:hAnsi="Calibri" w:cs="Calibri"/>
        </w:rPr>
        <w:t xml:space="preserve"> principles, and allows for a regime that risks</w:t>
      </w:r>
      <w:r w:rsidRPr="0020057A">
        <w:rPr>
          <w:rFonts w:ascii="Calibri" w:hAnsi="Calibri" w:cs="Calibri"/>
        </w:rPr>
        <w:t xml:space="preserve"> prolonged and unlawful detention</w:t>
      </w:r>
      <w:r w:rsidRPr="0020057A">
        <w:rPr>
          <w:rFonts w:ascii="Calibri" w:hAnsi="Calibri" w:cs="Calibri"/>
        </w:rPr>
        <w:t xml:space="preserve"> </w:t>
      </w:r>
      <w:r w:rsidRPr="0020057A">
        <w:rPr>
          <w:rFonts w:ascii="Calibri" w:hAnsi="Calibri" w:cs="Calibri"/>
        </w:rPr>
        <w:t>placing the UK in breach of both domestic and international legal standards.</w:t>
      </w:r>
    </w:p>
    <w:p w:rsidR="0020057A" w:rsidRPr="0020057A" w:rsidP="00295555">
      <w:pPr>
        <w:pStyle w:val="NormalWeb"/>
        <w:spacing w:line="360" w:lineRule="auto"/>
        <w:rPr>
          <w:rFonts w:ascii="Calibri" w:hAnsi="Calibri" w:cs="Calibri"/>
        </w:rPr>
      </w:pPr>
      <w:r w:rsidRPr="0020057A">
        <w:rPr>
          <w:rFonts w:ascii="Calibri" w:hAnsi="Calibri" w:cs="Calibri"/>
        </w:rPr>
        <w:t xml:space="preserve">Additionally, under Article 33 of the 1951 Refugee Convention and Section 77 of the Nationality, Immigration and Asylum Act 2002, an asylum seeker cannot be removed until their claim has been decided. Although removal directions may be issued during that time, actual removal cannot take place. </w:t>
      </w:r>
      <w:r w:rsidRPr="0020057A">
        <w:rPr>
          <w:rFonts w:ascii="Calibri" w:hAnsi="Calibri" w:cs="Calibri"/>
        </w:rPr>
        <w:t>This further questions</w:t>
      </w:r>
      <w:r w:rsidRPr="0020057A">
        <w:rPr>
          <w:rFonts w:ascii="Calibri" w:hAnsi="Calibri" w:cs="Calibri"/>
        </w:rPr>
        <w:t xml:space="preserve"> the legality of detention where removal is not immediately viable.</w:t>
      </w:r>
    </w:p>
    <w:p w:rsidR="0020057A" w:rsidRPr="0020057A" w:rsidP="00295555">
      <w:pPr>
        <w:pStyle w:val="NormalWeb"/>
        <w:numPr>
          <w:ilvl w:val="0"/>
          <w:numId w:val="5"/>
        </w:numPr>
        <w:spacing w:line="360" w:lineRule="auto"/>
        <w:rPr>
          <w:rFonts w:ascii="Calibri" w:hAnsi="Calibri" w:cs="Calibri"/>
          <w:b/>
          <w:bCs/>
        </w:rPr>
      </w:pPr>
      <w:r w:rsidRPr="0020057A">
        <w:rPr>
          <w:rFonts w:ascii="Calibri" w:hAnsi="Calibri" w:cs="Calibri"/>
          <w:b/>
          <w:bCs/>
        </w:rPr>
        <w:t>The Human Impact of Indefinite Detention</w:t>
      </w:r>
    </w:p>
    <w:p w:rsidR="0020057A" w:rsidRPr="0020057A" w:rsidP="00295555">
      <w:pPr>
        <w:pStyle w:val="NormalWeb"/>
        <w:spacing w:line="360" w:lineRule="auto"/>
        <w:rPr>
          <w:rFonts w:ascii="Calibri" w:hAnsi="Calibri" w:cs="Calibri"/>
        </w:rPr>
      </w:pPr>
      <w:r w:rsidRPr="0020057A">
        <w:rPr>
          <w:rFonts w:ascii="Calibri" w:hAnsi="Calibri" w:cs="Calibri"/>
        </w:rPr>
        <w:t xml:space="preserve">Immigration detention has profound consequences for the individuals affected. The UK frequently detains asylum seekers, survivors of trafficking, people with disabilities, and others who are already vulnerable. </w:t>
      </w:r>
    </w:p>
    <w:p w:rsidR="0020057A" w:rsidRPr="0020057A" w:rsidP="00295555">
      <w:pPr>
        <w:pStyle w:val="NormalWeb"/>
        <w:spacing w:line="360" w:lineRule="auto"/>
        <w:rPr>
          <w:rFonts w:ascii="Calibri" w:hAnsi="Calibri" w:cs="Calibri"/>
        </w:rPr>
      </w:pPr>
      <w:r w:rsidRPr="0020057A">
        <w:rPr>
          <w:rFonts w:ascii="Calibri" w:hAnsi="Calibri" w:cs="Calibri"/>
        </w:rPr>
        <w:t>The Home Office's Adults at Risk (AAR) policy, introduced in 2016 following the Shaw Review, was intended to safeguard vulnerable individuals.</w:t>
      </w:r>
      <w:r>
        <w:rPr>
          <w:rStyle w:val="FootnoteReference"/>
          <w:rFonts w:ascii="Calibri" w:hAnsi="Calibri" w:cs="Calibri"/>
        </w:rPr>
        <w:footnoteReference w:id="16"/>
      </w:r>
      <w:r w:rsidRPr="0020057A">
        <w:rPr>
          <w:rFonts w:ascii="Calibri" w:hAnsi="Calibri" w:cs="Calibri"/>
        </w:rPr>
        <w:t xml:space="preserve"> However, it has been widely criticised. Under this policy, individuals identified as at risk</w:t>
      </w:r>
      <w:r w:rsidRPr="0020057A">
        <w:rPr>
          <w:rFonts w:ascii="Calibri" w:hAnsi="Calibri" w:cs="Calibri"/>
        </w:rPr>
        <w:t>;</w:t>
      </w:r>
      <w:r w:rsidRPr="0020057A">
        <w:rPr>
          <w:rFonts w:ascii="Calibri" w:hAnsi="Calibri" w:cs="Calibri"/>
        </w:rPr>
        <w:t xml:space="preserve"> </w:t>
      </w:r>
      <w:r w:rsidRPr="0020057A">
        <w:rPr>
          <w:rFonts w:ascii="Calibri" w:hAnsi="Calibri" w:cs="Calibri"/>
        </w:rPr>
        <w:t>including victims of torture, trafficking, gender-based violence, or those with serious health conditions</w:t>
      </w:r>
      <w:r w:rsidRPr="0020057A">
        <w:rPr>
          <w:rFonts w:ascii="Calibri" w:hAnsi="Calibri" w:cs="Calibri"/>
        </w:rPr>
        <w:t>,</w:t>
      </w:r>
      <w:r w:rsidRPr="0020057A">
        <w:rPr>
          <w:rFonts w:ascii="Calibri" w:hAnsi="Calibri" w:cs="Calibri"/>
        </w:rPr>
        <w:t xml:space="preserve"> </w:t>
      </w:r>
      <w:r w:rsidRPr="0020057A">
        <w:rPr>
          <w:rFonts w:ascii="Calibri" w:hAnsi="Calibri" w:cs="Calibri"/>
        </w:rPr>
        <w:t>can still be detained if immigration factors outweigh their vulnerabilities.</w:t>
      </w:r>
      <w:r>
        <w:rPr>
          <w:rStyle w:val="FootnoteReference"/>
          <w:rFonts w:ascii="Calibri" w:hAnsi="Calibri" w:cs="Calibri"/>
        </w:rPr>
        <w:footnoteReference w:id="17"/>
      </w:r>
      <w:r w:rsidRPr="0020057A">
        <w:rPr>
          <w:rFonts w:ascii="Calibri" w:hAnsi="Calibri" w:cs="Calibri"/>
        </w:rPr>
        <w:t xml:space="preserve"> The AAR policy operates on a three-tier system: Level 1 (self-declared), Level 2 (professionally evidenced), and Level 3 (medical confirmation of risk).</w:t>
      </w:r>
      <w:r>
        <w:rPr>
          <w:rStyle w:val="FootnoteReference"/>
          <w:rFonts w:ascii="Calibri" w:hAnsi="Calibri" w:cs="Calibri"/>
        </w:rPr>
        <w:footnoteReference w:id="18"/>
      </w:r>
      <w:r w:rsidRPr="0020057A">
        <w:rPr>
          <w:rFonts w:ascii="Calibri" w:hAnsi="Calibri" w:cs="Calibri"/>
        </w:rPr>
        <w:t xml:space="preserve"> Despite this structure, many </w:t>
      </w:r>
      <w:r w:rsidRPr="0020057A">
        <w:rPr>
          <w:rFonts w:ascii="Calibri" w:hAnsi="Calibri" w:cs="Calibri"/>
        </w:rPr>
        <w:t xml:space="preserve">important </w:t>
      </w:r>
      <w:r w:rsidRPr="0020057A">
        <w:rPr>
          <w:rFonts w:ascii="Calibri" w:hAnsi="Calibri" w:cs="Calibri"/>
        </w:rPr>
        <w:t>stakeholders, including Bail for Immigration Detainees and detention centre staff, report that the policy has not reduced the number of vulnerable people in detention.</w:t>
      </w:r>
      <w:r>
        <w:rPr>
          <w:rStyle w:val="FootnoteReference"/>
          <w:rFonts w:ascii="Calibri" w:hAnsi="Calibri" w:cs="Calibri"/>
        </w:rPr>
        <w:footnoteReference w:id="19"/>
      </w:r>
      <w:r w:rsidRPr="0020057A">
        <w:rPr>
          <w:rFonts w:ascii="Calibri" w:hAnsi="Calibri" w:cs="Calibri"/>
        </w:rPr>
        <w:t xml:space="preserve"> Many are only released after a successful bail application, rather than through AAR safeguards.</w:t>
      </w:r>
      <w:r>
        <w:rPr>
          <w:rStyle w:val="FootnoteReference"/>
          <w:rFonts w:ascii="Calibri" w:hAnsi="Calibri" w:cs="Calibri"/>
        </w:rPr>
        <w:footnoteReference w:id="20"/>
      </w:r>
    </w:p>
    <w:p w:rsidR="0020057A" w:rsidRPr="0020057A" w:rsidP="00295555">
      <w:pPr>
        <w:pStyle w:val="NormalWeb"/>
        <w:spacing w:line="360" w:lineRule="auto"/>
        <w:rPr>
          <w:rFonts w:ascii="Calibri" w:hAnsi="Calibri" w:cs="Calibri"/>
        </w:rPr>
      </w:pPr>
      <w:r w:rsidRPr="0020057A">
        <w:rPr>
          <w:rFonts w:ascii="Calibri" w:hAnsi="Calibri" w:cs="Calibri"/>
        </w:rPr>
        <w:t>Legal access is also a major issue. Cuts to legal aid mean that many detainees cannot find a lawyer to help them challenge their detention.</w:t>
      </w:r>
      <w:r>
        <w:rPr>
          <w:rStyle w:val="FootnoteReference"/>
          <w:rFonts w:ascii="Calibri" w:hAnsi="Calibri" w:cs="Calibri"/>
        </w:rPr>
        <w:footnoteReference w:id="21"/>
      </w:r>
      <w:r w:rsidRPr="0020057A">
        <w:rPr>
          <w:rFonts w:ascii="Calibri" w:hAnsi="Calibri" w:cs="Calibri"/>
        </w:rPr>
        <w:t xml:space="preserve"> In some parts of the country, there are no immigration legal aid providers at all</w:t>
      </w:r>
      <w:r w:rsidRPr="0020057A">
        <w:rPr>
          <w:rFonts w:ascii="Calibri" w:hAnsi="Calibri" w:cs="Calibri"/>
        </w:rPr>
        <w:t xml:space="preserve"> leaving people unable to assert their rights or seek access to justice</w:t>
      </w:r>
      <w:r w:rsidRPr="0020057A">
        <w:rPr>
          <w:rFonts w:ascii="Calibri" w:hAnsi="Calibri" w:cs="Calibri"/>
        </w:rPr>
        <w:t>.</w:t>
      </w:r>
      <w:r>
        <w:rPr>
          <w:rStyle w:val="FootnoteReference"/>
          <w:rFonts w:ascii="Calibri" w:hAnsi="Calibri" w:cs="Calibri"/>
        </w:rPr>
        <w:footnoteReference w:id="22"/>
      </w:r>
      <w:r w:rsidRPr="0020057A">
        <w:rPr>
          <w:rFonts w:ascii="Calibri" w:hAnsi="Calibri" w:cs="Calibri"/>
        </w:rPr>
        <w:t xml:space="preserve"> </w:t>
      </w:r>
    </w:p>
    <w:p w:rsidR="0020057A" w:rsidRPr="0020057A" w:rsidP="00295555">
      <w:pPr>
        <w:pStyle w:val="NormalWeb"/>
        <w:spacing w:line="360" w:lineRule="auto"/>
        <w:rPr>
          <w:rFonts w:ascii="Calibri" w:hAnsi="Calibri" w:cs="Calibri"/>
        </w:rPr>
      </w:pPr>
      <w:r w:rsidRPr="0020057A">
        <w:rPr>
          <w:rFonts w:ascii="Calibri" w:hAnsi="Calibri" w:cs="Calibri"/>
        </w:rPr>
        <w:t xml:space="preserve">The Home Office often fails to act promptly or efficiently to progress removals. Yet section 12 allows detention to continue even where there is no immediate prospect of removal. </w:t>
      </w:r>
      <w:r w:rsidRPr="0020057A">
        <w:rPr>
          <w:rFonts w:ascii="Calibri" w:hAnsi="Calibri" w:cs="Calibri"/>
        </w:rPr>
        <w:t xml:space="preserve">Instead of being a tool of </w:t>
      </w:r>
      <w:r w:rsidRPr="0020057A">
        <w:rPr>
          <w:rFonts w:ascii="Calibri" w:hAnsi="Calibri" w:cs="Calibri"/>
        </w:rPr>
        <w:t>last resort, detention becomes a default option, with little regard for due process or individual dignity.</w:t>
      </w:r>
    </w:p>
    <w:p w:rsidR="0020057A" w:rsidRPr="0020057A" w:rsidP="00295555">
      <w:pPr>
        <w:pStyle w:val="NormalWeb"/>
        <w:numPr>
          <w:ilvl w:val="0"/>
          <w:numId w:val="6"/>
        </w:numPr>
        <w:spacing w:line="360" w:lineRule="auto"/>
        <w:rPr>
          <w:rFonts w:ascii="Calibri" w:hAnsi="Calibri" w:cs="Calibri"/>
          <w:b/>
          <w:bCs/>
        </w:rPr>
      </w:pPr>
      <w:r w:rsidRPr="0020057A">
        <w:rPr>
          <w:rFonts w:ascii="Calibri" w:hAnsi="Calibri" w:cs="Calibri"/>
          <w:b/>
          <w:bCs/>
        </w:rPr>
        <w:t>A Risk to the Rule of Law</w:t>
      </w:r>
    </w:p>
    <w:p w:rsidR="0020057A" w:rsidRPr="0020057A" w:rsidP="00295555">
      <w:pPr>
        <w:pStyle w:val="NormalWeb"/>
        <w:spacing w:line="360" w:lineRule="auto"/>
        <w:rPr>
          <w:rFonts w:ascii="Calibri" w:hAnsi="Calibri" w:cs="Calibri"/>
        </w:rPr>
      </w:pPr>
      <w:r w:rsidRPr="0020057A">
        <w:rPr>
          <w:rFonts w:ascii="Calibri" w:hAnsi="Calibri" w:cs="Calibri"/>
        </w:rPr>
        <w:t xml:space="preserve">The UK has a proud history of upholding liberty, fairness, and the rule of law. Judicial oversight of executive power is central to our democracy. Section 12 threatens that balance. By giving </w:t>
      </w:r>
      <w:r w:rsidRPr="0020057A">
        <w:rPr>
          <w:rFonts w:ascii="Calibri" w:hAnsi="Calibri" w:cs="Calibri"/>
        </w:rPr>
        <w:t>ministers</w:t>
      </w:r>
      <w:r w:rsidRPr="0020057A">
        <w:rPr>
          <w:rFonts w:ascii="Calibri" w:hAnsi="Calibri" w:cs="Calibri"/>
        </w:rPr>
        <w:t xml:space="preserve"> the power to decide how long someone should remain in detention, without proper checks and time limits, it sidelines the courts and risks normalising indefinite detention.</w:t>
      </w:r>
    </w:p>
    <w:p w:rsidR="0020057A" w:rsidRPr="0020057A" w:rsidP="00295555">
      <w:pPr>
        <w:pStyle w:val="NormalWeb"/>
        <w:spacing w:line="360" w:lineRule="auto"/>
        <w:rPr>
          <w:rFonts w:ascii="Calibri" w:hAnsi="Calibri" w:cs="Calibri"/>
        </w:rPr>
      </w:pPr>
      <w:r w:rsidRPr="0020057A">
        <w:rPr>
          <w:rFonts w:ascii="Calibri" w:hAnsi="Calibri" w:cs="Calibri"/>
        </w:rPr>
        <w:t>This approach also runs counter to our obligations under the 1951 Refugee Convention and the Council of Europe Convention on Action Against Trafficking in Human Beings. People seeking protection should not be treated as criminals or held for long periods in administrative detention.</w:t>
      </w:r>
    </w:p>
    <w:p w:rsidR="0020057A" w:rsidRPr="0020057A" w:rsidP="00295555">
      <w:pPr>
        <w:pStyle w:val="NormalWeb"/>
        <w:numPr>
          <w:ilvl w:val="0"/>
          <w:numId w:val="7"/>
        </w:numPr>
        <w:spacing w:line="360" w:lineRule="auto"/>
        <w:rPr>
          <w:rFonts w:ascii="Calibri" w:hAnsi="Calibri" w:cs="Calibri"/>
          <w:b/>
          <w:bCs/>
        </w:rPr>
      </w:pPr>
      <w:r w:rsidRPr="0020057A">
        <w:rPr>
          <w:rFonts w:ascii="Calibri" w:hAnsi="Calibri" w:cs="Calibri"/>
          <w:b/>
          <w:bCs/>
        </w:rPr>
        <w:t>Recommendations</w:t>
      </w:r>
    </w:p>
    <w:p w:rsidR="0020057A" w:rsidRPr="0020057A" w:rsidP="00295555">
      <w:pPr>
        <w:pStyle w:val="NormalWeb"/>
        <w:spacing w:line="360" w:lineRule="auto"/>
        <w:rPr>
          <w:rFonts w:ascii="Calibri" w:hAnsi="Calibri" w:cs="Calibri"/>
        </w:rPr>
      </w:pPr>
      <w:r w:rsidRPr="0020057A">
        <w:rPr>
          <w:rFonts w:ascii="Calibri" w:hAnsi="Calibri" w:cs="Calibri"/>
        </w:rPr>
        <w:t xml:space="preserve">To protect liberty, uphold human rights, and ensure lawful practice, </w:t>
      </w:r>
      <w:r w:rsidRPr="0020057A">
        <w:rPr>
          <w:rFonts w:ascii="Calibri" w:hAnsi="Calibri" w:cs="Calibri"/>
        </w:rPr>
        <w:t xml:space="preserve">I </w:t>
      </w:r>
      <w:r w:rsidRPr="0020057A">
        <w:rPr>
          <w:rFonts w:ascii="Calibri" w:hAnsi="Calibri" w:cs="Calibri"/>
        </w:rPr>
        <w:t>recommend:</w:t>
      </w:r>
    </w:p>
    <w:p w:rsidR="0020057A" w:rsidRPr="0020057A" w:rsidP="00295555">
      <w:pPr>
        <w:pStyle w:val="NormalWeb"/>
        <w:numPr>
          <w:ilvl w:val="0"/>
          <w:numId w:val="8"/>
        </w:numPr>
        <w:spacing w:line="360" w:lineRule="auto"/>
        <w:rPr>
          <w:rFonts w:ascii="Calibri" w:hAnsi="Calibri" w:cs="Calibri"/>
        </w:rPr>
      </w:pPr>
      <w:r w:rsidRPr="0020057A">
        <w:rPr>
          <w:rFonts w:ascii="Calibri" w:hAnsi="Calibri" w:cs="Calibri"/>
        </w:rPr>
        <w:t>Repealing section 12 of the Illegal Migration Act 2023</w:t>
      </w:r>
      <w:r w:rsidRPr="0020057A">
        <w:rPr>
          <w:rFonts w:ascii="Calibri" w:hAnsi="Calibri" w:cs="Calibri"/>
        </w:rPr>
        <w:t>.</w:t>
      </w:r>
    </w:p>
    <w:p w:rsidR="0020057A" w:rsidRPr="0020057A" w:rsidP="00295555">
      <w:pPr>
        <w:pStyle w:val="NormalWeb"/>
        <w:numPr>
          <w:ilvl w:val="0"/>
          <w:numId w:val="8"/>
        </w:numPr>
        <w:spacing w:line="360" w:lineRule="auto"/>
        <w:rPr>
          <w:rFonts w:ascii="Calibri" w:hAnsi="Calibri" w:cs="Calibri"/>
        </w:rPr>
      </w:pPr>
      <w:r w:rsidRPr="0020057A">
        <w:rPr>
          <w:rFonts w:ascii="Calibri" w:hAnsi="Calibri" w:cs="Calibri"/>
        </w:rPr>
        <w:t>Introducing a clear statutory time limit for immigration detention</w:t>
      </w:r>
      <w:r w:rsidRPr="0020057A">
        <w:rPr>
          <w:rFonts w:ascii="Calibri" w:hAnsi="Calibri" w:cs="Calibri"/>
        </w:rPr>
        <w:t>.</w:t>
      </w:r>
    </w:p>
    <w:p w:rsidR="0020057A" w:rsidRPr="0020057A" w:rsidP="00295555">
      <w:pPr>
        <w:pStyle w:val="NormalWeb"/>
        <w:numPr>
          <w:ilvl w:val="0"/>
          <w:numId w:val="8"/>
        </w:numPr>
        <w:spacing w:line="360" w:lineRule="auto"/>
        <w:rPr>
          <w:rFonts w:ascii="Calibri" w:hAnsi="Calibri" w:cs="Calibri"/>
        </w:rPr>
      </w:pPr>
      <w:r w:rsidRPr="0020057A">
        <w:rPr>
          <w:rFonts w:ascii="Calibri" w:hAnsi="Calibri" w:cs="Calibri"/>
        </w:rPr>
        <w:t>Ensuring automatic, regular judicial oversight of all detention decisions</w:t>
      </w:r>
      <w:r w:rsidRPr="0020057A">
        <w:rPr>
          <w:rFonts w:ascii="Calibri" w:hAnsi="Calibri" w:cs="Calibri"/>
        </w:rPr>
        <w:t>.</w:t>
      </w:r>
    </w:p>
    <w:p w:rsidR="0020057A" w:rsidRPr="0020057A" w:rsidP="00295555">
      <w:pPr>
        <w:pStyle w:val="NormalWeb"/>
        <w:numPr>
          <w:ilvl w:val="0"/>
          <w:numId w:val="8"/>
        </w:numPr>
        <w:spacing w:line="360" w:lineRule="auto"/>
        <w:rPr>
          <w:rFonts w:ascii="Calibri" w:hAnsi="Calibri" w:cs="Calibri"/>
        </w:rPr>
      </w:pPr>
      <w:r w:rsidRPr="0020057A">
        <w:rPr>
          <w:rFonts w:ascii="Calibri" w:hAnsi="Calibri" w:cs="Calibri"/>
        </w:rPr>
        <w:t xml:space="preserve">Reaffirming and codifying the </w:t>
      </w:r>
      <w:r w:rsidRPr="0020057A">
        <w:rPr>
          <w:rFonts w:ascii="Calibri" w:hAnsi="Calibri" w:cs="Calibri"/>
          <w:i/>
          <w:iCs/>
        </w:rPr>
        <w:t>Hardial Singh</w:t>
      </w:r>
      <w:r w:rsidRPr="0020057A">
        <w:rPr>
          <w:rFonts w:ascii="Calibri" w:hAnsi="Calibri" w:cs="Calibri"/>
        </w:rPr>
        <w:t xml:space="preserve"> principles in legislation</w:t>
      </w:r>
      <w:r w:rsidRPr="0020057A">
        <w:rPr>
          <w:rFonts w:ascii="Calibri" w:hAnsi="Calibri" w:cs="Calibri"/>
        </w:rPr>
        <w:t>.</w:t>
      </w:r>
    </w:p>
    <w:p w:rsidR="0020057A" w:rsidRPr="0020057A" w:rsidP="00295555">
      <w:pPr>
        <w:pStyle w:val="NormalWeb"/>
        <w:numPr>
          <w:ilvl w:val="0"/>
          <w:numId w:val="8"/>
        </w:numPr>
        <w:spacing w:line="360" w:lineRule="auto"/>
        <w:rPr>
          <w:rFonts w:ascii="Calibri" w:hAnsi="Calibri" w:cs="Calibri"/>
        </w:rPr>
      </w:pPr>
      <w:r w:rsidRPr="0020057A">
        <w:rPr>
          <w:rFonts w:ascii="Calibri" w:hAnsi="Calibri" w:cs="Calibri"/>
        </w:rPr>
        <w:t>Prioritising alternatives to detention and improving access to immigration bail</w:t>
      </w:r>
      <w:r w:rsidRPr="0020057A">
        <w:rPr>
          <w:rFonts w:ascii="Calibri" w:hAnsi="Calibri" w:cs="Calibri"/>
        </w:rPr>
        <w:t>.</w:t>
      </w:r>
    </w:p>
    <w:p w:rsidR="0020057A" w:rsidRPr="0020057A" w:rsidP="00295555">
      <w:pPr>
        <w:pStyle w:val="NormalWeb"/>
        <w:numPr>
          <w:ilvl w:val="0"/>
          <w:numId w:val="8"/>
        </w:numPr>
        <w:spacing w:line="360" w:lineRule="auto"/>
        <w:rPr>
          <w:rFonts w:ascii="Calibri" w:hAnsi="Calibri" w:cs="Calibri"/>
        </w:rPr>
      </w:pPr>
      <w:r w:rsidRPr="0020057A">
        <w:rPr>
          <w:rFonts w:ascii="Calibri" w:hAnsi="Calibri" w:cs="Calibri"/>
        </w:rPr>
        <w:t>Expanding access to legal aid, especially in underserved areas</w:t>
      </w:r>
      <w:r w:rsidRPr="0020057A">
        <w:rPr>
          <w:rFonts w:ascii="Calibri" w:hAnsi="Calibri" w:cs="Calibri"/>
        </w:rPr>
        <w:t>.</w:t>
      </w:r>
    </w:p>
    <w:p w:rsidR="0020057A" w:rsidRPr="0020057A" w:rsidP="00295555">
      <w:pPr>
        <w:pStyle w:val="NormalWeb"/>
        <w:numPr>
          <w:ilvl w:val="0"/>
          <w:numId w:val="8"/>
        </w:numPr>
        <w:spacing w:line="360" w:lineRule="auto"/>
        <w:rPr>
          <w:rFonts w:ascii="Calibri" w:hAnsi="Calibri" w:cs="Calibri"/>
        </w:rPr>
      </w:pPr>
      <w:r w:rsidRPr="0020057A">
        <w:rPr>
          <w:rFonts w:ascii="Calibri" w:hAnsi="Calibri" w:cs="Calibri"/>
        </w:rPr>
        <w:t>Strengthening protections for vulnerable detainees by reforming the AAR policy</w:t>
      </w:r>
      <w:r w:rsidRPr="0020057A">
        <w:rPr>
          <w:rFonts w:ascii="Calibri" w:hAnsi="Calibri" w:cs="Calibri"/>
        </w:rPr>
        <w:t>.</w:t>
      </w:r>
    </w:p>
    <w:p w:rsidR="0020057A" w:rsidRPr="0020057A" w:rsidP="00295555">
      <w:pPr>
        <w:pStyle w:val="NormalWeb"/>
        <w:numPr>
          <w:ilvl w:val="0"/>
          <w:numId w:val="9"/>
        </w:numPr>
        <w:spacing w:line="360" w:lineRule="auto"/>
        <w:rPr>
          <w:rFonts w:ascii="Calibri" w:hAnsi="Calibri" w:cs="Calibri"/>
          <w:b/>
          <w:bCs/>
        </w:rPr>
      </w:pPr>
      <w:r w:rsidRPr="0020057A">
        <w:rPr>
          <w:rFonts w:ascii="Calibri" w:hAnsi="Calibri" w:cs="Calibri"/>
          <w:b/>
          <w:bCs/>
        </w:rPr>
        <w:t>Conclusion</w:t>
      </w:r>
    </w:p>
    <w:p w:rsidR="0020057A" w:rsidRPr="0020057A" w:rsidP="00295555">
      <w:pPr>
        <w:pStyle w:val="NormalWeb"/>
        <w:spacing w:line="360" w:lineRule="auto"/>
        <w:rPr>
          <w:rFonts w:ascii="Calibri" w:hAnsi="Calibri" w:cs="Calibri"/>
        </w:rPr>
      </w:pPr>
      <w:r w:rsidRPr="0020057A">
        <w:rPr>
          <w:rFonts w:ascii="Calibri" w:hAnsi="Calibri" w:cs="Calibri"/>
        </w:rPr>
        <w:t xml:space="preserve">The UK remains the only European country without a statutory time limit on immigration detention. Section 12 of the IMA risks making this already troubling situation worse by enabling long-term, potentially indefinite detention based on vague and unchecked executive discretion. It weakens legal safeguards, harms vulnerable people, and undermines </w:t>
      </w:r>
      <w:r w:rsidRPr="0020057A">
        <w:rPr>
          <w:rFonts w:ascii="Calibri" w:hAnsi="Calibri" w:cs="Calibri"/>
        </w:rPr>
        <w:t>the principles of fairness and proportionality.</w:t>
      </w:r>
      <w:r w:rsidRPr="0020057A">
        <w:rPr>
          <w:rFonts w:ascii="Calibri" w:hAnsi="Calibri" w:cs="Calibri"/>
        </w:rPr>
        <w:t xml:space="preserve"> </w:t>
      </w:r>
      <w:r w:rsidRPr="0020057A">
        <w:rPr>
          <w:rFonts w:ascii="Calibri" w:hAnsi="Calibri" w:cs="Calibri"/>
        </w:rPr>
        <w:t xml:space="preserve">I </w:t>
      </w:r>
      <w:r w:rsidRPr="0020057A">
        <w:rPr>
          <w:rFonts w:ascii="Calibri" w:hAnsi="Calibri" w:cs="Calibri"/>
        </w:rPr>
        <w:t xml:space="preserve"> urge</w:t>
      </w:r>
      <w:r w:rsidRPr="0020057A">
        <w:rPr>
          <w:rFonts w:ascii="Calibri" w:hAnsi="Calibri" w:cs="Calibri"/>
        </w:rPr>
        <w:t xml:space="preserve"> the Committee to recommend full repeal of section 12 and to support reforms that promote dignity, accountability, and respect for fundamental rights.</w:t>
      </w:r>
    </w:p>
    <w:p w:rsidR="0020057A" w:rsidRPr="0020057A" w:rsidP="00295555">
      <w:pPr>
        <w:spacing w:line="360" w:lineRule="auto"/>
        <w:rPr>
          <w:rFonts w:ascii="Calibri" w:hAnsi="Calibri" w:cs="Calibri"/>
          <w:b/>
          <w:bCs/>
        </w:rPr>
      </w:pPr>
    </w:p>
    <w:p w:rsidR="0020057A" w:rsidRPr="0020057A" w:rsidP="00295555">
      <w:pPr>
        <w:spacing w:line="360" w:lineRule="auto"/>
        <w:rPr>
          <w:rFonts w:ascii="Calibri" w:hAnsi="Calibri" w:cs="Calibri"/>
          <w:b/>
          <w:bCs/>
        </w:rPr>
      </w:pPr>
      <w:r w:rsidRPr="0020057A">
        <w:rPr>
          <w:rFonts w:ascii="Calibri" w:hAnsi="Calibri" w:cs="Calibri"/>
          <w:b/>
          <w:bCs/>
        </w:rPr>
        <w:t>APRIL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0057A" w:rsidP="00325595">
      <w:pPr>
        <w:spacing w:after="0" w:line="240" w:lineRule="auto"/>
      </w:pPr>
      <w:r>
        <w:separator/>
      </w:r>
    </w:p>
  </w:footnote>
  <w:footnote w:type="continuationSeparator" w:id="1">
    <w:p w:rsidR="0020057A" w:rsidP="00325595">
      <w:pPr>
        <w:spacing w:after="0" w:line="240" w:lineRule="auto"/>
      </w:pPr>
      <w:r>
        <w:continuationSeparator/>
      </w:r>
    </w:p>
  </w:footnote>
  <w:footnote w:id="2">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Home Office, ‘Enforcement Instructions and Guidance: Chapter 55 Index’, Available at chrome-extension://efaidnbmnnnibpcajpcglclefindmkaj/https://assets.publishing.service.gov.uk/government/uploads/system/uploads/attachment_data/file/442253/Chapter55_v19_1.pdf. </w:t>
      </w:r>
    </w:p>
  </w:footnote>
  <w:footnote w:id="3">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ibid, chapter 55.6.3</w:t>
      </w:r>
    </w:p>
  </w:footnote>
  <w:footnote w:id="4">
    <w:p w:rsidR="0020057A" w:rsidRPr="000F0829" w:rsidP="00A45CA3">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The Common European Asylum System was established by the European Union in 1999 and it detailed a comprehensive approach to migration and asylum policy based on three main pillars; efficient asylum and return procedures, solidarity and fair share of responsibility and strengthened partnerships with third countries, see Migration and Home Affairs, ‘Common European Asylum System’, Available at: &lt;</w:t>
      </w:r>
      <w:r>
        <w:fldChar w:fldCharType="begin"/>
      </w:r>
      <w:r>
        <w:instrText xml:space="preserve"> HYPERLINK "https://home-affairs.ec.europa.eu/policies/migration-and-asylum/common-european-asylum-system_en" </w:instrText>
      </w:r>
      <w:r>
        <w:fldChar w:fldCharType="separate"/>
      </w:r>
      <w:r w:rsidRPr="000F0829">
        <w:rPr>
          <w:rStyle w:val="Hyperlink"/>
          <w:rFonts w:ascii="Times New Roman" w:hAnsi="Times New Roman" w:cs="Times New Roman"/>
          <w:color w:val="auto"/>
        </w:rPr>
        <w:t>https://home-affairs.ec.europa.eu/policies/migration-and-asylum/common-european-asylum-system_en</w:t>
      </w:r>
      <w:r>
        <w:fldChar w:fldCharType="end"/>
      </w:r>
      <w:r w:rsidRPr="000F0829">
        <w:rPr>
          <w:rFonts w:ascii="Times New Roman" w:hAnsi="Times New Roman" w:cs="Times New Roman"/>
        </w:rPr>
        <w:t xml:space="preserve"> </w:t>
      </w:r>
    </w:p>
    <w:p w:rsidR="0020057A" w:rsidRPr="000F0829" w:rsidP="00A45CA3">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w:t>
      </w:r>
      <w:r>
        <w:fldChar w:fldCharType="begin"/>
      </w:r>
      <w:r>
        <w:instrText xml:space="preserve"> HYPERLINK "https://home-affairs.ec.europa.eu/policies/migration-and-asylum/common-european-asylum-system/reception-conditions_en" </w:instrText>
      </w:r>
      <w:r>
        <w:fldChar w:fldCharType="separate"/>
      </w:r>
      <w:r w:rsidRPr="000F0829">
        <w:rPr>
          <w:rStyle w:val="Hyperlink"/>
          <w:rFonts w:ascii="Times New Roman" w:hAnsi="Times New Roman" w:cs="Times New Roman"/>
          <w:color w:val="auto"/>
        </w:rPr>
        <w:t>https://home-affairs.ec.europa.eu/policies/migration-and-asylum/common-european-asylum-system/reception-conditions_en</w:t>
      </w:r>
      <w:r>
        <w:fldChar w:fldCharType="end"/>
      </w:r>
      <w:r w:rsidRPr="000F0829">
        <w:rPr>
          <w:rStyle w:val="Hyperlink"/>
          <w:rFonts w:ascii="Times New Roman" w:hAnsi="Times New Roman" w:cs="Times New Roman"/>
          <w:color w:val="auto"/>
        </w:rPr>
        <w:t xml:space="preserve">&gt;  </w:t>
      </w:r>
    </w:p>
  </w:footnote>
  <w:footnote w:id="5">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The Detention Centre Rules 2001, SI 2001/238.</w:t>
      </w:r>
    </w:p>
  </w:footnote>
  <w:footnote w:id="6">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Home Office, ‘Enforcement Instructions and Guidance: Chapter 55 Index’, 55.6.3, Available at chrome-extension://efaidnbmnnnibpcajpcglclefindmkaj/https://assets.publishing.service.gov.uk/government/uploads/system/uploads/attachment_data/file/442253/Chapter55_v19_1.pdf </w:t>
      </w:r>
    </w:p>
  </w:footnote>
  <w:footnote w:id="7">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w:t>
      </w:r>
      <w:r w:rsidRPr="000F0829">
        <w:rPr>
          <w:rStyle w:val="collab"/>
          <w:rFonts w:ascii="Times New Roman" w:hAnsi="Times New Roman" w:cs="Times New Roman"/>
          <w:bdr w:val="nil"/>
          <w:shd w:val="clear" w:color="auto" w:fill="FFFFFF"/>
        </w:rPr>
        <w:t>All Party Parliamentary Group on Refugees, All Party Parliamentary Group on Migration</w:t>
      </w:r>
      <w:r w:rsidRPr="000F0829">
        <w:rPr>
          <w:rFonts w:ascii="Times New Roman" w:hAnsi="Times New Roman" w:cs="Times New Roman"/>
          <w:shd w:val="clear" w:color="auto" w:fill="FFFFFF"/>
        </w:rPr>
        <w:t>. </w:t>
      </w:r>
      <w:r w:rsidRPr="000F0829">
        <w:rPr>
          <w:rStyle w:val="Emphasis"/>
          <w:rFonts w:ascii="Times New Roman" w:hAnsi="Times New Roman" w:cs="Times New Roman"/>
          <w:bdr w:val="nil"/>
          <w:shd w:val="clear" w:color="auto" w:fill="FFFFFF"/>
        </w:rPr>
        <w:t>The Report of the Inquiry into the Use of Immigration Detention in the United Kingdom: A Joint Inquiry by the All Party Parliamentary Group on Refugees &amp; the All Party Parliamentary Group on Migration</w:t>
      </w:r>
      <w:r w:rsidRPr="000F0829">
        <w:rPr>
          <w:rFonts w:ascii="Times New Roman" w:hAnsi="Times New Roman" w:cs="Times New Roman"/>
          <w:shd w:val="clear" w:color="auto" w:fill="FFFFFF"/>
        </w:rPr>
        <w:t>. (</w:t>
      </w:r>
      <w:r w:rsidRPr="000F0829">
        <w:rPr>
          <w:rStyle w:val="year"/>
          <w:rFonts w:ascii="Times New Roman" w:hAnsi="Times New Roman" w:cs="Times New Roman"/>
          <w:bdr w:val="nil"/>
          <w:shd w:val="clear" w:color="auto" w:fill="FFFFFF"/>
        </w:rPr>
        <w:t>2016</w:t>
      </w:r>
      <w:r w:rsidRPr="000F0829">
        <w:rPr>
          <w:rFonts w:ascii="Times New Roman" w:hAnsi="Times New Roman" w:cs="Times New Roman"/>
          <w:shd w:val="clear" w:color="auto" w:fill="FFFFFF"/>
        </w:rPr>
        <w:t>) Available at: &lt;</w:t>
      </w:r>
      <w:r>
        <w:fldChar w:fldCharType="begin"/>
      </w:r>
      <w:r>
        <w:instrText xml:space="preserve"> HYPERLINK "https://detention.org.uk/wp-content/uploads/2017/08/immigration-detention-inquiry-report.pdf" </w:instrText>
      </w:r>
      <w:r>
        <w:fldChar w:fldCharType="separate"/>
      </w:r>
      <w:r w:rsidRPr="000F0829">
        <w:rPr>
          <w:rStyle w:val="Hyperlink"/>
          <w:rFonts w:ascii="Times New Roman" w:hAnsi="Times New Roman" w:cs="Times New Roman"/>
          <w:color w:val="auto"/>
          <w:bdr w:val="nil"/>
          <w:shd w:val="clear" w:color="auto" w:fill="FFFFFF"/>
        </w:rPr>
        <w:t>https://detention.org.uk/wp-content/uploads/2017/08/immigration-detention-inquiry-report.pdf</w:t>
      </w:r>
      <w:r>
        <w:fldChar w:fldCharType="end"/>
      </w:r>
      <w:r w:rsidRPr="000F0829">
        <w:rPr>
          <w:rFonts w:ascii="Times New Roman" w:hAnsi="Times New Roman" w:cs="Times New Roman"/>
          <w:bdr w:val="nil"/>
          <w:shd w:val="clear" w:color="auto" w:fill="FFFFFF"/>
        </w:rPr>
        <w:t xml:space="preserve">&gt; </w:t>
      </w:r>
    </w:p>
  </w:footnote>
  <w:footnote w:id="8">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[1984] 1 WLR 704.</w:t>
      </w:r>
    </w:p>
  </w:footnote>
  <w:footnote w:id="9">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[2011] UKSC 12.</w:t>
      </w:r>
    </w:p>
  </w:footnote>
  <w:footnote w:id="10">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[2011] EWHC 2249 (Admin).</w:t>
      </w:r>
    </w:p>
  </w:footnote>
  <w:footnote w:id="11">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(2017) 64 EHRR 21. </w:t>
      </w:r>
    </w:p>
  </w:footnote>
  <w:footnote w:id="12">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(2008) 47 EHRR 17</w:t>
      </w:r>
      <w:r w:rsidRPr="000F0829">
        <w:rPr>
          <w:rFonts w:ascii="Times New Roman" w:hAnsi="Times New Roman" w:cs="Times New Roman"/>
        </w:rPr>
        <w:t>.</w:t>
      </w:r>
    </w:p>
  </w:footnote>
  <w:footnote w:id="13">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(2016) </w:t>
      </w:r>
      <w:r w:rsidRPr="000F0829">
        <w:rPr>
          <w:rFonts w:ascii="Times New Roman" w:hAnsi="Times New Roman" w:cs="Times New Roman"/>
        </w:rPr>
        <w:t>App no</w:t>
      </w:r>
      <w:r w:rsidRPr="000F0829">
        <w:rPr>
          <w:rFonts w:ascii="Times New Roman" w:hAnsi="Times New Roman" w:cs="Times New Roman"/>
        </w:rPr>
        <w:t xml:space="preserve"> 9912/15.</w:t>
      </w:r>
    </w:p>
  </w:footnote>
  <w:footnote w:id="14">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[2012] EWHC 2567 (Fam)</w:t>
      </w:r>
    </w:p>
  </w:footnote>
  <w:footnote w:id="15">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(2015) App No. 62116/12.</w:t>
      </w:r>
    </w:p>
  </w:footnote>
  <w:footnote w:id="16">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Home Office, ‘Adults at Risk in Immigration Detention’ (Version 7, 8 March 2021) Available at:  &lt;chrome-extension://efaidnbmnnnibpcajpcglclefindmkaj/https://assets.publishing.service.gov.uk/government/uploads/system/uploads/attachment_data/file/1031900/Adults_at_risk_in_immigration_detention.pdf&gt; </w:t>
      </w:r>
    </w:p>
  </w:footnote>
  <w:footnote w:id="17">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w:t>
      </w:r>
      <w:r w:rsidRPr="000F0829">
        <w:rPr>
          <w:rFonts w:ascii="Times New Roman" w:hAnsi="Times New Roman" w:cs="Times New Roman"/>
        </w:rPr>
        <w:t>Ibid 13.</w:t>
      </w:r>
    </w:p>
  </w:footnote>
  <w:footnote w:id="18">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Ibid 13-14.</w:t>
      </w:r>
    </w:p>
  </w:footnote>
  <w:footnote w:id="19">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Secretary of State for the Home Department, </w:t>
      </w:r>
      <w:r w:rsidRPr="000F0829">
        <w:rPr>
          <w:rFonts w:ascii="Times New Roman" w:hAnsi="Times New Roman" w:cs="Times New Roman"/>
          <w:i/>
          <w:iCs/>
        </w:rPr>
        <w:t>Assessment of Government Progress in Implementing the Report on the Welfare in Detention of Vulnerable Persons: A Follow-up Report to the Home Office by Stephen Shaw</w:t>
      </w:r>
      <w:r w:rsidRPr="000F0829">
        <w:rPr>
          <w:rFonts w:ascii="Times New Roman" w:hAnsi="Times New Roman" w:cs="Times New Roman"/>
        </w:rPr>
        <w:t xml:space="preserve"> (Cm 9961, 2018), para 1.24, Available at &lt; https://assets.publishing.service.gov.uk/government/uploads/system/uploads/attachment_data/file/728376/Shaw_report_2018_Final_web_accessible.pdf&gt;.</w:t>
      </w:r>
    </w:p>
  </w:footnote>
  <w:footnote w:id="20">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Ibid, para 2.116.</w:t>
      </w:r>
    </w:p>
  </w:footnote>
  <w:footnote w:id="21">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Immigration Law Practitioners Association, ‘Stemming the Tide: The Case for Demarketising the Legal Aid Sector’ (6 November 2024) Available at: </w:t>
      </w:r>
      <w:r>
        <w:fldChar w:fldCharType="begin"/>
      </w:r>
      <w:r>
        <w:instrText xml:space="preserve"> HYPERLINK "https://ilpa.org.uk/stemming-the-tide-the-case-for-demarketising-the-legal-aid-sector/" </w:instrText>
      </w:r>
      <w:r>
        <w:fldChar w:fldCharType="separate"/>
      </w:r>
      <w:r w:rsidRPr="000F0829">
        <w:rPr>
          <w:rStyle w:val="Hyperlink"/>
          <w:rFonts w:ascii="Times New Roman" w:hAnsi="Times New Roman" w:cs="Times New Roman"/>
        </w:rPr>
        <w:t>https://ilpa.org.uk/stemming-the-tide-the-case-for-demarketising-the-legal-aid-sector/</w:t>
      </w:r>
      <w:r>
        <w:fldChar w:fldCharType="end"/>
      </w:r>
    </w:p>
  </w:footnote>
  <w:footnote w:id="22">
    <w:p w:rsidR="0020057A" w:rsidRPr="000F0829">
      <w:pPr>
        <w:pStyle w:val="FootnoteText"/>
        <w:rPr>
          <w:rFonts w:ascii="Times New Roman" w:hAnsi="Times New Roman" w:cs="Times New Roman"/>
        </w:rPr>
      </w:pPr>
      <w:r w:rsidRPr="000F0829">
        <w:rPr>
          <w:rStyle w:val="FootnoteReference"/>
          <w:rFonts w:ascii="Times New Roman" w:hAnsi="Times New Roman" w:cs="Times New Roman"/>
        </w:rPr>
        <w:footnoteRef/>
      </w:r>
      <w:r w:rsidRPr="000F0829">
        <w:rPr>
          <w:rFonts w:ascii="Times New Roman" w:hAnsi="Times New Roman" w:cs="Times New Roman"/>
        </w:rPr>
        <w:t xml:space="preserve"> Jo Wilding, </w:t>
      </w:r>
      <w:r w:rsidRPr="000F0829">
        <w:rPr>
          <w:rFonts w:ascii="Times New Roman" w:hAnsi="Times New Roman" w:cs="Times New Roman"/>
          <w:i/>
          <w:iCs/>
        </w:rPr>
        <w:t>Droughts and Deserts: A Report on the Immigration Legal Aid Market</w:t>
      </w:r>
      <w:r w:rsidRPr="000F0829">
        <w:rPr>
          <w:rFonts w:ascii="Times New Roman" w:hAnsi="Times New Roman" w:cs="Times New Roman"/>
        </w:rPr>
        <w:t xml:space="preserve"> (2019) 43, </w:t>
      </w:r>
      <w:r>
        <w:fldChar w:fldCharType="begin"/>
      </w:r>
      <w:r>
        <w:instrText xml:space="preserve"> HYPERLINK "http://www.jowilding.org/assets/files/Droughts%20and%20Deserts%20final%20report.pdf" </w:instrText>
      </w:r>
      <w:r>
        <w:fldChar w:fldCharType="separate"/>
      </w:r>
      <w:r w:rsidRPr="000F0829">
        <w:rPr>
          <w:rStyle w:val="Hyperlink"/>
          <w:rFonts w:ascii="Times New Roman" w:hAnsi="Times New Roman" w:cs="Times New Roman"/>
        </w:rPr>
        <w:t>http://www.jowilding.org/assets/files/Droughts%20and%20Deserts%20final%20report.pdf</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CA229A"/>
    <w:multiLevelType w:val="multilevel"/>
    <w:tmpl w:val="27C0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6806B2"/>
    <w:multiLevelType w:val="multilevel"/>
    <w:tmpl w:val="FCA2A1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E0082B"/>
    <w:multiLevelType w:val="multilevel"/>
    <w:tmpl w:val="1F52DE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D912DD"/>
    <w:multiLevelType w:val="multilevel"/>
    <w:tmpl w:val="CFA6B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1707565"/>
    <w:multiLevelType w:val="multilevel"/>
    <w:tmpl w:val="FF96DF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B952431"/>
    <w:multiLevelType w:val="multilevel"/>
    <w:tmpl w:val="345273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05A2259"/>
    <w:multiLevelType w:val="multilevel"/>
    <w:tmpl w:val="CAFA5A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53F43EF"/>
    <w:multiLevelType w:val="multilevel"/>
    <w:tmpl w:val="B30097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C7C6488"/>
    <w:multiLevelType w:val="multilevel"/>
    <w:tmpl w:val="2758E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4"/>
  </w:num>
  <w:num w:numId="4">
    <w:abstractNumId w:val="0"/>
  </w:num>
  <w:num w:numId="5">
    <w:abstractNumId w:val="1"/>
  </w:num>
  <w:num w:numId="6">
    <w:abstractNumId w:val="7"/>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3255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5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5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5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5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5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5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5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5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5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5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5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5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5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5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5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5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595"/>
    <w:rPr>
      <w:rFonts w:eastAsiaTheme="majorEastAsia" w:cstheme="majorBidi"/>
      <w:color w:val="272727" w:themeColor="text1" w:themeTint="D8"/>
    </w:rPr>
  </w:style>
  <w:style w:type="paragraph" w:styleId="Title">
    <w:name w:val="Title"/>
    <w:basedOn w:val="Normal"/>
    <w:next w:val="Normal"/>
    <w:link w:val="TitleChar"/>
    <w:uiPriority w:val="10"/>
    <w:qFormat/>
    <w:rsid w:val="00325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5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5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5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595"/>
    <w:pPr>
      <w:spacing w:before="160"/>
      <w:jc w:val="center"/>
    </w:pPr>
    <w:rPr>
      <w:i/>
      <w:iCs/>
      <w:color w:val="404040" w:themeColor="text1" w:themeTint="BF"/>
    </w:rPr>
  </w:style>
  <w:style w:type="character" w:customStyle="1" w:styleId="QuoteChar">
    <w:name w:val="Quote Char"/>
    <w:basedOn w:val="DefaultParagraphFont"/>
    <w:link w:val="Quote"/>
    <w:uiPriority w:val="29"/>
    <w:rsid w:val="00325595"/>
    <w:rPr>
      <w:i/>
      <w:iCs/>
      <w:color w:val="404040" w:themeColor="text1" w:themeTint="BF"/>
    </w:rPr>
  </w:style>
  <w:style w:type="paragraph" w:styleId="ListParagraph">
    <w:name w:val="List Paragraph"/>
    <w:basedOn w:val="Normal"/>
    <w:uiPriority w:val="34"/>
    <w:qFormat/>
    <w:rsid w:val="00325595"/>
    <w:pPr>
      <w:ind w:left="720"/>
      <w:contextualSpacing/>
    </w:pPr>
  </w:style>
  <w:style w:type="character" w:styleId="IntenseEmphasis">
    <w:name w:val="Intense Emphasis"/>
    <w:basedOn w:val="DefaultParagraphFont"/>
    <w:uiPriority w:val="21"/>
    <w:qFormat/>
    <w:rsid w:val="00325595"/>
    <w:rPr>
      <w:i/>
      <w:iCs/>
      <w:color w:val="0F4761" w:themeColor="accent1" w:themeShade="BF"/>
    </w:rPr>
  </w:style>
  <w:style w:type="paragraph" w:styleId="IntenseQuote">
    <w:name w:val="Intense Quote"/>
    <w:basedOn w:val="Normal"/>
    <w:next w:val="Normal"/>
    <w:link w:val="IntenseQuoteChar"/>
    <w:uiPriority w:val="30"/>
    <w:qFormat/>
    <w:rsid w:val="003255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595"/>
    <w:rPr>
      <w:i/>
      <w:iCs/>
      <w:color w:val="0F4761" w:themeColor="accent1" w:themeShade="BF"/>
    </w:rPr>
  </w:style>
  <w:style w:type="character" w:styleId="IntenseReference">
    <w:name w:val="Intense Reference"/>
    <w:basedOn w:val="DefaultParagraphFont"/>
    <w:uiPriority w:val="32"/>
    <w:qFormat/>
    <w:rsid w:val="00325595"/>
    <w:rPr>
      <w:b/>
      <w:bCs/>
      <w:smallCaps/>
      <w:color w:val="0F4761" w:themeColor="accent1" w:themeShade="BF"/>
      <w:spacing w:val="5"/>
    </w:rPr>
  </w:style>
  <w:style w:type="paragraph" w:styleId="NormalWeb">
    <w:name w:val="Normal (Web)"/>
    <w:basedOn w:val="Normal"/>
    <w:uiPriority w:val="99"/>
    <w:semiHidden/>
    <w:unhideWhenUsed/>
    <w:rsid w:val="00325595"/>
    <w:pPr>
      <w:spacing w:before="100" w:beforeAutospacing="1" w:after="100" w:afterAutospacing="1" w:line="240" w:lineRule="auto"/>
    </w:pPr>
    <w:rPr>
      <w:rFonts w:ascii="Times New Roman" w:eastAsia="Times New Roman" w:hAnsi="Times New Roman" w:cs="Times New Roman"/>
      <w:kern w:val="0"/>
      <w:lang w:eastAsia="en-GB"/>
    </w:rPr>
  </w:style>
  <w:style w:type="paragraph" w:styleId="FootnoteText">
    <w:name w:val="footnote text"/>
    <w:basedOn w:val="Normal"/>
    <w:link w:val="FootnoteTextChar"/>
    <w:uiPriority w:val="99"/>
    <w:unhideWhenUsed/>
    <w:rsid w:val="00325595"/>
    <w:pPr>
      <w:spacing w:after="0" w:line="240" w:lineRule="auto"/>
    </w:pPr>
    <w:rPr>
      <w:sz w:val="20"/>
      <w:szCs w:val="20"/>
    </w:rPr>
  </w:style>
  <w:style w:type="character" w:customStyle="1" w:styleId="FootnoteTextChar">
    <w:name w:val="Footnote Text Char"/>
    <w:basedOn w:val="DefaultParagraphFont"/>
    <w:link w:val="FootnoteText"/>
    <w:uiPriority w:val="99"/>
    <w:rsid w:val="00325595"/>
    <w:rPr>
      <w:sz w:val="20"/>
      <w:szCs w:val="20"/>
    </w:rPr>
  </w:style>
  <w:style w:type="character" w:styleId="FootnoteReference">
    <w:name w:val="footnote reference"/>
    <w:basedOn w:val="DefaultParagraphFont"/>
    <w:uiPriority w:val="99"/>
    <w:semiHidden/>
    <w:unhideWhenUsed/>
    <w:rsid w:val="00325595"/>
    <w:rPr>
      <w:vertAlign w:val="superscript"/>
    </w:rPr>
  </w:style>
  <w:style w:type="character" w:styleId="Hyperlink">
    <w:name w:val="Hyperlink"/>
    <w:basedOn w:val="DefaultParagraphFont"/>
    <w:uiPriority w:val="99"/>
    <w:unhideWhenUsed/>
    <w:rsid w:val="00A45CA3"/>
    <w:rPr>
      <w:color w:val="467886" w:themeColor="hyperlink"/>
      <w:u w:val="single"/>
    </w:rPr>
  </w:style>
  <w:style w:type="character" w:styleId="Emphasis">
    <w:name w:val="Emphasis"/>
    <w:basedOn w:val="DefaultParagraphFont"/>
    <w:uiPriority w:val="20"/>
    <w:qFormat/>
    <w:rsid w:val="00A45CA3"/>
    <w:rPr>
      <w:i/>
      <w:iCs/>
    </w:rPr>
  </w:style>
  <w:style w:type="character" w:customStyle="1" w:styleId="collab">
    <w:name w:val="collab"/>
    <w:basedOn w:val="DefaultParagraphFont"/>
    <w:rsid w:val="00A45CA3"/>
  </w:style>
  <w:style w:type="character" w:customStyle="1" w:styleId="year">
    <w:name w:val="year"/>
    <w:basedOn w:val="DefaultParagraphFont"/>
    <w:rsid w:val="00A45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1A777-EC83-4481-B156-1757F45F694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