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0E11" w:rsidRPr="00123A15" w:rsidP="00123A15">
      <w:pPr>
        <w:jc w:val="center"/>
        <w:rPr>
          <w:rFonts w:ascii="Calibri" w:hAnsi="Calibri" w:cs="Calibri"/>
          <w:b/>
          <w:sz w:val="24"/>
          <w:szCs w:val="24"/>
          <w:highlight w:val="white"/>
        </w:rPr>
      </w:pPr>
      <w:r w:rsidRPr="00123A15">
        <w:rPr>
          <w:rFonts w:ascii="Calibri" w:hAnsi="Calibri" w:cs="Calibri"/>
          <w:b/>
          <w:sz w:val="24"/>
          <w:szCs w:val="24"/>
          <w:highlight w:val="white"/>
        </w:rPr>
        <w:t>WRITTEN EVIDENCE SUBMITTED BY MIGRANTS’ RIGHTS NETWORK</w:t>
      </w:r>
    </w:p>
    <w:p w:rsidR="00890E11" w:rsidRPr="00123A15" w:rsidP="00123A15">
      <w:pPr>
        <w:jc w:val="center"/>
        <w:rPr>
          <w:rFonts w:ascii="Calibri" w:hAnsi="Calibri" w:cs="Calibri"/>
          <w:b/>
          <w:sz w:val="24"/>
          <w:szCs w:val="24"/>
          <w:highlight w:val="white"/>
        </w:rPr>
      </w:pPr>
      <w:r w:rsidRPr="00123A15">
        <w:rPr>
          <w:rFonts w:ascii="Calibri" w:hAnsi="Calibri" w:cs="Calibri"/>
          <w:b/>
          <w:sz w:val="24"/>
          <w:szCs w:val="24"/>
          <w:highlight w:val="white"/>
        </w:rPr>
        <w:t>(BSAI0014)</w:t>
      </w:r>
    </w:p>
    <w:p w:rsidR="00123A15" w:rsidRPr="00123A15" w:rsidP="00123A15">
      <w:pPr>
        <w:jc w:val="cente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b/>
          <w:sz w:val="24"/>
          <w:szCs w:val="24"/>
          <w:highlight w:val="white"/>
        </w:rPr>
        <w:t>Contents</w:t>
      </w:r>
    </w:p>
    <w:p w:rsidR="00890E11" w:rsidRPr="00123A15">
      <w:pPr>
        <w:numPr>
          <w:ilvl w:val="0"/>
          <w:numId w:val="4"/>
        </w:numPr>
        <w:rPr>
          <w:rFonts w:ascii="Calibri" w:hAnsi="Calibri" w:cs="Calibri"/>
          <w:sz w:val="24"/>
          <w:szCs w:val="24"/>
          <w:highlight w:val="white"/>
        </w:rPr>
      </w:pPr>
      <w:r w:rsidRPr="00123A15">
        <w:rPr>
          <w:rFonts w:ascii="Calibri" w:hAnsi="Calibri" w:cs="Calibri"/>
          <w:sz w:val="24"/>
          <w:szCs w:val="24"/>
          <w:highlight w:val="white"/>
        </w:rPr>
        <w:t>Introduction</w:t>
      </w:r>
    </w:p>
    <w:p w:rsidR="00890E11" w:rsidRPr="00123A15">
      <w:pPr>
        <w:numPr>
          <w:ilvl w:val="0"/>
          <w:numId w:val="4"/>
        </w:numPr>
        <w:rPr>
          <w:rFonts w:ascii="Calibri" w:hAnsi="Calibri" w:cs="Calibri"/>
          <w:sz w:val="24"/>
          <w:szCs w:val="24"/>
          <w:highlight w:val="white"/>
        </w:rPr>
      </w:pPr>
      <w:r w:rsidRPr="00123A15">
        <w:rPr>
          <w:rFonts w:ascii="Calibri" w:hAnsi="Calibri" w:cs="Calibri"/>
          <w:sz w:val="24"/>
          <w:szCs w:val="24"/>
          <w:highlight w:val="white"/>
        </w:rPr>
        <w:t>Recommendations</w:t>
      </w:r>
    </w:p>
    <w:p w:rsidR="00890E11" w:rsidRPr="00123A15">
      <w:pPr>
        <w:numPr>
          <w:ilvl w:val="0"/>
          <w:numId w:val="4"/>
        </w:numPr>
        <w:rPr>
          <w:rFonts w:ascii="Calibri" w:hAnsi="Calibri" w:cs="Calibri"/>
          <w:sz w:val="24"/>
          <w:szCs w:val="24"/>
          <w:highlight w:val="white"/>
        </w:rPr>
      </w:pPr>
      <w:r w:rsidRPr="00123A15">
        <w:rPr>
          <w:rFonts w:ascii="Calibri" w:hAnsi="Calibri" w:cs="Calibri"/>
          <w:sz w:val="24"/>
          <w:szCs w:val="24"/>
          <w:highlight w:val="white"/>
        </w:rPr>
        <w:t>Precursor offences</w:t>
      </w:r>
    </w:p>
    <w:p w:rsidR="00890E11" w:rsidRPr="00123A15">
      <w:pPr>
        <w:numPr>
          <w:ilvl w:val="1"/>
          <w:numId w:val="4"/>
        </w:numPr>
        <w:rPr>
          <w:rFonts w:ascii="Calibri" w:hAnsi="Calibri" w:cs="Calibri"/>
          <w:sz w:val="24"/>
          <w:szCs w:val="24"/>
          <w:highlight w:val="white"/>
        </w:rPr>
      </w:pPr>
      <w:r w:rsidRPr="00123A15">
        <w:rPr>
          <w:rFonts w:ascii="Calibri" w:hAnsi="Calibri" w:cs="Calibri"/>
          <w:sz w:val="24"/>
          <w:szCs w:val="24"/>
          <w:highlight w:val="white"/>
        </w:rPr>
        <w:t>Information sharing and material aid</w:t>
      </w:r>
    </w:p>
    <w:p w:rsidR="00890E11" w:rsidRPr="00123A15">
      <w:pPr>
        <w:numPr>
          <w:ilvl w:val="1"/>
          <w:numId w:val="4"/>
        </w:numPr>
        <w:rPr>
          <w:rFonts w:ascii="Calibri" w:hAnsi="Calibri" w:cs="Calibri"/>
          <w:sz w:val="24"/>
          <w:szCs w:val="24"/>
          <w:highlight w:val="white"/>
        </w:rPr>
      </w:pPr>
      <w:r w:rsidRPr="00123A15">
        <w:rPr>
          <w:rFonts w:ascii="Calibri" w:hAnsi="Calibri" w:cs="Calibri"/>
          <w:sz w:val="24"/>
          <w:szCs w:val="24"/>
          <w:highlight w:val="white"/>
        </w:rPr>
        <w:t xml:space="preserve">Serious Crime Prevention Orders </w:t>
      </w:r>
      <w:r w:rsidRPr="00123A15">
        <w:rPr>
          <w:rFonts w:ascii="Calibri" w:hAnsi="Calibri" w:cs="Calibri"/>
          <w:sz w:val="24"/>
          <w:szCs w:val="24"/>
          <w:highlight w:val="white"/>
        </w:rPr>
        <w:t>(SCPOs)</w:t>
      </w:r>
    </w:p>
    <w:p w:rsidR="00890E11" w:rsidRPr="00123A15">
      <w:pPr>
        <w:numPr>
          <w:ilvl w:val="2"/>
          <w:numId w:val="4"/>
        </w:numPr>
        <w:rPr>
          <w:rFonts w:ascii="Calibri" w:hAnsi="Calibri" w:cs="Calibri"/>
          <w:sz w:val="24"/>
          <w:szCs w:val="24"/>
          <w:highlight w:val="white"/>
        </w:rPr>
      </w:pPr>
      <w:r w:rsidRPr="00123A15">
        <w:rPr>
          <w:rFonts w:ascii="Calibri" w:hAnsi="Calibri" w:cs="Calibri"/>
          <w:sz w:val="24"/>
          <w:szCs w:val="24"/>
          <w:highlight w:val="white"/>
        </w:rPr>
        <w:t>Electronic monitoring</w:t>
      </w:r>
    </w:p>
    <w:p w:rsidR="00890E11" w:rsidRPr="00123A15">
      <w:pPr>
        <w:numPr>
          <w:ilvl w:val="1"/>
          <w:numId w:val="4"/>
        </w:numPr>
        <w:rPr>
          <w:rFonts w:ascii="Calibri" w:hAnsi="Calibri" w:cs="Calibri"/>
          <w:sz w:val="24"/>
          <w:szCs w:val="24"/>
          <w:highlight w:val="white"/>
        </w:rPr>
      </w:pPr>
      <w:r w:rsidRPr="00123A15">
        <w:rPr>
          <w:rFonts w:ascii="Calibri" w:hAnsi="Calibri" w:cs="Calibri"/>
          <w:sz w:val="24"/>
          <w:szCs w:val="24"/>
          <w:highlight w:val="white"/>
        </w:rPr>
        <w:t>Terrorism Prevention and Investigation Measures (TPIM)-style powers</w:t>
      </w:r>
    </w:p>
    <w:p w:rsidR="00890E11" w:rsidRPr="00123A15">
      <w:pPr>
        <w:numPr>
          <w:ilvl w:val="0"/>
          <w:numId w:val="4"/>
        </w:numPr>
        <w:rPr>
          <w:rFonts w:ascii="Calibri" w:hAnsi="Calibri" w:cs="Calibri"/>
          <w:sz w:val="24"/>
          <w:szCs w:val="24"/>
          <w:highlight w:val="white"/>
        </w:rPr>
      </w:pPr>
      <w:r w:rsidRPr="00123A15">
        <w:rPr>
          <w:rFonts w:ascii="Calibri" w:hAnsi="Calibri" w:cs="Calibri"/>
          <w:sz w:val="24"/>
          <w:szCs w:val="24"/>
          <w:highlight w:val="white"/>
        </w:rPr>
        <w:t>Device seizure</w:t>
      </w:r>
    </w:p>
    <w:p w:rsidR="00890E11" w:rsidRPr="00123A15">
      <w:pPr>
        <w:numPr>
          <w:ilvl w:val="0"/>
          <w:numId w:val="4"/>
        </w:numPr>
        <w:rPr>
          <w:rFonts w:ascii="Calibri" w:hAnsi="Calibri" w:cs="Calibri"/>
          <w:sz w:val="24"/>
          <w:szCs w:val="24"/>
          <w:highlight w:val="white"/>
        </w:rPr>
      </w:pPr>
      <w:r w:rsidRPr="00123A15">
        <w:rPr>
          <w:rFonts w:ascii="Calibri" w:hAnsi="Calibri" w:cs="Calibri"/>
          <w:sz w:val="24"/>
          <w:szCs w:val="24"/>
          <w:highlight w:val="white"/>
        </w:rPr>
        <w:t>Intermediaries and irregular entry</w:t>
      </w:r>
    </w:p>
    <w:p w:rsidR="00890E11" w:rsidRPr="00123A15">
      <w:pPr>
        <w:numPr>
          <w:ilvl w:val="1"/>
          <w:numId w:val="4"/>
        </w:numPr>
        <w:rPr>
          <w:rFonts w:ascii="Calibri" w:hAnsi="Calibri" w:cs="Calibri"/>
          <w:sz w:val="24"/>
          <w:szCs w:val="24"/>
          <w:highlight w:val="white"/>
        </w:rPr>
      </w:pPr>
      <w:r w:rsidRPr="00123A15">
        <w:rPr>
          <w:rFonts w:ascii="Calibri" w:hAnsi="Calibri" w:cs="Calibri"/>
          <w:sz w:val="24"/>
          <w:szCs w:val="24"/>
          <w:highlight w:val="white"/>
        </w:rPr>
        <w:t>Refugee Convention, irregular entry and ‘endangering another during sea crossing’</w:t>
      </w:r>
    </w:p>
    <w:p w:rsidR="00890E11" w:rsidRPr="00123A15">
      <w:pPr>
        <w:numPr>
          <w:ilvl w:val="0"/>
          <w:numId w:val="4"/>
        </w:numPr>
        <w:rPr>
          <w:rFonts w:ascii="Calibri" w:hAnsi="Calibri" w:cs="Calibri"/>
          <w:sz w:val="24"/>
          <w:szCs w:val="24"/>
          <w:highlight w:val="white"/>
        </w:rPr>
      </w:pPr>
      <w:r w:rsidRPr="00123A15">
        <w:rPr>
          <w:rFonts w:ascii="Calibri" w:hAnsi="Calibri" w:cs="Calibri"/>
          <w:sz w:val="24"/>
          <w:szCs w:val="24"/>
          <w:highlight w:val="white"/>
        </w:rPr>
        <w:t>Appendix</w:t>
      </w:r>
    </w:p>
    <w:p w:rsidR="00890E11" w:rsidRPr="00123A15">
      <w:pPr>
        <w:numPr>
          <w:ilvl w:val="1"/>
          <w:numId w:val="4"/>
        </w:numPr>
        <w:rPr>
          <w:rFonts w:ascii="Calibri" w:hAnsi="Calibri" w:cs="Calibri"/>
          <w:sz w:val="24"/>
          <w:szCs w:val="24"/>
          <w:highlight w:val="white"/>
        </w:rPr>
      </w:pPr>
      <w:r w:rsidRPr="00123A15">
        <w:rPr>
          <w:rFonts w:ascii="Calibri" w:hAnsi="Calibri" w:cs="Calibri"/>
          <w:sz w:val="24"/>
          <w:szCs w:val="24"/>
          <w:highlight w:val="white"/>
        </w:rPr>
        <w:t>About the author</w:t>
      </w:r>
    </w:p>
    <w:p w:rsidR="00890E11" w:rsidRPr="00123A15">
      <w:pPr>
        <w:numPr>
          <w:ilvl w:val="1"/>
          <w:numId w:val="4"/>
        </w:numPr>
        <w:rPr>
          <w:rFonts w:ascii="Calibri" w:hAnsi="Calibri" w:cs="Calibri"/>
          <w:sz w:val="24"/>
          <w:szCs w:val="24"/>
          <w:highlight w:val="white"/>
        </w:rPr>
      </w:pPr>
      <w:r w:rsidRPr="00123A15">
        <w:rPr>
          <w:rFonts w:ascii="Calibri" w:hAnsi="Calibri" w:cs="Calibri"/>
          <w:sz w:val="24"/>
          <w:szCs w:val="24"/>
          <w:highlight w:val="white"/>
        </w:rPr>
        <w:t>Terminology</w:t>
      </w:r>
    </w:p>
    <w:p w:rsidR="00890E11" w:rsidRPr="00123A15">
      <w:pPr>
        <w:numPr>
          <w:ilvl w:val="2"/>
          <w:numId w:val="4"/>
        </w:numPr>
        <w:rPr>
          <w:rFonts w:ascii="Calibri" w:hAnsi="Calibri" w:cs="Calibri"/>
          <w:sz w:val="24"/>
          <w:szCs w:val="24"/>
          <w:highlight w:val="white"/>
        </w:rPr>
      </w:pPr>
      <w:r w:rsidRPr="00123A15">
        <w:rPr>
          <w:rFonts w:ascii="Calibri" w:hAnsi="Calibri" w:cs="Calibri"/>
          <w:sz w:val="24"/>
          <w:szCs w:val="24"/>
          <w:highlight w:val="white"/>
        </w:rPr>
        <w:t>Migrants, including refugees</w:t>
      </w:r>
    </w:p>
    <w:p w:rsidR="00890E11" w:rsidRPr="00123A15">
      <w:pPr>
        <w:numPr>
          <w:ilvl w:val="2"/>
          <w:numId w:val="4"/>
        </w:numPr>
        <w:rPr>
          <w:rFonts w:ascii="Calibri" w:hAnsi="Calibri" w:cs="Calibri"/>
          <w:sz w:val="24"/>
          <w:szCs w:val="24"/>
          <w:highlight w:val="white"/>
        </w:rPr>
      </w:pPr>
      <w:r w:rsidRPr="00123A15">
        <w:rPr>
          <w:rFonts w:ascii="Calibri" w:hAnsi="Calibri" w:cs="Calibri"/>
          <w:sz w:val="24"/>
          <w:szCs w:val="24"/>
          <w:highlight w:val="white"/>
        </w:rPr>
        <w:t>Intermediaries</w:t>
      </w:r>
    </w:p>
    <w:p w:rsidR="00890E11" w:rsidRPr="00123A15">
      <w:pPr>
        <w:rPr>
          <w:rFonts w:ascii="Calibri" w:hAnsi="Calibri" w:cs="Calibri"/>
          <w:sz w:val="24"/>
          <w:szCs w:val="24"/>
          <w:highlight w:val="white"/>
        </w:rPr>
      </w:pPr>
    </w:p>
    <w:p w:rsidR="00890E11" w:rsidRPr="00123A15">
      <w:pPr>
        <w:rPr>
          <w:rFonts w:ascii="Calibri" w:hAnsi="Calibri" w:cs="Calibri"/>
          <w:b/>
          <w:sz w:val="24"/>
          <w:szCs w:val="24"/>
          <w:highlight w:val="white"/>
        </w:rPr>
      </w:pPr>
      <w:r w:rsidRPr="00123A15">
        <w:rPr>
          <w:rFonts w:ascii="Calibri" w:hAnsi="Calibri" w:cs="Calibri"/>
          <w:b/>
          <w:sz w:val="24"/>
          <w:szCs w:val="24"/>
          <w:highlight w:val="white"/>
        </w:rPr>
        <w:t>1. Introduction</w:t>
      </w:r>
    </w:p>
    <w:p w:rsidR="00890E11" w:rsidRPr="00123A15">
      <w:pPr>
        <w:rPr>
          <w:rFonts w:ascii="Calibri" w:hAnsi="Calibri" w:cs="Calibri"/>
          <w:sz w:val="24"/>
          <w:szCs w:val="24"/>
          <w:highlight w:val="white"/>
        </w:rPr>
      </w:pPr>
      <w:r w:rsidRPr="00123A15">
        <w:rPr>
          <w:rFonts w:ascii="Calibri" w:hAnsi="Calibri" w:cs="Calibri"/>
          <w:sz w:val="24"/>
          <w:szCs w:val="24"/>
          <w:highlight w:val="white"/>
        </w:rPr>
        <w:t>The Border Security, Asylum and Immigration Bill, referred to as the Border Security Bill, will turn seeking asylum into a national security issue, expand counter-terrorism powers and criminalise migrants, including refugees and people seeking asylum. Its primary aspects are to legally establish the Border Security Command, introduce preventative measures that target facilitation of undocumented immigration, expand surveillance powers via migrants’ devices, expand immigration detention, and amend legislatio</w:t>
      </w:r>
      <w:r w:rsidRPr="00123A15">
        <w:rPr>
          <w:rFonts w:ascii="Calibri" w:hAnsi="Calibri" w:cs="Calibri"/>
          <w:sz w:val="24"/>
          <w:szCs w:val="24"/>
          <w:highlight w:val="white"/>
        </w:rPr>
        <w:t>n relating to the UK-Rwanda deal.</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The ability to come to the UK to claim asylum is restrictive. Unless an individual has access to one of the few limited schemes (otherwise known as ‘safe routes’) which enable them to come to the UK, then coming via irregular means, including using the services of an intermediary, is often the only option for them. As a result, punitive measures as set out in the Bill are unlikely to deter people from crossing the Channel, instead expanding the State’s powers to penalise individuals based on how they entere</w:t>
      </w:r>
      <w:r w:rsidRPr="00123A15">
        <w:rPr>
          <w:rFonts w:ascii="Calibri" w:hAnsi="Calibri" w:cs="Calibri"/>
          <w:sz w:val="24"/>
          <w:szCs w:val="24"/>
          <w:highlight w:val="white"/>
        </w:rPr>
        <w:t xml:space="preserve">d or arrived in the UK, which conflicts with the Refugee Convention. </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The impact of the proposed changes are summarised best by a member of our Network:</w:t>
      </w:r>
    </w:p>
    <w:p w:rsidR="00890E11" w:rsidRPr="00123A15">
      <w:pPr>
        <w:ind w:left="567" w:right="951"/>
        <w:rPr>
          <w:rFonts w:ascii="Calibri" w:hAnsi="Calibri" w:cs="Calibri"/>
          <w:i/>
          <w:sz w:val="24"/>
          <w:szCs w:val="24"/>
          <w:highlight w:val="white"/>
        </w:rPr>
      </w:pPr>
      <w:r w:rsidRPr="00123A15">
        <w:rPr>
          <w:rFonts w:ascii="Calibri" w:hAnsi="Calibri" w:cs="Calibri"/>
          <w:i/>
          <w:sz w:val="24"/>
          <w:szCs w:val="24"/>
          <w:highlight w:val="white"/>
        </w:rPr>
        <w:t xml:space="preserve">“These changes are cruel and cold. People should be given the chance to at least have their voices heard as to why they have left their countries to take </w:t>
      </w:r>
      <w:r w:rsidRPr="00123A15">
        <w:rPr>
          <w:rFonts w:ascii="Calibri" w:hAnsi="Calibri" w:cs="Calibri"/>
          <w:i/>
          <w:sz w:val="24"/>
          <w:szCs w:val="24"/>
          <w:highlight w:val="white"/>
        </w:rPr>
        <w:t xml:space="preserve">perilous journeys seeking safety and a better life. There should be easier </w:t>
      </w:r>
      <w:r w:rsidRPr="00123A15">
        <w:rPr>
          <w:rFonts w:ascii="Calibri" w:hAnsi="Calibri" w:cs="Calibri"/>
          <w:i/>
          <w:sz w:val="24"/>
          <w:szCs w:val="24"/>
          <w:highlight w:val="white"/>
        </w:rPr>
        <w:t>opportunities to apply for asylum and trafficking should be the main target”</w:t>
      </w:r>
    </w:p>
    <w:p w:rsidR="00890E11" w:rsidRPr="00123A15">
      <w:pPr>
        <w:rPr>
          <w:rFonts w:ascii="Calibri" w:hAnsi="Calibri" w:cs="Calibri"/>
          <w:sz w:val="24"/>
          <w:szCs w:val="24"/>
          <w:highlight w:val="white"/>
        </w:rPr>
      </w:pPr>
    </w:p>
    <w:p w:rsidR="00890E11" w:rsidRPr="00123A15">
      <w:pPr>
        <w:rPr>
          <w:rFonts w:ascii="Calibri" w:hAnsi="Calibri" w:cs="Calibri"/>
          <w:b/>
          <w:sz w:val="24"/>
          <w:szCs w:val="24"/>
          <w:highlight w:val="white"/>
        </w:rPr>
      </w:pPr>
      <w:r w:rsidRPr="00123A15">
        <w:rPr>
          <w:rFonts w:ascii="Calibri" w:hAnsi="Calibri" w:cs="Calibri"/>
          <w:b/>
          <w:sz w:val="24"/>
          <w:szCs w:val="24"/>
          <w:highlight w:val="white"/>
        </w:rPr>
        <w:t>2. Recommendations</w:t>
      </w:r>
    </w:p>
    <w:p w:rsidR="00890E11" w:rsidRPr="00123A15">
      <w:pPr>
        <w:rPr>
          <w:rFonts w:ascii="Calibri" w:hAnsi="Calibri" w:cs="Calibri"/>
          <w:sz w:val="24"/>
          <w:szCs w:val="24"/>
          <w:highlight w:val="white"/>
        </w:rPr>
      </w:pPr>
      <w:r w:rsidRPr="00123A15">
        <w:rPr>
          <w:rFonts w:ascii="Calibri" w:hAnsi="Calibri" w:cs="Calibri"/>
          <w:sz w:val="24"/>
          <w:szCs w:val="24"/>
          <w:highlight w:val="white"/>
        </w:rPr>
        <w:t>The Migrants’ Rights Network is firmly opposed to the implementation of this legislation in its entirety. In addition to recommending the Bill be dropped, we urge the Government to commit to not introducing a counter-terrorism or national security framework into the asylum and immigration system, alongside the revocation of further aspects of immigration legislation. This includes:</w:t>
      </w:r>
    </w:p>
    <w:p w:rsidR="00890E11" w:rsidRPr="00123A15">
      <w:pPr>
        <w:rPr>
          <w:rFonts w:ascii="Calibri" w:hAnsi="Calibri" w:cs="Calibri"/>
          <w:sz w:val="24"/>
          <w:szCs w:val="24"/>
          <w:highlight w:val="white"/>
        </w:rPr>
      </w:pPr>
    </w:p>
    <w:p w:rsidR="00890E11" w:rsidRPr="00123A15">
      <w:pPr>
        <w:numPr>
          <w:ilvl w:val="0"/>
          <w:numId w:val="2"/>
        </w:numPr>
        <w:rPr>
          <w:rFonts w:ascii="Calibri" w:hAnsi="Calibri" w:cs="Calibri"/>
          <w:b/>
          <w:sz w:val="24"/>
          <w:szCs w:val="24"/>
          <w:highlight w:val="white"/>
        </w:rPr>
      </w:pPr>
      <w:r w:rsidRPr="00123A15">
        <w:rPr>
          <w:rFonts w:ascii="Calibri" w:hAnsi="Calibri" w:cs="Calibri"/>
          <w:b/>
          <w:sz w:val="24"/>
          <w:szCs w:val="24"/>
          <w:highlight w:val="white"/>
        </w:rPr>
        <w:t>Repeal existing powers to seize electronic devices</w:t>
      </w:r>
    </w:p>
    <w:p w:rsidR="00890E11" w:rsidRPr="00123A15">
      <w:pPr>
        <w:rPr>
          <w:rFonts w:ascii="Calibri" w:hAnsi="Calibri" w:cs="Calibri"/>
          <w:sz w:val="24"/>
          <w:szCs w:val="24"/>
        </w:rPr>
      </w:pPr>
      <w:r w:rsidRPr="00123A15">
        <w:rPr>
          <w:rFonts w:ascii="Calibri" w:hAnsi="Calibri" w:cs="Calibri"/>
          <w:sz w:val="24"/>
          <w:szCs w:val="24"/>
        </w:rPr>
        <w:t>While the new Bill would extend powers to seize electronic devices including phones from migrants, including people seeking asylum, this policy is not unprecedented in UK law.</w:t>
      </w:r>
    </w:p>
    <w:p w:rsidR="00890E11" w:rsidRPr="00123A15">
      <w:pPr>
        <w:rPr>
          <w:rFonts w:ascii="Calibri" w:hAnsi="Calibri" w:cs="Calibri"/>
          <w:sz w:val="24"/>
          <w:szCs w:val="24"/>
        </w:rPr>
      </w:pPr>
      <w:r w:rsidRPr="00123A15">
        <w:rPr>
          <w:rFonts w:ascii="Calibri" w:hAnsi="Calibri" w:cs="Calibri"/>
          <w:sz w:val="24"/>
          <w:szCs w:val="24"/>
        </w:rPr>
        <w:t>The Home Office operated a policy of seizing phones from migrants crossing the Channel between 2018 and 2020. Despite being ruled as unlawful in 2022, an amendment to the ‘Illegal’ Migration Act 2023 implemented powers to seize and retain electronic devices, including the ability to access, copy and use information stored on them. We urge the Government to repeal existing powers to seize electronic devices as set out in the ‘Illegal’ Migration Act 2023.</w:t>
      </w:r>
    </w:p>
    <w:p w:rsidR="00890E11" w:rsidRPr="00123A15">
      <w:pPr>
        <w:rPr>
          <w:rFonts w:ascii="Calibri" w:hAnsi="Calibri" w:cs="Calibri"/>
          <w:sz w:val="24"/>
          <w:szCs w:val="24"/>
          <w:highlight w:val="white"/>
        </w:rPr>
      </w:pPr>
    </w:p>
    <w:p w:rsidR="00890E11" w:rsidRPr="00123A15">
      <w:pPr>
        <w:numPr>
          <w:ilvl w:val="0"/>
          <w:numId w:val="2"/>
        </w:numPr>
        <w:rPr>
          <w:rFonts w:ascii="Calibri" w:hAnsi="Calibri" w:cs="Calibri"/>
          <w:b/>
          <w:sz w:val="24"/>
          <w:szCs w:val="24"/>
          <w:highlight w:val="white"/>
        </w:rPr>
      </w:pPr>
      <w:r w:rsidRPr="00123A15">
        <w:rPr>
          <w:rFonts w:ascii="Calibri" w:hAnsi="Calibri" w:cs="Calibri"/>
          <w:b/>
          <w:sz w:val="24"/>
          <w:szCs w:val="24"/>
          <w:highlight w:val="white"/>
        </w:rPr>
        <w:t>End the criminalisation of (facilitating) migration</w:t>
      </w:r>
    </w:p>
    <w:p w:rsidR="00890E11" w:rsidRPr="00123A15">
      <w:pPr>
        <w:rPr>
          <w:rFonts w:ascii="Calibri" w:hAnsi="Calibri" w:cs="Calibri"/>
          <w:sz w:val="24"/>
          <w:szCs w:val="24"/>
        </w:rPr>
      </w:pPr>
      <w:r w:rsidRPr="00123A15">
        <w:rPr>
          <w:rFonts w:ascii="Calibri" w:hAnsi="Calibri" w:cs="Calibri"/>
          <w:sz w:val="24"/>
          <w:szCs w:val="24"/>
        </w:rPr>
        <w:t xml:space="preserve">So-called “small boat crossings” are a dangerous yet necessary way of seeking safety in the UK because “safe” routes do not exist for the majority of nationalities. Rather than address this, successive governments have stripped back routes to come to the UK while criminalising people who are forced into making dangerous Channel crossings. </w:t>
      </w:r>
    </w:p>
    <w:p w:rsidR="00890E11" w:rsidRPr="00123A15">
      <w:pPr>
        <w:rPr>
          <w:rFonts w:ascii="Calibri" w:hAnsi="Calibri" w:cs="Calibri"/>
          <w:sz w:val="24"/>
          <w:szCs w:val="24"/>
        </w:rPr>
      </w:pPr>
    </w:p>
    <w:p w:rsidR="00890E11" w:rsidRPr="00123A15">
      <w:pPr>
        <w:rPr>
          <w:rFonts w:ascii="Calibri" w:hAnsi="Calibri" w:cs="Calibri"/>
          <w:sz w:val="24"/>
          <w:szCs w:val="24"/>
        </w:rPr>
      </w:pPr>
      <w:r w:rsidRPr="00123A15">
        <w:rPr>
          <w:rFonts w:ascii="Calibri" w:hAnsi="Calibri" w:cs="Calibri"/>
          <w:sz w:val="24"/>
          <w:szCs w:val="24"/>
        </w:rPr>
        <w:t xml:space="preserve">The Bill would extend powers to criminalise people who act as intermediaries to facilitate migration along ‘irregular’ routes. This builds on legislation in the Nationality and Borders Act 2022 which introduced the new offence of ‘illegal arrival’ and criminalised ‘assisting an unlawful immigration or asylum seeker”. </w:t>
      </w:r>
    </w:p>
    <w:p w:rsidR="00890E11" w:rsidRPr="00123A15">
      <w:pPr>
        <w:rPr>
          <w:rFonts w:ascii="Calibri" w:hAnsi="Calibri" w:cs="Calibri"/>
          <w:sz w:val="24"/>
          <w:szCs w:val="24"/>
          <w:highlight w:val="white"/>
        </w:rPr>
      </w:pPr>
    </w:p>
    <w:p w:rsidR="00890E11" w:rsidRPr="00123A15">
      <w:pPr>
        <w:rPr>
          <w:rFonts w:ascii="Calibri" w:hAnsi="Calibri" w:cs="Calibri"/>
          <w:b/>
          <w:sz w:val="24"/>
          <w:szCs w:val="24"/>
          <w:highlight w:val="white"/>
        </w:rPr>
      </w:pPr>
      <w:r w:rsidRPr="00123A15">
        <w:rPr>
          <w:rFonts w:ascii="Calibri" w:hAnsi="Calibri" w:cs="Calibri"/>
          <w:b/>
          <w:sz w:val="24"/>
          <w:szCs w:val="24"/>
          <w:highlight w:val="white"/>
        </w:rPr>
        <w:t>3. Precursor offences</w:t>
      </w:r>
    </w:p>
    <w:p w:rsidR="00890E11" w:rsidRPr="00123A15">
      <w:pPr>
        <w:rPr>
          <w:rFonts w:ascii="Calibri" w:hAnsi="Calibri" w:cs="Calibri"/>
          <w:sz w:val="24"/>
          <w:szCs w:val="24"/>
          <w:highlight w:val="white"/>
        </w:rPr>
      </w:pPr>
      <w:r w:rsidRPr="00123A15">
        <w:rPr>
          <w:rFonts w:ascii="Calibri" w:hAnsi="Calibri" w:cs="Calibri"/>
          <w:i/>
          <w:sz w:val="24"/>
          <w:szCs w:val="24"/>
          <w:highlight w:val="white"/>
        </w:rPr>
        <w:t>This will address questions 1, 6 and 7 of the consultation</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The bulk of the Border Security Bill is dedicated to precursory action. This means offences that have been created to penalise people for actions they have not taken but are suspected to do so, or actions that people have taken that could conceivably be useful in committing a crime. Precursory offences have also been referred to as ‘pre-crime,’ because they do not require a person to be convicted of or even charged with an offence for such punitive and intense restrictions to be placed on them.</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Precursory action is set to be taken primarily using existing counter-terror powers, or new powers modelled on existing counter-terror powers. While there has been overlap between the immigration system and counter-terror system before,</w:t>
      </w:r>
      <w:r>
        <w:rPr>
          <w:rFonts w:ascii="Calibri" w:hAnsi="Calibri" w:cs="Calibri"/>
          <w:sz w:val="24"/>
          <w:szCs w:val="24"/>
          <w:highlight w:val="white"/>
          <w:vertAlign w:val="superscript"/>
        </w:rPr>
        <w:footnoteReference w:id="2"/>
      </w:r>
      <w:r w:rsidRPr="00123A15">
        <w:rPr>
          <w:rFonts w:ascii="Calibri" w:hAnsi="Calibri" w:cs="Calibri"/>
          <w:sz w:val="24"/>
          <w:szCs w:val="24"/>
          <w:highlight w:val="white"/>
        </w:rPr>
        <w:t xml:space="preserve"> the Border Security Bill, alongside the Border Security Command, would introduce counter-terror tactics to immigration policy on a new scale.</w:t>
      </w:r>
    </w:p>
    <w:p w:rsidR="00890E11" w:rsidRPr="00123A15">
      <w:pPr>
        <w:rPr>
          <w:rFonts w:ascii="Calibri" w:hAnsi="Calibri" w:cs="Calibri"/>
          <w:b/>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An approach like this inherently targets Muslim migrants in particular, who are at the sharp end of both an Islamophobic counter-terror system that treats Muslims as potential terrorists, and a hostile immigration system that treats migrants and migratised people as potential threats to the nation. Additionally, the nature of counter-terror powers gives excessive, sweeping and unchecked power to be used against target populations, like migrants, including refugees and people seeking asylum, which are diffic</w:t>
      </w:r>
      <w:r w:rsidRPr="00123A15">
        <w:rPr>
          <w:rFonts w:ascii="Calibri" w:hAnsi="Calibri" w:cs="Calibri"/>
          <w:sz w:val="24"/>
          <w:szCs w:val="24"/>
          <w:highlight w:val="white"/>
        </w:rPr>
        <w:t>ult to challenge. Therefore, we oppose the introduction and expansion of counter-terror-related powers to target migrants.</w:t>
      </w:r>
    </w:p>
    <w:p w:rsidR="00890E11" w:rsidRPr="00123A15">
      <w:pPr>
        <w:rPr>
          <w:rFonts w:ascii="Calibri" w:hAnsi="Calibri" w:cs="Calibri"/>
          <w:sz w:val="24"/>
          <w:szCs w:val="24"/>
          <w:highlight w:val="white"/>
        </w:rPr>
      </w:pPr>
    </w:p>
    <w:p w:rsidR="00890E11" w:rsidRPr="00123A15">
      <w:pPr>
        <w:numPr>
          <w:ilvl w:val="0"/>
          <w:numId w:val="3"/>
        </w:numPr>
        <w:rPr>
          <w:rFonts w:ascii="Calibri" w:hAnsi="Calibri" w:cs="Calibri"/>
          <w:b/>
          <w:sz w:val="24"/>
          <w:szCs w:val="24"/>
          <w:highlight w:val="white"/>
        </w:rPr>
      </w:pPr>
      <w:r w:rsidRPr="00123A15">
        <w:rPr>
          <w:rFonts w:ascii="Calibri" w:hAnsi="Calibri" w:cs="Calibri"/>
          <w:b/>
          <w:sz w:val="24"/>
          <w:szCs w:val="24"/>
          <w:highlight w:val="white"/>
        </w:rPr>
        <w:t>Information sharing and material aid</w:t>
      </w: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Sections 13 to 17 of the Border Security Bill </w:t>
      </w:r>
      <w:r w:rsidRPr="00123A15">
        <w:rPr>
          <w:rFonts w:ascii="Calibri" w:hAnsi="Calibri" w:cs="Calibri"/>
          <w:sz w:val="24"/>
          <w:szCs w:val="24"/>
          <w:highlight w:val="white"/>
        </w:rPr>
        <w:t xml:space="preserve">introduce offences to possess and share information and material aid that could conceivably be used by someone to commit an immigration offence, such as unauthorised arrival and entry, in accordance with the Nationality and Borders Act 2022 and Immigration Act 1971. There are exclusions from what materials can be classified as useful for immigration offences, but these are limited to items that are essential for survival, such as food and medical supplies. Similarly, some forms of information gathering are </w:t>
      </w:r>
      <w:r w:rsidRPr="00123A15">
        <w:rPr>
          <w:rFonts w:ascii="Calibri" w:hAnsi="Calibri" w:cs="Calibri"/>
          <w:sz w:val="24"/>
          <w:szCs w:val="24"/>
          <w:highlight w:val="white"/>
        </w:rPr>
        <w:t>excluded, such as academic research and journalism. However, this is a severely limited list that excludes essential items like mobile phones or sim cards.</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Mobile phones, for example, are important for people crossing the Channel, particularly if </w:t>
      </w:r>
      <w:r w:rsidRPr="00123A15">
        <w:rPr>
          <w:rFonts w:ascii="Calibri" w:hAnsi="Calibri" w:cs="Calibri"/>
          <w:sz w:val="24"/>
          <w:szCs w:val="24"/>
          <w:highlight w:val="white"/>
        </w:rPr>
        <w:t>seeking asylum, as people often keep important documents and maintain connections to family, who they may have become separated from, using their phones. The exclusion of mobile phones from the list of excluded items, then, enables a policy of mass seizure of devices, as set out in section 15 of the ‘Illegal’ Migration Act 2023 and expanded in sections 19 to 27 of the Border Security Bill.</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While the Bill has provisions to exclude people and organisations assisting people seeking asylum that don’t charge for its services and those carrying out medical assistance and rescue work, we are concerned that this will still have the effect in practice of limiting the ability of the people and organisations doing this work to continue it. Hundreds of people have been arrested in Europe over the last decade for carrying out similar activities using </w:t>
      </w:r>
      <w:r w:rsidRPr="00123A15">
        <w:rPr>
          <w:rFonts w:ascii="Calibri" w:hAnsi="Calibri" w:cs="Calibri"/>
          <w:sz w:val="24"/>
          <w:szCs w:val="24"/>
          <w:highlight w:val="white"/>
        </w:rPr>
        <w:t>legislation introduced to target people who facilitate the movement of undocumented migrants, including where there are exclusions for people doing humanitarian work.</w:t>
      </w:r>
      <w:r>
        <w:rPr>
          <w:rFonts w:ascii="Calibri" w:hAnsi="Calibri" w:cs="Calibri"/>
          <w:sz w:val="24"/>
          <w:szCs w:val="24"/>
          <w:highlight w:val="white"/>
          <w:vertAlign w:val="superscript"/>
        </w:rPr>
        <w:footnoteReference w:id="3"/>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This clause draws on powers included in sections 57 and 58 of the Terrorism Act 2000, which refer to possession of articles or information that are likely to be used in committing an act of terrorism.</w:t>
      </w:r>
      <w:r>
        <w:rPr>
          <w:rFonts w:ascii="Calibri" w:hAnsi="Calibri" w:cs="Calibri"/>
          <w:sz w:val="24"/>
          <w:szCs w:val="24"/>
          <w:highlight w:val="white"/>
          <w:vertAlign w:val="superscript"/>
        </w:rPr>
        <w:footnoteReference w:id="4"/>
      </w:r>
      <w:r w:rsidRPr="00123A15">
        <w:rPr>
          <w:rFonts w:ascii="Calibri" w:hAnsi="Calibri" w:cs="Calibri"/>
          <w:sz w:val="24"/>
          <w:szCs w:val="24"/>
          <w:highlight w:val="white"/>
        </w:rPr>
        <w:t xml:space="preserve"> These powers have already been criticised for penalties for loosely-defined offences, where the burden of proof is placed on the accused, and intent and connection to terrorism are not required.</w:t>
      </w:r>
      <w:r>
        <w:rPr>
          <w:rFonts w:ascii="Calibri" w:hAnsi="Calibri" w:cs="Calibri"/>
          <w:sz w:val="24"/>
          <w:szCs w:val="24"/>
          <w:highlight w:val="white"/>
          <w:vertAlign w:val="superscript"/>
        </w:rPr>
        <w:footnoteReference w:id="5"/>
      </w:r>
      <w:r w:rsidRPr="00123A15">
        <w:rPr>
          <w:rFonts w:ascii="Calibri" w:hAnsi="Calibri" w:cs="Calibri"/>
          <w:sz w:val="24"/>
          <w:szCs w:val="24"/>
          <w:highlight w:val="white"/>
        </w:rPr>
        <w:t xml:space="preserve"> The potential scope for TPIM-style powers focused on undocumented immigration is therefore incredibly broad. This presents concerning implications for criminalising migrants and those assisting in their journeys, including NGOs and people offering humanitarian assistance.</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This section of the Bill relies on the expansion of criminalised migration beyond international law through the Nationality and Borders Act 2022, which created the offence of ‘illegal’ arrival in the UK. Considering that 93% of people who cross the Channel in small boats claim asylum,</w:t>
      </w:r>
      <w:r>
        <w:rPr>
          <w:rFonts w:ascii="Calibri" w:hAnsi="Calibri" w:cs="Calibri"/>
          <w:sz w:val="24"/>
          <w:szCs w:val="24"/>
          <w:highlight w:val="white"/>
          <w:vertAlign w:val="superscript"/>
        </w:rPr>
        <w:footnoteReference w:id="6"/>
      </w:r>
      <w:r w:rsidRPr="00123A15">
        <w:rPr>
          <w:rFonts w:ascii="Calibri" w:hAnsi="Calibri" w:cs="Calibri"/>
          <w:sz w:val="24"/>
          <w:szCs w:val="24"/>
          <w:highlight w:val="white"/>
        </w:rPr>
        <w:t xml:space="preserve"> this policy primarily serves to further criminalise the act of claiming asylum in the UK. As a result, it is likely to make the journeys of people seeking asylum more dangerous by reducing access to essential items and information.</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The introduction of precursor offences modeled on counter-terror legislation to severely restrict migrants’ access to information and material goods therefore presents shocking implications for the UK’s adherence to the Refugee Convention, where these powers would likely amount to penalisation of refugees in violation of Article 31.</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We recommend that the criminalisation of migration, including through the criminalisation of facilitating migration, be halted, in order to protect the right to claim asylum.</w:t>
      </w:r>
    </w:p>
    <w:p w:rsidR="00890E11" w:rsidRPr="00123A15">
      <w:pPr>
        <w:rPr>
          <w:rFonts w:ascii="Calibri" w:hAnsi="Calibri" w:cs="Calibri"/>
          <w:sz w:val="24"/>
          <w:szCs w:val="24"/>
          <w:highlight w:val="white"/>
        </w:rPr>
      </w:pPr>
    </w:p>
    <w:p w:rsidR="00890E11" w:rsidRPr="00123A15">
      <w:pPr>
        <w:numPr>
          <w:ilvl w:val="0"/>
          <w:numId w:val="3"/>
        </w:numPr>
        <w:rPr>
          <w:rFonts w:ascii="Calibri" w:hAnsi="Calibri" w:cs="Calibri"/>
          <w:b/>
          <w:sz w:val="24"/>
          <w:szCs w:val="24"/>
          <w:highlight w:val="white"/>
        </w:rPr>
      </w:pPr>
      <w:r w:rsidRPr="00123A15">
        <w:rPr>
          <w:rFonts w:ascii="Calibri" w:hAnsi="Calibri" w:cs="Calibri"/>
          <w:b/>
          <w:sz w:val="24"/>
          <w:szCs w:val="24"/>
          <w:highlight w:val="white"/>
        </w:rPr>
        <w:t>Serious Crime Prevention Orders (SCPOs)</w:t>
      </w: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Serious Crime Prevention Orders (SCPOs) are court orders used to prevent individuals who are suspected to be involved in criminalised activity from continuing that activity. Other activities targeted by SCPOs include money laundering, drug trafficking and firearms offences. SCPOs are covered under Part 3 of the Border Security, Asylum and Immigration Bill. </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SCPOs severely restrict a person’s life without placing them in prison, which requires a conviction and, therefore, more evidence against them. Such measures include restrictions </w:t>
      </w:r>
      <w:r w:rsidRPr="00123A15">
        <w:rPr>
          <w:rFonts w:ascii="Calibri" w:hAnsi="Calibri" w:cs="Calibri"/>
          <w:sz w:val="24"/>
          <w:szCs w:val="24"/>
          <w:highlight w:val="white"/>
        </w:rPr>
        <w:t>on movement, phone and social media usage, and finances. Under the Border Security Bill, interim orders would allow restrictions to be placed on people under investigation more quickly, including applying directly to the High Court to request immediate restrictions while a full order is being assessed.</w:t>
      </w:r>
    </w:p>
    <w:p w:rsidR="00890E11" w:rsidRPr="00123A15">
      <w:pPr>
        <w:rPr>
          <w:rFonts w:ascii="Calibri" w:hAnsi="Calibri" w:cs="Calibri"/>
          <w:sz w:val="24"/>
          <w:szCs w:val="24"/>
          <w:highlight w:val="white"/>
        </w:rPr>
      </w:pPr>
    </w:p>
    <w:p w:rsidR="00890E11" w:rsidRPr="00123A15">
      <w:pPr>
        <w:rPr>
          <w:rFonts w:ascii="Calibri" w:hAnsi="Calibri" w:cs="Calibri"/>
          <w:i/>
          <w:sz w:val="24"/>
          <w:szCs w:val="24"/>
          <w:highlight w:val="white"/>
        </w:rPr>
      </w:pPr>
      <w:r w:rsidRPr="00123A15">
        <w:rPr>
          <w:rFonts w:ascii="Calibri" w:hAnsi="Calibri" w:cs="Calibri"/>
          <w:sz w:val="24"/>
          <w:szCs w:val="24"/>
          <w:highlight w:val="white"/>
        </w:rPr>
        <w:t>These excessive restrictions are concerning considering the limited capacity for people under an SCPO to challenge, particularly as Section 50 of the Bill enables an SCPO to be put in place upon someone being acquitted in court. The proposed use of SCPOs therefore suggests a double legal standard for migrants, who have reduced access to redress, and punishes them regardless.</w:t>
      </w:r>
    </w:p>
    <w:p w:rsidR="00890E11" w:rsidRPr="00123A15">
      <w:pPr>
        <w:rPr>
          <w:rFonts w:ascii="Calibri" w:hAnsi="Calibri" w:cs="Calibri"/>
          <w:sz w:val="24"/>
          <w:szCs w:val="24"/>
          <w:highlight w:val="white"/>
        </w:rPr>
      </w:pPr>
    </w:p>
    <w:p w:rsidR="00890E11" w:rsidRPr="00123A15">
      <w:pPr>
        <w:numPr>
          <w:ilvl w:val="1"/>
          <w:numId w:val="3"/>
        </w:numPr>
        <w:rPr>
          <w:rFonts w:ascii="Calibri" w:hAnsi="Calibri" w:cs="Calibri"/>
          <w:b/>
          <w:sz w:val="24"/>
          <w:szCs w:val="24"/>
          <w:highlight w:val="white"/>
        </w:rPr>
      </w:pPr>
      <w:r w:rsidRPr="00123A15">
        <w:rPr>
          <w:rFonts w:ascii="Calibri" w:hAnsi="Calibri" w:cs="Calibri"/>
          <w:b/>
          <w:sz w:val="24"/>
          <w:szCs w:val="24"/>
          <w:highlight w:val="white"/>
        </w:rPr>
        <w:t>Electronic monitoring</w:t>
      </w:r>
    </w:p>
    <w:p w:rsidR="00890E11" w:rsidRPr="00123A15">
      <w:pPr>
        <w:rPr>
          <w:rFonts w:ascii="Calibri" w:hAnsi="Calibri" w:cs="Calibri"/>
          <w:sz w:val="24"/>
          <w:szCs w:val="24"/>
          <w:highlight w:val="white"/>
        </w:rPr>
      </w:pPr>
      <w:r w:rsidRPr="00123A15">
        <w:rPr>
          <w:rFonts w:ascii="Calibri" w:hAnsi="Calibri" w:cs="Calibri"/>
          <w:sz w:val="24"/>
          <w:szCs w:val="24"/>
          <w:highlight w:val="white"/>
        </w:rPr>
        <w:t>New provisions relating to SCPOs in the Border Security Bill include giving the courts ‘an express power to impose electronic monitoring as a condition of an SCPO’.</w:t>
      </w:r>
      <w:r>
        <w:rPr>
          <w:rFonts w:ascii="Calibri" w:hAnsi="Calibri" w:cs="Calibri"/>
          <w:sz w:val="24"/>
          <w:szCs w:val="24"/>
          <w:highlight w:val="white"/>
          <w:vertAlign w:val="superscript"/>
        </w:rPr>
        <w:footnoteReference w:id="7"/>
      </w:r>
      <w:r w:rsidRPr="00123A15">
        <w:rPr>
          <w:rFonts w:ascii="Calibri" w:hAnsi="Calibri" w:cs="Calibri"/>
          <w:sz w:val="24"/>
          <w:szCs w:val="24"/>
          <w:highlight w:val="white"/>
        </w:rPr>
        <w:t xml:space="preserve"> There are existing human rights concerns around electronic monitoring, including its function as essentially a form of racial surveillance, as certain nationalities and ethnicities (South East Asian and Black migrants) disproportionately have electronic monitoring conditions placed upon them.</w:t>
      </w:r>
      <w:r>
        <w:rPr>
          <w:rFonts w:ascii="Calibri" w:hAnsi="Calibri" w:cs="Calibri"/>
          <w:sz w:val="24"/>
          <w:szCs w:val="24"/>
          <w:highlight w:val="white"/>
          <w:vertAlign w:val="superscript"/>
        </w:rPr>
        <w:footnoteReference w:id="8"/>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People in our Network who have experienced electronic monitoring said that it made them feel ‘inhuman’ and severely </w:t>
      </w:r>
      <w:r w:rsidRPr="00123A15">
        <w:rPr>
          <w:rFonts w:ascii="Calibri" w:hAnsi="Calibri" w:cs="Calibri"/>
          <w:sz w:val="24"/>
          <w:szCs w:val="24"/>
          <w:highlight w:val="white"/>
        </w:rPr>
        <w:t>negatively impacted their mental health.</w:t>
      </w:r>
    </w:p>
    <w:p w:rsidR="00890E11" w:rsidRPr="00123A15">
      <w:pPr>
        <w:rPr>
          <w:rFonts w:ascii="Calibri" w:hAnsi="Calibri" w:cs="Calibri"/>
          <w:sz w:val="24"/>
          <w:szCs w:val="24"/>
          <w:highlight w:val="white"/>
        </w:rPr>
      </w:pPr>
    </w:p>
    <w:p w:rsidR="00890E11" w:rsidRPr="00123A15">
      <w:pPr>
        <w:numPr>
          <w:ilvl w:val="0"/>
          <w:numId w:val="3"/>
        </w:numPr>
        <w:rPr>
          <w:rFonts w:ascii="Calibri" w:hAnsi="Calibri" w:cs="Calibri"/>
          <w:b/>
          <w:sz w:val="24"/>
          <w:szCs w:val="24"/>
          <w:highlight w:val="white"/>
        </w:rPr>
      </w:pPr>
      <w:r w:rsidRPr="00123A15">
        <w:rPr>
          <w:rFonts w:ascii="Calibri" w:hAnsi="Calibri" w:cs="Calibri"/>
          <w:b/>
          <w:sz w:val="24"/>
          <w:szCs w:val="24"/>
          <w:highlight w:val="white"/>
        </w:rPr>
        <w:t>TPIM-style powers</w:t>
      </w:r>
    </w:p>
    <w:p w:rsidR="00890E11" w:rsidRPr="00123A15">
      <w:pPr>
        <w:rPr>
          <w:rFonts w:ascii="Calibri" w:hAnsi="Calibri" w:cs="Calibri"/>
          <w:sz w:val="24"/>
          <w:szCs w:val="24"/>
          <w:highlight w:val="white"/>
        </w:rPr>
      </w:pPr>
      <w:r w:rsidRPr="00123A15">
        <w:rPr>
          <w:rFonts w:ascii="Calibri" w:hAnsi="Calibri" w:cs="Calibri"/>
          <w:sz w:val="24"/>
          <w:szCs w:val="24"/>
          <w:highlight w:val="white"/>
        </w:rPr>
        <w:t>Alongside the SCPO provisions, the Border Security Bill introduces new counter-terror powers to further limit migrants’ movements. These powers are modeled on Terrorism Prevention and Investigation Measures (TPIMs), and include electronic monitoring, curfews and exclusion zones.</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People who will be targeted by these TPIM-style measures are essentially the same as those who can already be targeted by TPIMs: people who can’t be prosecuted or deported, or who have been convicted of an offence but have been released from custody.</w:t>
      </w:r>
      <w:r>
        <w:rPr>
          <w:rFonts w:ascii="Calibri" w:hAnsi="Calibri" w:cs="Calibri"/>
          <w:sz w:val="24"/>
          <w:szCs w:val="24"/>
          <w:highlight w:val="white"/>
          <w:vertAlign w:val="superscript"/>
        </w:rPr>
        <w:footnoteReference w:id="9"/>
      </w:r>
      <w:r w:rsidRPr="00123A15">
        <w:rPr>
          <w:rFonts w:ascii="Calibri" w:hAnsi="Calibri" w:cs="Calibri"/>
          <w:sz w:val="24"/>
          <w:szCs w:val="24"/>
          <w:highlight w:val="white"/>
        </w:rPr>
        <w:t xml:space="preserve"> This presents a broad range of migrants who can be subjected to counter-terror restrictions: those </w:t>
      </w:r>
      <w:r w:rsidRPr="00123A15">
        <w:rPr>
          <w:rFonts w:ascii="Calibri" w:hAnsi="Calibri" w:cs="Calibri"/>
          <w:b/>
          <w:sz w:val="24"/>
          <w:szCs w:val="24"/>
          <w:highlight w:val="white"/>
        </w:rPr>
        <w:t>with or without</w:t>
      </w:r>
      <w:r w:rsidRPr="00123A15">
        <w:rPr>
          <w:rFonts w:ascii="Calibri" w:hAnsi="Calibri" w:cs="Calibri"/>
          <w:sz w:val="24"/>
          <w:szCs w:val="24"/>
          <w:highlight w:val="white"/>
        </w:rPr>
        <w:t xml:space="preserve"> convictions, who cannot be deported under ‘Foreign National Offender’ (FNO) policies, either because they don’t meet the current threshold for deportation (a custodial sentence of 12 months or more) or because they cannot be deported under human rights grounds.</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The non-criminal requirements for these TPIM-style measures therefore means that someone can be placed under restrictions if they are deemed to be a ‘threat to the British public.’</w:t>
      </w:r>
      <w:r>
        <w:rPr>
          <w:rFonts w:ascii="Calibri" w:hAnsi="Calibri" w:cs="Calibri"/>
          <w:sz w:val="24"/>
          <w:szCs w:val="24"/>
          <w:highlight w:val="white"/>
          <w:vertAlign w:val="superscript"/>
        </w:rPr>
        <w:footnoteReference w:id="10"/>
      </w:r>
      <w:r w:rsidRPr="00123A15">
        <w:rPr>
          <w:rFonts w:ascii="Calibri" w:hAnsi="Calibri" w:cs="Calibri"/>
          <w:sz w:val="24"/>
          <w:szCs w:val="24"/>
          <w:highlight w:val="white"/>
        </w:rPr>
        <w:t xml:space="preserve"> We have raised similar concerns regarding the ‘Good Character Requirement,’</w:t>
      </w:r>
      <w:r>
        <w:rPr>
          <w:rFonts w:ascii="Calibri" w:hAnsi="Calibri" w:cs="Calibri"/>
          <w:sz w:val="24"/>
          <w:szCs w:val="24"/>
          <w:highlight w:val="white"/>
          <w:vertAlign w:val="superscript"/>
        </w:rPr>
        <w:footnoteReference w:id="11"/>
      </w:r>
      <w:r w:rsidRPr="00123A15">
        <w:rPr>
          <w:rFonts w:ascii="Calibri" w:hAnsi="Calibri" w:cs="Calibri"/>
          <w:sz w:val="24"/>
          <w:szCs w:val="24"/>
          <w:highlight w:val="white"/>
        </w:rPr>
        <w:t xml:space="preserve"> in particular the ‘conduciveness to the public good’ aspect, as a result of the racialised nature of exclusion and who is deemed ‘non-conducive’ or a ‘threat.’</w:t>
      </w:r>
      <w:r>
        <w:rPr>
          <w:rFonts w:ascii="Calibri" w:hAnsi="Calibri" w:cs="Calibri"/>
          <w:sz w:val="24"/>
          <w:szCs w:val="24"/>
          <w:highlight w:val="white"/>
          <w:vertAlign w:val="superscript"/>
        </w:rPr>
        <w:footnoteReference w:id="12"/>
      </w:r>
      <w:r w:rsidRPr="00123A15">
        <w:rPr>
          <w:rFonts w:ascii="Calibri" w:hAnsi="Calibri" w:cs="Calibri"/>
          <w:sz w:val="24"/>
          <w:szCs w:val="24"/>
          <w:highlight w:val="white"/>
        </w:rPr>
        <w:t xml:space="preserve"> The arbitrary definition leaves it open to discriminatory application and denial of fundamental rights and freedoms.</w:t>
      </w:r>
      <w:r>
        <w:rPr>
          <w:rFonts w:ascii="Calibri" w:hAnsi="Calibri" w:cs="Calibri"/>
          <w:sz w:val="24"/>
          <w:szCs w:val="24"/>
          <w:highlight w:val="white"/>
          <w:vertAlign w:val="superscript"/>
        </w:rPr>
        <w:footnoteReference w:id="13"/>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There are pre-existing serious concerns with TPIMs, particularly the lowering of the standard of proof required to implement restrictions and the removal of the two-year time limit (extended to five years, in addition to increasing the ability to extend a TPIM from once to four times), both under the Counter-Terrorism and Sentencing Act in 2021.</w:t>
      </w:r>
      <w:r>
        <w:rPr>
          <w:rFonts w:ascii="Calibri" w:hAnsi="Calibri" w:cs="Calibri"/>
          <w:sz w:val="24"/>
          <w:szCs w:val="24"/>
          <w:highlight w:val="white"/>
          <w:vertAlign w:val="superscript"/>
        </w:rPr>
        <w:footnoteReference w:id="14"/>
      </w:r>
      <w:r w:rsidRPr="00123A15">
        <w:rPr>
          <w:rFonts w:ascii="Calibri" w:hAnsi="Calibri" w:cs="Calibri"/>
          <w:sz w:val="24"/>
          <w:szCs w:val="24"/>
          <w:highlight w:val="white"/>
        </w:rPr>
        <w:t xml:space="preserve"> The same Act saw the Government introduce SCPOs to be used in terrorism cases, which is also being extended to migrants under the Border Security Bill.</w:t>
      </w:r>
    </w:p>
    <w:p w:rsidR="00890E11" w:rsidRPr="00123A15">
      <w:pPr>
        <w:rPr>
          <w:rFonts w:ascii="Calibri" w:hAnsi="Calibri" w:cs="Calibri"/>
          <w:sz w:val="24"/>
          <w:szCs w:val="24"/>
          <w:highlight w:val="white"/>
        </w:rPr>
      </w:pPr>
    </w:p>
    <w:p w:rsidR="00890E11" w:rsidRPr="00123A15">
      <w:pPr>
        <w:rPr>
          <w:rFonts w:ascii="Calibri" w:hAnsi="Calibri" w:cs="Calibri"/>
          <w:i/>
          <w:sz w:val="24"/>
          <w:szCs w:val="24"/>
          <w:highlight w:val="white"/>
        </w:rPr>
      </w:pPr>
      <w:r w:rsidRPr="00123A15">
        <w:rPr>
          <w:rFonts w:ascii="Calibri" w:hAnsi="Calibri" w:cs="Calibri"/>
          <w:sz w:val="24"/>
          <w:szCs w:val="24"/>
          <w:highlight w:val="white"/>
        </w:rPr>
        <w:t>The electronic monitoring conditions included in these proposed measures have also already been flagged for human rights reasons in relation to people on immigration bail (outlined above).</w:t>
      </w:r>
    </w:p>
    <w:p w:rsidR="00890E11" w:rsidRPr="00123A15">
      <w:pPr>
        <w:rPr>
          <w:rFonts w:ascii="Calibri" w:hAnsi="Calibri" w:cs="Calibri"/>
          <w:sz w:val="24"/>
          <w:szCs w:val="24"/>
        </w:rPr>
      </w:pPr>
    </w:p>
    <w:p w:rsidR="00890E11" w:rsidRPr="00123A15">
      <w:pPr>
        <w:rPr>
          <w:rFonts w:ascii="Calibri" w:hAnsi="Calibri" w:cs="Calibri"/>
          <w:b/>
          <w:sz w:val="24"/>
          <w:szCs w:val="24"/>
        </w:rPr>
      </w:pPr>
      <w:r w:rsidRPr="00123A15">
        <w:rPr>
          <w:rFonts w:ascii="Calibri" w:hAnsi="Calibri" w:cs="Calibri"/>
          <w:b/>
          <w:sz w:val="24"/>
          <w:szCs w:val="24"/>
        </w:rPr>
        <w:t>4. Device seizure</w:t>
      </w:r>
    </w:p>
    <w:p w:rsidR="00890E11" w:rsidRPr="00123A15">
      <w:pPr>
        <w:rPr>
          <w:rFonts w:ascii="Calibri" w:hAnsi="Calibri" w:cs="Calibri"/>
          <w:i/>
          <w:sz w:val="24"/>
          <w:szCs w:val="24"/>
        </w:rPr>
      </w:pPr>
      <w:r w:rsidRPr="00123A15">
        <w:rPr>
          <w:rFonts w:ascii="Calibri" w:hAnsi="Calibri" w:cs="Calibri"/>
          <w:i/>
          <w:sz w:val="24"/>
          <w:szCs w:val="24"/>
        </w:rPr>
        <w:t>This will address question 4 of the consultation</w:t>
      </w:r>
    </w:p>
    <w:p w:rsidR="00890E11" w:rsidRPr="00123A15">
      <w:pPr>
        <w:rPr>
          <w:rFonts w:ascii="Calibri" w:hAnsi="Calibri" w:cs="Calibri"/>
          <w:i/>
          <w:sz w:val="24"/>
          <w:szCs w:val="24"/>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Another major </w:t>
      </w:r>
      <w:r w:rsidRPr="00123A15">
        <w:rPr>
          <w:rFonts w:ascii="Calibri" w:hAnsi="Calibri" w:cs="Calibri"/>
          <w:sz w:val="24"/>
          <w:szCs w:val="24"/>
          <w:highlight w:val="white"/>
        </w:rPr>
        <w:t>function of the Border Security is to expand powers to seize and search the mobile devices of migrants. The Bill introduces new powers of ‘search, seizure, retention and extraction’ of this information by Immigration Officers and police, where there is ‘reasonable grounds’ of suspicion that someone arrived in the UK without immigration documentation and based on the assumption that they will have information on that device regarding intermediaries. As a result, mobile phones are a notable and purposeful omi</w:t>
      </w:r>
      <w:r w:rsidRPr="00123A15">
        <w:rPr>
          <w:rFonts w:ascii="Calibri" w:hAnsi="Calibri" w:cs="Calibri"/>
          <w:sz w:val="24"/>
          <w:szCs w:val="24"/>
          <w:highlight w:val="white"/>
        </w:rPr>
        <w:t>ssion from the list of items exempt from prosecution for facilitating undocumented immigration.</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This aspect of the Bill essentially seeks to legalise blanket seizures of people’s devices at the border - a practice that was ruled unlawful in 2022,</w:t>
      </w:r>
      <w:r>
        <w:rPr>
          <w:rFonts w:ascii="Calibri" w:hAnsi="Calibri" w:cs="Calibri"/>
          <w:sz w:val="24"/>
          <w:szCs w:val="24"/>
          <w:highlight w:val="white"/>
          <w:vertAlign w:val="superscript"/>
        </w:rPr>
        <w:footnoteReference w:id="15"/>
      </w:r>
      <w:r w:rsidRPr="00123A15">
        <w:rPr>
          <w:rFonts w:ascii="Calibri" w:hAnsi="Calibri" w:cs="Calibri"/>
          <w:sz w:val="24"/>
          <w:szCs w:val="24"/>
          <w:highlight w:val="white"/>
        </w:rPr>
        <w:t xml:space="preserve"> before being partially legalised under the ‘Illegal’ Migration Act 2023. While the Home Office maintains it is a proportionate measure to target intermediaries, the blanket targeting of people, mostly seeking asylum, </w:t>
      </w:r>
      <w:r w:rsidRPr="00123A15">
        <w:rPr>
          <w:rFonts w:ascii="Calibri" w:hAnsi="Calibri" w:cs="Calibri"/>
          <w:sz w:val="24"/>
          <w:szCs w:val="24"/>
          <w:highlight w:val="white"/>
        </w:rPr>
        <w:t>through certain immigration routes - often the only routes available to them to seek safety - presents a clear violation of migrants’ rights.</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People in our Network who have had their phone seized at the border have mentioned how it made them feel disconnected and dehumanised.</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Mobile phone </w:t>
      </w:r>
      <w:r w:rsidRPr="00123A15">
        <w:rPr>
          <w:rFonts w:ascii="Calibri" w:hAnsi="Calibri" w:cs="Calibri"/>
          <w:sz w:val="24"/>
          <w:szCs w:val="24"/>
          <w:highlight w:val="white"/>
        </w:rPr>
        <w:t>seizures have also had limited success in other countries where the practice is commonplace, like Germany: 73% of data extracted from asylum seekers’ phones is unusable.</w:t>
      </w:r>
      <w:r>
        <w:rPr>
          <w:rFonts w:ascii="Calibri" w:hAnsi="Calibri" w:cs="Calibri"/>
          <w:sz w:val="24"/>
          <w:szCs w:val="24"/>
          <w:highlight w:val="white"/>
          <w:vertAlign w:val="superscript"/>
        </w:rPr>
        <w:footnoteReference w:id="16"/>
      </w:r>
      <w:r w:rsidRPr="00123A15">
        <w:rPr>
          <w:rFonts w:ascii="Calibri" w:hAnsi="Calibri" w:cs="Calibri"/>
          <w:sz w:val="24"/>
          <w:szCs w:val="24"/>
          <w:highlight w:val="white"/>
        </w:rPr>
        <w:t xml:space="preserve"> As a result, mass device seizure as an immigration policy to target people seeking asylum is entirely disproportionate in relation to the capabilities of the technology, too, beyond the intense invasion of privacy and data rights.</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It is therefore our recommendation that existing powers to seize electronic devices as set out in the ‘Illegal’ Migration Act 2023 also be repealed, in addition to removing these proposals from the Border Security, Immigration and Asylum Bill.</w:t>
      </w:r>
    </w:p>
    <w:p w:rsidR="00890E11" w:rsidRPr="00123A15">
      <w:pPr>
        <w:rPr>
          <w:rFonts w:ascii="Calibri" w:hAnsi="Calibri" w:cs="Calibri"/>
          <w:sz w:val="24"/>
          <w:szCs w:val="24"/>
          <w:highlight w:val="white"/>
        </w:rPr>
      </w:pPr>
    </w:p>
    <w:p w:rsidR="00890E11" w:rsidRPr="00123A15">
      <w:pPr>
        <w:rPr>
          <w:rFonts w:ascii="Calibri" w:hAnsi="Calibri" w:cs="Calibri"/>
          <w:i/>
          <w:sz w:val="24"/>
          <w:szCs w:val="24"/>
          <w:highlight w:val="white"/>
        </w:rPr>
      </w:pPr>
      <w:r w:rsidRPr="00123A15">
        <w:rPr>
          <w:rFonts w:ascii="Calibri" w:hAnsi="Calibri" w:cs="Calibri"/>
          <w:b/>
          <w:sz w:val="24"/>
          <w:szCs w:val="24"/>
          <w:highlight w:val="white"/>
        </w:rPr>
        <w:t>5. Intermediaries and irregular entry</w:t>
      </w:r>
    </w:p>
    <w:p w:rsidR="00890E11" w:rsidRPr="00123A15">
      <w:pPr>
        <w:rPr>
          <w:rFonts w:ascii="Calibri" w:hAnsi="Calibri" w:cs="Calibri"/>
          <w:i/>
          <w:sz w:val="24"/>
          <w:szCs w:val="24"/>
          <w:highlight w:val="white"/>
        </w:rPr>
      </w:pPr>
      <w:r w:rsidRPr="00123A15">
        <w:rPr>
          <w:rFonts w:ascii="Calibri" w:hAnsi="Calibri" w:cs="Calibri"/>
          <w:i/>
          <w:sz w:val="24"/>
          <w:szCs w:val="24"/>
          <w:highlight w:val="white"/>
        </w:rPr>
        <w:t>This will address question 2 of the consultation</w:t>
      </w:r>
    </w:p>
    <w:p w:rsidR="00890E11" w:rsidRPr="00123A15">
      <w:pPr>
        <w:rPr>
          <w:rFonts w:ascii="Calibri" w:hAnsi="Calibri" w:cs="Calibri"/>
          <w: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The primary purported target of the Border Security Bill is intermediaries (so-called ‘smuggling gangs’). However, successive governments have evidently failed to adequately consider why so many migrants, including people seeking asylum, turn to intermediaries.</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In order to apply for asylum, an individual must be physically present in the UK.</w:t>
      </w:r>
      <w:r>
        <w:rPr>
          <w:rFonts w:ascii="Calibri" w:hAnsi="Calibri" w:cs="Calibri"/>
          <w:sz w:val="24"/>
          <w:szCs w:val="24"/>
          <w:highlight w:val="white"/>
          <w:vertAlign w:val="superscript"/>
        </w:rPr>
        <w:footnoteReference w:id="17"/>
      </w:r>
      <w:r w:rsidRPr="00123A15">
        <w:rPr>
          <w:rFonts w:ascii="Calibri" w:hAnsi="Calibri" w:cs="Calibri"/>
          <w:sz w:val="24"/>
          <w:szCs w:val="24"/>
          <w:highlight w:val="white"/>
        </w:rPr>
        <w:t xml:space="preserve"> However, the ability to come to the UK in order to do so is limited and restricted. At present the routes available to people seeking asylum are limited to family reunification schemes, refugee resettlement schemes or nationality-specific routes.</w:t>
      </w:r>
      <w:r>
        <w:rPr>
          <w:rFonts w:ascii="Calibri" w:hAnsi="Calibri" w:cs="Calibri"/>
          <w:sz w:val="24"/>
          <w:szCs w:val="24"/>
          <w:highlight w:val="white"/>
          <w:vertAlign w:val="superscript"/>
        </w:rPr>
        <w:footnoteReference w:id="18"/>
      </w:r>
      <w:r w:rsidRPr="00123A15">
        <w:rPr>
          <w:rFonts w:ascii="Calibri" w:hAnsi="Calibri" w:cs="Calibri"/>
          <w:sz w:val="24"/>
          <w:szCs w:val="24"/>
          <w:highlight w:val="white"/>
        </w:rPr>
        <w:t xml:space="preserve"> For many people seeking protection, irregular journeys including crossing the Channel in a ‘small boat’ or dinghy, or in a vehicle are often the only way to enter the UK to claim asylum.</w:t>
      </w:r>
    </w:p>
    <w:p w:rsidR="00890E11" w:rsidRPr="00123A15">
      <w:pPr>
        <w:rPr>
          <w:rFonts w:ascii="Calibri" w:hAnsi="Calibri" w:cs="Calibri"/>
          <w:sz w:val="24"/>
          <w:szCs w:val="24"/>
          <w:highlight w:val="white"/>
        </w:rPr>
      </w:pPr>
    </w:p>
    <w:p w:rsidR="00890E11" w:rsidRPr="00123A15">
      <w:pPr>
        <w:rPr>
          <w:rFonts w:ascii="Calibri" w:hAnsi="Calibri" w:cs="Calibri"/>
          <w:sz w:val="24"/>
          <w:szCs w:val="24"/>
        </w:rPr>
      </w:pPr>
      <w:r w:rsidRPr="00123A15">
        <w:rPr>
          <w:rFonts w:ascii="Calibri" w:hAnsi="Calibri" w:cs="Calibri"/>
          <w:sz w:val="24"/>
          <w:szCs w:val="24"/>
          <w:highlight w:val="white"/>
        </w:rPr>
        <w:t>Despite this, successive governments have introduced immigration legislation aimed at unsuccessfull</w:t>
      </w:r>
      <w:r w:rsidRPr="00123A15">
        <w:rPr>
          <w:rFonts w:ascii="Calibri" w:hAnsi="Calibri" w:cs="Calibri"/>
          <w:sz w:val="24"/>
          <w:szCs w:val="24"/>
        </w:rPr>
        <w:t>y ‘deterring’ irregular entry whilst providing no safe alternative. The number of people seeking asylum arriving by small boats has instead seen an uptick since 2018, culminating in 36,816 people arriving by this method in 2024 alone (25% increase from 2023). In 2025 (up to 13 March 2025) there were 4,395 people who had arrived.</w:t>
      </w:r>
      <w:r>
        <w:rPr>
          <w:rFonts w:ascii="Calibri" w:hAnsi="Calibri" w:cs="Calibri"/>
          <w:sz w:val="24"/>
          <w:szCs w:val="24"/>
          <w:vertAlign w:val="superscript"/>
        </w:rPr>
        <w:footnoteReference w:id="19"/>
      </w:r>
      <w:r w:rsidRPr="00123A15">
        <w:rPr>
          <w:rFonts w:ascii="Calibri" w:hAnsi="Calibri" w:cs="Calibri"/>
          <w:sz w:val="24"/>
          <w:szCs w:val="24"/>
        </w:rPr>
        <w:t xml:space="preserve"> There is no deterrence effect from any of the measures that have been implemented in recent years considering the numbers crossing are increasing annually. </w:t>
      </w:r>
    </w:p>
    <w:p w:rsidR="00890E11" w:rsidRPr="00123A15">
      <w:pPr>
        <w:rPr>
          <w:rFonts w:ascii="Calibri" w:hAnsi="Calibri" w:cs="Calibri"/>
          <w:sz w:val="24"/>
          <w:szCs w:val="24"/>
        </w:rPr>
      </w:pPr>
    </w:p>
    <w:p w:rsidR="00890E11" w:rsidRPr="00123A15">
      <w:pPr>
        <w:rPr>
          <w:rFonts w:ascii="Calibri" w:hAnsi="Calibri" w:cs="Calibri"/>
          <w:sz w:val="24"/>
          <w:szCs w:val="24"/>
        </w:rPr>
      </w:pPr>
      <w:r w:rsidRPr="00123A15">
        <w:rPr>
          <w:rFonts w:ascii="Calibri" w:hAnsi="Calibri" w:cs="Calibri"/>
          <w:sz w:val="24"/>
          <w:szCs w:val="24"/>
        </w:rPr>
        <w:t>Essential but overlooked reporting</w:t>
      </w:r>
      <w:r>
        <w:rPr>
          <w:rFonts w:ascii="Calibri" w:hAnsi="Calibri" w:cs="Calibri"/>
          <w:sz w:val="24"/>
          <w:szCs w:val="24"/>
          <w:vertAlign w:val="superscript"/>
        </w:rPr>
        <w:footnoteReference w:id="20"/>
      </w:r>
      <w:r w:rsidRPr="00123A15">
        <w:rPr>
          <w:rFonts w:ascii="Calibri" w:hAnsi="Calibri" w:cs="Calibri"/>
          <w:sz w:val="24"/>
          <w:szCs w:val="24"/>
        </w:rPr>
        <w:t xml:space="preserve"> of deaths of people attempting to cross from Calais demonstrate that annually more people are dying during their attempts. This Bill and its harsh measures, including surveillance, will only exacerbate riskier attempts to cross, and it will become more difficult to monitor and record these tragic deaths. </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As a result, the services offered by intermediaries are often the only viable alternative. The existence of intermediaries is a result of the demand for their services because of the lack of safer accessible routes. Our concern is that while this legislation is aimed at intermediaries, it will ultimately harm people seeking asylum by introducing offences for using an intermediary or by placing the onus of facilitation or endangering others on a person seeking asylum. </w:t>
      </w:r>
    </w:p>
    <w:p w:rsidR="00890E11" w:rsidRPr="00123A15">
      <w:pPr>
        <w:rPr>
          <w:rFonts w:ascii="Calibri" w:hAnsi="Calibri" w:cs="Calibri"/>
          <w:sz w:val="24"/>
          <w:szCs w:val="24"/>
          <w:highlight w:val="white"/>
        </w:rPr>
      </w:pPr>
    </w:p>
    <w:p w:rsidR="00890E11" w:rsidRPr="00123A15">
      <w:pPr>
        <w:numPr>
          <w:ilvl w:val="0"/>
          <w:numId w:val="1"/>
        </w:numPr>
        <w:rPr>
          <w:rFonts w:ascii="Calibri" w:hAnsi="Calibri" w:cs="Calibri"/>
          <w:b/>
          <w:sz w:val="24"/>
          <w:szCs w:val="24"/>
          <w:highlight w:val="white"/>
        </w:rPr>
      </w:pPr>
      <w:r w:rsidRPr="00123A15">
        <w:rPr>
          <w:rFonts w:ascii="Calibri" w:hAnsi="Calibri" w:cs="Calibri"/>
          <w:b/>
          <w:sz w:val="24"/>
          <w:szCs w:val="24"/>
          <w:highlight w:val="white"/>
        </w:rPr>
        <w:t>Refugee Convention, irregular entry and ‘endangering another during sea crossing’</w:t>
      </w:r>
    </w:p>
    <w:p w:rsidR="00890E11" w:rsidRPr="00123A15">
      <w:pPr>
        <w:rPr>
          <w:rFonts w:ascii="Calibri" w:hAnsi="Calibri" w:cs="Calibri"/>
          <w:b/>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A key focus of the new legislation is deterring arrival by introducing measures that will punish people seeking safety. While the new offences are purportedly targeted at those who facilitate irregular entry or seemingly endanger another during a sea crossing, we are concerned that this will further embed criminalisation of seeking asylum.</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The new criminal offence aimed at targeting intermediaries and deterring irregular arrival conflicts with Article 31 of the Refugee Convention relating to refugees “unlawfully in the country of refuge.” Specifically, on the Status of Refugees, the Convention states that Contracting States shall not impose penalties on account of their irregular entry or presence, on refugees who, coming directly from a territory where their life or freedom was threatened in the sense of Article 1</w:t>
      </w:r>
      <w:r>
        <w:rPr>
          <w:rFonts w:ascii="Calibri" w:hAnsi="Calibri" w:cs="Calibri"/>
          <w:sz w:val="24"/>
          <w:szCs w:val="24"/>
          <w:highlight w:val="white"/>
          <w:vertAlign w:val="superscript"/>
        </w:rPr>
        <w:footnoteReference w:id="21"/>
      </w:r>
      <w:r w:rsidRPr="00123A15">
        <w:rPr>
          <w:rFonts w:ascii="Calibri" w:hAnsi="Calibri" w:cs="Calibri"/>
          <w:sz w:val="24"/>
          <w:szCs w:val="24"/>
          <w:highlight w:val="white"/>
        </w:rPr>
        <w:t>, enter or are present in their territory without authorisation, provided they present themselves without delay to the authorities and show good cause for their irregular entry or presence. Moreover, it has been argued that imposing penalties without regard to the merits of an individual’s claim to be a refugee will likely also violate the obligation of the State to ensure and to protect the human rights of everyone within its territory or subject to its jurisdiction</w:t>
      </w:r>
      <w:r>
        <w:rPr>
          <w:rFonts w:ascii="Calibri" w:hAnsi="Calibri" w:cs="Calibri"/>
          <w:sz w:val="24"/>
          <w:szCs w:val="24"/>
          <w:highlight w:val="white"/>
          <w:vertAlign w:val="superscript"/>
        </w:rPr>
        <w:footnoteReference w:id="22"/>
      </w:r>
      <w:r w:rsidRPr="00123A15">
        <w:rPr>
          <w:rFonts w:ascii="Calibri" w:hAnsi="Calibri" w:cs="Calibri"/>
          <w:sz w:val="24"/>
          <w:szCs w:val="24"/>
          <w:highlight w:val="white"/>
        </w:rPr>
        <w:t>.</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In September 2024, the </w:t>
      </w:r>
      <w:r w:rsidRPr="00123A15">
        <w:rPr>
          <w:rFonts w:ascii="Calibri" w:hAnsi="Calibri" w:cs="Calibri"/>
          <w:sz w:val="24"/>
          <w:szCs w:val="24"/>
          <w:highlight w:val="white"/>
        </w:rPr>
        <w:t xml:space="preserve">United Nations High Commissioner for Refugees (UNHCR) published guidelines on international protection relating to non-penalisation of refugees on account of irregular entry. In line with Article 31, it acknowledges that in seeking asylum, many are </w:t>
      </w:r>
      <w:r w:rsidRPr="00123A15">
        <w:rPr>
          <w:rFonts w:ascii="Calibri" w:hAnsi="Calibri" w:cs="Calibri"/>
          <w:sz w:val="24"/>
          <w:szCs w:val="24"/>
          <w:highlight w:val="white"/>
        </w:rPr>
        <w:t>compelled to arrive, enter or stay in a territory without authorisation or documentation, or “with documentation which is insufficient, false or obtained by fraudulent means, or by using clandestine modes of entry”. It makes clear that people seeking safety canno</w:t>
      </w:r>
      <w:r w:rsidRPr="00123A15">
        <w:rPr>
          <w:rFonts w:ascii="Calibri" w:hAnsi="Calibri" w:cs="Calibri"/>
          <w:sz w:val="24"/>
          <w:szCs w:val="24"/>
          <w:highlight w:val="white"/>
        </w:rPr>
        <w:t>t be penalised if they are suspected or found to have been involved in organising, assisting, or facilitating their own or others' ‘illegal’ entry or stay if they took these actions to secure their own, their family's, or others' entry for humanitarian reasons.</w:t>
      </w:r>
      <w:r>
        <w:rPr>
          <w:rFonts w:ascii="Calibri" w:eastAsia="Roboto" w:hAnsi="Calibri" w:cs="Calibri"/>
          <w:b/>
          <w:sz w:val="24"/>
          <w:szCs w:val="24"/>
          <w:highlight w:val="white"/>
          <w:vertAlign w:val="superscript"/>
        </w:rPr>
        <w:footnoteReference w:id="23"/>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However, the Border Security Bill states that an offence has been committed when a person's journey resulted in entry into or arrival in UK was a journey by water from France, Belgium or the Netherlands and at any time during the relevant period, the person did an act that caused, or created a risk of, the death of, or serious personal injury to another person. </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This contradicts UNHCR guidance in which it states: </w:t>
      </w:r>
    </w:p>
    <w:p w:rsidR="00890E11" w:rsidRPr="00123A15">
      <w:pPr>
        <w:rPr>
          <w:rFonts w:ascii="Calibri" w:hAnsi="Calibri" w:cs="Calibri"/>
          <w:i/>
          <w:sz w:val="24"/>
          <w:szCs w:val="24"/>
          <w:highlight w:val="white"/>
        </w:rPr>
      </w:pPr>
      <w:r w:rsidRPr="00123A15">
        <w:rPr>
          <w:rFonts w:ascii="Calibri" w:hAnsi="Calibri" w:cs="Calibri"/>
          <w:i/>
          <w:sz w:val="24"/>
          <w:szCs w:val="24"/>
          <w:highlight w:val="white"/>
        </w:rPr>
        <w:t>“Penalizing refugees who are suspected or found to hav</w:t>
      </w:r>
      <w:r w:rsidRPr="00123A15">
        <w:rPr>
          <w:rFonts w:ascii="Calibri" w:hAnsi="Calibri" w:cs="Calibri"/>
          <w:i/>
          <w:sz w:val="24"/>
          <w:szCs w:val="24"/>
        </w:rPr>
        <w:t xml:space="preserve">e organized, </w:t>
      </w:r>
      <w:r w:rsidRPr="00123A15">
        <w:rPr>
          <w:rFonts w:ascii="Calibri" w:hAnsi="Calibri" w:cs="Calibri"/>
          <w:i/>
          <w:sz w:val="24"/>
          <w:szCs w:val="24"/>
          <w:highlight w:val="white"/>
        </w:rPr>
        <w:t>facilitated or assisted in the irregular entry or stay by smuggling themselves and/or others is prohibited under Article 31(1) where they are the object of smuggling or where they have organized or facilitated smuggling of themselves and/or others to secure their own entry and/or that of family or other persons for humanitarian reasons. In such cases, penalization, in the form of criminal prosecution for migrant smuggling, is also in violation of Article 5 of the Smuggling Protocol, including w</w:t>
      </w:r>
      <w:r w:rsidRPr="00123A15">
        <w:rPr>
          <w:rFonts w:ascii="Calibri" w:hAnsi="Calibri" w:cs="Calibri"/>
          <w:i/>
          <w:sz w:val="24"/>
          <w:szCs w:val="24"/>
          <w:highlight w:val="white"/>
        </w:rPr>
        <w:t>hen the refugee does not meet the requirements of Article 31(1) of the 1951 Convention.”</w:t>
      </w:r>
    </w:p>
    <w:p w:rsidR="00890E11" w:rsidRPr="00123A15">
      <w:pPr>
        <w:rPr>
          <w:rFonts w:ascii="Calibri" w:eastAsia="Times New Roman" w:hAnsi="Calibri" w:cs="Calibri"/>
          <w:sz w:val="24"/>
          <w:szCs w:val="24"/>
          <w:highlight w:val="white"/>
        </w:rPr>
      </w:pPr>
    </w:p>
    <w:p w:rsidR="00890E11" w:rsidRPr="00123A15">
      <w:pPr>
        <w:rPr>
          <w:rFonts w:ascii="Calibri" w:eastAsia="Times New Roman" w:hAnsi="Calibri" w:cs="Calibri"/>
          <w:sz w:val="24"/>
          <w:szCs w:val="24"/>
          <w:highlight w:val="white"/>
        </w:rPr>
      </w:pPr>
      <w:r w:rsidRPr="00123A15">
        <w:rPr>
          <w:rFonts w:ascii="Calibri" w:hAnsi="Calibri" w:cs="Calibri"/>
          <w:sz w:val="24"/>
          <w:szCs w:val="24"/>
          <w:highlight w:val="white"/>
        </w:rPr>
        <w:t>We know from contemporary case studies and testimonies of people in our Network that intermediaries are not present on ‘small boats’ that cross the Channel, and can coerce people seeking safety into seemingly taking responsibility for the vessel and individuals on board. As a result, punitive measures in successive immigration policy do little to target the perpetrators of the crossing and instead, criminalise those seeking safety themselves. In addition, people in our Network have said that increased enfor</w:t>
      </w:r>
      <w:r w:rsidRPr="00123A15">
        <w:rPr>
          <w:rFonts w:ascii="Calibri" w:hAnsi="Calibri" w:cs="Calibri"/>
          <w:sz w:val="24"/>
          <w:szCs w:val="24"/>
          <w:highlight w:val="white"/>
        </w:rPr>
        <w:t xml:space="preserve">cement measures in the Channel simply forced them to move further down the French and Belgian coastline where the distance was greater and thereby more dangerous. </w:t>
      </w:r>
    </w:p>
    <w:p w:rsidR="00890E11" w:rsidRPr="00123A15">
      <w:pPr>
        <w:rPr>
          <w:rFonts w:ascii="Calibri" w:hAnsi="Calibri" w:cs="Calibri"/>
          <w:sz w:val="24"/>
          <w:szCs w:val="24"/>
          <w:highlight w:val="white"/>
        </w:rPr>
      </w:pP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Moreover, the broad definition of ‘harm’ which could include “preventing offers of rescue while at sea” is purposely vague which leaves it open to interpretation by enforcement agencies. In line with UNHCR guidance, we are concerned that this will lead to greater criminalisation of people seeking safety in ‘small boats’ who may find themselves in life-threatening and dangerous situations. </w:t>
      </w:r>
    </w:p>
    <w:p w:rsidR="00890E11" w:rsidRPr="00123A15">
      <w:pPr>
        <w:rPr>
          <w:rFonts w:ascii="Calibri" w:hAnsi="Calibri" w:cs="Calibri"/>
          <w:sz w:val="24"/>
          <w:szCs w:val="24"/>
          <w:highlight w:val="white"/>
        </w:rPr>
      </w:pPr>
    </w:p>
    <w:p w:rsidR="00890E11" w:rsidRPr="00123A15">
      <w:pPr>
        <w:rPr>
          <w:rFonts w:ascii="Calibri" w:eastAsia="Roboto" w:hAnsi="Calibri" w:cs="Calibri"/>
          <w:sz w:val="24"/>
          <w:szCs w:val="24"/>
          <w:highlight w:val="white"/>
        </w:rPr>
      </w:pPr>
      <w:r w:rsidRPr="00123A15">
        <w:rPr>
          <w:rFonts w:ascii="Calibri" w:hAnsi="Calibri" w:cs="Calibri"/>
          <w:sz w:val="24"/>
          <w:szCs w:val="24"/>
          <w:highlight w:val="white"/>
        </w:rPr>
        <w:t>As a result, the new Border Security Bill could be in conflict with UNHCR guidance and the Refugee Convention. We recommend that instead of implementing progressively harsh measures that criminalise irregular entry, the Government implement safe alternatives that are available to all nationalities. This will greatly reduce the need for people seeking asylum in the UK from needing to turn to intermediaries</w:t>
      </w:r>
      <w:r w:rsidRPr="00123A15">
        <w:rPr>
          <w:rFonts w:ascii="Calibri" w:eastAsia="Roboto" w:hAnsi="Calibri" w:cs="Calibri"/>
          <w:sz w:val="24"/>
          <w:szCs w:val="24"/>
          <w:highlight w:val="white"/>
        </w:rPr>
        <w:t>.</w:t>
      </w:r>
    </w:p>
    <w:p w:rsidR="00890E11" w:rsidRPr="00123A15">
      <w:pPr>
        <w:rPr>
          <w:rFonts w:ascii="Calibri" w:eastAsia="Roboto" w:hAnsi="Calibri" w:cs="Calibri"/>
          <w:sz w:val="24"/>
          <w:szCs w:val="24"/>
          <w:highlight w:val="white"/>
        </w:rPr>
      </w:pPr>
    </w:p>
    <w:p w:rsidR="00890E11" w:rsidRPr="00123A15">
      <w:pPr>
        <w:rPr>
          <w:rFonts w:ascii="Calibri" w:hAnsi="Calibri" w:cs="Calibri"/>
          <w:b/>
          <w:sz w:val="24"/>
          <w:szCs w:val="24"/>
          <w:highlight w:val="white"/>
        </w:rPr>
      </w:pPr>
      <w:r w:rsidRPr="00123A15">
        <w:rPr>
          <w:rFonts w:ascii="Calibri" w:hAnsi="Calibri" w:cs="Calibri"/>
          <w:b/>
          <w:sz w:val="24"/>
          <w:szCs w:val="24"/>
          <w:highlight w:val="white"/>
        </w:rPr>
        <w:t>6. Appendix</w:t>
      </w:r>
    </w:p>
    <w:p w:rsidR="00890E11" w:rsidRPr="00123A15">
      <w:pPr>
        <w:numPr>
          <w:ilvl w:val="0"/>
          <w:numId w:val="5"/>
        </w:numPr>
        <w:rPr>
          <w:rFonts w:ascii="Calibri" w:hAnsi="Calibri" w:cs="Calibri"/>
          <w:b/>
          <w:sz w:val="24"/>
          <w:szCs w:val="24"/>
          <w:highlight w:val="white"/>
        </w:rPr>
      </w:pPr>
      <w:r w:rsidRPr="00123A15">
        <w:rPr>
          <w:rFonts w:ascii="Calibri" w:hAnsi="Calibri" w:cs="Calibri"/>
          <w:b/>
          <w:sz w:val="24"/>
          <w:szCs w:val="24"/>
          <w:highlight w:val="white"/>
        </w:rPr>
        <w:t>About the author: Migrants’ Rights Network</w:t>
      </w:r>
    </w:p>
    <w:p w:rsidR="00890E11" w:rsidRPr="00123A15">
      <w:pPr>
        <w:rPr>
          <w:rFonts w:ascii="Calibri" w:hAnsi="Calibri" w:cs="Calibri"/>
          <w:sz w:val="24"/>
          <w:szCs w:val="24"/>
          <w:highlight w:val="white"/>
        </w:rPr>
      </w:pPr>
      <w:r w:rsidRPr="00123A15">
        <w:rPr>
          <w:rFonts w:ascii="Calibri" w:hAnsi="Calibri" w:cs="Calibri"/>
          <w:color w:val="374151"/>
          <w:sz w:val="24"/>
          <w:szCs w:val="24"/>
        </w:rPr>
        <w:t xml:space="preserve">The </w:t>
      </w:r>
      <w:r>
        <w:fldChar w:fldCharType="begin"/>
      </w:r>
      <w:r>
        <w:instrText xml:space="preserve"> HYPERLINK "https://migrantsrights.org.uk/" </w:instrText>
      </w:r>
      <w:r>
        <w:fldChar w:fldCharType="separate"/>
      </w:r>
      <w:r w:rsidRPr="00123A15">
        <w:rPr>
          <w:rFonts w:ascii="Calibri" w:hAnsi="Calibri" w:cs="Calibri"/>
          <w:color w:val="1155CC"/>
          <w:sz w:val="24"/>
          <w:szCs w:val="24"/>
          <w:u w:val="single"/>
        </w:rPr>
        <w:t>Migrants’ Rights Network</w:t>
      </w:r>
      <w:r>
        <w:fldChar w:fldCharType="end"/>
      </w:r>
      <w:r w:rsidRPr="00123A15">
        <w:rPr>
          <w:rFonts w:ascii="Calibri" w:hAnsi="Calibri" w:cs="Calibri"/>
          <w:color w:val="374151"/>
          <w:sz w:val="24"/>
          <w:szCs w:val="24"/>
        </w:rPr>
        <w:t xml:space="preserve"> </w:t>
      </w:r>
      <w:r w:rsidRPr="00123A15">
        <w:rPr>
          <w:rFonts w:ascii="Calibri" w:hAnsi="Calibri" w:cs="Calibri"/>
          <w:sz w:val="24"/>
          <w:szCs w:val="24"/>
        </w:rPr>
        <w:t xml:space="preserve">is a UK charity that stands in solidarity with migrants in their fights for rights and justice. </w:t>
      </w:r>
      <w:r w:rsidRPr="00123A15">
        <w:rPr>
          <w:rFonts w:ascii="Calibri" w:hAnsi="Calibri" w:cs="Calibri"/>
          <w:sz w:val="24"/>
          <w:szCs w:val="24"/>
          <w:highlight w:val="white"/>
        </w:rPr>
        <w:t>They use collaborative activism and legal avenues to create societal change, extending beyond the individual impact on migrants’ lives, to tackle oppression at its source.</w:t>
      </w:r>
    </w:p>
    <w:p w:rsidR="00890E11" w:rsidRPr="00123A15">
      <w:pPr>
        <w:rPr>
          <w:rFonts w:ascii="Calibri" w:hAnsi="Calibri" w:cs="Calibri"/>
          <w:sz w:val="24"/>
          <w:szCs w:val="24"/>
          <w:highlight w:val="white"/>
        </w:rPr>
      </w:pPr>
    </w:p>
    <w:p w:rsidR="00890E11" w:rsidRPr="00123A15">
      <w:pPr>
        <w:numPr>
          <w:ilvl w:val="0"/>
          <w:numId w:val="5"/>
        </w:numPr>
        <w:rPr>
          <w:rFonts w:ascii="Calibri" w:hAnsi="Calibri" w:cs="Calibri"/>
          <w:b/>
          <w:sz w:val="24"/>
          <w:szCs w:val="24"/>
          <w:highlight w:val="white"/>
        </w:rPr>
      </w:pPr>
      <w:r w:rsidRPr="00123A15">
        <w:rPr>
          <w:rFonts w:ascii="Calibri" w:hAnsi="Calibri" w:cs="Calibri"/>
          <w:b/>
          <w:sz w:val="24"/>
          <w:szCs w:val="24"/>
          <w:highlight w:val="white"/>
        </w:rPr>
        <w:t>Terminology</w:t>
      </w:r>
    </w:p>
    <w:p w:rsidR="00890E11" w:rsidRPr="00123A15">
      <w:pPr>
        <w:rPr>
          <w:rFonts w:ascii="Calibri" w:hAnsi="Calibri" w:cs="Calibri"/>
          <w:sz w:val="24"/>
          <w:szCs w:val="24"/>
          <w:highlight w:val="white"/>
        </w:rPr>
      </w:pPr>
      <w:r w:rsidRPr="00123A15">
        <w:rPr>
          <w:rFonts w:ascii="Calibri" w:hAnsi="Calibri" w:cs="Calibri"/>
          <w:sz w:val="24"/>
          <w:szCs w:val="24"/>
          <w:highlight w:val="white"/>
        </w:rPr>
        <w:t xml:space="preserve">Language around migration has the potential to shape how migrants are treated and perceived by the general public, media and in legislation. Therefore, in our consultation response, we have chosen the language to refer to those most impacted by this legislation extremely carefully and informed by migrant communities so as not to reinforce harmful anti-migrant narratives. </w:t>
      </w:r>
    </w:p>
    <w:p w:rsidR="00890E11" w:rsidRPr="00123A15">
      <w:pPr>
        <w:rPr>
          <w:rFonts w:ascii="Calibri" w:hAnsi="Calibri" w:cs="Calibri"/>
          <w:sz w:val="24"/>
          <w:szCs w:val="24"/>
          <w:highlight w:val="white"/>
        </w:rPr>
      </w:pPr>
    </w:p>
    <w:p w:rsidR="00890E11" w:rsidRPr="00123A15">
      <w:pPr>
        <w:numPr>
          <w:ilvl w:val="1"/>
          <w:numId w:val="5"/>
        </w:numPr>
        <w:rPr>
          <w:rFonts w:ascii="Calibri" w:hAnsi="Calibri" w:cs="Calibri"/>
          <w:b/>
          <w:sz w:val="24"/>
          <w:szCs w:val="24"/>
          <w:highlight w:val="white"/>
        </w:rPr>
      </w:pPr>
      <w:r w:rsidRPr="00123A15">
        <w:rPr>
          <w:rFonts w:ascii="Calibri" w:hAnsi="Calibri" w:cs="Calibri"/>
          <w:b/>
          <w:sz w:val="24"/>
          <w:szCs w:val="24"/>
          <w:highlight w:val="white"/>
        </w:rPr>
        <w:t>Migrants, including refugees</w:t>
      </w:r>
    </w:p>
    <w:p w:rsidR="00890E11" w:rsidRPr="00123A15">
      <w:pPr>
        <w:rPr>
          <w:rFonts w:ascii="Calibri" w:hAnsi="Calibri" w:cs="Calibri"/>
          <w:color w:val="111111"/>
          <w:sz w:val="24"/>
          <w:szCs w:val="24"/>
          <w:highlight w:val="white"/>
        </w:rPr>
      </w:pPr>
      <w:r>
        <w:fldChar w:fldCharType="begin"/>
      </w:r>
      <w:r>
        <w:instrText xml:space="preserve"> HYPERLINK "https://migrantsrights.org.uk/projects/wordsmatter/migrants-and-refugees-versus-migrants-including-refugees/" </w:instrText>
      </w:r>
      <w:r>
        <w:fldChar w:fldCharType="separate"/>
      </w:r>
      <w:r w:rsidRPr="00123A15">
        <w:rPr>
          <w:rFonts w:ascii="Calibri" w:hAnsi="Calibri" w:cs="Calibri"/>
          <w:color w:val="1155CC"/>
          <w:sz w:val="24"/>
          <w:szCs w:val="24"/>
          <w:highlight w:val="white"/>
          <w:u w:val="single"/>
        </w:rPr>
        <w:t>Migrants, including refugees</w:t>
      </w:r>
      <w:r>
        <w:fldChar w:fldCharType="end"/>
      </w:r>
      <w:r w:rsidRPr="00123A15">
        <w:rPr>
          <w:rFonts w:ascii="Calibri" w:hAnsi="Calibri" w:cs="Calibri"/>
          <w:sz w:val="24"/>
          <w:szCs w:val="24"/>
          <w:highlight w:val="white"/>
        </w:rPr>
        <w:t xml:space="preserve">: The Migrants’ Rights Network’s </w:t>
      </w:r>
      <w:r>
        <w:fldChar w:fldCharType="begin"/>
      </w:r>
      <w:r>
        <w:instrText xml:space="preserve"> HYPERLINK "https://migrantsrights.org.uk/projects/wordsmatter/" </w:instrText>
      </w:r>
      <w:r>
        <w:fldChar w:fldCharType="separate"/>
      </w:r>
      <w:r w:rsidRPr="00123A15">
        <w:rPr>
          <w:rFonts w:ascii="Calibri" w:hAnsi="Calibri" w:cs="Calibri"/>
          <w:color w:val="1155CC"/>
          <w:sz w:val="24"/>
          <w:szCs w:val="24"/>
          <w:highlight w:val="white"/>
          <w:u w:val="single"/>
        </w:rPr>
        <w:t xml:space="preserve">Words Matter campaign </w:t>
      </w:r>
      <w:r>
        <w:fldChar w:fldCharType="end"/>
      </w:r>
      <w:r w:rsidRPr="00123A15">
        <w:rPr>
          <w:rFonts w:ascii="Calibri" w:hAnsi="Calibri" w:cs="Calibri"/>
          <w:sz w:val="24"/>
          <w:szCs w:val="24"/>
          <w:highlight w:val="white"/>
        </w:rPr>
        <w:t xml:space="preserve">recommends using the phrase “migrants, including refugees and people seeking asylum” as opposed to “migrants and refugees.” </w:t>
      </w:r>
      <w:r w:rsidRPr="00123A15">
        <w:rPr>
          <w:rFonts w:ascii="Calibri" w:hAnsi="Calibri" w:cs="Calibri"/>
          <w:color w:val="111111"/>
          <w:sz w:val="24"/>
          <w:szCs w:val="24"/>
          <w:highlight w:val="white"/>
        </w:rPr>
        <w:t xml:space="preserve">The term migrant is a </w:t>
      </w:r>
      <w:r w:rsidRPr="00123A15">
        <w:rPr>
          <w:rFonts w:ascii="Calibri" w:hAnsi="Calibri" w:cs="Calibri"/>
          <w:b/>
          <w:color w:val="111111"/>
          <w:sz w:val="24"/>
          <w:szCs w:val="24"/>
          <w:highlight w:val="white"/>
        </w:rPr>
        <w:t>general umbrella term</w:t>
      </w:r>
      <w:r w:rsidRPr="00123A15">
        <w:rPr>
          <w:rFonts w:ascii="Calibri" w:hAnsi="Calibri" w:cs="Calibri"/>
          <w:color w:val="111111"/>
          <w:sz w:val="24"/>
          <w:szCs w:val="24"/>
          <w:highlight w:val="white"/>
        </w:rPr>
        <w:t xml:space="preserve">, which encompasses refugees, people seeking asylum, international students, migrant workers, undocumented migrants and many other migrant groups. Refugees are migrants: </w:t>
      </w:r>
      <w:r w:rsidRPr="00123A15">
        <w:rPr>
          <w:rFonts w:ascii="Calibri" w:hAnsi="Calibri" w:cs="Calibri"/>
          <w:b/>
          <w:color w:val="111111"/>
          <w:sz w:val="24"/>
          <w:szCs w:val="24"/>
          <w:highlight w:val="white"/>
        </w:rPr>
        <w:t>they are a subgroup of migrants with protection needs and rights</w:t>
      </w:r>
      <w:r w:rsidRPr="00123A15">
        <w:rPr>
          <w:rFonts w:ascii="Calibri" w:hAnsi="Calibri" w:cs="Calibri"/>
          <w:color w:val="111111"/>
          <w:sz w:val="24"/>
          <w:szCs w:val="24"/>
          <w:highlight w:val="white"/>
        </w:rPr>
        <w:t>. Placing an “and” in between “migrants” and “refugees” implies that refugees are not a subgroup of migrants, a</w:t>
      </w:r>
      <w:r w:rsidRPr="00123A15">
        <w:rPr>
          <w:rFonts w:ascii="Calibri" w:hAnsi="Calibri" w:cs="Calibri"/>
          <w:color w:val="111111"/>
          <w:sz w:val="24"/>
          <w:szCs w:val="24"/>
          <w:highlight w:val="white"/>
        </w:rPr>
        <w:t xml:space="preserve">nd also begins to reinforce divisive narratives. </w:t>
      </w:r>
    </w:p>
    <w:p w:rsidR="00890E11" w:rsidRPr="00123A15">
      <w:pPr>
        <w:ind w:left="720"/>
        <w:rPr>
          <w:rFonts w:ascii="Calibri" w:hAnsi="Calibri" w:cs="Calibri"/>
          <w:color w:val="111111"/>
          <w:sz w:val="24"/>
          <w:szCs w:val="24"/>
          <w:highlight w:val="white"/>
        </w:rPr>
      </w:pPr>
    </w:p>
    <w:p w:rsidR="00890E11" w:rsidRPr="00123A15">
      <w:pPr>
        <w:numPr>
          <w:ilvl w:val="1"/>
          <w:numId w:val="5"/>
        </w:numPr>
        <w:rPr>
          <w:rFonts w:ascii="Calibri" w:hAnsi="Calibri" w:cs="Calibri"/>
          <w:b/>
          <w:sz w:val="24"/>
          <w:szCs w:val="24"/>
          <w:highlight w:val="white"/>
        </w:rPr>
      </w:pPr>
      <w:r w:rsidRPr="00123A15">
        <w:rPr>
          <w:rFonts w:ascii="Calibri" w:hAnsi="Calibri" w:cs="Calibri"/>
          <w:b/>
          <w:sz w:val="24"/>
          <w:szCs w:val="24"/>
          <w:highlight w:val="white"/>
        </w:rPr>
        <w:t>Intermediaries</w:t>
      </w:r>
    </w:p>
    <w:p w:rsidR="00890E11" w:rsidRPr="00123A15">
      <w:pPr>
        <w:rPr>
          <w:rFonts w:ascii="Calibri" w:hAnsi="Calibri" w:cs="Calibri"/>
          <w:color w:val="111111"/>
          <w:sz w:val="24"/>
          <w:szCs w:val="24"/>
          <w:highlight w:val="white"/>
        </w:rPr>
      </w:pPr>
      <w:r>
        <w:fldChar w:fldCharType="begin"/>
      </w:r>
      <w:r>
        <w:instrText xml:space="preserve"> HYPERLINK "https://migrantsrights.org.uk/projects/wordsmatter/intermediaries/" </w:instrText>
      </w:r>
      <w:r>
        <w:fldChar w:fldCharType="separate"/>
      </w:r>
      <w:r w:rsidRPr="00123A15">
        <w:rPr>
          <w:rFonts w:ascii="Calibri" w:hAnsi="Calibri" w:cs="Calibri"/>
          <w:color w:val="1155CC"/>
          <w:sz w:val="24"/>
          <w:szCs w:val="24"/>
          <w:highlight w:val="white"/>
          <w:u w:val="single"/>
        </w:rPr>
        <w:t>Intermediaries</w:t>
      </w:r>
      <w:r>
        <w:fldChar w:fldCharType="end"/>
      </w:r>
      <w:r w:rsidRPr="00123A15">
        <w:rPr>
          <w:rFonts w:ascii="Calibri" w:hAnsi="Calibri" w:cs="Calibri"/>
          <w:color w:val="111111"/>
          <w:sz w:val="24"/>
          <w:szCs w:val="24"/>
          <w:highlight w:val="white"/>
        </w:rPr>
        <w:t xml:space="preserve">: </w:t>
      </w:r>
      <w:r w:rsidRPr="00123A15">
        <w:rPr>
          <w:rFonts w:ascii="Calibri" w:hAnsi="Calibri" w:cs="Calibri"/>
          <w:sz w:val="24"/>
          <w:szCs w:val="24"/>
          <w:highlight w:val="white"/>
        </w:rPr>
        <w:t xml:space="preserve">The Migrants’ Rights Network’s </w:t>
      </w:r>
      <w:r>
        <w:fldChar w:fldCharType="begin"/>
      </w:r>
      <w:r>
        <w:instrText xml:space="preserve"> HYPERLINK "https://migrantsrights.org.uk/projects/wordsmatter/" </w:instrText>
      </w:r>
      <w:r>
        <w:fldChar w:fldCharType="separate"/>
      </w:r>
      <w:r w:rsidRPr="00123A15">
        <w:rPr>
          <w:rFonts w:ascii="Calibri" w:hAnsi="Calibri" w:cs="Calibri"/>
          <w:color w:val="1155CC"/>
          <w:sz w:val="24"/>
          <w:szCs w:val="24"/>
          <w:highlight w:val="white"/>
          <w:u w:val="single"/>
        </w:rPr>
        <w:t xml:space="preserve">Words Matter campaign </w:t>
      </w:r>
      <w:r>
        <w:fldChar w:fldCharType="end"/>
      </w:r>
      <w:r w:rsidRPr="00123A15">
        <w:rPr>
          <w:rFonts w:ascii="Calibri" w:hAnsi="Calibri" w:cs="Calibri"/>
          <w:sz w:val="24"/>
          <w:szCs w:val="24"/>
          <w:highlight w:val="white"/>
        </w:rPr>
        <w:t>recommends using the term ‘intermediaries’ or ‘facilitators’ instead of ‘[people] smugglers’ or ‘smuggling gangs.’ This is because the latter phrasing treats migration as a crime, and is used to justify anti-migrant policies in the name of ‘safeguarding’.</w:t>
      </w:r>
    </w:p>
    <w:p w:rsidR="00890E11" w:rsidRPr="00123A15">
      <w:pPr>
        <w:rPr>
          <w:rFonts w:ascii="Calibri" w:hAnsi="Calibri" w:cs="Calibri"/>
          <w:b/>
          <w:bCs/>
          <w:sz w:val="24"/>
          <w:szCs w:val="24"/>
          <w:highlight w:val="white"/>
        </w:rPr>
      </w:pPr>
    </w:p>
    <w:p w:rsidR="00890E11" w:rsidRPr="00123A15">
      <w:pPr>
        <w:rPr>
          <w:rFonts w:ascii="Calibri" w:hAnsi="Calibri" w:cs="Calibri"/>
          <w:b/>
          <w:bCs/>
          <w:i/>
          <w:sz w:val="24"/>
          <w:szCs w:val="24"/>
          <w:highlight w:val="white"/>
        </w:rPr>
      </w:pPr>
      <w:r w:rsidRPr="00123A15">
        <w:rPr>
          <w:rFonts w:ascii="Calibri" w:hAnsi="Calibri" w:cs="Calibri"/>
          <w:b/>
          <w:bCs/>
          <w:i/>
          <w:sz w:val="24"/>
          <w:szCs w:val="24"/>
          <w:highlight w:val="white"/>
        </w:rPr>
        <w:t>APRIL 2025</w:t>
      </w:r>
    </w:p>
    <w:sectPr>
      <w:footerReference w:type="default" r:id="rId5"/>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C4C039AD-DFB3-4A21-9B73-7E492C0A82AA}"/>
    <w:embedBold r:id="rId2" w:fontKey="{9FE6765F-762D-4236-95F7-DAA18D8314F4}"/>
    <w:embedItalic r:id="rId3" w:fontKey="{52294E48-4D58-4104-A846-C15C2C2C6561}"/>
    <w:embedBoldItalic r:id="rId4" w:fontKey="{8F8C61E0-6413-4CD2-BD38-5312C1FB93B1}"/>
  </w:font>
  <w:font w:name="Roboto">
    <w:charset w:val="00"/>
    <w:family w:val="auto"/>
    <w:pitch w:val="variable"/>
    <w:sig w:usb0="E0000AFF" w:usb1="5000217F" w:usb2="00000021" w:usb3="00000000" w:csb0="0000019F" w:csb1="00000000"/>
    <w:embedRegular r:id="rId5" w:fontKey="{55837CAE-5495-460C-979F-228022376F30}"/>
    <w:embedBold r:id="rId6" w:fontKey="{568AA260-F2B8-498C-88D0-E692C80B5D48}"/>
  </w:font>
  <w:font w:name="Cambria">
    <w:panose1 w:val="02040503050406030204"/>
    <w:charset w:val="00"/>
    <w:family w:val="roman"/>
    <w:pitch w:val="variable"/>
    <w:sig w:usb0="E00006FF" w:usb1="420024FF" w:usb2="02000000" w:usb3="00000000" w:csb0="0000019F" w:csb1="00000000"/>
    <w:embedRegular r:id="rId7" w:fontKey="{BFF21BC0-5923-4072-8BAC-5838A56B02C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90E11">
    <w:pPr>
      <w:jc w:val="right"/>
    </w:pPr>
    <w:r>
      <w:rPr>
        <w:b/>
      </w:rPr>
      <w:fldChar w:fldCharType="begin"/>
    </w:r>
    <w:r>
      <w:rPr>
        <w:b/>
      </w:rPr>
      <w:instrText>PAGE</w:instrText>
    </w:r>
    <w:r>
      <w:rPr>
        <w:b/>
      </w:rPr>
      <w:fldChar w:fldCharType="separate"/>
    </w:r>
    <w:r>
      <w:rPr>
        <w:b/>
        <w:noProof/>
      </w:rPr>
      <w:t>1</w:t>
    </w:r>
    <w:r>
      <w:rPr>
        <w:b/>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123A15">
      <w:pPr>
        <w:spacing w:line="240" w:lineRule="auto"/>
      </w:pPr>
      <w:r>
        <w:separator/>
      </w:r>
    </w:p>
  </w:footnote>
  <w:footnote w:type="continuationSeparator" w:id="1">
    <w:p w:rsidR="00123A15">
      <w:pPr>
        <w:spacing w:line="240" w:lineRule="auto"/>
      </w:pPr>
      <w:r>
        <w:continuationSeparator/>
      </w:r>
    </w:p>
  </w:footnote>
  <w:footnote w:id="2">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"https://migrantsrights.org.uk/projects/wordsmatter/terrorism/" </w:instrText>
      </w:r>
      <w:r>
        <w:fldChar w:fldCharType="separate"/>
      </w:r>
      <w:r>
        <w:rPr>
          <w:color w:val="1155CC"/>
          <w:sz w:val="20"/>
          <w:szCs w:val="20"/>
          <w:u w:val="single"/>
        </w:rPr>
        <w:t>Notably</w:t>
      </w:r>
      <w:r>
        <w:fldChar w:fldCharType="end"/>
      </w:r>
      <w:r>
        <w:rPr>
          <w:sz w:val="20"/>
          <w:szCs w:val="20"/>
        </w:rPr>
        <w:t xml:space="preserve"> in the Nationality and Borders Act 2022, which extended Schedule 7 powers pertaining to migrants crossing the Channel, as well as immigration cases that come under SIAC</w:t>
      </w:r>
    </w:p>
  </w:footnote>
  <w:footnote w:id="3">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"https://www.opendemocracy.net/en/5050/hundreds-of-europeans-criminalised-for-helping-migrants-new-data-shows-as-far-right-aims-to-win-big-in-european-elections/" </w:instrText>
      </w:r>
      <w:r>
        <w:fldChar w:fldCharType="separate"/>
      </w:r>
      <w:r>
        <w:rPr>
          <w:color w:val="1155CC"/>
          <w:sz w:val="20"/>
          <w:szCs w:val="20"/>
          <w:u w:val="single"/>
        </w:rPr>
        <w:t>Hundreds of Europeans ‘criminalised’ for helping migrants – as far right aims to win big in European elections | openDemocracy</w:t>
      </w:r>
      <w:r>
        <w:fldChar w:fldCharType="end"/>
      </w:r>
      <w:r>
        <w:rPr>
          <w:sz w:val="20"/>
          <w:szCs w:val="20"/>
        </w:rPr>
        <w:t xml:space="preserve"> </w:t>
      </w:r>
    </w:p>
  </w:footnote>
  <w:footnote w:id="4">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"https://commonslibrary.parliament.uk/research-briefings/cbp-10185/" </w:instrText>
      </w:r>
      <w:r>
        <w:fldChar w:fldCharType="separate"/>
      </w:r>
      <w:r>
        <w:rPr>
          <w:color w:val="1155CC"/>
          <w:sz w:val="20"/>
          <w:szCs w:val="20"/>
          <w:u w:val="single"/>
        </w:rPr>
        <w:t>Border Security, Asylum and Immigration Bill 2024-25 - House of Commons Library</w:t>
      </w:r>
      <w:r>
        <w:fldChar w:fldCharType="end"/>
      </w:r>
      <w:r>
        <w:rPr>
          <w:sz w:val="20"/>
          <w:szCs w:val="20"/>
        </w:rPr>
        <w:t xml:space="preserve"> </w:t>
      </w:r>
    </w:p>
  </w:footnote>
  <w:footnote w:id="5">
    <w:p w:rsidR="00890E11">
      <w:pPr>
        <w:spacing w:line="240" w:lineRule="auto"/>
        <w:rPr>
          <w:sz w:val="20"/>
          <w:szCs w:val="20"/>
        </w:rPr>
      </w:pPr>
      <w:r>
        <w:rPr>
          <w:vertAlign w:val="superscript"/>
        </w:rPr>
        <w:footnoteRef/>
      </w:r>
      <w:r>
        <w:rPr>
          <w:sz w:val="20"/>
          <w:szCs w:val="20"/>
        </w:rPr>
        <w:t xml:space="preserve"> </w:t>
      </w:r>
      <w:r>
        <w:rPr>
          <w:sz w:val="20"/>
          <w:szCs w:val="20"/>
        </w:rPr>
        <w:t>Rizwaan</w:t>
      </w:r>
      <w:r>
        <w:rPr>
          <w:sz w:val="20"/>
          <w:szCs w:val="20"/>
        </w:rPr>
        <w:t xml:space="preserve"> Sabir (2017), “Blurred lines and false dichotomies:</w:t>
      </w:r>
      <w:r>
        <w:fldChar w:fldCharType="begin"/>
      </w:r>
      <w:r>
        <w:instrText xml:space="preserve"> HYPERLINK "https://researchonline.ljmu.ac.uk/id/eprint/9948/1/Blurred%20Lines%20and%20False%20Dichotomies%20Integrating%20Counterinsurgency%20into%20the%20UK%E2%80%99s%20domestic%20%E2%80%98War%20on%20Terror%E2%80%99.pdf" </w:instrText>
      </w:r>
      <w:r>
        <w:fldChar w:fldCharType="separate"/>
      </w:r>
      <w:r>
        <w:rPr>
          <w:color w:val="1155CC"/>
          <w:sz w:val="20"/>
          <w:szCs w:val="20"/>
          <w:u w:val="single"/>
        </w:rPr>
        <w:t xml:space="preserve"> Integrating counterinsurgency into the UK's domestic "war on terror'”</w:t>
      </w:r>
      <w:r>
        <w:fldChar w:fldCharType="end"/>
      </w:r>
      <w:r>
        <w:rPr>
          <w:sz w:val="20"/>
          <w:szCs w:val="20"/>
        </w:rPr>
        <w:t>,</w:t>
      </w:r>
      <w:r>
        <w:rPr>
          <w:i/>
          <w:sz w:val="20"/>
          <w:szCs w:val="20"/>
        </w:rPr>
        <w:t xml:space="preserve"> Critical Social Policy</w:t>
      </w:r>
      <w:r>
        <w:rPr>
          <w:sz w:val="20"/>
          <w:szCs w:val="20"/>
        </w:rPr>
        <w:t xml:space="preserve">, 37 (2) </w:t>
      </w:r>
    </w:p>
  </w:footnote>
  <w:footnote w:id="6">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"https://migrationobservatory.ox.ac.uk/resources/briefings/people-crossing-the-english-channel-in-small-boats/" </w:instrText>
      </w:r>
      <w:r>
        <w:fldChar w:fldCharType="separate"/>
      </w:r>
      <w:r>
        <w:rPr>
          <w:color w:val="1155CC"/>
          <w:sz w:val="20"/>
          <w:szCs w:val="20"/>
          <w:u w:val="single"/>
        </w:rPr>
        <w:t>People crossing the English Channel in small boats - Migration Observatory</w:t>
      </w:r>
      <w:r>
        <w:fldChar w:fldCharType="end"/>
      </w:r>
      <w:r>
        <w:rPr>
          <w:sz w:val="20"/>
          <w:szCs w:val="20"/>
        </w:rPr>
        <w:t xml:space="preserve"> </w:t>
      </w:r>
    </w:p>
  </w:footnote>
  <w:footnote w:id="7">
    <w:p w:rsidR="00890E11">
      <w:pPr>
        <w:spacing w:line="240" w:lineRule="auto"/>
        <w:rPr>
          <w:sz w:val="20"/>
          <w:szCs w:val="20"/>
        </w:rPr>
      </w:pPr>
      <w:r>
        <w:rPr>
          <w:vertAlign w:val="superscript"/>
        </w:rPr>
        <w:footnoteRef/>
      </w:r>
      <w:r>
        <w:rPr>
          <w:sz w:val="20"/>
          <w:szCs w:val="20"/>
        </w:rPr>
        <w:t xml:space="preserve"> B</w:t>
      </w:r>
      <w:r>
        <w:fldChar w:fldCharType="begin"/>
      </w:r>
      <w:r>
        <w:instrText xml:space="preserve"> HYPERLINK "https://assets.publishing.service.gov.uk/media/679bb00915f01fdf8e05e85a/Impact_Assessment_for_publication_-_Border_Security_Asylum_and_Immigration_Bill_-_GOV.UK.pdf" </w:instrText>
      </w:r>
      <w:r>
        <w:fldChar w:fldCharType="separate"/>
      </w:r>
      <w:r>
        <w:rPr>
          <w:color w:val="1155CC"/>
          <w:sz w:val="20"/>
          <w:szCs w:val="20"/>
          <w:u w:val="single"/>
        </w:rPr>
        <w:t>order security asylum and immigration bill impact assessment</w:t>
      </w:r>
      <w:r>
        <w:fldChar w:fldCharType="end"/>
      </w:r>
      <w:r>
        <w:rPr>
          <w:sz w:val="20"/>
          <w:szCs w:val="20"/>
        </w:rPr>
        <w:t xml:space="preserve"> </w:t>
      </w:r>
    </w:p>
  </w:footnote>
  <w:footnote w:id="8">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"https://www.biduk.org/pages/gps-tagging-faq#TK6" </w:instrText>
      </w:r>
      <w:r>
        <w:fldChar w:fldCharType="separate"/>
      </w:r>
      <w:r>
        <w:rPr>
          <w:color w:val="1155CC"/>
          <w:sz w:val="20"/>
          <w:szCs w:val="20"/>
          <w:u w:val="single"/>
        </w:rPr>
        <w:t>GPS tagging FAQs | Bail for Immigration Detainees</w:t>
      </w:r>
      <w:r>
        <w:fldChar w:fldCharType="end"/>
      </w:r>
      <w:r>
        <w:rPr>
          <w:sz w:val="20"/>
          <w:szCs w:val="20"/>
        </w:rPr>
        <w:t xml:space="preserve"> </w:t>
      </w:r>
    </w:p>
  </w:footnote>
  <w:footnote w:id="9">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"https://assets.publishing.service.gov.uk/media/60227175e90e0711d52b272b/cts-bill-fact-sheet-strengthening-disruption-risk-management-tools-jan-2021.pdf" </w:instrText>
      </w:r>
      <w:r>
        <w:fldChar w:fldCharType="separate"/>
      </w:r>
      <w:r>
        <w:rPr>
          <w:color w:val="1155CC"/>
          <w:sz w:val="20"/>
          <w:szCs w:val="20"/>
          <w:u w:val="single"/>
        </w:rPr>
        <w:t>The Counter-Terrorism and Sentencing Bill – Strengthening disruption and risk management tools Fact sheet - GOV.UK</w:t>
      </w:r>
      <w:r>
        <w:fldChar w:fldCharType="end"/>
      </w:r>
      <w:r>
        <w:rPr>
          <w:sz w:val="20"/>
          <w:szCs w:val="20"/>
        </w:rPr>
        <w:t xml:space="preserve"> </w:t>
      </w:r>
    </w:p>
  </w:footnote>
  <w:footnote w:id="10">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"https://www.telegraph.co.uk/news/2025/03/09/foreigners-dodge-deportation-tagged-terror-suspects/" </w:instrText>
      </w:r>
      <w:r>
        <w:fldChar w:fldCharType="separate"/>
      </w:r>
      <w:r>
        <w:rPr>
          <w:color w:val="1155CC"/>
          <w:sz w:val="20"/>
          <w:szCs w:val="20"/>
          <w:u w:val="single"/>
        </w:rPr>
        <w:t>Dangerous foreign nationals dodging deportation to be tagged like terror suspects</w:t>
      </w:r>
      <w:r>
        <w:fldChar w:fldCharType="end"/>
      </w:r>
      <w:r>
        <w:rPr>
          <w:sz w:val="20"/>
          <w:szCs w:val="20"/>
        </w:rPr>
        <w:t xml:space="preserve"> </w:t>
      </w:r>
    </w:p>
  </w:footnote>
  <w:footnote w:id="11">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"https://www.gov.uk/government/publications/good-character-nationality-policy-guidance/good-character-requirement-accessible" </w:instrText>
      </w:r>
      <w:r>
        <w:fldChar w:fldCharType="separate"/>
      </w:r>
      <w:r>
        <w:rPr>
          <w:color w:val="1155CC"/>
          <w:sz w:val="20"/>
          <w:szCs w:val="20"/>
          <w:u w:val="single"/>
        </w:rPr>
        <w:t>Good character requirement (accessible) - GOV.UK</w:t>
      </w:r>
      <w:r>
        <w:fldChar w:fldCharType="end"/>
      </w:r>
      <w:r>
        <w:rPr>
          <w:sz w:val="20"/>
          <w:szCs w:val="20"/>
        </w:rPr>
        <w:t xml:space="preserve"> </w:t>
      </w:r>
    </w:p>
  </w:footnote>
  <w:footnote w:id="12">
    <w:p w:rsidR="00890E11">
      <w:pPr>
        <w:spacing w:line="240" w:lineRule="auto"/>
        <w:rPr>
          <w:sz w:val="20"/>
          <w:szCs w:val="20"/>
        </w:rPr>
      </w:pPr>
      <w:r>
        <w:rPr>
          <w:vertAlign w:val="superscript"/>
        </w:rPr>
        <w:footnoteRef/>
      </w:r>
      <w:r>
        <w:rPr>
          <w:sz w:val="20"/>
          <w:szCs w:val="20"/>
        </w:rPr>
        <w:t xml:space="preserve"> Migrants’ Rights Network (2024), ‘</w:t>
      </w:r>
      <w:r>
        <w:fldChar w:fldCharType="begin"/>
      </w:r>
      <w:r>
        <w:instrText xml:space="preserve"> HYPERLINK "https://migrantsrights.org.uk/wp-content/uploads/2024/10/Hostile-Office-report-accessible.pdf" </w:instrText>
      </w:r>
      <w:r>
        <w:fldChar w:fldCharType="separate"/>
      </w:r>
      <w:r>
        <w:rPr>
          <w:color w:val="1155CC"/>
          <w:sz w:val="20"/>
          <w:szCs w:val="20"/>
          <w:u w:val="single"/>
        </w:rPr>
        <w:t>Hostile Office: The Home Office is Racist By Design</w:t>
      </w:r>
      <w:r>
        <w:fldChar w:fldCharType="end"/>
      </w:r>
      <w:r>
        <w:rPr>
          <w:sz w:val="20"/>
          <w:szCs w:val="20"/>
        </w:rPr>
        <w:t xml:space="preserve">’ </w:t>
      </w:r>
    </w:p>
  </w:footnote>
  <w:footnote w:id="13">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"https://www.ohchr.org/en/press-releases/2022/01/united-kingdom-nationality-and-borders-bill-undermines-rights-victims" </w:instrText>
      </w:r>
      <w:r>
        <w:fldChar w:fldCharType="separate"/>
      </w:r>
      <w:r>
        <w:rPr>
          <w:color w:val="1155CC"/>
          <w:sz w:val="20"/>
          <w:szCs w:val="20"/>
          <w:u w:val="single"/>
        </w:rPr>
        <w:t>United Kingdom Nationality and Borders Bill undermines rights of victims of trafficking and modern slavery, UN experts say | OHCHR</w:t>
      </w:r>
      <w:r>
        <w:fldChar w:fldCharType="end"/>
      </w:r>
      <w:r>
        <w:rPr>
          <w:sz w:val="20"/>
          <w:szCs w:val="20"/>
        </w:rPr>
        <w:t xml:space="preserve"> </w:t>
      </w:r>
    </w:p>
  </w:footnote>
  <w:footnote w:id="14">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"https://www.legislation.gov.uk/ukpga/2021/11/part/3" </w:instrText>
      </w:r>
      <w:r>
        <w:fldChar w:fldCharType="separate"/>
      </w:r>
      <w:r>
        <w:rPr>
          <w:color w:val="1155CC"/>
          <w:sz w:val="20"/>
          <w:szCs w:val="20"/>
          <w:u w:val="single"/>
        </w:rPr>
        <w:t>Counter-Terrorism and Sentencing Act 2021</w:t>
      </w:r>
      <w:r>
        <w:fldChar w:fldCharType="end"/>
      </w:r>
      <w:r>
        <w:rPr>
          <w:sz w:val="20"/>
          <w:szCs w:val="20"/>
        </w:rPr>
        <w:t xml:space="preserve"> </w:t>
      </w:r>
    </w:p>
  </w:footnote>
  <w:footnote w:id="15">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"https://www.theguardian.com/uk-news/2022/mar/25/home-office-illegally-seized-asylum-seekers-phones" </w:instrText>
      </w:r>
      <w:r>
        <w:fldChar w:fldCharType="separate"/>
      </w:r>
      <w:r>
        <w:rPr>
          <w:color w:val="1155CC"/>
          <w:sz w:val="20"/>
          <w:szCs w:val="20"/>
          <w:u w:val="single"/>
        </w:rPr>
        <w:t>Home Office illegally seized phones of 2,000 asylum seekers, court rules</w:t>
      </w:r>
      <w:r>
        <w:fldChar w:fldCharType="end"/>
      </w:r>
      <w:r>
        <w:rPr>
          <w:sz w:val="20"/>
          <w:szCs w:val="20"/>
        </w:rPr>
        <w:t xml:space="preserve"> </w:t>
      </w:r>
    </w:p>
  </w:footnote>
  <w:footnote w:id="16">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"https://wearesolomon.com/mag/focus-area/migration/invisible-walls-how-ai-tech-at-europes-borders-threatens-people-seeking-refuge/" </w:instrText>
      </w:r>
      <w:r>
        <w:fldChar w:fldCharType="separate"/>
      </w:r>
      <w:r>
        <w:rPr>
          <w:color w:val="1155CC"/>
          <w:sz w:val="20"/>
          <w:szCs w:val="20"/>
          <w:u w:val="single"/>
        </w:rPr>
        <w:t>Invisible Walls: How AI Tech at Europe's Borders Threatens People Seeking Refuge - Solomon</w:t>
      </w:r>
      <w:r>
        <w:fldChar w:fldCharType="end"/>
      </w:r>
      <w:r>
        <w:rPr>
          <w:sz w:val="20"/>
          <w:szCs w:val="20"/>
        </w:rPr>
        <w:t xml:space="preserve"> </w:t>
      </w:r>
    </w:p>
  </w:footnote>
  <w:footnote w:id="17">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"https://help.unhcr.org/uk/asylum/" </w:instrText>
      </w:r>
      <w:r>
        <w:fldChar w:fldCharType="separate"/>
      </w:r>
      <w:r>
        <w:rPr>
          <w:color w:val="1155CC"/>
          <w:sz w:val="20"/>
          <w:szCs w:val="20"/>
          <w:u w:val="single"/>
        </w:rPr>
        <w:t>Asylum in the United Kingdom</w:t>
      </w:r>
      <w:r>
        <w:fldChar w:fldCharType="end"/>
      </w:r>
      <w:r>
        <w:rPr>
          <w:sz w:val="20"/>
          <w:szCs w:val="20"/>
        </w:rPr>
        <w:t xml:space="preserve">, UNHCR </w:t>
      </w:r>
    </w:p>
  </w:footnote>
  <w:footnote w:id="18">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"https://commonslibrary.parliament.uk/research-briefings/cbp-9630/" </w:instrText>
      </w:r>
      <w:r>
        <w:fldChar w:fldCharType="separate"/>
      </w:r>
      <w:r>
        <w:rPr>
          <w:color w:val="1155CC"/>
          <w:sz w:val="20"/>
          <w:szCs w:val="20"/>
          <w:u w:val="single"/>
        </w:rPr>
        <w:t>Safe and legal humanitarian routes to the UK - House of Commons Library</w:t>
      </w:r>
      <w:r>
        <w:fldChar w:fldCharType="end"/>
      </w:r>
      <w:r>
        <w:rPr>
          <w:sz w:val="20"/>
          <w:szCs w:val="20"/>
        </w:rPr>
        <w:t xml:space="preserve"> </w:t>
      </w:r>
    </w:p>
  </w:footnote>
  <w:footnote w:id="19">
    <w:p w:rsidR="00890E11">
      <w:pPr>
        <w:spacing w:line="240" w:lineRule="auto"/>
        <w:rPr>
          <w:sz w:val="20"/>
          <w:szCs w:val="20"/>
        </w:rPr>
      </w:pPr>
      <w:r>
        <w:rPr>
          <w:vertAlign w:val="superscript"/>
        </w:rPr>
        <w:footnoteRef/>
      </w:r>
      <w:r>
        <w:fldChar w:fldCharType="begin"/>
      </w:r>
      <w:r>
        <w:instrText xml:space="preserve"> HYPERLINK "https://www.gov.uk/government/publications/migrants-detected-crossing-the-english-channel-in-small-boats" </w:instrText>
      </w:r>
      <w:r>
        <w:fldChar w:fldCharType="separate"/>
      </w:r>
      <w:r>
        <w:rPr>
          <w:color w:val="1155CC"/>
          <w:sz w:val="20"/>
          <w:szCs w:val="20"/>
          <w:u w:val="single"/>
        </w:rPr>
        <w:t xml:space="preserve"> Small boat activity in the English Channel,</w:t>
      </w:r>
      <w:r>
        <w:fldChar w:fldCharType="end"/>
      </w:r>
      <w:r>
        <w:rPr>
          <w:sz w:val="20"/>
          <w:szCs w:val="20"/>
        </w:rPr>
        <w:t xml:space="preserve"> GOV.UK [Accessed 20 March 2025]</w:t>
      </w:r>
    </w:p>
  </w:footnote>
  <w:footnote w:id="20">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"https://calaismigrantsolidarity.wordpress.com/deaths-at-the-calais-border/" </w:instrText>
      </w:r>
      <w:r>
        <w:fldChar w:fldCharType="separate"/>
      </w:r>
      <w:r>
        <w:rPr>
          <w:color w:val="1155CC"/>
          <w:sz w:val="20"/>
          <w:szCs w:val="20"/>
          <w:u w:val="single"/>
        </w:rPr>
        <w:t xml:space="preserve">Deaths at the Calais Border. </w:t>
      </w:r>
      <w:r>
        <w:fldChar w:fldCharType="end"/>
      </w:r>
      <w:r>
        <w:rPr>
          <w:sz w:val="20"/>
          <w:szCs w:val="20"/>
        </w:rPr>
        <w:t>Calais Migrant Solidary [Accessed 20 March 2025]</w:t>
      </w:r>
    </w:p>
  </w:footnote>
  <w:footnote w:id="21">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"https://www.ohchr.org/en/instruments-mechanisms/instruments/protocol-relating-status-refugees#:~:text=agreed%20as%20follows:-,Article%201%20%2D%20General%20provision,also%20under%20the%20present%20Protocol." </w:instrText>
      </w:r>
      <w:r>
        <w:fldChar w:fldCharType="separate"/>
      </w:r>
      <w:r>
        <w:rPr>
          <w:color w:val="1155CC"/>
          <w:sz w:val="20"/>
          <w:szCs w:val="20"/>
          <w:highlight w:val="white"/>
          <w:u w:val="single"/>
        </w:rPr>
        <w:t>Article 1 of the 1951 Refugee Convention</w:t>
      </w:r>
      <w:r>
        <w:fldChar w:fldCharType="end"/>
      </w:r>
      <w:r>
        <w:rPr>
          <w:color w:val="001D35"/>
          <w:sz w:val="20"/>
          <w:szCs w:val="20"/>
          <w:highlight w:val="white"/>
        </w:rPr>
        <w:t xml:space="preserve"> </w:t>
      </w:r>
      <w:r>
        <w:rPr>
          <w:sz w:val="20"/>
          <w:szCs w:val="20"/>
        </w:rPr>
        <w:t>defines a refugee as someone who, owing to a well-founded fear of persecution, is outside their country of nationality and is unable or unwilling to return due to that fear, or who, not having a nationality, is outside their former habitual residence and is unable or unwilling to return</w:t>
      </w:r>
    </w:p>
  </w:footnote>
  <w:footnote w:id="22">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"https://www.unhcr.org/sites/default/files/legacy-pdf/3bcfdf164.pdf" </w:instrText>
      </w:r>
      <w:r>
        <w:fldChar w:fldCharType="separate"/>
      </w:r>
      <w:r>
        <w:rPr>
          <w:color w:val="1155CC"/>
          <w:sz w:val="20"/>
          <w:szCs w:val="20"/>
          <w:u w:val="single"/>
        </w:rPr>
        <w:t>Article 31 of the 1951 Convention relating to the Status of Refugees: Non-penalization, Detention and Protection</w:t>
      </w:r>
      <w:r>
        <w:fldChar w:fldCharType="end"/>
      </w:r>
      <w:r>
        <w:rPr>
          <w:sz w:val="20"/>
          <w:szCs w:val="20"/>
        </w:rPr>
        <w:t xml:space="preserve"> </w:t>
      </w:r>
    </w:p>
  </w:footnote>
  <w:footnote w:id="23">
    <w:p w:rsidR="00890E11">
      <w:pPr>
        <w:spacing w:line="240" w:lineRule="auto"/>
        <w:rPr>
          <w:sz w:val="20"/>
          <w:szCs w:val="20"/>
        </w:rPr>
      </w:pPr>
      <w:r>
        <w:rPr>
          <w:vertAlign w:val="superscript"/>
        </w:rPr>
        <w:footnoteRef/>
      </w:r>
      <w:r>
        <w:rPr>
          <w:sz w:val="20"/>
          <w:szCs w:val="20"/>
        </w:rPr>
        <w:t xml:space="preserve"> </w:t>
      </w:r>
      <w:r>
        <w:fldChar w:fldCharType="begin"/>
      </w:r>
      <w:r>
        <w:instrText xml:space="preserve"> HYPERLINK "https://www.unhcr.org/news/briefing-notes/unhcr-issues-latest-guidance-against-penalization-asylum-seekers-irregular#:~:text=Under%20Article%2031%20of%20the%20Refugee%20Convention%2C,country%20irregularly%2C%20if%20they%20meet%20certain%20requirements.&amp;text=The%20Refugee%20Convention%20states%20that%20refugees%20cannot,%E2%80%9Cpromptness%E2%80%9D%20and%20the%20showing%20of%20%E2%80%9Cgood%20cause%E2%80%9D" </w:instrText>
      </w:r>
      <w:r>
        <w:fldChar w:fldCharType="separate"/>
      </w:r>
      <w:r>
        <w:rPr>
          <w:color w:val="1155CC"/>
          <w:sz w:val="20"/>
          <w:szCs w:val="20"/>
          <w:u w:val="single"/>
        </w:rPr>
        <w:t>UNHCR issues latest guidance against penalization of asylum-seekers for irregular entry</w:t>
      </w:r>
      <w:r>
        <w:fldChar w:fldCharType="end"/>
      </w:r>
      <w:r>
        <w:rPr>
          <w:sz w:val="20"/>
          <w:szCs w:val="20"/>
        </w:rPr>
        <w:t xml:space="preserve">, UNHCR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000001"/>
    <w:multiLevelType w:val="hybridMultilevel"/>
    <w:tmpl w:val="00000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nsid w:val="00000002"/>
    <w:multiLevelType w:val="hybridMultilevel"/>
    <w:tmpl w:val="00000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nsid w:val="00000003"/>
    <w:multiLevelType w:val="hybridMultilevel"/>
    <w:tmpl w:val="00000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
    <w:nsid w:val="00000004"/>
    <w:multiLevelType w:val="hybridMultilevel"/>
    <w:tmpl w:val="0000000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00000005"/>
    <w:multiLevelType w:val="hybridMultilevel"/>
    <w:tmpl w:val="0000000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TrueTypeFonts/>
  <w:proofState w:spelling="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B77B5"/>
  </w:style>
  <w:style w:type="paragraph" w:styleId="Heading1">
    <w:name w:val="heading 1"/>
    <w:basedOn w:val="Normal1"/>
    <w:next w:val="Normal1"/>
    <w:pPr>
      <w:keepNext/>
      <w:keepLines/>
      <w:spacing w:before="400" w:after="120" w:line="240" w:lineRule="auto"/>
      <w:outlineLvl w:val="0"/>
    </w:pPr>
    <w:rPr>
      <w:sz w:val="40"/>
      <w:szCs w:val="40"/>
    </w:rPr>
  </w:style>
  <w:style w:type="paragraph" w:styleId="Heading2">
    <w:name w:val="heading 2"/>
    <w:basedOn w:val="Normal1"/>
    <w:next w:val="Normal1"/>
    <w:pPr>
      <w:keepNext/>
      <w:keepLines/>
      <w:spacing w:before="360" w:after="120" w:line="240" w:lineRule="auto"/>
      <w:outlineLvl w:val="1"/>
    </w:pPr>
    <w:rPr>
      <w:sz w:val="32"/>
      <w:szCs w:val="32"/>
    </w:rPr>
  </w:style>
  <w:style w:type="paragraph" w:styleId="Heading3">
    <w:name w:val="heading 3"/>
    <w:basedOn w:val="Normal1"/>
    <w:next w:val="Normal1"/>
    <w:pPr>
      <w:keepNext/>
      <w:keepLines/>
      <w:spacing w:before="320" w:after="80" w:line="240" w:lineRule="auto"/>
      <w:outlineLvl w:val="2"/>
    </w:pPr>
    <w:rPr>
      <w:color w:val="434343"/>
      <w:sz w:val="28"/>
      <w:szCs w:val="28"/>
    </w:rPr>
  </w:style>
  <w:style w:type="paragraph" w:styleId="Heading4">
    <w:name w:val="heading 4"/>
    <w:basedOn w:val="Normal1"/>
    <w:next w:val="Normal1"/>
    <w:pPr>
      <w:keepNext/>
      <w:keepLines/>
      <w:spacing w:before="280" w:after="80" w:line="240" w:lineRule="auto"/>
      <w:outlineLvl w:val="3"/>
    </w:pPr>
    <w:rPr>
      <w:color w:val="666666"/>
      <w:sz w:val="24"/>
      <w:szCs w:val="24"/>
    </w:rPr>
  </w:style>
  <w:style w:type="paragraph" w:styleId="Heading5">
    <w:name w:val="heading 5"/>
    <w:basedOn w:val="Normal1"/>
    <w:next w:val="Normal1"/>
    <w:pPr>
      <w:keepNext/>
      <w:keepLines/>
      <w:spacing w:before="240" w:after="80" w:line="240" w:lineRule="auto"/>
      <w:outlineLvl w:val="4"/>
    </w:pPr>
    <w:rPr>
      <w:color w:val="666666"/>
    </w:rPr>
  </w:style>
  <w:style w:type="paragraph" w:styleId="Heading6">
    <w:name w:val="heading 6"/>
    <w:basedOn w:val="Normal1"/>
    <w:next w:val="Normal1"/>
    <w:pPr>
      <w:keepNext/>
      <w:keepLines/>
      <w:spacing w:before="240" w:after="80" w:line="240" w:lineRule="auto"/>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style>
  <w:style w:type="table" w:customStyle="1" w:styleId="TableNormal1">
    <w:name w:val="Table Normal1"/>
    <w:tblPr>
      <w:tblCellMar>
        <w:top w:w="0" w:type="dxa"/>
        <w:left w:w="0" w:type="dxa"/>
        <w:bottom w:w="0" w:type="dxa"/>
        <w:right w:w="0" w:type="dxa"/>
      </w:tblCellMar>
    </w:tblPr>
  </w:style>
  <w:style w:type="paragraph" w:styleId="Title">
    <w:name w:val="Title"/>
    <w:basedOn w:val="Normal1"/>
    <w:next w:val="Normal1"/>
    <w:pPr>
      <w:keepNext/>
      <w:keepLines/>
      <w:spacing w:after="60" w:line="240" w:lineRule="auto"/>
    </w:pPr>
    <w:rPr>
      <w:sz w:val="52"/>
      <w:szCs w:val="52"/>
    </w:rPr>
  </w:style>
  <w:style w:type="paragraph" w:styleId="Subtitle">
    <w:name w:val="Subtitle"/>
    <w:basedOn w:val="Normal1"/>
    <w:next w:val="Normal1"/>
    <w:pPr>
      <w:keepNext/>
      <w:keepLines/>
      <w:spacing w:after="320" w:line="240" w:lineRule="auto"/>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fontTable.xml.rels>&#65279;<?xml version="1.0" encoding="utf-8" standalone="yes"?><Relationships xmlns="http://schemas.openxmlformats.org/package/2006/relationships"><Relationship Id="rId1" Type="http://schemas.openxmlformats.org/officeDocument/2006/relationships/font" Target="fonts/font1.odttf" /><Relationship Id="rId2" Type="http://schemas.openxmlformats.org/officeDocument/2006/relationships/font" Target="fonts/font2.odttf" /><Relationship Id="rId3" Type="http://schemas.openxmlformats.org/officeDocument/2006/relationships/font" Target="fonts/font3.odttf" /><Relationship Id="rId4" Type="http://schemas.openxmlformats.org/officeDocument/2006/relationships/font" Target="fonts/font4.odttf" /><Relationship Id="rId5" Type="http://schemas.openxmlformats.org/officeDocument/2006/relationships/font" Target="fonts/font5.odttf" /><Relationship Id="rId6" Type="http://schemas.openxmlformats.org/officeDocument/2006/relationships/font" Target="fonts/font6.odttf" /><Relationship Id="rId7" Type="http://schemas.openxmlformats.org/officeDocument/2006/relationships/font" Target="fonts/font7.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