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51D89" w:rsidRPr="001C6AAD" w:rsidP="00951D89">
      <w:pPr>
        <w:pStyle w:val="BodyA"/>
        <w:rPr>
          <w:rFonts w:ascii="Verdana" w:hAnsi="Verdana"/>
          <w:b/>
          <w:bCs/>
          <w:sz w:val="28"/>
          <w:szCs w:val="28"/>
        </w:rPr>
      </w:pPr>
      <w:r>
        <w:rPr>
          <w:rFonts w:ascii="Verdana" w:hAnsi="Verdana"/>
          <w:b/>
          <w:bCs/>
          <w:sz w:val="28"/>
          <w:szCs w:val="28"/>
        </w:rPr>
        <w:t>Professor Sarah Hall</w:t>
      </w:r>
      <w:r w:rsidRPr="001C6AAD">
        <w:rPr>
          <w:rFonts w:ascii="Verdana" w:hAnsi="Verdana"/>
          <w:b/>
          <w:bCs/>
          <w:sz w:val="28"/>
          <w:szCs w:val="28"/>
        </w:rPr>
        <w:t xml:space="preserve"> - Written Evidence (RES007</w:t>
      </w:r>
      <w:r>
        <w:rPr>
          <w:rFonts w:ascii="Verdana" w:hAnsi="Verdana"/>
          <w:b/>
          <w:bCs/>
          <w:sz w:val="28"/>
          <w:szCs w:val="28"/>
        </w:rPr>
        <w:t>7</w:t>
      </w:r>
      <w:r w:rsidRPr="001C6AAD">
        <w:rPr>
          <w:rFonts w:ascii="Verdana" w:hAnsi="Verdana"/>
          <w:b/>
          <w:bCs/>
          <w:sz w:val="28"/>
          <w:szCs w:val="28"/>
        </w:rPr>
        <w:t>)</w:t>
      </w:r>
    </w:p>
    <w:p w:rsidR="00951D89">
      <w:pPr>
        <w:rPr>
          <w:b/>
          <w:bCs/>
        </w:rPr>
      </w:pPr>
    </w:p>
    <w:p w:rsidR="005F046C" w:rsidRPr="00951D89">
      <w:pPr>
        <w:rPr>
          <w:rFonts w:ascii="Verdana" w:hAnsi="Verdana"/>
          <w:b/>
          <w:bCs/>
        </w:rPr>
      </w:pPr>
      <w:r w:rsidRPr="00951D89">
        <w:rPr>
          <w:rFonts w:ascii="Verdana" w:hAnsi="Verdana"/>
          <w:b/>
          <w:bCs/>
        </w:rPr>
        <w:t>Evidence on the UK-EU reset</w:t>
      </w:r>
    </w:p>
    <w:p w:rsidR="00ED66B1" w:rsidRPr="00951D89">
      <w:pPr>
        <w:rPr>
          <w:rFonts w:ascii="Verdana" w:hAnsi="Verdana"/>
          <w:b/>
          <w:bCs/>
        </w:rPr>
      </w:pPr>
    </w:p>
    <w:p w:rsidR="00ED66B1" w:rsidRPr="00951D89">
      <w:pPr>
        <w:rPr>
          <w:rFonts w:ascii="Verdana" w:hAnsi="Verdana"/>
        </w:rPr>
      </w:pPr>
      <w:r w:rsidRPr="00951D89">
        <w:rPr>
          <w:rFonts w:ascii="Verdana" w:hAnsi="Verdana"/>
        </w:rPr>
        <w:t>Professor Sarah Hall</w:t>
      </w:r>
    </w:p>
    <w:p w:rsidR="00ED66B1" w:rsidRPr="00951D89">
      <w:pPr>
        <w:rPr>
          <w:rFonts w:ascii="Verdana" w:hAnsi="Verdana"/>
        </w:rPr>
      </w:pPr>
      <w:r w:rsidRPr="00951D89">
        <w:rPr>
          <w:rFonts w:ascii="Verdana" w:hAnsi="Verdana"/>
        </w:rPr>
        <w:t>1931 Professor of Geography and deputy Director, UK in a Changing Europe.</w:t>
      </w:r>
    </w:p>
    <w:p w:rsidR="00B82726" w:rsidRPr="00951D89">
      <w:pPr>
        <w:rPr>
          <w:rFonts w:ascii="Verdana" w:hAnsi="Verdana"/>
        </w:rPr>
      </w:pPr>
    </w:p>
    <w:p w:rsidR="00B82726" w:rsidRPr="00951D89">
      <w:pPr>
        <w:rPr>
          <w:rFonts w:ascii="Verdana" w:hAnsi="Verdana"/>
        </w:rPr>
      </w:pPr>
      <w:r w:rsidRPr="00951D89">
        <w:rPr>
          <w:rFonts w:ascii="Verdana" w:hAnsi="Verdana"/>
        </w:rPr>
        <w:t>1 April 2025</w:t>
      </w:r>
    </w:p>
    <w:p w:rsidR="005F27E9" w:rsidRPr="00951D89">
      <w:pPr>
        <w:rPr>
          <w:rFonts w:ascii="Verdana" w:hAnsi="Verdana"/>
        </w:rPr>
      </w:pPr>
    </w:p>
    <w:p w:rsidR="005F27E9" w:rsidRPr="00951D89">
      <w:pPr>
        <w:rPr>
          <w:rFonts w:ascii="Verdana" w:hAnsi="Verdana"/>
        </w:rPr>
      </w:pPr>
      <w:r w:rsidRPr="00951D89">
        <w:rPr>
          <w:rFonts w:ascii="Verdana" w:hAnsi="Verdana"/>
        </w:rPr>
        <w:t>I am the 1931 Professor of Geography at the University of Cambridge and Deputy Director, of UK in a Changing Europe (UKICE). In this capacity, I focus on UK-EU relations in services, and financial services in particular. UKICE provides high quality, impartial evidence and analysis on UK-EU relations.</w:t>
      </w:r>
      <w:r w:rsidRPr="00951D89" w:rsidR="00223B97">
        <w:rPr>
          <w:rFonts w:ascii="Verdana" w:hAnsi="Verdana"/>
        </w:rPr>
        <w:t xml:space="preserve"> This evidence is provided in my academic capacity.</w:t>
      </w:r>
    </w:p>
    <w:p w:rsidR="005F27E9" w:rsidRPr="00951D89">
      <w:pPr>
        <w:rPr>
          <w:rFonts w:ascii="Verdana" w:hAnsi="Verdana"/>
        </w:rPr>
      </w:pPr>
    </w:p>
    <w:p w:rsidR="005F27E9" w:rsidRPr="00951D89">
      <w:pPr>
        <w:rPr>
          <w:rFonts w:ascii="Verdana" w:hAnsi="Verdana"/>
          <w:b/>
          <w:bCs/>
        </w:rPr>
      </w:pPr>
      <w:r w:rsidRPr="00951D89">
        <w:rPr>
          <w:rFonts w:ascii="Verdana" w:hAnsi="Verdana"/>
          <w:b/>
          <w:bCs/>
        </w:rPr>
        <w:t>Summary</w:t>
      </w:r>
    </w:p>
    <w:p w:rsidR="005F27E9" w:rsidRPr="00951D89">
      <w:pPr>
        <w:rPr>
          <w:rFonts w:ascii="Verdana" w:hAnsi="Verdana"/>
          <w:b/>
          <w:bCs/>
        </w:rPr>
      </w:pPr>
    </w:p>
    <w:p w:rsidR="00ED66B1" w:rsidRPr="00951D89" w:rsidP="00B82726">
      <w:pPr>
        <w:pStyle w:val="ListParagraph"/>
        <w:numPr>
          <w:ilvl w:val="0"/>
          <w:numId w:val="1"/>
        </w:numPr>
        <w:rPr>
          <w:rFonts w:ascii="Verdana" w:hAnsi="Verdana"/>
        </w:rPr>
      </w:pPr>
      <w:r w:rsidRPr="00951D89">
        <w:rPr>
          <w:rFonts w:ascii="Verdana" w:hAnsi="Verdana"/>
        </w:rPr>
        <w:t>This evidence focuses on the UK-EU reset as it relates to financial services. This relates to question 5</w:t>
      </w:r>
      <w:r w:rsidRPr="00951D89" w:rsidR="00B82726">
        <w:rPr>
          <w:rFonts w:ascii="Verdana" w:hAnsi="Verdana"/>
        </w:rPr>
        <w:t xml:space="preserve"> i</w:t>
      </w:r>
      <w:r w:rsidRPr="00951D89">
        <w:rPr>
          <w:rFonts w:ascii="Verdana" w:hAnsi="Verdana"/>
        </w:rPr>
        <w:t>n the Committee’s list of questions</w:t>
      </w:r>
      <w:r w:rsidRPr="00951D89" w:rsidR="00B82726">
        <w:rPr>
          <w:rFonts w:ascii="Verdana" w:hAnsi="Verdana"/>
        </w:rPr>
        <w:t xml:space="preserve">. The submission uses research evidence to make </w:t>
      </w:r>
      <w:r w:rsidRPr="00951D89" w:rsidR="00131218">
        <w:rPr>
          <w:rFonts w:ascii="Verdana" w:hAnsi="Verdana"/>
        </w:rPr>
        <w:t>four</w:t>
      </w:r>
      <w:r w:rsidRPr="00951D89" w:rsidR="00B82726">
        <w:rPr>
          <w:rFonts w:ascii="Verdana" w:hAnsi="Verdana"/>
        </w:rPr>
        <w:t xml:space="preserve"> key points that should be explored when considering the place of financial services within the reset:</w:t>
      </w:r>
    </w:p>
    <w:p w:rsidR="00B82726" w:rsidRPr="00951D89" w:rsidP="00B82726">
      <w:pPr>
        <w:rPr>
          <w:rFonts w:ascii="Verdana" w:hAnsi="Verdana"/>
        </w:rPr>
      </w:pPr>
    </w:p>
    <w:p w:rsidR="00B82726" w:rsidRPr="00951D89" w:rsidP="00B82726">
      <w:pPr>
        <w:pStyle w:val="ListParagraph"/>
        <w:numPr>
          <w:ilvl w:val="1"/>
          <w:numId w:val="2"/>
        </w:numPr>
        <w:rPr>
          <w:rFonts w:ascii="Verdana" w:hAnsi="Verdana"/>
        </w:rPr>
      </w:pPr>
      <w:r w:rsidRPr="00951D89">
        <w:rPr>
          <w:rFonts w:ascii="Verdana" w:hAnsi="Verdana"/>
        </w:rPr>
        <w:t>Financial services makes up around 9% of the UK’s economic output and hence remains a key contributor to the UK economy</w:t>
      </w:r>
      <w:r w:rsidRPr="00951D89" w:rsidR="00131218">
        <w:rPr>
          <w:rFonts w:ascii="Verdana" w:hAnsi="Verdana"/>
        </w:rPr>
        <w:t xml:space="preserve"> despite concerns that the sector could face a marked contraction following the UK’s departure from the EU. The sector is largely excluded from the TCA. However, the reset acts as an important </w:t>
      </w:r>
      <w:r w:rsidRPr="00951D89" w:rsidR="00131218">
        <w:rPr>
          <w:rFonts w:ascii="Verdana" w:hAnsi="Verdana"/>
          <w:b/>
          <w:bCs/>
        </w:rPr>
        <w:t xml:space="preserve">occasion </w:t>
      </w:r>
      <w:r w:rsidRPr="00951D89" w:rsidR="00131218">
        <w:rPr>
          <w:rFonts w:ascii="Verdana" w:hAnsi="Verdana"/>
        </w:rPr>
        <w:t>at which point the UK’s strategy for financial services post Brexit could helpfully be considered.</w:t>
      </w:r>
    </w:p>
    <w:p w:rsidR="00131218" w:rsidRPr="00951D89" w:rsidP="00131218">
      <w:pPr>
        <w:rPr>
          <w:rFonts w:ascii="Verdana" w:hAnsi="Verdana"/>
        </w:rPr>
      </w:pPr>
    </w:p>
    <w:p w:rsidR="00CF6300" w:rsidRPr="00951D89" w:rsidP="00553A57">
      <w:pPr>
        <w:pStyle w:val="ListParagraph"/>
        <w:numPr>
          <w:ilvl w:val="1"/>
          <w:numId w:val="2"/>
        </w:numPr>
        <w:autoSpaceDE w:val="0"/>
        <w:autoSpaceDN w:val="0"/>
        <w:adjustRightInd w:val="0"/>
        <w:spacing w:before="100"/>
        <w:ind w:right="-720"/>
        <w:rPr>
          <w:rFonts w:ascii="Verdana" w:hAnsi="Verdana" w:cs="Helvetica"/>
          <w:kern w:val="0"/>
        </w:rPr>
      </w:pPr>
      <w:r w:rsidRPr="00951D89">
        <w:rPr>
          <w:rFonts w:ascii="Verdana" w:hAnsi="Verdana"/>
          <w:b/>
          <w:bCs/>
        </w:rPr>
        <w:t xml:space="preserve">Market access </w:t>
      </w:r>
      <w:r w:rsidRPr="00951D89">
        <w:rPr>
          <w:rFonts w:ascii="Verdana" w:hAnsi="Verdana" w:cs="Helvetica"/>
          <w:kern w:val="0"/>
        </w:rPr>
        <w:t xml:space="preserve">The move from passporting to equivalence has reduced market access for UK based financial services firms because the EU has taken a much more restrictive approach to granting equivalence decisions for the UK compared to other third countries. There is one such equivalence decision, due to expire in June 2025 for the UK relating to clearing activities compared with 18 with the US. Whilst there are signs that the EU is beginning to reflect on its approach to equivalence which may be </w:t>
      </w:r>
      <w:r w:rsidRPr="00951D89" w:rsidR="00223B97">
        <w:rPr>
          <w:rFonts w:ascii="Verdana" w:hAnsi="Verdana" w:cs="Helvetica"/>
          <w:kern w:val="0"/>
        </w:rPr>
        <w:t>becoming more</w:t>
      </w:r>
      <w:r w:rsidRPr="00951D89">
        <w:rPr>
          <w:rFonts w:ascii="Verdana" w:hAnsi="Verdana" w:cs="Helvetica"/>
          <w:kern w:val="0"/>
        </w:rPr>
        <w:t xml:space="preserve"> liberal to the UK, it seems unlikely that seeking additional equivalence agreements is a likely way of improving market for access UK financial services firms, particularly because the sector has incurred costs in </w:t>
      </w:r>
      <w:r w:rsidRPr="00951D89" w:rsidR="00E32B76">
        <w:rPr>
          <w:rFonts w:ascii="Verdana" w:hAnsi="Verdana" w:cs="Helvetica"/>
          <w:kern w:val="0"/>
        </w:rPr>
        <w:t>adapting</w:t>
      </w:r>
      <w:r w:rsidRPr="00951D89">
        <w:rPr>
          <w:rFonts w:ascii="Verdana" w:hAnsi="Verdana" w:cs="Helvetica"/>
          <w:kern w:val="0"/>
        </w:rPr>
        <w:t xml:space="preserve"> to the current equivalence regime and hence is unlikely to want to incur further costs with future </w:t>
      </w:r>
      <w:r w:rsidRPr="00951D89">
        <w:rPr>
          <w:rFonts w:ascii="Verdana" w:hAnsi="Verdana" w:cs="Helvetica"/>
          <w:kern w:val="0"/>
        </w:rPr>
        <w:t>changes in equivalence determinations given that they are not a like for like replacement for passporting.</w:t>
      </w:r>
    </w:p>
    <w:p w:rsidR="00CF6300" w:rsidRPr="00951D89" w:rsidP="00CF6300">
      <w:pPr>
        <w:pStyle w:val="ListParagraph"/>
        <w:autoSpaceDE w:val="0"/>
        <w:autoSpaceDN w:val="0"/>
        <w:adjustRightInd w:val="0"/>
        <w:spacing w:before="100"/>
        <w:ind w:right="-720"/>
        <w:rPr>
          <w:rFonts w:ascii="Verdana" w:hAnsi="Verdana" w:cs="Helvetica"/>
          <w:kern w:val="0"/>
        </w:rPr>
      </w:pPr>
    </w:p>
    <w:p w:rsidR="00131218" w:rsidRPr="00951D89" w:rsidP="00CF6300">
      <w:pPr>
        <w:pStyle w:val="ListParagraph"/>
        <w:numPr>
          <w:ilvl w:val="0"/>
          <w:numId w:val="3"/>
        </w:numPr>
        <w:autoSpaceDE w:val="0"/>
        <w:autoSpaceDN w:val="0"/>
        <w:adjustRightInd w:val="0"/>
        <w:spacing w:before="100"/>
        <w:ind w:right="-720"/>
        <w:rPr>
          <w:rFonts w:ascii="Verdana" w:hAnsi="Verdana" w:cs="Times New Roman"/>
          <w:b/>
          <w:bCs/>
          <w:kern w:val="0"/>
        </w:rPr>
      </w:pPr>
      <w:r w:rsidRPr="00951D89">
        <w:rPr>
          <w:rFonts w:ascii="Verdana" w:hAnsi="Verdana" w:cs="Helvetica"/>
          <w:b/>
          <w:bCs/>
          <w:kern w:val="0"/>
        </w:rPr>
        <w:t xml:space="preserve">Financial services and mobility </w:t>
      </w:r>
      <w:r w:rsidRPr="00951D89">
        <w:rPr>
          <w:rFonts w:ascii="Verdana" w:hAnsi="Verdana" w:cs="Helvetica"/>
          <w:kern w:val="0"/>
        </w:rPr>
        <w:t>The Government has not set out precisely what form of MRPQ it would seek but its economic impact, particularly on financial services beyond audit is likely to be limited. This is partly because professional qualifications are not central to financial services. It would also not address the question of mobility and the ease with which individuals could travel to the EU from the UK for work purposes.</w:t>
      </w:r>
    </w:p>
    <w:p w:rsidR="00CF6300" w:rsidRPr="00951D89" w:rsidP="00CF6300">
      <w:pPr>
        <w:autoSpaceDE w:val="0"/>
        <w:autoSpaceDN w:val="0"/>
        <w:adjustRightInd w:val="0"/>
        <w:spacing w:before="100"/>
        <w:ind w:right="-720"/>
        <w:rPr>
          <w:rFonts w:ascii="Verdana" w:hAnsi="Verdana" w:cs="Times New Roman"/>
          <w:b/>
          <w:bCs/>
          <w:kern w:val="0"/>
        </w:rPr>
      </w:pPr>
    </w:p>
    <w:p w:rsidR="00CF6300" w:rsidRPr="00951D89" w:rsidP="00223B97">
      <w:pPr>
        <w:pStyle w:val="ListParagraph"/>
        <w:numPr>
          <w:ilvl w:val="0"/>
          <w:numId w:val="3"/>
        </w:numPr>
        <w:autoSpaceDE w:val="0"/>
        <w:autoSpaceDN w:val="0"/>
        <w:adjustRightInd w:val="0"/>
        <w:spacing w:before="100"/>
        <w:ind w:right="-720"/>
        <w:rPr>
          <w:rFonts w:ascii="Verdana" w:hAnsi="Verdana" w:cs="Times New Roman"/>
          <w:b/>
          <w:bCs/>
          <w:kern w:val="0"/>
        </w:rPr>
      </w:pPr>
      <w:r w:rsidRPr="00951D89">
        <w:rPr>
          <w:rFonts w:ascii="Verdana" w:hAnsi="Verdana" w:cs="Helvetica"/>
          <w:b/>
          <w:bCs/>
          <w:kern w:val="0"/>
        </w:rPr>
        <w:t xml:space="preserve">Financial services and regulatory dialogue </w:t>
      </w:r>
      <w:r w:rsidRPr="00951D89">
        <w:rPr>
          <w:rFonts w:ascii="Verdana" w:hAnsi="Verdana" w:cs="Helvetica"/>
          <w:kern w:val="0"/>
        </w:rPr>
        <w:t>Beyond specific policy changes, the reset could look to make better use of the Memorandum of Understanding (MoU) on financial services signed in 2023 as a vehicle to begin to develop closer regulatory dialogue.</w:t>
      </w:r>
      <w:r w:rsidRPr="00951D89" w:rsidR="00223B97">
        <w:rPr>
          <w:rFonts w:ascii="Verdana" w:hAnsi="Verdana" w:cs="Helvetica"/>
          <w:kern w:val="0"/>
        </w:rPr>
        <w:t xml:space="preserve"> </w:t>
      </w:r>
      <w:r w:rsidRPr="00951D89">
        <w:rPr>
          <w:rFonts w:ascii="Verdana" w:hAnsi="Verdana" w:cs="Helvetica"/>
          <w:kern w:val="0"/>
        </w:rPr>
        <w:t xml:space="preserve">A more radical approach to resetting UK-EU financial relations would involve aiming to replicate the Berne Financial Services Agreement signed by the UK and Switzerland in 2023. This is an innovate agreement using mutual recognition of each jurisdiction’s regulatory frameworks to facilitate market access. It is unlikely that this could be replicated between the UK and the EU, certainly in the short term. However, in the short term, focusing on regulatory relations and trust could </w:t>
      </w:r>
      <w:r w:rsidRPr="00951D89" w:rsidR="00223B97">
        <w:rPr>
          <w:rFonts w:ascii="Verdana" w:hAnsi="Verdana" w:cs="Helvetica"/>
          <w:kern w:val="0"/>
        </w:rPr>
        <w:t>serve</w:t>
      </w:r>
      <w:r w:rsidRPr="00951D89">
        <w:rPr>
          <w:rFonts w:ascii="Verdana" w:hAnsi="Verdana" w:cs="Helvetica"/>
          <w:kern w:val="0"/>
        </w:rPr>
        <w:t xml:space="preserve"> as a stepping stone towards a more </w:t>
      </w:r>
      <w:r w:rsidRPr="00951D89">
        <w:rPr>
          <w:rFonts w:ascii="Verdana" w:hAnsi="Verdana" w:cs="Arial"/>
          <w:color w:val="000000"/>
        </w:rPr>
        <w:t>substantive, and innovative regulatory reset for financial services.</w:t>
      </w:r>
    </w:p>
    <w:p w:rsidR="00131218" w:rsidRPr="00951D89">
      <w:pPr>
        <w:rPr>
          <w:rFonts w:ascii="Verdana" w:hAnsi="Verdana" w:cs="Arial"/>
          <w:color w:val="4D4D4D"/>
          <w:shd w:val="clear" w:color="auto" w:fill="F8F6FC"/>
        </w:rPr>
      </w:pPr>
    </w:p>
    <w:p w:rsidR="00131218" w:rsidRPr="00951D89" w:rsidP="00ED66B1">
      <w:pPr>
        <w:autoSpaceDE w:val="0"/>
        <w:autoSpaceDN w:val="0"/>
        <w:adjustRightInd w:val="0"/>
        <w:spacing w:before="100"/>
        <w:ind w:right="-720"/>
        <w:rPr>
          <w:rFonts w:ascii="Verdana" w:hAnsi="Verdana" w:cs="Helvetica"/>
          <w:b/>
          <w:bCs/>
          <w:kern w:val="0"/>
        </w:rPr>
      </w:pPr>
      <w:r w:rsidRPr="00951D89">
        <w:rPr>
          <w:rFonts w:ascii="Verdana" w:hAnsi="Verdana" w:cs="Helvetica"/>
          <w:b/>
          <w:bCs/>
          <w:kern w:val="0"/>
        </w:rPr>
        <w:t>The UK EU reset and financial services</w:t>
      </w:r>
    </w:p>
    <w:p w:rsidR="00131218" w:rsidRPr="00951D89" w:rsidP="00ED66B1">
      <w:pPr>
        <w:autoSpaceDE w:val="0"/>
        <w:autoSpaceDN w:val="0"/>
        <w:adjustRightInd w:val="0"/>
        <w:spacing w:before="100"/>
        <w:ind w:right="-720"/>
        <w:rPr>
          <w:rFonts w:ascii="Verdana" w:hAnsi="Verdana" w:cs="Helvetica"/>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Despite financial services dominating the United Kingdom’s (UK) political economy, contributing almost 9% of economic output</w:t>
      </w:r>
      <w:r w:rsidRPr="00951D89" w:rsidR="00E32B76">
        <w:rPr>
          <w:rFonts w:ascii="Verdana" w:hAnsi="Verdana" w:cs="Helvetica"/>
          <w:kern w:val="0"/>
        </w:rPr>
        <w:t>.</w:t>
      </w:r>
      <w:r w:rsidRPr="00951D89">
        <w:rPr>
          <w:rFonts w:ascii="Verdana" w:hAnsi="Verdana" w:cs="Helvetica"/>
          <w:kern w:val="0"/>
        </w:rPr>
        <w:t xml:space="preserve"> the sector was largely excluded from the Trade and Cooperation Agreement (TCA) between the UK and the European Union (EU), that sets out the trading terms post Brexit between the two parties. This led to concerns that the dominance of London as a leading financial centre could be threatened and hundreds of thousands of jobs could leave the City. </w:t>
      </w:r>
    </w:p>
    <w:p w:rsidR="00ED66B1" w:rsidRPr="00951D89" w:rsidP="00ED66B1">
      <w:pPr>
        <w:autoSpaceDE w:val="0"/>
        <w:autoSpaceDN w:val="0"/>
        <w:adjustRightInd w:val="0"/>
        <w:spacing w:before="100"/>
        <w:ind w:right="-720"/>
        <w:rPr>
          <w:rFonts w:ascii="Verdana" w:hAnsi="Verdana" w:cs="Helvetica"/>
          <w:kern w:val="0"/>
        </w:rPr>
      </w:pPr>
    </w:p>
    <w:p w:rsidR="002F0A05"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However, worst case scenarios for financial services post Brexit have not materialised with job losses estimated to be in the tens rather than hundreds of thousands</w:t>
      </w:r>
      <w:r w:rsidRPr="00951D89" w:rsidR="00E32B76">
        <w:rPr>
          <w:rFonts w:ascii="Verdana" w:hAnsi="Verdana" w:cs="Helvetica"/>
          <w:kern w:val="0"/>
        </w:rPr>
        <w:t>.</w:t>
      </w:r>
    </w:p>
    <w:p w:rsidR="002F0A05" w:rsidRPr="00951D89" w:rsidP="002F0A05">
      <w:pPr>
        <w:pStyle w:val="ListParagraph"/>
        <w:rPr>
          <w:rFonts w:ascii="Verdana" w:hAnsi="Verdana" w:cs="Helvetica"/>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 xml:space="preserve">Nevertheless, </w:t>
      </w:r>
      <w:r w:rsidRPr="00951D89">
        <w:rPr>
          <w:rFonts w:ascii="Verdana" w:hAnsi="Verdana" w:cs="Helvetica"/>
          <w:kern w:val="0"/>
        </w:rPr>
        <w:t>concerns continue to mount regarding the flatlining of growth in the sector since Brexit. This is seen most clearly in a marked decline in the number of companies choosing to list in London as tech companies in particular increasingly choose to list in New York</w:t>
      </w:r>
      <w:r w:rsidRPr="00951D89" w:rsidR="00E32B76">
        <w:rPr>
          <w:rFonts w:ascii="Verdana" w:hAnsi="Verdana" w:cs="Helvetica"/>
          <w:kern w:val="0"/>
        </w:rPr>
        <w:t>.</w:t>
      </w:r>
    </w:p>
    <w:p w:rsidR="00ED66B1" w:rsidRPr="00951D89" w:rsidP="00ED66B1">
      <w:pPr>
        <w:autoSpaceDE w:val="0"/>
        <w:autoSpaceDN w:val="0"/>
        <w:adjustRightInd w:val="0"/>
        <w:spacing w:before="100"/>
        <w:ind w:right="-720"/>
        <w:rPr>
          <w:rFonts w:ascii="Verdana" w:hAnsi="Verdana" w:cs="Helvetica"/>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As a result, it is not surprising that interest has turned to how the government’s EU reset might be used to enhance the growth and competitiveness of the UK’s financial services sector. Much has been made of the UK government’s self-styled ‘reset’ with UK-EU relations. However, beyond delivering a comprehensive security pact with the EU, it has been less clear on what might be contained within the reset. This is particularly true when it comes to trade because the government remains clear that the UK will not join the EU’s single market. As a result, the EU is clear that the integrity of the single market will not be compromised, and hence it will not be possible to ‘cherry pick’ elements of market access, such as those for financial services, that the UK may wish to pursue.</w:t>
      </w:r>
    </w:p>
    <w:p w:rsidR="00ED66B1" w:rsidRPr="00951D89" w:rsidP="00ED66B1">
      <w:pPr>
        <w:autoSpaceDE w:val="0"/>
        <w:autoSpaceDN w:val="0"/>
        <w:adjustRightInd w:val="0"/>
        <w:spacing w:before="100"/>
        <w:ind w:right="-720"/>
        <w:rPr>
          <w:rFonts w:ascii="Verdana" w:hAnsi="Verdana" w:cs="Helvetica"/>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That being said, and in the context of low economic growth, government ministers have begun to suggest that improving trade in financial services is something that they which to pursue as part of the wider reset. For example, Rachel Reeves spoke at a meeting of Eurozone finance ministers in Brussels in December 2024, setting out her argument that the government’s EU reset would bring economic benefits to both sides through “a closer economic relationship between the UK and the EU”.</w:t>
      </w:r>
      <w:r>
        <w:rPr>
          <w:rStyle w:val="FootnoteReference"/>
          <w:rFonts w:ascii="Verdana" w:hAnsi="Verdana" w:cs="Helvetica"/>
          <w:kern w:val="0"/>
        </w:rPr>
        <w:footnoteReference w:id="2"/>
      </w:r>
      <w:r w:rsidRPr="00951D89">
        <w:rPr>
          <w:rFonts w:ascii="Verdana" w:hAnsi="Verdana" w:cs="Helvetica"/>
          <w:kern w:val="0"/>
        </w:rPr>
        <w:t xml:space="preserve"> The former City minister, Tulip Siddiq made a similar statement in relation to financial services, arguing that the UK needs to have a “good relationship” with the EU if financial services are to grow</w:t>
      </w:r>
      <w:r w:rsidRPr="00951D89" w:rsidR="00E32B76">
        <w:rPr>
          <w:rFonts w:ascii="Verdana" w:hAnsi="Verdana" w:cs="Helvetica"/>
          <w:kern w:val="0"/>
        </w:rPr>
        <w:t>.</w:t>
      </w:r>
      <w:r>
        <w:rPr>
          <w:rStyle w:val="FootnoteReference"/>
          <w:rFonts w:ascii="Verdana" w:hAnsi="Verdana" w:cs="Helvetica"/>
          <w:kern w:val="0"/>
        </w:rPr>
        <w:footnoteReference w:id="3"/>
      </w:r>
    </w:p>
    <w:p w:rsidR="00ED66B1" w:rsidRPr="00951D89" w:rsidP="00ED66B1">
      <w:pPr>
        <w:autoSpaceDE w:val="0"/>
        <w:autoSpaceDN w:val="0"/>
        <w:adjustRightInd w:val="0"/>
        <w:spacing w:before="100"/>
        <w:ind w:right="-720"/>
        <w:rPr>
          <w:rFonts w:ascii="Verdana" w:hAnsi="Verdana" w:cs="Helvetica"/>
          <w:kern w:val="0"/>
        </w:rPr>
      </w:pPr>
    </w:p>
    <w:p w:rsidR="00ED66B1" w:rsidRPr="00951D89" w:rsidP="002F0A05">
      <w:pPr>
        <w:pStyle w:val="ListParagraph"/>
        <w:numPr>
          <w:ilvl w:val="0"/>
          <w:numId w:val="2"/>
        </w:numPr>
        <w:rPr>
          <w:rFonts w:ascii="Verdana" w:hAnsi="Verdana" w:cs="Helvetica"/>
          <w:kern w:val="0"/>
        </w:rPr>
      </w:pPr>
      <w:r w:rsidRPr="00951D89">
        <w:rPr>
          <w:rFonts w:ascii="Verdana" w:hAnsi="Verdana" w:cs="Helvetica"/>
          <w:kern w:val="0"/>
        </w:rPr>
        <w:t>I</w:t>
      </w:r>
      <w:r w:rsidRPr="00951D89">
        <w:rPr>
          <w:rFonts w:ascii="Verdana" w:hAnsi="Verdana" w:cs="Helvetica"/>
          <w:kern w:val="0"/>
        </w:rPr>
        <w:t xml:space="preserve">mproving UK-EU relations are a </w:t>
      </w:r>
      <w:r w:rsidRPr="00951D89">
        <w:rPr>
          <w:rFonts w:ascii="Verdana" w:hAnsi="Verdana" w:cs="Helvetica"/>
          <w:b/>
          <w:bCs/>
          <w:kern w:val="0"/>
        </w:rPr>
        <w:t>necessary, but not sufficient condition</w:t>
      </w:r>
      <w:r w:rsidRPr="00951D89">
        <w:rPr>
          <w:rFonts w:ascii="Verdana" w:hAnsi="Verdana" w:cs="Helvetica"/>
          <w:kern w:val="0"/>
        </w:rPr>
        <w:t xml:space="preserve"> for the maximum value of the reset to be extracted for financial services. And currently, there is a lack of clarity on how financial services may be supported, if at all, through the ‘reset’. This comes despite the Government setting out a ‘plan for financial services’ as part of a wider strategy of prioritise economic growth when in opposition</w:t>
      </w:r>
      <w:r w:rsidRPr="00951D89" w:rsidR="00E32B76">
        <w:rPr>
          <w:rFonts w:ascii="Verdana" w:hAnsi="Verdana" w:cs="Helvetica"/>
          <w:kern w:val="0"/>
        </w:rPr>
        <w:t>.</w:t>
      </w:r>
      <w:r>
        <w:rPr>
          <w:rStyle w:val="FootnoteReference"/>
          <w:rFonts w:ascii="Verdana" w:hAnsi="Verdana" w:cs="Helvetica"/>
          <w:kern w:val="0"/>
        </w:rPr>
        <w:footnoteReference w:id="4"/>
      </w:r>
    </w:p>
    <w:p w:rsidR="00ED66B1" w:rsidRPr="00951D89" w:rsidP="00ED66B1">
      <w:pPr>
        <w:rPr>
          <w:rFonts w:ascii="Verdana" w:hAnsi="Verdana" w:cs="Helvetica"/>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Financial services are not tied into the security pact and the TCA does not make provisions for the sector, although it has established a regulatory dialogue discuss</w:t>
      </w:r>
      <w:r w:rsidRPr="00951D89" w:rsidR="002F0A05">
        <w:rPr>
          <w:rFonts w:ascii="Verdana" w:hAnsi="Verdana" w:cs="Helvetica"/>
          <w:kern w:val="0"/>
        </w:rPr>
        <w:t>ed</w:t>
      </w:r>
      <w:r w:rsidRPr="00951D89">
        <w:rPr>
          <w:rFonts w:ascii="Verdana" w:hAnsi="Verdana" w:cs="Helvetica"/>
          <w:kern w:val="0"/>
        </w:rPr>
        <w:t xml:space="preserve"> below. So it is in more general discussions of a reset in UK-EU relations following the 2024 U</w:t>
      </w:r>
      <w:r w:rsidRPr="00951D89" w:rsidR="00223B97">
        <w:rPr>
          <w:rFonts w:ascii="Verdana" w:hAnsi="Verdana" w:cs="Helvetica"/>
          <w:kern w:val="0"/>
        </w:rPr>
        <w:t>K</w:t>
      </w:r>
      <w:r w:rsidRPr="00951D89">
        <w:rPr>
          <w:rFonts w:ascii="Verdana" w:hAnsi="Verdana" w:cs="Helvetica"/>
          <w:kern w:val="0"/>
        </w:rPr>
        <w:t xml:space="preserve"> election, of which the TCA review </w:t>
      </w:r>
      <w:r w:rsidRPr="00951D89">
        <w:rPr>
          <w:rFonts w:ascii="Verdana" w:hAnsi="Verdana" w:cs="Helvetica"/>
          <w:kern w:val="0"/>
        </w:rPr>
        <w:t>and plans for a security pact are a part, that UK financial services trade between the UK and the EU is being discussed.</w:t>
      </w:r>
    </w:p>
    <w:p w:rsidR="00ED66B1" w:rsidRPr="00951D89" w:rsidP="00ED66B1">
      <w:pPr>
        <w:autoSpaceDE w:val="0"/>
        <w:autoSpaceDN w:val="0"/>
        <w:adjustRightInd w:val="0"/>
        <w:spacing w:before="100"/>
        <w:ind w:right="-720"/>
        <w:rPr>
          <w:rFonts w:ascii="Verdana" w:hAnsi="Verdana" w:cs="Helvetica"/>
          <w:kern w:val="0"/>
        </w:rPr>
      </w:pPr>
    </w:p>
    <w:p w:rsidR="00ED66B1" w:rsidRPr="00951D89" w:rsidP="00ED66B1">
      <w:pPr>
        <w:autoSpaceDE w:val="0"/>
        <w:autoSpaceDN w:val="0"/>
        <w:adjustRightInd w:val="0"/>
        <w:spacing w:before="100"/>
        <w:ind w:right="-720"/>
        <w:rPr>
          <w:rFonts w:ascii="Verdana" w:hAnsi="Verdana" w:cs="Times New Roman"/>
          <w:kern w:val="0"/>
        </w:rPr>
      </w:pPr>
      <w:r w:rsidRPr="00951D89">
        <w:rPr>
          <w:rFonts w:ascii="Verdana" w:hAnsi="Verdana" w:cs="Helvetica"/>
          <w:b/>
          <w:bCs/>
          <w:kern w:val="0"/>
        </w:rPr>
        <w:t>The UK-EU reset in financial services</w:t>
      </w:r>
    </w:p>
    <w:p w:rsidR="00ED66B1" w:rsidRPr="00951D89" w:rsidP="00ED66B1">
      <w:pPr>
        <w:autoSpaceDE w:val="0"/>
        <w:autoSpaceDN w:val="0"/>
        <w:adjustRightInd w:val="0"/>
        <w:spacing w:before="100"/>
        <w:ind w:right="-720"/>
        <w:rPr>
          <w:rFonts w:ascii="Verdana" w:hAnsi="Verdana" w:cs="Times New Roman"/>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There are three main areas in which a UK-EU reset is being discussed in financial services: market access, mobility and regulatory dialogue. These are discussed in turn below.</w:t>
      </w:r>
    </w:p>
    <w:p w:rsidR="00ED66B1" w:rsidRPr="00951D89" w:rsidP="00ED66B1">
      <w:pPr>
        <w:autoSpaceDE w:val="0"/>
        <w:autoSpaceDN w:val="0"/>
        <w:adjustRightInd w:val="0"/>
        <w:spacing w:before="100"/>
        <w:ind w:right="-720"/>
        <w:rPr>
          <w:rFonts w:ascii="Verdana" w:hAnsi="Verdana" w:cs="Helvetica"/>
          <w:kern w:val="0"/>
        </w:rPr>
      </w:pPr>
    </w:p>
    <w:p w:rsidR="00ED66B1" w:rsidRPr="00951D89" w:rsidP="00ED66B1">
      <w:pPr>
        <w:autoSpaceDE w:val="0"/>
        <w:autoSpaceDN w:val="0"/>
        <w:adjustRightInd w:val="0"/>
        <w:spacing w:before="100"/>
        <w:ind w:right="-720"/>
        <w:rPr>
          <w:rFonts w:ascii="Verdana" w:hAnsi="Verdana" w:cs="Times New Roman"/>
          <w:kern w:val="0"/>
        </w:rPr>
      </w:pPr>
      <w:r w:rsidRPr="00951D89">
        <w:rPr>
          <w:rFonts w:ascii="Verdana" w:hAnsi="Verdana" w:cs="Helvetica"/>
          <w:i/>
          <w:iCs/>
          <w:kern w:val="0"/>
        </w:rPr>
        <w:t>Market access</w:t>
      </w:r>
    </w:p>
    <w:p w:rsidR="00ED66B1" w:rsidRPr="00951D89" w:rsidP="00ED66B1">
      <w:pPr>
        <w:autoSpaceDE w:val="0"/>
        <w:autoSpaceDN w:val="0"/>
        <w:adjustRightInd w:val="0"/>
        <w:spacing w:before="100"/>
        <w:ind w:right="-720"/>
        <w:rPr>
          <w:rFonts w:ascii="Verdana" w:hAnsi="Verdana" w:cs="Times New Roman"/>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 xml:space="preserve">Market access is perhaps the area that has changed most because of Brexit for UK financial services. Whilst the UK was an EU member state, UK financial services could sell their services into the EU through passporting arrangements. This meant that a financial services office in London could serve clients in all other member states without the need for further authorisations and clearances. It was on this basis that the City of London attracted the European headquarter location of many international and particularly US banks during the period of UK EU membership. By locating in </w:t>
      </w:r>
      <w:r w:rsidRPr="00951D89" w:rsidR="00223B97">
        <w:rPr>
          <w:rFonts w:ascii="Verdana" w:hAnsi="Verdana" w:cs="Helvetica"/>
          <w:kern w:val="0"/>
        </w:rPr>
        <w:t>London (and the UK more generally)</w:t>
      </w:r>
      <w:r w:rsidRPr="00951D89">
        <w:rPr>
          <w:rFonts w:ascii="Verdana" w:hAnsi="Verdana" w:cs="Helvetica"/>
          <w:kern w:val="0"/>
        </w:rPr>
        <w:t>, these institutions could take advantages of the greater market liquidity, highly educated labour market and favourable regulatory environment that is well documented to underpin the competitiveness of the City throughout its history whilst being able to sell services in the EU from this base</w:t>
      </w:r>
      <w:r w:rsidRPr="00951D89" w:rsidR="002F0A05">
        <w:rPr>
          <w:rFonts w:ascii="Verdana" w:hAnsi="Verdana" w:cs="Helvetica"/>
          <w:kern w:val="0"/>
        </w:rPr>
        <w:t>.</w:t>
      </w:r>
    </w:p>
    <w:p w:rsidR="00ED66B1" w:rsidRPr="00951D89" w:rsidP="00ED66B1">
      <w:pPr>
        <w:autoSpaceDE w:val="0"/>
        <w:autoSpaceDN w:val="0"/>
        <w:adjustRightInd w:val="0"/>
        <w:spacing w:before="100"/>
        <w:ind w:right="-720"/>
        <w:rPr>
          <w:rFonts w:ascii="Verdana" w:hAnsi="Verdana" w:cs="Helvetica"/>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 xml:space="preserve">When the UK left the EU, it made it clear relatively early on in the negotiations that it would not maintain single market access. As a result, the EU was clear that the UK would not be able to cherry pick parts of the single market, such as passporting in the case of financial services. As a result, passporting ended when the UK left the single market and market access at the time of writing is governed by equivalence decisions. </w:t>
      </w:r>
    </w:p>
    <w:p w:rsidR="00ED66B1" w:rsidRPr="00951D89" w:rsidP="00ED66B1">
      <w:pPr>
        <w:autoSpaceDE w:val="0"/>
        <w:autoSpaceDN w:val="0"/>
        <w:adjustRightInd w:val="0"/>
        <w:spacing w:before="100"/>
        <w:ind w:right="-720"/>
        <w:rPr>
          <w:rFonts w:ascii="Verdana" w:hAnsi="Verdana" w:cs="Helvetica"/>
          <w:kern w:val="0"/>
        </w:rPr>
      </w:pPr>
    </w:p>
    <w:p w:rsidR="002F0A05" w:rsidRPr="00951D89" w:rsidP="002F0A05">
      <w:pPr>
        <w:pStyle w:val="NormalWeb"/>
        <w:numPr>
          <w:ilvl w:val="0"/>
          <w:numId w:val="2"/>
        </w:numPr>
        <w:spacing w:before="0" w:beforeAutospacing="0" w:after="300" w:afterAutospacing="0"/>
        <w:rPr>
          <w:rFonts w:ascii="Verdana" w:hAnsi="Verdana" w:cs="Arial"/>
          <w:color w:val="000000"/>
        </w:rPr>
      </w:pPr>
      <w:r w:rsidRPr="00951D89">
        <w:rPr>
          <w:rFonts w:ascii="Verdana" w:hAnsi="Verdana" w:cs="Helvetica"/>
        </w:rPr>
        <w:t xml:space="preserve">Equivalence decisions are not a like for like replacement for passporting because they are not </w:t>
      </w:r>
      <w:r w:rsidRPr="00951D89" w:rsidR="00223B97">
        <w:rPr>
          <w:rFonts w:ascii="Verdana" w:hAnsi="Verdana" w:cs="Helvetica"/>
        </w:rPr>
        <w:t>permanent,</w:t>
      </w:r>
      <w:r w:rsidRPr="00951D89">
        <w:rPr>
          <w:rFonts w:ascii="Verdana" w:hAnsi="Verdana" w:cs="Helvetica"/>
        </w:rPr>
        <w:t xml:space="preserve"> and they do not cover all aspects of financial services. In particular</w:t>
      </w:r>
      <w:r w:rsidRPr="00951D89" w:rsidR="00223B97">
        <w:rPr>
          <w:rFonts w:ascii="Verdana" w:hAnsi="Verdana" w:cs="Helvetica"/>
        </w:rPr>
        <w:t>,</w:t>
      </w:r>
      <w:r w:rsidRPr="00951D89">
        <w:rPr>
          <w:rFonts w:ascii="Verdana" w:hAnsi="Verdana" w:cs="Helvetica"/>
        </w:rPr>
        <w:t xml:space="preserve"> retail financial services are largely excluded which has implications for UK towns and cities outside of London that have important concentrations of these activities. </w:t>
      </w:r>
    </w:p>
    <w:p w:rsidR="002F0A05" w:rsidRPr="00951D89" w:rsidP="002F0A05">
      <w:pPr>
        <w:pStyle w:val="ListParagraph"/>
        <w:rPr>
          <w:rFonts w:ascii="Verdana" w:hAnsi="Verdana" w:cs="Arial"/>
          <w:color w:val="000000"/>
        </w:rPr>
      </w:pPr>
    </w:p>
    <w:p w:rsidR="002F0A05" w:rsidRPr="00951D89" w:rsidP="002F0A05">
      <w:pPr>
        <w:pStyle w:val="NormalWeb"/>
        <w:numPr>
          <w:ilvl w:val="0"/>
          <w:numId w:val="2"/>
        </w:numPr>
        <w:spacing w:before="0" w:beforeAutospacing="0" w:after="300" w:afterAutospacing="0"/>
        <w:rPr>
          <w:rFonts w:ascii="Verdana" w:hAnsi="Verdana" w:cs="Arial"/>
          <w:color w:val="000000"/>
        </w:rPr>
      </w:pPr>
      <w:r w:rsidRPr="00951D89">
        <w:rPr>
          <w:rFonts w:ascii="Verdana" w:hAnsi="Verdana" w:cs="Arial"/>
          <w:color w:val="000000"/>
        </w:rPr>
        <w:t>The EU has taken a very</w:t>
      </w:r>
      <w:r w:rsidRPr="00951D89">
        <w:rPr>
          <w:rStyle w:val="apple-converted-space"/>
          <w:rFonts w:ascii="Verdana" w:hAnsi="Verdana" w:eastAsiaTheme="majorEastAsia" w:cs="Arial"/>
          <w:color w:val="000000"/>
        </w:rPr>
        <w:t> </w:t>
      </w:r>
      <w:r w:rsidRPr="00951D89">
        <w:rPr>
          <w:rFonts w:ascii="Verdana" w:hAnsi="Verdana" w:eastAsiaTheme="majorEastAsia" w:cs="Arial"/>
        </w:rPr>
        <w:t>restrictive</w:t>
      </w:r>
      <w:r w:rsidRPr="00951D89">
        <w:rPr>
          <w:rStyle w:val="apple-converted-space"/>
          <w:rFonts w:ascii="Verdana" w:hAnsi="Verdana" w:eastAsiaTheme="majorEastAsia" w:cs="Arial"/>
          <w:color w:val="000000"/>
        </w:rPr>
        <w:t> </w:t>
      </w:r>
      <w:r w:rsidRPr="00951D89">
        <w:rPr>
          <w:rFonts w:ascii="Verdana" w:hAnsi="Verdana" w:cs="Arial"/>
          <w:color w:val="000000"/>
        </w:rPr>
        <w:t xml:space="preserve">approach to equivalence, granting the UK only one decision relating to clearing activities, </w:t>
      </w:r>
      <w:r w:rsidRPr="00951D89">
        <w:rPr>
          <w:rFonts w:ascii="Verdana" w:hAnsi="Verdana" w:cs="Arial"/>
          <w:color w:val="000000"/>
        </w:rPr>
        <w:t>compared with 18 for the US.</w:t>
      </w:r>
      <w:r>
        <w:rPr>
          <w:rStyle w:val="FootnoteReference"/>
          <w:rFonts w:ascii="Verdana" w:hAnsi="Verdana" w:cs="Arial"/>
          <w:color w:val="000000"/>
        </w:rPr>
        <w:footnoteReference w:id="5"/>
      </w:r>
      <w:r w:rsidRPr="00951D89">
        <w:rPr>
          <w:rFonts w:ascii="Verdana" w:hAnsi="Verdana" w:cs="Arial"/>
          <w:color w:val="000000"/>
        </w:rPr>
        <w:t xml:space="preserve"> Until recently, the EU has been</w:t>
      </w:r>
      <w:r w:rsidRPr="00951D89">
        <w:rPr>
          <w:rStyle w:val="apple-converted-space"/>
          <w:rFonts w:ascii="Verdana" w:hAnsi="Verdana" w:eastAsiaTheme="majorEastAsia" w:cs="Arial"/>
          <w:color w:val="000000"/>
        </w:rPr>
        <w:t> </w:t>
      </w:r>
      <w:r w:rsidRPr="00951D89">
        <w:rPr>
          <w:rFonts w:ascii="Verdana" w:hAnsi="Verdana" w:eastAsiaTheme="majorEastAsia" w:cs="Arial"/>
        </w:rPr>
        <w:t>clear</w:t>
      </w:r>
      <w:r w:rsidRPr="00951D89">
        <w:rPr>
          <w:rStyle w:val="apple-converted-space"/>
          <w:rFonts w:ascii="Verdana" w:hAnsi="Verdana" w:eastAsiaTheme="majorEastAsia" w:cs="Arial"/>
          <w:color w:val="000000"/>
        </w:rPr>
        <w:t> </w:t>
      </w:r>
      <w:r w:rsidRPr="00951D89">
        <w:rPr>
          <w:rFonts w:ascii="Verdana" w:hAnsi="Verdana" w:cs="Arial"/>
          <w:color w:val="000000"/>
        </w:rPr>
        <w:t>that, having already extended the deadline of this clearing decision</w:t>
      </w:r>
      <w:r w:rsidRPr="00951D89">
        <w:rPr>
          <w:rStyle w:val="apple-converted-space"/>
          <w:rFonts w:ascii="Verdana" w:hAnsi="Verdana" w:eastAsiaTheme="majorEastAsia" w:cs="Arial"/>
          <w:color w:val="000000"/>
        </w:rPr>
        <w:t> </w:t>
      </w:r>
      <w:r w:rsidRPr="00951D89">
        <w:rPr>
          <w:rFonts w:ascii="Verdana" w:hAnsi="Verdana" w:eastAsiaTheme="majorEastAsia" w:cs="Arial"/>
        </w:rPr>
        <w:t>once</w:t>
      </w:r>
      <w:r w:rsidRPr="00951D89">
        <w:rPr>
          <w:rStyle w:val="apple-converted-space"/>
          <w:rFonts w:ascii="Verdana" w:hAnsi="Verdana" w:eastAsiaTheme="majorEastAsia" w:cs="Arial"/>
          <w:color w:val="000000"/>
        </w:rPr>
        <w:t> </w:t>
      </w:r>
      <w:r w:rsidRPr="00951D89">
        <w:rPr>
          <w:rFonts w:ascii="Verdana" w:hAnsi="Verdana" w:cs="Arial"/>
          <w:color w:val="000000"/>
        </w:rPr>
        <w:t>to June 2025, it would not do so again, instead focusing on building greater clearing capacity within the EU.</w:t>
      </w:r>
      <w:r>
        <w:rPr>
          <w:rStyle w:val="FootnoteReference"/>
          <w:rFonts w:ascii="Verdana" w:hAnsi="Verdana" w:cs="Arial"/>
          <w:color w:val="000000"/>
        </w:rPr>
        <w:footnoteReference w:id="6"/>
      </w:r>
    </w:p>
    <w:p w:rsidR="002F0A05"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Arial"/>
          <w:color w:val="000000"/>
        </w:rPr>
        <w:t>However, in January 202</w:t>
      </w:r>
      <w:r w:rsidRPr="00951D89" w:rsidR="00223B97">
        <w:rPr>
          <w:rFonts w:ascii="Verdana" w:hAnsi="Verdana" w:cs="Arial"/>
          <w:color w:val="000000"/>
        </w:rPr>
        <w:t>5</w:t>
      </w:r>
      <w:r w:rsidRPr="00951D89">
        <w:rPr>
          <w:rFonts w:ascii="Verdana" w:hAnsi="Verdana" w:cs="Arial"/>
          <w:color w:val="000000"/>
        </w:rPr>
        <w:t>, the EU signalled a marked change in approach by announcing</w:t>
      </w:r>
      <w:r w:rsidRPr="00951D89">
        <w:rPr>
          <w:rStyle w:val="apple-converted-space"/>
          <w:rFonts w:ascii="Verdana" w:hAnsi="Verdana" w:eastAsiaTheme="majorEastAsia" w:cs="Arial"/>
          <w:color w:val="000000"/>
        </w:rPr>
        <w:t> </w:t>
      </w:r>
      <w:r w:rsidRPr="00951D89">
        <w:rPr>
          <w:rFonts w:ascii="Verdana" w:hAnsi="Verdana" w:eastAsiaTheme="majorEastAsia" w:cs="Arial"/>
        </w:rPr>
        <w:t>proposals</w:t>
      </w:r>
      <w:r w:rsidRPr="00951D89">
        <w:rPr>
          <w:rStyle w:val="apple-converted-space"/>
          <w:rFonts w:ascii="Verdana" w:hAnsi="Verdana" w:eastAsiaTheme="majorEastAsia" w:cs="Arial"/>
          <w:color w:val="000000"/>
        </w:rPr>
        <w:t> </w:t>
      </w:r>
      <w:r w:rsidRPr="00951D89">
        <w:rPr>
          <w:rFonts w:ascii="Verdana" w:hAnsi="Verdana" w:cs="Arial"/>
          <w:color w:val="000000"/>
        </w:rPr>
        <w:t>to extend this equivalence decision until June 2028. </w:t>
      </w:r>
      <w:r>
        <w:rPr>
          <w:rStyle w:val="FootnoteReference"/>
          <w:rFonts w:ascii="Verdana" w:hAnsi="Verdana" w:cs="Arial"/>
          <w:color w:val="000000"/>
        </w:rPr>
        <w:footnoteReference w:id="7"/>
      </w:r>
      <w:r w:rsidRPr="00951D89">
        <w:rPr>
          <w:rFonts w:ascii="Verdana" w:hAnsi="Verdana" w:cs="Arial"/>
          <w:color w:val="000000"/>
        </w:rPr>
        <w:t xml:space="preserve"> This builds on</w:t>
      </w:r>
      <w:r w:rsidRPr="00951D89">
        <w:rPr>
          <w:rStyle w:val="apple-converted-space"/>
          <w:rFonts w:ascii="Verdana" w:hAnsi="Verdana" w:eastAsiaTheme="majorEastAsia" w:cs="Arial"/>
          <w:color w:val="000000"/>
        </w:rPr>
        <w:t> </w:t>
      </w:r>
      <w:r w:rsidRPr="00951D89">
        <w:rPr>
          <w:rFonts w:ascii="Verdana" w:hAnsi="Verdana" w:eastAsiaTheme="majorEastAsia" w:cs="Arial"/>
        </w:rPr>
        <w:t>plans</w:t>
      </w:r>
      <w:r w:rsidRPr="00951D89">
        <w:rPr>
          <w:rStyle w:val="apple-converted-space"/>
          <w:rFonts w:ascii="Verdana" w:hAnsi="Verdana" w:eastAsiaTheme="majorEastAsia" w:cs="Arial"/>
          <w:color w:val="000000"/>
        </w:rPr>
        <w:t> </w:t>
      </w:r>
      <w:r w:rsidRPr="00951D89">
        <w:rPr>
          <w:rFonts w:ascii="Verdana" w:hAnsi="Verdana" w:cs="Arial"/>
          <w:color w:val="000000"/>
        </w:rPr>
        <w:t>set out in early 2024 for more clearing activity to remain in London post-2025 than had been initially expected.</w:t>
      </w:r>
      <w:r>
        <w:rPr>
          <w:rStyle w:val="FootnoteReference"/>
          <w:rFonts w:ascii="Verdana" w:hAnsi="Verdana" w:cs="Arial"/>
          <w:color w:val="000000"/>
        </w:rPr>
        <w:footnoteReference w:id="8"/>
      </w:r>
      <w:r w:rsidRPr="00951D89">
        <w:rPr>
          <w:rFonts w:ascii="Verdana" w:hAnsi="Verdana" w:cs="Arial"/>
          <w:color w:val="000000"/>
        </w:rPr>
        <w:t xml:space="preserve"> These developments mark an acknowledgement that it will be very hard for the EU to rapidly replicate the size and liquidity of London’s capital markets. It also indicates that focusing on areas of financial services activity where there are clear economic rationales for closer UK-EU relations is likely to be the most productive approach in delivering a reset in UK-EU financial relations.</w:t>
      </w:r>
    </w:p>
    <w:p w:rsidR="002F0A05" w:rsidRPr="00951D89" w:rsidP="002F0A05">
      <w:pPr>
        <w:pStyle w:val="ListParagraph"/>
        <w:autoSpaceDE w:val="0"/>
        <w:autoSpaceDN w:val="0"/>
        <w:adjustRightInd w:val="0"/>
        <w:spacing w:before="100"/>
        <w:ind w:right="-720"/>
        <w:rPr>
          <w:rFonts w:ascii="Verdana" w:hAnsi="Verdana" w:cs="Helvetica"/>
          <w:kern w:val="0"/>
        </w:rPr>
      </w:pPr>
    </w:p>
    <w:p w:rsidR="00ED66B1" w:rsidRPr="00951D89" w:rsidP="002F0A05">
      <w:pPr>
        <w:autoSpaceDE w:val="0"/>
        <w:autoSpaceDN w:val="0"/>
        <w:adjustRightInd w:val="0"/>
        <w:spacing w:before="100"/>
        <w:ind w:right="-720"/>
        <w:rPr>
          <w:rFonts w:ascii="Verdana" w:hAnsi="Verdana" w:cs="Times New Roman"/>
          <w:kern w:val="0"/>
        </w:rPr>
      </w:pPr>
      <w:r w:rsidRPr="00951D89">
        <w:rPr>
          <w:rFonts w:ascii="Verdana" w:hAnsi="Verdana" w:cs="Helvetica"/>
          <w:i/>
          <w:iCs/>
          <w:kern w:val="0"/>
        </w:rPr>
        <w:t>Financial services and mobility</w:t>
      </w:r>
    </w:p>
    <w:p w:rsidR="00ED66B1" w:rsidRPr="00951D89" w:rsidP="00ED66B1">
      <w:pPr>
        <w:autoSpaceDE w:val="0"/>
        <w:autoSpaceDN w:val="0"/>
        <w:adjustRightInd w:val="0"/>
        <w:spacing w:before="100"/>
        <w:ind w:right="-720"/>
        <w:rPr>
          <w:rFonts w:ascii="Verdana" w:hAnsi="Verdana" w:cs="Times New Roman"/>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 xml:space="preserve">An MRPQ </w:t>
      </w:r>
      <w:r w:rsidRPr="00951D89">
        <w:rPr>
          <w:rFonts w:ascii="Verdana" w:hAnsi="Verdana" w:cs="Helvetica"/>
          <w:kern w:val="0"/>
        </w:rPr>
        <w:t>agreement allows professionals qualified in one country to practice in another without needing to requalify. During the Brexit negotiations, the UK proposed an MRPQ between the UK and the EU but this was turned down by the European Commission because the UK remained outside the single market</w:t>
      </w:r>
      <w:r w:rsidRPr="00951D89">
        <w:rPr>
          <w:rFonts w:ascii="Verdana" w:hAnsi="Verdana" w:cs="Helvetica"/>
          <w:kern w:val="0"/>
        </w:rPr>
        <w:t>.</w:t>
      </w:r>
      <w:r>
        <w:rPr>
          <w:rStyle w:val="FootnoteReference"/>
          <w:rFonts w:ascii="Verdana" w:hAnsi="Verdana" w:cs="Helvetica"/>
          <w:kern w:val="0"/>
        </w:rPr>
        <w:footnoteReference w:id="9"/>
      </w:r>
    </w:p>
    <w:p w:rsidR="00ED66B1" w:rsidRPr="00951D89" w:rsidP="00ED66B1">
      <w:pPr>
        <w:autoSpaceDE w:val="0"/>
        <w:autoSpaceDN w:val="0"/>
        <w:adjustRightInd w:val="0"/>
        <w:spacing w:before="100"/>
        <w:ind w:right="-720"/>
        <w:rPr>
          <w:rFonts w:ascii="Verdana" w:hAnsi="Verdana" w:cs="Helvetica"/>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It is not clear</w:t>
      </w:r>
      <w:r w:rsidRPr="00951D89">
        <w:rPr>
          <w:rFonts w:ascii="Verdana" w:hAnsi="Verdana" w:cs="Helvetica"/>
          <w:kern w:val="0"/>
        </w:rPr>
        <w:t xml:space="preserve"> precisely what form of MRPQ </w:t>
      </w:r>
      <w:r w:rsidRPr="00951D89">
        <w:rPr>
          <w:rFonts w:ascii="Verdana" w:hAnsi="Verdana" w:cs="Helvetica"/>
          <w:kern w:val="0"/>
        </w:rPr>
        <w:t>the UK may</w:t>
      </w:r>
      <w:r w:rsidRPr="00951D89">
        <w:rPr>
          <w:rFonts w:ascii="Verdana" w:hAnsi="Verdana" w:cs="Helvetica"/>
          <w:kern w:val="0"/>
        </w:rPr>
        <w:t xml:space="preserve"> seek</w:t>
      </w:r>
      <w:r w:rsidRPr="00951D89">
        <w:rPr>
          <w:rFonts w:ascii="Verdana" w:hAnsi="Verdana" w:cs="Helvetica"/>
          <w:kern w:val="0"/>
        </w:rPr>
        <w:t xml:space="preserve"> with the EU</w:t>
      </w:r>
      <w:r w:rsidRPr="00951D89">
        <w:rPr>
          <w:rFonts w:ascii="Verdana" w:hAnsi="Verdana" w:cs="Helvetica"/>
          <w:kern w:val="0"/>
        </w:rPr>
        <w:t xml:space="preserve"> but its economic impact, particularly on financial services beyond audit is likely to be limited. This is partly because professional qualifications are not central to financial services. It would also not address the question of mobility and the ease with which individuals could travel to the EU from the UK for work purposes. This is currently a complex area with individuals needing to specify what sorts of work they are doing and how long they are staying in the EU in order to meet current regulations. Given the wider politics of migration in the UK, this doesn’t appear to be a likely avenue for greater liberalisation through the reset.</w:t>
      </w:r>
    </w:p>
    <w:p w:rsidR="00ED66B1" w:rsidRPr="00951D89" w:rsidP="00ED66B1">
      <w:pPr>
        <w:autoSpaceDE w:val="0"/>
        <w:autoSpaceDN w:val="0"/>
        <w:adjustRightInd w:val="0"/>
        <w:spacing w:before="100"/>
        <w:ind w:right="-720"/>
        <w:rPr>
          <w:rFonts w:ascii="Verdana" w:hAnsi="Verdana" w:cs="Helvetica"/>
          <w:kern w:val="0"/>
        </w:rPr>
      </w:pPr>
    </w:p>
    <w:p w:rsidR="00ED66B1" w:rsidRPr="00951D89" w:rsidP="00ED66B1">
      <w:pPr>
        <w:autoSpaceDE w:val="0"/>
        <w:autoSpaceDN w:val="0"/>
        <w:adjustRightInd w:val="0"/>
        <w:spacing w:before="100"/>
        <w:ind w:right="-720"/>
        <w:rPr>
          <w:rFonts w:ascii="Verdana" w:hAnsi="Verdana" w:cs="Times New Roman"/>
          <w:kern w:val="0"/>
        </w:rPr>
      </w:pPr>
      <w:r w:rsidRPr="00951D89">
        <w:rPr>
          <w:rFonts w:ascii="Verdana" w:hAnsi="Verdana" w:cs="Helvetica"/>
          <w:i/>
          <w:iCs/>
          <w:kern w:val="0"/>
        </w:rPr>
        <w:t>Financial services and regulatory dialogue</w:t>
      </w:r>
    </w:p>
    <w:p w:rsidR="00ED66B1" w:rsidRPr="00951D89" w:rsidP="00ED66B1">
      <w:pPr>
        <w:autoSpaceDE w:val="0"/>
        <w:autoSpaceDN w:val="0"/>
        <w:adjustRightInd w:val="0"/>
        <w:spacing w:before="100"/>
        <w:ind w:right="-720"/>
        <w:rPr>
          <w:rFonts w:ascii="Verdana" w:hAnsi="Verdana" w:cs="Times New Roman"/>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Beyond specific policy changes, the reset could look to make better use of the Memorandum of Understanding (MoU) on financial services signed in 2023 as a vehicle to begin to develop closer regulatory dialogue. The MoU commits the UK and the EU to establishing a framework for financial services regulatory cooperation which takes place through the Join EU-UK Financial Regulatory Forum. This group has met twice to date. It focuses on exchanging information and views on areas of common regulatory interest, but it does not commit to aligning regulation or improving market access. However, there could be scope to use this avenue to explore areas of emerging common regulatory interest, notably in relation to green and digital finance.</w:t>
      </w:r>
    </w:p>
    <w:p w:rsidR="00ED66B1" w:rsidRPr="00951D89" w:rsidP="00ED66B1">
      <w:pPr>
        <w:autoSpaceDE w:val="0"/>
        <w:autoSpaceDN w:val="0"/>
        <w:adjustRightInd w:val="0"/>
        <w:spacing w:before="100"/>
        <w:ind w:right="-720"/>
        <w:rPr>
          <w:rFonts w:ascii="Verdana" w:hAnsi="Verdana" w:cs="Helvetica"/>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A far more radical approach to resetting UK-EU financial relations would involve aiming to replicate the Berne Financial Services Agreement signed by the UK and Switzerland in 2023. This is an innovat</w:t>
      </w:r>
      <w:r w:rsidRPr="00951D89" w:rsidR="00223B97">
        <w:rPr>
          <w:rFonts w:ascii="Verdana" w:hAnsi="Verdana" w:cs="Helvetica"/>
          <w:kern w:val="0"/>
        </w:rPr>
        <w:t>ive</w:t>
      </w:r>
      <w:r w:rsidRPr="00951D89">
        <w:rPr>
          <w:rFonts w:ascii="Verdana" w:hAnsi="Verdana" w:cs="Helvetica"/>
          <w:kern w:val="0"/>
        </w:rPr>
        <w:t xml:space="preserve"> agreement using mutual recognition of each jurisdiction’s regulatory frameworks to facilitate market access. This means that both parties agree to defer to the other’s regulatory standards, rather than establishing a common set of rules. As such, it goes significantly beyond the terms of other financial services trade agreement</w:t>
      </w:r>
      <w:r w:rsidRPr="00951D89" w:rsidR="00223B97">
        <w:rPr>
          <w:rFonts w:ascii="Verdana" w:hAnsi="Verdana" w:cs="Helvetica"/>
          <w:kern w:val="0"/>
        </w:rPr>
        <w:t>s</w:t>
      </w:r>
      <w:r w:rsidRPr="00951D89">
        <w:rPr>
          <w:rFonts w:ascii="Verdana" w:hAnsi="Verdana" w:cs="Helvetica"/>
          <w:kern w:val="0"/>
        </w:rPr>
        <w:t xml:space="preserve"> and is extensive in coverage, including the vast majority of wholesale financial services.</w:t>
      </w:r>
    </w:p>
    <w:p w:rsidR="00ED66B1" w:rsidRPr="00951D89" w:rsidP="00ED66B1">
      <w:pPr>
        <w:autoSpaceDE w:val="0"/>
        <w:autoSpaceDN w:val="0"/>
        <w:adjustRightInd w:val="0"/>
        <w:spacing w:before="100"/>
        <w:ind w:right="-720"/>
        <w:rPr>
          <w:rFonts w:ascii="Verdana" w:hAnsi="Verdana" w:cs="Helvetica"/>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It is unlikely that this could be replicated between the UK and the EU, certainly in the short term, given that even this bilateral agreement took over two years to agree. However, it might be a model to aim towards longer-term, if cooperation gradually deepens.</w:t>
      </w:r>
    </w:p>
    <w:p w:rsidR="00ED66B1" w:rsidRPr="00951D89" w:rsidP="00ED66B1">
      <w:pPr>
        <w:autoSpaceDE w:val="0"/>
        <w:autoSpaceDN w:val="0"/>
        <w:adjustRightInd w:val="0"/>
        <w:spacing w:before="100"/>
        <w:ind w:right="-720"/>
        <w:rPr>
          <w:rFonts w:ascii="Verdana" w:hAnsi="Verdana" w:cs="Helvetica"/>
          <w:kern w:val="0"/>
        </w:rPr>
      </w:pPr>
    </w:p>
    <w:p w:rsidR="00ED66B1" w:rsidRPr="00951D89" w:rsidP="002F0A05">
      <w:pPr>
        <w:pStyle w:val="ListParagraph"/>
        <w:numPr>
          <w:ilvl w:val="0"/>
          <w:numId w:val="2"/>
        </w:numPr>
        <w:autoSpaceDE w:val="0"/>
        <w:autoSpaceDN w:val="0"/>
        <w:adjustRightInd w:val="0"/>
        <w:spacing w:before="100"/>
        <w:ind w:right="-720"/>
        <w:rPr>
          <w:rFonts w:ascii="Verdana" w:hAnsi="Verdana" w:cs="Times New Roman"/>
          <w:color w:val="0D0F16"/>
          <w:kern w:val="0"/>
        </w:rPr>
      </w:pPr>
      <w:r w:rsidRPr="00951D89">
        <w:rPr>
          <w:rFonts w:ascii="Verdana" w:hAnsi="Verdana" w:cs="Helvetica"/>
          <w:color w:val="0D0F16"/>
          <w:kern w:val="0"/>
        </w:rPr>
        <w:t xml:space="preserve">Other, more innovative approaches for improved market access focus on specific parts of financial services. For example, there have been </w:t>
      </w:r>
      <w:r w:rsidRPr="00951D89">
        <w:rPr>
          <w:rFonts w:ascii="Verdana" w:hAnsi="Verdana" w:cs="Helvetica"/>
          <w:kern w:val="0"/>
        </w:rPr>
        <w:t>calls</w:t>
      </w:r>
      <w:r w:rsidRPr="00951D89">
        <w:rPr>
          <w:rFonts w:ascii="Verdana" w:hAnsi="Verdana" w:cs="Helvetica"/>
          <w:color w:val="0D0F16"/>
          <w:kern w:val="0"/>
        </w:rPr>
        <w:t xml:space="preserve"> from trade associations for the UK to partially opt into EU regulations applied to hedge funds, private equity and real estate funds, similarly to the Channel Islands, in order to improve market access for UK managed funds</w:t>
      </w:r>
      <w:r w:rsidRPr="00951D89">
        <w:rPr>
          <w:rFonts w:ascii="Verdana" w:hAnsi="Verdana" w:cs="Times New Roman"/>
          <w:color w:val="0D0F16"/>
          <w:kern w:val="0"/>
        </w:rPr>
        <w:t>.</w:t>
      </w:r>
      <w:r>
        <w:rPr>
          <w:rStyle w:val="FootnoteReference"/>
          <w:rFonts w:ascii="Verdana" w:hAnsi="Verdana" w:cs="Times New Roman"/>
          <w:color w:val="0D0F16"/>
          <w:kern w:val="0"/>
        </w:rPr>
        <w:footnoteReference w:id="10"/>
      </w:r>
    </w:p>
    <w:p w:rsidR="006D341C" w:rsidRPr="00951D89" w:rsidP="006D341C">
      <w:pPr>
        <w:pStyle w:val="ListParagraph"/>
        <w:rPr>
          <w:rFonts w:ascii="Verdana" w:hAnsi="Verdana" w:cs="Times New Roman"/>
          <w:color w:val="0D0F16"/>
          <w:kern w:val="0"/>
        </w:rPr>
      </w:pPr>
    </w:p>
    <w:p w:rsidR="006D341C" w:rsidRPr="00951D89" w:rsidP="006D341C">
      <w:pPr>
        <w:autoSpaceDE w:val="0"/>
        <w:autoSpaceDN w:val="0"/>
        <w:adjustRightInd w:val="0"/>
        <w:spacing w:before="100"/>
        <w:ind w:right="-720"/>
        <w:rPr>
          <w:rFonts w:ascii="Verdana" w:hAnsi="Verdana" w:cs="Times New Roman"/>
          <w:b/>
          <w:bCs/>
          <w:color w:val="0D0F16"/>
          <w:kern w:val="0"/>
        </w:rPr>
      </w:pPr>
      <w:r w:rsidRPr="00951D89">
        <w:rPr>
          <w:rFonts w:ascii="Verdana" w:hAnsi="Verdana" w:cs="Times New Roman"/>
          <w:b/>
          <w:bCs/>
          <w:color w:val="0D0F16"/>
          <w:kern w:val="0"/>
        </w:rPr>
        <w:t>Conclusion</w:t>
      </w:r>
    </w:p>
    <w:p w:rsidR="006D341C" w:rsidRPr="00951D89" w:rsidP="006D341C">
      <w:pPr>
        <w:autoSpaceDE w:val="0"/>
        <w:autoSpaceDN w:val="0"/>
        <w:adjustRightInd w:val="0"/>
        <w:spacing w:before="100"/>
        <w:ind w:right="-720"/>
        <w:rPr>
          <w:rFonts w:ascii="Verdana" w:hAnsi="Verdana" w:cs="Times New Roman"/>
          <w:b/>
          <w:bCs/>
          <w:color w:val="0D0F16"/>
          <w:kern w:val="0"/>
        </w:rPr>
      </w:pPr>
    </w:p>
    <w:p w:rsidR="006D341C" w:rsidRPr="00951D89" w:rsidP="006D341C">
      <w:pPr>
        <w:pStyle w:val="ListParagraph"/>
        <w:numPr>
          <w:ilvl w:val="0"/>
          <w:numId w:val="2"/>
        </w:numPr>
        <w:autoSpaceDE w:val="0"/>
        <w:autoSpaceDN w:val="0"/>
        <w:adjustRightInd w:val="0"/>
        <w:spacing w:before="100"/>
        <w:ind w:right="-720"/>
        <w:rPr>
          <w:rFonts w:ascii="Verdana" w:hAnsi="Verdana" w:cs="Helvetica"/>
          <w:kern w:val="0"/>
        </w:rPr>
      </w:pPr>
      <w:r w:rsidRPr="00951D89">
        <w:rPr>
          <w:rFonts w:ascii="Verdana" w:hAnsi="Verdana" w:cs="Helvetica"/>
          <w:kern w:val="0"/>
        </w:rPr>
        <w:t xml:space="preserve">It is clear that the UK is intent on seeking to use its putative reset with the EU relations to deliver growth in financial services. However, the </w:t>
      </w:r>
      <w:r w:rsidRPr="00951D89">
        <w:rPr>
          <w:rFonts w:ascii="Verdana" w:hAnsi="Verdana" w:cs="Helvetica"/>
          <w:kern w:val="0"/>
        </w:rPr>
        <w:t>Brexit trade negotiations following the UK’s decision to leave the EU demonstrated that the EU is a tough negotiator. It secured most of its strategic ambitions in the goods sector where it has comparative advantage over the UK whilst the UK failed to secure significant concessions in services trade in which it runs a surplus with the EU. This suggests that stating that the UK seeks to reset relations with the EU will not be sufficient to achieve its strategic objectives. This is particularly the case because the EU has put forward proposals on areas of interest to itself including on youth mobility in terms of a reset that the UK has turned down.</w:t>
      </w:r>
    </w:p>
    <w:p w:rsidR="006D341C" w:rsidRPr="00951D89" w:rsidP="006D341C">
      <w:pPr>
        <w:pStyle w:val="ListParagraph"/>
        <w:autoSpaceDE w:val="0"/>
        <w:autoSpaceDN w:val="0"/>
        <w:adjustRightInd w:val="0"/>
        <w:spacing w:before="100"/>
        <w:ind w:right="-720"/>
        <w:rPr>
          <w:rFonts w:ascii="Verdana" w:hAnsi="Verdana" w:cs="Helvetica"/>
          <w:kern w:val="0"/>
        </w:rPr>
      </w:pPr>
    </w:p>
    <w:p w:rsidR="00ED66B1" w:rsidRPr="00951D89" w:rsidP="00612EE8">
      <w:pPr>
        <w:pStyle w:val="ListParagraph"/>
        <w:numPr>
          <w:ilvl w:val="0"/>
          <w:numId w:val="2"/>
        </w:numPr>
        <w:autoSpaceDE w:val="0"/>
        <w:autoSpaceDN w:val="0"/>
        <w:adjustRightInd w:val="0"/>
        <w:spacing w:before="100"/>
        <w:ind w:right="-720"/>
        <w:rPr>
          <w:rFonts w:ascii="Verdana" w:hAnsi="Verdana" w:cs="Times New Roman"/>
          <w:color w:val="0D0F16"/>
          <w:kern w:val="0"/>
        </w:rPr>
      </w:pPr>
      <w:r w:rsidRPr="00951D89">
        <w:rPr>
          <w:rFonts w:ascii="Verdana" w:hAnsi="Verdana" w:cs="Helvetica"/>
          <w:kern w:val="0"/>
        </w:rPr>
        <w:t xml:space="preserve">As such, greater clarity will be needed from the UK in terms of both the precise measures it seeks to negotiate through the reset and also how these will benefit the EU as well as the UK as it is clear that this needs to be approached as a negotiation, rather than a set of requirements that focus primarily on UK interests. The analysis above suggests that more radical alternatives to resetting UK-EU relations are not achievable until a degree of regulatory trust and possibly even cooperation has been gained. There are early signs that this is happening, given the EU’s more liberal approach recently to the UK in terms of equivalence. </w:t>
      </w:r>
    </w:p>
    <w:p w:rsidR="006D341C" w:rsidRPr="00951D89" w:rsidP="006D341C">
      <w:pPr>
        <w:pStyle w:val="ListParagraph"/>
        <w:rPr>
          <w:rFonts w:ascii="Verdana" w:hAnsi="Verdana" w:cs="Times New Roman"/>
          <w:color w:val="0D0F16"/>
          <w:kern w:val="0"/>
        </w:rPr>
      </w:pPr>
    </w:p>
    <w:p w:rsidR="006D341C" w:rsidRPr="00951D89" w:rsidP="006D341C">
      <w:pPr>
        <w:autoSpaceDE w:val="0"/>
        <w:autoSpaceDN w:val="0"/>
        <w:adjustRightInd w:val="0"/>
        <w:spacing w:before="100"/>
        <w:ind w:right="-720"/>
        <w:rPr>
          <w:rFonts w:ascii="Verdana" w:hAnsi="Verdana" w:cs="Times New Roman"/>
          <w:color w:val="0D0F16"/>
          <w:kern w:val="0"/>
        </w:rPr>
      </w:pPr>
    </w:p>
    <w:p w:rsidR="00ED66B1" w:rsidRPr="00951D89" w:rsidP="006D341C">
      <w:pPr>
        <w:pStyle w:val="NormalWeb"/>
        <w:numPr>
          <w:ilvl w:val="0"/>
          <w:numId w:val="2"/>
        </w:numPr>
        <w:spacing w:before="0" w:beforeAutospacing="0" w:after="300" w:afterAutospacing="0"/>
        <w:rPr>
          <w:rFonts w:ascii="Verdana" w:hAnsi="Verdana" w:cs="Arial"/>
          <w:color w:val="000000"/>
        </w:rPr>
      </w:pPr>
      <w:r w:rsidRPr="00951D89">
        <w:rPr>
          <w:rFonts w:ascii="Verdana" w:hAnsi="Verdana" w:cs="Arial"/>
          <w:color w:val="000000"/>
        </w:rPr>
        <w:t>With the UK set to remain outside the single market, the most likely way forward in the short term appears to be a continuing improvement in regulatory relations and trust that, in time, could be used as a stepping stone to a more substantive, and innovative regulatory reset for financial services.</w:t>
      </w:r>
    </w:p>
    <w:p w:rsidR="00ED66B1" w:rsidRPr="00951D89" w:rsidP="00ED66B1">
      <w:pPr>
        <w:autoSpaceDE w:val="0"/>
        <w:autoSpaceDN w:val="0"/>
        <w:adjustRightInd w:val="0"/>
        <w:spacing w:before="100"/>
        <w:ind w:right="-720"/>
        <w:rPr>
          <w:rFonts w:ascii="Verdana" w:hAnsi="Verdana" w:cs="Times New Roman"/>
          <w:color w:val="0D0F16"/>
          <w:kern w:val="0"/>
        </w:rPr>
      </w:pPr>
    </w:p>
    <w:p w:rsidR="00ED66B1" w:rsidRPr="00951D89" w:rsidP="00ED66B1">
      <w:pPr>
        <w:autoSpaceDE w:val="0"/>
        <w:autoSpaceDN w:val="0"/>
        <w:adjustRightInd w:val="0"/>
        <w:spacing w:before="100"/>
        <w:ind w:right="-720"/>
        <w:rPr>
          <w:rFonts w:ascii="Verdana" w:hAnsi="Verdana" w:cs="Times New Roman"/>
          <w:b/>
          <w:bCs/>
          <w:kern w:val="0"/>
        </w:rPr>
      </w:pPr>
      <w:r w:rsidRPr="00951D89">
        <w:rPr>
          <w:rFonts w:ascii="Verdana" w:hAnsi="Verdana" w:cs="Times New Roman"/>
          <w:b/>
          <w:bCs/>
          <w:color w:val="0D0F16"/>
          <w:kern w:val="0"/>
        </w:rPr>
        <w:t>Received 2 April 2025</w:t>
      </w:r>
    </w:p>
    <w:p w:rsidR="003440E6" w:rsidRPr="00ED66B1" w:rsidP="00ED66B1">
      <w:pPr>
        <w:rPr>
          <w:b/>
          <w:bCs/>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457E0" w:rsidP="00E32B76">
      <w:r>
        <w:separator/>
      </w:r>
    </w:p>
  </w:footnote>
  <w:footnote w:type="continuationSeparator" w:id="1">
    <w:p w:rsidR="00E457E0" w:rsidP="00E32B76">
      <w:r>
        <w:continuationSeparator/>
      </w:r>
    </w:p>
  </w:footnote>
  <w:footnote w:id="2">
    <w:p w:rsidR="00E32B76">
      <w:pPr>
        <w:pStyle w:val="FootnoteText"/>
      </w:pPr>
      <w:r>
        <w:rPr>
          <w:rStyle w:val="FootnoteReference"/>
        </w:rPr>
        <w:footnoteRef/>
      </w:r>
      <w:r>
        <w:t xml:space="preserve"> </w:t>
      </w:r>
      <w:r>
        <w:rPr>
          <w:rFonts w:ascii="Helvetica" w:hAnsi="Helvetica" w:cs="Helvetica"/>
          <w:kern w:val="0"/>
        </w:rPr>
        <w:t>HM Treasury</w:t>
      </w:r>
      <w:r>
        <w:rPr>
          <w:rFonts w:ascii="Times New Roman" w:hAnsi="Times New Roman" w:cs="Times New Roman"/>
          <w:kern w:val="0"/>
        </w:rPr>
        <w:t>,</w:t>
      </w:r>
      <w:r>
        <w:rPr>
          <w:rFonts w:ascii="Helvetica" w:hAnsi="Helvetica" w:cs="Helvetica"/>
          <w:kern w:val="0"/>
        </w:rPr>
        <w:t xml:space="preserve"> (2004) “Chancellor Rachel Reeves addresses Eurogroup meeting”, 9</w:t>
      </w:r>
      <w:r>
        <w:rPr>
          <w:rFonts w:ascii="Helvetica" w:hAnsi="Helvetica" w:cs="Helvetica"/>
          <w:kern w:val="0"/>
          <w:vertAlign w:val="superscript"/>
        </w:rPr>
        <w:t>th</w:t>
      </w:r>
      <w:r>
        <w:rPr>
          <w:rFonts w:ascii="Helvetica" w:hAnsi="Helvetica" w:cs="Helvetica"/>
          <w:kern w:val="0"/>
        </w:rPr>
        <w:t xml:space="preserve"> December 2024 available from </w:t>
      </w:r>
      <w:r>
        <w:fldChar w:fldCharType="begin"/>
      </w:r>
      <w:r>
        <w:instrText xml:space="preserve"> HYPERLINK "https://www.gov.uk/government/speeches/chancellor-rachel-reeves-addresses-eurogroup-meeting" </w:instrText>
      </w:r>
      <w:r>
        <w:fldChar w:fldCharType="separate"/>
      </w:r>
      <w:r>
        <w:rPr>
          <w:rFonts w:ascii="Helvetica" w:hAnsi="Helvetica" w:cs="Helvetica"/>
          <w:color w:val="467886"/>
          <w:kern w:val="0"/>
          <w:u w:val="single" w:color="467886"/>
        </w:rPr>
        <w:t>https://www.gov.uk/government/speeches/chancellor-rachel-reeves-addresses-eurogroup-meeting</w:t>
      </w:r>
      <w:r>
        <w:fldChar w:fldCharType="end"/>
      </w:r>
      <w:r>
        <w:rPr>
          <w:rFonts w:ascii="Times New Roman" w:hAnsi="Times New Roman" w:cs="Times New Roman"/>
          <w:kern w:val="0"/>
        </w:rPr>
        <w:t>.</w:t>
      </w:r>
    </w:p>
  </w:footnote>
  <w:footnote w:id="3">
    <w:p w:rsidR="00E32B76" w:rsidP="00E32B76">
      <w:pPr>
        <w:autoSpaceDE w:val="0"/>
        <w:autoSpaceDN w:val="0"/>
        <w:adjustRightInd w:val="0"/>
        <w:spacing w:before="100"/>
        <w:ind w:right="-720"/>
        <w:rPr>
          <w:rFonts w:ascii="Times New Roman" w:hAnsi="Times New Roman" w:cs="Times New Roman"/>
          <w:kern w:val="0"/>
        </w:rPr>
      </w:pPr>
      <w:r>
        <w:rPr>
          <w:rStyle w:val="FootnoteReference"/>
        </w:rPr>
        <w:footnoteRef/>
      </w:r>
      <w:r>
        <w:t xml:space="preserve"> </w:t>
      </w:r>
      <w:r>
        <w:rPr>
          <w:rFonts w:ascii="Helvetica" w:hAnsi="Helvetica" w:cs="Helvetica"/>
          <w:kern w:val="0"/>
        </w:rPr>
        <w:t>Politico Live</w:t>
      </w:r>
      <w:r>
        <w:rPr>
          <w:rFonts w:ascii="Times New Roman" w:hAnsi="Times New Roman" w:cs="Times New Roman"/>
          <w:kern w:val="0"/>
        </w:rPr>
        <w:t>,</w:t>
      </w:r>
      <w:r>
        <w:rPr>
          <w:rFonts w:ascii="Helvetica" w:hAnsi="Helvetica" w:cs="Helvetica"/>
          <w:kern w:val="0"/>
        </w:rPr>
        <w:t xml:space="preserve"> (2024) available from </w:t>
      </w:r>
      <w:r>
        <w:fldChar w:fldCharType="begin"/>
      </w:r>
      <w:r>
        <w:instrText xml:space="preserve"> HYPERLINK "https://www.youtube.com/watch?v=gJaJYnyy360" </w:instrText>
      </w:r>
      <w:r>
        <w:fldChar w:fldCharType="separate"/>
      </w:r>
      <w:r>
        <w:rPr>
          <w:rFonts w:ascii="Helvetica" w:hAnsi="Helvetica" w:cs="Helvetica"/>
          <w:color w:val="467886"/>
          <w:kern w:val="0"/>
          <w:u w:val="single" w:color="467886"/>
        </w:rPr>
        <w:t>https://www.youtube.com/watch?v=gJaJYnyy360</w:t>
      </w:r>
      <w:r>
        <w:fldChar w:fldCharType="end"/>
      </w:r>
      <w:r>
        <w:rPr>
          <w:rFonts w:ascii="Times New Roman" w:hAnsi="Times New Roman" w:cs="Times New Roman"/>
          <w:kern w:val="0"/>
        </w:rPr>
        <w:t>.</w:t>
      </w:r>
    </w:p>
    <w:p w:rsidR="00E32B76">
      <w:pPr>
        <w:pStyle w:val="FootnoteText"/>
      </w:pPr>
    </w:p>
  </w:footnote>
  <w:footnote w:id="4">
    <w:p w:rsidR="00E32B76" w:rsidP="00E32B76">
      <w:pPr>
        <w:autoSpaceDE w:val="0"/>
        <w:autoSpaceDN w:val="0"/>
        <w:adjustRightInd w:val="0"/>
        <w:spacing w:before="100"/>
        <w:ind w:right="-720"/>
        <w:rPr>
          <w:rFonts w:ascii="Times New Roman" w:hAnsi="Times New Roman" w:cs="Times New Roman"/>
          <w:kern w:val="0"/>
        </w:rPr>
      </w:pPr>
      <w:r>
        <w:rPr>
          <w:rStyle w:val="FootnoteReference"/>
        </w:rPr>
        <w:footnoteRef/>
      </w:r>
      <w:r>
        <w:t xml:space="preserve"> </w:t>
      </w:r>
      <w:r>
        <w:rPr>
          <w:rFonts w:ascii="Helvetica" w:hAnsi="Helvetica" w:cs="Helvetica"/>
          <w:kern w:val="0"/>
        </w:rPr>
        <w:t xml:space="preserve">Labour 2024 (2024) “Financing growth: labour’s plan for financial services” available from </w:t>
      </w:r>
      <w:r>
        <w:fldChar w:fldCharType="begin"/>
      </w:r>
      <w:r>
        <w:instrText xml:space="preserve"> HYPERLINK "https://labour.org.uk/updates/stories/financing-growth-labours-plan-for-financial-services/" </w:instrText>
      </w:r>
      <w:r>
        <w:fldChar w:fldCharType="separate"/>
      </w:r>
      <w:r>
        <w:rPr>
          <w:rFonts w:ascii="Helvetica" w:hAnsi="Helvetica" w:cs="Helvetica"/>
          <w:color w:val="467886"/>
          <w:kern w:val="0"/>
          <w:u w:val="single" w:color="467886"/>
        </w:rPr>
        <w:t>https://labour.org.uk/updates/stories/financing-growth-labours-plan-for-financial-services/</w:t>
      </w:r>
      <w:r>
        <w:fldChar w:fldCharType="end"/>
      </w:r>
      <w:r>
        <w:rPr>
          <w:rFonts w:ascii="Times New Roman" w:hAnsi="Times New Roman" w:cs="Times New Roman"/>
          <w:kern w:val="0"/>
        </w:rPr>
        <w:t>.</w:t>
      </w:r>
    </w:p>
    <w:p w:rsidR="00E32B76">
      <w:pPr>
        <w:pStyle w:val="FootnoteText"/>
      </w:pPr>
    </w:p>
  </w:footnote>
  <w:footnote w:id="5">
    <w:p w:rsidR="00E32B76">
      <w:pPr>
        <w:pStyle w:val="FootnoteText"/>
      </w:pPr>
      <w:r>
        <w:rPr>
          <w:rStyle w:val="FootnoteReference"/>
        </w:rPr>
        <w:footnoteRef/>
      </w:r>
      <w:r>
        <w:t xml:space="preserve"> </w:t>
      </w:r>
      <w:r w:rsidRPr="00E32B76">
        <w:t>https://finance.ec.europa.eu/eu-and-world/equivalence-non-eu-financial-frameworks_en</w:t>
      </w:r>
    </w:p>
  </w:footnote>
  <w:footnote w:id="6">
    <w:p w:rsidR="00E32B76">
      <w:pPr>
        <w:pStyle w:val="FootnoteText"/>
      </w:pPr>
      <w:r>
        <w:rPr>
          <w:rStyle w:val="FootnoteReference"/>
        </w:rPr>
        <w:footnoteRef/>
      </w:r>
      <w:r>
        <w:t xml:space="preserve"> </w:t>
      </w:r>
      <w:r w:rsidRPr="00E32B76">
        <w:t>https://www.reuters.com/world/europe/eus-mcguinness-says-no-uk-clearing-access-after-june-2025-2022-02-11/</w:t>
      </w:r>
    </w:p>
  </w:footnote>
  <w:footnote w:id="7">
    <w:p w:rsidR="00E32B76">
      <w:pPr>
        <w:pStyle w:val="FootnoteText"/>
      </w:pPr>
      <w:r>
        <w:rPr>
          <w:rStyle w:val="FootnoteReference"/>
        </w:rPr>
        <w:footnoteRef/>
      </w:r>
      <w:r>
        <w:t xml:space="preserve"> </w:t>
      </w:r>
      <w:r w:rsidRPr="00E32B76">
        <w:t>https://www.ft.com/content/3cad1c8d-0478-47d3-a2e1-9bae066de647?desktop=true&amp;segmentId=7c8f09b9-9b61-4fbb-9430-9208a9e233c8#myft:notification:daily-email:content</w:t>
      </w:r>
    </w:p>
  </w:footnote>
  <w:footnote w:id="8">
    <w:p w:rsidR="00E32B76">
      <w:pPr>
        <w:pStyle w:val="FootnoteText"/>
      </w:pPr>
      <w:r>
        <w:rPr>
          <w:rStyle w:val="FootnoteReference"/>
        </w:rPr>
        <w:footnoteRef/>
      </w:r>
      <w:r>
        <w:t xml:space="preserve"> </w:t>
      </w:r>
      <w:r w:rsidRPr="00E32B76">
        <w:t>https://www.reuters.com/markets/europe/eu-agrees-new-rules-move-euro-derivatives-clearing-london-2024-02-07/</w:t>
      </w:r>
    </w:p>
  </w:footnote>
  <w:footnote w:id="9">
    <w:p w:rsidR="00930241">
      <w:pPr>
        <w:pStyle w:val="FootnoteText"/>
      </w:pPr>
      <w:r>
        <w:rPr>
          <w:rStyle w:val="FootnoteReference"/>
        </w:rPr>
        <w:footnoteRef/>
      </w:r>
      <w:r>
        <w:t xml:space="preserve"> </w:t>
      </w:r>
      <w:r w:rsidRPr="00930241">
        <w:t>https://ukandeu.ac.uk/explainers/agreement-on-mutual-recognition-of-professional-qualifications-mrpqs/</w:t>
      </w:r>
    </w:p>
  </w:footnote>
  <w:footnote w:id="10">
    <w:p w:rsidR="00930241">
      <w:pPr>
        <w:pStyle w:val="FootnoteText"/>
      </w:pPr>
      <w:r>
        <w:rPr>
          <w:rStyle w:val="FootnoteReference"/>
        </w:rPr>
        <w:footnoteRef/>
      </w:r>
      <w:r>
        <w:t xml:space="preserve"> </w:t>
      </w:r>
      <w:r w:rsidRPr="00930241">
        <w:t>https://www.bvca.co.uk/static/bc702634-5e3d-4e51-be9838330e102d67/5b64e5ba-b8b0-4a34-9c3374b859f3ef91/Financial-Services-Growth-and-Competitiveness-Strategy-CfE-BVCA-response.pdf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0E68A0"/>
    <w:multiLevelType w:val="hybridMultilevel"/>
    <w:tmpl w:val="9572E330"/>
    <w:lvl w:ilvl="0">
      <w:start w:val="1"/>
      <w:numFmt w:val="decimal"/>
      <w:lvlText w:val="%1."/>
      <w:lvlJc w:val="left"/>
      <w:pPr>
        <w:ind w:left="720" w:hanging="360"/>
      </w:pPr>
      <w:rPr>
        <w:rFonts w:hint="default"/>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5370D5"/>
    <w:multiLevelType w:val="hybridMultilevel"/>
    <w:tmpl w:val="CD84F5F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FC459B3"/>
    <w:multiLevelType w:val="hybridMultilevel"/>
    <w:tmpl w:val="E564CE56"/>
    <w:lvl w:ilvl="0">
      <w:start w:val="2"/>
      <w:numFmt w:val="lowerRoman"/>
      <w:lvlText w:val="%1."/>
      <w:lvlJc w:val="left"/>
      <w:pPr>
        <w:ind w:left="1440" w:hanging="720"/>
      </w:pPr>
      <w:rPr>
        <w:rFonts w:ascii="Helvetica" w:hAnsi="Helvetica" w:cs="Helvetica" w:hint="default"/>
        <w:i w:val="0"/>
        <w:iCs w:val="0"/>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5D4E543F"/>
    <w:multiLevelType w:val="hybridMultilevel"/>
    <w:tmpl w:val="E564CE56"/>
    <w:lvl w:ilvl="0">
      <w:start w:val="2"/>
      <w:numFmt w:val="lowerRoman"/>
      <w:lvlText w:val="%1."/>
      <w:lvlJc w:val="left"/>
      <w:pPr>
        <w:ind w:left="1440" w:hanging="720"/>
      </w:pPr>
      <w:rPr>
        <w:rFonts w:ascii="Helvetica" w:hAnsi="Helvetica" w:cs="Helvetica" w:hint="default"/>
        <w:i w:val="0"/>
        <w:iCs w:val="0"/>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ED66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66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6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6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6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6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6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6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6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6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6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6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6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6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6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6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6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6B1"/>
    <w:rPr>
      <w:rFonts w:eastAsiaTheme="majorEastAsia" w:cstheme="majorBidi"/>
      <w:color w:val="272727" w:themeColor="text1" w:themeTint="D8"/>
    </w:rPr>
  </w:style>
  <w:style w:type="paragraph" w:styleId="Title">
    <w:name w:val="Title"/>
    <w:basedOn w:val="Normal"/>
    <w:next w:val="Normal"/>
    <w:link w:val="TitleChar"/>
    <w:uiPriority w:val="10"/>
    <w:qFormat/>
    <w:rsid w:val="00ED66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6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6B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6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6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66B1"/>
    <w:rPr>
      <w:i/>
      <w:iCs/>
      <w:color w:val="404040" w:themeColor="text1" w:themeTint="BF"/>
    </w:rPr>
  </w:style>
  <w:style w:type="paragraph" w:styleId="ListParagraph">
    <w:name w:val="List Paragraph"/>
    <w:basedOn w:val="Normal"/>
    <w:uiPriority w:val="34"/>
    <w:qFormat/>
    <w:rsid w:val="00ED66B1"/>
    <w:pPr>
      <w:ind w:left="720"/>
      <w:contextualSpacing/>
    </w:pPr>
  </w:style>
  <w:style w:type="character" w:styleId="IntenseEmphasis">
    <w:name w:val="Intense Emphasis"/>
    <w:basedOn w:val="DefaultParagraphFont"/>
    <w:uiPriority w:val="21"/>
    <w:qFormat/>
    <w:rsid w:val="00ED66B1"/>
    <w:rPr>
      <w:i/>
      <w:iCs/>
      <w:color w:val="0F4761" w:themeColor="accent1" w:themeShade="BF"/>
    </w:rPr>
  </w:style>
  <w:style w:type="paragraph" w:styleId="IntenseQuote">
    <w:name w:val="Intense Quote"/>
    <w:basedOn w:val="Normal"/>
    <w:next w:val="Normal"/>
    <w:link w:val="IntenseQuoteChar"/>
    <w:uiPriority w:val="30"/>
    <w:qFormat/>
    <w:rsid w:val="00ED66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6B1"/>
    <w:rPr>
      <w:i/>
      <w:iCs/>
      <w:color w:val="0F4761" w:themeColor="accent1" w:themeShade="BF"/>
    </w:rPr>
  </w:style>
  <w:style w:type="character" w:styleId="IntenseReference">
    <w:name w:val="Intense Reference"/>
    <w:basedOn w:val="DefaultParagraphFont"/>
    <w:uiPriority w:val="32"/>
    <w:qFormat/>
    <w:rsid w:val="00ED66B1"/>
    <w:rPr>
      <w:b/>
      <w:bCs/>
      <w:smallCaps/>
      <w:color w:val="0F4761" w:themeColor="accent1" w:themeShade="BF"/>
      <w:spacing w:val="5"/>
    </w:rPr>
  </w:style>
  <w:style w:type="paragraph" w:styleId="NormalWeb">
    <w:name w:val="Normal (Web)"/>
    <w:basedOn w:val="Normal"/>
    <w:uiPriority w:val="99"/>
    <w:semiHidden/>
    <w:unhideWhenUsed/>
    <w:rsid w:val="00ED66B1"/>
    <w:pPr>
      <w:spacing w:before="100" w:beforeAutospacing="1" w:after="100" w:afterAutospacing="1"/>
    </w:pPr>
    <w:rPr>
      <w:rFonts w:ascii="Times New Roman" w:eastAsia="Times New Roman" w:hAnsi="Times New Roman" w:cs="Times New Roman"/>
      <w:kern w:val="0"/>
      <w:lang w:eastAsia="en-GB"/>
    </w:rPr>
  </w:style>
  <w:style w:type="character" w:customStyle="1" w:styleId="apple-converted-space">
    <w:name w:val="apple-converted-space"/>
    <w:basedOn w:val="DefaultParagraphFont"/>
    <w:rsid w:val="00ED66B1"/>
  </w:style>
  <w:style w:type="character" w:styleId="Hyperlink">
    <w:name w:val="Hyperlink"/>
    <w:basedOn w:val="DefaultParagraphFont"/>
    <w:uiPriority w:val="99"/>
    <w:unhideWhenUsed/>
    <w:rsid w:val="00ED66B1"/>
    <w:rPr>
      <w:color w:val="0000FF"/>
      <w:u w:val="single"/>
    </w:rPr>
  </w:style>
  <w:style w:type="character" w:customStyle="1" w:styleId="UnresolvedMention">
    <w:name w:val="Unresolved Mention"/>
    <w:basedOn w:val="DefaultParagraphFont"/>
    <w:uiPriority w:val="99"/>
    <w:semiHidden/>
    <w:unhideWhenUsed/>
    <w:rsid w:val="002F0A05"/>
    <w:rPr>
      <w:color w:val="605E5C"/>
      <w:shd w:val="clear" w:color="auto" w:fill="E1DFDD"/>
    </w:rPr>
  </w:style>
  <w:style w:type="paragraph" w:styleId="FootnoteText">
    <w:name w:val="footnote text"/>
    <w:basedOn w:val="Normal"/>
    <w:link w:val="FootnoteTextChar"/>
    <w:uiPriority w:val="99"/>
    <w:semiHidden/>
    <w:unhideWhenUsed/>
    <w:rsid w:val="00E32B76"/>
    <w:rPr>
      <w:sz w:val="20"/>
      <w:szCs w:val="20"/>
    </w:rPr>
  </w:style>
  <w:style w:type="character" w:customStyle="1" w:styleId="FootnoteTextChar">
    <w:name w:val="Footnote Text Char"/>
    <w:basedOn w:val="DefaultParagraphFont"/>
    <w:link w:val="FootnoteText"/>
    <w:uiPriority w:val="99"/>
    <w:semiHidden/>
    <w:rsid w:val="00E32B76"/>
    <w:rPr>
      <w:sz w:val="20"/>
      <w:szCs w:val="20"/>
    </w:rPr>
  </w:style>
  <w:style w:type="character" w:styleId="FootnoteReference">
    <w:name w:val="footnote reference"/>
    <w:basedOn w:val="DefaultParagraphFont"/>
    <w:uiPriority w:val="99"/>
    <w:semiHidden/>
    <w:unhideWhenUsed/>
    <w:rsid w:val="00E32B76"/>
    <w:rPr>
      <w:vertAlign w:val="superscript"/>
    </w:rPr>
  </w:style>
  <w:style w:type="character" w:styleId="FollowedHyperlink">
    <w:name w:val="FollowedHyperlink"/>
    <w:basedOn w:val="DefaultParagraphFont"/>
    <w:uiPriority w:val="99"/>
    <w:semiHidden/>
    <w:unhideWhenUsed/>
    <w:rsid w:val="00E32B76"/>
    <w:rPr>
      <w:color w:val="96607D" w:themeColor="followedHyperlink"/>
      <w:u w:val="single"/>
    </w:rPr>
  </w:style>
  <w:style w:type="paragraph" w:customStyle="1" w:styleId="BodyA">
    <w:name w:val="Body A"/>
    <w:rsid w:val="00951D89"/>
    <w:pPr>
      <w:pBdr>
        <w:top w:val="nil"/>
        <w:left w:val="nil"/>
        <w:bottom w:val="nil"/>
        <w:right w:val="nil"/>
        <w:between w:val="nil"/>
        <w:bar w:val="nil"/>
      </w:pBdr>
    </w:pPr>
    <w:rPr>
      <w:rFonts w:ascii="Helvetica Neue" w:eastAsia="Arial Unicode MS" w:hAnsi="Helvetica Neue" w:cs="Arial Unicode MS"/>
      <w:color w:val="000000"/>
      <w:kern w:val="0"/>
      <w:sz w:val="22"/>
      <w:szCs w:val="22"/>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4631D-8578-F84B-B4DB-0C0863E15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