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F1971">
      <w:pPr>
        <w:pStyle w:val="Standard"/>
        <w:jc w:val="center"/>
        <w:rPr>
          <w:rFonts w:ascii="Calibri" w:hAnsi="Calibri" w:cs="Calibri"/>
          <w:b/>
          <w:bCs/>
        </w:rPr>
      </w:pPr>
      <w:r>
        <w:rPr>
          <w:rFonts w:ascii="Calibri" w:hAnsi="Calibri" w:cs="Calibri"/>
          <w:b/>
          <w:bCs/>
        </w:rPr>
        <w:t>WRITTEN EVIDENCE SUBMITTED BY OPEN RIGHTS GROUP</w:t>
      </w:r>
    </w:p>
    <w:p w:rsidR="009F1971">
      <w:pPr>
        <w:pStyle w:val="Standard"/>
        <w:jc w:val="center"/>
      </w:pPr>
      <w:r>
        <w:rPr>
          <w:rFonts w:ascii="Calibri" w:hAnsi="Calibri" w:cs="Calibri"/>
          <w:b/>
          <w:bCs/>
        </w:rPr>
        <w:t>(BSAI0011)</w:t>
      </w:r>
      <w:r>
        <w:rPr>
          <w:rFonts w:ascii="Calibri" w:hAnsi="Calibri" w:cs="Calibri"/>
        </w:rPr>
        <w:br/>
      </w:r>
    </w:p>
    <w:p w:rsidR="009F1971">
      <w:pPr>
        <w:pStyle w:val="ContentsHeading"/>
        <w:tabs>
          <w:tab w:val="right" w:leader="dot" w:pos="9360"/>
        </w:tabs>
      </w:pPr>
      <w:r>
        <w:rPr>
          <w:rFonts w:eastAsia="Roboto Slab" w:cs="Roboto Slab"/>
          <w:b w:val="0"/>
          <w:bCs w:val="0"/>
          <w:sz w:val="24"/>
          <w:szCs w:val="24"/>
        </w:rPr>
        <w:fldChar w:fldCharType="begin"/>
      </w:r>
      <w:r>
        <w:instrText xml:space="preserve"> TOC \o "1-9" \u \l 1-9 \h </w:instrText>
      </w:r>
      <w:r>
        <w:rPr>
          <w:rFonts w:eastAsia="Roboto Slab" w:cs="Roboto Slab"/>
          <w:b w:val="0"/>
          <w:bCs w:val="0"/>
          <w:sz w:val="24"/>
          <w:szCs w:val="24"/>
        </w:rPr>
        <w:fldChar w:fldCharType="separate"/>
      </w:r>
      <w:r>
        <w:rPr>
          <w:rFonts w:ascii="Calibri" w:hAnsi="Calibri" w:cs="Calibri"/>
          <w:sz w:val="24"/>
          <w:szCs w:val="24"/>
        </w:rPr>
        <w:t>Table of Contents</w:t>
      </w:r>
    </w:p>
    <w:p w:rsidR="009F1971">
      <w:pPr>
        <w:pStyle w:val="Contents1"/>
        <w:tabs>
          <w:tab w:val="right" w:leader="dot" w:pos="9864"/>
          <w:tab w:val="clear" w:pos="9972"/>
        </w:tabs>
      </w:pPr>
      <w:r>
        <w:fldChar w:fldCharType="begin"/>
      </w:r>
      <w:r>
        <w:instrText xml:space="preserve"> HYPERLINK "#__RefHeading___Toc1221_1705728590" </w:instrText>
      </w:r>
      <w:r>
        <w:fldChar w:fldCharType="separate"/>
      </w:r>
      <w:r>
        <w:rPr>
          <w:rFonts w:ascii="Calibri" w:hAnsi="Calibri" w:cs="Calibri"/>
        </w:rPr>
        <w:t>Human Rights (Joint Committee)</w:t>
      </w:r>
      <w:r>
        <w:rPr>
          <w:rFonts w:ascii="Calibri" w:hAnsi="Calibri" w:cs="Calibri"/>
        </w:rPr>
        <w:tab/>
        <w:t>1</w:t>
      </w:r>
      <w:r>
        <w:fldChar w:fldCharType="end"/>
      </w:r>
    </w:p>
    <w:p w:rsidR="009F1971">
      <w:pPr>
        <w:pStyle w:val="Contents1"/>
        <w:tabs>
          <w:tab w:val="right" w:leader="dot" w:pos="9864"/>
          <w:tab w:val="clear" w:pos="9972"/>
        </w:tabs>
      </w:pPr>
      <w:r>
        <w:fldChar w:fldCharType="begin"/>
      </w:r>
      <w:r>
        <w:instrText xml:space="preserve"> HYPERLINK "#__RefHeading___Toc2465_290074599" </w:instrText>
      </w:r>
      <w:r>
        <w:fldChar w:fldCharType="separate"/>
      </w:r>
      <w:r>
        <w:rPr>
          <w:rFonts w:ascii="Calibri" w:hAnsi="Calibri" w:cs="Calibri"/>
        </w:rPr>
        <w:t>1. Introduction</w:t>
      </w:r>
      <w:r>
        <w:rPr>
          <w:rFonts w:ascii="Calibri" w:hAnsi="Calibri" w:cs="Calibri"/>
        </w:rPr>
        <w:tab/>
        <w:t>1</w:t>
      </w:r>
      <w:r>
        <w:fldChar w:fldCharType="end"/>
      </w:r>
    </w:p>
    <w:p w:rsidR="009F1971">
      <w:pPr>
        <w:pStyle w:val="Contents1"/>
        <w:tabs>
          <w:tab w:val="right" w:leader="dot" w:pos="9864"/>
          <w:tab w:val="clear" w:pos="9972"/>
        </w:tabs>
      </w:pPr>
      <w:r>
        <w:fldChar w:fldCharType="begin"/>
      </w:r>
      <w:r>
        <w:instrText xml:space="preserve"> HYPERLINK "#__RefHeading___Toc2160_1094850112 Copy 1" </w:instrText>
      </w:r>
      <w:r>
        <w:fldChar w:fldCharType="separate"/>
      </w:r>
      <w:r>
        <w:rPr>
          <w:rFonts w:ascii="Calibri" w:hAnsi="Calibri" w:cs="Calibri"/>
        </w:rPr>
        <w:t>2. Executive summary</w:t>
      </w:r>
      <w:r>
        <w:rPr>
          <w:rFonts w:ascii="Calibri" w:hAnsi="Calibri" w:cs="Calibri"/>
        </w:rPr>
        <w:tab/>
        <w:t>2</w:t>
      </w:r>
      <w:r>
        <w:fldChar w:fldCharType="end"/>
      </w:r>
    </w:p>
    <w:p w:rsidR="009F1971">
      <w:pPr>
        <w:pStyle w:val="Contents2"/>
        <w:tabs>
          <w:tab w:val="right" w:leader="dot" w:pos="9864"/>
          <w:tab w:val="clear" w:pos="9972"/>
        </w:tabs>
      </w:pPr>
      <w:r>
        <w:fldChar w:fldCharType="begin"/>
      </w:r>
      <w:r>
        <w:instrText xml:space="preserve"> HYPERLINK "#__RefHeading___Toc2169_1094850112 Copy 1" </w:instrText>
      </w:r>
      <w:r>
        <w:fldChar w:fldCharType="separate"/>
      </w:r>
      <w:r>
        <w:rPr>
          <w:rFonts w:ascii="Calibri" w:hAnsi="Calibri" w:cs="Calibri"/>
        </w:rPr>
        <w:t>Migrants are not criminals</w:t>
      </w:r>
      <w:r>
        <w:rPr>
          <w:rFonts w:ascii="Calibri" w:hAnsi="Calibri" w:cs="Calibri"/>
        </w:rPr>
        <w:tab/>
        <w:t>2</w:t>
      </w:r>
      <w:r>
        <w:fldChar w:fldCharType="end"/>
      </w:r>
    </w:p>
    <w:p w:rsidR="009F1971">
      <w:pPr>
        <w:pStyle w:val="Contents1"/>
        <w:tabs>
          <w:tab w:val="right" w:leader="dot" w:pos="9864"/>
          <w:tab w:val="clear" w:pos="9972"/>
        </w:tabs>
      </w:pPr>
      <w:r>
        <w:fldChar w:fldCharType="begin"/>
      </w:r>
      <w:r>
        <w:instrText xml:space="preserve"> HYPERLINK "#__RefHeading___Toc1318_3287909724" </w:instrText>
      </w:r>
      <w:r>
        <w:fldChar w:fldCharType="separate"/>
      </w:r>
      <w:r>
        <w:rPr>
          <w:rFonts w:ascii="Calibri" w:hAnsi="Calibri" w:cs="Calibri"/>
        </w:rPr>
        <w:t>3. biometric data stored and shared</w:t>
      </w:r>
      <w:r>
        <w:rPr>
          <w:rFonts w:ascii="Calibri" w:hAnsi="Calibri" w:cs="Calibri"/>
        </w:rPr>
        <w:tab/>
        <w:t>3</w:t>
      </w:r>
      <w:r>
        <w:fldChar w:fldCharType="end"/>
      </w:r>
    </w:p>
    <w:p w:rsidR="009F1971">
      <w:pPr>
        <w:pStyle w:val="Contents1"/>
        <w:tabs>
          <w:tab w:val="right" w:leader="dot" w:pos="9864"/>
          <w:tab w:val="clear" w:pos="9972"/>
        </w:tabs>
      </w:pPr>
      <w:r>
        <w:fldChar w:fldCharType="begin"/>
      </w:r>
      <w:r>
        <w:instrText xml:space="preserve"> HYPERLINK "#__RefHeading___Toc1320_3287909724" </w:instrText>
      </w:r>
      <w:r>
        <w:fldChar w:fldCharType="separate"/>
      </w:r>
      <w:r>
        <w:rPr>
          <w:rFonts w:ascii="Calibri" w:hAnsi="Calibri" w:cs="Calibri"/>
        </w:rPr>
        <w:t>4. Indefinite Electronic Monitoring and Surveillance</w:t>
      </w:r>
      <w:r>
        <w:rPr>
          <w:rFonts w:ascii="Calibri" w:hAnsi="Calibri" w:cs="Calibri"/>
        </w:rPr>
        <w:tab/>
        <w:t>4</w:t>
      </w:r>
      <w:r>
        <w:fldChar w:fldCharType="end"/>
      </w:r>
    </w:p>
    <w:p w:rsidR="009F1971">
      <w:pPr>
        <w:pStyle w:val="Contents2"/>
        <w:tabs>
          <w:tab w:val="right" w:leader="dot" w:pos="9864"/>
          <w:tab w:val="clear" w:pos="9972"/>
        </w:tabs>
      </w:pPr>
      <w:r>
        <w:fldChar w:fldCharType="begin"/>
      </w:r>
      <w:r>
        <w:instrText xml:space="preserve"> HYPERLINK "#__RefHeading___Toc1223_1705728590" </w:instrText>
      </w:r>
      <w:r>
        <w:fldChar w:fldCharType="separate"/>
      </w:r>
      <w:r>
        <w:rPr>
          <w:rFonts w:ascii="Calibri" w:hAnsi="Calibri" w:cs="Calibri"/>
        </w:rPr>
        <w:t>Clause 46 (5D): Code of Practices</w:t>
      </w:r>
      <w:r>
        <w:rPr>
          <w:rFonts w:ascii="Calibri" w:hAnsi="Calibri" w:cs="Calibri"/>
        </w:rPr>
        <w:tab/>
        <w:t>5</w:t>
      </w:r>
      <w:r>
        <w:fldChar w:fldCharType="end"/>
      </w:r>
    </w:p>
    <w:p w:rsidR="009F1971">
      <w:pPr>
        <w:pStyle w:val="Contents2"/>
        <w:tabs>
          <w:tab w:val="right" w:leader="dot" w:pos="9864"/>
          <w:tab w:val="clear" w:pos="9972"/>
        </w:tabs>
      </w:pPr>
      <w:r>
        <w:fldChar w:fldCharType="begin"/>
      </w:r>
      <w:r>
        <w:instrText xml:space="preserve"> HYPERLINK "#__RefHeading___Toc1225_1705728590" </w:instrText>
      </w:r>
      <w:r>
        <w:fldChar w:fldCharType="separate"/>
      </w:r>
      <w:r>
        <w:rPr>
          <w:rFonts w:ascii="Calibri" w:hAnsi="Calibri" w:cs="Calibri"/>
        </w:rPr>
        <w:t>Clause 46 5B (7) and 5D (3): tagging and indefinite monitoring</w:t>
      </w:r>
      <w:r>
        <w:rPr>
          <w:rFonts w:ascii="Calibri" w:hAnsi="Calibri" w:cs="Calibri"/>
        </w:rPr>
        <w:tab/>
        <w:t>6</w:t>
      </w:r>
      <w:r>
        <w:fldChar w:fldCharType="end"/>
      </w:r>
    </w:p>
    <w:p w:rsidR="009F1971">
      <w:pPr>
        <w:pStyle w:val="Contents1"/>
        <w:tabs>
          <w:tab w:val="right" w:leader="dot" w:pos="9864"/>
          <w:tab w:val="clear" w:pos="9972"/>
        </w:tabs>
      </w:pPr>
      <w:r>
        <w:fldChar w:fldCharType="begin"/>
      </w:r>
      <w:r>
        <w:instrText xml:space="preserve"> HYPERLINK "#__RefHeading___Toc1322_3287909724" </w:instrText>
      </w:r>
      <w:r>
        <w:fldChar w:fldCharType="separate"/>
      </w:r>
      <w:r>
        <w:rPr>
          <w:rFonts w:ascii="Calibri" w:hAnsi="Calibri" w:cs="Calibri"/>
        </w:rPr>
        <w:t>5. Other human rights issues</w:t>
      </w:r>
      <w:r>
        <w:rPr>
          <w:rFonts w:ascii="Calibri" w:hAnsi="Calibri" w:cs="Calibri"/>
        </w:rPr>
        <w:tab/>
        <w:t>6</w:t>
      </w:r>
      <w:r>
        <w:fldChar w:fldCharType="end"/>
      </w:r>
    </w:p>
    <w:p w:rsidR="009F1971">
      <w:pPr>
        <w:pStyle w:val="Contents2"/>
        <w:tabs>
          <w:tab w:val="right" w:leader="dot" w:pos="9864"/>
          <w:tab w:val="clear" w:pos="9972"/>
        </w:tabs>
      </w:pPr>
      <w:r>
        <w:fldChar w:fldCharType="begin"/>
      </w:r>
      <w:r>
        <w:instrText xml:space="preserve"> HYPERLINK "#__RefHeading___Toc1227_1705728590" </w:instrText>
      </w:r>
      <w:r>
        <w:fldChar w:fldCharType="separate"/>
      </w:r>
      <w:r>
        <w:rPr>
          <w:rFonts w:ascii="Calibri" w:hAnsi="Calibri" w:cs="Calibri"/>
        </w:rPr>
        <w:t>Clause 5(3)–(4): counter-terror powers</w:t>
      </w:r>
      <w:r>
        <w:rPr>
          <w:rFonts w:ascii="Calibri" w:hAnsi="Calibri" w:cs="Calibri"/>
        </w:rPr>
        <w:tab/>
        <w:t>6</w:t>
      </w:r>
      <w:r>
        <w:fldChar w:fldCharType="end"/>
      </w:r>
    </w:p>
    <w:p w:rsidR="009F1971">
      <w:pPr>
        <w:pStyle w:val="Contents2"/>
        <w:tabs>
          <w:tab w:val="right" w:leader="dot" w:pos="9864"/>
          <w:tab w:val="clear" w:pos="9972"/>
        </w:tabs>
      </w:pPr>
      <w:r>
        <w:fldChar w:fldCharType="begin"/>
      </w:r>
      <w:r>
        <w:instrText xml:space="preserve"> HYPERLINK "#__RefHeading___Toc1229_1705728590" </w:instrText>
      </w:r>
      <w:r>
        <w:fldChar w:fldCharType="separate"/>
      </w:r>
      <w:r>
        <w:rPr>
          <w:rFonts w:ascii="Calibri" w:hAnsi="Calibri" w:cs="Calibri"/>
        </w:rPr>
        <w:t>Clauses 19-23: broad powers to search and share information</w:t>
      </w:r>
      <w:r>
        <w:rPr>
          <w:rFonts w:ascii="Calibri" w:hAnsi="Calibri" w:cs="Calibri"/>
        </w:rPr>
        <w:tab/>
        <w:t>8</w:t>
      </w:r>
      <w:r>
        <w:fldChar w:fldCharType="end"/>
      </w:r>
    </w:p>
    <w:p w:rsidR="009F1971">
      <w:pPr>
        <w:pStyle w:val="Contents1"/>
        <w:tabs>
          <w:tab w:val="right" w:leader="dot" w:pos="9864"/>
          <w:tab w:val="clear" w:pos="9972"/>
        </w:tabs>
      </w:pPr>
      <w:r>
        <w:fldChar w:fldCharType="begin"/>
      </w:r>
      <w:r>
        <w:instrText xml:space="preserve"> HYPERLINK "#__RefHeading___Toc2485_290074599" </w:instrText>
      </w:r>
      <w:r>
        <w:fldChar w:fldCharType="separate"/>
      </w:r>
      <w:r>
        <w:rPr>
          <w:rFonts w:ascii="Calibri" w:hAnsi="Calibri" w:cs="Calibri"/>
        </w:rPr>
        <w:t>6. Conclusion:</w:t>
      </w:r>
      <w:r>
        <w:rPr>
          <w:rFonts w:ascii="Calibri" w:hAnsi="Calibri" w:cs="Calibri"/>
        </w:rPr>
        <w:tab/>
        <w:t>11</w:t>
      </w:r>
      <w:r>
        <w:fldChar w:fldCharType="end"/>
      </w:r>
    </w:p>
    <w:p w:rsidR="009F1971">
      <w:pPr>
        <w:pStyle w:val="Contents2"/>
        <w:tabs>
          <w:tab w:val="right" w:leader="dot" w:pos="9864"/>
          <w:tab w:val="clear" w:pos="9972"/>
        </w:tabs>
      </w:pPr>
      <w:r>
        <w:fldChar w:fldCharType="begin"/>
      </w:r>
      <w:r>
        <w:instrText xml:space="preserve"> HYPERLINK "#__RefHeading___Toc2158_1094850112" </w:instrText>
      </w:r>
      <w:r>
        <w:fldChar w:fldCharType="separate"/>
      </w:r>
      <w:r>
        <w:rPr>
          <w:rFonts w:ascii="Calibri" w:hAnsi="Calibri" w:cs="Calibri"/>
        </w:rPr>
        <w:t>Powers lack accountability and intelligence integration poses dangers</w:t>
      </w:r>
      <w:r>
        <w:rPr>
          <w:rFonts w:ascii="Calibri" w:hAnsi="Calibri" w:cs="Calibri"/>
        </w:rPr>
        <w:tab/>
        <w:t>11</w:t>
      </w:r>
      <w:r>
        <w:fldChar w:fldCharType="end"/>
      </w:r>
    </w:p>
    <w:p w:rsidR="009F1971">
      <w:pPr>
        <w:pStyle w:val="Contents1"/>
        <w:tabs>
          <w:tab w:val="right" w:leader="dot" w:pos="9864"/>
          <w:tab w:val="clear" w:pos="9972"/>
        </w:tabs>
      </w:pPr>
      <w:r>
        <w:fldChar w:fldCharType="begin"/>
      </w:r>
      <w:r>
        <w:instrText xml:space="preserve"> HYPERLINK "#__RefHeading___Toc2487_290074599" </w:instrText>
      </w:r>
      <w:r>
        <w:fldChar w:fldCharType="separate"/>
      </w:r>
      <w:r>
        <w:rPr>
          <w:rFonts w:ascii="Calibri" w:hAnsi="Calibri" w:cs="Calibri"/>
        </w:rPr>
        <w:t>7. Recommendations</w:t>
      </w:r>
      <w:r>
        <w:rPr>
          <w:rFonts w:ascii="Calibri" w:hAnsi="Calibri" w:cs="Calibri"/>
        </w:rPr>
        <w:tab/>
        <w:t>13</w:t>
      </w:r>
      <w:r>
        <w:fldChar w:fldCharType="end"/>
      </w:r>
    </w:p>
    <w:p w:rsidR="009F1971">
      <w:pPr>
        <w:pStyle w:val="Contents2"/>
        <w:tabs>
          <w:tab w:val="right" w:leader="dot" w:pos="9864"/>
          <w:tab w:val="clear" w:pos="9972"/>
        </w:tabs>
      </w:pPr>
      <w:r>
        <w:fldChar w:fldCharType="begin"/>
      </w:r>
      <w:r>
        <w:instrText xml:space="preserve"> HYPERLINK "#__RefHeading___Toc2171_1094850112" </w:instrText>
      </w:r>
      <w:r>
        <w:fldChar w:fldCharType="separate"/>
      </w:r>
      <w:r>
        <w:rPr>
          <w:rFonts w:ascii="Calibri" w:hAnsi="Calibri" w:cs="Calibri"/>
        </w:rPr>
        <w:t>Remove unaccountable surveillance powers</w:t>
      </w:r>
      <w:r>
        <w:rPr>
          <w:rFonts w:ascii="Calibri" w:hAnsi="Calibri" w:cs="Calibri"/>
        </w:rPr>
        <w:tab/>
        <w:t>13</w:t>
      </w:r>
      <w:r>
        <w:fldChar w:fldCharType="end"/>
      </w:r>
    </w:p>
    <w:p w:rsidR="009F1971">
      <w:pPr>
        <w:pStyle w:val="Contents2"/>
        <w:tabs>
          <w:tab w:val="right" w:leader="dot" w:pos="9864"/>
          <w:tab w:val="clear" w:pos="9972"/>
        </w:tabs>
      </w:pPr>
      <w:r>
        <w:fldChar w:fldCharType="begin"/>
      </w:r>
      <w:r>
        <w:instrText xml:space="preserve"> HYPERLINK "#__RefHeading___Toc2173_1094850112" </w:instrText>
      </w:r>
      <w:r>
        <w:fldChar w:fldCharType="separate"/>
      </w:r>
      <w:r>
        <w:rPr>
          <w:rFonts w:ascii="Calibri" w:hAnsi="Calibri" w:cs="Calibri"/>
        </w:rPr>
        <w:t>Add safeguards for data collected or shared</w:t>
      </w:r>
      <w:r>
        <w:rPr>
          <w:rFonts w:ascii="Calibri" w:hAnsi="Calibri" w:cs="Calibri"/>
        </w:rPr>
        <w:tab/>
        <w:t>13</w:t>
      </w:r>
      <w:r>
        <w:fldChar w:fldCharType="end"/>
      </w:r>
    </w:p>
    <w:p w:rsidR="009F1971">
      <w:pPr>
        <w:pStyle w:val="Heading1"/>
      </w:pPr>
      <w:r>
        <w:rPr>
          <w:rFonts w:eastAsia="Roboto Slab" w:cs="Roboto Slab"/>
        </w:rPr>
        <w:fldChar w:fldCharType="end"/>
      </w:r>
      <w:bookmarkStart w:id="0" w:name="Introduction"/>
      <w:bookmarkStart w:id="1" w:name="__RefHeading___Toc2465_290074599"/>
      <w:r>
        <w:rPr>
          <w:rFonts w:ascii="Calibri" w:hAnsi="Calibri" w:cs="Calibri"/>
          <w:sz w:val="24"/>
          <w:szCs w:val="24"/>
        </w:rPr>
        <w:t>1. Introduction</w:t>
      </w:r>
      <w:bookmarkEnd w:id="0"/>
      <w:bookmarkEnd w:id="1"/>
    </w:p>
    <w:p w:rsidR="009F1971">
      <w:pPr>
        <w:pStyle w:val="Textbody"/>
        <w:rPr>
          <w:rFonts w:ascii="Calibri" w:hAnsi="Calibri" w:cs="Calibri"/>
        </w:rPr>
      </w:pPr>
      <w:r>
        <w:rPr>
          <w:rFonts w:ascii="Calibri" w:hAnsi="Calibri" w:cs="Calibri"/>
        </w:rPr>
        <w:br/>
      </w:r>
      <w:r>
        <w:rPr>
          <w:rFonts w:ascii="Calibri" w:hAnsi="Calibri" w:cs="Calibri"/>
        </w:rPr>
        <w:t xml:space="preserve">Founded in 2005, Open Rights Group (ORG) is a UK-based digital campaigning organisation working to protect individuals’ rights to privacy and free speech online. ORG has been </w:t>
      </w:r>
      <w:r>
        <w:rPr>
          <w:rFonts w:ascii="Calibri" w:hAnsi="Calibri" w:cs="Calibri"/>
        </w:rPr>
        <w:t xml:space="preserve">following the UK government’s surveillance proposals since our inception, including the Regulation of Investigatory Powers Act 2000, the Data Retention and Investigatory Powers Act 2014, and the Investigatory Powers Act 2016. We have also worked on </w:t>
      </w:r>
      <w:r>
        <w:rPr>
          <w:rFonts w:ascii="Calibri" w:hAnsi="Calibri" w:cs="Calibri"/>
        </w:rPr>
        <w:t>all of</w:t>
      </w:r>
      <w:r>
        <w:rPr>
          <w:rFonts w:ascii="Calibri" w:hAnsi="Calibri" w:cs="Calibri"/>
        </w:rPr>
        <w:t xml:space="preserve"> the data protection legislation proposed and enacted since GDPR.</w:t>
      </w:r>
    </w:p>
    <w:p w:rsidR="009F1971">
      <w:pPr>
        <w:pStyle w:val="Heading1"/>
        <w:pageBreakBefore/>
        <w:rPr>
          <w:rFonts w:ascii="Calibri" w:hAnsi="Calibri" w:cs="Calibri"/>
          <w:sz w:val="24"/>
          <w:szCs w:val="24"/>
        </w:rPr>
      </w:pPr>
      <w:bookmarkStart w:id="2" w:name="__RefHeading___Toc2160_1094850112_Copy_1"/>
      <w:r>
        <w:rPr>
          <w:rFonts w:ascii="Calibri" w:hAnsi="Calibri" w:cs="Calibri"/>
          <w:sz w:val="24"/>
          <w:szCs w:val="24"/>
        </w:rPr>
        <w:t>2. Executive summary</w:t>
      </w:r>
      <w:bookmarkEnd w:id="2"/>
    </w:p>
    <w:p w:rsidR="009F1971">
      <w:pPr>
        <w:pStyle w:val="Heading2"/>
        <w:rPr>
          <w:rFonts w:ascii="Calibri" w:hAnsi="Calibri" w:cs="Calibri"/>
          <w:sz w:val="24"/>
          <w:szCs w:val="24"/>
        </w:rPr>
      </w:pPr>
      <w:bookmarkStart w:id="3" w:name="__RefHeading___Toc2169_1094850112_Copy_1"/>
      <w:r>
        <w:rPr>
          <w:rFonts w:ascii="Calibri" w:hAnsi="Calibri" w:cs="Calibri"/>
          <w:sz w:val="24"/>
          <w:szCs w:val="24"/>
        </w:rPr>
        <w:t>Migrants are not criminals</w:t>
      </w:r>
      <w:bookmarkEnd w:id="3"/>
    </w:p>
    <w:p w:rsidR="009F1971">
      <w:pPr>
        <w:pStyle w:val="Textbody"/>
        <w:rPr>
          <w:rFonts w:ascii="Calibri" w:hAnsi="Calibri" w:cs="Calibri"/>
        </w:rPr>
      </w:pPr>
      <w:r>
        <w:rPr>
          <w:rFonts w:ascii="Calibri" w:hAnsi="Calibri" w:cs="Calibri"/>
        </w:rPr>
        <w:t>Crossing borders is inherently a civil issue and should not be treated as a criminal offence unless an actual crime is committed. Penalising irregular migrants—individuals seeking safety, asylum, and protection from persecution—directly contravenes the UK's international legal obligations under Article 31(1) of the 1951 United Nations Convention Relating to the Status of Refugees.</w:t>
      </w:r>
    </w:p>
    <w:p w:rsidR="009F1971">
      <w:pPr>
        <w:pStyle w:val="Textbody"/>
        <w:rPr>
          <w:rFonts w:ascii="Calibri" w:hAnsi="Calibri" w:cs="Calibri"/>
        </w:rPr>
      </w:pPr>
      <w:r>
        <w:rPr>
          <w:rFonts w:ascii="Calibri" w:hAnsi="Calibri" w:cs="Calibri"/>
        </w:rPr>
        <w:t xml:space="preserve">This approach, of treating vulnerable people looking for safety as criminals, may result in invasive digital searches, discrimination of vulnerable groups, and reduced transparency and accountability. Moreover, while the Bill relies on existing oversight regimes (e.g. the Investigatory Powers Act 2016 and Data Protection Act 2018), it fails to introduce new, dedicated safeguards to protect the digital and human rights of those seeking protection.  </w:t>
      </w:r>
    </w:p>
    <w:p w:rsidR="009F1971">
      <w:pPr>
        <w:pStyle w:val="Textbody"/>
        <w:rPr>
          <w:rFonts w:ascii="Calibri" w:hAnsi="Calibri" w:cs="Calibri"/>
        </w:rPr>
      </w:pPr>
    </w:p>
    <w:p w:rsidR="009F1971">
      <w:pPr>
        <w:pStyle w:val="Heading1"/>
        <w:pageBreakBefore/>
        <w:rPr>
          <w:rFonts w:ascii="Calibri" w:hAnsi="Calibri" w:cs="Calibri"/>
          <w:sz w:val="24"/>
          <w:szCs w:val="24"/>
        </w:rPr>
      </w:pPr>
      <w:bookmarkStart w:id="4" w:name="__RefHeading___Toc1318_3287909724"/>
      <w:r>
        <w:rPr>
          <w:rFonts w:ascii="Calibri" w:hAnsi="Calibri" w:cs="Calibri"/>
          <w:sz w:val="24"/>
          <w:szCs w:val="24"/>
        </w:rPr>
        <w:t>3. Biometric data stored and shared</w:t>
      </w:r>
      <w:bookmarkEnd w:id="4"/>
    </w:p>
    <w:p w:rsidR="009F1971">
      <w:pPr>
        <w:pStyle w:val="Textbody"/>
        <w:rPr>
          <w:rFonts w:ascii="Calibri" w:hAnsi="Calibri" w:cs="Calibri"/>
        </w:rPr>
      </w:pPr>
    </w:p>
    <w:p w:rsidR="009F1971">
      <w:pPr>
        <w:pStyle w:val="Textbody"/>
        <w:rPr>
          <w:rFonts w:ascii="Calibri" w:hAnsi="Calibri" w:cs="Calibri"/>
          <w:b/>
          <w:bCs/>
        </w:rPr>
      </w:pPr>
      <w:r>
        <w:rPr>
          <w:rFonts w:ascii="Calibri" w:hAnsi="Calibri" w:cs="Calibri"/>
          <w:b/>
          <w:bCs/>
        </w:rPr>
        <w:t xml:space="preserve">Q1. Under clauses 34-35, an authorised person may take biometric information from a person if the Government is considering helping them leave a third country and they might then need leave to enter the UK. The information must then be passed to the Secretary of State, who can keep and use it for purposes relating to immigration, nationality, law enforcement or national security. Are these provisions compatible with Article 8 ECHR, bearing in mind </w:t>
      </w:r>
      <w:r>
        <w:rPr>
          <w:rFonts w:ascii="Calibri" w:hAnsi="Calibri" w:cs="Calibri"/>
          <w:b/>
          <w:bCs/>
        </w:rPr>
        <w:t>in particular that</w:t>
      </w:r>
      <w:r>
        <w:rPr>
          <w:rFonts w:ascii="Calibri" w:hAnsi="Calibri" w:cs="Calibri"/>
          <w:b/>
          <w:bCs/>
        </w:rPr>
        <w:t xml:space="preserve"> under the Bill, the transfer of information is to be taken as being necessary for important reasons of public interest for the purposes of the UK GDPR. </w:t>
      </w:r>
    </w:p>
    <w:p w:rsidR="009F1971">
      <w:pPr>
        <w:pStyle w:val="Textbody"/>
      </w:pPr>
      <w:r>
        <w:rPr>
          <w:rFonts w:ascii="Calibri" w:hAnsi="Calibri" w:cs="Calibri"/>
        </w:rPr>
        <w:t>These clauses about b</w:t>
      </w:r>
      <w:r>
        <w:rPr>
          <w:rStyle w:val="StrongEmphasis"/>
          <w:rFonts w:ascii="Calibri" w:hAnsi="Calibri" w:cs="Calibri"/>
          <w:b w:val="0"/>
          <w:bCs w:val="0"/>
        </w:rPr>
        <w:t>iometric information collection and retention authorise taking biometric data (fingerprints, facial scans) from migrants, including children over 16 years old, without parental consent. Additionally, the provisions allow for biometric data to be collected outside the UK and transferred to third countries or international organisations under exceptions within the UK GDPR. Crucially, they also permit the retention of this biometric information for up to five years, with the possibility of an even longer reten</w:t>
      </w:r>
      <w:r>
        <w:rPr>
          <w:rStyle w:val="StrongEmphasis"/>
          <w:rFonts w:ascii="Calibri" w:hAnsi="Calibri" w:cs="Calibri"/>
          <w:b w:val="0"/>
          <w:bCs w:val="0"/>
        </w:rPr>
        <w:t>tion period under conditions that are not clearly defined.</w:t>
      </w:r>
    </w:p>
    <w:p w:rsidR="009F1971">
      <w:pPr>
        <w:pStyle w:val="Textbody"/>
        <w:numPr>
          <w:ilvl w:val="0"/>
          <w:numId w:val="2"/>
        </w:numPr>
      </w:pPr>
      <w:r>
        <w:rPr>
          <w:rStyle w:val="StrongEmphasis"/>
          <w:rFonts w:ascii="Calibri" w:hAnsi="Calibri" w:cs="Calibri"/>
          <w:b w:val="0"/>
          <w:bCs w:val="0"/>
        </w:rPr>
        <w:t>Collecting the biometric data from children over 16 without consent could violate child protection laws</w:t>
      </w:r>
      <w:r>
        <w:rPr>
          <w:rStyle w:val="StrongEmphasis"/>
          <w:rFonts w:ascii="Calibri" w:hAnsi="Calibri" w:cs="Calibri"/>
          <w:b w:val="0"/>
          <w:bCs w:val="0"/>
        </w:rPr>
        <w:footnoteReference w:id="2"/>
      </w:r>
      <w:r>
        <w:rPr>
          <w:rStyle w:val="StrongEmphasis"/>
          <w:rFonts w:ascii="Calibri" w:hAnsi="Calibri" w:cs="Calibri"/>
          <w:b w:val="0"/>
          <w:bCs w:val="0"/>
        </w:rPr>
        <w:t>.</w:t>
      </w:r>
    </w:p>
    <w:p w:rsidR="009F1971">
      <w:pPr>
        <w:pStyle w:val="Textbody"/>
        <w:numPr>
          <w:ilvl w:val="0"/>
          <w:numId w:val="2"/>
        </w:numPr>
      </w:pPr>
      <w:r>
        <w:rPr>
          <w:rStyle w:val="StrongEmphasis"/>
          <w:rFonts w:ascii="Calibri" w:hAnsi="Calibri" w:cs="Calibri"/>
          <w:b w:val="0"/>
          <w:bCs w:val="0"/>
        </w:rPr>
        <w:t>There is no authorisation requirement or proportionality assessment, not even for ongoing retention; it simply assumed that it is necessary and proportionate, on an ongoing basis</w:t>
      </w:r>
    </w:p>
    <w:p w:rsidR="009F1971">
      <w:pPr>
        <w:pStyle w:val="Textbody"/>
        <w:numPr>
          <w:ilvl w:val="0"/>
          <w:numId w:val="2"/>
        </w:numPr>
      </w:pPr>
      <w:r>
        <w:rPr>
          <w:rStyle w:val="StrongEmphasis"/>
          <w:rFonts w:ascii="Calibri" w:hAnsi="Calibri" w:cs="Calibri"/>
          <w:b w:val="0"/>
          <w:bCs w:val="0"/>
        </w:rPr>
        <w:t xml:space="preserve">Retaining biometric data for five years or longer contradicts data minimisation principles under the UK GDPR. Data collection should follow proportionality principles; biometric data should only be collected and retained when </w:t>
      </w:r>
      <w:r>
        <w:rPr>
          <w:rStyle w:val="StrongEmphasis"/>
          <w:rFonts w:ascii="Calibri" w:hAnsi="Calibri" w:cs="Calibri"/>
          <w:b w:val="0"/>
          <w:bCs w:val="0"/>
        </w:rPr>
        <w:t>absolutely necessary</w:t>
      </w:r>
      <w:r>
        <w:rPr>
          <w:rStyle w:val="StrongEmphasis"/>
          <w:rFonts w:ascii="Calibri" w:hAnsi="Calibri" w:cs="Calibri"/>
          <w:b w:val="0"/>
          <w:bCs w:val="0"/>
        </w:rPr>
        <w:t>.</w:t>
      </w:r>
    </w:p>
    <w:p w:rsidR="009F1971">
      <w:pPr>
        <w:pStyle w:val="Textbody"/>
        <w:numPr>
          <w:ilvl w:val="0"/>
          <w:numId w:val="2"/>
        </w:numPr>
      </w:pPr>
      <w:r>
        <w:rPr>
          <w:rStyle w:val="StrongEmphasis"/>
          <w:rFonts w:ascii="Calibri" w:hAnsi="Calibri" w:cs="Calibri"/>
          <w:b w:val="0"/>
          <w:bCs w:val="0"/>
        </w:rPr>
        <w:t xml:space="preserve">The concerns here that once seized, data can be retained for prolonged periods </w:t>
      </w:r>
      <w:r>
        <w:rPr>
          <w:rStyle w:val="StrongEmphasis"/>
          <w:rFonts w:ascii="Calibri" w:hAnsi="Calibri" w:cs="Calibri"/>
          <w:b w:val="0"/>
          <w:bCs w:val="0"/>
          <w:i/>
          <w:iCs/>
        </w:rPr>
        <w:t>“for use in proceedings”</w:t>
      </w:r>
      <w:r>
        <w:rPr>
          <w:rStyle w:val="StrongEmphasis"/>
          <w:rFonts w:ascii="Calibri" w:hAnsi="Calibri" w:cs="Calibri"/>
          <w:b w:val="0"/>
          <w:bCs w:val="0"/>
        </w:rPr>
        <w:t xml:space="preserve"> or for </w:t>
      </w:r>
      <w:r>
        <w:rPr>
          <w:rStyle w:val="StrongEmphasis"/>
          <w:rFonts w:ascii="Calibri" w:hAnsi="Calibri" w:cs="Calibri"/>
          <w:b w:val="0"/>
          <w:bCs w:val="0"/>
          <w:i/>
          <w:iCs/>
        </w:rPr>
        <w:t>“accessing, examining or copying”</w:t>
      </w:r>
      <w:r>
        <w:rPr>
          <w:rStyle w:val="StrongEmphasis"/>
          <w:rFonts w:ascii="Calibri" w:hAnsi="Calibri" w:cs="Calibri"/>
          <w:b w:val="0"/>
          <w:bCs w:val="0"/>
        </w:rPr>
        <w:t xml:space="preserve"> purposes. Without clear retention periods and strict data protection standards, sensitive data, including personal communications, biometric records, and other digital footprints, could be misused or inadequately secured.</w:t>
      </w:r>
    </w:p>
    <w:p w:rsidR="009F1971">
      <w:pPr>
        <w:pStyle w:val="Textbody"/>
        <w:numPr>
          <w:ilvl w:val="0"/>
          <w:numId w:val="2"/>
        </w:numPr>
      </w:pPr>
      <w:r>
        <w:rPr>
          <w:rStyle w:val="StrongEmphasis"/>
          <w:rFonts w:ascii="Calibri" w:hAnsi="Calibri" w:cs="Calibri"/>
          <w:b w:val="0"/>
          <w:bCs w:val="0"/>
        </w:rPr>
        <w:t xml:space="preserve">The extensive sharing of information between HMRC, border security, immigration authorities, and even international organisations creates vulnerabilities. The more widely data is circulated, the higher the risk of data breaches, unauthorised access, or mission creep, </w:t>
      </w:r>
      <w:r>
        <w:rPr>
          <w:rStyle w:val="StrongEmphasis"/>
          <w:rFonts w:ascii="Calibri" w:hAnsi="Calibri" w:cs="Calibri"/>
          <w:b w:val="0"/>
          <w:bCs w:val="0"/>
        </w:rPr>
        <w:t>where data gathered initially for customs or immigration purposes is used for other, less justifiable purposes.</w:t>
      </w:r>
    </w:p>
    <w:p w:rsidR="009F1971">
      <w:pPr>
        <w:pStyle w:val="Textbody"/>
        <w:numPr>
          <w:ilvl w:val="0"/>
          <w:numId w:val="2"/>
        </w:numPr>
      </w:pPr>
      <w:r>
        <w:rPr>
          <w:rStyle w:val="StrongEmphasis"/>
          <w:rFonts w:ascii="Calibri" w:hAnsi="Calibri" w:cs="Calibri"/>
          <w:b w:val="0"/>
          <w:bCs w:val="0"/>
        </w:rPr>
        <w:t>The potential for data sharing with third countries/ foreign agencies poses risks of human rights abuses and can expose asylum seekers to hostile regimes. We strongly recommend that stringent measures are implemented to prevent the sharing of personal data with authorities in any country—whether it is the country of origin or habitual residence—where the individual may face persecution, and to for authorities to secure explicit, valid consent before any data is collected or disclosed</w:t>
      </w:r>
      <w:r>
        <w:rPr>
          <w:rStyle w:val="StrongEmphasis"/>
          <w:rFonts w:ascii="Calibri" w:hAnsi="Calibri" w:cs="Calibri"/>
          <w:b w:val="0"/>
          <w:bCs w:val="0"/>
        </w:rPr>
        <w:footnoteReference w:id="3"/>
      </w:r>
      <w:r>
        <w:rPr>
          <w:rStyle w:val="StrongEmphasis"/>
          <w:rFonts w:ascii="Calibri" w:hAnsi="Calibri" w:cs="Calibri"/>
          <w:b w:val="0"/>
          <w:bCs w:val="0"/>
        </w:rPr>
        <w:t>.</w:t>
      </w:r>
    </w:p>
    <w:p w:rsidR="009F1971">
      <w:pPr>
        <w:pStyle w:val="Heading1"/>
      </w:pPr>
      <w:bookmarkStart w:id="5" w:name="__RefHeading___Toc1320_3287909724"/>
      <w:r>
        <w:rPr>
          <w:rFonts w:ascii="Calibri" w:hAnsi="Calibri" w:cs="Calibri"/>
          <w:sz w:val="24"/>
          <w:szCs w:val="24"/>
        </w:rPr>
        <w:t xml:space="preserve">4. </w:t>
      </w:r>
      <w:r>
        <w:rPr>
          <w:rStyle w:val="StrongEmphasis"/>
          <w:rFonts w:ascii="Calibri" w:hAnsi="Calibri" w:cs="Calibri"/>
          <w:sz w:val="24"/>
          <w:szCs w:val="24"/>
        </w:rPr>
        <w:t>Indefinite Electronic Monitoring and Surveillance</w:t>
      </w:r>
      <w:bookmarkEnd w:id="5"/>
    </w:p>
    <w:p w:rsidR="009F1971">
      <w:pPr>
        <w:pStyle w:val="Textbody"/>
        <w:rPr>
          <w:rFonts w:ascii="Calibri" w:hAnsi="Calibri" w:cs="Calibri"/>
        </w:rPr>
      </w:pPr>
    </w:p>
    <w:p w:rsidR="009F1971">
      <w:pPr>
        <w:pStyle w:val="Textbody"/>
        <w:rPr>
          <w:rFonts w:ascii="Calibri" w:hAnsi="Calibri" w:cs="Calibri"/>
          <w:b/>
          <w:bCs/>
        </w:rPr>
      </w:pPr>
      <w:r>
        <w:rPr>
          <w:rFonts w:ascii="Calibri" w:hAnsi="Calibri" w:cs="Calibri"/>
          <w:b/>
          <w:bCs/>
        </w:rPr>
        <w:t xml:space="preserve">Q2: Clauses 46 to 50 alter the operation of Serious Crime Prevention Orders, including providing courts with a power to impose electronic monitoring. Orders, including electronic tagging conditions, can be imposed where there are “reasonable grounds to believe that the [overall] order would protect the public” and that this </w:t>
      </w:r>
      <w:r>
        <w:rPr>
          <w:rFonts w:ascii="Calibri" w:hAnsi="Calibri" w:cs="Calibri"/>
          <w:b/>
          <w:bCs/>
        </w:rPr>
        <w:t>particular requirement</w:t>
      </w:r>
      <w:r>
        <w:rPr>
          <w:rFonts w:ascii="Calibri" w:hAnsi="Calibri" w:cs="Calibri"/>
          <w:b/>
          <w:bCs/>
        </w:rPr>
        <w:t xml:space="preserve"> is “appropriate for the purpose of protecting the public by preventing, restricting or disrupting involvement by the person concerned in serious crime.” Should the threshold for imposing electronic monitoring requirements be higher given the substantial interference with rights under Article 8 ECHR? </w:t>
      </w:r>
    </w:p>
    <w:p w:rsidR="009F1971">
      <w:pPr>
        <w:pStyle w:val="Textbody"/>
        <w:rPr>
          <w:rFonts w:ascii="Calibri" w:hAnsi="Calibri" w:cs="Calibri"/>
          <w:b/>
          <w:bCs/>
        </w:rPr>
      </w:pPr>
      <w:r>
        <w:rPr>
          <w:rFonts w:ascii="Calibri" w:hAnsi="Calibri" w:cs="Calibri"/>
          <w:b/>
          <w:bCs/>
        </w:rPr>
        <w:t>Q3: Clause 47 introduces a new interim SCPO (ISCPO) which would allow the High Court to impose requirements on the subject while the full application is pending. The test for imposing an ISCPO is whether the court “considers it just to do so”. Is the threshold test for imposing Interim Serious Crime Protection Orders set at an appropriate level? Would a test of necessity provide better protection against abuse, or would it prevent interim SCPOs operating as intended? </w:t>
      </w:r>
    </w:p>
    <w:p w:rsidR="009F1971">
      <w:pPr>
        <w:pStyle w:val="Standard"/>
        <w:numPr>
          <w:ilvl w:val="0"/>
          <w:numId w:val="3"/>
        </w:numPr>
      </w:pPr>
      <w:r>
        <w:rPr>
          <w:rFonts w:ascii="Calibri" w:hAnsi="Calibri" w:cs="Calibri"/>
        </w:rPr>
        <w:t xml:space="preserve">With the SCPO and </w:t>
      </w:r>
      <w:r>
        <w:rPr>
          <w:rFonts w:ascii="Calibri" w:hAnsi="Calibri" w:cs="Calibri"/>
        </w:rPr>
        <w:t>interm</w:t>
      </w:r>
      <w:r>
        <w:rPr>
          <w:rFonts w:ascii="Calibri" w:hAnsi="Calibri" w:cs="Calibri"/>
        </w:rPr>
        <w:t xml:space="preserve"> SCPO, </w:t>
      </w:r>
      <w:r>
        <w:rPr>
          <w:rFonts w:ascii="Calibri" w:hAnsi="Calibri" w:cs="Calibri"/>
        </w:rPr>
        <w:t>We</w:t>
      </w:r>
      <w:r>
        <w:rPr>
          <w:rFonts w:ascii="Calibri" w:hAnsi="Calibri" w:cs="Calibri"/>
        </w:rPr>
        <w:t xml:space="preserve"> are concern that h</w:t>
      </w:r>
      <w:r>
        <w:rPr>
          <w:rStyle w:val="StrongEmphasis"/>
          <w:rFonts w:ascii="Calibri" w:hAnsi="Calibri" w:cs="Calibri"/>
          <w:b w:val="0"/>
          <w:bCs w:val="0"/>
        </w:rPr>
        <w:t xml:space="preserve">uman rights principles require that measures be proportionate, necessary, and subject to independent oversight. The Bill’s provisions offer limited procedural safeguards (for instance, reliance on </w:t>
      </w:r>
      <w:r>
        <w:rPr>
          <w:rStyle w:val="StrongEmphasis"/>
          <w:rFonts w:ascii="Calibri" w:hAnsi="Calibri" w:cs="Calibri"/>
          <w:b w:val="0"/>
          <w:bCs w:val="0"/>
          <w:i/>
          <w:iCs/>
        </w:rPr>
        <w:t>“reasonable grounds”</w:t>
      </w:r>
      <w:r>
        <w:rPr>
          <w:rStyle w:val="StrongEmphasis"/>
          <w:rFonts w:ascii="Calibri" w:hAnsi="Calibri" w:cs="Calibri"/>
          <w:b w:val="0"/>
          <w:bCs w:val="0"/>
        </w:rPr>
        <w:t xml:space="preserve"> rather than rigorous independent judicial oversight). Such a low threshold can lead to overly broad applications of state power.</w:t>
      </w:r>
    </w:p>
    <w:p w:rsidR="009F1971">
      <w:pPr>
        <w:pStyle w:val="Standard"/>
        <w:rPr>
          <w:rFonts w:ascii="Calibri" w:hAnsi="Calibri" w:cs="Calibri"/>
        </w:rPr>
      </w:pPr>
    </w:p>
    <w:p w:rsidR="009F1971">
      <w:pPr>
        <w:pStyle w:val="Textbody"/>
        <w:numPr>
          <w:ilvl w:val="0"/>
          <w:numId w:val="4"/>
        </w:numPr>
      </w:pPr>
      <w:r>
        <w:rPr>
          <w:rStyle w:val="StrongEmphasis"/>
          <w:rFonts w:ascii="Calibri" w:hAnsi="Calibri" w:cs="Calibri"/>
          <w:b w:val="0"/>
          <w:bCs w:val="0"/>
        </w:rPr>
        <w:t>Expanded surveillance powers criminalise migration, treating asylum seekers as security threats and criminals rather than individuals seeking protection without providing alternative safe routes. The Home Office’s practice of GPS tagging, initially applied to migrants released on immigration bail and later expanded through a pilot scheme targeting asylum claimants arriving via dangerous routes, has led to the relentless, 24/7 monitoring of vulnerable individuals. This invasive practice not only results in t</w:t>
      </w:r>
      <w:r>
        <w:rPr>
          <w:rStyle w:val="StrongEmphasis"/>
          <w:rFonts w:ascii="Calibri" w:hAnsi="Calibri" w:cs="Calibri"/>
          <w:b w:val="0"/>
          <w:bCs w:val="0"/>
        </w:rPr>
        <w:t>he collection of vast amounts of highly sensitive personal data, but it also imposes severe restrictions on the lives of migrants, asylum seekers, and refugees, undermining their privacy and digital rights. The ICO’s enforcement issued a notice and formal warning</w:t>
      </w:r>
      <w:r>
        <w:rPr>
          <w:rStyle w:val="StrongEmphasis"/>
          <w:rFonts w:ascii="Calibri" w:hAnsi="Calibri" w:cs="Calibri"/>
          <w:b w:val="0"/>
          <w:bCs w:val="0"/>
        </w:rPr>
        <w:footnoteReference w:id="4"/>
      </w:r>
      <w:r>
        <w:rPr>
          <w:rStyle w:val="StrongEmphasis"/>
          <w:rFonts w:ascii="Calibri" w:hAnsi="Calibri" w:cs="Calibri"/>
          <w:b w:val="0"/>
          <w:bCs w:val="0"/>
        </w:rPr>
        <w:t xml:space="preserve"> highlight systemic data protection violations inherent in </w:t>
      </w:r>
      <w:r>
        <w:rPr>
          <w:rStyle w:val="StrongEmphasis"/>
          <w:rFonts w:ascii="Calibri" w:hAnsi="Calibri" w:cs="Calibri"/>
          <w:b w:val="0"/>
          <w:bCs w:val="0"/>
        </w:rPr>
        <w:t>this policy. Such a measure contravenes the principles of purpose limitation under the UK GDPR and fails to meet the standards of necessity and proportionality as demanded by the European Convention on Human Rights.</w:t>
      </w:r>
    </w:p>
    <w:p w:rsidR="009F1971">
      <w:pPr>
        <w:pStyle w:val="Heading2"/>
      </w:pPr>
      <w:bookmarkStart w:id="6" w:name="__RefHeading___Toc1223_1705728590"/>
      <w:r>
        <w:rPr>
          <w:rStyle w:val="StrongEmphasis"/>
          <w:rFonts w:ascii="Calibri" w:hAnsi="Calibri" w:cs="Calibri"/>
          <w:sz w:val="24"/>
          <w:szCs w:val="24"/>
        </w:rPr>
        <w:t>Clause 46 (5D): Code of Practices</w:t>
      </w:r>
      <w:bookmarkEnd w:id="6"/>
    </w:p>
    <w:p w:rsidR="009F1971">
      <w:pPr>
        <w:pStyle w:val="Textbody"/>
        <w:numPr>
          <w:ilvl w:val="0"/>
          <w:numId w:val="4"/>
        </w:numPr>
      </w:pPr>
      <w:r>
        <w:rPr>
          <w:rStyle w:val="StrongEmphasis"/>
          <w:rFonts w:ascii="Calibri" w:hAnsi="Calibri" w:cs="Calibri"/>
          <w:b w:val="0"/>
          <w:bCs w:val="0"/>
        </w:rPr>
        <w:t xml:space="preserve"> The lack of transparency and accountability at the ‘Code of Practices’ in how migrants’ data is shared and protected increases risks of misuse and risks the racial profiling and discrimination against migrants.</w:t>
      </w:r>
    </w:p>
    <w:p w:rsidR="009F1971">
      <w:pPr>
        <w:pStyle w:val="Textbody"/>
        <w:numPr>
          <w:ilvl w:val="0"/>
          <w:numId w:val="4"/>
        </w:numPr>
      </w:pPr>
      <w:r>
        <w:rPr>
          <w:rStyle w:val="StrongEmphasis"/>
          <w:rFonts w:ascii="Calibri" w:hAnsi="Calibri" w:cs="Calibri"/>
          <w:b w:val="0"/>
          <w:bCs w:val="0"/>
        </w:rPr>
        <w:t>The weak codes of practice surrounding GPS tagging can have far‐reaching implications for individuals' digital rights. Without stringent codes of practice, GPS tagging may lead to unchecked collection, storage, and use of sensitive location data. Weak guidelines may mean that data is retained longer than necessary or shared with third parties without appropriate legal justification, thereby breaching the principles of data minimisation and storage limitation under the UK GDPR.</w:t>
      </w:r>
    </w:p>
    <w:p w:rsidR="009F1971">
      <w:pPr>
        <w:pStyle w:val="Textbody"/>
        <w:numPr>
          <w:ilvl w:val="0"/>
          <w:numId w:val="4"/>
        </w:numPr>
      </w:pPr>
      <w:r>
        <w:rPr>
          <w:rStyle w:val="StrongEmphasis"/>
          <w:rFonts w:ascii="Calibri" w:hAnsi="Calibri" w:cs="Calibri"/>
          <w:b w:val="0"/>
          <w:bCs w:val="0"/>
        </w:rPr>
        <w:t>Without detailed oversight mechanisms, the operation of GPS tagging systems can become opaque. This opacity makes it difficult for affected individuals to challenge the practice or seek redress, undermining their right to a fair hearing and contributing to a chilling effect on liberty.</w:t>
      </w:r>
    </w:p>
    <w:p w:rsidR="009F1971">
      <w:pPr>
        <w:pStyle w:val="Textbody"/>
        <w:numPr>
          <w:ilvl w:val="0"/>
          <w:numId w:val="4"/>
        </w:numPr>
      </w:pPr>
      <w:r>
        <w:rPr>
          <w:rStyle w:val="StrongEmphasis"/>
          <w:rFonts w:ascii="Calibri" w:hAnsi="Calibri" w:cs="Calibri"/>
          <w:b w:val="0"/>
          <w:bCs w:val="0"/>
        </w:rPr>
        <w:t xml:space="preserve">Electronic tagging effectively creates a digital trail that can be used to profile and </w:t>
      </w:r>
      <w:r>
        <w:rPr>
          <w:rStyle w:val="StrongEmphasis"/>
          <w:rFonts w:ascii="Calibri" w:hAnsi="Calibri" w:cs="Calibri"/>
          <w:b w:val="0"/>
          <w:bCs w:val="0"/>
        </w:rPr>
        <w:t>surveil</w:t>
      </w:r>
      <w:r>
        <w:rPr>
          <w:rStyle w:val="StrongEmphasis"/>
          <w:rFonts w:ascii="Calibri" w:hAnsi="Calibri" w:cs="Calibri"/>
          <w:b w:val="0"/>
          <w:bCs w:val="0"/>
        </w:rPr>
        <w:t xml:space="preserve"> them. When the code of practice governing this surveillance is weak, there is an elevated risk that this data can be exploited beyond its intended purpose, eroding the digital autonomy and privacy of the individuals involved.</w:t>
      </w:r>
    </w:p>
    <w:p w:rsidR="009F1971">
      <w:pPr>
        <w:pStyle w:val="Heading2"/>
      </w:pPr>
      <w:bookmarkStart w:id="7" w:name="__RefHeading___Toc1225_1705728590"/>
      <w:r>
        <w:rPr>
          <w:rStyle w:val="StrongEmphasis"/>
          <w:rFonts w:ascii="Calibri" w:hAnsi="Calibri" w:cs="Calibri"/>
          <w:sz w:val="24"/>
          <w:szCs w:val="24"/>
        </w:rPr>
        <w:t xml:space="preserve">Clause 46 5B (7) and 5D (3):  </w:t>
      </w:r>
      <w:r>
        <w:fldChar w:fldCharType="begin"/>
      </w:r>
      <w:r>
        <w:instrText xml:space="preserve"> HYPERLINK "#__RefHeading___Toc2483_290074599" </w:instrText>
      </w:r>
      <w:r>
        <w:fldChar w:fldCharType="separate"/>
      </w:r>
      <w:r>
        <w:rPr>
          <w:rStyle w:val="StrongEmphasis"/>
          <w:rFonts w:ascii="Calibri" w:hAnsi="Calibri" w:cs="Calibri"/>
          <w:sz w:val="24"/>
          <w:szCs w:val="24"/>
        </w:rPr>
        <w:t>tagging and indefinite monitoring</w:t>
      </w:r>
      <w:r>
        <w:fldChar w:fldCharType="end"/>
      </w:r>
      <w:bookmarkEnd w:id="7"/>
    </w:p>
    <w:p w:rsidR="009F1971">
      <w:pPr>
        <w:pStyle w:val="Textbody"/>
        <w:numPr>
          <w:ilvl w:val="0"/>
          <w:numId w:val="5"/>
        </w:numPr>
      </w:pPr>
      <w:r>
        <w:rPr>
          <w:rStyle w:val="StrongEmphasis"/>
          <w:rFonts w:ascii="Calibri" w:hAnsi="Calibri" w:cs="Calibri"/>
          <w:b w:val="0"/>
          <w:bCs w:val="0"/>
        </w:rPr>
        <w:t xml:space="preserve">The Bill limits electronic </w:t>
      </w:r>
      <w:r>
        <w:rPr>
          <w:rStyle w:val="StrongEmphasis"/>
          <w:rFonts w:ascii="Calibri" w:hAnsi="Calibri" w:cs="Calibri"/>
          <w:b w:val="0"/>
          <w:bCs w:val="0"/>
        </w:rPr>
        <w:t>monitoring  to</w:t>
      </w:r>
      <w:r>
        <w:rPr>
          <w:rStyle w:val="StrongEmphasis"/>
          <w:rFonts w:ascii="Calibri" w:hAnsi="Calibri" w:cs="Calibri"/>
          <w:b w:val="0"/>
          <w:bCs w:val="0"/>
        </w:rPr>
        <w:t xml:space="preserve"> 12‐month periods per court order. In other words, once a court order is granted, </w:t>
      </w:r>
      <w:r>
        <w:rPr>
          <w:rStyle w:val="StrongEmphasis"/>
          <w:rFonts w:ascii="Calibri" w:hAnsi="Calibri" w:cs="Calibri"/>
          <w:b w:val="0"/>
          <w:bCs w:val="0"/>
        </w:rPr>
        <w:t>the  monitoring</w:t>
      </w:r>
      <w:r>
        <w:rPr>
          <w:rStyle w:val="StrongEmphasis"/>
          <w:rFonts w:ascii="Calibri" w:hAnsi="Calibri" w:cs="Calibri"/>
          <w:b w:val="0"/>
          <w:bCs w:val="0"/>
        </w:rPr>
        <w:t xml:space="preserve"> can only continue for a maximum of 12 months per order. However, because there is no statutory limit on how often the government can seek a new court order to renew the monitoring, this mechanism allows for the possibility of indefinitely prolonged surveillance. This raises serious concerns, as repeated renewals could translate into de facto indefinite surveillance, potentially infringing on indiv</w:t>
      </w:r>
      <w:r>
        <w:rPr>
          <w:rStyle w:val="StrongEmphasis"/>
          <w:rFonts w:ascii="Calibri" w:hAnsi="Calibri" w:cs="Calibri"/>
          <w:b w:val="0"/>
          <w:bCs w:val="0"/>
        </w:rPr>
        <w:t>idual privacy rights and breaching principles of proportionality under data protection and human rights law.</w:t>
      </w:r>
    </w:p>
    <w:p w:rsidR="009F1971">
      <w:pPr>
        <w:pStyle w:val="Heading1"/>
        <w:rPr>
          <w:rFonts w:ascii="Calibri" w:hAnsi="Calibri" w:cs="Calibri"/>
          <w:sz w:val="24"/>
          <w:szCs w:val="24"/>
        </w:rPr>
      </w:pPr>
      <w:bookmarkStart w:id="8" w:name="__RefHeading___Toc1322_3287909724"/>
      <w:r>
        <w:rPr>
          <w:rFonts w:ascii="Calibri" w:hAnsi="Calibri" w:cs="Calibri"/>
          <w:sz w:val="24"/>
          <w:szCs w:val="24"/>
        </w:rPr>
        <w:t>5. Other human rights issues</w:t>
      </w:r>
      <w:bookmarkEnd w:id="8"/>
    </w:p>
    <w:p w:rsidR="009F1971">
      <w:pPr>
        <w:pStyle w:val="Textbody"/>
        <w:rPr>
          <w:rFonts w:ascii="Calibri" w:hAnsi="Calibri" w:cs="Calibri"/>
        </w:rPr>
      </w:pPr>
    </w:p>
    <w:p w:rsidR="009F1971">
      <w:pPr>
        <w:pStyle w:val="Textbody"/>
        <w:rPr>
          <w:rFonts w:ascii="Calibri" w:hAnsi="Calibri" w:cs="Calibri"/>
          <w:b/>
          <w:bCs/>
        </w:rPr>
      </w:pPr>
      <w:r>
        <w:rPr>
          <w:rFonts w:ascii="Calibri" w:hAnsi="Calibri" w:cs="Calibri"/>
          <w:b/>
          <w:bCs/>
        </w:rPr>
        <w:t>Q4: Are there any other human rights issues arising from the Bill that you wish to draw to the attention of the Committee? </w:t>
      </w:r>
    </w:p>
    <w:p w:rsidR="009F1971">
      <w:pPr>
        <w:pStyle w:val="Heading2"/>
      </w:pPr>
      <w:bookmarkStart w:id="9" w:name="__RefHeading___Toc1227_1705728590"/>
      <w:r>
        <w:rPr>
          <w:rStyle w:val="StrongEmphasis"/>
          <w:rFonts w:ascii="Calibri" w:hAnsi="Calibri" w:cs="Calibri"/>
          <w:sz w:val="24"/>
          <w:szCs w:val="24"/>
        </w:rPr>
        <w:t>Clause 5(3)</w:t>
      </w:r>
      <w:r>
        <w:rPr>
          <w:rStyle w:val="StrongEmphasis"/>
          <w:rFonts w:ascii="Calibri" w:hAnsi="Calibri" w:cs="Calibri"/>
          <w:sz w:val="24"/>
          <w:szCs w:val="24"/>
        </w:rPr>
        <w:t>–(</w:t>
      </w:r>
      <w:r>
        <w:rPr>
          <w:rStyle w:val="StrongEmphasis"/>
          <w:rFonts w:ascii="Calibri" w:hAnsi="Calibri" w:cs="Calibri"/>
          <w:sz w:val="24"/>
          <w:szCs w:val="24"/>
        </w:rPr>
        <w:t>4): counter-terror powers</w:t>
      </w:r>
      <w:bookmarkEnd w:id="9"/>
    </w:p>
    <w:p w:rsidR="009F1971">
      <w:pPr>
        <w:pStyle w:val="Standard"/>
      </w:pPr>
      <w:r>
        <w:rPr>
          <w:rFonts w:ascii="Calibri" w:hAnsi="Calibri" w:cs="Calibri"/>
        </w:rPr>
        <w:t xml:space="preserve">The Bill mandates that the Border Security Commander establish formalised co-operation arrangements with MI5, SIS, and GCHQ. Although these agencies are explicitly excluded from the </w:t>
      </w:r>
      <w:r>
        <w:rPr>
          <w:rFonts w:ascii="Calibri" w:hAnsi="Calibri" w:cs="Calibri"/>
          <w:i/>
          <w:iCs/>
        </w:rPr>
        <w:t>“partner authorities”</w:t>
      </w:r>
      <w:r>
        <w:rPr>
          <w:rFonts w:ascii="Calibri" w:hAnsi="Calibri" w:cs="Calibri"/>
        </w:rPr>
        <w:t xml:space="preserve"> </w:t>
      </w:r>
      <w:r>
        <w:rPr>
          <w:rStyle w:val="FootnoteReference"/>
          <w:rFonts w:ascii="Calibri" w:hAnsi="Calibri" w:cs="Calibri"/>
        </w:rPr>
        <w:footnoteReference w:id="5"/>
      </w:r>
      <w:r>
        <w:rPr>
          <w:rFonts w:ascii="Calibri" w:hAnsi="Calibri" w:cs="Calibri"/>
        </w:rPr>
        <w:t xml:space="preserve"> definition, the Bill requires them to provide support for border operations, thereby extending their counterterrorism capabilities into the sphere of organised immigration crime.</w:t>
      </w:r>
      <w:r>
        <w:rPr>
          <w:rFonts w:ascii="Calibri" w:hAnsi="Calibri" w:cs="Calibri"/>
        </w:rPr>
        <w:br/>
      </w:r>
    </w:p>
    <w:p w:rsidR="009F1971">
      <w:pPr>
        <w:pStyle w:val="Textbody"/>
        <w:numPr>
          <w:ilvl w:val="0"/>
          <w:numId w:val="6"/>
        </w:numPr>
      </w:pPr>
      <w:r>
        <w:rPr>
          <w:rStyle w:val="StrongEmphasis"/>
          <w:rFonts w:ascii="Calibri" w:hAnsi="Calibri" w:cs="Calibri"/>
          <w:b w:val="0"/>
          <w:bCs w:val="0"/>
        </w:rPr>
        <w:t>This cooperation, particularly through data-</w:t>
      </w:r>
      <w:r>
        <w:rPr>
          <w:rStyle w:val="StrongEmphasis"/>
          <w:rFonts w:ascii="Calibri" w:hAnsi="Calibri" w:cs="Calibri"/>
          <w:b w:val="0"/>
          <w:bCs w:val="0"/>
        </w:rPr>
        <w:t>sharing  in</w:t>
      </w:r>
      <w:r>
        <w:rPr>
          <w:rStyle w:val="StrongEmphasis"/>
          <w:rFonts w:ascii="Calibri" w:hAnsi="Calibri" w:cs="Calibri"/>
          <w:b w:val="0"/>
          <w:bCs w:val="0"/>
        </w:rPr>
        <w:t xml:space="preserve"> clauses  (27–33), means that investigative techniques initially designed for counterterrorism could be applied to immigration and gang-related crime.</w:t>
      </w:r>
    </w:p>
    <w:p w:rsidR="009F1971">
      <w:pPr>
        <w:pStyle w:val="Textbody"/>
        <w:numPr>
          <w:ilvl w:val="0"/>
          <w:numId w:val="6"/>
        </w:numPr>
      </w:pPr>
      <w:r>
        <w:rPr>
          <w:rStyle w:val="StrongEmphasis"/>
          <w:rFonts w:ascii="Calibri" w:hAnsi="Calibri" w:cs="Calibri"/>
          <w:b w:val="0"/>
          <w:bCs w:val="0"/>
        </w:rPr>
        <w:t>[Independent authorisation for data to be shared with or retained by security agencies?</w:t>
      </w:r>
    </w:p>
    <w:p w:rsidR="009F1971">
      <w:pPr>
        <w:pStyle w:val="Textbody"/>
        <w:numPr>
          <w:ilvl w:val="0"/>
          <w:numId w:val="6"/>
        </w:numPr>
      </w:pPr>
      <w:r>
        <w:rPr>
          <w:rStyle w:val="StrongEmphasis"/>
          <w:rFonts w:ascii="Calibri" w:hAnsi="Calibri" w:cs="Calibri"/>
          <w:b w:val="0"/>
          <w:bCs w:val="0"/>
        </w:rPr>
        <w:t xml:space="preserve">Migrants, refugees, and asylum seekers, who are already in </w:t>
      </w:r>
      <w:r>
        <w:rPr>
          <w:rStyle w:val="StrongEmphasis"/>
          <w:rFonts w:ascii="Calibri" w:hAnsi="Calibri" w:cs="Calibri"/>
          <w:b w:val="0"/>
          <w:bCs w:val="0"/>
        </w:rPr>
        <w:t xml:space="preserve">vulnerable positions, might find themselves subject to investigative methods that are not traditionally used in ordinary criminal proceedings. </w:t>
      </w:r>
      <w:r>
        <w:rPr>
          <w:rStyle w:val="StrongEmphasis"/>
          <w:rFonts w:ascii="Calibri" w:hAnsi="Calibri" w:cs="Calibri"/>
          <w:b w:val="0"/>
          <w:bCs w:val="0"/>
        </w:rPr>
        <w:t>This raises</w:t>
      </w:r>
      <w:r>
        <w:rPr>
          <w:rStyle w:val="StrongEmphasis"/>
          <w:rFonts w:ascii="Calibri" w:hAnsi="Calibri" w:cs="Calibri"/>
          <w:b w:val="0"/>
          <w:bCs w:val="0"/>
        </w:rPr>
        <w:t xml:space="preserve"> concerns that such individuals could be swept into regimes of surveillance and investigatory practices that lack the safeguards typically afforded under normal criminal law.</w:t>
      </w:r>
    </w:p>
    <w:p w:rsidR="009F1971">
      <w:pPr>
        <w:pStyle w:val="Textbody"/>
        <w:numPr>
          <w:ilvl w:val="0"/>
          <w:numId w:val="6"/>
        </w:numPr>
      </w:pPr>
      <w:r>
        <w:rPr>
          <w:rStyle w:val="StrongEmphasis"/>
          <w:rFonts w:ascii="Calibri" w:hAnsi="Calibri" w:cs="Calibri"/>
          <w:b w:val="0"/>
          <w:bCs w:val="0"/>
        </w:rPr>
        <w:t>The security apparatus (like GCHQ) might use secret methods and investigatory techniques that are difficult to scrutinise or hold accountable. Even if no new arrest or search powers are granted directly to intelligence agencies, their involvement in border operations implies that the powerful, covert tools of national security would be employed without the robust oversight that applies to standard law enforcement. There is a real risk that these methods will disproportionately affect migrants. If intelligen</w:t>
      </w:r>
      <w:r>
        <w:rPr>
          <w:rStyle w:val="StrongEmphasis"/>
          <w:rFonts w:ascii="Calibri" w:hAnsi="Calibri" w:cs="Calibri"/>
          <w:b w:val="0"/>
          <w:bCs w:val="0"/>
        </w:rPr>
        <w:t>ce techniques are applied in the context of immigration enforcement, individuals seeking asylum or protection may be treated as potential criminals rather than vulnerable people fleeing persecution.</w:t>
      </w:r>
    </w:p>
    <w:p w:rsidR="009F1971">
      <w:pPr>
        <w:pStyle w:val="Textbody"/>
        <w:numPr>
          <w:ilvl w:val="0"/>
          <w:numId w:val="6"/>
        </w:numPr>
      </w:pPr>
      <w:r>
        <w:rPr>
          <w:rStyle w:val="StrongEmphasis"/>
          <w:rFonts w:ascii="Calibri" w:hAnsi="Calibri" w:cs="Calibri"/>
          <w:b w:val="0"/>
          <w:bCs w:val="0"/>
        </w:rPr>
        <w:t>The use of these powers in the immigration context may contravene the principle of proportionality under UK law</w:t>
      </w:r>
      <w:r>
        <w:rPr>
          <w:rStyle w:val="StrongEmphasis"/>
          <w:rFonts w:ascii="Calibri" w:hAnsi="Calibri" w:cs="Calibri"/>
          <w:b w:val="0"/>
          <w:bCs w:val="0"/>
        </w:rPr>
        <w:footnoteReference w:id="6"/>
      </w:r>
      <w:r>
        <w:rPr>
          <w:rStyle w:val="StrongEmphasis"/>
          <w:rFonts w:ascii="Calibri" w:hAnsi="Calibri" w:cs="Calibri"/>
          <w:b w:val="0"/>
          <w:bCs w:val="0"/>
        </w:rPr>
        <w:t xml:space="preserve">, as established </w:t>
      </w:r>
      <w:r>
        <w:rPr>
          <w:rStyle w:val="StrongEmphasis"/>
          <w:rFonts w:ascii="Calibri" w:hAnsi="Calibri" w:cs="Calibri"/>
          <w:b w:val="0"/>
          <w:bCs w:val="0"/>
        </w:rPr>
        <w:t>in  the</w:t>
      </w:r>
      <w:r>
        <w:rPr>
          <w:rStyle w:val="StrongEmphasis"/>
          <w:rFonts w:ascii="Calibri" w:hAnsi="Calibri" w:cs="Calibri"/>
          <w:b w:val="0"/>
          <w:bCs w:val="0"/>
        </w:rPr>
        <w:t xml:space="preserve"> interpretation of Article 8 of the European Convention on Human Rights (ECHR) and key judgments by the European Court of Human Rights.</w:t>
      </w:r>
    </w:p>
    <w:p w:rsidR="009F1971">
      <w:pPr>
        <w:pStyle w:val="Textbody"/>
        <w:numPr>
          <w:ilvl w:val="0"/>
          <w:numId w:val="6"/>
        </w:numPr>
      </w:pPr>
      <w:r>
        <w:rPr>
          <w:rStyle w:val="StrongEmphasis"/>
          <w:rFonts w:ascii="Calibri" w:hAnsi="Calibri" w:cs="Calibri"/>
          <w:b w:val="0"/>
          <w:bCs w:val="0"/>
        </w:rPr>
        <w:t>We are concerned that the lack of bespoke oversight risks leaving affected individuals without an effective remedy, violating the right to a fair hearing. We strongly recommend scrapping clauses giving intelligence agencies such powers. This may lead to people who overstay their visas being subjected to antiterrorism measures with longer detention periods and less judicial oversight.</w:t>
      </w:r>
    </w:p>
    <w:p w:rsidR="009F1971">
      <w:pPr>
        <w:pStyle w:val="Heading2"/>
      </w:pPr>
      <w:bookmarkStart w:id="10" w:name="__RefHeading___Toc1229_1705728590"/>
      <w:r>
        <w:rPr>
          <w:rStyle w:val="StrongEmphasis"/>
          <w:rFonts w:ascii="Calibri" w:hAnsi="Calibri" w:cs="Calibri"/>
          <w:b/>
          <w:bCs/>
          <w:sz w:val="24"/>
          <w:szCs w:val="24"/>
        </w:rPr>
        <w:t>Clauses</w:t>
      </w:r>
      <w:r>
        <w:rPr>
          <w:rFonts w:ascii="Calibri" w:hAnsi="Calibri" w:cs="Calibri"/>
          <w:sz w:val="24"/>
          <w:szCs w:val="24"/>
        </w:rPr>
        <w:t xml:space="preserve"> 19-23: broad powers to search and share information</w:t>
      </w:r>
      <w:bookmarkEnd w:id="10"/>
    </w:p>
    <w:p w:rsidR="009F1971">
      <w:pPr>
        <w:pStyle w:val="Textbody"/>
      </w:pPr>
      <w:r>
        <w:rPr>
          <w:rFonts w:ascii="Calibri" w:hAnsi="Calibri" w:cs="Calibri"/>
        </w:rPr>
        <w:t xml:space="preserve">Theses clauses </w:t>
      </w:r>
      <w:r>
        <w:rPr>
          <w:rFonts w:ascii="Calibri" w:hAnsi="Calibri" w:cs="Calibri"/>
        </w:rPr>
        <w:t>define</w:t>
      </w:r>
      <w:r>
        <w:rPr>
          <w:rFonts w:ascii="Calibri" w:hAnsi="Calibri" w:cs="Calibri"/>
          <w:i/>
          <w:iCs/>
        </w:rPr>
        <w:t>"relevant</w:t>
      </w:r>
      <w:r>
        <w:rPr>
          <w:rFonts w:ascii="Calibri" w:hAnsi="Calibri" w:cs="Calibri"/>
          <w:i/>
          <w:iCs/>
        </w:rPr>
        <w:t xml:space="preserve"> persons"</w:t>
      </w:r>
      <w:r>
        <w:rPr>
          <w:rFonts w:ascii="Calibri" w:hAnsi="Calibri" w:cs="Calibri"/>
        </w:rPr>
        <w:t xml:space="preserve"> (those entering the UK without proper documentation) and allows authorised officers to search, seize, and retain electronic devices (e.g., phones, laptops) of </w:t>
      </w:r>
      <w:r>
        <w:rPr>
          <w:rFonts w:ascii="Calibri" w:hAnsi="Calibri" w:cs="Calibri"/>
        </w:rPr>
        <w:t xml:space="preserve">asylum seekers and migrants if they have </w:t>
      </w:r>
      <w:r>
        <w:rPr>
          <w:rFonts w:ascii="Calibri" w:hAnsi="Calibri" w:cs="Calibri"/>
          <w:i/>
          <w:iCs/>
        </w:rPr>
        <w:t>"reasonable grounds to suspect"</w:t>
      </w:r>
      <w:r>
        <w:rPr>
          <w:rFonts w:ascii="Calibri" w:hAnsi="Calibri" w:cs="Calibri"/>
        </w:rPr>
        <w:t xml:space="preserve"> them of an offence. It grants broad powers to access, copy, extract information and use any data stored on these devices. The Bill also allows officers to retain data for as long as they deem </w:t>
      </w:r>
      <w:r>
        <w:rPr>
          <w:rFonts w:ascii="Calibri" w:hAnsi="Calibri" w:cs="Calibri"/>
          <w:i/>
          <w:iCs/>
        </w:rPr>
        <w:t>"necessary</w:t>
      </w:r>
      <w:r>
        <w:rPr>
          <w:rFonts w:ascii="Calibri" w:hAnsi="Calibri" w:cs="Calibri"/>
          <w:i/>
          <w:iCs/>
        </w:rPr>
        <w:t>"</w:t>
      </w:r>
      <w:r>
        <w:rPr>
          <w:rFonts w:ascii="Calibri" w:hAnsi="Calibri" w:cs="Calibri"/>
        </w:rPr>
        <w:t xml:space="preserve"> ,</w:t>
      </w:r>
      <w:r>
        <w:rPr>
          <w:rFonts w:ascii="Calibri" w:hAnsi="Calibri" w:cs="Calibri"/>
        </w:rPr>
        <w:t xml:space="preserve"> with potential onward disclosure to other agencie</w:t>
      </w:r>
      <w:r>
        <w:rPr>
          <w:rFonts w:ascii="Calibri" w:hAnsi="Calibri" w:cs="Calibri"/>
        </w:rPr>
        <w:t>s.</w:t>
      </w:r>
    </w:p>
    <w:p w:rsidR="009F1971">
      <w:pPr>
        <w:pStyle w:val="Textbody"/>
        <w:numPr>
          <w:ilvl w:val="0"/>
          <w:numId w:val="7"/>
        </w:numPr>
      </w:pPr>
      <w:r>
        <w:rPr>
          <w:rFonts w:ascii="Calibri" w:hAnsi="Calibri" w:cs="Calibri"/>
        </w:rPr>
        <w:t xml:space="preserve">Our concern is that these clauses risk invasive digital searches. The broad definition of </w:t>
      </w:r>
      <w:r>
        <w:rPr>
          <w:rFonts w:ascii="Calibri" w:hAnsi="Calibri" w:cs="Calibri"/>
          <w:i/>
          <w:iCs/>
        </w:rPr>
        <w:t>“relevant articles”</w:t>
      </w:r>
      <w:r>
        <w:rPr>
          <w:rFonts w:ascii="Calibri" w:hAnsi="Calibri" w:cs="Calibri"/>
        </w:rPr>
        <w:t xml:space="preserve"> and the broad authority to search persons for electronic devices, especially the power to access, copy, and use data stored on those devices, raise serious privacy concerns. For migrants, refugees, and asylum seekers (who may already be in vulnerable positions), these provisions could lead to disproportionate invasions of digital autonomy.</w:t>
      </w:r>
    </w:p>
    <w:p w:rsidR="009F1971">
      <w:pPr>
        <w:pStyle w:val="Textbody"/>
        <w:numPr>
          <w:ilvl w:val="0"/>
          <w:numId w:val="7"/>
        </w:numPr>
      </w:pPr>
      <w:r>
        <w:rPr>
          <w:rFonts w:ascii="Calibri" w:hAnsi="Calibri" w:cs="Calibri"/>
        </w:rPr>
        <w:t xml:space="preserve">While the Bill states that searches must be </w:t>
      </w:r>
      <w:r>
        <w:rPr>
          <w:rFonts w:ascii="Calibri" w:hAnsi="Calibri" w:cs="Calibri"/>
          <w:i/>
          <w:iCs/>
        </w:rPr>
        <w:t>“reasonable”</w:t>
      </w:r>
      <w:r>
        <w:rPr>
          <w:rFonts w:ascii="Calibri" w:hAnsi="Calibri" w:cs="Calibri"/>
        </w:rPr>
        <w:t>, the broad scope of digital data that can be accessed (often without judicial oversight at the point of search) means that sensitive personal information may be collected and retained without adequate safeguards.</w:t>
      </w:r>
    </w:p>
    <w:p w:rsidR="009F1971">
      <w:pPr>
        <w:pStyle w:val="Textbody"/>
        <w:numPr>
          <w:ilvl w:val="0"/>
          <w:numId w:val="8"/>
        </w:numPr>
      </w:pPr>
      <w:r>
        <w:rPr>
          <w:rFonts w:ascii="Calibri" w:hAnsi="Calibri" w:cs="Calibri"/>
        </w:rPr>
        <w:t xml:space="preserve">The Bill allows broad searches, without a warrant or independent authorisation, of migrants and asylum seekers’ electronic devices. Migrants could be compelled to unlock their devices, violating privacy rights </w:t>
      </w:r>
      <w:r>
        <w:rPr>
          <w:rFonts w:ascii="Calibri" w:hAnsi="Calibri" w:cs="Calibri"/>
          <w:i/>
          <w:iCs/>
        </w:rPr>
        <w:t xml:space="preserve">(Article 8, European Convention on Human Rights). </w:t>
      </w:r>
      <w:r>
        <w:rPr>
          <w:rFonts w:ascii="Calibri" w:hAnsi="Calibri" w:cs="Calibri"/>
        </w:rPr>
        <w:t>In 2022, the High Court ruled that the UK Home Office's covert and indiscriminate practice of seizing and searching migrants' mobile phones violated Article 8 of the European Convention on Human Rights, as well as UK data protection laws</w:t>
      </w:r>
      <w:r>
        <w:rPr>
          <w:rStyle w:val="FootnoteReference"/>
          <w:rFonts w:ascii="Calibri" w:hAnsi="Calibri" w:cs="Calibri"/>
        </w:rPr>
        <w:footnoteReference w:id="7"/>
      </w:r>
      <w:r>
        <w:rPr>
          <w:rFonts w:ascii="Calibri" w:hAnsi="Calibri" w:cs="Calibri"/>
        </w:rPr>
        <w:t>. The High Court ordered the UK Home Office to provide a remedy to the thousands of migrants affected by its unlawful policy and practice of seizing mobile phones from people arriving by small boats to UK shores</w:t>
      </w:r>
      <w:r>
        <w:rPr>
          <w:rStyle w:val="FootnoteReference"/>
          <w:rFonts w:ascii="Calibri" w:hAnsi="Calibri" w:cs="Calibri"/>
        </w:rPr>
        <w:footnoteReference w:id="8"/>
      </w:r>
      <w:r>
        <w:rPr>
          <w:rFonts w:ascii="Calibri" w:hAnsi="Calibri" w:cs="Calibri"/>
        </w:rPr>
        <w:t>.</w:t>
      </w:r>
    </w:p>
    <w:p w:rsidR="009F1971">
      <w:pPr>
        <w:pStyle w:val="Textbody"/>
        <w:numPr>
          <w:ilvl w:val="0"/>
          <w:numId w:val="8"/>
        </w:numPr>
        <w:rPr>
          <w:rFonts w:ascii="Calibri" w:hAnsi="Calibri" w:cs="Calibri"/>
        </w:rPr>
      </w:pPr>
      <w:r>
        <w:rPr>
          <w:rFonts w:ascii="Calibri" w:hAnsi="Calibri" w:cs="Calibri"/>
        </w:rPr>
        <w:t xml:space="preserve">It is unclear why UK legislation requires independent authorisation for communications data access such as phone or Internet records, but not for mobile phone seizures, except that court rulings required the UK government to introduce it, following the Watson case at the CJEU. In our view, the intrusiveness of mobile phone seizures is similar to </w:t>
      </w:r>
      <w:r>
        <w:rPr>
          <w:rFonts w:ascii="Calibri" w:hAnsi="Calibri" w:cs="Calibri"/>
        </w:rPr>
        <w:t>communications data, and</w:t>
      </w:r>
      <w:r>
        <w:rPr>
          <w:rFonts w:ascii="Calibri" w:hAnsi="Calibri" w:cs="Calibri"/>
        </w:rPr>
        <w:t xml:space="preserve"> should be subject to independent authorisations.</w:t>
      </w:r>
    </w:p>
    <w:p w:rsidR="009F1971">
      <w:pPr>
        <w:pStyle w:val="Textbody"/>
        <w:numPr>
          <w:ilvl w:val="0"/>
          <w:numId w:val="7"/>
        </w:numPr>
        <w:rPr>
          <w:rFonts w:ascii="Calibri" w:hAnsi="Calibri" w:cs="Calibri"/>
        </w:rPr>
      </w:pPr>
      <w:r>
        <w:rPr>
          <w:rFonts w:ascii="Calibri" w:hAnsi="Calibri" w:cs="Calibri"/>
        </w:rPr>
        <w:t>There is a risk that seizure and retention of devices could cut migrants off from legal assistance, family, and support networks, increasing vulnerability.</w:t>
      </w:r>
    </w:p>
    <w:p w:rsidR="009F1971">
      <w:pPr>
        <w:pStyle w:val="Textbody"/>
        <w:numPr>
          <w:ilvl w:val="0"/>
          <w:numId w:val="7"/>
        </w:numPr>
        <w:rPr>
          <w:rFonts w:ascii="Calibri" w:hAnsi="Calibri" w:cs="Calibri"/>
        </w:rPr>
      </w:pPr>
      <w:r>
        <w:rPr>
          <w:rFonts w:ascii="Calibri" w:hAnsi="Calibri" w:cs="Calibri"/>
        </w:rPr>
        <w:t>A key concern is that nearly every individual arriving by “small boat” with an electronic device may be presumed to hold relevant information, effectively leading to indiscriminate searches and seizures.</w:t>
      </w:r>
    </w:p>
    <w:p w:rsidR="009F1971">
      <w:pPr>
        <w:pStyle w:val="Textbody"/>
        <w:numPr>
          <w:ilvl w:val="0"/>
          <w:numId w:val="7"/>
        </w:numPr>
        <w:rPr>
          <w:rFonts w:ascii="Calibri" w:hAnsi="Calibri" w:cs="Calibri"/>
        </w:rPr>
      </w:pPr>
      <w:r>
        <w:rPr>
          <w:rFonts w:ascii="Calibri" w:hAnsi="Calibri" w:cs="Calibri"/>
        </w:rPr>
        <w:t>The provisions enable the creation of a multi-agency data pool, which risks pervasive monitoring of migrants. This practice raises serious concerns under the UK General Data Protection Regulation (UK GDPR) and the Data Protection Act 2018, which require data processing to be lawful, fair, and transparent.</w:t>
      </w:r>
    </w:p>
    <w:p w:rsidR="009F1971">
      <w:pPr>
        <w:pStyle w:val="Textbody"/>
        <w:numPr>
          <w:ilvl w:val="0"/>
          <w:numId w:val="7"/>
        </w:numPr>
        <w:rPr>
          <w:rFonts w:ascii="Calibri" w:hAnsi="Calibri" w:cs="Calibri"/>
        </w:rPr>
      </w:pPr>
      <w:r>
        <w:rPr>
          <w:rFonts w:ascii="Calibri" w:hAnsi="Calibri" w:cs="Calibri"/>
        </w:rPr>
        <w:t>When digital devices are deemed suspect by default and subjected to broad search powers without stringent judicial authorisation, there is a real danger of disproportionate enforcement against vulnerable groups. This approach may conflict with the principle of data minimisation, a core tenet of the GDPR.</w:t>
      </w:r>
    </w:p>
    <w:p w:rsidR="009F1971">
      <w:pPr>
        <w:pStyle w:val="Textbody"/>
        <w:numPr>
          <w:ilvl w:val="0"/>
          <w:numId w:val="7"/>
        </w:numPr>
      </w:pPr>
      <w:r>
        <w:rPr>
          <w:rStyle w:val="StrongEmphasis"/>
          <w:rFonts w:ascii="Calibri" w:hAnsi="Calibri" w:cs="Calibri"/>
          <w:b w:val="0"/>
          <w:bCs w:val="0"/>
        </w:rPr>
        <w:t xml:space="preserve">The Bill’s provisions target those who have entered the UK without proper leave, a category that includes many asylum seekers and migrants fleeing persecution. Using digital search powers in such </w:t>
      </w:r>
      <w:r>
        <w:rPr>
          <w:rStyle w:val="StrongEmphasis"/>
          <w:rFonts w:ascii="Calibri" w:hAnsi="Calibri" w:cs="Calibri"/>
          <w:b w:val="0"/>
          <w:bCs w:val="0"/>
        </w:rPr>
        <w:t>contexts</w:t>
      </w:r>
      <w:r>
        <w:rPr>
          <w:rStyle w:val="StrongEmphasis"/>
          <w:rFonts w:ascii="Calibri" w:hAnsi="Calibri" w:cs="Calibri"/>
          <w:b w:val="0"/>
          <w:bCs w:val="0"/>
        </w:rPr>
        <w:t xml:space="preserve"> risks conflating humanitarian irregularity with criminal behaviour. When electronic devices and data are automatically deemed suspect, it creates a system in which vulnerable individuals may be treated as potential criminals or terrorists rather than people seeking protection.</w:t>
      </w:r>
    </w:p>
    <w:p w:rsidR="009F1971">
      <w:pPr>
        <w:pStyle w:val="Textbody"/>
        <w:numPr>
          <w:ilvl w:val="0"/>
          <w:numId w:val="7"/>
        </w:numPr>
        <w:rPr>
          <w:rFonts w:ascii="Calibri" w:hAnsi="Calibri" w:cs="Calibri"/>
        </w:rPr>
      </w:pPr>
      <w:r>
        <w:rPr>
          <w:rFonts w:ascii="Calibri" w:hAnsi="Calibri" w:cs="Calibri"/>
        </w:rPr>
        <w:t>The Bill effectively creates a multi-way data-pooling system and enables mass profiling. Once customs/travel data is linked across the government agencies, it can facilitate more pervasive monitoring. This can lead to a chilling effect, especially if data includes details of group travel or diaspora communities. Legitimate associational or humanitarian activities might be subject to heightened scrutiny.</w:t>
      </w:r>
    </w:p>
    <w:p w:rsidR="009F1971">
      <w:pPr>
        <w:pStyle w:val="Textbody"/>
        <w:numPr>
          <w:ilvl w:val="0"/>
          <w:numId w:val="7"/>
        </w:numPr>
        <w:rPr>
          <w:rFonts w:ascii="Calibri" w:hAnsi="Calibri" w:cs="Calibri"/>
        </w:rPr>
      </w:pPr>
      <w:r>
        <w:rPr>
          <w:rFonts w:ascii="Calibri" w:hAnsi="Calibri" w:cs="Calibri"/>
        </w:rPr>
        <w:t>Such provisions risk exposing sensitive personal and digital information about migrants to agencies that use counterterrorism tools that typically operate under a veil of secrecy.</w:t>
      </w:r>
    </w:p>
    <w:p w:rsidR="009F1971">
      <w:pPr>
        <w:pStyle w:val="Textbody"/>
        <w:numPr>
          <w:ilvl w:val="0"/>
          <w:numId w:val="7"/>
        </w:numPr>
      </w:pPr>
      <w:r>
        <w:rPr>
          <w:rFonts w:ascii="Calibri" w:hAnsi="Calibri" w:cs="Calibri"/>
        </w:rPr>
        <w:t xml:space="preserve">Such clauses risk violating the digital rights of those people seeking safety and treating them like criminals.  Crossing borders is a civil </w:t>
      </w:r>
      <w:r>
        <w:rPr>
          <w:rFonts w:ascii="Calibri" w:hAnsi="Calibri" w:cs="Calibri"/>
        </w:rPr>
        <w:t>matter, and</w:t>
      </w:r>
      <w:r>
        <w:rPr>
          <w:rFonts w:ascii="Calibri" w:hAnsi="Calibri" w:cs="Calibri"/>
        </w:rPr>
        <w:t xml:space="preserve"> cannot be treated as a criminal offence when the subject has committed no crime. Criminalising irregular migrants who enter the country seeking safety, claiming asylum, escaping persecution, and in need of protection is contrary to the international law that the UK is legally bound to Article 31(1) of the 1951 United Nations Convention Relating to the Status of Refugees states that:</w:t>
      </w:r>
      <w:r>
        <w:rPr>
          <w:rStyle w:val="FootnoteReference"/>
          <w:rFonts w:ascii="Calibri" w:hAnsi="Calibri" w:cs="Calibri"/>
        </w:rPr>
        <w:footnoteReference w:id="9"/>
      </w:r>
      <w:r>
        <w:rPr>
          <w:rFonts w:ascii="Calibri" w:hAnsi="Calibri" w:cs="Calibri"/>
        </w:rPr>
        <w:t>:</w:t>
      </w:r>
    </w:p>
    <w:p w:rsidR="009F1971">
      <w:pPr>
        <w:pStyle w:val="Textbody"/>
        <w:rPr>
          <w:rFonts w:ascii="Calibri" w:hAnsi="Calibri" w:cs="Calibri"/>
          <w:i/>
          <w:iCs/>
        </w:rPr>
      </w:pPr>
      <w:r>
        <w:rPr>
          <w:rFonts w:ascii="Calibri" w:hAnsi="Calibri" w:cs="Calibri"/>
          <w:i/>
          <w:iCs/>
        </w:rPr>
        <w:t xml:space="preserve">“The Contracting States shall </w:t>
      </w:r>
      <w:r>
        <w:rPr>
          <w:rFonts w:ascii="Calibri" w:hAnsi="Calibri" w:cs="Calibri"/>
          <w:i/>
          <w:iCs/>
        </w:rPr>
        <w:t>not impose penalties, on account of their illegal entry or presence, on refugees who, coming directly from a territory where their life or freedom was threatened in the sense of article 1, enter or are present in their territory without authorization, provided they present themselves without delay to the authorities and show good cause for their illegal entry or presence.”</w:t>
      </w:r>
    </w:p>
    <w:p w:rsidR="009F1971">
      <w:pPr>
        <w:pStyle w:val="Textbody"/>
        <w:numPr>
          <w:ilvl w:val="0"/>
          <w:numId w:val="7"/>
        </w:numPr>
        <w:rPr>
          <w:rFonts w:ascii="Calibri" w:hAnsi="Calibri" w:cs="Calibri"/>
        </w:rPr>
      </w:pPr>
      <w:r>
        <w:rPr>
          <w:rFonts w:ascii="Calibri" w:hAnsi="Calibri" w:cs="Calibri"/>
        </w:rPr>
        <w:t>We recommend adding that any data processing operation carried out under these provisions should comply with Part 3 of the Data Protection Act 2018, even where those data processing were being carried out by intelligence services.</w:t>
      </w:r>
    </w:p>
    <w:p w:rsidR="009F1971">
      <w:pPr>
        <w:pStyle w:val="Textbody"/>
        <w:rPr>
          <w:rFonts w:ascii="Calibri" w:hAnsi="Calibri" w:cs="Calibri"/>
        </w:rPr>
      </w:pPr>
    </w:p>
    <w:p w:rsidR="009F1971">
      <w:pPr>
        <w:pStyle w:val="Heading1"/>
        <w:rPr>
          <w:rFonts w:ascii="Calibri" w:hAnsi="Calibri" w:cs="Calibri"/>
          <w:sz w:val="24"/>
          <w:szCs w:val="24"/>
        </w:rPr>
      </w:pPr>
    </w:p>
    <w:p w:rsidR="009F1971">
      <w:pPr>
        <w:pStyle w:val="Heading1"/>
        <w:pageBreakBefore/>
      </w:pPr>
      <w:bookmarkStart w:id="13" w:name="__RefHeading___Toc2485_290074599"/>
      <w:r>
        <w:rPr>
          <w:rStyle w:val="StrongEmphasis"/>
          <w:rFonts w:ascii="Calibri" w:hAnsi="Calibri" w:cs="Calibri"/>
          <w:sz w:val="24"/>
          <w:szCs w:val="24"/>
        </w:rPr>
        <w:t>6. Conclusion:</w:t>
      </w:r>
      <w:bookmarkEnd w:id="13"/>
    </w:p>
    <w:p w:rsidR="009F1971">
      <w:pPr>
        <w:pStyle w:val="Heading2"/>
      </w:pPr>
      <w:bookmarkStart w:id="14" w:name="__RefHeading___Toc2158_1094850112"/>
      <w:r>
        <w:rPr>
          <w:rStyle w:val="StrongEmphasis"/>
          <w:rFonts w:ascii="Calibri" w:hAnsi="Calibri" w:cs="Calibri"/>
          <w:sz w:val="24"/>
          <w:szCs w:val="24"/>
        </w:rPr>
        <w:t>Powers lack accountability and intelligence integration poses dangers</w:t>
      </w:r>
      <w:r>
        <w:rPr>
          <w:rStyle w:val="StrongEmphasis"/>
          <w:rFonts w:ascii="Calibri" w:hAnsi="Calibri" w:cs="Calibri"/>
          <w:sz w:val="24"/>
          <w:szCs w:val="24"/>
        </w:rPr>
        <w:br/>
      </w:r>
      <w:bookmarkEnd w:id="14"/>
    </w:p>
    <w:p w:rsidR="009F1971">
      <w:pPr>
        <w:pStyle w:val="Textbody"/>
      </w:pPr>
      <w:r>
        <w:rPr>
          <w:rStyle w:val="StrongEmphasis"/>
          <w:rFonts w:ascii="Calibri" w:hAnsi="Calibri" w:cs="Calibri"/>
          <w:b w:val="0"/>
          <w:bCs w:val="0"/>
        </w:rPr>
        <w:t xml:space="preserve">We applaud the government's commitment to upholding </w:t>
      </w:r>
      <w:r>
        <w:rPr>
          <w:rStyle w:val="StrongEmphasis"/>
          <w:rFonts w:ascii="Calibri" w:hAnsi="Calibri" w:cs="Calibri"/>
          <w:b w:val="0"/>
          <w:bCs w:val="0"/>
        </w:rPr>
        <w:t>international human rights by repealing the entire Rwanda Safety Act. However, we are gravely concerned that the government has not taken the decisive step of repealing the entire Illegal Migration Act—contrary to their stance when in opposition—which continues to undermine the rights of vulnerable migrants.</w:t>
      </w:r>
    </w:p>
    <w:p w:rsidR="009F1971">
      <w:pPr>
        <w:pStyle w:val="Textbody"/>
      </w:pPr>
      <w:r>
        <w:rPr>
          <w:rStyle w:val="StrongEmphasis"/>
          <w:rFonts w:ascii="Calibri" w:hAnsi="Calibri" w:cs="Calibri"/>
          <w:b w:val="0"/>
          <w:bCs w:val="0"/>
        </w:rPr>
        <w:t>This Bill represents a critical moment in fully embracing the rule of international law. While it is essential to disrupt the operations of human smugglers, it is equally imperative that we do not penalise or criminalise those fleeing war, death, and persecution. Migrants crossing our borders should be treated as individuals seeking safety rather than as criminals. In line with the human rights conventions to which the UK is committed, the way an individual enters the country must not be used as a basis for</w:t>
      </w:r>
      <w:r>
        <w:rPr>
          <w:rStyle w:val="StrongEmphasis"/>
          <w:rFonts w:ascii="Calibri" w:hAnsi="Calibri" w:cs="Calibri"/>
          <w:b w:val="0"/>
          <w:bCs w:val="0"/>
        </w:rPr>
        <w:t xml:space="preserve"> penalisation. Refugees and asylum seekers should enjoy the same rights regarding data handling as British citizens, ensuring that their digital and fundamental rights are fully protected. The government must seize this opportunity to establish a safe, direct route for those seeking refuge, thereby upholding international standards and safeguarding the dignity and privacy of all individuals.</w:t>
      </w:r>
    </w:p>
    <w:p w:rsidR="009F1971">
      <w:pPr>
        <w:pStyle w:val="Textbody"/>
      </w:pPr>
      <w:r>
        <w:rPr>
          <w:rStyle w:val="StrongEmphasis"/>
          <w:rFonts w:ascii="Calibri" w:hAnsi="Calibri" w:cs="Calibri"/>
          <w:b w:val="0"/>
          <w:bCs w:val="0"/>
        </w:rPr>
        <w:t>The Bill’s approach to bolstering national security by integrating intelligence capabilities into border enforcement risks sacrificing the rights of vulnerable people. Evidence shows that smugglers do not endanger themselves by embarking on these perilous journeys; instead, genuine asylum seekers, who may simply have digital records of their travel, are at risk of being unfairly criminalised. To dismantle the smuggling business model, the government must establish a safe, humane route for those seeking refu</w:t>
      </w:r>
      <w:r>
        <w:rPr>
          <w:rStyle w:val="StrongEmphasis"/>
          <w:rFonts w:ascii="Calibri" w:hAnsi="Calibri" w:cs="Calibri"/>
          <w:b w:val="0"/>
          <w:bCs w:val="0"/>
        </w:rPr>
        <w:t>ge.</w:t>
      </w:r>
    </w:p>
    <w:p w:rsidR="009F1971">
      <w:pPr>
        <w:pStyle w:val="Textbody"/>
      </w:pPr>
      <w:r>
        <w:rPr>
          <w:rStyle w:val="StrongEmphasis"/>
          <w:rFonts w:ascii="Calibri" w:hAnsi="Calibri" w:cs="Calibri"/>
          <w:b w:val="0"/>
          <w:bCs w:val="0"/>
        </w:rPr>
        <w:t xml:space="preserve">Furthermore, the legal framework underpinning these measures is at odds with established human rights and data protection standards, notably those enshrined in the European Convention on Human Rights (ECHR) and the </w:t>
      </w:r>
      <w:r>
        <w:rPr>
          <w:rStyle w:val="StrongEmphasis"/>
          <w:rFonts w:ascii="Calibri" w:hAnsi="Calibri" w:cs="Calibri"/>
          <w:b w:val="0"/>
          <w:bCs w:val="0"/>
        </w:rPr>
        <w:t>UK  GDPR</w:t>
      </w:r>
      <w:r>
        <w:rPr>
          <w:rStyle w:val="StrongEmphasis"/>
          <w:rFonts w:ascii="Calibri" w:hAnsi="Calibri" w:cs="Calibri"/>
          <w:b w:val="0"/>
          <w:bCs w:val="0"/>
        </w:rPr>
        <w:t>. This misalignment not only jeopardises digital privacy and accountability but also sets a dangerous precedent for the erosion of civil liberties in our immigration system.</w:t>
      </w:r>
    </w:p>
    <w:p w:rsidR="009F1971">
      <w:pPr>
        <w:pStyle w:val="Textbody"/>
      </w:pPr>
      <w:r>
        <w:rPr>
          <w:rStyle w:val="StrongEmphasis"/>
          <w:rFonts w:ascii="Calibri" w:hAnsi="Calibri" w:cs="Calibri"/>
          <w:b w:val="0"/>
          <w:bCs w:val="0"/>
        </w:rPr>
        <w:t>Onward disclosure provisions risk repurposing data initially gathered for border security into broader law enforcement applications, which may breach the principle of purpose limitation under data protection law. UK case law, including rulings from the European Court of Human Rights, consistently mandates that state surveillance be both necessary and proportionate. Consequently, the Bill’s expansive powers may well be deemed incompatible with these established legal standards.</w:t>
      </w:r>
    </w:p>
    <w:p w:rsidR="009F1971">
      <w:pPr>
        <w:pStyle w:val="Textbody"/>
      </w:pPr>
      <w:r>
        <w:rPr>
          <w:rStyle w:val="StrongEmphasis"/>
          <w:rFonts w:ascii="Calibri" w:hAnsi="Calibri" w:cs="Calibri"/>
          <w:b w:val="0"/>
          <w:bCs w:val="0"/>
        </w:rPr>
        <w:t>The absolute bare minimum required, in our view, is to ensure that data seizures and data sharing decisions are subject to independent, judicially supervised authorisations.</w:t>
      </w:r>
      <w:bookmarkStart w:id="15" w:name="__DdeLink__1094_1073816188"/>
    </w:p>
    <w:p w:rsidR="009F1971">
      <w:pPr>
        <w:pStyle w:val="Textbody"/>
      </w:pPr>
      <w:r>
        <w:rPr>
          <w:rStyle w:val="Emphasis"/>
          <w:rFonts w:ascii="Calibri" w:hAnsi="Calibri" w:cs="Calibri"/>
          <w:i w:val="0"/>
          <w:iCs w:val="0"/>
        </w:rPr>
        <w:t xml:space="preserve">The Bill sets up frameworks for inter-agency information sharing but relies solely on existing oversight measures rather than introducing bespoke controls designed specifically for the sensitive area of immigration enforcement. Applying counterterrorism techniques to migration without additional safeguards not only undermines UK domestic law and international human rights obligations but also risks creating an environment rife with human rights abuses against migrants and </w:t>
      </w:r>
      <w:r>
        <w:rPr>
          <w:rStyle w:val="Emphasis"/>
          <w:rFonts w:ascii="Calibri" w:hAnsi="Calibri" w:cs="Calibri"/>
          <w:i w:val="0"/>
          <w:iCs w:val="0"/>
        </w:rPr>
        <w:t>asylum seekers. Judicial precedents, notably</w:t>
      </w:r>
      <w:r>
        <w:rPr>
          <w:rStyle w:val="Emphasis"/>
          <w:rFonts w:ascii="Calibri" w:hAnsi="Calibri" w:cs="Calibri"/>
        </w:rPr>
        <w:t xml:space="preserve"> R (on the application of Privacy International) v Investigatory Powers Tribunal </w:t>
      </w:r>
      <w:r>
        <w:rPr>
          <w:rStyle w:val="Emphasis"/>
          <w:rFonts w:ascii="Calibri" w:hAnsi="Calibri" w:cs="Calibri"/>
        </w:rPr>
        <w:footnoteReference w:id="10"/>
      </w:r>
      <w:r>
        <w:rPr>
          <w:rStyle w:val="StrongEmphasis"/>
          <w:rFonts w:ascii="Calibri" w:hAnsi="Calibri" w:cs="Calibri"/>
          <w:b w:val="0"/>
          <w:bCs w:val="0"/>
        </w:rPr>
        <w:t>, highlight the need for transparent and accountable oversight, underscoring that the lack of dedicated oversight for these expanded powers is legally problematic.</w:t>
      </w:r>
    </w:p>
    <w:p w:rsidR="009F1971">
      <w:pPr>
        <w:pStyle w:val="Textbody"/>
      </w:pPr>
      <w:bookmarkEnd w:id="15"/>
      <w:r>
        <w:rPr>
          <w:rStyle w:val="StrongEmphasis"/>
          <w:rFonts w:ascii="Calibri" w:hAnsi="Calibri" w:cs="Calibri"/>
          <w:b w:val="0"/>
          <w:bCs w:val="0"/>
        </w:rPr>
        <w:t>Although intelligence agencies are formally excluded from the “partner authority” designation—ostensibly to preserve their internal oversight—this exclusion does not prevent their methods from being applied in contexts affecting vulnerable individuals. As a result, techniques intended for high-level national security purposes might be inappropriately utilised in immigration enforcement, with serious implications for the rights of those seeking refuge.</w:t>
      </w:r>
    </w:p>
    <w:p w:rsidR="009F1971">
      <w:pPr>
        <w:pStyle w:val="Heading1"/>
        <w:rPr>
          <w:rFonts w:ascii="Calibri" w:hAnsi="Calibri" w:cs="Calibri"/>
          <w:sz w:val="24"/>
          <w:szCs w:val="24"/>
        </w:rPr>
      </w:pPr>
    </w:p>
    <w:p w:rsidR="009F1971">
      <w:pPr>
        <w:pStyle w:val="Heading1"/>
        <w:pageBreakBefore/>
      </w:pPr>
      <w:bookmarkStart w:id="16" w:name="__RefHeading___Toc2487_290074599"/>
      <w:r>
        <w:rPr>
          <w:rStyle w:val="StrongEmphasis"/>
          <w:rFonts w:ascii="Calibri" w:hAnsi="Calibri" w:cs="Calibri"/>
          <w:sz w:val="24"/>
          <w:szCs w:val="24"/>
        </w:rPr>
        <w:t>7. Recommendations</w:t>
      </w:r>
      <w:bookmarkEnd w:id="16"/>
    </w:p>
    <w:p w:rsidR="009F1971">
      <w:pPr>
        <w:pStyle w:val="Heading2"/>
      </w:pPr>
      <w:bookmarkStart w:id="17" w:name="__RefHeading___Toc2171_1094850112"/>
      <w:r>
        <w:rPr>
          <w:rStyle w:val="StrongEmphasis"/>
          <w:rFonts w:ascii="Calibri" w:hAnsi="Calibri" w:cs="Calibri"/>
          <w:sz w:val="24"/>
          <w:szCs w:val="24"/>
        </w:rPr>
        <w:t>Remove unaccountable surveillance powers</w:t>
      </w:r>
      <w:bookmarkEnd w:id="17"/>
    </w:p>
    <w:p w:rsidR="009F1971">
      <w:pPr>
        <w:pStyle w:val="Textbody"/>
        <w:numPr>
          <w:ilvl w:val="0"/>
          <w:numId w:val="9"/>
        </w:numPr>
      </w:pPr>
      <w:r>
        <w:rPr>
          <w:rStyle w:val="StrongEmphasis"/>
          <w:rFonts w:ascii="Calibri" w:hAnsi="Calibri" w:cs="Calibri"/>
          <w:b w:val="0"/>
          <w:bCs w:val="0"/>
        </w:rPr>
        <w:t>We strongly urge that the Bill be amended to remove unaccountable and invasive surveillance powers from its scope. This includes making sure that the powers to search, seize, retain, access, copy, and use data from electronic devices are strictly limited and applied only on a case-by-case basis with rigorous judicial oversight, rather than as a blanket measure.</w:t>
      </w:r>
    </w:p>
    <w:p w:rsidR="009F1971">
      <w:pPr>
        <w:pStyle w:val="Textbody"/>
        <w:numPr>
          <w:ilvl w:val="0"/>
          <w:numId w:val="10"/>
        </w:numPr>
      </w:pPr>
      <w:r>
        <w:rPr>
          <w:rStyle w:val="StrongEmphasis"/>
          <w:rFonts w:ascii="Calibri" w:hAnsi="Calibri" w:cs="Calibri"/>
          <w:b w:val="0"/>
          <w:bCs w:val="0"/>
        </w:rPr>
        <w:t>We strongly recommend that the Bill be amended to prohibit the use of surveillance measures such as GPS ankle tagging in immigration enforcement.</w:t>
      </w:r>
    </w:p>
    <w:p w:rsidR="009F1971">
      <w:pPr>
        <w:pStyle w:val="Textbody"/>
        <w:numPr>
          <w:ilvl w:val="0"/>
          <w:numId w:val="10"/>
        </w:numPr>
      </w:pPr>
      <w:r>
        <w:rPr>
          <w:rStyle w:val="StrongEmphasis"/>
          <w:rFonts w:ascii="Calibri" w:hAnsi="Calibri" w:cs="Calibri"/>
          <w:b w:val="0"/>
          <w:bCs w:val="0"/>
        </w:rPr>
        <w:t>We call to immediately cease the use of GPS tagging as a condition of immigration bail and in all contexts involving asylum seekers. Instead, the government should invest in developing safe and humane routes for people seeking refuge, ensuring that enforcement measures are both proportionate and respectful of fundamental rights.</w:t>
      </w:r>
    </w:p>
    <w:p w:rsidR="009F1971">
      <w:pPr>
        <w:pStyle w:val="Heading2"/>
      </w:pPr>
      <w:bookmarkStart w:id="18" w:name="__RefHeading___Toc2173_1094850112"/>
      <w:r>
        <w:rPr>
          <w:rStyle w:val="StrongEmphasis"/>
          <w:rFonts w:ascii="Calibri" w:hAnsi="Calibri" w:cs="Calibri"/>
          <w:sz w:val="24"/>
          <w:szCs w:val="24"/>
        </w:rPr>
        <w:t>Add safeguards for data collected or shared</w:t>
      </w:r>
      <w:bookmarkEnd w:id="18"/>
    </w:p>
    <w:p w:rsidR="009F1971">
      <w:pPr>
        <w:pStyle w:val="Textbody"/>
        <w:numPr>
          <w:ilvl w:val="0"/>
          <w:numId w:val="10"/>
        </w:numPr>
      </w:pPr>
      <w:r>
        <w:rPr>
          <w:rStyle w:val="StrongEmphasis"/>
          <w:rFonts w:ascii="Calibri" w:hAnsi="Calibri" w:cs="Calibri"/>
          <w:b w:val="0"/>
          <w:bCs w:val="0"/>
        </w:rPr>
        <w:t xml:space="preserve">Collecting and sharing evacuee biometric data must be subject to </w:t>
      </w:r>
      <w:bookmarkStart w:id="19" w:name="__DdeLink__1985_2229817266"/>
      <w:r>
        <w:rPr>
          <w:rStyle w:val="StrongEmphasis"/>
          <w:rFonts w:ascii="Calibri" w:hAnsi="Calibri" w:cs="Calibri"/>
          <w:b w:val="0"/>
          <w:bCs w:val="0"/>
        </w:rPr>
        <w:t>stringent</w:t>
      </w:r>
      <w:bookmarkEnd w:id="19"/>
      <w:r>
        <w:rPr>
          <w:rStyle w:val="StrongEmphasis"/>
          <w:rFonts w:ascii="Calibri" w:hAnsi="Calibri" w:cs="Calibri"/>
          <w:b w:val="0"/>
          <w:bCs w:val="0"/>
        </w:rPr>
        <w:t xml:space="preserve"> safeguards.</w:t>
      </w:r>
    </w:p>
    <w:p w:rsidR="009F1971">
      <w:pPr>
        <w:pStyle w:val="Textbody"/>
        <w:numPr>
          <w:ilvl w:val="0"/>
          <w:numId w:val="10"/>
        </w:numPr>
      </w:pPr>
      <w:r>
        <w:rPr>
          <w:rStyle w:val="StrongEmphasis"/>
          <w:rFonts w:ascii="Calibri" w:hAnsi="Calibri" w:cs="Calibri"/>
          <w:b w:val="0"/>
          <w:bCs w:val="0"/>
        </w:rPr>
        <w:t xml:space="preserve">Valid, informed consent should be obtained before any biometric data is collected or disclosed, and </w:t>
      </w:r>
      <w:r>
        <w:rPr>
          <w:rStyle w:val="StrongEmphasis"/>
          <w:rFonts w:ascii="Calibri" w:hAnsi="Calibri" w:cs="Calibri"/>
          <w:b w:val="0"/>
          <w:bCs w:val="0"/>
        </w:rPr>
        <w:t>prohibit  sharing</w:t>
      </w:r>
      <w:r>
        <w:rPr>
          <w:rStyle w:val="StrongEmphasis"/>
          <w:rFonts w:ascii="Calibri" w:hAnsi="Calibri" w:cs="Calibri"/>
          <w:b w:val="0"/>
          <w:bCs w:val="0"/>
        </w:rPr>
        <w:t xml:space="preserve"> this data with authorities in countries where the individual fears persecution.</w:t>
      </w:r>
    </w:p>
    <w:p w:rsidR="009F1971">
      <w:pPr>
        <w:pStyle w:val="Textbody"/>
        <w:numPr>
          <w:ilvl w:val="0"/>
          <w:numId w:val="10"/>
        </w:numPr>
      </w:pPr>
      <w:r>
        <w:rPr>
          <w:rStyle w:val="StrongEmphasis"/>
          <w:rFonts w:ascii="Calibri" w:hAnsi="Calibri" w:cs="Calibri"/>
          <w:b w:val="0"/>
          <w:bCs w:val="0"/>
        </w:rPr>
        <w:t>Biometric data must be gathered solely to ensure the individual's protection, not for broad security or intelligence purposes. This approach is vital to uphold digital rights and privacy, which align with international human rights standards.</w:t>
      </w:r>
    </w:p>
    <w:p w:rsidR="009F1971">
      <w:pPr>
        <w:pStyle w:val="Textbody"/>
        <w:rPr>
          <w:rFonts w:ascii="Calibri" w:hAnsi="Calibri" w:cs="Calibri"/>
        </w:rPr>
      </w:pPr>
    </w:p>
    <w:p w:rsidR="009F1971">
      <w:pPr>
        <w:pStyle w:val="Textbody"/>
      </w:pPr>
      <w:r>
        <w:rPr>
          <w:rStyle w:val="StrongEmphasis"/>
          <w:rFonts w:ascii="Calibri" w:hAnsi="Calibri" w:cs="Calibri"/>
          <w:i/>
          <w:iCs/>
        </w:rPr>
        <w:t>APRIL 2025</w:t>
      </w:r>
    </w:p>
    <w:sectPr>
      <w:footerReference w:type="default" r:id="rId5"/>
      <w:footerReference w:type="first" r:id="rId6"/>
      <w:pgSz w:w="11906" w:h="16838"/>
      <w:pgMar w:top="1134" w:right="850" w:bottom="1134" w:left="1191" w:header="720" w:footer="524"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OpenSymbol">
    <w:altName w:val="Segoe UI Symbol"/>
    <w:charset w:val="02"/>
    <w:family w:val="auto"/>
    <w:pitch w:val="default"/>
  </w:font>
  <w:font w:name="Times New Roman">
    <w:panose1 w:val="02020603050405020304"/>
    <w:charset w:val="00"/>
    <w:family w:val="roman"/>
    <w:pitch w:val="variable"/>
    <w:sig w:usb0="E0002EFF" w:usb1="C000785B" w:usb2="00000009" w:usb3="00000000" w:csb0="000001FF" w:csb1="00000000"/>
  </w:font>
  <w:font w:name="Carlito">
    <w:altName w:val="Cambria"/>
    <w:charset w:val="00"/>
    <w:family w:val="roman"/>
    <w:pitch w:val="variable"/>
  </w:font>
  <w:font w:name="DejaVu Sans">
    <w:charset w:val="00"/>
    <w:family w:val="auto"/>
    <w:pitch w:val="variable"/>
  </w:font>
  <w:font w:name="Noto Sans Arabic UI">
    <w:charset w:val="00"/>
    <w:family w:val="auto"/>
    <w:pitch w:val="variable"/>
  </w:font>
  <w:font w:name="Roboto Slab">
    <w:charset w:val="00"/>
    <w:family w:val="auto"/>
    <w:pitch w:val="variable"/>
    <w:sig w:usb0="000004FF" w:usb1="8000405F" w:usb2="00000022" w:usb3="00000000" w:csb0="0000019F" w:csb1="00000000"/>
  </w:font>
  <w:font w:name="Noto Sans SC Regular">
    <w:charset w:val="00"/>
    <w:family w:val="auto"/>
    <w:pitch w:val="variable"/>
  </w:font>
  <w:font w:name="Noto Sans Devanagari">
    <w:charset w:val="00"/>
    <w:family w:val="swiss"/>
    <w:pitch w:val="variable"/>
    <w:sig w:usb0="80008023" w:usb1="00002046" w:usb2="00000000" w:usb3="00000000" w:csb0="00000001" w:csb1="00000000"/>
  </w:font>
  <w:font w:name="Noto Serif SC">
    <w:charset w:val="00"/>
    <w:family w:val="auto"/>
    <w:pitch w:val="variable"/>
  </w:font>
  <w:font w:name="Noto Sans">
    <w:charset w:val="00"/>
    <w:family w:val="swiss"/>
    <w:pitch w:val="variable"/>
    <w:sig w:usb0="E00082FF" w:usb1="400078FF" w:usb2="00000021" w:usb3="00000000" w:csb0="0000019F" w:csb1="00000000"/>
  </w:font>
  <w:font w:name="Fjalla One">
    <w:charset w:val="00"/>
    <w:family w:val="auto"/>
    <w:pitch w:val="variable"/>
    <w:sig w:usb0="800000BF" w:usb1="4000004B" w:usb2="00000000" w:usb3="00000000" w:csb0="00000001" w:csb1="00000000"/>
  </w:font>
  <w:font w:name="Roboto">
    <w:charset w:val="00"/>
    <w:family w:val="auto"/>
    <w:pitch w:val="variable"/>
    <w:sig w:usb0="E0000AFF" w:usb1="5000217F" w:usb2="00000021" w:usb3="00000000" w:csb0="0000019F" w:csb1="00000000"/>
  </w:font>
  <w:font w:name="Liberation Mono">
    <w:charset w:val="00"/>
    <w:family w:val="modern"/>
    <w:pitch w:val="fixed"/>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1D47">
    <w:pPr>
      <w:pStyle w:val="Footer"/>
      <w:jc w:val="right"/>
      <w:rPr>
        <w:sz w:val="16"/>
      </w:rPr>
    </w:pPr>
  </w:p>
  <w:p w:rsidR="00B91D47">
    <w:pPr>
      <w:pStyle w:val="Footer"/>
      <w:jc w:val="right"/>
    </w:pPr>
    <w:bookmarkStart w:id="20" w:name="PageNumWizard_FOOTER_Default_Page_Style2"/>
    <w:r>
      <w:rPr>
        <w:sz w:val="16"/>
      </w:rPr>
      <w:fldChar w:fldCharType="begin"/>
    </w:r>
    <w:r>
      <w:rPr>
        <w:sz w:val="16"/>
      </w:rPr>
      <w:instrText xml:space="preserve"> PAGE </w:instrText>
    </w:r>
    <w:r>
      <w:rPr>
        <w:sz w:val="16"/>
      </w:rPr>
      <w:fldChar w:fldCharType="separate"/>
    </w:r>
    <w:r>
      <w:rPr>
        <w:sz w:val="16"/>
      </w:rPr>
      <w:t>13</w:t>
    </w:r>
    <w:r>
      <w:rPr>
        <w:sz w:val="16"/>
      </w:rPr>
      <w:fldChar w:fldCharType="end"/>
    </w:r>
    <w:bookmarkEnd w:id="2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1D47">
    <w:pPr>
      <w:pStyle w:val="Footer"/>
      <w:jc w:val="right"/>
    </w:pPr>
    <w:bookmarkStart w:id="21" w:name="PageNumWizard_FOOTER_First_Page1"/>
    <w:r>
      <w:rPr>
        <w:sz w:val="16"/>
      </w:rPr>
      <w:fldChar w:fldCharType="begin"/>
    </w:r>
    <w:r>
      <w:rPr>
        <w:sz w:val="16"/>
      </w:rPr>
      <w:instrText xml:space="preserve"> PAGE </w:instrText>
    </w:r>
    <w:r>
      <w:rPr>
        <w:sz w:val="16"/>
      </w:rPr>
      <w:fldChar w:fldCharType="separate"/>
    </w:r>
    <w:r>
      <w:rPr>
        <w:sz w:val="16"/>
      </w:rPr>
      <w:t>1</w:t>
    </w:r>
    <w:r>
      <w:rPr>
        <w:sz w:val="16"/>
      </w:rPr>
      <w:fldChar w:fldCharType="end"/>
    </w:r>
    <w:bookmarkEnd w:id="21"/>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91D47">
      <w:r>
        <w:separator/>
      </w:r>
    </w:p>
  </w:footnote>
  <w:footnote w:type="continuationSeparator" w:id="1">
    <w:p w:rsidR="00B91D47">
      <w:r>
        <w:continuationSeparator/>
      </w:r>
    </w:p>
  </w:footnote>
  <w:footnote w:id="2">
    <w:p w:rsidR="009F1971">
      <w:pPr>
        <w:pStyle w:val="Footnote"/>
      </w:pPr>
      <w:r>
        <w:rPr>
          <w:rStyle w:val="FootnoteReference"/>
        </w:rPr>
        <w:footnoteRef/>
      </w:r>
      <w:r>
        <w:t>According to the guidance of the Information Commissioner's Office (ICO) on processing sensitive personal data under the UK GDPR, biometric data is categorised as special category data and requires explicit consent. The guidance stresses that when dealing with minors' data, additional safeguards must be implemented to protect their rights. Therefore, collecting biometric data from children over 16 without proper consent could breach child protection standards, as it fails to meet the stringent consent requi</w:t>
      </w:r>
      <w:r>
        <w:t xml:space="preserve">rements and the enhanced safeguards necessary for processing such sensitive information. </w:t>
      </w:r>
      <w:r>
        <w:fldChar w:fldCharType="begin"/>
      </w:r>
      <w:r>
        <w:instrText xml:space="preserve"> HYPERLINK "https://ico.org.uk/for-organisations/uk-gdpr-guidance-and-resources/lawful-basis/biometric-data-guidance-biometric-recognition/key-data-protection-concepts/" </w:instrText>
      </w:r>
      <w:r>
        <w:fldChar w:fldCharType="separate"/>
      </w:r>
      <w:r>
        <w:t>https://ico.org.uk/for-organisations/uk-gdpr-guidance-and-resources/lawful-basis/biometric-data-guidance-biometric-recognition/key-data-protection-concepts/</w:t>
      </w:r>
      <w:r>
        <w:fldChar w:fldCharType="end"/>
      </w:r>
    </w:p>
    <w:p w:rsidR="009F1971">
      <w:pPr>
        <w:pStyle w:val="Footnote"/>
      </w:pPr>
      <w:r>
        <w:t xml:space="preserve"> </w:t>
      </w:r>
      <w:r>
        <w:tab/>
        <w:t xml:space="preserve">see also, Protection of biometric data of children in schools and colleges: </w:t>
      </w:r>
      <w:r>
        <w:fldChar w:fldCharType="begin"/>
      </w:r>
      <w:r>
        <w:instrText xml:space="preserve"> HYPERLINK "https://assets.publishing.service.gov.uk/media/62d7d76c8fa8f50c012d14df/Biometrics_Guidance_July_2022.pdf" </w:instrText>
      </w:r>
      <w:r>
        <w:fldChar w:fldCharType="separate"/>
      </w:r>
      <w:r>
        <w:t>https://assets.publishing.service.gov.uk/media/62d7d76c8fa8f50c012d14df/Biometrics_Guidance_July_2022.pdf</w:t>
      </w:r>
      <w:r>
        <w:fldChar w:fldCharType="end"/>
      </w:r>
    </w:p>
  </w:footnote>
  <w:footnote w:id="3">
    <w:p w:rsidR="009F1971">
      <w:pPr>
        <w:pStyle w:val="Footnote"/>
      </w:pPr>
      <w:r>
        <w:rPr>
          <w:rStyle w:val="FootnoteReference"/>
        </w:rPr>
        <w:footnoteRef/>
      </w:r>
      <w:r>
        <w:t xml:space="preserve"> Disclosure and confidentiality of information in asylum claims: </w:t>
      </w:r>
      <w:r>
        <w:fldChar w:fldCharType="begin"/>
      </w:r>
      <w:r>
        <w:instrText xml:space="preserve"> HYPERLINK "https://assets.publishing.service.gov.uk/media/630f3a9be90e0729da484f35/Disclosure_and_confidentiality_of_information_in_asylum_claims.pdf#page=10&amp;zoom=100,92,672" </w:instrText>
      </w:r>
      <w:r>
        <w:fldChar w:fldCharType="separate"/>
      </w:r>
      <w:r>
        <w:t>https://assets.publishing.service.gov.uk/media/630f3a9be90e0729da484f35/Disclosure_and_confidentiality_of_information_in_asylum_claims.pdf#page=10&amp;zoom=100,92,672</w:t>
      </w:r>
      <w:r>
        <w:fldChar w:fldCharType="end"/>
      </w:r>
    </w:p>
  </w:footnote>
  <w:footnote w:id="4">
    <w:p w:rsidR="009F1971">
      <w:pPr>
        <w:pStyle w:val="Footnote"/>
      </w:pPr>
      <w:r>
        <w:rPr>
          <w:rStyle w:val="FootnoteReference"/>
        </w:rPr>
        <w:footnoteRef/>
      </w:r>
      <w:r>
        <w:t xml:space="preserve"> ICO finds the Home Office’s pilot of GPS electronic monitoring of </w:t>
      </w:r>
      <w:r>
        <w:t xml:space="preserve">migrants breached UK data protection law: </w:t>
      </w:r>
      <w:r>
        <w:fldChar w:fldCharType="begin"/>
      </w:r>
      <w:r>
        <w:instrText xml:space="preserve"> HYPERLINK "https://ico.org.uk/about-the-ico/media-centre/news-and-blogs/2024/03/ico-finds-the-home-office-s-pilot-of-gps-electronic-monitoring-of-migrants-breached-uk-data-protection-law/" </w:instrText>
      </w:r>
      <w:r>
        <w:fldChar w:fldCharType="separate"/>
      </w:r>
      <w:r>
        <w:t>https://ico.org.uk/about-the-ico/media-centre/news-and-blogs/2024/03/ico-finds-the-home-office-s-pilot-of-gps-electronic-monitoring-of-migrants-breached-uk-data-protection-law/</w:t>
      </w:r>
      <w:r>
        <w:fldChar w:fldCharType="end"/>
      </w:r>
    </w:p>
  </w:footnote>
  <w:footnote w:id="5">
    <w:p w:rsidR="009F1971">
      <w:pPr>
        <w:pStyle w:val="Footnote"/>
      </w:pPr>
      <w:r>
        <w:rPr>
          <w:rStyle w:val="FootnoteReference"/>
        </w:rPr>
        <w:footnoteRef/>
      </w:r>
      <w:r>
        <w:t xml:space="preserve">Chapter One: 3(6) from Border Security, Asylum and </w:t>
      </w:r>
      <w:r>
        <w:t xml:space="preserve">Immigration Bill: </w:t>
      </w:r>
      <w:r>
        <w:fldChar w:fldCharType="begin"/>
      </w:r>
      <w:r>
        <w:instrText xml:space="preserve"> HYPERLINK "https://publications.parliament.uk/pa/bills/cbill/59-01/0173/240173.pdf" </w:instrText>
      </w:r>
      <w:r>
        <w:fldChar w:fldCharType="separate"/>
      </w:r>
      <w:r>
        <w:t>https://publications.parliament.uk/pa/bills/cbill/59-01/0173/240173.pdf</w:t>
      </w:r>
      <w:r>
        <w:fldChar w:fldCharType="end"/>
      </w:r>
      <w:r>
        <w:t xml:space="preserve"> </w:t>
      </w:r>
      <w:r>
        <w:br/>
      </w:r>
    </w:p>
  </w:footnote>
  <w:footnote w:id="6">
    <w:p w:rsidR="009F1971">
      <w:pPr>
        <w:pStyle w:val="Footnote"/>
      </w:pPr>
      <w:r>
        <w:rPr>
          <w:rStyle w:val="FootnoteReference"/>
        </w:rPr>
        <w:footnoteRef/>
      </w:r>
      <w:r>
        <w:t>Human Rights Act 1998: https://www.legislation.gov.uk/ukpga/1998/42/schedule/1</w:t>
      </w:r>
    </w:p>
  </w:footnote>
  <w:footnote w:id="7">
    <w:p w:rsidR="009F1971">
      <w:pPr>
        <w:pStyle w:val="Footnote"/>
      </w:pPr>
      <w:r>
        <w:rPr>
          <w:rStyle w:val="FootnoteReference"/>
        </w:rPr>
        <w:footnoteRef/>
      </w:r>
      <w:bookmarkStart w:id="11" w:name="__RefHeading___Toc2457_290074599_Copy_2"/>
      <w:r>
        <w:t xml:space="preserve">    England and Wales High Court (Administrative Court) Decisions: </w:t>
      </w:r>
      <w:r>
        <w:fldChar w:fldCharType="begin"/>
      </w:r>
      <w:r>
        <w:instrText xml:space="preserve"> HYPERLINK "https://www.bailii.org/ew/cases/EWHC/Admin/2022/695.html" </w:instrText>
      </w:r>
      <w:r>
        <w:fldChar w:fldCharType="separate"/>
      </w:r>
      <w:r>
        <w:t>https://www.bailii.org/ew/cases/EWHC/Admin/2022/695.html</w:t>
      </w:r>
      <w:r>
        <w:fldChar w:fldCharType="end"/>
      </w:r>
      <w:bookmarkEnd w:id="11"/>
    </w:p>
  </w:footnote>
  <w:footnote w:id="8">
    <w:p w:rsidR="009F1971">
      <w:pPr>
        <w:pStyle w:val="Footnote"/>
      </w:pPr>
      <w:r>
        <w:rPr>
          <w:rStyle w:val="FootnoteReference"/>
        </w:rPr>
        <w:footnoteRef/>
      </w:r>
      <w:bookmarkStart w:id="12" w:name="__RefHeading___Toc2459_290074599_Copy_2"/>
      <w:r>
        <w:t xml:space="preserve"> UK High Court orders groundbreaking redress for thousands of migrants affected by unlawful phone seizures and data extraction: </w:t>
      </w:r>
      <w:r>
        <w:fldChar w:fldCharType="begin"/>
      </w:r>
      <w:r>
        <w:instrText xml:space="preserve"> HYPERLINK "https://privacyinternational.org/news-analysis/4987/uk-high-court-orders-groundbreaking-redress-thousands-migrants-affected-unlawful" </w:instrText>
      </w:r>
      <w:r>
        <w:fldChar w:fldCharType="separate"/>
      </w:r>
      <w:r>
        <w:t>https://privacyinternational.org/news-analysis/4987/uk-high-court-orders-groundbreaking-redress-thousands-migrants-affected-unlawful</w:t>
      </w:r>
      <w:r>
        <w:fldChar w:fldCharType="end"/>
      </w:r>
      <w:bookmarkEnd w:id="12"/>
    </w:p>
  </w:footnote>
  <w:footnote w:id="9">
    <w:p w:rsidR="009F1971">
      <w:pPr>
        <w:pStyle w:val="Footnote"/>
      </w:pPr>
      <w:r>
        <w:rPr>
          <w:rStyle w:val="FootnoteReference"/>
        </w:rPr>
        <w:footnoteRef/>
      </w:r>
      <w:r>
        <w:t xml:space="preserve">Convention relating to the Status of Refugees:  </w:t>
      </w:r>
      <w:r>
        <w:fldChar w:fldCharType="begin"/>
      </w:r>
      <w:r>
        <w:instrText xml:space="preserve"> HYPERLINK "https://www.un.org/en/genocideprevention/documents/atrocity-crimes/Doc.23_convention%20refugees.pdf" </w:instrText>
      </w:r>
      <w:r>
        <w:fldChar w:fldCharType="separate"/>
      </w:r>
      <w:r>
        <w:t>https://www.un.org/en/genocideprevention/</w:t>
      </w:r>
      <w:r>
        <w:br/>
      </w:r>
      <w:r>
        <w:t>documents/atrocity-crimes/Doc.23_convention%20refugees.pdf</w:t>
      </w:r>
      <w:r>
        <w:fldChar w:fldCharType="end"/>
      </w:r>
    </w:p>
    <w:p w:rsidR="009F1971">
      <w:pPr>
        <w:pStyle w:val="Footnote"/>
      </w:pPr>
    </w:p>
  </w:footnote>
  <w:footnote w:id="10">
    <w:p w:rsidR="009F1971">
      <w:pPr>
        <w:pStyle w:val="Footnote"/>
      </w:pPr>
      <w:r>
        <w:rPr>
          <w:rStyle w:val="FootnoteReference"/>
        </w:rPr>
        <w:footnoteRef/>
      </w:r>
      <w:r>
        <w:t xml:space="preserve">R (on the application of Privacy International) (Appellant) v Investigatory Powers Tribunal and others (Respondents): </w:t>
      </w:r>
      <w:r>
        <w:fldChar w:fldCharType="begin"/>
      </w:r>
      <w:r>
        <w:instrText xml:space="preserve"> HYPERLINK "https://www.supremecourt.uk/cases/uksc-2018-0004" </w:instrText>
      </w:r>
      <w:r>
        <w:fldChar w:fldCharType="separate"/>
      </w:r>
      <w:r>
        <w:t>https://www.supremecourt.uk/cases/uksc-2018-0004</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2076FD"/>
    <w:multiLevelType w:val="multilevel"/>
    <w:tmpl w:val="2AE4D8D0"/>
    <w:lvl w:ilvl="0">
      <w:start w:val="0"/>
      <w:numFmt w:val="bullet"/>
      <w:lvlText w:val="•"/>
      <w:lvlJc w:val="left"/>
      <w:pPr>
        <w:ind w:left="709" w:hanging="283"/>
      </w:pPr>
      <w:rPr>
        <w:rFonts w:ascii="OpenSymbol" w:eastAsia="OpenSymbol" w:hAnsi="OpenSymbol" w:cs="OpenSymbol"/>
      </w:rPr>
    </w:lvl>
    <w:lvl w:ilvl="1">
      <w:start w:val="0"/>
      <w:numFmt w:val="bullet"/>
      <w:lvlText w:val="•"/>
      <w:lvlJc w:val="left"/>
      <w:pPr>
        <w:ind w:left="1418" w:hanging="283"/>
      </w:pPr>
      <w:rPr>
        <w:rFonts w:ascii="OpenSymbol" w:eastAsia="OpenSymbol" w:hAnsi="OpenSymbol" w:cs="OpenSymbol"/>
      </w:rPr>
    </w:lvl>
    <w:lvl w:ilvl="2">
      <w:start w:val="0"/>
      <w:numFmt w:val="bullet"/>
      <w:lvlText w:val="•"/>
      <w:lvlJc w:val="left"/>
      <w:pPr>
        <w:ind w:left="2127" w:hanging="283"/>
      </w:pPr>
      <w:rPr>
        <w:rFonts w:ascii="OpenSymbol" w:eastAsia="OpenSymbol" w:hAnsi="OpenSymbol" w:cs="OpenSymbol"/>
      </w:rPr>
    </w:lvl>
    <w:lvl w:ilvl="3">
      <w:start w:val="0"/>
      <w:numFmt w:val="bullet"/>
      <w:lvlText w:val="•"/>
      <w:lvlJc w:val="left"/>
      <w:pPr>
        <w:ind w:left="2836" w:hanging="283"/>
      </w:pPr>
      <w:rPr>
        <w:rFonts w:ascii="OpenSymbol" w:eastAsia="OpenSymbol" w:hAnsi="OpenSymbol" w:cs="OpenSymbol"/>
      </w:rPr>
    </w:lvl>
    <w:lvl w:ilvl="4">
      <w:start w:val="0"/>
      <w:numFmt w:val="bullet"/>
      <w:lvlText w:val="•"/>
      <w:lvlJc w:val="left"/>
      <w:pPr>
        <w:ind w:left="3545" w:hanging="283"/>
      </w:pPr>
      <w:rPr>
        <w:rFonts w:ascii="OpenSymbol" w:eastAsia="OpenSymbol" w:hAnsi="OpenSymbol" w:cs="OpenSymbol"/>
      </w:rPr>
    </w:lvl>
    <w:lvl w:ilvl="5">
      <w:start w:val="0"/>
      <w:numFmt w:val="bullet"/>
      <w:lvlText w:val="•"/>
      <w:lvlJc w:val="left"/>
      <w:pPr>
        <w:ind w:left="4254" w:hanging="283"/>
      </w:pPr>
      <w:rPr>
        <w:rFonts w:ascii="OpenSymbol" w:eastAsia="OpenSymbol" w:hAnsi="OpenSymbol" w:cs="OpenSymbol"/>
      </w:rPr>
    </w:lvl>
    <w:lvl w:ilvl="6">
      <w:start w:val="0"/>
      <w:numFmt w:val="bullet"/>
      <w:lvlText w:val="•"/>
      <w:lvlJc w:val="left"/>
      <w:pPr>
        <w:ind w:left="4963" w:hanging="283"/>
      </w:pPr>
      <w:rPr>
        <w:rFonts w:ascii="OpenSymbol" w:eastAsia="OpenSymbol" w:hAnsi="OpenSymbol" w:cs="OpenSymbol"/>
      </w:rPr>
    </w:lvl>
    <w:lvl w:ilvl="7">
      <w:start w:val="0"/>
      <w:numFmt w:val="bullet"/>
      <w:lvlText w:val="•"/>
      <w:lvlJc w:val="left"/>
      <w:pPr>
        <w:ind w:left="5672" w:hanging="283"/>
      </w:pPr>
      <w:rPr>
        <w:rFonts w:ascii="OpenSymbol" w:eastAsia="OpenSymbol" w:hAnsi="OpenSymbol" w:cs="OpenSymbol"/>
      </w:rPr>
    </w:lvl>
    <w:lvl w:ilvl="8">
      <w:start w:val="0"/>
      <w:numFmt w:val="bullet"/>
      <w:lvlText w:val="•"/>
      <w:lvlJc w:val="left"/>
      <w:pPr>
        <w:ind w:left="6381" w:hanging="283"/>
      </w:pPr>
      <w:rPr>
        <w:rFonts w:ascii="OpenSymbol" w:eastAsia="OpenSymbol" w:hAnsi="OpenSymbol" w:cs="OpenSymbol"/>
      </w:rPr>
    </w:lvl>
  </w:abstractNum>
  <w:abstractNum w:abstractNumId="1">
    <w:nsid w:val="221657B6"/>
    <w:multiLevelType w:val="multilevel"/>
    <w:tmpl w:val="5BAC6F7E"/>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2">
    <w:nsid w:val="2427372A"/>
    <w:multiLevelType w:val="multilevel"/>
    <w:tmpl w:val="EC9A69EA"/>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3">
    <w:nsid w:val="25DF04A2"/>
    <w:multiLevelType w:val="multilevel"/>
    <w:tmpl w:val="FB164858"/>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4">
    <w:nsid w:val="2C114782"/>
    <w:multiLevelType w:val="multilevel"/>
    <w:tmpl w:val="00A8A038"/>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5">
    <w:nsid w:val="4AC34F03"/>
    <w:multiLevelType w:val="multilevel"/>
    <w:tmpl w:val="C18ED918"/>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6">
    <w:nsid w:val="57FE6ECE"/>
    <w:multiLevelType w:val="multilevel"/>
    <w:tmpl w:val="575CBBC0"/>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7">
    <w:nsid w:val="65647F66"/>
    <w:multiLevelType w:val="multilevel"/>
    <w:tmpl w:val="986602BC"/>
    <w:lvl w:ilvl="0">
      <w:start w:val="0"/>
      <w:numFmt w:val="bullet"/>
      <w:lvlText w:val="•"/>
      <w:lvlJc w:val="left"/>
      <w:pPr>
        <w:ind w:left="780" w:hanging="360"/>
      </w:pPr>
      <w:rPr>
        <w:rFonts w:ascii="OpenSymbol" w:eastAsia="OpenSymbol" w:hAnsi="OpenSymbol" w:cs="OpenSymbol"/>
      </w:rPr>
    </w:lvl>
    <w:lvl w:ilvl="1">
      <w:start w:val="0"/>
      <w:numFmt w:val="bullet"/>
      <w:lvlText w:val="◦"/>
      <w:lvlJc w:val="left"/>
      <w:pPr>
        <w:ind w:left="1140" w:hanging="360"/>
      </w:pPr>
      <w:rPr>
        <w:rFonts w:ascii="OpenSymbol" w:eastAsia="OpenSymbol" w:hAnsi="OpenSymbol" w:cs="OpenSymbol"/>
      </w:rPr>
    </w:lvl>
    <w:lvl w:ilvl="2">
      <w:start w:val="0"/>
      <w:numFmt w:val="bullet"/>
      <w:lvlText w:val="▪"/>
      <w:lvlJc w:val="left"/>
      <w:pPr>
        <w:ind w:left="1500" w:hanging="360"/>
      </w:pPr>
      <w:rPr>
        <w:rFonts w:ascii="OpenSymbol" w:eastAsia="OpenSymbol" w:hAnsi="OpenSymbol" w:cs="OpenSymbol"/>
      </w:rPr>
    </w:lvl>
    <w:lvl w:ilvl="3">
      <w:start w:val="0"/>
      <w:numFmt w:val="bullet"/>
      <w:lvlText w:val="•"/>
      <w:lvlJc w:val="left"/>
      <w:pPr>
        <w:ind w:left="1860" w:hanging="360"/>
      </w:pPr>
      <w:rPr>
        <w:rFonts w:ascii="OpenSymbol" w:eastAsia="OpenSymbol" w:hAnsi="OpenSymbol" w:cs="OpenSymbol"/>
      </w:rPr>
    </w:lvl>
    <w:lvl w:ilvl="4">
      <w:start w:val="0"/>
      <w:numFmt w:val="bullet"/>
      <w:lvlText w:val="◦"/>
      <w:lvlJc w:val="left"/>
      <w:pPr>
        <w:ind w:left="2220" w:hanging="360"/>
      </w:pPr>
      <w:rPr>
        <w:rFonts w:ascii="OpenSymbol" w:eastAsia="OpenSymbol" w:hAnsi="OpenSymbol" w:cs="OpenSymbol"/>
      </w:rPr>
    </w:lvl>
    <w:lvl w:ilvl="5">
      <w:start w:val="0"/>
      <w:numFmt w:val="bullet"/>
      <w:lvlText w:val="▪"/>
      <w:lvlJc w:val="left"/>
      <w:pPr>
        <w:ind w:left="2580" w:hanging="360"/>
      </w:pPr>
      <w:rPr>
        <w:rFonts w:ascii="OpenSymbol" w:eastAsia="OpenSymbol" w:hAnsi="OpenSymbol" w:cs="OpenSymbol"/>
      </w:rPr>
    </w:lvl>
    <w:lvl w:ilvl="6">
      <w:start w:val="0"/>
      <w:numFmt w:val="bullet"/>
      <w:lvlText w:val="•"/>
      <w:lvlJc w:val="left"/>
      <w:pPr>
        <w:ind w:left="2940" w:hanging="360"/>
      </w:pPr>
      <w:rPr>
        <w:rFonts w:ascii="OpenSymbol" w:eastAsia="OpenSymbol" w:hAnsi="OpenSymbol" w:cs="OpenSymbol"/>
      </w:rPr>
    </w:lvl>
    <w:lvl w:ilvl="7">
      <w:start w:val="0"/>
      <w:numFmt w:val="bullet"/>
      <w:lvlText w:val="◦"/>
      <w:lvlJc w:val="left"/>
      <w:pPr>
        <w:ind w:left="3300" w:hanging="360"/>
      </w:pPr>
      <w:rPr>
        <w:rFonts w:ascii="OpenSymbol" w:eastAsia="OpenSymbol" w:hAnsi="OpenSymbol" w:cs="OpenSymbol"/>
      </w:rPr>
    </w:lvl>
    <w:lvl w:ilvl="8">
      <w:start w:val="0"/>
      <w:numFmt w:val="bullet"/>
      <w:lvlText w:val="▪"/>
      <w:lvlJc w:val="left"/>
      <w:pPr>
        <w:ind w:left="3660" w:hanging="360"/>
      </w:pPr>
      <w:rPr>
        <w:rFonts w:ascii="OpenSymbol" w:eastAsia="OpenSymbol" w:hAnsi="OpenSymbol" w:cs="OpenSymbol"/>
      </w:rPr>
    </w:lvl>
  </w:abstractNum>
  <w:abstractNum w:abstractNumId="8">
    <w:nsid w:val="670C1786"/>
    <w:multiLevelType w:val="multilevel"/>
    <w:tmpl w:val="50785E7C"/>
    <w:lvl w:ilvl="0">
      <w:start w:val="0"/>
      <w:numFmt w:val="bullet"/>
      <w:lvlText w:val="•"/>
      <w:lvlJc w:val="left"/>
      <w:pPr>
        <w:ind w:left="720" w:hanging="360"/>
      </w:pPr>
      <w:rPr>
        <w:rFonts w:ascii="OpenSymbol" w:eastAsia="OpenSymbol" w:hAnsi="OpenSymbol" w:cs="OpenSymbol"/>
      </w:rPr>
    </w:lvl>
    <w:lvl w:ilvl="1">
      <w:start w:val="0"/>
      <w:numFmt w:val="bullet"/>
      <w:lvlText w:val="◦"/>
      <w:lvlJc w:val="left"/>
      <w:pPr>
        <w:ind w:left="1080" w:hanging="360"/>
      </w:pPr>
      <w:rPr>
        <w:rFonts w:ascii="OpenSymbol" w:eastAsia="OpenSymbol" w:hAnsi="OpenSymbol" w:cs="OpenSymbol"/>
      </w:rPr>
    </w:lvl>
    <w:lvl w:ilvl="2">
      <w:start w:val="0"/>
      <w:numFmt w:val="bullet"/>
      <w:lvlText w:val="▪"/>
      <w:lvlJc w:val="left"/>
      <w:pPr>
        <w:ind w:left="1440" w:hanging="360"/>
      </w:pPr>
      <w:rPr>
        <w:rFonts w:ascii="OpenSymbol" w:eastAsia="OpenSymbol" w:hAnsi="OpenSymbol" w:cs="OpenSymbol"/>
      </w:rPr>
    </w:lvl>
    <w:lvl w:ilvl="3">
      <w:start w:val="0"/>
      <w:numFmt w:val="bullet"/>
      <w:lvlText w:val="•"/>
      <w:lvlJc w:val="left"/>
      <w:pPr>
        <w:ind w:left="1800" w:hanging="360"/>
      </w:pPr>
      <w:rPr>
        <w:rFonts w:ascii="OpenSymbol" w:eastAsia="OpenSymbol" w:hAnsi="OpenSymbol" w:cs="OpenSymbol"/>
      </w:rPr>
    </w:lvl>
    <w:lvl w:ilvl="4">
      <w:start w:val="0"/>
      <w:numFmt w:val="bullet"/>
      <w:lvlText w:val="◦"/>
      <w:lvlJc w:val="left"/>
      <w:pPr>
        <w:ind w:left="2160" w:hanging="360"/>
      </w:pPr>
      <w:rPr>
        <w:rFonts w:ascii="OpenSymbol" w:eastAsia="OpenSymbol" w:hAnsi="OpenSymbol" w:cs="OpenSymbol"/>
      </w:rPr>
    </w:lvl>
    <w:lvl w:ilvl="5">
      <w:start w:val="0"/>
      <w:numFmt w:val="bullet"/>
      <w:lvlText w:val="▪"/>
      <w:lvlJc w:val="left"/>
      <w:pPr>
        <w:ind w:left="2520" w:hanging="360"/>
      </w:pPr>
      <w:rPr>
        <w:rFonts w:ascii="OpenSymbol" w:eastAsia="OpenSymbol" w:hAnsi="OpenSymbol" w:cs="OpenSymbol"/>
      </w:rPr>
    </w:lvl>
    <w:lvl w:ilvl="6">
      <w:start w:val="0"/>
      <w:numFmt w:val="bullet"/>
      <w:lvlText w:val="•"/>
      <w:lvlJc w:val="left"/>
      <w:pPr>
        <w:ind w:left="2880" w:hanging="360"/>
      </w:pPr>
      <w:rPr>
        <w:rFonts w:ascii="OpenSymbol" w:eastAsia="OpenSymbol" w:hAnsi="OpenSymbol" w:cs="OpenSymbol"/>
      </w:rPr>
    </w:lvl>
    <w:lvl w:ilvl="7">
      <w:start w:val="0"/>
      <w:numFmt w:val="bullet"/>
      <w:lvlText w:val="◦"/>
      <w:lvlJc w:val="left"/>
      <w:pPr>
        <w:ind w:left="3240" w:hanging="360"/>
      </w:pPr>
      <w:rPr>
        <w:rFonts w:ascii="OpenSymbol" w:eastAsia="OpenSymbol" w:hAnsi="OpenSymbol" w:cs="OpenSymbol"/>
      </w:rPr>
    </w:lvl>
    <w:lvl w:ilvl="8">
      <w:start w:val="0"/>
      <w:numFmt w:val="bullet"/>
      <w:lvlText w:val="▪"/>
      <w:lvlJc w:val="left"/>
      <w:pPr>
        <w:ind w:left="3600" w:hanging="360"/>
      </w:pPr>
      <w:rPr>
        <w:rFonts w:ascii="OpenSymbol" w:eastAsia="OpenSymbol" w:hAnsi="OpenSymbol" w:cs="OpenSymbol"/>
      </w:rPr>
    </w:lvl>
  </w:abstractNum>
  <w:abstractNum w:abstractNumId="9">
    <w:nsid w:val="6C6A5A12"/>
    <w:multiLevelType w:val="multilevel"/>
    <w:tmpl w:val="3F0AE2F4"/>
    <w:styleLink w:val="WWNum1"/>
    <w:lvl w:ilvl="0">
      <w:start w:val="1"/>
      <w:numFmt w:val="none"/>
      <w:suff w:val="nothing"/>
      <w:lvlText w:val="%1"/>
      <w:lvlJc w:val="left"/>
      <w:rPr>
        <w:b w:val="0"/>
      </w:rPr>
    </w:lvl>
    <w:lvl w:ilvl="1">
      <w:start w:val="1"/>
      <w:numFmt w:val="none"/>
      <w:suff w:val="nothing"/>
      <w:lvlJc w:val="left"/>
      <w:rPr>
        <w:sz w:val="28"/>
      </w:rPr>
    </w:lvl>
    <w:lvl w:ilvl="2">
      <w:start w:val="1"/>
      <w:numFmt w:val="none"/>
      <w:suff w:val="nothing"/>
      <w:lvlJc w:val="left"/>
    </w:lvl>
    <w:lvl w:ilvl="3">
      <w:start w:val="1"/>
      <w:numFmt w:val="none"/>
      <w:suff w:val="nothing"/>
      <w:lvlJc w:val="left"/>
    </w:lvl>
    <w:lvl w:ilvl="4">
      <w:start w:val="1"/>
      <w:numFmt w:val="none"/>
      <w:suff w:val="nothing"/>
      <w:lvlJc w:val="left"/>
    </w:lvl>
    <w:lvl w:ilvl="5">
      <w:start w:val="1"/>
      <w:numFmt w:val="none"/>
      <w:suff w:val="nothing"/>
      <w:lvlJc w:val="left"/>
    </w:lvl>
    <w:lvl w:ilvl="6">
      <w:start w:val="1"/>
      <w:numFmt w:val="none"/>
      <w:suff w:val="nothing"/>
      <w:lvlJc w:val="left"/>
    </w:lvl>
    <w:lvl w:ilvl="7">
      <w:start w:val="1"/>
      <w:numFmt w:val="none"/>
      <w:suff w:val="nothing"/>
      <w:lvlJc w:val="left"/>
    </w:lvl>
    <w:lvl w:ilvl="8">
      <w:start w:val="1"/>
      <w:numFmt w:val="none"/>
      <w:suff w:val="nothing"/>
      <w:lvlJc w:val="left"/>
    </w:lvl>
  </w:abstractNum>
  <w:num w:numId="1">
    <w:abstractNumId w:val="9"/>
  </w:num>
  <w:num w:numId="2">
    <w:abstractNumId w:val="1"/>
  </w:num>
  <w:num w:numId="3">
    <w:abstractNumId w:val="4"/>
  </w:num>
  <w:num w:numId="4">
    <w:abstractNumId w:val="5"/>
  </w:num>
  <w:num w:numId="5">
    <w:abstractNumId w:val="7"/>
  </w:num>
  <w:num w:numId="6">
    <w:abstractNumId w:val="0"/>
  </w:num>
  <w:num w:numId="7">
    <w:abstractNumId w:val="6"/>
  </w:num>
  <w:num w:numId="8">
    <w:abstractNumId w:val="8"/>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proofState w:spelling="clean" w:grammar="clean"/>
  <w:attachedTemplate r:id="rId1"/>
  <w:doNotTrackMoves/>
  <w:defaultTabStop w:val="720"/>
  <w:autoHyphenation/>
  <w:characterSpacingControl w:val="doNotCompress"/>
  <w:footnotePr>
    <w:footnote w:id="0"/>
    <w:footnote w:id="1"/>
  </w:footnotePr>
  <w:compat>
    <w:compatSetting w:name="compatibilityMode" w:uri="http://schemas.microsoft.com/office/word" w:val="15"/>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rlito" w:eastAsia="DejaVu Sans" w:hAnsi="Carlito" w:cs="Noto Sans Arabic UI"/>
        <w:color w:val="000000"/>
        <w:kern w:val="3"/>
        <w:sz w:val="24"/>
        <w:szCs w:val="24"/>
        <w:lang w:val="en-GB" w:eastAsia="zh-CN" w:bidi="hi-IN"/>
      </w:rPr>
    </w:rPrDefault>
    <w:pPrDefault>
      <w:pPr>
        <w:widowControl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suppressAutoHyphens/>
    </w:pPr>
  </w:style>
  <w:style w:type="paragraph" w:styleId="Heading1">
    <w:name w:val="heading 1"/>
    <w:basedOn w:val="Heading"/>
    <w:next w:val="Textbody"/>
    <w:uiPriority w:val="9"/>
    <w:qFormat/>
    <w:pPr>
      <w:outlineLvl w:val="0"/>
    </w:pPr>
    <w:rPr>
      <w:b/>
      <w:bCs/>
    </w:rPr>
  </w:style>
  <w:style w:type="paragraph" w:styleId="Heading2">
    <w:name w:val="heading 2"/>
    <w:basedOn w:val="Heading"/>
    <w:next w:val="Textbody"/>
    <w:uiPriority w:val="9"/>
    <w:unhideWhenUsed/>
    <w:qFormat/>
    <w:pPr>
      <w:spacing w:before="200"/>
      <w:outlineLvl w:val="1"/>
    </w:pPr>
    <w:rPr>
      <w:b/>
      <w:bCs/>
    </w:rPr>
  </w:style>
  <w:style w:type="paragraph" w:styleId="Heading3">
    <w:name w:val="heading 3"/>
    <w:basedOn w:val="Heading"/>
    <w:next w:val="Textbody"/>
    <w:uiPriority w:val="9"/>
    <w:semiHidden/>
    <w:unhideWhenUsed/>
    <w:qFormat/>
    <w:pPr>
      <w:spacing w:before="140"/>
      <w:outlineLvl w:val="2"/>
    </w:pPr>
    <w:rPr>
      <w:rFonts w:ascii="Carlito" w:eastAsia="Noto Serif SC" w:hAnsi="Carlito" w:cs="Noto Sans"/>
      <w:b/>
      <w:bCs/>
    </w:rPr>
  </w:style>
  <w:style w:type="paragraph" w:styleId="Heading4">
    <w:name w:val="heading 4"/>
    <w:basedOn w:val="Heading"/>
    <w:next w:val="Textbody"/>
    <w:uiPriority w:val="9"/>
    <w:semiHidden/>
    <w:unhideWhenUsed/>
    <w:qFormat/>
    <w:pPr>
      <w:spacing w:before="120"/>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suppressAutoHyphens/>
    </w:pPr>
    <w:rPr>
      <w:rFonts w:ascii="Roboto Slab" w:eastAsia="Roboto Slab" w:hAnsi="Roboto Slab" w:cs="Roboto Slab"/>
    </w:rPr>
  </w:style>
  <w:style w:type="paragraph" w:customStyle="1" w:styleId="Heading">
    <w:name w:val="Heading"/>
    <w:basedOn w:val="Standard"/>
    <w:next w:val="Textbody"/>
    <w:pPr>
      <w:keepNext/>
      <w:spacing w:before="240" w:after="120"/>
    </w:pPr>
    <w:rPr>
      <w:rFonts w:eastAsia="Noto Sans SC Regular" w:cs="Noto Sans Devanagari"/>
      <w:sz w:val="28"/>
      <w:szCs w:val="28"/>
    </w:rPr>
  </w:style>
  <w:style w:type="paragraph" w:customStyle="1" w:styleId="Textbody">
    <w:name w:val="Text body"/>
    <w:basedOn w:val="Standard"/>
    <w:pPr>
      <w:spacing w:after="140" w:line="276" w:lineRule="auto"/>
    </w:pPr>
  </w:style>
  <w:style w:type="paragraph" w:styleId="Title">
    <w:name w:val="Title"/>
    <w:basedOn w:val="Heading"/>
    <w:next w:val="Textbody"/>
    <w:uiPriority w:val="10"/>
    <w:qFormat/>
    <w:pPr>
      <w:spacing w:before="0" w:after="119"/>
    </w:pPr>
    <w:rPr>
      <w:rFonts w:ascii="Fjalla One" w:eastAsia="Fjalla One" w:hAnsi="Fjalla One" w:cs="Fjalla One"/>
      <w:b/>
      <w:bCs/>
      <w:caps/>
      <w:sz w:val="72"/>
      <w:szCs w:val="56"/>
    </w:rPr>
  </w:style>
  <w:style w:type="paragraph" w:customStyle="1" w:styleId="TableContents">
    <w:name w:val="Table Contents"/>
    <w:basedOn w:val="Standard"/>
    <w:pPr>
      <w:suppressLineNumbers/>
    </w:pPr>
  </w:style>
  <w:style w:type="paragraph" w:styleId="Caption">
    <w:name w:val="caption"/>
    <w:basedOn w:val="Standard"/>
    <w:pPr>
      <w:suppressLineNumbers/>
      <w:spacing w:before="120" w:after="120"/>
    </w:pPr>
    <w:rPr>
      <w:rFonts w:ascii="Roboto" w:eastAsia="Roboto" w:hAnsi="Roboto" w:cs="Roboto"/>
      <w:i/>
      <w:iCs/>
      <w:sz w:val="20"/>
      <w:szCs w:val="20"/>
    </w:rPr>
  </w:style>
  <w:style w:type="paragraph" w:customStyle="1" w:styleId="PreformattedText">
    <w:name w:val="Preformatted Text"/>
    <w:basedOn w:val="Standard"/>
    <w:rPr>
      <w:rFonts w:ascii="Liberation Mono" w:eastAsia="Liberation Mono" w:hAnsi="Liberation Mono" w:cs="Liberation Mono"/>
      <w:sz w:val="20"/>
      <w:szCs w:val="20"/>
    </w:rPr>
  </w:style>
  <w:style w:type="paragraph" w:customStyle="1" w:styleId="Footnote">
    <w:name w:val="Footnote"/>
    <w:basedOn w:val="Standard"/>
    <w:pPr>
      <w:suppressLineNumbers/>
      <w:ind w:left="340" w:hanging="340"/>
    </w:pPr>
    <w:rPr>
      <w:sz w:val="20"/>
      <w:szCs w:val="20"/>
    </w:rPr>
  </w:style>
  <w:style w:type="paragraph" w:styleId="IndexHeading">
    <w:name w:val="index heading"/>
    <w:basedOn w:val="Heading"/>
    <w:pPr>
      <w:suppressLineNumbers/>
    </w:pPr>
    <w:rPr>
      <w:b/>
      <w:bCs/>
      <w:sz w:val="32"/>
      <w:szCs w:val="32"/>
    </w:rPr>
  </w:style>
  <w:style w:type="paragraph" w:customStyle="1" w:styleId="ContentsHeading">
    <w:name w:val="Contents Heading"/>
    <w:basedOn w:val="IndexHeading"/>
  </w:style>
  <w:style w:type="paragraph" w:customStyle="1" w:styleId="Index">
    <w:name w:val="Index"/>
    <w:basedOn w:val="Standard"/>
    <w:pPr>
      <w:suppressLineNumbers/>
    </w:pPr>
  </w:style>
  <w:style w:type="paragraph" w:customStyle="1" w:styleId="Contents1">
    <w:name w:val="Contents 1"/>
    <w:basedOn w:val="Index"/>
    <w:pPr>
      <w:tabs>
        <w:tab w:val="right" w:leader="dot" w:pos="9972"/>
      </w:tabs>
    </w:pPr>
  </w:style>
  <w:style w:type="paragraph" w:customStyle="1" w:styleId="Contents2">
    <w:name w:val="Contents 2"/>
    <w:basedOn w:val="Index"/>
    <w:pPr>
      <w:tabs>
        <w:tab w:val="right" w:leader="dot" w:pos="9972"/>
      </w:tabs>
      <w:ind w:left="283"/>
    </w:pPr>
  </w:style>
  <w:style w:type="paragraph" w:customStyle="1" w:styleId="Contents3">
    <w:name w:val="Contents 3"/>
    <w:basedOn w:val="Index"/>
    <w:pPr>
      <w:tabs>
        <w:tab w:val="right" w:leader="dot" w:pos="9972"/>
      </w:tabs>
      <w:ind w:left="567"/>
    </w:pPr>
  </w:style>
  <w:style w:type="paragraph" w:styleId="List">
    <w:name w:val="List"/>
    <w:basedOn w:val="Textbody"/>
    <w:rPr>
      <w:rFonts w:cs="Noto Sans"/>
    </w:rPr>
  </w:style>
  <w:style w:type="paragraph" w:customStyle="1" w:styleId="HorizontalLine">
    <w:name w:val="Horizontal Line"/>
    <w:basedOn w:val="Standard"/>
    <w:next w:val="Textbody"/>
    <w:pPr>
      <w:suppressLineNumbers/>
      <w:spacing w:after="283"/>
    </w:pPr>
    <w:rPr>
      <w:sz w:val="12"/>
      <w:szCs w:val="12"/>
    </w:rPr>
  </w:style>
  <w:style w:type="paragraph" w:customStyle="1" w:styleId="ListHeading">
    <w:name w:val="List Heading"/>
    <w:basedOn w:val="Standard"/>
    <w:next w:val="ListContents"/>
  </w:style>
  <w:style w:type="paragraph" w:customStyle="1" w:styleId="ListContents">
    <w:name w:val="List Contents"/>
    <w:basedOn w:val="Standard"/>
    <w:pPr>
      <w:ind w:left="567"/>
    </w:pPr>
  </w:style>
  <w:style w:type="paragraph" w:styleId="Subtitle">
    <w:name w:val="Subtitle"/>
    <w:basedOn w:val="Heading"/>
    <w:next w:val="Textbody"/>
    <w:uiPriority w:val="11"/>
    <w:qFormat/>
    <w:pPr>
      <w:spacing w:before="60"/>
      <w:jc w:val="center"/>
    </w:pPr>
    <w:rPr>
      <w:sz w:val="36"/>
      <w:szCs w:val="36"/>
    </w:rPr>
  </w:style>
  <w:style w:type="paragraph" w:customStyle="1" w:styleId="HeaderandFooter">
    <w:name w:val="Header and Footer"/>
    <w:basedOn w:val="Standard"/>
    <w:pPr>
      <w:suppressLineNumbers/>
      <w:tabs>
        <w:tab w:val="center" w:pos="4986"/>
        <w:tab w:val="right" w:pos="9972"/>
      </w:tabs>
    </w:pPr>
  </w:style>
  <w:style w:type="paragraph" w:styleId="Footer">
    <w:name w:val="footer"/>
    <w:basedOn w:val="HeaderandFooter"/>
    <w:pPr>
      <w:tabs>
        <w:tab w:val="center" w:pos="4819"/>
        <w:tab w:val="clear" w:pos="4986"/>
        <w:tab w:val="right" w:pos="9638"/>
        <w:tab w:val="clear" w:pos="9972"/>
      </w:tabs>
    </w:pPr>
  </w:style>
  <w:style w:type="paragraph" w:customStyle="1" w:styleId="TableHeading">
    <w:name w:val="Table Heading"/>
    <w:basedOn w:val="TableContents"/>
    <w:pPr>
      <w:jc w:val="center"/>
    </w:pPr>
    <w:rPr>
      <w:b/>
      <w:bCs/>
    </w:rPr>
  </w:style>
  <w:style w:type="character" w:customStyle="1" w:styleId="BulletSymbols">
    <w:name w:val="Bullet Symbols"/>
    <w:rPr>
      <w:rFonts w:ascii="OpenSymbol" w:eastAsia="OpenSymbol" w:hAnsi="OpenSymbol" w:cs="OpenSymbol"/>
    </w:rPr>
  </w:style>
  <w:style w:type="character" w:customStyle="1" w:styleId="Linenumbering">
    <w:name w:val="Line numbering"/>
  </w:style>
  <w:style w:type="character" w:customStyle="1" w:styleId="NumberingSymbols">
    <w:name w:val="Numbering Symbols"/>
  </w:style>
  <w:style w:type="character" w:customStyle="1" w:styleId="Footnoteanchor">
    <w:name w:val="Footnote anchor"/>
    <w:rPr>
      <w:position w:val="0"/>
      <w:vertAlign w:val="superscript"/>
    </w:rPr>
  </w:style>
  <w:style w:type="character" w:customStyle="1" w:styleId="IndexLink">
    <w:name w:val="Index Link"/>
  </w:style>
  <w:style w:type="character" w:customStyle="1" w:styleId="VisitedInternetLink">
    <w:name w:val="Visited Internet Link"/>
    <w:rPr>
      <w:color w:val="800000"/>
      <w:u w:val="single"/>
    </w:rPr>
  </w:style>
  <w:style w:type="character" w:customStyle="1" w:styleId="Internetlink">
    <w:name w:val="Internet link"/>
    <w:rPr>
      <w:color w:val="000080"/>
      <w:u w:val="single"/>
    </w:rPr>
  </w:style>
  <w:style w:type="character" w:customStyle="1" w:styleId="EndnoteSymbol">
    <w:name w:val="Endnote Symbol"/>
  </w:style>
  <w:style w:type="character" w:customStyle="1" w:styleId="FootnoteSymbol">
    <w:name w:val="Footnote Symbol"/>
  </w:style>
  <w:style w:type="character" w:styleId="Emphasis">
    <w:name w:val="Emphasis"/>
    <w:rPr>
      <w:i/>
      <w:iCs/>
    </w:rPr>
  </w:style>
  <w:style w:type="character" w:customStyle="1" w:styleId="StrongEmphasis">
    <w:name w:val="Strong Emphasis"/>
    <w:rPr>
      <w:b/>
      <w:bCs/>
    </w:rPr>
  </w:style>
  <w:style w:type="character" w:customStyle="1" w:styleId="ListLabel9">
    <w:name w:val="ListLabel 9"/>
  </w:style>
  <w:style w:type="character" w:customStyle="1" w:styleId="ListLabel8">
    <w:name w:val="ListLabel 8"/>
  </w:style>
  <w:style w:type="character" w:customStyle="1" w:styleId="ListLabel7">
    <w:name w:val="ListLabel 7"/>
  </w:style>
  <w:style w:type="character" w:customStyle="1" w:styleId="ListLabel6">
    <w:name w:val="ListLabel 6"/>
  </w:style>
  <w:style w:type="character" w:customStyle="1" w:styleId="ListLabel5">
    <w:name w:val="ListLabel 5"/>
  </w:style>
  <w:style w:type="character" w:customStyle="1" w:styleId="ListLabel4">
    <w:name w:val="ListLabel 4"/>
  </w:style>
  <w:style w:type="character" w:customStyle="1" w:styleId="ListLabel3">
    <w:name w:val="ListLabel 3"/>
  </w:style>
  <w:style w:type="character" w:customStyle="1" w:styleId="ListLabel2">
    <w:name w:val="ListLabel 2"/>
    <w:rPr>
      <w:sz w:val="28"/>
    </w:rPr>
  </w:style>
  <w:style w:type="character" w:customStyle="1" w:styleId="ListLabel1">
    <w:name w:val="ListLabel 1"/>
    <w:rPr>
      <w:b w:val="0"/>
    </w:rPr>
  </w:style>
  <w:style w:type="character" w:customStyle="1" w:styleId="Endnoteanchor">
    <w:name w:val="Endnote anchor"/>
    <w:rPr>
      <w:position w:val="0"/>
      <w:vertAlign w:val="superscript"/>
    </w:rPr>
  </w:style>
  <w:style w:type="character" w:styleId="FootnoteReference">
    <w:name w:val="footnote reference"/>
    <w:basedOn w:val="DefaultParagraphFont"/>
    <w:rPr>
      <w:position w:val="0"/>
      <w:vertAlign w:val="superscript"/>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settings.xml.rels>&#65279;<?xml version="1.0" encoding="utf-8" standalone="yes"?><Relationships xmlns="http://schemas.openxmlformats.org/package/2006/relationships"><Relationship Id="rId1" Type="http://schemas.openxmlformats.org/officeDocument/2006/relationships/attachedTemplate" Target="Normal.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