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227AB8" w:rsidP="00227AB8">
      <w:pPr>
        <w:shd w:val="clear" w:color="auto" w:fill="FFFFFF"/>
        <w:jc w:val="center"/>
        <w:rPr>
          <w:rFonts w:ascii="Calibri" w:eastAsia="Calibri" w:hAnsi="Calibri" w:cs="Calibri"/>
          <w:b/>
          <w:sz w:val="24"/>
          <w:szCs w:val="24"/>
        </w:rPr>
      </w:pPr>
      <w:r w:rsidRPr="00227AB8">
        <w:rPr>
          <w:rFonts w:ascii="Calibri" w:eastAsia="Calibri" w:hAnsi="Calibri" w:cs="Calibri"/>
          <w:b/>
          <w:sz w:val="24"/>
          <w:szCs w:val="24"/>
        </w:rPr>
        <w:t xml:space="preserve">WRITTEN EVIDENCE SUBMITTED BY </w:t>
      </w:r>
      <w:r w:rsidRPr="00227AB8" w:rsidR="00095BA2">
        <w:rPr>
          <w:rFonts w:ascii="Calibri" w:eastAsia="Calibri" w:hAnsi="Calibri" w:cs="Calibri"/>
          <w:b/>
          <w:sz w:val="24"/>
          <w:szCs w:val="24"/>
        </w:rPr>
        <w:t xml:space="preserve">ANTI-TRAFFICKING MONITORING GROUP </w:t>
      </w:r>
      <w:r w:rsidRPr="00227AB8">
        <w:rPr>
          <w:rFonts w:ascii="Calibri" w:eastAsia="Calibri" w:hAnsi="Calibri" w:cs="Calibri"/>
          <w:b/>
          <w:sz w:val="24"/>
          <w:szCs w:val="24"/>
        </w:rPr>
        <w:t xml:space="preserve">(ATMG) </w:t>
      </w:r>
    </w:p>
    <w:p w:rsidR="00227AB8" w:rsidRPr="00227AB8" w:rsidP="00227AB8">
      <w:pPr>
        <w:shd w:val="clear" w:color="auto" w:fill="FFFFFF"/>
        <w:jc w:val="center"/>
        <w:rPr>
          <w:rFonts w:ascii="Calibri" w:eastAsia="Calibri" w:hAnsi="Calibri" w:cs="Calibri"/>
          <w:sz w:val="24"/>
          <w:szCs w:val="24"/>
        </w:rPr>
      </w:pPr>
      <w:r w:rsidRPr="00227AB8">
        <w:rPr>
          <w:rFonts w:ascii="Calibri" w:eastAsia="Calibri" w:hAnsi="Calibri" w:cs="Calibri"/>
          <w:b/>
          <w:sz w:val="24"/>
          <w:szCs w:val="24"/>
        </w:rPr>
        <w:t>(BSAI0007)</w:t>
      </w:r>
    </w:p>
    <w:p w:rsidR="00000000" w:rsidRPr="00227AB8">
      <w:pPr>
        <w:shd w:val="clear" w:color="auto" w:fill="FFFFFF"/>
        <w:rPr>
          <w:rFonts w:ascii="Calibri" w:hAnsi="Calibri" w:cs="Calibri"/>
          <w:sz w:val="24"/>
          <w:szCs w:val="24"/>
        </w:rPr>
      </w:pPr>
      <w:r w:rsidRPr="00227AB8">
        <w:rPr>
          <w:rFonts w:ascii="Calibri" w:hAnsi="Calibri" w:cs="Calibri"/>
          <w:sz w:val="24"/>
          <w:szCs w:val="24"/>
        </w:rPr>
        <w:t xml:space="preserve"> </w:t>
      </w:r>
    </w:p>
    <w:p w:rsidR="00000000" w:rsidRPr="00227AB8">
      <w:pPr>
        <w:rPr>
          <w:rFonts w:ascii="Calibri" w:hAnsi="Calibri" w:cs="Calibri"/>
          <w:b/>
          <w:sz w:val="24"/>
          <w:szCs w:val="24"/>
        </w:rPr>
      </w:pPr>
    </w:p>
    <w:p w:rsidR="00000000" w:rsidRPr="00227AB8">
      <w:pPr>
        <w:rPr>
          <w:rFonts w:ascii="Calibri" w:eastAsia="Calibri" w:hAnsi="Calibri" w:cs="Calibri"/>
          <w:b/>
          <w:sz w:val="24"/>
          <w:szCs w:val="24"/>
        </w:rPr>
      </w:pPr>
      <w:r w:rsidRPr="00227AB8">
        <w:rPr>
          <w:rFonts w:ascii="Calibri" w:eastAsia="Calibri" w:hAnsi="Calibri" w:cs="Calibri"/>
          <w:b/>
          <w:sz w:val="24"/>
          <w:szCs w:val="24"/>
        </w:rPr>
        <w:t>Introduction</w:t>
      </w:r>
    </w:p>
    <w:p w:rsidR="00000000" w:rsidRPr="00227AB8">
      <w:pPr>
        <w:rPr>
          <w:rFonts w:ascii="Calibri" w:hAnsi="Calibri" w:cs="Calibri"/>
          <w:sz w:val="24"/>
          <w:szCs w:val="24"/>
        </w:rPr>
      </w:pPr>
    </w:p>
    <w:p w:rsidR="00000000" w:rsidRPr="00227AB8">
      <w:pPr>
        <w:numPr>
          <w:ilvl w:val="0"/>
          <w:numId w:val="4"/>
        </w:numP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Anti-Trafficking Monitoring Group (ATMG) is a coalition established in 2009 to monitor the UK’s implementation of European anti-trafficking legislation, including the Council of Europe Convention on Action against Trafficking in Human Beings (ECAT). The ATMG consists of thirteen leading UK-based anti-trafficking organisations: Anti-Slavery International, Bawso, ECPAT UK, Flourish Northern Ireland, Focus on Labour Exploitation (FLEX), Helen Bamber Foundation, Hope for Justice, Just Right Scotland, Kalayaan, Scottish Refugee Council, Snowdrop Project, TARA service and UNICEF UK. </w:t>
      </w:r>
    </w:p>
    <w:p w:rsidR="00000000" w:rsidRPr="00227AB8">
      <w:pPr>
        <w:ind w:left="720"/>
        <w:rPr>
          <w:rFonts w:ascii="Calibri" w:eastAsia="Calibri" w:hAnsi="Calibri" w:cs="Calibri"/>
          <w:color w:val="1A1A1A"/>
          <w:sz w:val="24"/>
          <w:szCs w:val="24"/>
          <w:highlight w:val="white"/>
        </w:rPr>
      </w:pPr>
    </w:p>
    <w:p w:rsidR="00000000" w:rsidRPr="00227AB8">
      <w:pPr>
        <w:numPr>
          <w:ilvl w:val="0"/>
          <w:numId w:val="4"/>
        </w:numPr>
        <w:rPr>
          <w:rFonts w:ascii="Calibri" w:hAnsi="Calibri" w:cs="Calibri"/>
          <w:sz w:val="24"/>
          <w:szCs w:val="24"/>
          <w:highlight w:val="white"/>
        </w:rPr>
      </w:pPr>
      <w:r w:rsidRPr="00227AB8">
        <w:rPr>
          <w:rFonts w:ascii="Calibri" w:eastAsia="Calibri" w:hAnsi="Calibri" w:cs="Calibri"/>
          <w:color w:val="1A1A1A"/>
          <w:sz w:val="24"/>
          <w:szCs w:val="24"/>
          <w:highlight w:val="white"/>
        </w:rPr>
        <w:t>We are submitting this document, in response to the</w:t>
      </w:r>
      <w:r>
        <w:fldChar w:fldCharType="begin"/>
      </w:r>
      <w:r>
        <w:instrText xml:space="preserve"> HYPERLINK "https://committees.parliament.uk/call-for-evidence/3085" </w:instrText>
      </w:r>
      <w:r>
        <w:fldChar w:fldCharType="separate"/>
      </w:r>
      <w:r w:rsidRPr="00227AB8">
        <w:rPr>
          <w:rFonts w:ascii="Calibri" w:eastAsia="Calibri" w:hAnsi="Calibri" w:cs="Calibri"/>
          <w:color w:val="1A1A1A"/>
          <w:sz w:val="24"/>
          <w:szCs w:val="24"/>
          <w:highlight w:val="white"/>
        </w:rPr>
        <w:t xml:space="preserve"> </w:t>
      </w:r>
      <w:r>
        <w:fldChar w:fldCharType="end"/>
      </w:r>
      <w:r>
        <w:fldChar w:fldCharType="begin"/>
      </w:r>
      <w:r>
        <w:instrText xml:space="preserve"> HYPERLINK "https://committees.parliament.uk/call-for-evidence/3621/" </w:instrText>
      </w:r>
      <w:r>
        <w:fldChar w:fldCharType="separate"/>
      </w:r>
      <w:r w:rsidRPr="00227AB8">
        <w:rPr>
          <w:rFonts w:ascii="Calibri" w:eastAsia="Calibri" w:hAnsi="Calibri" w:cs="Calibri"/>
          <w:color w:val="1155CC"/>
          <w:sz w:val="24"/>
          <w:szCs w:val="24"/>
          <w:highlight w:val="white"/>
          <w:u w:val="single"/>
        </w:rPr>
        <w:t>call for evidence</w:t>
      </w:r>
      <w:r>
        <w:fldChar w:fldCharType="end"/>
      </w:r>
      <w:r w:rsidRPr="00227AB8">
        <w:rPr>
          <w:rFonts w:ascii="Calibri" w:eastAsia="Calibri" w:hAnsi="Calibri" w:cs="Calibri"/>
          <w:color w:val="1A1A1A"/>
          <w:sz w:val="24"/>
          <w:szCs w:val="24"/>
          <w:highlight w:val="white"/>
        </w:rPr>
        <w:t xml:space="preserve"> published by the Joint Committee on Human Rights in relation to the legislative scrutiny process on the Border Security, Asylum and Immigration Bill. We have specifically addressed those questions which may directly relate to survivors of modern slavery. </w:t>
      </w:r>
    </w:p>
    <w:p w:rsidR="00000000" w:rsidRPr="00227AB8">
      <w:pPr>
        <w:ind w:left="720"/>
        <w:rPr>
          <w:rFonts w:ascii="Calibri" w:eastAsia="Calibri" w:hAnsi="Calibri" w:cs="Calibri"/>
          <w:color w:val="1A1A1A"/>
          <w:sz w:val="24"/>
          <w:szCs w:val="24"/>
          <w:highlight w:val="white"/>
        </w:rPr>
      </w:pPr>
    </w:p>
    <w:p w:rsidR="00000000" w:rsidRPr="00227AB8">
      <w:pPr>
        <w:numPr>
          <w:ilvl w:val="0"/>
          <w:numId w:val="4"/>
        </w:numP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Nonetheless, the ATMG is deeply concerned about the negative consequences that this Bill will have not only on victims and survivors of trafficking and modern slavery, but on the wider migrant community. We believe many aspects of the Bill in its current form are not compliant with domestic legislation, such as the Human Rights Act (HRA) and international legislation, including but not limited to ECAT, the European Convention on Human Rights (ECHR), the Palermo Protocol (United Nations Convention Against Transnational Organised Crime), the International Covenant on Civil and Political Rights and the UN Convention on the Rights of the Child (UNCRC).</w:t>
      </w:r>
    </w:p>
    <w:p w:rsidR="00000000" w:rsidRPr="00227AB8">
      <w:pPr>
        <w:ind w:left="720"/>
        <w:rPr>
          <w:rFonts w:ascii="Calibri" w:eastAsia="Calibri" w:hAnsi="Calibri" w:cs="Calibri"/>
          <w:color w:val="1A1A1A"/>
          <w:sz w:val="24"/>
          <w:szCs w:val="24"/>
          <w:highlight w:val="white"/>
        </w:rPr>
      </w:pPr>
    </w:p>
    <w:p w:rsidR="00000000" w:rsidRPr="00227AB8">
      <w:pPr>
        <w:numPr>
          <w:ilvl w:val="0"/>
          <w:numId w:val="4"/>
        </w:numP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Many of the provisions in this Bill risk weakening safeguards and create additional vulnerabilities, which may lead to people being liable to re-trafficking and exploitation. ECAT is governed by the principles of preventing and combating trafficking, protecting victims, and ensuring effective investigation and prosecution of traffickers as laid in article 1. However, some of the provisions included in this Bill and the approach based on the prioritisation of immigration control over safeguarding stand in clear contrast with these principles. </w:t>
      </w:r>
    </w:p>
    <w:p w:rsidR="00000000" w:rsidRPr="00227AB8">
      <w:pPr>
        <w:ind w:left="720"/>
        <w:rPr>
          <w:rFonts w:ascii="Calibri" w:eastAsia="Calibri" w:hAnsi="Calibri" w:cs="Calibri"/>
          <w:color w:val="1A1A1A"/>
          <w:sz w:val="24"/>
          <w:szCs w:val="24"/>
          <w:highlight w:val="white"/>
        </w:rPr>
      </w:pPr>
    </w:p>
    <w:p w:rsidR="00000000" w:rsidRPr="00227AB8">
      <w:pPr>
        <w:shd w:val="clear" w:color="auto" w:fill="FFFFFF"/>
        <w:jc w:val="both"/>
        <w:rPr>
          <w:rFonts w:ascii="Calibri" w:eastAsia="Calibri" w:hAnsi="Calibri" w:cs="Calibri"/>
          <w:color w:val="1A1A1A"/>
          <w:sz w:val="24"/>
          <w:szCs w:val="24"/>
          <w:highlight w:val="white"/>
        </w:rPr>
      </w:pPr>
      <w:r w:rsidRPr="00227AB8">
        <w:rPr>
          <w:rFonts w:ascii="Calibri" w:eastAsia="Calibri" w:hAnsi="Calibri" w:cs="Calibri"/>
          <w:b/>
          <w:color w:val="1A1A1A"/>
          <w:sz w:val="24"/>
          <w:szCs w:val="24"/>
          <w:highlight w:val="white"/>
        </w:rPr>
        <w:t>Recommendations</w:t>
      </w:r>
      <w:r w:rsidRPr="00227AB8">
        <w:rPr>
          <w:rFonts w:ascii="Calibri" w:eastAsia="Calibri" w:hAnsi="Calibri" w:cs="Calibri"/>
          <w:color w:val="1A1A1A"/>
          <w:sz w:val="24"/>
          <w:szCs w:val="24"/>
          <w:highlight w:val="white"/>
        </w:rPr>
        <w:t xml:space="preserve"> </w:t>
      </w:r>
    </w:p>
    <w:p w:rsidR="00000000" w:rsidRPr="00227AB8">
      <w:pPr>
        <w:shd w:val="clear" w:color="auto" w:fill="FFFFFF"/>
        <w:jc w:val="both"/>
        <w:rPr>
          <w:rFonts w:ascii="Calibri" w:eastAsia="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 </w:t>
      </w:r>
    </w:p>
    <w:p w:rsidR="00000000" w:rsidRPr="00227AB8">
      <w:pPr>
        <w:numPr>
          <w:ilvl w:val="0"/>
          <w:numId w:val="4"/>
        </w:numP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We believe this Bill can serve as an opportunity to improve the prevention, identification and protection systems for survivors of trafficking and modern slavery. We therefore recommend: </w:t>
      </w:r>
    </w:p>
    <w:p w:rsidR="00000000" w:rsidRPr="00227AB8">
      <w:pPr>
        <w:numPr>
          <w:ilvl w:val="0"/>
          <w:numId w:val="7"/>
        </w:numPr>
        <w:ind w:left="1800"/>
        <w:rPr>
          <w:rFonts w:ascii="Calibri" w:eastAsia="Calibri" w:hAnsi="Calibri" w:cs="Calibri"/>
          <w:color w:val="1A1A1A"/>
          <w:sz w:val="24"/>
          <w:szCs w:val="24"/>
          <w:highlight w:val="white"/>
        </w:rPr>
      </w:pPr>
      <w:r w:rsidRPr="00227AB8">
        <w:rPr>
          <w:rFonts w:ascii="Calibri" w:eastAsia="Calibri" w:hAnsi="Calibri" w:cs="Calibri"/>
          <w:b/>
          <w:color w:val="1A1A1A"/>
          <w:sz w:val="24"/>
          <w:szCs w:val="24"/>
          <w:highlight w:val="white"/>
        </w:rPr>
        <w:t xml:space="preserve">Repealing all IMA provisions retained in the Border Security, Asylum and Immigration Bill </w:t>
      </w:r>
      <w:r w:rsidRPr="00227AB8">
        <w:rPr>
          <w:rFonts w:ascii="Calibri" w:eastAsia="Calibri" w:hAnsi="Calibri" w:cs="Calibri"/>
          <w:color w:val="1A1A1A"/>
          <w:sz w:val="24"/>
          <w:szCs w:val="24"/>
          <w:highlight w:val="white"/>
        </w:rPr>
        <w:t xml:space="preserve">to ensure potential survivors of human trafficking are not disqualified from support and criminalised. </w:t>
      </w:r>
    </w:p>
    <w:p w:rsidR="00000000" w:rsidRPr="00227AB8">
      <w:pPr>
        <w:numPr>
          <w:ilvl w:val="0"/>
          <w:numId w:val="1"/>
        </w:numPr>
        <w:ind w:left="1800"/>
        <w:rPr>
          <w:rFonts w:ascii="Calibri" w:eastAsia="Calibri" w:hAnsi="Calibri" w:cs="Calibri"/>
          <w:color w:val="1A1A1A"/>
          <w:sz w:val="24"/>
          <w:szCs w:val="24"/>
          <w:highlight w:val="white"/>
        </w:rPr>
      </w:pPr>
      <w:r w:rsidRPr="00227AB8">
        <w:rPr>
          <w:rFonts w:ascii="Calibri" w:eastAsia="Calibri" w:hAnsi="Calibri" w:cs="Calibri"/>
          <w:b/>
          <w:color w:val="1A1A1A"/>
          <w:sz w:val="24"/>
          <w:szCs w:val="24"/>
          <w:highlight w:val="white"/>
        </w:rPr>
        <w:t xml:space="preserve">Repealing harmful provisions introduced by NABA, specifically those concerning Part 5 in relation to modern slavery, Part 4 concerning age assessments and those which create immigration offences and exclude certain nationalities from seeking protection </w:t>
      </w:r>
      <w:r w:rsidRPr="00227AB8">
        <w:rPr>
          <w:rFonts w:ascii="Calibri" w:eastAsia="Calibri" w:hAnsi="Calibri" w:cs="Calibri"/>
          <w:color w:val="1A1A1A"/>
          <w:sz w:val="24"/>
          <w:szCs w:val="24"/>
          <w:highlight w:val="white"/>
        </w:rPr>
        <w:t xml:space="preserve">to ensure survivors have access to identification and support mechanisms and mitigate those vulnerabilities which may lead to re-trafficking and exploitation. </w:t>
      </w:r>
    </w:p>
    <w:p w:rsidR="00000000" w:rsidRPr="00227AB8">
      <w:pPr>
        <w:numPr>
          <w:ilvl w:val="0"/>
          <w:numId w:val="5"/>
        </w:numPr>
        <w:ind w:left="1800"/>
        <w:rPr>
          <w:rFonts w:ascii="Calibri" w:eastAsia="Calibri" w:hAnsi="Calibri" w:cs="Calibri"/>
          <w:color w:val="1A1A1A"/>
          <w:sz w:val="24"/>
          <w:szCs w:val="24"/>
          <w:highlight w:val="white"/>
        </w:rPr>
      </w:pPr>
      <w:r w:rsidRPr="00227AB8">
        <w:rPr>
          <w:rFonts w:ascii="Calibri" w:eastAsia="Calibri" w:hAnsi="Calibri" w:cs="Calibri"/>
          <w:b/>
          <w:color w:val="1A1A1A"/>
          <w:sz w:val="24"/>
          <w:szCs w:val="24"/>
          <w:highlight w:val="white"/>
        </w:rPr>
        <w:t>Full direct incorporation of ECAT into domestic legislation and full compliance with international law, including the ECHR</w:t>
      </w:r>
      <w:r w:rsidRPr="00227AB8">
        <w:rPr>
          <w:rFonts w:ascii="Calibri" w:eastAsia="Calibri" w:hAnsi="Calibri" w:cs="Calibri"/>
          <w:color w:val="1A1A1A"/>
          <w:sz w:val="24"/>
          <w:szCs w:val="24"/>
          <w:highlight w:val="white"/>
        </w:rPr>
        <w:t xml:space="preserve"> to uphold legal protections for survivors of trafficking. </w:t>
      </w:r>
    </w:p>
    <w:p w:rsidR="00000000" w:rsidRPr="00227AB8">
      <w:pPr>
        <w:numPr>
          <w:ilvl w:val="0"/>
          <w:numId w:val="8"/>
        </w:numPr>
        <w:ind w:left="1800"/>
        <w:rPr>
          <w:rFonts w:ascii="Calibri" w:eastAsia="Calibri" w:hAnsi="Calibri" w:cs="Calibri"/>
          <w:color w:val="1A1A1A"/>
          <w:sz w:val="24"/>
          <w:szCs w:val="24"/>
          <w:highlight w:val="white"/>
        </w:rPr>
      </w:pPr>
      <w:r w:rsidRPr="00227AB8">
        <w:rPr>
          <w:rFonts w:ascii="Calibri" w:eastAsia="Calibri" w:hAnsi="Calibri" w:cs="Calibri"/>
          <w:b/>
          <w:color w:val="1A1A1A"/>
          <w:sz w:val="24"/>
          <w:szCs w:val="24"/>
          <w:highlight w:val="white"/>
        </w:rPr>
        <w:t xml:space="preserve">Introducing safe reporting mechanisms </w:t>
      </w:r>
      <w:r w:rsidRPr="00227AB8">
        <w:rPr>
          <w:rFonts w:ascii="Calibri" w:eastAsia="Calibri" w:hAnsi="Calibri" w:cs="Calibri"/>
          <w:color w:val="1A1A1A"/>
          <w:sz w:val="24"/>
          <w:szCs w:val="24"/>
          <w:highlight w:val="white"/>
        </w:rPr>
        <w:t xml:space="preserve">to ensure survivors of trafficking can report exploitation to the authorities without fear of deportation and immigration data being shared with the Home Office. </w:t>
      </w:r>
    </w:p>
    <w:p w:rsidR="00000000" w:rsidRPr="00227AB8">
      <w:pPr>
        <w:numPr>
          <w:ilvl w:val="0"/>
          <w:numId w:val="10"/>
        </w:numPr>
        <w:ind w:left="1800"/>
        <w:rPr>
          <w:rFonts w:ascii="Calibri" w:eastAsia="Calibri" w:hAnsi="Calibri" w:cs="Calibri"/>
          <w:color w:val="1A1A1A"/>
          <w:sz w:val="24"/>
          <w:szCs w:val="24"/>
          <w:highlight w:val="white"/>
        </w:rPr>
      </w:pPr>
      <w:r w:rsidRPr="00227AB8">
        <w:rPr>
          <w:rFonts w:ascii="Calibri" w:eastAsia="Calibri" w:hAnsi="Calibri" w:cs="Calibri"/>
          <w:b/>
          <w:color w:val="1A1A1A"/>
          <w:sz w:val="24"/>
          <w:szCs w:val="24"/>
          <w:highlight w:val="white"/>
        </w:rPr>
        <w:t xml:space="preserve">Automatically granting 5 years leave to remain with a route to settlement and recourse to public funds to all survivors with a positive Conclusive Grounds decision </w:t>
      </w:r>
      <w:r w:rsidRPr="00227AB8">
        <w:rPr>
          <w:rFonts w:ascii="Calibri" w:eastAsia="Calibri" w:hAnsi="Calibri" w:cs="Calibri"/>
          <w:color w:val="1A1A1A"/>
          <w:sz w:val="24"/>
          <w:szCs w:val="24"/>
          <w:highlight w:val="white"/>
        </w:rPr>
        <w:t xml:space="preserve">to create a real pathway to long-term recovery and stability for survivors. </w:t>
      </w:r>
    </w:p>
    <w:p w:rsidR="00000000" w:rsidRPr="00227AB8">
      <w:pPr>
        <w:numPr>
          <w:ilvl w:val="0"/>
          <w:numId w:val="9"/>
        </w:numPr>
        <w:ind w:left="1800"/>
        <w:rPr>
          <w:rFonts w:ascii="Calibri" w:eastAsia="Calibri" w:hAnsi="Calibri" w:cs="Calibri"/>
          <w:color w:val="1A1A1A"/>
          <w:sz w:val="24"/>
          <w:szCs w:val="24"/>
          <w:highlight w:val="white"/>
        </w:rPr>
      </w:pPr>
      <w:r w:rsidRPr="00227AB8">
        <w:rPr>
          <w:rFonts w:ascii="Calibri" w:eastAsia="Calibri" w:hAnsi="Calibri" w:cs="Calibri"/>
          <w:b/>
          <w:color w:val="222222"/>
          <w:sz w:val="24"/>
          <w:szCs w:val="24"/>
          <w:highlight w:val="white"/>
        </w:rPr>
        <w:t xml:space="preserve">Ensuring that all survivors of trafficking and modern slavery </w:t>
      </w:r>
      <w:r w:rsidRPr="00227AB8">
        <w:rPr>
          <w:rFonts w:ascii="Calibri" w:eastAsia="Calibri" w:hAnsi="Calibri" w:cs="Calibri"/>
          <w:b/>
          <w:color w:val="222222"/>
          <w:sz w:val="24"/>
          <w:szCs w:val="24"/>
          <w:highlight w:val="white"/>
        </w:rPr>
        <w:t>are able to</w:t>
      </w:r>
      <w:r w:rsidRPr="00227AB8">
        <w:rPr>
          <w:rFonts w:ascii="Calibri" w:eastAsia="Calibri" w:hAnsi="Calibri" w:cs="Calibri"/>
          <w:b/>
          <w:color w:val="222222"/>
          <w:sz w:val="24"/>
          <w:szCs w:val="24"/>
          <w:highlight w:val="white"/>
        </w:rPr>
        <w:t xml:space="preserve"> access early legal advice</w:t>
      </w:r>
      <w:r w:rsidRPr="00227AB8">
        <w:rPr>
          <w:rFonts w:ascii="Calibri" w:eastAsia="Calibri" w:hAnsi="Calibri" w:cs="Calibri"/>
          <w:color w:val="222222"/>
          <w:sz w:val="24"/>
          <w:szCs w:val="24"/>
          <w:highlight w:val="white"/>
        </w:rPr>
        <w:t xml:space="preserve"> by bringing advice prior to a National Referral Mechanism (NRM) referral into scope for legal aid.  </w:t>
      </w:r>
    </w:p>
    <w:p w:rsidR="00000000" w:rsidRPr="00227AB8">
      <w:pPr>
        <w:rPr>
          <w:rFonts w:ascii="Calibri" w:eastAsia="Calibri" w:hAnsi="Calibri" w:cs="Calibri"/>
          <w:color w:val="1A1A1A"/>
          <w:sz w:val="24"/>
          <w:szCs w:val="24"/>
          <w:highlight w:val="white"/>
        </w:rPr>
      </w:pPr>
    </w:p>
    <w:p w:rsidR="00000000" w:rsidRPr="00227AB8">
      <w:pPr>
        <w:shd w:val="clear" w:color="auto" w:fill="FFFFFF"/>
        <w:jc w:val="both"/>
        <w:rPr>
          <w:rFonts w:ascii="Calibri" w:eastAsia="Calibri" w:hAnsi="Calibri" w:cs="Calibri"/>
          <w:color w:val="1A1A1A"/>
          <w:sz w:val="24"/>
          <w:szCs w:val="24"/>
          <w:highlight w:val="white"/>
        </w:rPr>
      </w:pPr>
    </w:p>
    <w:p w:rsidR="00000000" w:rsidRPr="00227AB8">
      <w:pPr>
        <w:shd w:val="clear" w:color="auto" w:fill="FFFFFF"/>
        <w:jc w:val="both"/>
        <w:rPr>
          <w:rFonts w:ascii="Calibri" w:eastAsia="Calibri" w:hAnsi="Calibri" w:cs="Calibri"/>
          <w:b/>
          <w:color w:val="1A1A1A"/>
          <w:sz w:val="24"/>
          <w:szCs w:val="24"/>
          <w:highlight w:val="white"/>
        </w:rPr>
      </w:pPr>
      <w:r w:rsidRPr="00227AB8">
        <w:rPr>
          <w:rFonts w:ascii="Calibri" w:eastAsia="Calibri" w:hAnsi="Calibri" w:cs="Calibri"/>
          <w:b/>
          <w:color w:val="1A1A1A"/>
          <w:sz w:val="24"/>
          <w:szCs w:val="24"/>
          <w:highlight w:val="white"/>
        </w:rPr>
        <w:t xml:space="preserve">Question 1: Clauses 13-17 create new ‘precursor’ offences relating to immigration crimes, including supplying or handling articles for use in immigration crime, and collecting information for use in immigration crime. Is the scope of these provisions sufficiently clear and circumscribed, having regard </w:t>
      </w:r>
      <w:r w:rsidRPr="00227AB8">
        <w:rPr>
          <w:rFonts w:ascii="Calibri" w:eastAsia="Calibri" w:hAnsi="Calibri" w:cs="Calibri"/>
          <w:b/>
          <w:color w:val="1A1A1A"/>
          <w:sz w:val="24"/>
          <w:szCs w:val="24"/>
          <w:highlight w:val="white"/>
        </w:rPr>
        <w:t>in particular to</w:t>
      </w:r>
      <w:r w:rsidRPr="00227AB8">
        <w:rPr>
          <w:rFonts w:ascii="Calibri" w:eastAsia="Calibri" w:hAnsi="Calibri" w:cs="Calibri"/>
          <w:b/>
          <w:color w:val="1A1A1A"/>
          <w:sz w:val="24"/>
          <w:szCs w:val="24"/>
          <w:highlight w:val="white"/>
        </w:rPr>
        <w:t xml:space="preserve"> Article 31 of the Refugee Convention, which prohibits the penalisation of refugees in certain circumstances?</w:t>
      </w:r>
    </w:p>
    <w:p w:rsidR="00000000" w:rsidRPr="00227AB8">
      <w:pPr>
        <w:shd w:val="clear" w:color="auto" w:fill="FFFFFF"/>
        <w:jc w:val="both"/>
        <w:rPr>
          <w:rFonts w:ascii="Calibri" w:eastAsia="Calibri" w:hAnsi="Calibri" w:cs="Calibri"/>
          <w:b/>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The scope of the ‘precursor’ offences introduced by the Border Security, Asylum and Immigration Bill is an expansion of the immigration offences already introduced through the Nationality and Borders Act (NABA) 2022 and the Illegal Migration Act (IMA) 2023.</w:t>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The language used in the Bill to refer to the application of these offences is vague, making it unclear to what extent these will be applied, which, in turn, suggests a potentially broad interpretation and use. We are concerned this may result in the wide-scale criminalisation of individuals in situations of vulnerability, including survivors of modern slavery.</w:t>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compounded effect of the new immigration offences and the retention of article 12 and 29 of the IMA, may prevent the identification of vulnerabilities and present and historic situations of exploitation, resulting in the survivors’ exclusion from modern slavery protections. </w:t>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The criminalisation of individuals will make them liable to detention and exclusion from the National Referral Mechanism (NRM) protections resulting from the application of section 63 NABA and section 29 IMA (if it were to be brought into force). This is therefore incompatible with articles 10 (identification of the victims) and 12 ECAT (assistance to victims) as well as article 4 ECHR (prohibition of slavery and forced labour) and article 5 of the Protocol against the smuggling of migrants. It is also incompatible with the principle underpinning article 26 ECAT (non-punishment principle) and article 13(3) ECAT on the application of the rest and recovery period.</w:t>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ECAT provisions are specifically designed to protect against the risk of victims wrongly being treated as “</w:t>
      </w:r>
      <w:r w:rsidRPr="00227AB8">
        <w:rPr>
          <w:rFonts w:ascii="Calibri" w:eastAsia="Calibri" w:hAnsi="Calibri" w:cs="Calibri"/>
          <w:i/>
          <w:color w:val="1A1A1A"/>
          <w:sz w:val="24"/>
          <w:szCs w:val="24"/>
          <w:highlight w:val="white"/>
        </w:rPr>
        <w:t>illegal immigrants, prostitutes or illegal workers and being punished or returned to their countries without being given any help.</w:t>
      </w:r>
      <w:r w:rsidRPr="00227AB8">
        <w:rPr>
          <w:rFonts w:ascii="Calibri" w:eastAsia="Calibri" w:hAnsi="Calibri" w:cs="Calibri"/>
          <w:color w:val="1A1A1A"/>
          <w:sz w:val="24"/>
          <w:szCs w:val="24"/>
          <w:highlight w:val="white"/>
        </w:rPr>
        <w:t>”</w:t>
      </w:r>
      <w:r>
        <w:rPr>
          <w:rFonts w:ascii="Calibri" w:eastAsia="Calibri" w:hAnsi="Calibri" w:cs="Calibri"/>
          <w:color w:val="1A1A1A"/>
          <w:sz w:val="24"/>
          <w:szCs w:val="24"/>
          <w:highlight w:val="white"/>
          <w:vertAlign w:val="superscript"/>
        </w:rPr>
        <w:footnoteReference w:id="2"/>
      </w:r>
      <w:r w:rsidRPr="00227AB8">
        <w:rPr>
          <w:rFonts w:ascii="Calibri" w:eastAsia="Calibri" w:hAnsi="Calibri" w:cs="Calibri"/>
          <w:color w:val="1A1A1A"/>
          <w:sz w:val="24"/>
          <w:szCs w:val="24"/>
          <w:highlight w:val="white"/>
        </w:rPr>
        <w:t xml:space="preserve"> However, the Bill risks creating a “ hierarchisation of victimhood”, where some survivors of modern slavery will be treated as more deserving of support than others based on the way they arrive in the UK. </w:t>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This approach disregards individual circumstances, trafficker’s modus operandi, use of coercion and the dangers encountered during these journeys by punishing those in need to be protected with no repercussions on traffickers and smugglers. This discriminatory approach contravenes principles set in article 3 ECAT</w:t>
      </w:r>
      <w:r>
        <w:rPr>
          <w:rFonts w:ascii="Calibri" w:eastAsia="Calibri" w:hAnsi="Calibri" w:cs="Calibri"/>
          <w:color w:val="1A1A1A"/>
          <w:sz w:val="24"/>
          <w:szCs w:val="24"/>
          <w:highlight w:val="white"/>
          <w:vertAlign w:val="superscript"/>
        </w:rPr>
        <w:footnoteReference w:id="3"/>
      </w:r>
      <w:r w:rsidRPr="00227AB8">
        <w:rPr>
          <w:rFonts w:ascii="Calibri" w:eastAsia="Calibri" w:hAnsi="Calibri" w:cs="Calibri"/>
          <w:color w:val="1A1A1A"/>
          <w:sz w:val="24"/>
          <w:szCs w:val="24"/>
          <w:highlight w:val="white"/>
        </w:rPr>
        <w:t xml:space="preserve"> and article 14 ECHR.</w:t>
      </w:r>
      <w:r>
        <w:rPr>
          <w:rFonts w:ascii="Calibri" w:eastAsia="Calibri" w:hAnsi="Calibri" w:cs="Calibri"/>
          <w:color w:val="1A1A1A"/>
          <w:sz w:val="24"/>
          <w:szCs w:val="24"/>
          <w:highlight w:val="white"/>
          <w:vertAlign w:val="superscript"/>
        </w:rPr>
        <w:footnoteReference w:id="4"/>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numPr>
          <w:ilvl w:val="0"/>
          <w:numId w:val="4"/>
        </w:numPr>
        <w:shd w:val="clear" w:color="auto" w:fill="FFFFFF"/>
        <w:jc w:val="both"/>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Frontline organisations in the UK, which offer direct support to survivors of modern slavery, have also raised significant concerns in relation to the impact of these clauses on their operations and whether they would become liable, should they provide specific items, advice or support to individuals who fall within the cohort affected by this Bill.  </w:t>
      </w:r>
      <w:r w:rsidRPr="00227AB8">
        <w:rPr>
          <w:rFonts w:ascii="Calibri" w:eastAsia="Calibri" w:hAnsi="Calibri" w:cs="Calibri"/>
          <w:sz w:val="24"/>
          <w:szCs w:val="24"/>
          <w:highlight w:val="white"/>
        </w:rPr>
        <w:t>If it is not the intention of the Government to make these frontline organisations liable for support provided to survivors of modern slavery, then the wording of the Bill must reflect this.</w:t>
      </w: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shd w:val="clear" w:color="auto" w:fill="FFFFFF"/>
        <w:ind w:left="720"/>
        <w:jc w:val="both"/>
        <w:rPr>
          <w:rFonts w:ascii="Calibri" w:eastAsia="Calibri" w:hAnsi="Calibri" w:cs="Calibri"/>
          <w:color w:val="1A1A1A"/>
          <w:sz w:val="24"/>
          <w:szCs w:val="24"/>
          <w:highlight w:val="white"/>
        </w:rPr>
      </w:pPr>
    </w:p>
    <w:p w:rsidR="00000000" w:rsidRPr="00227AB8">
      <w:pPr>
        <w:rPr>
          <w:rFonts w:ascii="Calibri" w:eastAsia="Calibri" w:hAnsi="Calibri" w:cs="Calibri"/>
          <w:b/>
          <w:color w:val="1A1A1A"/>
          <w:sz w:val="24"/>
          <w:szCs w:val="24"/>
          <w:highlight w:val="white"/>
        </w:rPr>
      </w:pPr>
      <w:r w:rsidRPr="00227AB8">
        <w:rPr>
          <w:rFonts w:ascii="Calibri" w:eastAsia="Calibri" w:hAnsi="Calibri" w:cs="Calibri"/>
          <w:b/>
          <w:color w:val="1A1A1A"/>
          <w:sz w:val="24"/>
          <w:szCs w:val="24"/>
          <w:highlight w:val="white"/>
        </w:rPr>
        <w:t>Question 4: The Bill will repeal the majority of the Illegal Migration Act 2023 (IMA) but will retain various provisions.</w:t>
      </w:r>
    </w:p>
    <w:p w:rsidR="00000000" w:rsidRPr="00227AB8">
      <w:pPr>
        <w:rPr>
          <w:rFonts w:ascii="Calibri" w:eastAsia="Calibri" w:hAnsi="Calibri" w:cs="Calibri"/>
          <w:b/>
          <w:color w:val="1A1A1A"/>
          <w:sz w:val="24"/>
          <w:szCs w:val="24"/>
          <w:highlight w:val="white"/>
        </w:rPr>
      </w:pPr>
    </w:p>
    <w:p w:rsidR="00000000" w:rsidRPr="00227AB8">
      <w:pPr>
        <w:numPr>
          <w:ilvl w:val="0"/>
          <w:numId w:val="4"/>
        </w:numP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During the passage of the IMA, many international bodies and experts have raised concerns in relation to the impact of this Bill and stated that it stands in clear breach and contrast with many international instruments.</w:t>
      </w:r>
      <w:r>
        <w:rPr>
          <w:rFonts w:ascii="Calibri" w:eastAsia="Calibri" w:hAnsi="Calibri" w:cs="Calibri"/>
          <w:color w:val="1A1A1A"/>
          <w:sz w:val="24"/>
          <w:szCs w:val="24"/>
          <w:highlight w:val="white"/>
          <w:vertAlign w:val="superscript"/>
        </w:rPr>
        <w:footnoteReference w:id="5"/>
      </w:r>
      <w:r w:rsidRPr="00227AB8">
        <w:rPr>
          <w:rFonts w:ascii="Calibri" w:eastAsia="Calibri" w:hAnsi="Calibri" w:cs="Calibri"/>
          <w:color w:val="1A1A1A"/>
          <w:sz w:val="24"/>
          <w:szCs w:val="24"/>
          <w:highlight w:val="white"/>
        </w:rPr>
        <w:t xml:space="preserve"> The current Government while in opposition also strongly criticised the entirety of this Act, including the current Minister for Safeguarding, Jess Phillips MP, stating that the Act was a “traffickers dream, a tool for their control.”</w:t>
      </w:r>
      <w:r>
        <w:rPr>
          <w:rFonts w:ascii="Calibri" w:eastAsia="Calibri" w:hAnsi="Calibri" w:cs="Calibri"/>
          <w:color w:val="1A1A1A"/>
          <w:sz w:val="24"/>
          <w:szCs w:val="24"/>
          <w:highlight w:val="white"/>
          <w:vertAlign w:val="superscript"/>
        </w:rPr>
        <w:footnoteReference w:id="6"/>
      </w:r>
    </w:p>
    <w:p w:rsidR="00000000" w:rsidRPr="00227AB8">
      <w:pPr>
        <w:rPr>
          <w:rFonts w:ascii="Calibri" w:eastAsia="Calibri" w:hAnsi="Calibri" w:cs="Calibri"/>
          <w:b/>
          <w:color w:val="1A1A1A"/>
          <w:sz w:val="24"/>
          <w:szCs w:val="24"/>
          <w:highlight w:val="white"/>
        </w:rPr>
      </w:pPr>
    </w:p>
    <w:p w:rsidR="00000000" w:rsidRPr="00227AB8">
      <w:pPr>
        <w:rPr>
          <w:rFonts w:ascii="Calibri" w:eastAsia="Calibri" w:hAnsi="Calibri" w:cs="Calibri"/>
          <w:b/>
          <w:color w:val="1A1A1A"/>
          <w:sz w:val="24"/>
          <w:szCs w:val="24"/>
          <w:highlight w:val="white"/>
        </w:rPr>
      </w:pPr>
      <w:r w:rsidRPr="00227AB8">
        <w:rPr>
          <w:rFonts w:ascii="Calibri" w:eastAsia="Calibri" w:hAnsi="Calibri" w:cs="Calibri"/>
          <w:b/>
          <w:color w:val="1A1A1A"/>
          <w:sz w:val="24"/>
          <w:szCs w:val="24"/>
          <w:highlight w:val="white"/>
        </w:rPr>
        <w:t xml:space="preserve">a. Is the retention of section 12 IMA compatible with the requirements of Article 5 ECHR, previously guaranteed by the common law application of the Hardial Singh principles? </w:t>
      </w:r>
    </w:p>
    <w:p w:rsidR="00000000" w:rsidRPr="00227AB8">
      <w:pPr>
        <w:shd w:val="clear" w:color="auto" w:fill="FFFFFF"/>
        <w:jc w:val="both"/>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highlight w:val="white"/>
        </w:rPr>
        <w:t xml:space="preserve">In our opinion, the retention of section 12 IMA, gives a blank discretion to the Secretary of State for indefinite detention, in clear breach of article 5 ECHR. The impact of this provision is far-reaching because the current policies governing detention settings are insufficient to </w:t>
      </w:r>
      <w:r w:rsidRPr="00227AB8">
        <w:rPr>
          <w:rFonts w:ascii="Calibri" w:eastAsia="Calibri" w:hAnsi="Calibri" w:cs="Calibri"/>
          <w:color w:val="1A1A1A"/>
          <w:sz w:val="24"/>
          <w:szCs w:val="24"/>
        </w:rPr>
        <w:t xml:space="preserve">constitute an appropriate safeguard for individuals with vulnerabilities, including survivors of modern slavery. </w:t>
      </w:r>
    </w:p>
    <w:p w:rsidR="00000000" w:rsidRPr="00227AB8">
      <w:pPr>
        <w:pBdr>
          <w:top w:val="nil"/>
          <w:left w:val="nil"/>
          <w:bottom w:val="nil"/>
          <w:right w:val="nil"/>
          <w:between w:val="nil"/>
        </w:pBdr>
        <w:ind w:left="720"/>
        <w:rPr>
          <w:rFonts w:ascii="Calibri" w:hAnsi="Calibri" w:cs="Calibri"/>
          <w:color w:val="1A1A1A"/>
          <w:sz w:val="24"/>
          <w:szCs w:val="24"/>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For example, changes brought to the Adult at Risk policy, has made it even more difficult for survivors to meet the threshold to be released into the community, creating the conditions for long-term detention. Organisations such as the Helen Bamber Foundation have documented the detrimental impact detention has on individual mental health, which compounds the effect of trauma generated by the experience of exploitation.</w:t>
      </w:r>
      <w:r>
        <w:rPr>
          <w:rFonts w:ascii="Calibri" w:hAnsi="Calibri" w:cs="Calibri"/>
          <w:color w:val="000000"/>
          <w:sz w:val="24"/>
          <w:szCs w:val="24"/>
          <w:vertAlign w:val="superscript"/>
        </w:rPr>
        <w:footnoteReference w:id="7"/>
      </w:r>
    </w:p>
    <w:p w:rsidR="00000000" w:rsidRPr="00227AB8">
      <w:pPr>
        <w:rPr>
          <w:rFonts w:ascii="Calibri" w:hAnsi="Calibri" w:cs="Calibri"/>
          <w:color w:val="1A1A1A"/>
          <w:sz w:val="24"/>
          <w:szCs w:val="24"/>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 xml:space="preserve">Detention settings are not conducive to supporting survivors’ disclosure and recovery. Research has found multiple barriers and gaps in accessing specialist support within detention settings, including, but not limited to </w:t>
      </w:r>
      <w:r w:rsidRPr="00227AB8">
        <w:rPr>
          <w:rFonts w:ascii="Calibri" w:eastAsia="Calibri" w:hAnsi="Calibri" w:cs="Calibri"/>
          <w:color w:val="1A1A1A"/>
          <w:sz w:val="24"/>
          <w:szCs w:val="24"/>
          <w:highlight w:val="white"/>
        </w:rPr>
        <w:t>access to mental health services and legal advice</w:t>
      </w:r>
      <w:r w:rsidRPr="00227AB8">
        <w:rPr>
          <w:rFonts w:ascii="Calibri" w:eastAsia="Calibri" w:hAnsi="Calibri" w:cs="Calibri"/>
          <w:color w:val="1A1A1A"/>
          <w:sz w:val="24"/>
          <w:szCs w:val="24"/>
        </w:rPr>
        <w:t>, resulting in identification failures.</w:t>
      </w:r>
      <w:r>
        <w:rPr>
          <w:rFonts w:ascii="Calibri" w:hAnsi="Calibri" w:cs="Calibri"/>
          <w:color w:val="000000"/>
          <w:sz w:val="24"/>
          <w:szCs w:val="24"/>
          <w:vertAlign w:val="superscript"/>
        </w:rPr>
        <w:footnoteReference w:id="8"/>
      </w:r>
      <w:r w:rsidRPr="00227AB8">
        <w:rPr>
          <w:rFonts w:ascii="Calibri" w:eastAsia="Calibri" w:hAnsi="Calibri" w:cs="Calibri"/>
          <w:color w:val="1A1A1A"/>
          <w:sz w:val="24"/>
          <w:szCs w:val="24"/>
        </w:rPr>
        <w:t xml:space="preserve">  </w:t>
      </w:r>
    </w:p>
    <w:p w:rsidR="00000000" w:rsidRPr="00227AB8">
      <w:pPr>
        <w:rPr>
          <w:rFonts w:ascii="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retention of section 12 IMA therefore, not only breaches article 5 ECHR, but also article 12(1)(a) ECAT, which states that accommodation provided to victims must be </w:t>
      </w:r>
      <w:r w:rsidRPr="00227AB8">
        <w:rPr>
          <w:rFonts w:ascii="Calibri" w:eastAsia="Calibri" w:hAnsi="Calibri" w:cs="Calibri"/>
          <w:color w:val="1A1A1A"/>
          <w:sz w:val="24"/>
          <w:szCs w:val="24"/>
          <w:highlight w:val="white"/>
        </w:rPr>
        <w:t xml:space="preserve">appropriate and secure. This should be interpreted in line with the ECATER definition of </w:t>
      </w:r>
      <w:r w:rsidRPr="00227AB8">
        <w:rPr>
          <w:rFonts w:ascii="Calibri" w:eastAsia="Calibri" w:hAnsi="Calibri" w:cs="Calibri"/>
          <w:i/>
          <w:color w:val="1A1A1A"/>
          <w:sz w:val="24"/>
          <w:szCs w:val="24"/>
          <w:highlight w:val="white"/>
        </w:rPr>
        <w:t>appropriate and secure</w:t>
      </w:r>
      <w:r w:rsidRPr="00227AB8">
        <w:rPr>
          <w:rFonts w:ascii="Calibri" w:eastAsia="Calibri" w:hAnsi="Calibri" w:cs="Calibri"/>
          <w:color w:val="1A1A1A"/>
          <w:sz w:val="24"/>
          <w:szCs w:val="24"/>
          <w:highlight w:val="white"/>
        </w:rPr>
        <w:t xml:space="preserve"> as to what is necessary to ‘assist victims in their physical, psychological and social recovery’. </w:t>
      </w:r>
      <w:r w:rsidRPr="00227AB8">
        <w:rPr>
          <w:rFonts w:ascii="Calibri" w:eastAsia="Calibri" w:hAnsi="Calibri" w:cs="Calibri"/>
          <w:color w:val="1A1A1A"/>
          <w:sz w:val="24"/>
          <w:szCs w:val="24"/>
        </w:rPr>
        <w:t>ECATER also states that victims of trafficking should be accommodated where staff would be able to provide specialist and around-the clock assistance. The purpose is to provide victims with surroundings in which they feel secure and to provide them with help and stability.</w:t>
      </w:r>
      <w:r>
        <w:rPr>
          <w:rFonts w:ascii="Calibri" w:eastAsia="Calibri" w:hAnsi="Calibri" w:cs="Calibri"/>
          <w:color w:val="000000"/>
          <w:sz w:val="24"/>
          <w:szCs w:val="24"/>
          <w:vertAlign w:val="superscript"/>
        </w:rPr>
        <w:footnoteReference w:id="9"/>
      </w:r>
    </w:p>
    <w:p w:rsidR="00000000" w:rsidRPr="00227AB8">
      <w:pPr>
        <w:ind w:left="720"/>
        <w:rPr>
          <w:rFonts w:ascii="Calibri" w:eastAsia="Calibri" w:hAnsi="Calibri" w:cs="Calibri"/>
          <w:color w:val="1A1A1A"/>
          <w:sz w:val="24"/>
          <w:szCs w:val="24"/>
          <w:highlight w:val="yellow"/>
          <w:vertAlign w:val="superscript"/>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Section 12 IMA also breaches article 5 ECAT (prevention of trafficking in human beings) because it may also impact on children who may have had their age disputed. Organisations have raised multiple safeguarding failures in the age assessment process,</w:t>
      </w:r>
      <w:r>
        <w:rPr>
          <w:rFonts w:ascii="Calibri" w:hAnsi="Calibri" w:cs="Calibri"/>
          <w:color w:val="000000"/>
          <w:sz w:val="24"/>
          <w:szCs w:val="24"/>
          <w:highlight w:val="white"/>
          <w:vertAlign w:val="superscript"/>
        </w:rPr>
        <w:footnoteReference w:id="10"/>
      </w:r>
      <w:r w:rsidRPr="00227AB8">
        <w:rPr>
          <w:rFonts w:ascii="Calibri" w:eastAsia="Calibri" w:hAnsi="Calibri" w:cs="Calibri"/>
          <w:color w:val="1A1A1A"/>
          <w:sz w:val="24"/>
          <w:szCs w:val="24"/>
          <w:highlight w:val="white"/>
        </w:rPr>
        <w:t xml:space="preserve"> which compounded by barriers to accessing legal representation in detention, may result in children locked in detention for extended periods of time. ECATER states that the placement of a child in a detention institution should never be regarded as appropriate accommodation.</w:t>
      </w:r>
      <w:r>
        <w:rPr>
          <w:rFonts w:ascii="Calibri" w:hAnsi="Calibri" w:cs="Calibri"/>
          <w:color w:val="000000"/>
          <w:sz w:val="24"/>
          <w:szCs w:val="24"/>
          <w:highlight w:val="white"/>
          <w:vertAlign w:val="superscript"/>
        </w:rPr>
        <w:footnoteReference w:id="11"/>
      </w:r>
    </w:p>
    <w:p w:rsidR="00000000" w:rsidRPr="00227AB8">
      <w:pPr>
        <w:rPr>
          <w:rFonts w:ascii="Calibri" w:eastAsia="Calibri" w:hAnsi="Calibri" w:cs="Calibri"/>
          <w:b/>
          <w:color w:val="1A1A1A"/>
          <w:sz w:val="24"/>
          <w:szCs w:val="24"/>
          <w:highlight w:val="white"/>
        </w:rPr>
      </w:pPr>
    </w:p>
    <w:p w:rsidR="00000000" w:rsidRPr="00227AB8">
      <w:pPr>
        <w:rPr>
          <w:rFonts w:ascii="Calibri" w:eastAsia="Calibri" w:hAnsi="Calibri" w:cs="Calibri"/>
          <w:b/>
          <w:color w:val="1A1A1A"/>
          <w:sz w:val="24"/>
          <w:szCs w:val="24"/>
          <w:highlight w:val="white"/>
        </w:rPr>
      </w:pPr>
      <w:r w:rsidRPr="00227AB8">
        <w:rPr>
          <w:rFonts w:ascii="Calibri" w:eastAsia="Calibri" w:hAnsi="Calibri" w:cs="Calibri"/>
          <w:b/>
          <w:color w:val="1A1A1A"/>
          <w:sz w:val="24"/>
          <w:szCs w:val="24"/>
          <w:highlight w:val="white"/>
        </w:rPr>
        <w:t xml:space="preserve">b. Is the retention of section 29 IMA, which broadens the public order disqualification in relation to victims of trafficking and modern slavery, compatible with the UK’s obligations under ECAT and Article 4 of the ECHR? </w:t>
      </w:r>
    </w:p>
    <w:p w:rsidR="00000000" w:rsidRPr="00227AB8">
      <w:pPr>
        <w:rPr>
          <w:rFonts w:ascii="Calibri" w:eastAsia="Calibri" w:hAnsi="Calibri" w:cs="Calibri"/>
          <w:b/>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In our opinion, the retention of section 29 IMA is fully incompatible with the UK’s obligation under article 10, 12, 13 and 26 ECAT as well as Article 4 ECHR. This provision changes the Secretary of State powers to disqualify survivors of modern slavery from the recovery and reflection period (as introduced by section 63 NABA) into a duty, making the disqualification mandatory (note the change of the word from “may” to “must”), unless “compelling circumstances” apply. </w:t>
      </w:r>
    </w:p>
    <w:p w:rsidR="00000000" w:rsidRPr="00227AB8">
      <w:pPr>
        <w:pBdr>
          <w:top w:val="nil"/>
          <w:left w:val="nil"/>
          <w:bottom w:val="nil"/>
          <w:right w:val="nil"/>
          <w:between w:val="nil"/>
        </w:pBdr>
        <w:ind w:left="720"/>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 Section 29 also broadens the scope of the disqualification to any survivor convicted of an offence, regardless of the length of the sentence. The removal of discretion and the expansion of the cohort to which this provision will apply, is likely to result in a blanket, wide-scale disqualification of individuals from the NRM recovery and reflection period. It will also prevent survivors from going through the full identification process, contrary to the intended application of article 13(3) ECAT. </w:t>
      </w:r>
    </w:p>
    <w:p w:rsidR="00000000" w:rsidRPr="00227AB8">
      <w:pPr>
        <w:pBdr>
          <w:top w:val="nil"/>
          <w:left w:val="nil"/>
          <w:bottom w:val="nil"/>
          <w:right w:val="nil"/>
          <w:between w:val="nil"/>
        </w:pBdr>
        <w:ind w:left="720"/>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As stated in the guidance note on article 13(3) as published by the Group of Experts on Action Against Trafficking in Human Beings (GRETA), disqualification on the grounds of public order should always be considered on a case-by-case basis and are intended to </w:t>
      </w:r>
      <w:r w:rsidRPr="00227AB8">
        <w:rPr>
          <w:rFonts w:ascii="Calibri" w:eastAsia="Calibri" w:hAnsi="Calibri" w:cs="Calibri"/>
          <w:color w:val="1A1A1A"/>
          <w:sz w:val="24"/>
          <w:szCs w:val="24"/>
          <w:highlight w:val="white"/>
        </w:rPr>
        <w:t>apply ‘</w:t>
      </w:r>
      <w:r w:rsidRPr="00227AB8">
        <w:rPr>
          <w:rFonts w:ascii="Calibri" w:eastAsia="Calibri" w:hAnsi="Calibri" w:cs="Calibri"/>
          <w:i/>
          <w:color w:val="1A1A1A"/>
          <w:sz w:val="24"/>
          <w:szCs w:val="24"/>
          <w:highlight w:val="white"/>
        </w:rPr>
        <w:t>in very exceptional circumstances and cannot be used by States Parties to circumvent their obligation to provide access to the recovery and reflection period.</w:t>
      </w:r>
      <w:r>
        <w:rPr>
          <w:rFonts w:ascii="Calibri" w:eastAsia="Calibri" w:hAnsi="Calibri" w:cs="Calibri"/>
          <w:i/>
          <w:color w:val="1A1A1A"/>
          <w:sz w:val="24"/>
          <w:szCs w:val="24"/>
          <w:highlight w:val="white"/>
          <w:vertAlign w:val="superscript"/>
        </w:rPr>
        <w:footnoteReference w:id="12"/>
      </w:r>
    </w:p>
    <w:p w:rsidR="00000000" w:rsidRPr="00227AB8">
      <w:pPr>
        <w:pBdr>
          <w:top w:val="nil"/>
          <w:left w:val="nil"/>
          <w:bottom w:val="nil"/>
          <w:right w:val="nil"/>
          <w:between w:val="nil"/>
        </w:pBdr>
        <w:ind w:left="720"/>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However, the public order disqualification is already affecting </w:t>
      </w:r>
      <w:r w:rsidRPr="00227AB8">
        <w:rPr>
          <w:rFonts w:ascii="Calibri" w:eastAsia="Calibri" w:hAnsi="Calibri" w:cs="Calibri"/>
          <w:color w:val="1A1A1A"/>
          <w:sz w:val="24"/>
          <w:szCs w:val="24"/>
          <w:highlight w:val="white"/>
        </w:rPr>
        <w:t>a large number of</w:t>
      </w:r>
      <w:r w:rsidRPr="00227AB8">
        <w:rPr>
          <w:rFonts w:ascii="Calibri" w:eastAsia="Calibri" w:hAnsi="Calibri" w:cs="Calibri"/>
          <w:color w:val="1A1A1A"/>
          <w:sz w:val="24"/>
          <w:szCs w:val="24"/>
          <w:highlight w:val="white"/>
        </w:rPr>
        <w:t xml:space="preserve"> survivors. According to the NRM statistics, in the years 2023 and 2024, there were 613 requests for disqualifications of which 599 on public order grounds. Of these, 538 went onto be confirmed.</w:t>
      </w:r>
      <w:r>
        <w:rPr>
          <w:rFonts w:ascii="Calibri" w:eastAsia="Calibri" w:hAnsi="Calibri" w:cs="Calibri"/>
          <w:color w:val="1A1A1A"/>
          <w:sz w:val="24"/>
          <w:szCs w:val="24"/>
          <w:highlight w:val="white"/>
          <w:vertAlign w:val="superscript"/>
        </w:rPr>
        <w:footnoteReference w:id="13"/>
      </w:r>
    </w:p>
    <w:p w:rsidR="00000000" w:rsidRPr="00227AB8">
      <w:pPr>
        <w:pBdr>
          <w:top w:val="nil"/>
          <w:left w:val="nil"/>
          <w:bottom w:val="nil"/>
          <w:right w:val="nil"/>
          <w:between w:val="nil"/>
        </w:pBdr>
        <w:ind w:left="720"/>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government has defended the retention of section 29 on the basis that individual circumstances will be </w:t>
      </w:r>
      <w:r w:rsidRPr="00227AB8">
        <w:rPr>
          <w:rFonts w:ascii="Calibri" w:eastAsia="Calibri" w:hAnsi="Calibri" w:cs="Calibri"/>
          <w:color w:val="1A1A1A"/>
          <w:sz w:val="24"/>
          <w:szCs w:val="24"/>
          <w:highlight w:val="white"/>
        </w:rPr>
        <w:t>taken into account</w:t>
      </w:r>
      <w:r w:rsidRPr="00227AB8">
        <w:rPr>
          <w:rFonts w:ascii="Calibri" w:eastAsia="Calibri" w:hAnsi="Calibri" w:cs="Calibri"/>
          <w:color w:val="1A1A1A"/>
          <w:sz w:val="24"/>
          <w:szCs w:val="24"/>
          <w:highlight w:val="white"/>
        </w:rPr>
        <w:t xml:space="preserve">, and that safeguards are provided in the section 45 Modern Slavery Act statutory defence and Crown Prosecution Service ability to exercise discretion in decisions to prosecute. However, these supposed safeguards exist currently and have so far failed to prevent survivors of trafficking being disqualified for crimes committed under duress, despite disqualification currently being fully discretionary. </w:t>
      </w:r>
    </w:p>
    <w:p w:rsidR="00000000" w:rsidRPr="00227AB8">
      <w:pPr>
        <w:pBdr>
          <w:top w:val="nil"/>
          <w:left w:val="nil"/>
          <w:bottom w:val="nil"/>
          <w:right w:val="nil"/>
          <w:between w:val="nil"/>
        </w:pBdr>
        <w:ind w:left="502"/>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Therefore, there is a real risk that the expanded scope and mandatory nature of disqualifications under section 29 will leave many more victims of modern slavery unable to access financial support, housing and leave to remain as a victim of trafficking in the UK, leaving them at greater risk of being re-trafficking in the UK or in their home countries if forcibly returned. Put simply, implementing section 29 will send a message to decision makers that they should disqualify those with convictions more often, despite evidence that the power is already frequently used in cases of exploitation though forced criminality.</w:t>
      </w:r>
    </w:p>
    <w:p w:rsidR="00000000" w:rsidRPr="00227AB8">
      <w:pPr>
        <w:pBdr>
          <w:top w:val="nil"/>
          <w:left w:val="nil"/>
          <w:bottom w:val="nil"/>
          <w:right w:val="nil"/>
          <w:between w:val="nil"/>
        </w:pBdr>
        <w:ind w:left="502"/>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retention of this provision is incompatible with the State’s obligation to provide support and protection to victims and survivors as set out in article 4 ECHR, whose relationship with ECAT has been clarified by the judgment of </w:t>
      </w:r>
      <w:r w:rsidRPr="00227AB8">
        <w:rPr>
          <w:rFonts w:ascii="Calibri" w:eastAsia="Calibri" w:hAnsi="Calibri" w:cs="Calibri"/>
          <w:i/>
          <w:color w:val="1A1A1A"/>
          <w:sz w:val="24"/>
          <w:szCs w:val="24"/>
          <w:highlight w:val="white"/>
        </w:rPr>
        <w:t>Rantsev v Cyprus and Russia</w:t>
      </w:r>
      <w:r w:rsidRPr="00227AB8">
        <w:rPr>
          <w:rFonts w:ascii="Calibri" w:eastAsia="Calibri" w:hAnsi="Calibri" w:cs="Calibri"/>
          <w:color w:val="1A1A1A"/>
          <w:sz w:val="24"/>
          <w:szCs w:val="24"/>
          <w:highlight w:val="white"/>
        </w:rPr>
        <w:t>.</w:t>
      </w:r>
      <w:r>
        <w:rPr>
          <w:rFonts w:ascii="Calibri" w:hAnsi="Calibri" w:cs="Calibri"/>
          <w:color w:val="000000"/>
          <w:sz w:val="24"/>
          <w:szCs w:val="24"/>
          <w:highlight w:val="white"/>
          <w:vertAlign w:val="superscript"/>
        </w:rPr>
        <w:footnoteReference w:id="14"/>
      </w:r>
      <w:r w:rsidRPr="00227AB8">
        <w:rPr>
          <w:rFonts w:ascii="Calibri" w:eastAsia="Calibri" w:hAnsi="Calibri" w:cs="Calibri"/>
          <w:color w:val="1A1A1A"/>
          <w:sz w:val="24"/>
          <w:szCs w:val="24"/>
          <w:highlight w:val="white"/>
        </w:rPr>
        <w:t xml:space="preserve"> This judgment states that the safeguards set out in national legislation must be adequate to ensure the practical and effective protection of the rights of victims and potential victims, in criminal law, regulation of business and immigration rules. </w:t>
      </w:r>
    </w:p>
    <w:p w:rsidR="00000000" w:rsidRPr="00227AB8">
      <w:pPr>
        <w:pBdr>
          <w:top w:val="nil"/>
          <w:left w:val="nil"/>
          <w:bottom w:val="nil"/>
          <w:right w:val="nil"/>
          <w:between w:val="nil"/>
        </w:pBdr>
        <w:ind w:left="720"/>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extent of the positive obligations arising under article 4 ECHR </w:t>
      </w:r>
      <w:r w:rsidRPr="00227AB8">
        <w:rPr>
          <w:rFonts w:ascii="Calibri" w:eastAsia="Calibri" w:hAnsi="Calibri" w:cs="Calibri"/>
          <w:color w:val="1A1A1A"/>
          <w:sz w:val="24"/>
          <w:szCs w:val="24"/>
          <w:highlight w:val="white"/>
        </w:rPr>
        <w:t>take into account</w:t>
      </w:r>
      <w:r w:rsidRPr="00227AB8">
        <w:rPr>
          <w:rFonts w:ascii="Calibri" w:eastAsia="Calibri" w:hAnsi="Calibri" w:cs="Calibri"/>
          <w:color w:val="1A1A1A"/>
          <w:sz w:val="24"/>
          <w:szCs w:val="24"/>
          <w:highlight w:val="white"/>
        </w:rPr>
        <w:t xml:space="preserve"> the broader context of the Palermo Protocol and ECAT, which focus not only on punishment but prevention and protection (para 285). No exceptions can be made to these requirements because Article 4 ECHR is non-derogable under Article 15 of ECHR.</w:t>
      </w:r>
      <w:r>
        <w:rPr>
          <w:rFonts w:ascii="Calibri" w:eastAsia="Calibri" w:hAnsi="Calibri" w:cs="Calibri"/>
          <w:color w:val="1A1A1A"/>
          <w:sz w:val="24"/>
          <w:szCs w:val="24"/>
          <w:highlight w:val="white"/>
          <w:vertAlign w:val="superscript"/>
        </w:rPr>
        <w:footnoteReference w:id="15"/>
      </w:r>
    </w:p>
    <w:p w:rsidR="00000000" w:rsidRPr="00227AB8">
      <w:pPr>
        <w:pBdr>
          <w:top w:val="nil"/>
          <w:left w:val="nil"/>
          <w:bottom w:val="nil"/>
          <w:right w:val="nil"/>
          <w:between w:val="nil"/>
        </w:pBdr>
        <w:ind w:left="720"/>
        <w:rPr>
          <w:rFonts w:ascii="Calibri" w:eastAsia="Calibri" w:hAnsi="Calibri" w:cs="Calibri"/>
          <w:color w:val="000000"/>
          <w:sz w:val="24"/>
          <w:szCs w:val="24"/>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000000"/>
          <w:sz w:val="24"/>
          <w:szCs w:val="24"/>
        </w:rPr>
        <w:t>The retention of section 29 IMA is also in breach of domestic law as section 6 of the Human Rights Act (HRA) states that it is unlawful for public authorities to act in a way which is not compatible with rights under the ECHR.</w:t>
      </w:r>
    </w:p>
    <w:p w:rsidR="00000000" w:rsidRPr="00227AB8">
      <w:pPr>
        <w:rPr>
          <w:rFonts w:ascii="Calibri" w:eastAsia="Calibri" w:hAnsi="Calibri" w:cs="Calibri"/>
          <w:b/>
          <w:color w:val="1A1A1A"/>
          <w:sz w:val="24"/>
          <w:szCs w:val="24"/>
          <w:highlight w:val="white"/>
        </w:rPr>
      </w:pPr>
    </w:p>
    <w:p w:rsidR="00000000" w:rsidRPr="00227AB8">
      <w:pPr>
        <w:rPr>
          <w:rFonts w:ascii="Calibri" w:eastAsia="Calibri" w:hAnsi="Calibri" w:cs="Calibri"/>
          <w:b/>
          <w:color w:val="1A1A1A"/>
          <w:sz w:val="24"/>
          <w:szCs w:val="24"/>
          <w:highlight w:val="white"/>
        </w:rPr>
      </w:pPr>
      <w:r w:rsidRPr="00227AB8">
        <w:rPr>
          <w:rFonts w:ascii="Calibri" w:eastAsia="Calibri" w:hAnsi="Calibri" w:cs="Calibri"/>
          <w:b/>
          <w:color w:val="1A1A1A"/>
          <w:sz w:val="24"/>
          <w:szCs w:val="24"/>
          <w:highlight w:val="white"/>
        </w:rPr>
        <w:t xml:space="preserve">c. Is the retention of section 59 IMA, which makes asylum and human rights claims by people from certain states automatically inadmissible, compatible with the rights of people from those states who seek asylum in the UK? </w:t>
      </w:r>
    </w:p>
    <w:p w:rsidR="00000000" w:rsidRPr="00227AB8">
      <w:pPr>
        <w:rPr>
          <w:rFonts w:ascii="Calibri" w:eastAsia="Calibri" w:hAnsi="Calibri" w:cs="Calibri"/>
          <w:b/>
          <w:color w:val="1A1A1A"/>
          <w:sz w:val="24"/>
          <w:szCs w:val="24"/>
          <w:highlight w:val="yellow"/>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The retention of section 59 IMA will result in a derogation of asylum identification and protection which is incompatible with the non-refoulement principle set out in article 33 of the Refugee Convention. This exclusion will also affect survivors of modern slavery, many of whom also seek asylum in the UK, making it harder for them to disclose exploitation or access the appropriate support needed to reduce their vulnerability to further exploitation. This is incompatible with article 40 ECAT (Relationship with other international instruments).</w:t>
      </w:r>
    </w:p>
    <w:p w:rsidR="00000000" w:rsidRPr="00227AB8">
      <w:pPr>
        <w:pBdr>
          <w:top w:val="nil"/>
          <w:left w:val="nil"/>
          <w:bottom w:val="nil"/>
          <w:right w:val="nil"/>
          <w:between w:val="nil"/>
        </w:pBdr>
        <w:ind w:left="720"/>
        <w:rPr>
          <w:rFonts w:ascii="Calibri" w:eastAsia="Calibri" w:hAnsi="Calibri" w:cs="Calibri"/>
          <w:color w:val="1A1A1A"/>
          <w:sz w:val="24"/>
          <w:szCs w:val="24"/>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 xml:space="preserve">Many survivors of trafficking claim asylum, their claim being entirely or partly on the basis that they would be at risk of being re-trafficked if returned to their country of origin by specific individuals, or more generally, or that they would be at risk of serious harm because they had been trafficked (for example because of the stigma around their sexual exploitation). For </w:t>
      </w:r>
      <w:r w:rsidRPr="00227AB8">
        <w:rPr>
          <w:rFonts w:ascii="Calibri" w:eastAsia="Calibri" w:hAnsi="Calibri" w:cs="Calibri"/>
          <w:color w:val="1A1A1A"/>
          <w:sz w:val="24"/>
          <w:szCs w:val="24"/>
        </w:rPr>
        <w:t>example, 93% of survivors of trafficking supported by the Helen Bamber Foundation have been referred to the National Referral Mechanism and claimed asylum. If an individual’s asylum claim is successful, they will be granted refugee status with leave remain in the UK for five years, and for many survivors this is the only means of obtaining a secure form of immigration status.</w:t>
      </w:r>
      <w:r>
        <w:rPr>
          <w:rFonts w:ascii="Calibri" w:eastAsia="Calibri" w:hAnsi="Calibri" w:cs="Calibri"/>
          <w:color w:val="1A1A1A"/>
          <w:sz w:val="24"/>
          <w:szCs w:val="24"/>
          <w:vertAlign w:val="superscript"/>
        </w:rPr>
        <w:footnoteReference w:id="16"/>
      </w:r>
      <w:r w:rsidRPr="00227AB8">
        <w:rPr>
          <w:rFonts w:ascii="Calibri" w:eastAsia="Calibri" w:hAnsi="Calibri" w:cs="Calibri"/>
          <w:color w:val="1A1A1A"/>
          <w:sz w:val="24"/>
          <w:szCs w:val="24"/>
        </w:rPr>
        <w:t xml:space="preserve">  </w:t>
      </w:r>
    </w:p>
    <w:p w:rsidR="00000000" w:rsidRPr="00227AB8">
      <w:pPr>
        <w:pBdr>
          <w:top w:val="nil"/>
          <w:left w:val="nil"/>
          <w:bottom w:val="nil"/>
          <w:right w:val="nil"/>
          <w:between w:val="nil"/>
        </w:pBdr>
        <w:ind w:left="502"/>
        <w:rPr>
          <w:rFonts w:ascii="Calibri" w:eastAsia="Calibri" w:hAnsi="Calibri" w:cs="Calibri"/>
          <w:color w:val="1A1A1A"/>
          <w:sz w:val="24"/>
          <w:szCs w:val="24"/>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 xml:space="preserve">If individuals are unable to receive immediate support through protection mechanisms such as asylum claims, and potentially detained for removal, they will be unable to access specialist support to facilitate disclosure of their exploitation and start their recovery. This contravenes the UK’s responsibilities to identify and protect survivors of modern slavery under articles 10 to 14 ECAT and article 4 ECHR. </w:t>
      </w:r>
    </w:p>
    <w:p w:rsidR="00000000" w:rsidRPr="00227AB8">
      <w:pPr>
        <w:pBdr>
          <w:top w:val="nil"/>
          <w:left w:val="nil"/>
          <w:bottom w:val="nil"/>
          <w:right w:val="nil"/>
          <w:between w:val="nil"/>
        </w:pBdr>
        <w:ind w:left="720"/>
        <w:rPr>
          <w:rFonts w:ascii="Calibri" w:eastAsia="Calibri" w:hAnsi="Calibri" w:cs="Calibri"/>
          <w:color w:val="1A1A1A"/>
          <w:sz w:val="24"/>
          <w:szCs w:val="24"/>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 xml:space="preserve">This provision will also be targeting nationals of specific countries excluding them from identification and support resulting in a breach of the anti-discriminatory </w:t>
      </w:r>
      <w:r w:rsidRPr="00227AB8">
        <w:rPr>
          <w:rFonts w:ascii="Calibri" w:eastAsia="Calibri" w:hAnsi="Calibri" w:cs="Calibri"/>
          <w:color w:val="1A1A1A"/>
          <w:sz w:val="24"/>
          <w:szCs w:val="24"/>
          <w:highlight w:val="white"/>
        </w:rPr>
        <w:t>principles set out in article 3 ECAT and article 14 ECHR</w:t>
      </w:r>
      <w:r w:rsidRPr="00227AB8">
        <w:rPr>
          <w:rFonts w:ascii="Calibri" w:eastAsia="Calibri" w:hAnsi="Calibri" w:cs="Calibri"/>
          <w:color w:val="1A1A1A"/>
          <w:sz w:val="24"/>
          <w:szCs w:val="24"/>
        </w:rPr>
        <w:t>.</w:t>
      </w:r>
    </w:p>
    <w:p w:rsidR="00000000" w:rsidRPr="00227AB8">
      <w:pPr>
        <w:pBdr>
          <w:top w:val="nil"/>
          <w:left w:val="nil"/>
          <w:bottom w:val="nil"/>
          <w:right w:val="nil"/>
          <w:between w:val="nil"/>
        </w:pBdr>
        <w:ind w:left="720"/>
        <w:rPr>
          <w:rFonts w:ascii="Calibri" w:eastAsia="Calibri" w:hAnsi="Calibri" w:cs="Calibri"/>
          <w:color w:val="1A1A1A"/>
          <w:sz w:val="24"/>
          <w:szCs w:val="24"/>
          <w:highlight w:val="yellow"/>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 xml:space="preserve">The current list of “safe” countries includes Albania, India and Bangladesh, which are countries of origin for many survivors of trafficking and modern slavery. Over the past </w:t>
      </w:r>
      <w:r w:rsidRPr="00227AB8">
        <w:rPr>
          <w:rFonts w:ascii="Calibri" w:eastAsia="Calibri" w:hAnsi="Calibri" w:cs="Calibri"/>
          <w:color w:val="1A1A1A"/>
          <w:sz w:val="24"/>
          <w:szCs w:val="24"/>
        </w:rPr>
        <w:t>few years, we have witnessed widespread rhetoric against nationals of these countries, despite Albania, for example, consistently being one of the top three countries of origin for survivors of modern slavery.</w:t>
      </w:r>
      <w:r>
        <w:rPr>
          <w:rFonts w:ascii="Calibri" w:eastAsia="Calibri" w:hAnsi="Calibri" w:cs="Calibri"/>
          <w:color w:val="1A1A1A"/>
          <w:sz w:val="24"/>
          <w:szCs w:val="24"/>
          <w:vertAlign w:val="superscript"/>
        </w:rPr>
        <w:footnoteReference w:id="17"/>
      </w:r>
    </w:p>
    <w:p w:rsidR="00000000" w:rsidRPr="00227AB8">
      <w:pPr>
        <w:rPr>
          <w:rFonts w:ascii="Calibri" w:eastAsia="Calibri" w:hAnsi="Calibri" w:cs="Calibri"/>
          <w:color w:val="1A1A1A"/>
          <w:sz w:val="24"/>
          <w:szCs w:val="24"/>
          <w:highlight w:val="yellow"/>
        </w:rPr>
      </w:pPr>
    </w:p>
    <w:p w:rsidR="00000000" w:rsidRPr="00227AB8">
      <w:pPr>
        <w:numPr>
          <w:ilvl w:val="0"/>
          <w:numId w:val="4"/>
        </w:numPr>
        <w:pBdr>
          <w:top w:val="nil"/>
          <w:left w:val="nil"/>
          <w:bottom w:val="nil"/>
          <w:right w:val="nil"/>
          <w:between w:val="nil"/>
        </w:pBdr>
        <w:rPr>
          <w:rFonts w:ascii="Calibri" w:hAnsi="Calibri" w:cs="Calibri"/>
          <w:color w:val="1A1A1A"/>
          <w:sz w:val="24"/>
          <w:szCs w:val="24"/>
        </w:rPr>
      </w:pPr>
      <w:r w:rsidRPr="00227AB8">
        <w:rPr>
          <w:rFonts w:ascii="Calibri" w:eastAsia="Calibri" w:hAnsi="Calibri" w:cs="Calibri"/>
          <w:color w:val="1A1A1A"/>
          <w:sz w:val="24"/>
          <w:szCs w:val="24"/>
        </w:rPr>
        <w:t>This discriminatory and blanket approach to the definition of “safe countries” fails to consider personal circumstances, increasing barriers to disclosure, support and identification. The lack of regard for people’s vulnerabilities, will put survivors at further risk of exploitation and individuals will be returned to countries where their life will be at risk.</w:t>
      </w:r>
      <w:r>
        <w:rPr>
          <w:rFonts w:ascii="Calibri" w:eastAsia="Calibri" w:hAnsi="Calibri" w:cs="Calibri"/>
          <w:color w:val="1A1A1A"/>
          <w:sz w:val="24"/>
          <w:szCs w:val="24"/>
          <w:vertAlign w:val="superscript"/>
        </w:rPr>
        <w:footnoteReference w:id="18"/>
      </w:r>
    </w:p>
    <w:p w:rsidR="00000000" w:rsidRPr="00227AB8">
      <w:pPr>
        <w:rPr>
          <w:rFonts w:ascii="Calibri" w:eastAsia="Calibri" w:hAnsi="Calibri" w:cs="Calibri"/>
          <w:b/>
          <w:color w:val="1A1A1A"/>
          <w:sz w:val="24"/>
          <w:szCs w:val="24"/>
          <w:highlight w:val="white"/>
        </w:rPr>
      </w:pPr>
    </w:p>
    <w:p w:rsidR="00000000" w:rsidRPr="00227AB8">
      <w:pPr>
        <w:rPr>
          <w:rFonts w:ascii="Calibri" w:eastAsia="Calibri" w:hAnsi="Calibri" w:cs="Calibri"/>
          <w:b/>
          <w:color w:val="1A1A1A"/>
          <w:sz w:val="24"/>
          <w:szCs w:val="24"/>
          <w:highlight w:val="white"/>
        </w:rPr>
      </w:pPr>
      <w:r w:rsidRPr="00227AB8">
        <w:rPr>
          <w:rFonts w:ascii="Calibri" w:eastAsia="Calibri" w:hAnsi="Calibri" w:cs="Calibri"/>
          <w:b/>
          <w:color w:val="1A1A1A"/>
          <w:sz w:val="24"/>
          <w:szCs w:val="24"/>
          <w:highlight w:val="white"/>
        </w:rPr>
        <w:t>Question 5: Clause 41 is intended to “clarify” that the Home Office may detain someone subject to conducive deportation from the point at which the Home Office serves notification that deportation is being considered. Is the retrospective application of this power adequately prescribed by law as required by Article 5 ECHR?</w:t>
      </w:r>
    </w:p>
    <w:p w:rsidR="00000000" w:rsidRPr="00227AB8">
      <w:pPr>
        <w:ind w:left="360"/>
        <w:rPr>
          <w:rFonts w:ascii="Calibri" w:eastAsia="Calibri" w:hAnsi="Calibri" w:cs="Calibri"/>
          <w:b/>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 xml:space="preserve">The retrospective application of clause 41 is not compatible with article 5 ECHR as it constitutes an arbitrary approach to detention and risks creating unnecessary re-traumatisation and additional vulnerabilities prior to a deportation order being confirmed. Once in detention, people will face additional barriers to accessing legal representation and advice in relation to their situation, making it more difficult to provide further representations or to disclose potential vulnerabilities, such as a history of exploitation. </w:t>
      </w:r>
    </w:p>
    <w:p w:rsidR="00000000" w:rsidRPr="00227AB8">
      <w:pPr>
        <w:pBdr>
          <w:top w:val="nil"/>
          <w:left w:val="nil"/>
          <w:bottom w:val="nil"/>
          <w:right w:val="nil"/>
          <w:between w:val="nil"/>
        </w:pBdr>
        <w:ind w:left="502"/>
        <w:rPr>
          <w:rFonts w:ascii="Calibri" w:eastAsia="Calibri" w:hAnsi="Calibri" w:cs="Calibri"/>
          <w:color w:val="1A1A1A"/>
          <w:sz w:val="24"/>
          <w:szCs w:val="24"/>
          <w:highlight w:val="white"/>
        </w:rPr>
      </w:pPr>
      <w:r w:rsidRPr="00227AB8">
        <w:rPr>
          <w:rFonts w:ascii="Calibri" w:eastAsia="Calibri" w:hAnsi="Calibri" w:cs="Calibri"/>
          <w:color w:val="1A1A1A"/>
          <w:sz w:val="24"/>
          <w:szCs w:val="24"/>
          <w:highlight w:val="white"/>
        </w:rPr>
        <w:t> </w:t>
      </w: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Additionally, in subsection (2)(a), the Bill states that an individual can only be detained when the Secretary of State has notified the individual in writing of their consideration to make a deportation order or that they have made the decision to deport them. </w:t>
      </w:r>
    </w:p>
    <w:p w:rsidR="00000000" w:rsidRPr="00227AB8">
      <w:pPr>
        <w:pBdr>
          <w:top w:val="nil"/>
          <w:left w:val="nil"/>
          <w:bottom w:val="nil"/>
          <w:right w:val="nil"/>
          <w:between w:val="nil"/>
        </w:pBdr>
        <w:rPr>
          <w:rFonts w:ascii="Calibri" w:eastAsia="Calibri" w:hAnsi="Calibri" w:cs="Calibri"/>
          <w:color w:val="1A1A1A"/>
          <w:sz w:val="24"/>
          <w:szCs w:val="24"/>
          <w:highlight w:val="white"/>
        </w:rPr>
      </w:pP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The risk of preventative detention may push people underground for fear of being deported, leaving individuals vulnerable to trafficking and exploitation. Individuals will be reluctant to approach authorities because of their precarious immigration status and the lack of secure reporting mechanisms.  </w:t>
      </w:r>
    </w:p>
    <w:p w:rsidR="00000000" w:rsidRPr="00227AB8">
      <w:pPr>
        <w:rPr>
          <w:rFonts w:ascii="Calibri" w:eastAsia="Calibri" w:hAnsi="Calibri" w:cs="Calibri"/>
          <w:color w:val="1A1A1A"/>
          <w:sz w:val="24"/>
          <w:szCs w:val="24"/>
          <w:highlight w:val="white"/>
        </w:rPr>
      </w:pPr>
      <w:r w:rsidRPr="00227AB8">
        <w:rPr>
          <w:rFonts w:ascii="Calibri" w:eastAsia="Calibri" w:hAnsi="Calibri" w:cs="Calibri"/>
          <w:color w:val="1A1A1A"/>
          <w:sz w:val="24"/>
          <w:szCs w:val="24"/>
          <w:highlight w:val="white"/>
        </w:rPr>
        <w:t> </w:t>
      </w:r>
    </w:p>
    <w:p w:rsidR="00000000" w:rsidRPr="00227AB8">
      <w:pPr>
        <w:numPr>
          <w:ilvl w:val="0"/>
          <w:numId w:val="4"/>
        </w:numPr>
        <w:pBdr>
          <w:top w:val="nil"/>
          <w:left w:val="nil"/>
          <w:bottom w:val="nil"/>
          <w:right w:val="nil"/>
          <w:between w:val="nil"/>
        </w:pBdr>
        <w:rPr>
          <w:rFonts w:ascii="Calibri" w:hAnsi="Calibri" w:cs="Calibri"/>
          <w:color w:val="1A1A1A"/>
          <w:sz w:val="24"/>
          <w:szCs w:val="24"/>
          <w:highlight w:val="white"/>
        </w:rPr>
      </w:pPr>
      <w:r w:rsidRPr="00227AB8">
        <w:rPr>
          <w:rFonts w:ascii="Calibri" w:eastAsia="Calibri" w:hAnsi="Calibri" w:cs="Calibri"/>
          <w:color w:val="1A1A1A"/>
          <w:sz w:val="24"/>
          <w:szCs w:val="24"/>
          <w:highlight w:val="white"/>
        </w:rPr>
        <w:t>This provision is therefore likely to bring unnecessary disruption to a person’s life, creating an impossible situation for vulnerable individuals, who need to choose between detention and deportation or being exploited. This system only benefits traffickers and exploiters, leaving the most vulnerable without statutory protection. </w:t>
      </w:r>
    </w:p>
    <w:p w:rsidR="00000000" w:rsidRPr="00227AB8">
      <w:pPr>
        <w:rPr>
          <w:rFonts w:ascii="Calibri" w:eastAsia="Calibri" w:hAnsi="Calibri" w:cs="Calibri"/>
          <w:b/>
          <w:bCs/>
          <w:i/>
          <w:iCs/>
          <w:sz w:val="24"/>
          <w:szCs w:val="24"/>
          <w:highlight w:val="white"/>
        </w:rPr>
      </w:pPr>
      <w:r w:rsidRPr="00227AB8">
        <w:rPr>
          <w:rFonts w:ascii="Calibri" w:eastAsia="Calibri" w:hAnsi="Calibri" w:cs="Calibri"/>
          <w:b/>
          <w:bCs/>
          <w:i/>
          <w:iCs/>
          <w:sz w:val="24"/>
          <w:szCs w:val="24"/>
          <w:highlight w:val="white"/>
        </w:rPr>
        <w:t>APRIL 2025</w:t>
      </w:r>
    </w:p>
    <w:sectPr>
      <w:footerReference w:type="default" r:id="rI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000000">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02430">
      <w:pPr>
        <w:spacing w:line="240" w:lineRule="auto"/>
      </w:pPr>
      <w:r>
        <w:separator/>
      </w:r>
    </w:p>
  </w:footnote>
  <w:footnote w:type="continuationSeparator" w:id="1">
    <w:p w:rsidR="00302430">
      <w:pPr>
        <w:spacing w:line="240" w:lineRule="auto"/>
      </w:pPr>
      <w:r>
        <w:continuationSeparator/>
      </w:r>
    </w:p>
  </w:footnote>
  <w:footnote w:id="2">
    <w:p w:rsidR="00000000" w:rsidRPr="00891536">
      <w:pPr>
        <w:spacing w:line="240" w:lineRule="auto"/>
        <w:rPr>
          <w:rFonts w:eastAsia="Calibri" w:asciiTheme="majorHAnsi" w:hAnsiTheme="majorHAnsi" w:cstheme="majorHAns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w:t>
      </w:r>
      <w:r>
        <w:fldChar w:fldCharType="begin"/>
      </w:r>
      <w:r>
        <w:instrText xml:space="preserve"> HYPERLINK "https://rm.coe.int/16800d3812" </w:instrText>
      </w:r>
      <w:r>
        <w:fldChar w:fldCharType="separate"/>
      </w:r>
      <w:r w:rsidRPr="00891536">
        <w:rPr>
          <w:rFonts w:eastAsia="Calibri" w:asciiTheme="majorHAnsi" w:hAnsiTheme="majorHAnsi" w:cstheme="majorHAnsi"/>
          <w:i/>
          <w:color w:val="1155CC"/>
          <w:sz w:val="20"/>
          <w:szCs w:val="20"/>
          <w:u w:val="single"/>
        </w:rPr>
        <w:t>Explanatory Report to Convention of Europe on Action Against Trafficking in Human Beings (ECATER).</w:t>
      </w:r>
      <w:r>
        <w:fldChar w:fldCharType="end"/>
      </w:r>
      <w:r w:rsidRPr="00891536">
        <w:rPr>
          <w:rFonts w:eastAsia="Calibri" w:asciiTheme="majorHAnsi" w:hAnsiTheme="majorHAnsi" w:cstheme="majorHAnsi"/>
          <w:sz w:val="20"/>
          <w:szCs w:val="20"/>
        </w:rPr>
        <w:t>(2005). Paragraph 128</w:t>
      </w:r>
    </w:p>
  </w:footnote>
  <w:footnote w:id="3">
    <w:p w:rsidR="00000000" w:rsidRPr="00891536">
      <w:pPr>
        <w:rPr>
          <w:rFonts w:eastAsia="Calibri" w:asciiTheme="majorHAnsi" w:hAnsiTheme="majorHAnsi" w:cstheme="majorHAns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Non-discriminatory principle</w:t>
      </w:r>
    </w:p>
  </w:footnote>
  <w:footnote w:id="4">
    <w:p w:rsidR="00000000" w:rsidRPr="00891536">
      <w:pPr>
        <w:rPr>
          <w:rFonts w:eastAsia="Calibri" w:asciiTheme="majorHAnsi" w:hAnsiTheme="majorHAnsi" w:cstheme="majorHAns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Prohibition of discrimination</w:t>
      </w:r>
    </w:p>
  </w:footnote>
  <w:footnote w:id="5">
    <w:p w:rsidR="00000000" w:rsidRPr="00891536">
      <w:pPr>
        <w:spacing w:line="240" w:lineRule="auto"/>
        <w:rPr>
          <w:rFonts w:eastAsia="Calibri" w:asciiTheme="majorHAnsi" w:hAnsiTheme="majorHAnsi" w:cstheme="majorHAns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See following statements: </w:t>
      </w:r>
    </w:p>
    <w:p w:rsidR="00000000" w:rsidRPr="00891536">
      <w:pPr>
        <w:numPr>
          <w:ilvl w:val="0"/>
          <w:numId w:val="6"/>
        </w:numPr>
        <w:spacing w:line="240" w:lineRule="auto"/>
        <w:ind w:left="1080"/>
        <w:rPr>
          <w:rFonts w:eastAsia="Calibri" w:asciiTheme="majorHAnsi" w:hAnsiTheme="majorHAnsi" w:cstheme="majorHAnsi"/>
          <w:sz w:val="20"/>
          <w:szCs w:val="20"/>
        </w:rPr>
      </w:pPr>
      <w:r w:rsidRPr="00891536">
        <w:rPr>
          <w:rFonts w:eastAsia="Calibri" w:asciiTheme="majorHAnsi" w:hAnsiTheme="majorHAnsi" w:cstheme="majorHAnsi"/>
          <w:sz w:val="20"/>
          <w:szCs w:val="20"/>
        </w:rPr>
        <w:t xml:space="preserve">GRETA. (29 March 2023). </w:t>
      </w:r>
      <w:r>
        <w:fldChar w:fldCharType="begin"/>
      </w:r>
      <w:r>
        <w:instrText xml:space="preserve"> HYPERLINK "https://www.coe.int/en/web/anti-human-trafficking/-/-uk-s-illegal-migration-bill-should-be-reviewed-to-ensure-it-complies-with-the-anti-trafficking-convention-says-council-of-europe-expert-group-on-trafficking" </w:instrText>
      </w:r>
      <w:r>
        <w:fldChar w:fldCharType="separate"/>
      </w:r>
      <w:r w:rsidRPr="00891536">
        <w:rPr>
          <w:rFonts w:eastAsia="Calibri" w:asciiTheme="majorHAnsi" w:hAnsiTheme="majorHAnsi" w:cstheme="majorHAnsi"/>
          <w:i/>
          <w:color w:val="1155CC"/>
          <w:sz w:val="20"/>
          <w:szCs w:val="20"/>
          <w:u w:val="single"/>
        </w:rPr>
        <w:t>“UK’s Illegal Migration Bill should be reviewed to ensure it complies with the anti-trafficking convention”, says Council of Europe Expert Group on Trafficking</w:t>
      </w:r>
      <w:r>
        <w:fldChar w:fldCharType="end"/>
      </w:r>
      <w:r w:rsidRPr="00891536">
        <w:rPr>
          <w:rFonts w:eastAsia="Calibri" w:asciiTheme="majorHAnsi" w:hAnsiTheme="majorHAnsi" w:cstheme="majorHAnsi"/>
          <w:sz w:val="20"/>
          <w:szCs w:val="20"/>
        </w:rPr>
        <w:t xml:space="preserve"> </w:t>
      </w:r>
    </w:p>
    <w:p w:rsidR="00000000" w:rsidRPr="00891536">
      <w:pPr>
        <w:numPr>
          <w:ilvl w:val="0"/>
          <w:numId w:val="2"/>
        </w:numPr>
        <w:spacing w:line="240" w:lineRule="auto"/>
        <w:ind w:left="1080"/>
        <w:rPr>
          <w:rFonts w:eastAsia="Calibri" w:asciiTheme="majorHAnsi" w:hAnsiTheme="majorHAnsi" w:cstheme="majorHAnsi"/>
          <w:sz w:val="20"/>
          <w:szCs w:val="20"/>
        </w:rPr>
      </w:pPr>
      <w:r w:rsidRPr="00891536">
        <w:rPr>
          <w:rFonts w:eastAsia="Calibri" w:asciiTheme="majorHAnsi" w:hAnsiTheme="majorHAnsi" w:cstheme="majorHAnsi"/>
          <w:sz w:val="20"/>
          <w:szCs w:val="20"/>
        </w:rPr>
        <w:t>Council of Europe Commissioner on Human Rights. (27 March 2023).</w:t>
      </w:r>
      <w:r>
        <w:fldChar w:fldCharType="begin"/>
      </w:r>
      <w:r>
        <w:instrText xml:space="preserve"> HYPERLINK "https://www.coe.int/en/web/commissioner/-/parliamentarians-should-uphold-the-united-kingdom-s-international-obligations-when-scrutinising-the-illegal-migration-bill-" </w:instrText>
      </w:r>
      <w:r>
        <w:fldChar w:fldCharType="separate"/>
      </w:r>
      <w:r w:rsidRPr="00891536">
        <w:rPr>
          <w:rFonts w:eastAsia="Calibri" w:asciiTheme="majorHAnsi" w:hAnsiTheme="majorHAnsi" w:cstheme="majorHAnsi"/>
          <w:color w:val="1155CC"/>
          <w:sz w:val="20"/>
          <w:szCs w:val="20"/>
          <w:u w:val="single"/>
        </w:rPr>
        <w:t xml:space="preserve"> </w:t>
      </w:r>
      <w:r>
        <w:fldChar w:fldCharType="end"/>
      </w:r>
      <w:r>
        <w:fldChar w:fldCharType="begin"/>
      </w:r>
      <w:r>
        <w:instrText xml:space="preserve"> HYPERLINK "https://www.coe.int/en/web/commissioner/-/parliamentarians-should-uphold-the-united-kingdom-s-international-obligations-when-scrutinising-the-illegal-migration-bill-" </w:instrText>
      </w:r>
      <w:r>
        <w:fldChar w:fldCharType="separate"/>
      </w:r>
      <w:r w:rsidRPr="00891536">
        <w:rPr>
          <w:rFonts w:eastAsia="Calibri" w:asciiTheme="majorHAnsi" w:hAnsiTheme="majorHAnsi" w:cstheme="majorHAnsi"/>
          <w:i/>
          <w:color w:val="1155CC"/>
          <w:sz w:val="20"/>
          <w:szCs w:val="20"/>
          <w:u w:val="single"/>
        </w:rPr>
        <w:t>Letter: Parliamentarians should uphold the United Kingdom’s international obligations when scrutinising the “Illegal Migration Bill”</w:t>
      </w:r>
      <w:r>
        <w:fldChar w:fldCharType="end"/>
      </w:r>
      <w:r w:rsidRPr="00891536">
        <w:rPr>
          <w:rFonts w:eastAsia="Calibri" w:asciiTheme="majorHAnsi" w:hAnsiTheme="majorHAnsi" w:cstheme="majorHAnsi"/>
          <w:sz w:val="20"/>
          <w:szCs w:val="20"/>
        </w:rPr>
        <w:t xml:space="preserve"> </w:t>
      </w:r>
    </w:p>
    <w:p w:rsidR="00000000" w:rsidRPr="00891536">
      <w:pPr>
        <w:numPr>
          <w:ilvl w:val="0"/>
          <w:numId w:val="3"/>
        </w:numPr>
        <w:spacing w:line="240" w:lineRule="auto"/>
        <w:ind w:left="1080"/>
        <w:rPr>
          <w:rFonts w:eastAsia="Calibri" w:asciiTheme="majorHAnsi" w:hAnsiTheme="majorHAnsi" w:cstheme="majorHAnsi"/>
          <w:sz w:val="20"/>
          <w:szCs w:val="20"/>
        </w:rPr>
      </w:pPr>
      <w:r w:rsidRPr="00891536">
        <w:rPr>
          <w:rFonts w:eastAsia="Calibri" w:asciiTheme="majorHAnsi" w:hAnsiTheme="majorHAnsi" w:cstheme="majorHAnsi"/>
          <w:sz w:val="20"/>
          <w:szCs w:val="20"/>
        </w:rPr>
        <w:t>UNHCR. (7 March 2023).</w:t>
      </w:r>
      <w:r w:rsidRPr="00891536">
        <w:rPr>
          <w:rFonts w:eastAsia="Calibri" w:asciiTheme="majorHAnsi" w:hAnsiTheme="majorHAnsi" w:cstheme="majorHAnsi"/>
          <w:i/>
          <w:sz w:val="20"/>
          <w:szCs w:val="20"/>
        </w:rPr>
        <w:t xml:space="preserve"> </w:t>
      </w:r>
      <w:r>
        <w:fldChar w:fldCharType="begin"/>
      </w:r>
      <w:r>
        <w:instrText xml:space="preserve"> HYPERLINK "https://www.unhcr.org/uk/news/statement-uk-asylum-bill" </w:instrText>
      </w:r>
      <w:r>
        <w:fldChar w:fldCharType="separate"/>
      </w:r>
      <w:r w:rsidRPr="00891536">
        <w:rPr>
          <w:rFonts w:eastAsia="Calibri" w:asciiTheme="majorHAnsi" w:hAnsiTheme="majorHAnsi" w:cstheme="majorHAnsi"/>
          <w:i/>
          <w:color w:val="1155CC"/>
          <w:sz w:val="20"/>
          <w:szCs w:val="20"/>
          <w:u w:val="single"/>
        </w:rPr>
        <w:t xml:space="preserve">Statement on </w:t>
      </w:r>
      <w:r w:rsidRPr="00891536">
        <w:rPr>
          <w:rFonts w:eastAsia="Calibri" w:asciiTheme="majorHAnsi" w:hAnsiTheme="majorHAnsi" w:cstheme="majorHAnsi"/>
          <w:i/>
          <w:color w:val="1155CC"/>
          <w:sz w:val="20"/>
          <w:szCs w:val="20"/>
          <w:u w:val="single"/>
        </w:rPr>
        <w:t>Uk</w:t>
      </w:r>
      <w:r w:rsidRPr="00891536">
        <w:rPr>
          <w:rFonts w:eastAsia="Calibri" w:asciiTheme="majorHAnsi" w:hAnsiTheme="majorHAnsi" w:cstheme="majorHAnsi"/>
          <w:i/>
          <w:color w:val="1155CC"/>
          <w:sz w:val="20"/>
          <w:szCs w:val="20"/>
          <w:u w:val="single"/>
        </w:rPr>
        <w:t xml:space="preserve"> Asylum Bill</w:t>
      </w:r>
      <w:r>
        <w:fldChar w:fldCharType="end"/>
      </w:r>
      <w:r w:rsidRPr="00891536">
        <w:rPr>
          <w:rFonts w:eastAsia="Calibri" w:asciiTheme="majorHAnsi" w:hAnsiTheme="majorHAnsi" w:cstheme="majorHAnsi"/>
          <w:sz w:val="20"/>
          <w:szCs w:val="20"/>
        </w:rPr>
        <w:t xml:space="preserve"> </w:t>
      </w:r>
    </w:p>
  </w:footnote>
  <w:footnote w:id="6">
    <w:p w:rsidR="00000000">
      <w:pPr>
        <w:spacing w:line="240" w:lineRule="auto"/>
        <w:rPr>
          <w:rFonts w:ascii="Calibri" w:eastAsia="Calibri" w:hAnsi="Calibri" w:cs="Calibri"/>
          <w: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w:t>
      </w:r>
      <w:r w:rsidRPr="00891536">
        <w:rPr>
          <w:rFonts w:eastAsia="Calibri" w:asciiTheme="majorHAnsi" w:hAnsiTheme="majorHAnsi" w:cstheme="majorHAnsi"/>
          <w:sz w:val="20"/>
          <w:szCs w:val="20"/>
        </w:rPr>
        <w:t>Inews</w:t>
      </w:r>
      <w:r w:rsidRPr="00891536">
        <w:rPr>
          <w:rFonts w:eastAsia="Calibri" w:asciiTheme="majorHAnsi" w:hAnsiTheme="majorHAnsi" w:cstheme="majorHAnsi"/>
          <w:sz w:val="20"/>
          <w:szCs w:val="20"/>
        </w:rPr>
        <w:t xml:space="preserve">. (30 January 2025). </w:t>
      </w:r>
      <w:r>
        <w:fldChar w:fldCharType="begin"/>
      </w:r>
      <w:r>
        <w:instrText xml:space="preserve"> HYPERLINK "https://inews.co.uk/news/politics/yvette-cooper-faces-labour-backlash-for-keeping-tory-policy-in-asylum-bill-3510635" </w:instrText>
      </w:r>
      <w:r>
        <w:fldChar w:fldCharType="separate"/>
      </w:r>
      <w:r w:rsidRPr="00891536">
        <w:rPr>
          <w:rFonts w:eastAsia="Calibri" w:asciiTheme="majorHAnsi" w:hAnsiTheme="majorHAnsi" w:cstheme="majorHAnsi"/>
          <w:i/>
          <w:color w:val="1155CC"/>
          <w:sz w:val="20"/>
          <w:szCs w:val="20"/>
          <w:u w:val="single"/>
        </w:rPr>
        <w:t>Yvette Coopers faces Labour backlash for keeping Tory policy in asylum bill</w:t>
      </w:r>
      <w:r>
        <w:fldChar w:fldCharType="end"/>
      </w:r>
    </w:p>
  </w:footnote>
  <w:footnote w:id="7">
    <w:p w:rsidR="00000000" w:rsidRPr="00891536">
      <w:pPr>
        <w:spacing w:line="240" w:lineRule="auto"/>
        <w:rPr>
          <w:rFonts w:eastAsia="Calibri" w:asciiTheme="majorHAnsi" w:hAnsiTheme="majorHAnsi" w:cstheme="majorHAnsi"/>
          <w: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w:t>
      </w:r>
      <w:r w:rsidRPr="00891536">
        <w:rPr>
          <w:rFonts w:eastAsia="Calibri" w:asciiTheme="majorHAnsi" w:hAnsiTheme="majorHAnsi" w:cstheme="majorHAnsi"/>
          <w:sz w:val="20"/>
          <w:szCs w:val="20"/>
          <w:highlight w:val="white"/>
        </w:rPr>
        <w:t xml:space="preserve">Helen Bamber Foundation et al. (June 2024). </w:t>
      </w:r>
      <w:r>
        <w:fldChar w:fldCharType="begin"/>
      </w:r>
      <w:r>
        <w:instrText xml:space="preserve"> HYPERLINK "https://www.helenbamber.org/sites/default/files/2024-07/20240610_AARSG_BriefingforHAC_Final.pdf" </w:instrText>
      </w:r>
      <w:r>
        <w:fldChar w:fldCharType="separate"/>
      </w:r>
      <w:r w:rsidRPr="00891536">
        <w:rPr>
          <w:rFonts w:eastAsia="Calibri" w:asciiTheme="majorHAnsi" w:hAnsiTheme="majorHAnsi" w:cstheme="majorHAnsi"/>
          <w:i/>
          <w:color w:val="1155CC"/>
          <w:sz w:val="20"/>
          <w:szCs w:val="20"/>
          <w:highlight w:val="white"/>
          <w:u w:val="single"/>
        </w:rPr>
        <w:t>Joint Briefing on the revised Adults at Risk in Immigration Detention Statutory Guidance</w:t>
      </w:r>
      <w:r>
        <w:fldChar w:fldCharType="end"/>
      </w:r>
      <w:r w:rsidRPr="00891536">
        <w:rPr>
          <w:rFonts w:eastAsia="Calibri" w:asciiTheme="majorHAnsi" w:hAnsiTheme="majorHAnsi" w:cstheme="majorHAnsi"/>
          <w:sz w:val="20"/>
          <w:szCs w:val="20"/>
        </w:rPr>
        <w:t xml:space="preserve"> and Helen Bamber Foundation et al. (October 2022) </w:t>
      </w:r>
      <w:r>
        <w:fldChar w:fldCharType="begin"/>
      </w:r>
      <w:r>
        <w:instrText xml:space="preserve"> HYPERLINK "https://helenbamber.org/resources/reportsbriefings/abuse-system-survivors-trafficking-immigration-detention" </w:instrText>
      </w:r>
      <w:r>
        <w:fldChar w:fldCharType="separate"/>
      </w:r>
      <w:r w:rsidRPr="00891536">
        <w:rPr>
          <w:rFonts w:eastAsia="Calibri" w:asciiTheme="majorHAnsi" w:hAnsiTheme="majorHAnsi" w:cstheme="majorHAnsi"/>
          <w:i/>
          <w:color w:val="1155CC"/>
          <w:sz w:val="20"/>
          <w:szCs w:val="20"/>
          <w:u w:val="single"/>
        </w:rPr>
        <w:t>Abuse by the System: Survivors of Trafficking in Immigration Detention</w:t>
      </w:r>
      <w:r>
        <w:fldChar w:fldCharType="end"/>
      </w:r>
    </w:p>
  </w:footnote>
  <w:footnote w:id="8">
    <w:p w:rsidR="00000000" w:rsidRPr="00891536">
      <w:pPr>
        <w:spacing w:line="240" w:lineRule="auto"/>
        <w:rPr>
          <w:rFonts w:eastAsia="Calibri" w:asciiTheme="majorHAnsi" w:hAnsiTheme="majorHAnsi" w:cstheme="majorHAns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rPr>
        <w:t xml:space="preserve"> </w:t>
      </w:r>
      <w:r w:rsidRPr="00891536">
        <w:rPr>
          <w:rFonts w:eastAsia="Calibri" w:asciiTheme="majorHAnsi" w:hAnsiTheme="majorHAnsi" w:cstheme="majorHAnsi"/>
          <w:sz w:val="20"/>
          <w:szCs w:val="20"/>
          <w:highlight w:val="white"/>
        </w:rPr>
        <w:t xml:space="preserve">ATMG et al. (28 October 2024). </w:t>
      </w:r>
      <w:r>
        <w:fldChar w:fldCharType="begin"/>
      </w:r>
      <w:r>
        <w:instrText xml:space="preserve"> HYPERLINK "https://www.antislavery.org/wp-content/uploads/2024/12/GRETA-4th-round-evaluation-joint-submission-2024.pdf" </w:instrText>
      </w:r>
      <w:r>
        <w:fldChar w:fldCharType="separate"/>
      </w:r>
      <w:r w:rsidRPr="00891536">
        <w:rPr>
          <w:rFonts w:eastAsia="Calibri" w:asciiTheme="majorHAnsi" w:hAnsiTheme="majorHAnsi" w:cstheme="majorHAnsi"/>
          <w:i/>
          <w:color w:val="467886"/>
          <w:sz w:val="20"/>
          <w:szCs w:val="20"/>
          <w:highlight w:val="white"/>
          <w:u w:val="single"/>
        </w:rPr>
        <w:t>Joint Submission to the Group of Experts on Action against Trafficking in Human Beings</w:t>
      </w:r>
      <w:r>
        <w:fldChar w:fldCharType="end"/>
      </w:r>
      <w:r w:rsidRPr="00891536">
        <w:rPr>
          <w:rFonts w:eastAsia="Calibri" w:asciiTheme="majorHAnsi" w:hAnsiTheme="majorHAnsi" w:cstheme="majorHAnsi"/>
          <w:sz w:val="20"/>
          <w:szCs w:val="20"/>
          <w:highlight w:val="white"/>
        </w:rPr>
        <w:t>. pp. 130-134</w:t>
      </w:r>
    </w:p>
  </w:footnote>
  <w:footnote w:id="9">
    <w:p w:rsidR="00000000" w:rsidRPr="00891536">
      <w:pPr>
        <w:spacing w:line="240" w:lineRule="auto"/>
        <w:rPr>
          <w:rFonts w:eastAsia="Calibri" w:asciiTheme="majorHAnsi" w:hAnsiTheme="majorHAnsi" w:cstheme="majorHAns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vertAlign w:val="superscript"/>
        </w:rPr>
        <w:t xml:space="preserve"> </w:t>
      </w:r>
      <w:r w:rsidRPr="00891536">
        <w:rPr>
          <w:rFonts w:eastAsia="Calibri" w:asciiTheme="majorHAnsi" w:hAnsiTheme="majorHAnsi" w:cstheme="majorHAnsi"/>
          <w:sz w:val="20"/>
          <w:szCs w:val="20"/>
          <w:highlight w:val="white"/>
        </w:rPr>
        <w:t xml:space="preserve">Council of Europe. (2005). </w:t>
      </w:r>
      <w:r>
        <w:fldChar w:fldCharType="begin"/>
      </w:r>
      <w:r>
        <w:instrText xml:space="preserve"> HYPERLINK "https://rm.coe.int/16800d3812" </w:instrText>
      </w:r>
      <w:r>
        <w:fldChar w:fldCharType="separate"/>
      </w:r>
      <w:r w:rsidRPr="00891536">
        <w:rPr>
          <w:rFonts w:eastAsia="Calibri" w:asciiTheme="majorHAnsi" w:hAnsiTheme="majorHAnsi" w:cstheme="majorHAnsi"/>
          <w:i/>
          <w:color w:val="1155CC"/>
          <w:sz w:val="20"/>
          <w:szCs w:val="20"/>
          <w:highlight w:val="white"/>
          <w:u w:val="single"/>
        </w:rPr>
        <w:t>Explanatory Report to Convention of Europe on Action Against Trafficking in Human Beings</w:t>
      </w:r>
      <w:r>
        <w:fldChar w:fldCharType="end"/>
      </w:r>
      <w:r>
        <w:fldChar w:fldCharType="begin"/>
      </w:r>
      <w:r>
        <w:instrText xml:space="preserve"> HYPERLINK "https://rm.coe.int/16800d3812" </w:instrText>
      </w:r>
      <w:r>
        <w:fldChar w:fldCharType="separate"/>
      </w:r>
      <w:r w:rsidRPr="00891536">
        <w:rPr>
          <w:rFonts w:eastAsia="Calibri" w:asciiTheme="majorHAnsi" w:hAnsiTheme="majorHAnsi" w:cstheme="majorHAnsi"/>
          <w:color w:val="1155CC"/>
          <w:sz w:val="20"/>
          <w:szCs w:val="20"/>
          <w:highlight w:val="white"/>
          <w:u w:val="single"/>
        </w:rPr>
        <w:t xml:space="preserve"> </w:t>
      </w:r>
      <w:r>
        <w:fldChar w:fldCharType="end"/>
      </w:r>
      <w:r w:rsidRPr="00891536">
        <w:rPr>
          <w:rFonts w:eastAsia="Calibri" w:asciiTheme="majorHAnsi" w:hAnsiTheme="majorHAnsi" w:cstheme="majorHAnsi"/>
          <w:sz w:val="20"/>
          <w:szCs w:val="20"/>
          <w:highlight w:val="white"/>
        </w:rPr>
        <w:t>(ECATER). Paragraph 154</w:t>
      </w:r>
    </w:p>
  </w:footnote>
  <w:footnote w:id="10">
    <w:p w:rsidR="00000000" w:rsidRPr="00891536">
      <w:pPr>
        <w:spacing w:line="240" w:lineRule="auto"/>
        <w:rPr>
          <w:rFonts w:eastAsia="Calibri" w:asciiTheme="majorHAnsi" w:hAnsiTheme="majorHAnsi" w:cstheme="majorHAnsi"/>
          <w:sz w:val="20"/>
          <w:szCs w:val="20"/>
          <w:vertAlign w:val="superscript"/>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vertAlign w:val="superscript"/>
        </w:rPr>
        <w:t xml:space="preserve"> </w:t>
      </w:r>
      <w:r w:rsidRPr="00891536">
        <w:rPr>
          <w:rFonts w:eastAsia="Calibri" w:asciiTheme="majorHAnsi" w:hAnsiTheme="majorHAnsi" w:cstheme="majorHAnsi"/>
          <w:sz w:val="20"/>
          <w:szCs w:val="20"/>
          <w:highlight w:val="white"/>
        </w:rPr>
        <w:t xml:space="preserve">Humans for Rights Network, Helen Bamber Foundation, Asylum Aid. (April 2023). </w:t>
      </w:r>
      <w:r>
        <w:fldChar w:fldCharType="begin"/>
      </w:r>
      <w:r>
        <w:instrText xml:space="preserve"> HYPERLINK "https://www.helenbamber.org/resources/reportsbriefings/disbelieved-and-denied-children-seeking-asylum-wrongly-treated-adults" </w:instrText>
      </w:r>
      <w:r>
        <w:fldChar w:fldCharType="separate"/>
      </w:r>
      <w:r w:rsidRPr="00891536">
        <w:rPr>
          <w:rFonts w:eastAsia="Calibri" w:asciiTheme="majorHAnsi" w:hAnsiTheme="majorHAnsi" w:cstheme="majorHAnsi"/>
          <w:i/>
          <w:color w:val="1155CC"/>
          <w:sz w:val="20"/>
          <w:szCs w:val="20"/>
          <w:highlight w:val="white"/>
          <w:u w:val="single"/>
        </w:rPr>
        <w:t>Disbelieved and denied Children seeking asylum wrongly treated as adults by the Home Office</w:t>
      </w:r>
      <w:r>
        <w:fldChar w:fldCharType="end"/>
      </w:r>
    </w:p>
  </w:footnote>
  <w:footnote w:id="11">
    <w:p w:rsidR="00000000">
      <w:pPr>
        <w:spacing w:line="240" w:lineRule="auto"/>
        <w:rPr>
          <w:rFonts w:ascii="Calibri" w:eastAsia="Calibri" w:hAnsi="Calibri" w:cs="Calibri"/>
          <w:sz w:val="20"/>
          <w:szCs w:val="20"/>
          <w:vertAlign w:val="superscript"/>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vertAlign w:val="superscript"/>
        </w:rPr>
        <w:t xml:space="preserve"> </w:t>
      </w:r>
      <w:r w:rsidRPr="00891536">
        <w:rPr>
          <w:rFonts w:eastAsia="Calibri" w:asciiTheme="majorHAnsi" w:hAnsiTheme="majorHAnsi" w:cstheme="majorHAnsi"/>
          <w:sz w:val="20"/>
          <w:szCs w:val="20"/>
        </w:rPr>
        <w:t>ECATER paragraph 155</w:t>
      </w:r>
    </w:p>
  </w:footnote>
  <w:footnote w:id="12">
    <w:p w:rsidR="00000000" w:rsidRPr="00891536">
      <w:pPr>
        <w:pBdr>
          <w:top w:val="nil"/>
          <w:left w:val="nil"/>
          <w:bottom w:val="nil"/>
          <w:right w:val="nil"/>
          <w:between w:val="nil"/>
        </w:pBdr>
        <w:spacing w:line="240" w:lineRule="auto"/>
        <w:rPr>
          <w:rFonts w:eastAsia="Calibri" w:asciiTheme="majorHAnsi" w:hAnsiTheme="majorHAnsi" w:cstheme="majorHAnsi"/>
          <w:i/>
          <w:color w:val="000000"/>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color w:val="000000"/>
          <w:sz w:val="20"/>
          <w:szCs w:val="20"/>
        </w:rPr>
        <w:t xml:space="preserve"> GRETA. (2024). </w:t>
      </w:r>
      <w:r>
        <w:fldChar w:fldCharType="begin"/>
      </w:r>
      <w:r>
        <w:instrText xml:space="preserve"> HYPERLINK "https://rm.coe.int/guidance-note-on-recovery-and-reflection-period-group-of-experts-on-ac/1680b1a3ca" \l ":~:text=Article%2013%20of%20the%20Convention,person%20concerned%20is%20a%20victim." </w:instrText>
      </w:r>
      <w:r>
        <w:fldChar w:fldCharType="separate"/>
      </w:r>
      <w:r w:rsidRPr="00891536">
        <w:rPr>
          <w:rFonts w:eastAsia="Calibri" w:asciiTheme="majorHAnsi" w:hAnsiTheme="majorHAnsi" w:cstheme="majorHAnsi"/>
          <w:i/>
          <w:color w:val="0000FF"/>
          <w:sz w:val="20"/>
          <w:szCs w:val="20"/>
          <w:u w:val="single"/>
        </w:rPr>
        <w:t xml:space="preserve">Guidance </w:t>
      </w:r>
      <w:r w:rsidRPr="00891536">
        <w:rPr>
          <w:rFonts w:eastAsia="Calibri" w:asciiTheme="majorHAnsi" w:hAnsiTheme="majorHAnsi" w:cstheme="majorHAnsi"/>
          <w:i/>
          <w:color w:val="0000FF"/>
          <w:sz w:val="20"/>
          <w:szCs w:val="20"/>
          <w:u w:val="single"/>
        </w:rPr>
        <w:t>note</w:t>
      </w:r>
      <w:r w:rsidRPr="00891536">
        <w:rPr>
          <w:rFonts w:eastAsia="Calibri" w:asciiTheme="majorHAnsi" w:hAnsiTheme="majorHAnsi" w:cstheme="majorHAnsi"/>
          <w:i/>
          <w:color w:val="0000FF"/>
          <w:sz w:val="20"/>
          <w:szCs w:val="20"/>
          <w:u w:val="single"/>
        </w:rPr>
        <w:t xml:space="preserve"> on the recovery and reflection period</w:t>
      </w:r>
      <w:r>
        <w:fldChar w:fldCharType="end"/>
      </w:r>
    </w:p>
  </w:footnote>
  <w:footnote w:id="13">
    <w:p w:rsidR="00000000">
      <w:pPr>
        <w:pBdr>
          <w:top w:val="nil"/>
          <w:left w:val="nil"/>
          <w:bottom w:val="nil"/>
          <w:right w:val="nil"/>
          <w:between w:val="nil"/>
        </w:pBdr>
        <w:spacing w:line="240" w:lineRule="auto"/>
        <w:rPr>
          <w:rFonts w:ascii="Calibri" w:eastAsia="Calibri" w:hAnsi="Calibri" w:cs="Calibri"/>
          <w:i/>
          <w:color w:val="000000"/>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color w:val="000000"/>
          <w:sz w:val="20"/>
          <w:szCs w:val="20"/>
        </w:rPr>
        <w:t xml:space="preserve"> Home Office. (6 March 2025). </w:t>
      </w:r>
      <w:r>
        <w:fldChar w:fldCharType="begin"/>
      </w:r>
      <w:r>
        <w:instrText xml:space="preserve"> HYPERLINK "https://www.gov.uk/government/statistics/modern-slavery-nrm-and-dtn-statistics-end-of-year-summary-2024" \l "documents" </w:instrText>
      </w:r>
      <w:r>
        <w:fldChar w:fldCharType="separate"/>
      </w:r>
      <w:r w:rsidRPr="00891536">
        <w:rPr>
          <w:rFonts w:eastAsia="Calibri" w:asciiTheme="majorHAnsi" w:hAnsiTheme="majorHAnsi" w:cstheme="majorHAnsi"/>
          <w:i/>
          <w:color w:val="0000FF"/>
          <w:sz w:val="20"/>
          <w:szCs w:val="20"/>
          <w:u w:val="single"/>
        </w:rPr>
        <w:t xml:space="preserve">Modern slavery: NRM and </w:t>
      </w:r>
      <w:r w:rsidRPr="00891536">
        <w:rPr>
          <w:rFonts w:eastAsia="Calibri" w:asciiTheme="majorHAnsi" w:hAnsiTheme="majorHAnsi" w:cstheme="majorHAnsi"/>
          <w:i/>
          <w:color w:val="0000FF"/>
          <w:sz w:val="20"/>
          <w:szCs w:val="20"/>
          <w:u w:val="single"/>
        </w:rPr>
        <w:t>DtN</w:t>
      </w:r>
      <w:r w:rsidRPr="00891536">
        <w:rPr>
          <w:rFonts w:eastAsia="Calibri" w:asciiTheme="majorHAnsi" w:hAnsiTheme="majorHAnsi" w:cstheme="majorHAnsi"/>
          <w:i/>
          <w:color w:val="0000FF"/>
          <w:sz w:val="20"/>
          <w:szCs w:val="20"/>
          <w:u w:val="single"/>
        </w:rPr>
        <w:t xml:space="preserve"> statistics, end of year summary 2024</w:t>
      </w:r>
      <w:r>
        <w:fldChar w:fldCharType="end"/>
      </w:r>
    </w:p>
  </w:footnote>
  <w:footnote w:id="14">
    <w:p w:rsidR="00000000" w:rsidRPr="00891536">
      <w:pPr>
        <w:spacing w:line="240" w:lineRule="auto"/>
        <w:rPr>
          <w:rFonts w:eastAsia="Calibri" w:asciiTheme="majorHAnsi" w:hAnsiTheme="majorHAnsi" w:cstheme="majorHAnsi"/>
          <w:i/>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sz w:val="20"/>
          <w:szCs w:val="20"/>
          <w:vertAlign w:val="superscript"/>
        </w:rPr>
        <w:t xml:space="preserve"> </w:t>
      </w:r>
      <w:r>
        <w:fldChar w:fldCharType="begin"/>
      </w:r>
      <w:r>
        <w:instrText xml:space="preserve"> HYPERLINK "https://hudoc.echr.coe.int/eng?i=001-96549" </w:instrText>
      </w:r>
      <w:r>
        <w:fldChar w:fldCharType="separate"/>
      </w:r>
      <w:r w:rsidRPr="00891536">
        <w:rPr>
          <w:rFonts w:eastAsia="Calibri" w:asciiTheme="majorHAnsi" w:hAnsiTheme="majorHAnsi" w:cstheme="majorHAnsi"/>
          <w:i/>
          <w:color w:val="0000FF"/>
          <w:sz w:val="20"/>
          <w:szCs w:val="20"/>
          <w:u w:val="single"/>
        </w:rPr>
        <w:t xml:space="preserve">European Court of Human Rights (2010) </w:t>
      </w:r>
      <w:r w:rsidRPr="00891536">
        <w:rPr>
          <w:rFonts w:eastAsia="Calibri" w:asciiTheme="majorHAnsi" w:hAnsiTheme="majorHAnsi" w:cstheme="majorHAnsi"/>
          <w:i/>
          <w:color w:val="0000FF"/>
          <w:sz w:val="20"/>
          <w:szCs w:val="20"/>
          <w:u w:val="single"/>
        </w:rPr>
        <w:t>Rantsev</w:t>
      </w:r>
      <w:r w:rsidRPr="00891536">
        <w:rPr>
          <w:rFonts w:eastAsia="Calibri" w:asciiTheme="majorHAnsi" w:hAnsiTheme="majorHAnsi" w:cstheme="majorHAnsi"/>
          <w:i/>
          <w:color w:val="0000FF"/>
          <w:sz w:val="20"/>
          <w:szCs w:val="20"/>
          <w:u w:val="single"/>
        </w:rPr>
        <w:t xml:space="preserve"> v Cyprus and Russia</w:t>
      </w:r>
      <w:r>
        <w:fldChar w:fldCharType="end"/>
      </w:r>
    </w:p>
  </w:footnote>
  <w:footnote w:id="15">
    <w:p w:rsidR="00000000" w:rsidRPr="00891536">
      <w:pPr>
        <w:pBdr>
          <w:top w:val="nil"/>
          <w:left w:val="nil"/>
          <w:bottom w:val="nil"/>
          <w:right w:val="nil"/>
          <w:between w:val="nil"/>
        </w:pBdr>
        <w:spacing w:line="240" w:lineRule="auto"/>
        <w:rPr>
          <w:rFonts w:asciiTheme="majorHAnsi" w:hAnsiTheme="majorHAnsi" w:cstheme="majorHAnsi"/>
          <w:color w:val="000000"/>
          <w:sz w:val="20"/>
          <w:szCs w:val="20"/>
        </w:rPr>
      </w:pPr>
      <w:r w:rsidRPr="00891536">
        <w:rPr>
          <w:rStyle w:val="FootnoteReference"/>
          <w:rFonts w:asciiTheme="majorHAnsi" w:hAnsiTheme="majorHAnsi" w:cstheme="majorHAnsi"/>
          <w:sz w:val="20"/>
          <w:szCs w:val="20"/>
        </w:rPr>
        <w:footnoteRef/>
      </w:r>
      <w:r w:rsidRPr="00891536">
        <w:rPr>
          <w:rFonts w:eastAsia="Calibri" w:asciiTheme="majorHAnsi" w:hAnsiTheme="majorHAnsi" w:cstheme="majorHAnsi"/>
          <w:color w:val="000000"/>
          <w:sz w:val="20"/>
          <w:szCs w:val="20"/>
        </w:rPr>
        <w:t xml:space="preserve"> European Court of Human Rights. (202</w:t>
      </w:r>
      <w:r>
        <w:rPr>
          <w:rFonts w:eastAsia="Calibri" w:asciiTheme="majorHAnsi" w:hAnsiTheme="majorHAnsi" w:cstheme="majorHAnsi"/>
          <w:color w:val="000000"/>
          <w:sz w:val="20"/>
          <w:szCs w:val="20"/>
        </w:rPr>
        <w:t>4</w:t>
      </w:r>
      <w:r w:rsidRPr="00891536">
        <w:rPr>
          <w:rFonts w:eastAsia="Calibri" w:asciiTheme="majorHAnsi" w:hAnsiTheme="majorHAnsi" w:cstheme="majorHAnsi"/>
          <w:color w:val="000000"/>
          <w:sz w:val="20"/>
          <w:szCs w:val="20"/>
        </w:rPr>
        <w:t xml:space="preserve">). </w:t>
      </w:r>
      <w:r>
        <w:fldChar w:fldCharType="begin"/>
      </w:r>
      <w:r>
        <w:instrText xml:space="preserve"> HYPERLINK "https://ks.echr.coe.int/documents/d/echr-ks/guide_art_15_eng" </w:instrText>
      </w:r>
      <w:r>
        <w:fldChar w:fldCharType="separate"/>
      </w:r>
      <w:r w:rsidRPr="00891536">
        <w:rPr>
          <w:rFonts w:eastAsia="Calibri" w:asciiTheme="majorHAnsi" w:hAnsiTheme="majorHAnsi" w:cstheme="majorHAnsi"/>
          <w:i/>
          <w:color w:val="0000FF"/>
          <w:sz w:val="20"/>
          <w:szCs w:val="20"/>
          <w:u w:val="single"/>
        </w:rPr>
        <w:t>Guide on Article 15 of the European Convention on Human Rights</w:t>
      </w:r>
      <w:r>
        <w:fldChar w:fldCharType="end"/>
      </w:r>
    </w:p>
  </w:footnote>
  <w:footnote w:id="16">
    <w:p w:rsidR="00000000">
      <w:pPr>
        <w:spacing w:line="240" w:lineRule="auto"/>
        <w:rPr>
          <w:rFonts w:ascii="Calibri" w:eastAsia="Calibri" w:hAnsi="Calibri" w:cs="Calibri"/>
          <w:i/>
          <w:sz w:val="20"/>
          <w:szCs w:val="20"/>
        </w:rPr>
      </w:pPr>
      <w:r w:rsidRPr="00891536">
        <w:rPr>
          <w:rStyle w:val="FootnoteReference"/>
          <w:rFonts w:asciiTheme="majorHAnsi" w:hAnsiTheme="majorHAnsi" w:cstheme="majorHAnsi"/>
          <w:sz w:val="20"/>
          <w:szCs w:val="20"/>
        </w:rPr>
        <w:footnoteRef/>
      </w:r>
      <w:r w:rsidRPr="00891536">
        <w:rPr>
          <w:rFonts w:asciiTheme="majorHAnsi" w:hAnsiTheme="majorHAnsi" w:cstheme="majorHAnsi"/>
          <w:sz w:val="20"/>
          <w:szCs w:val="20"/>
        </w:rPr>
        <w:t xml:space="preserve"> </w:t>
      </w:r>
      <w:r w:rsidRPr="00891536">
        <w:rPr>
          <w:rFonts w:eastAsia="Calibri" w:asciiTheme="majorHAnsi" w:hAnsiTheme="majorHAnsi" w:cstheme="majorHAnsi"/>
          <w:sz w:val="20"/>
          <w:szCs w:val="20"/>
        </w:rPr>
        <w:t xml:space="preserve">Helen Bamber Foundation. (2023). </w:t>
      </w:r>
      <w:r>
        <w:fldChar w:fldCharType="begin"/>
      </w:r>
      <w:r>
        <w:instrText xml:space="preserve"> HYPERLINK "https://helenbamber.org/resources/reportsbriefings/leave-limbo-survivors-trafficking-uncertain-immigration-status" </w:instrText>
      </w:r>
      <w:r>
        <w:fldChar w:fldCharType="separate"/>
      </w:r>
      <w:r w:rsidRPr="00891536">
        <w:rPr>
          <w:rFonts w:eastAsia="Calibri" w:asciiTheme="majorHAnsi" w:hAnsiTheme="majorHAnsi" w:cstheme="majorHAnsi"/>
          <w:i/>
          <w:color w:val="1155CC"/>
          <w:sz w:val="20"/>
          <w:szCs w:val="20"/>
          <w:u w:val="single"/>
        </w:rPr>
        <w:t>Leave in Limbo: Survivors of Trafficking with Uncertain Immigration Status</w:t>
      </w:r>
      <w:r>
        <w:fldChar w:fldCharType="end"/>
      </w:r>
    </w:p>
  </w:footnote>
  <w:footnote w:id="17">
    <w:p w:rsidR="00000000" w:rsidRPr="00891536">
      <w:pPr>
        <w:pBdr>
          <w:top w:val="nil"/>
          <w:left w:val="nil"/>
          <w:bottom w:val="nil"/>
          <w:right w:val="nil"/>
          <w:between w:val="nil"/>
        </w:pBdr>
        <w:spacing w:line="240" w:lineRule="auto"/>
        <w:rPr>
          <w:rFonts w:asciiTheme="majorHAnsi" w:hAnsiTheme="majorHAnsi" w:cstheme="majorHAnsi"/>
          <w:color w:val="000000"/>
          <w:sz w:val="20"/>
          <w:szCs w:val="20"/>
        </w:rPr>
      </w:pPr>
      <w:r w:rsidRPr="00891536">
        <w:rPr>
          <w:rStyle w:val="FootnoteReference"/>
          <w:rFonts w:asciiTheme="majorHAnsi" w:hAnsiTheme="majorHAnsi" w:cstheme="majorHAnsi"/>
          <w:sz w:val="20"/>
          <w:szCs w:val="20"/>
        </w:rPr>
        <w:footnoteRef/>
      </w:r>
      <w:r w:rsidRPr="00891536">
        <w:rPr>
          <w:rFonts w:asciiTheme="majorHAnsi" w:hAnsiTheme="majorHAnsi" w:cstheme="majorHAnsi"/>
          <w:color w:val="000000"/>
          <w:sz w:val="20"/>
          <w:szCs w:val="20"/>
        </w:rPr>
        <w:t xml:space="preserve"> </w:t>
      </w:r>
      <w:r w:rsidRPr="00891536">
        <w:rPr>
          <w:rFonts w:eastAsia="Calibri" w:asciiTheme="majorHAnsi" w:hAnsiTheme="majorHAnsi" w:cstheme="majorHAnsi"/>
          <w:color w:val="000000"/>
          <w:sz w:val="20"/>
          <w:szCs w:val="20"/>
        </w:rPr>
        <w:t xml:space="preserve">Home Office. (6 March 2025). </w:t>
      </w:r>
      <w:r>
        <w:fldChar w:fldCharType="begin"/>
      </w:r>
      <w:r>
        <w:instrText xml:space="preserve"> HYPERLINK "https://www.gov.uk/government/statistics/modern-slavery-nrm-and-dtn-statistics-end-of-year-summary-2024" \l "documents" </w:instrText>
      </w:r>
      <w:r>
        <w:fldChar w:fldCharType="separate"/>
      </w:r>
      <w:r w:rsidRPr="00891536">
        <w:rPr>
          <w:rFonts w:eastAsia="Calibri" w:asciiTheme="majorHAnsi" w:hAnsiTheme="majorHAnsi" w:cstheme="majorHAnsi"/>
          <w:i/>
          <w:color w:val="0000FF"/>
          <w:sz w:val="20"/>
          <w:szCs w:val="20"/>
          <w:u w:val="single"/>
        </w:rPr>
        <w:t xml:space="preserve">Modern slavery: NRM and </w:t>
      </w:r>
      <w:r w:rsidRPr="00891536">
        <w:rPr>
          <w:rFonts w:eastAsia="Calibri" w:asciiTheme="majorHAnsi" w:hAnsiTheme="majorHAnsi" w:cstheme="majorHAnsi"/>
          <w:i/>
          <w:color w:val="0000FF"/>
          <w:sz w:val="20"/>
          <w:szCs w:val="20"/>
          <w:u w:val="single"/>
        </w:rPr>
        <w:t>DtN</w:t>
      </w:r>
      <w:r w:rsidRPr="00891536">
        <w:rPr>
          <w:rFonts w:eastAsia="Calibri" w:asciiTheme="majorHAnsi" w:hAnsiTheme="majorHAnsi" w:cstheme="majorHAnsi"/>
          <w:i/>
          <w:color w:val="0000FF"/>
          <w:sz w:val="20"/>
          <w:szCs w:val="20"/>
          <w:u w:val="single"/>
        </w:rPr>
        <w:t xml:space="preserve"> statistics, end of year summary 2024</w:t>
      </w:r>
      <w:r>
        <w:fldChar w:fldCharType="end"/>
      </w:r>
    </w:p>
  </w:footnote>
  <w:footnote w:id="18">
    <w:p w:rsidR="00000000" w:rsidRPr="00891536">
      <w:pPr>
        <w:spacing w:line="240" w:lineRule="auto"/>
        <w:rPr>
          <w:rFonts w:eastAsia="Calibri" w:asciiTheme="majorHAnsi" w:hAnsiTheme="majorHAnsi" w:cstheme="majorHAnsi"/>
          <w:i/>
          <w:sz w:val="20"/>
          <w:szCs w:val="20"/>
        </w:rPr>
      </w:pPr>
      <w:r w:rsidRPr="00891536">
        <w:rPr>
          <w:rStyle w:val="FootnoteReference"/>
          <w:rFonts w:asciiTheme="majorHAnsi" w:hAnsiTheme="majorHAnsi" w:cstheme="majorHAnsi"/>
          <w:sz w:val="20"/>
          <w:szCs w:val="20"/>
        </w:rPr>
        <w:footnoteRef/>
      </w:r>
      <w:r w:rsidRPr="00891536">
        <w:rPr>
          <w:rFonts w:asciiTheme="majorHAnsi" w:hAnsiTheme="majorHAnsi" w:cstheme="majorHAnsi"/>
          <w:sz w:val="20"/>
          <w:szCs w:val="20"/>
        </w:rPr>
        <w:t xml:space="preserve"> </w:t>
      </w:r>
      <w:r w:rsidRPr="00891536">
        <w:rPr>
          <w:rFonts w:eastAsia="Calibri" w:asciiTheme="majorHAnsi" w:hAnsiTheme="majorHAnsi" w:cstheme="majorHAnsi"/>
          <w:sz w:val="20"/>
          <w:szCs w:val="20"/>
        </w:rPr>
        <w:t xml:space="preserve">Helen Bamber Foundation. (2025). </w:t>
      </w:r>
      <w:r>
        <w:fldChar w:fldCharType="begin"/>
      </w:r>
      <w:r>
        <w:instrText xml:space="preserve"> HYPERLINK "https://helenbamber.org/sites/default/files/2025-04/Dismissing%20Risk_April%202025.pdf" </w:instrText>
      </w:r>
      <w:r>
        <w:fldChar w:fldCharType="separate"/>
      </w:r>
      <w:r w:rsidRPr="00891536">
        <w:rPr>
          <w:rFonts w:eastAsia="Calibri" w:asciiTheme="majorHAnsi" w:hAnsiTheme="majorHAnsi" w:cstheme="majorHAnsi"/>
          <w:i/>
          <w:color w:val="1155CC"/>
          <w:sz w:val="20"/>
          <w:szCs w:val="20"/>
          <w:u w:val="single"/>
        </w:rPr>
        <w:t>Dismissing Risk: The impact on trafficking survivors of</w:t>
      </w:r>
      <w:r>
        <w:fldChar w:fldCharType="end"/>
      </w:r>
    </w:p>
    <w:p w:rsidR="00000000">
      <w:pPr>
        <w:spacing w:line="240" w:lineRule="auto"/>
        <w:rPr>
          <w:rFonts w:ascii="Calibri" w:eastAsia="Calibri" w:hAnsi="Calibri" w:cs="Calibri"/>
          <w:i/>
          <w:sz w:val="20"/>
          <w:szCs w:val="20"/>
        </w:rPr>
      </w:pPr>
      <w:r>
        <w:fldChar w:fldCharType="begin"/>
      </w:r>
      <w:r>
        <w:instrText xml:space="preserve"> HYPERLINK "https://helenbamber.org/sites/default/files/2025-04/Dismissing%20Risk_April%202025.pdf" </w:instrText>
      </w:r>
      <w:r>
        <w:fldChar w:fldCharType="separate"/>
      </w:r>
      <w:r w:rsidRPr="00891536">
        <w:rPr>
          <w:rFonts w:eastAsia="Calibri" w:asciiTheme="majorHAnsi" w:hAnsiTheme="majorHAnsi" w:cstheme="majorHAnsi"/>
          <w:i/>
          <w:color w:val="1155CC"/>
          <w:sz w:val="20"/>
          <w:szCs w:val="20"/>
          <w:u w:val="single"/>
        </w:rPr>
        <w:t>labelling countries of origin as 'safe'</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DD7D82"/>
    <w:multiLevelType w:val="multilevel"/>
    <w:tmpl w:val="562ADE0E"/>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E004F0E"/>
    <w:multiLevelType w:val="multilevel"/>
    <w:tmpl w:val="479CAF80"/>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7F35227"/>
    <w:multiLevelType w:val="multilevel"/>
    <w:tmpl w:val="D1CADBE2"/>
    <w:lvl w:ilvl="0">
      <w:start w:val="1"/>
      <w:numFmt w:val="decimal"/>
      <w:lvlText w:val="%1."/>
      <w:lvlJc w:val="left"/>
      <w:pPr>
        <w:ind w:left="502" w:hanging="360"/>
      </w:pPr>
      <w:rPr>
        <w:rFonts w:ascii="Calibri" w:eastAsia="Calibri" w:hAnsi="Calibri" w:cs="Calibri"/>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D4C4789"/>
    <w:multiLevelType w:val="multilevel"/>
    <w:tmpl w:val="35263A5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1331655"/>
    <w:multiLevelType w:val="multilevel"/>
    <w:tmpl w:val="EFF4E5B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55FC6C39"/>
    <w:multiLevelType w:val="multilevel"/>
    <w:tmpl w:val="4084539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592B1D01"/>
    <w:multiLevelType w:val="multilevel"/>
    <w:tmpl w:val="E00CD7AA"/>
    <w:lvl w:ilvl="0">
      <w:start w:val="1"/>
      <w:numFmt w:val="bullet"/>
      <w:lvlText w:val="●"/>
      <w:lvlJc w:val="left"/>
      <w:pPr>
        <w:ind w:left="720" w:hanging="360"/>
      </w:pPr>
      <w:rPr>
        <w:rFonts w:ascii="Verdana" w:eastAsia="Verdana" w:hAnsi="Verdana" w:cs="Verdana"/>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9250F93"/>
    <w:multiLevelType w:val="multilevel"/>
    <w:tmpl w:val="742E929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7BBF21E6"/>
    <w:multiLevelType w:val="multilevel"/>
    <w:tmpl w:val="7CECEA2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F717597"/>
    <w:multiLevelType w:val="multilevel"/>
    <w:tmpl w:val="E4B2366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6"/>
  </w:num>
  <w:num w:numId="4">
    <w:abstractNumId w:val="2"/>
  </w:num>
  <w:num w:numId="5">
    <w:abstractNumId w:val="5"/>
  </w:num>
  <w:num w:numId="6">
    <w:abstractNumId w:val="1"/>
  </w:num>
  <w:num w:numId="7">
    <w:abstractNumId w:val="3"/>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35E7C"/>
    <w:rPr>
      <w:color w:val="0000FF" w:themeColor="hyperlink"/>
      <w:u w:val="single"/>
    </w:rPr>
  </w:style>
  <w:style w:type="character" w:customStyle="1" w:styleId="UnresolvedMention1">
    <w:name w:val="Unresolved Mention1"/>
    <w:basedOn w:val="DefaultParagraphFont"/>
    <w:uiPriority w:val="99"/>
    <w:semiHidden/>
    <w:unhideWhenUsed/>
    <w:rsid w:val="00135E7C"/>
    <w:rPr>
      <w:color w:val="605E5C"/>
      <w:shd w:val="clear" w:color="auto" w:fill="E1DFDD"/>
    </w:rPr>
  </w:style>
  <w:style w:type="paragraph" w:styleId="Header">
    <w:name w:val="header"/>
    <w:basedOn w:val="Normal"/>
    <w:link w:val="HeaderChar"/>
    <w:uiPriority w:val="99"/>
    <w:unhideWhenUsed/>
    <w:rsid w:val="00135E7C"/>
    <w:pPr>
      <w:tabs>
        <w:tab w:val="center" w:pos="4513"/>
        <w:tab w:val="right" w:pos="9026"/>
      </w:tabs>
      <w:spacing w:line="240" w:lineRule="auto"/>
    </w:pPr>
  </w:style>
  <w:style w:type="character" w:customStyle="1" w:styleId="HeaderChar">
    <w:name w:val="Header Char"/>
    <w:basedOn w:val="DefaultParagraphFont"/>
    <w:link w:val="Header"/>
    <w:uiPriority w:val="99"/>
    <w:rsid w:val="00135E7C"/>
  </w:style>
  <w:style w:type="paragraph" w:styleId="Footer">
    <w:name w:val="footer"/>
    <w:basedOn w:val="Normal"/>
    <w:link w:val="FooterChar"/>
    <w:uiPriority w:val="99"/>
    <w:unhideWhenUsed/>
    <w:rsid w:val="00135E7C"/>
    <w:pPr>
      <w:tabs>
        <w:tab w:val="center" w:pos="4513"/>
        <w:tab w:val="right" w:pos="9026"/>
      </w:tabs>
      <w:spacing w:line="240" w:lineRule="auto"/>
    </w:pPr>
  </w:style>
  <w:style w:type="character" w:customStyle="1" w:styleId="FooterChar">
    <w:name w:val="Footer Char"/>
    <w:basedOn w:val="DefaultParagraphFont"/>
    <w:link w:val="Footer"/>
    <w:uiPriority w:val="99"/>
    <w:rsid w:val="00135E7C"/>
  </w:style>
  <w:style w:type="paragraph" w:styleId="ListParagraph">
    <w:name w:val="List Paragraph"/>
    <w:basedOn w:val="Normal"/>
    <w:uiPriority w:val="34"/>
    <w:qFormat/>
    <w:rsid w:val="000E61CF"/>
    <w:pPr>
      <w:ind w:left="720"/>
      <w:contextualSpacing/>
    </w:pPr>
  </w:style>
  <w:style w:type="paragraph" w:styleId="FootnoteText">
    <w:name w:val="footnote text"/>
    <w:basedOn w:val="Normal"/>
    <w:link w:val="FootnoteTextChar"/>
    <w:uiPriority w:val="99"/>
    <w:semiHidden/>
    <w:unhideWhenUsed/>
    <w:rsid w:val="00A9747F"/>
    <w:pPr>
      <w:spacing w:line="240" w:lineRule="auto"/>
    </w:pPr>
    <w:rPr>
      <w:sz w:val="20"/>
      <w:szCs w:val="20"/>
    </w:rPr>
  </w:style>
  <w:style w:type="character" w:customStyle="1" w:styleId="FootnoteTextChar">
    <w:name w:val="Footnote Text Char"/>
    <w:basedOn w:val="DefaultParagraphFont"/>
    <w:link w:val="FootnoteText"/>
    <w:uiPriority w:val="99"/>
    <w:semiHidden/>
    <w:rsid w:val="00A9747F"/>
    <w:rPr>
      <w:sz w:val="20"/>
      <w:szCs w:val="20"/>
    </w:rPr>
  </w:style>
  <w:style w:type="character" w:styleId="FootnoteReference">
    <w:name w:val="footnote reference"/>
    <w:basedOn w:val="DefaultParagraphFont"/>
    <w:uiPriority w:val="99"/>
    <w:semiHidden/>
    <w:unhideWhenUsed/>
    <w:rsid w:val="00A9747F"/>
    <w:rPr>
      <w:vertAlign w:val="superscript"/>
    </w:rPr>
  </w:style>
  <w:style w:type="paragraph" w:styleId="CommentSubject">
    <w:name w:val="annotation subject"/>
    <w:basedOn w:val="CommentText"/>
    <w:next w:val="CommentText"/>
    <w:link w:val="CommentSubjectChar"/>
    <w:uiPriority w:val="99"/>
    <w:semiHidden/>
    <w:unhideWhenUsed/>
    <w:rsid w:val="00912E12"/>
    <w:rPr>
      <w:b/>
      <w:bCs/>
    </w:rPr>
  </w:style>
  <w:style w:type="character" w:customStyle="1" w:styleId="CommentSubjectChar">
    <w:name w:val="Comment Subject Char"/>
    <w:basedOn w:val="CommentTextChar"/>
    <w:link w:val="CommentSubject"/>
    <w:uiPriority w:val="99"/>
    <w:semiHidden/>
    <w:rsid w:val="00912E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8cztAh7Z3qplQqSjp8GjoOhi2Q==">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