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2028" w:rsidRPr="00EC4A99" w:rsidP="00EC4A99">
      <w:pPr>
        <w:pStyle w:val="BodyText"/>
        <w:jc w:val="center"/>
        <w:rPr>
          <w:rFonts w:ascii="Times New Roman"/>
          <w:b/>
          <w:bCs/>
          <w:sz w:val="36"/>
          <w:szCs w:val="36"/>
          <w:u w:val="single"/>
        </w:rPr>
      </w:pPr>
      <w:r w:rsidRPr="00EC4A99">
        <w:rPr>
          <w:rFonts w:ascii="Times New Roman"/>
          <w:b/>
          <w:bCs/>
          <w:sz w:val="36"/>
          <w:szCs w:val="36"/>
          <w:u w:val="single"/>
        </w:rPr>
        <w:t xml:space="preserve">Written evidence submitted by </w:t>
      </w:r>
      <w:r w:rsidRPr="00EC4A99">
        <w:rPr>
          <w:rFonts w:ascii="Times New Roman"/>
          <w:b/>
          <w:bCs/>
          <w:sz w:val="36"/>
          <w:szCs w:val="36"/>
          <w:u w:val="single"/>
        </w:rPr>
        <w:t>Orbex</w:t>
      </w:r>
      <w:r w:rsidRPr="00EC4A99">
        <w:rPr>
          <w:rFonts w:ascii="Times New Roman"/>
          <w:b/>
          <w:bCs/>
          <w:sz w:val="36"/>
          <w:szCs w:val="36"/>
          <w:u w:val="single"/>
        </w:rPr>
        <w:t xml:space="preserve"> </w:t>
      </w:r>
      <w:r w:rsidRPr="00EC4A99">
        <w:rPr>
          <w:rFonts w:ascii="Times New Roman"/>
          <w:b/>
          <w:bCs/>
          <w:sz w:val="36"/>
          <w:szCs w:val="36"/>
          <w:u w:val="single"/>
        </w:rPr>
        <w:t>–</w:t>
      </w:r>
      <w:r w:rsidRPr="00EC4A99">
        <w:rPr>
          <w:rFonts w:ascii="Times New Roman"/>
          <w:b/>
          <w:bCs/>
          <w:sz w:val="36"/>
          <w:szCs w:val="36"/>
          <w:u w:val="single"/>
        </w:rPr>
        <w:t xml:space="preserve"> (SSS005) </w:t>
      </w: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rPr>
          <w:rFonts w:ascii="Times New Roman"/>
          <w:sz w:val="20"/>
        </w:rPr>
      </w:pPr>
    </w:p>
    <w:p w:rsidR="003F2028">
      <w:pPr>
        <w:pStyle w:val="BodyText"/>
        <w:spacing w:before="223"/>
        <w:rPr>
          <w:rFonts w:ascii="Times New Roman"/>
          <w:sz w:val="20"/>
        </w:rPr>
      </w:pPr>
    </w:p>
    <w:p w:rsidR="003F2028">
      <w:pPr>
        <w:pStyle w:val="BodyText"/>
        <w:ind w:left="111"/>
        <w:rPr>
          <w:rFonts w:ascii="Times New Roman"/>
          <w:sz w:val="20"/>
        </w:rPr>
      </w:pPr>
      <w:r>
        <w:rPr>
          <w:rFonts w:ascii="Times New Roman"/>
          <w:noProof/>
          <w:sz w:val="20"/>
        </w:rPr>
        <w:pict>
          <v:shapetype id="_x0000_t202" coordsize="21600,21600" o:spt="202" path="m,l,21600r21600,l21600,xe">
            <v:stroke joinstyle="miter"/>
            <v:path gradientshapeok="t" o:connecttype="rect"/>
          </v:shapetype>
          <v:shape id="Textbox 5" o:spid="_x0000_i1025" type="#_x0000_t202" style="height:126.6pt;mso-left-percent:-10001;mso-position-horizontal-relative:char;mso-position-vertical-relative:line;mso-top-percent:-10001;mso-wrap-style:square;v-text-anchor:top;visibility:visible;width:379.4pt" fillcolor="black">
            <v:path arrowok="t" textboxrect="0,0,21600,21600"/>
            <v:textbox inset="0,0,0,0">
              <w:txbxContent>
                <w:p w:rsidR="003F2028">
                  <w:pPr>
                    <w:spacing w:before="99" w:line="280" w:lineRule="auto"/>
                    <w:ind w:left="145" w:right="243"/>
                    <w:rPr>
                      <w:color w:val="000000"/>
                      <w:sz w:val="44"/>
                    </w:rPr>
                  </w:pPr>
                  <w:r>
                    <w:rPr>
                      <w:color w:val="FFFFFF"/>
                      <w:sz w:val="44"/>
                    </w:rPr>
                    <w:t xml:space="preserve">Written Evidence Submitted by </w:t>
                  </w:r>
                  <w:r>
                    <w:rPr>
                      <w:color w:val="FFFFFF"/>
                      <w:spacing w:val="-2"/>
                      <w:sz w:val="44"/>
                    </w:rPr>
                    <w:t>Orbex</w:t>
                  </w:r>
                </w:p>
                <w:p w:rsidR="003F2028">
                  <w:pPr>
                    <w:spacing w:before="160" w:line="280" w:lineRule="auto"/>
                    <w:ind w:left="145" w:right="243"/>
                    <w:rPr>
                      <w:color w:val="000000"/>
                      <w:sz w:val="32"/>
                    </w:rPr>
                  </w:pPr>
                  <w:r>
                    <w:rPr>
                      <w:color w:val="FFFFFF"/>
                      <w:sz w:val="32"/>
                    </w:rPr>
                    <w:t>Submission for the Scottish Affairs Committee – Scotland’s Space Sector Follow-up: Launch</w:t>
                  </w:r>
                </w:p>
              </w:txbxContent>
            </v:textbox>
            <w10:wrap type="none"/>
            <w10:anchorlock/>
          </v:shape>
        </w:pict>
      </w:r>
    </w:p>
    <w:p w:rsidR="003F2028">
      <w:pPr>
        <w:rPr>
          <w:rFonts w:ascii="Times New Roman"/>
          <w:sz w:val="20"/>
        </w:rPr>
        <w:sectPr>
          <w:type w:val="continuous"/>
          <w:pgSz w:w="11910" w:h="16840"/>
          <w:pgMar w:top="1920" w:right="1320" w:bottom="280" w:left="1320" w:header="720" w:footer="720" w:gutter="0"/>
          <w:cols w:space="720"/>
        </w:sectPr>
      </w:pPr>
    </w:p>
    <w:p w:rsidR="003F2028">
      <w:pPr>
        <w:pStyle w:val="Heading2"/>
        <w:spacing w:before="111"/>
      </w:pPr>
      <w:r>
        <w:t>Introduction</w:t>
      </w:r>
      <w:r>
        <w:rPr>
          <w:spacing w:val="-8"/>
        </w:rPr>
        <w:t xml:space="preserve"> </w:t>
      </w:r>
      <w:r>
        <w:t>to</w:t>
      </w:r>
      <w:r>
        <w:rPr>
          <w:spacing w:val="-8"/>
        </w:rPr>
        <w:t xml:space="preserve"> </w:t>
      </w:r>
      <w:r>
        <w:rPr>
          <w:spacing w:val="-2"/>
        </w:rPr>
        <w:t>Orbex</w:t>
      </w:r>
    </w:p>
    <w:p w:rsidR="003F2028">
      <w:pPr>
        <w:pStyle w:val="BodyText"/>
        <w:spacing w:before="163"/>
        <w:ind w:left="120" w:right="114"/>
        <w:jc w:val="both"/>
      </w:pPr>
      <w:r>
        <w:t>Orbex</w:t>
      </w:r>
      <w:r>
        <w:t xml:space="preserve"> is the only British-owned, Scottish-based space launch services company designing and building rockets in Scotland, creating high-value jobs and strengthening the domestic space</w:t>
      </w:r>
      <w:r>
        <w:rPr>
          <w:spacing w:val="-3"/>
        </w:rPr>
        <w:t xml:space="preserve"> </w:t>
      </w:r>
      <w:r>
        <w:t>sector.</w:t>
      </w:r>
      <w:r>
        <w:rPr>
          <w:spacing w:val="-5"/>
        </w:rPr>
        <w:t xml:space="preserve"> </w:t>
      </w:r>
      <w:r>
        <w:t>We</w:t>
      </w:r>
      <w:r>
        <w:rPr>
          <w:spacing w:val="-4"/>
        </w:rPr>
        <w:t xml:space="preserve"> </w:t>
      </w:r>
      <w:r>
        <w:t>are</w:t>
      </w:r>
      <w:r>
        <w:rPr>
          <w:spacing w:val="-4"/>
        </w:rPr>
        <w:t xml:space="preserve"> </w:t>
      </w:r>
      <w:r>
        <w:t>committed</w:t>
      </w:r>
      <w:r>
        <w:rPr>
          <w:spacing w:val="-4"/>
        </w:rPr>
        <w:t xml:space="preserve"> </w:t>
      </w:r>
      <w:r>
        <w:t>to</w:t>
      </w:r>
      <w:r>
        <w:rPr>
          <w:spacing w:val="-4"/>
        </w:rPr>
        <w:t xml:space="preserve"> </w:t>
      </w:r>
      <w:r>
        <w:t>delivering</w:t>
      </w:r>
      <w:r>
        <w:rPr>
          <w:spacing w:val="-4"/>
        </w:rPr>
        <w:t xml:space="preserve"> </w:t>
      </w:r>
      <w:r>
        <w:t>sustainable,</w:t>
      </w:r>
      <w:r>
        <w:rPr>
          <w:spacing w:val="-3"/>
        </w:rPr>
        <w:t xml:space="preserve"> </w:t>
      </w:r>
      <w:r>
        <w:t>flexible,</w:t>
      </w:r>
      <w:r>
        <w:rPr>
          <w:spacing w:val="-2"/>
        </w:rPr>
        <w:t xml:space="preserve"> </w:t>
      </w:r>
      <w:r>
        <w:t>and</w:t>
      </w:r>
      <w:r>
        <w:rPr>
          <w:spacing w:val="-6"/>
        </w:rPr>
        <w:t xml:space="preserve"> </w:t>
      </w:r>
      <w:r>
        <w:t>cost-effective</w:t>
      </w:r>
      <w:r>
        <w:rPr>
          <w:spacing w:val="-4"/>
        </w:rPr>
        <w:t xml:space="preserve"> </w:t>
      </w:r>
      <w:r>
        <w:t>satellite launch solutions from Scottish soil, with the first commercial launch planned in 2026.</w:t>
      </w:r>
    </w:p>
    <w:p w:rsidR="003F2028">
      <w:pPr>
        <w:pStyle w:val="BodyText"/>
        <w:spacing w:before="159"/>
        <w:ind w:left="120" w:right="111"/>
        <w:jc w:val="both"/>
      </w:pPr>
      <w:r>
        <w:t xml:space="preserve">With the global demand for launch services rising—currently dominated by the US-based SpaceX, where customers often face two-year waiting times — </w:t>
      </w:r>
      <w:r>
        <w:t>Orbex</w:t>
      </w:r>
      <w:r>
        <w:t xml:space="preserve"> presents a significant export and sovereign capability opportunity for the UK and Scotland. By offering launch services internationally, we can help position the nation as a key player in the global space </w:t>
      </w:r>
      <w:r>
        <w:rPr>
          <w:spacing w:val="-2"/>
        </w:rPr>
        <w:t>economy.</w:t>
      </w:r>
    </w:p>
    <w:p w:rsidR="003F2028">
      <w:pPr>
        <w:pStyle w:val="BodyText"/>
        <w:spacing w:before="161"/>
        <w:ind w:left="120" w:right="113"/>
        <w:jc w:val="both"/>
      </w:pPr>
      <w:r>
        <w:rPr>
          <w:noProof/>
        </w:rPr>
        <mc:AlternateContent>
          <mc:Choice Requires="wps">
            <w:drawing>
              <wp:anchor distT="0" distB="0" distL="0" distR="0" simplePos="0" relativeHeight="251658240" behindDoc="1" locked="0" layoutInCell="1" allowOverlap="1">
                <wp:simplePos x="0" y="0"/>
                <wp:positionH relativeFrom="page">
                  <wp:posOffset>3615563</wp:posOffset>
                </wp:positionH>
                <wp:positionV relativeFrom="paragraph">
                  <wp:posOffset>568842</wp:posOffset>
                </wp:positionV>
                <wp:extent cx="40005" cy="10795"/>
                <wp:effectExtent l="0" t="0" r="0" b="0"/>
                <wp:wrapNone/>
                <wp:docPr id="10" name="Graphic 10"/>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40005" cy="10795"/>
                        </a:xfrm>
                        <a:custGeom>
                          <a:avLst/>
                          <a:gdLst/>
                          <a:ahLst/>
                          <a:cxnLst/>
                          <a:rect l="l" t="t" r="r" b="b"/>
                          <a:pathLst>
                            <a:path w="40005" h="10795">
                              <a:moveTo>
                                <a:pt x="39624" y="0"/>
                              </a:moveTo>
                              <a:lnTo>
                                <a:pt x="0" y="0"/>
                              </a:lnTo>
                              <a:lnTo>
                                <a:pt x="0" y="10668"/>
                              </a:lnTo>
                              <a:lnTo>
                                <a:pt x="39624" y="10668"/>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0" o:spid="_x0000_s1026" style="height:0.85pt;margin-left:284.7pt;margin-top:44.8pt;mso-position-horizontal-relative:page;mso-wrap-distance-bottom:0;mso-wrap-distance-left:0;mso-wrap-distance-right:0;mso-wrap-distance-top:0;mso-wrap-style:square;position:absolute;v-text-anchor:top;visibility:visible;width:3.15pt;z-index:-251657216" coordsize="40005,10795" path="m39624,l,,,10668l39624,10668l39624,xe" fillcolor="black" stroked="f">
                <v:path arrowok="t"/>
                <w10:wrap anchorx="page"/>
              </v:shape>
            </w:pict>
          </mc:Fallback>
        </mc:AlternateContent>
      </w:r>
      <w:r>
        <w:t xml:space="preserve">Headquartered in Scotland, with a subsidiary in Denmark, </w:t>
      </w:r>
      <w:r>
        <w:t>Orbex</w:t>
      </w:r>
      <w:r>
        <w:t xml:space="preserve"> employs over 240 highly skilled professionals and has secured £129 million in funding from private and institutional investors, including the UK Government, Scottish National Investment Bank, leading European venture capital firms (BGF, Octopus Ventures, </w:t>
      </w:r>
      <w:r>
        <w:t>Heartcore</w:t>
      </w:r>
      <w:r>
        <w:t xml:space="preserve">, and High-Tech </w:t>
      </w:r>
      <w:r>
        <w:t>Gründerfonds</w:t>
      </w:r>
      <w:r>
        <w:t xml:space="preserve">), the Export and Investment Fund of Denmark (EIFO), Amentum, and Verve </w:t>
      </w:r>
      <w:r>
        <w:rPr>
          <w:spacing w:val="-2"/>
        </w:rPr>
        <w:t>Ventures.</w:t>
      </w:r>
    </w:p>
    <w:p w:rsidR="003F2028">
      <w:pPr>
        <w:pStyle w:val="BodyText"/>
        <w:spacing w:before="160"/>
        <w:ind w:left="120" w:right="113"/>
        <w:jc w:val="both"/>
      </w:pPr>
      <w:r>
        <w:t>Orbex</w:t>
      </w:r>
      <w:r>
        <w:t xml:space="preserve"> has worked closely with the Scottish Government since it chose to locate its headquarters in </w:t>
      </w:r>
      <w:r>
        <w:t>Forres</w:t>
      </w:r>
      <w:r>
        <w:t>, Scotland in 2019. Through Scottish Enterprise and Highlands and Islands Enterprise the company has also benefited from various loans and grants to support its growth.</w:t>
      </w:r>
    </w:p>
    <w:p w:rsidR="003F2028">
      <w:pPr>
        <w:pStyle w:val="BodyText"/>
        <w:spacing w:before="159"/>
        <w:ind w:left="120" w:right="116"/>
        <w:jc w:val="both"/>
      </w:pPr>
      <w:r>
        <w:t>Orbex</w:t>
      </w:r>
      <w:r>
        <w:t xml:space="preserve"> is already making an economic impact in terms of spend with the UK and Scottish supply chains, which will continue to grow as manufacturing ramps up alongside launch cadence.</w:t>
      </w:r>
      <w:r>
        <w:rPr>
          <w:spacing w:val="40"/>
        </w:rPr>
        <w:t xml:space="preserve"> </w:t>
      </w:r>
      <w:r>
        <w:t>In</w:t>
      </w:r>
      <w:r>
        <w:rPr>
          <w:spacing w:val="-2"/>
        </w:rPr>
        <w:t xml:space="preserve"> </w:t>
      </w:r>
      <w:r>
        <w:t>2024, 50%</w:t>
      </w:r>
      <w:r>
        <w:rPr>
          <w:spacing w:val="-3"/>
        </w:rPr>
        <w:t xml:space="preserve"> </w:t>
      </w:r>
      <w:r>
        <w:t>of</w:t>
      </w:r>
      <w:r>
        <w:rPr>
          <w:spacing w:val="-1"/>
        </w:rPr>
        <w:t xml:space="preserve"> </w:t>
      </w:r>
      <w:r>
        <w:t>total</w:t>
      </w:r>
      <w:r>
        <w:rPr>
          <w:spacing w:val="-1"/>
        </w:rPr>
        <w:t xml:space="preserve"> </w:t>
      </w:r>
      <w:r>
        <w:t>spend was</w:t>
      </w:r>
      <w:r>
        <w:rPr>
          <w:spacing w:val="-2"/>
        </w:rPr>
        <w:t xml:space="preserve"> </w:t>
      </w:r>
      <w:r>
        <w:t>placed with</w:t>
      </w:r>
      <w:r>
        <w:rPr>
          <w:spacing w:val="-2"/>
        </w:rPr>
        <w:t xml:space="preserve"> </w:t>
      </w:r>
      <w:r>
        <w:t>UK based</w:t>
      </w:r>
      <w:r>
        <w:rPr>
          <w:spacing w:val="-4"/>
        </w:rPr>
        <w:t xml:space="preserve"> </w:t>
      </w:r>
      <w:r>
        <w:t>suppliers, with almost</w:t>
      </w:r>
      <w:r>
        <w:rPr>
          <w:spacing w:val="-1"/>
        </w:rPr>
        <w:t xml:space="preserve"> </w:t>
      </w:r>
      <w:r>
        <w:t>20% of that spend placed with Scottish based suppliers.</w:t>
      </w:r>
    </w:p>
    <w:p w:rsidR="003F2028">
      <w:pPr>
        <w:pStyle w:val="BodyText"/>
        <w:spacing w:before="160"/>
        <w:ind w:left="120" w:right="115"/>
        <w:jc w:val="both"/>
      </w:pPr>
      <w:r>
        <w:t>Orbex</w:t>
      </w:r>
      <w:r>
        <w:t xml:space="preserve"> operates over 6,650 square </w:t>
      </w:r>
      <w:r>
        <w:t>metres</w:t>
      </w:r>
      <w:r>
        <w:t xml:space="preserve"> of space located across three facilities in </w:t>
      </w:r>
      <w:r>
        <w:t>Forres</w:t>
      </w:r>
      <w:r>
        <w:t>, and a dedicated testing site located at Kinloss, located 3 miles away from the main facilities. This</w:t>
      </w:r>
      <w:r>
        <w:rPr>
          <w:spacing w:val="-5"/>
        </w:rPr>
        <w:t xml:space="preserve"> </w:t>
      </w:r>
      <w:r>
        <w:t>infrastructure</w:t>
      </w:r>
      <w:r>
        <w:rPr>
          <w:spacing w:val="-7"/>
        </w:rPr>
        <w:t xml:space="preserve"> </w:t>
      </w:r>
      <w:r>
        <w:t>allows</w:t>
      </w:r>
      <w:r>
        <w:rPr>
          <w:spacing w:val="-3"/>
        </w:rPr>
        <w:t xml:space="preserve"> </w:t>
      </w:r>
      <w:r>
        <w:t>streamlined</w:t>
      </w:r>
      <w:r>
        <w:rPr>
          <w:spacing w:val="-5"/>
        </w:rPr>
        <w:t xml:space="preserve"> </w:t>
      </w:r>
      <w:r>
        <w:t>manufacturing</w:t>
      </w:r>
      <w:r>
        <w:rPr>
          <w:spacing w:val="-5"/>
        </w:rPr>
        <w:t xml:space="preserve"> </w:t>
      </w:r>
      <w:r>
        <w:t>and</w:t>
      </w:r>
      <w:r>
        <w:rPr>
          <w:spacing w:val="-5"/>
        </w:rPr>
        <w:t xml:space="preserve"> </w:t>
      </w:r>
      <w:r>
        <w:t>testing</w:t>
      </w:r>
      <w:r>
        <w:rPr>
          <w:spacing w:val="-5"/>
        </w:rPr>
        <w:t xml:space="preserve"> </w:t>
      </w:r>
      <w:r>
        <w:t>to</w:t>
      </w:r>
      <w:r>
        <w:rPr>
          <w:spacing w:val="-7"/>
        </w:rPr>
        <w:t xml:space="preserve"> </w:t>
      </w:r>
      <w:r>
        <w:t>take</w:t>
      </w:r>
      <w:r>
        <w:rPr>
          <w:spacing w:val="-5"/>
        </w:rPr>
        <w:t xml:space="preserve"> </w:t>
      </w:r>
      <w:r>
        <w:t>place.</w:t>
      </w:r>
      <w:r>
        <w:rPr>
          <w:spacing w:val="40"/>
        </w:rPr>
        <w:t xml:space="preserve"> </w:t>
      </w:r>
      <w:r>
        <w:t>The</w:t>
      </w:r>
      <w:r>
        <w:rPr>
          <w:spacing w:val="-7"/>
        </w:rPr>
        <w:t xml:space="preserve"> </w:t>
      </w:r>
      <w:r>
        <w:t>company now</w:t>
      </w:r>
      <w:r>
        <w:rPr>
          <w:spacing w:val="-1"/>
        </w:rPr>
        <w:t xml:space="preserve"> </w:t>
      </w:r>
      <w:r>
        <w:t>employees</w:t>
      </w:r>
      <w:r>
        <w:rPr>
          <w:spacing w:val="-3"/>
        </w:rPr>
        <w:t xml:space="preserve"> </w:t>
      </w:r>
      <w:r>
        <w:t>over</w:t>
      </w:r>
      <w:r>
        <w:rPr>
          <w:spacing w:val="-2"/>
        </w:rPr>
        <w:t xml:space="preserve"> </w:t>
      </w:r>
      <w:r>
        <w:t>140+ people</w:t>
      </w:r>
      <w:r>
        <w:rPr>
          <w:spacing w:val="-3"/>
        </w:rPr>
        <w:t xml:space="preserve"> </w:t>
      </w:r>
      <w:r>
        <w:t>in</w:t>
      </w:r>
      <w:r>
        <w:rPr>
          <w:spacing w:val="-3"/>
        </w:rPr>
        <w:t xml:space="preserve"> </w:t>
      </w:r>
      <w:r>
        <w:t>Morayshire,</w:t>
      </w:r>
      <w:r>
        <w:rPr>
          <w:spacing w:val="-4"/>
        </w:rPr>
        <w:t xml:space="preserve"> </w:t>
      </w:r>
      <w:r>
        <w:t>most</w:t>
      </w:r>
      <w:r>
        <w:rPr>
          <w:spacing w:val="-2"/>
        </w:rPr>
        <w:t xml:space="preserve"> </w:t>
      </w:r>
      <w:r>
        <w:t>of</w:t>
      </w:r>
      <w:r>
        <w:rPr>
          <w:spacing w:val="-1"/>
        </w:rPr>
        <w:t xml:space="preserve"> </w:t>
      </w:r>
      <w:r>
        <w:t>which are</w:t>
      </w:r>
      <w:r>
        <w:rPr>
          <w:spacing w:val="-3"/>
        </w:rPr>
        <w:t xml:space="preserve"> </w:t>
      </w:r>
      <w:r>
        <w:t>highly</w:t>
      </w:r>
      <w:r>
        <w:rPr>
          <w:spacing w:val="-2"/>
        </w:rPr>
        <w:t xml:space="preserve"> </w:t>
      </w:r>
      <w:r>
        <w:t>paid jobs,</w:t>
      </w:r>
      <w:r>
        <w:rPr>
          <w:spacing w:val="-1"/>
        </w:rPr>
        <w:t xml:space="preserve"> </w:t>
      </w:r>
      <w:r>
        <w:t>bringing new</w:t>
      </w:r>
      <w:r>
        <w:rPr>
          <w:spacing w:val="-9"/>
        </w:rPr>
        <w:t xml:space="preserve"> </w:t>
      </w:r>
      <w:r>
        <w:t>space-related</w:t>
      </w:r>
      <w:r>
        <w:rPr>
          <w:spacing w:val="-10"/>
        </w:rPr>
        <w:t xml:space="preserve"> </w:t>
      </w:r>
      <w:r>
        <w:t>skills</w:t>
      </w:r>
      <w:r>
        <w:rPr>
          <w:spacing w:val="-8"/>
        </w:rPr>
        <w:t xml:space="preserve"> </w:t>
      </w:r>
      <w:r>
        <w:t>to</w:t>
      </w:r>
      <w:r>
        <w:rPr>
          <w:spacing w:val="-9"/>
        </w:rPr>
        <w:t xml:space="preserve"> </w:t>
      </w:r>
      <w:r>
        <w:t>the</w:t>
      </w:r>
      <w:r>
        <w:rPr>
          <w:spacing w:val="-11"/>
        </w:rPr>
        <w:t xml:space="preserve"> </w:t>
      </w:r>
      <w:r>
        <w:t>area.</w:t>
      </w:r>
      <w:r>
        <w:rPr>
          <w:spacing w:val="40"/>
        </w:rPr>
        <w:t xml:space="preserve"> </w:t>
      </w:r>
      <w:r>
        <w:t>Orbex</w:t>
      </w:r>
      <w:r>
        <w:rPr>
          <w:spacing w:val="-10"/>
        </w:rPr>
        <w:t xml:space="preserve"> </w:t>
      </w:r>
      <w:r>
        <w:t>has</w:t>
      </w:r>
      <w:r>
        <w:rPr>
          <w:spacing w:val="-10"/>
        </w:rPr>
        <w:t xml:space="preserve"> </w:t>
      </w:r>
      <w:r>
        <w:t>also</w:t>
      </w:r>
      <w:r>
        <w:rPr>
          <w:spacing w:val="-9"/>
        </w:rPr>
        <w:t xml:space="preserve"> </w:t>
      </w:r>
      <w:r>
        <w:t>been</w:t>
      </w:r>
      <w:r>
        <w:rPr>
          <w:spacing w:val="-11"/>
        </w:rPr>
        <w:t xml:space="preserve"> </w:t>
      </w:r>
      <w:r>
        <w:t>able</w:t>
      </w:r>
      <w:r>
        <w:rPr>
          <w:spacing w:val="-9"/>
        </w:rPr>
        <w:t xml:space="preserve"> </w:t>
      </w:r>
      <w:r>
        <w:t>to</w:t>
      </w:r>
      <w:r>
        <w:rPr>
          <w:spacing w:val="-10"/>
        </w:rPr>
        <w:t xml:space="preserve"> </w:t>
      </w:r>
      <w:r>
        <w:t>benefit</w:t>
      </w:r>
      <w:r>
        <w:rPr>
          <w:spacing w:val="-9"/>
        </w:rPr>
        <w:t xml:space="preserve"> </w:t>
      </w:r>
      <w:r>
        <w:t>from</w:t>
      </w:r>
      <w:r>
        <w:rPr>
          <w:spacing w:val="-8"/>
        </w:rPr>
        <w:t xml:space="preserve"> </w:t>
      </w:r>
      <w:r>
        <w:t>oil</w:t>
      </w:r>
      <w:r>
        <w:rPr>
          <w:spacing w:val="-9"/>
        </w:rPr>
        <w:t xml:space="preserve"> </w:t>
      </w:r>
      <w:r>
        <w:t>and</w:t>
      </w:r>
      <w:r>
        <w:rPr>
          <w:spacing w:val="-10"/>
        </w:rPr>
        <w:t xml:space="preserve"> </w:t>
      </w:r>
      <w:r>
        <w:t>gas</w:t>
      </w:r>
      <w:r>
        <w:rPr>
          <w:spacing w:val="-10"/>
        </w:rPr>
        <w:t xml:space="preserve"> </w:t>
      </w:r>
      <w:r>
        <w:t>and RAF related skills in the north of Scotland.</w:t>
      </w:r>
    </w:p>
    <w:p w:rsidR="003F2028">
      <w:pPr>
        <w:pStyle w:val="BodyText"/>
        <w:spacing w:before="160"/>
        <w:ind w:left="120" w:right="118"/>
        <w:jc w:val="both"/>
      </w:pPr>
      <w:r>
        <w:t>The team</w:t>
      </w:r>
      <w:r>
        <w:rPr>
          <w:spacing w:val="-2"/>
        </w:rPr>
        <w:t xml:space="preserve"> </w:t>
      </w:r>
      <w:r>
        <w:t>is currently investigating</w:t>
      </w:r>
      <w:r>
        <w:rPr>
          <w:spacing w:val="-3"/>
        </w:rPr>
        <w:t xml:space="preserve"> </w:t>
      </w:r>
      <w:r>
        <w:t>the</w:t>
      </w:r>
      <w:r>
        <w:rPr>
          <w:spacing w:val="-1"/>
        </w:rPr>
        <w:t xml:space="preserve"> </w:t>
      </w:r>
      <w:r>
        <w:t>development of a</w:t>
      </w:r>
      <w:r>
        <w:rPr>
          <w:spacing w:val="-3"/>
        </w:rPr>
        <w:t xml:space="preserve"> </w:t>
      </w:r>
      <w:r>
        <w:t>10,000 square</w:t>
      </w:r>
      <w:r>
        <w:rPr>
          <w:spacing w:val="-2"/>
        </w:rPr>
        <w:t xml:space="preserve"> </w:t>
      </w:r>
      <w:r>
        <w:t>metre</w:t>
      </w:r>
      <w:r>
        <w:rPr>
          <w:spacing w:val="-3"/>
        </w:rPr>
        <w:t xml:space="preserve"> </w:t>
      </w:r>
      <w:r>
        <w:t>manufacturing facility which will support the ramp up of manufacturing further and is expected to create several hundred new jobs.</w:t>
      </w:r>
    </w:p>
    <w:p w:rsidR="003F2028">
      <w:pPr>
        <w:pStyle w:val="BodyText"/>
        <w:spacing w:before="160"/>
        <w:ind w:left="120" w:right="74"/>
      </w:pPr>
      <w:r>
        <w:t>Notably,</w:t>
      </w:r>
      <w:r>
        <w:rPr>
          <w:spacing w:val="-3"/>
        </w:rPr>
        <w:t xml:space="preserve"> </w:t>
      </w:r>
      <w:r>
        <w:t>Orbex</w:t>
      </w:r>
      <w:r>
        <w:rPr>
          <w:spacing w:val="-1"/>
        </w:rPr>
        <w:t xml:space="preserve"> </w:t>
      </w:r>
      <w:r>
        <w:t>is</w:t>
      </w:r>
      <w:r>
        <w:rPr>
          <w:spacing w:val="-1"/>
        </w:rPr>
        <w:t xml:space="preserve"> </w:t>
      </w:r>
      <w:r>
        <w:t>one</w:t>
      </w:r>
      <w:r>
        <w:rPr>
          <w:spacing w:val="-4"/>
        </w:rPr>
        <w:t xml:space="preserve"> </w:t>
      </w:r>
      <w:r>
        <w:t>of</w:t>
      </w:r>
      <w:r>
        <w:rPr>
          <w:spacing w:val="-3"/>
        </w:rPr>
        <w:t xml:space="preserve"> </w:t>
      </w:r>
      <w:r>
        <w:t>only</w:t>
      </w:r>
      <w:r>
        <w:rPr>
          <w:spacing w:val="-1"/>
        </w:rPr>
        <w:t xml:space="preserve"> </w:t>
      </w:r>
      <w:r>
        <w:t>five</w:t>
      </w:r>
      <w:r>
        <w:rPr>
          <w:spacing w:val="-2"/>
        </w:rPr>
        <w:t xml:space="preserve"> </w:t>
      </w:r>
      <w:r>
        <w:t>private</w:t>
      </w:r>
      <w:r>
        <w:rPr>
          <w:spacing w:val="-4"/>
        </w:rPr>
        <w:t xml:space="preserve"> </w:t>
      </w:r>
      <w:r>
        <w:t>companies</w:t>
      </w:r>
      <w:r>
        <w:rPr>
          <w:spacing w:val="-2"/>
        </w:rPr>
        <w:t xml:space="preserve"> </w:t>
      </w:r>
      <w:r>
        <w:t>in</w:t>
      </w:r>
      <w:r>
        <w:rPr>
          <w:spacing w:val="-2"/>
        </w:rPr>
        <w:t xml:space="preserve"> </w:t>
      </w:r>
      <w:r>
        <w:t>Europe, and</w:t>
      </w:r>
      <w:r>
        <w:rPr>
          <w:spacing w:val="-4"/>
        </w:rPr>
        <w:t xml:space="preserve"> </w:t>
      </w:r>
      <w:r>
        <w:t>the</w:t>
      </w:r>
      <w:r>
        <w:rPr>
          <w:spacing w:val="-4"/>
        </w:rPr>
        <w:t xml:space="preserve"> </w:t>
      </w:r>
      <w:r>
        <w:t>only</w:t>
      </w:r>
      <w:r>
        <w:rPr>
          <w:spacing w:val="-1"/>
        </w:rPr>
        <w:t xml:space="preserve"> </w:t>
      </w:r>
      <w:r>
        <w:t>British</w:t>
      </w:r>
      <w:r>
        <w:rPr>
          <w:spacing w:val="-4"/>
        </w:rPr>
        <w:t xml:space="preserve"> </w:t>
      </w:r>
      <w:r>
        <w:t>one,</w:t>
      </w:r>
      <w:r>
        <w:rPr>
          <w:spacing w:val="-3"/>
        </w:rPr>
        <w:t xml:space="preserve"> </w:t>
      </w:r>
      <w:r>
        <w:t>with a frame contract to launch European Space Agency (ESA) satellites. This strengthens the UK’s position in the European launch market, boosting exports and generating revenue that directly contributes to the Exchequer and the Scottish economy.</w:t>
      </w:r>
    </w:p>
    <w:p w:rsidR="003F2028">
      <w:pPr>
        <w:pStyle w:val="BodyText"/>
        <w:spacing w:before="162"/>
        <w:ind w:left="120"/>
      </w:pPr>
      <w:r>
        <w:t>Orbex</w:t>
      </w:r>
      <w:r>
        <w:rPr>
          <w:spacing w:val="-10"/>
        </w:rPr>
        <w:t xml:space="preserve"> </w:t>
      </w:r>
      <w:r>
        <w:t>is</w:t>
      </w:r>
      <w:r>
        <w:rPr>
          <w:spacing w:val="-4"/>
        </w:rPr>
        <w:t xml:space="preserve"> </w:t>
      </w:r>
      <w:r>
        <w:t>committed</w:t>
      </w:r>
      <w:r>
        <w:rPr>
          <w:spacing w:val="-7"/>
        </w:rPr>
        <w:t xml:space="preserve"> </w:t>
      </w:r>
      <w:r>
        <w:t>to</w:t>
      </w:r>
      <w:r>
        <w:rPr>
          <w:spacing w:val="-9"/>
        </w:rPr>
        <w:t xml:space="preserve"> </w:t>
      </w:r>
      <w:r>
        <w:t>further</w:t>
      </w:r>
      <w:r>
        <w:rPr>
          <w:spacing w:val="-4"/>
        </w:rPr>
        <w:t xml:space="preserve"> </w:t>
      </w:r>
      <w:r>
        <w:t>expanding</w:t>
      </w:r>
      <w:r>
        <w:rPr>
          <w:spacing w:val="-5"/>
        </w:rPr>
        <w:t xml:space="preserve"> </w:t>
      </w:r>
      <w:r>
        <w:t>its</w:t>
      </w:r>
      <w:r>
        <w:rPr>
          <w:spacing w:val="-5"/>
        </w:rPr>
        <w:t xml:space="preserve"> </w:t>
      </w:r>
      <w:r>
        <w:t>capabilities</w:t>
      </w:r>
      <w:r>
        <w:rPr>
          <w:spacing w:val="-5"/>
        </w:rPr>
        <w:t xml:space="preserve"> </w:t>
      </w:r>
      <w:r>
        <w:t>and</w:t>
      </w:r>
      <w:r>
        <w:rPr>
          <w:spacing w:val="-5"/>
        </w:rPr>
        <w:t xml:space="preserve"> </w:t>
      </w:r>
      <w:r>
        <w:t>competing</w:t>
      </w:r>
      <w:r>
        <w:rPr>
          <w:spacing w:val="-5"/>
        </w:rPr>
        <w:t xml:space="preserve"> </w:t>
      </w:r>
      <w:r>
        <w:t>on</w:t>
      </w:r>
      <w:r>
        <w:rPr>
          <w:spacing w:val="-7"/>
        </w:rPr>
        <w:t xml:space="preserve"> </w:t>
      </w:r>
      <w:r>
        <w:t>a</w:t>
      </w:r>
      <w:r>
        <w:rPr>
          <w:spacing w:val="-5"/>
        </w:rPr>
        <w:t xml:space="preserve"> </w:t>
      </w:r>
      <w:r>
        <w:t>global</w:t>
      </w:r>
      <w:r>
        <w:rPr>
          <w:spacing w:val="-6"/>
        </w:rPr>
        <w:t xml:space="preserve"> </w:t>
      </w:r>
      <w:r>
        <w:rPr>
          <w:spacing w:val="-2"/>
        </w:rPr>
        <w:t>scale.</w:t>
      </w:r>
    </w:p>
    <w:p w:rsidR="003F2028">
      <w:pPr>
        <w:pStyle w:val="Heading1"/>
        <w:numPr>
          <w:ilvl w:val="0"/>
          <w:numId w:val="3"/>
        </w:numPr>
        <w:tabs>
          <w:tab w:val="left" w:pos="838"/>
        </w:tabs>
        <w:ind w:left="838" w:hanging="358"/>
      </w:pPr>
      <w:r>
        <w:t>Prime:</w:t>
      </w:r>
      <w:r>
        <w:rPr>
          <w:spacing w:val="-4"/>
        </w:rPr>
        <w:t xml:space="preserve"> </w:t>
      </w:r>
      <w:r>
        <w:t>Laying</w:t>
      </w:r>
      <w:r>
        <w:rPr>
          <w:spacing w:val="-7"/>
        </w:rPr>
        <w:t xml:space="preserve"> </w:t>
      </w:r>
      <w:r>
        <w:t>the</w:t>
      </w:r>
      <w:r>
        <w:rPr>
          <w:spacing w:val="-4"/>
        </w:rPr>
        <w:t xml:space="preserve"> </w:t>
      </w:r>
      <w:r>
        <w:t>Foundation</w:t>
      </w:r>
      <w:r>
        <w:rPr>
          <w:spacing w:val="-6"/>
        </w:rPr>
        <w:t xml:space="preserve"> </w:t>
      </w:r>
      <w:r>
        <w:t>for</w:t>
      </w:r>
      <w:r>
        <w:rPr>
          <w:spacing w:val="-6"/>
        </w:rPr>
        <w:t xml:space="preserve"> </w:t>
      </w:r>
      <w:r>
        <w:t>UK-Based</w:t>
      </w:r>
      <w:r>
        <w:rPr>
          <w:spacing w:val="-4"/>
        </w:rPr>
        <w:t xml:space="preserve"> </w:t>
      </w:r>
      <w:r>
        <w:rPr>
          <w:spacing w:val="-2"/>
        </w:rPr>
        <w:t>Launches</w:t>
      </w:r>
    </w:p>
    <w:p w:rsidR="003F2028">
      <w:pPr>
        <w:pStyle w:val="ListParagraph"/>
        <w:numPr>
          <w:ilvl w:val="1"/>
          <w:numId w:val="3"/>
        </w:numPr>
        <w:tabs>
          <w:tab w:val="left" w:pos="1560"/>
        </w:tabs>
        <w:spacing w:before="169" w:line="228" w:lineRule="auto"/>
        <w:ind w:right="116"/>
        <w:jc w:val="left"/>
      </w:pPr>
      <w:r>
        <w:t>Prime</w:t>
      </w:r>
      <w:r>
        <w:rPr>
          <w:spacing w:val="29"/>
        </w:rPr>
        <w:t xml:space="preserve"> </w:t>
      </w:r>
      <w:r>
        <w:t>is</w:t>
      </w:r>
      <w:r>
        <w:rPr>
          <w:spacing w:val="30"/>
        </w:rPr>
        <w:t xml:space="preserve"> </w:t>
      </w:r>
      <w:r>
        <w:t>Orbex’s</w:t>
      </w:r>
      <w:r>
        <w:rPr>
          <w:spacing w:val="30"/>
        </w:rPr>
        <w:t xml:space="preserve"> </w:t>
      </w:r>
      <w:r>
        <w:t>micro-launch</w:t>
      </w:r>
      <w:r>
        <w:rPr>
          <w:spacing w:val="30"/>
        </w:rPr>
        <w:t xml:space="preserve"> </w:t>
      </w:r>
      <w:r>
        <w:t>vehicle,</w:t>
      </w:r>
      <w:r>
        <w:rPr>
          <w:spacing w:val="30"/>
        </w:rPr>
        <w:t xml:space="preserve"> </w:t>
      </w:r>
      <w:r>
        <w:t>capable of</w:t>
      </w:r>
      <w:r>
        <w:rPr>
          <w:spacing w:val="30"/>
        </w:rPr>
        <w:t xml:space="preserve"> </w:t>
      </w:r>
      <w:r>
        <w:t>carrying</w:t>
      </w:r>
      <w:r>
        <w:rPr>
          <w:spacing w:val="30"/>
        </w:rPr>
        <w:t xml:space="preserve"> </w:t>
      </w:r>
      <w:r>
        <w:t>a</w:t>
      </w:r>
      <w:r>
        <w:rPr>
          <w:spacing w:val="29"/>
        </w:rPr>
        <w:t xml:space="preserve"> </w:t>
      </w:r>
      <w:r>
        <w:t>payload</w:t>
      </w:r>
      <w:r>
        <w:rPr>
          <w:spacing w:val="29"/>
        </w:rPr>
        <w:t xml:space="preserve"> </w:t>
      </w:r>
      <w:r>
        <w:t>of</w:t>
      </w:r>
      <w:r>
        <w:rPr>
          <w:spacing w:val="30"/>
        </w:rPr>
        <w:t xml:space="preserve"> </w:t>
      </w:r>
      <w:r>
        <w:t>up 180kg to Low Earth Orbit (LEO).</w:t>
      </w:r>
    </w:p>
    <w:p w:rsidR="003F2028">
      <w:pPr>
        <w:pStyle w:val="ListParagraph"/>
        <w:numPr>
          <w:ilvl w:val="1"/>
          <w:numId w:val="3"/>
        </w:numPr>
        <w:tabs>
          <w:tab w:val="left" w:pos="1560"/>
        </w:tabs>
        <w:spacing w:before="171" w:line="228" w:lineRule="auto"/>
        <w:ind w:right="115"/>
        <w:jc w:val="left"/>
      </w:pPr>
      <w:r>
        <w:t>First</w:t>
      </w:r>
      <w:r>
        <w:rPr>
          <w:spacing w:val="-8"/>
        </w:rPr>
        <w:t xml:space="preserve"> </w:t>
      </w:r>
      <w:r>
        <w:t>commercial</w:t>
      </w:r>
      <w:r>
        <w:rPr>
          <w:spacing w:val="-7"/>
        </w:rPr>
        <w:t xml:space="preserve"> </w:t>
      </w:r>
      <w:r>
        <w:t>launch</w:t>
      </w:r>
      <w:r>
        <w:rPr>
          <w:spacing w:val="-10"/>
        </w:rPr>
        <w:t xml:space="preserve"> </w:t>
      </w:r>
      <w:r>
        <w:t>scheduled</w:t>
      </w:r>
      <w:r>
        <w:rPr>
          <w:spacing w:val="-8"/>
        </w:rPr>
        <w:t xml:space="preserve"> </w:t>
      </w:r>
      <w:r>
        <w:t>for</w:t>
      </w:r>
      <w:r>
        <w:rPr>
          <w:spacing w:val="-6"/>
        </w:rPr>
        <w:t xml:space="preserve"> </w:t>
      </w:r>
      <w:r>
        <w:t>2026,</w:t>
      </w:r>
      <w:r>
        <w:rPr>
          <w:spacing w:val="-8"/>
        </w:rPr>
        <w:t xml:space="preserve"> </w:t>
      </w:r>
      <w:r>
        <w:t>marking</w:t>
      </w:r>
      <w:r>
        <w:rPr>
          <w:spacing w:val="-8"/>
        </w:rPr>
        <w:t xml:space="preserve"> </w:t>
      </w:r>
      <w:r>
        <w:t>a</w:t>
      </w:r>
      <w:r>
        <w:rPr>
          <w:spacing w:val="-10"/>
        </w:rPr>
        <w:t xml:space="preserve"> </w:t>
      </w:r>
      <w:r>
        <w:t>major</w:t>
      </w:r>
      <w:r>
        <w:rPr>
          <w:spacing w:val="-9"/>
        </w:rPr>
        <w:t xml:space="preserve"> </w:t>
      </w:r>
      <w:r>
        <w:t>milestone</w:t>
      </w:r>
      <w:r>
        <w:rPr>
          <w:spacing w:val="-10"/>
        </w:rPr>
        <w:t xml:space="preserve"> </w:t>
      </w:r>
      <w:r>
        <w:t>for</w:t>
      </w:r>
      <w:r>
        <w:rPr>
          <w:spacing w:val="-9"/>
        </w:rPr>
        <w:t xml:space="preserve"> </w:t>
      </w:r>
      <w:r>
        <w:t>the UK’s commercial space sector.</w:t>
      </w:r>
    </w:p>
    <w:p w:rsidR="003F2028">
      <w:pPr>
        <w:spacing w:line="228" w:lineRule="auto"/>
        <w:sectPr>
          <w:headerReference w:type="default" r:id="rId4"/>
          <w:footerReference w:type="default" r:id="rId5"/>
          <w:pgSz w:w="11910" w:h="16840"/>
          <w:pgMar w:top="1920" w:right="1320" w:bottom="900" w:left="1320" w:header="776" w:footer="707" w:gutter="0"/>
          <w:cols w:space="720"/>
        </w:sectPr>
      </w:pPr>
    </w:p>
    <w:p w:rsidR="003F2028">
      <w:pPr>
        <w:pStyle w:val="ListParagraph"/>
        <w:numPr>
          <w:ilvl w:val="1"/>
          <w:numId w:val="3"/>
        </w:numPr>
        <w:tabs>
          <w:tab w:val="left" w:pos="1560"/>
        </w:tabs>
        <w:spacing w:before="121" w:line="228" w:lineRule="auto"/>
        <w:ind w:right="114"/>
      </w:pPr>
      <w:r>
        <w:t>Establishing</w:t>
      </w:r>
      <w:r>
        <w:rPr>
          <w:spacing w:val="-8"/>
        </w:rPr>
        <w:t xml:space="preserve"> </w:t>
      </w:r>
      <w:r>
        <w:t>a</w:t>
      </w:r>
      <w:r>
        <w:rPr>
          <w:spacing w:val="-7"/>
        </w:rPr>
        <w:t xml:space="preserve"> </w:t>
      </w:r>
      <w:r>
        <w:t>dedicated</w:t>
      </w:r>
      <w:r>
        <w:rPr>
          <w:spacing w:val="-12"/>
        </w:rPr>
        <w:t xml:space="preserve"> </w:t>
      </w:r>
      <w:r>
        <w:t>manufacturing</w:t>
      </w:r>
      <w:r>
        <w:rPr>
          <w:spacing w:val="-10"/>
        </w:rPr>
        <w:t xml:space="preserve"> </w:t>
      </w:r>
      <w:r>
        <w:t>facility</w:t>
      </w:r>
      <w:r>
        <w:rPr>
          <w:spacing w:val="-9"/>
        </w:rPr>
        <w:t xml:space="preserve"> </w:t>
      </w:r>
      <w:r>
        <w:t>to</w:t>
      </w:r>
      <w:r>
        <w:rPr>
          <w:spacing w:val="-12"/>
        </w:rPr>
        <w:t xml:space="preserve"> </w:t>
      </w:r>
      <w:r>
        <w:t>produce</w:t>
      </w:r>
      <w:r>
        <w:rPr>
          <w:spacing w:val="-8"/>
        </w:rPr>
        <w:t xml:space="preserve"> </w:t>
      </w:r>
      <w:r>
        <w:t>12-24</w:t>
      </w:r>
      <w:r>
        <w:rPr>
          <w:spacing w:val="-8"/>
        </w:rPr>
        <w:t xml:space="preserve"> </w:t>
      </w:r>
      <w:r>
        <w:t>launchers</w:t>
      </w:r>
      <w:r>
        <w:rPr>
          <w:spacing w:val="-9"/>
        </w:rPr>
        <w:t xml:space="preserve"> </w:t>
      </w:r>
      <w:r>
        <w:t>per year—a first for the UK and Scotland, and one of only a handful worldwide.</w:t>
      </w:r>
    </w:p>
    <w:p w:rsidR="003F2028">
      <w:pPr>
        <w:pStyle w:val="ListParagraph"/>
        <w:numPr>
          <w:ilvl w:val="1"/>
          <w:numId w:val="3"/>
        </w:numPr>
        <w:tabs>
          <w:tab w:val="left" w:pos="1560"/>
        </w:tabs>
        <w:spacing w:before="173" w:line="228" w:lineRule="auto"/>
        <w:ind w:right="115"/>
      </w:pPr>
      <w:r>
        <w:t>Additional R&amp;D investment to increase Prime’s payload capacity to 300kg to LEO, strengthening its commercial competitiveness.</w:t>
      </w:r>
    </w:p>
    <w:p w:rsidR="003F2028">
      <w:pPr>
        <w:pStyle w:val="ListParagraph"/>
        <w:numPr>
          <w:ilvl w:val="0"/>
          <w:numId w:val="3"/>
        </w:numPr>
        <w:tabs>
          <w:tab w:val="left" w:pos="838"/>
          <w:tab w:val="left" w:pos="840"/>
        </w:tabs>
        <w:spacing w:before="161"/>
        <w:ind w:right="116"/>
        <w:jc w:val="both"/>
      </w:pPr>
      <w:r>
        <w:rPr>
          <w:b/>
        </w:rPr>
        <w:t xml:space="preserve">Proxima: Unlocking the Next Stage of Growth. </w:t>
      </w:r>
      <w:r>
        <w:t>Orbex’s</w:t>
      </w:r>
      <w:r>
        <w:t xml:space="preserve"> long-term business plan </w:t>
      </w:r>
      <w:r>
        <w:t>centres</w:t>
      </w:r>
      <w:r>
        <w:t xml:space="preserve"> on Proxima, a larger, next generation launch vehicle that will enable greater affordability, capacity, and mission flexibility.</w:t>
      </w:r>
    </w:p>
    <w:p w:rsidR="003F2028">
      <w:pPr>
        <w:pStyle w:val="ListParagraph"/>
        <w:numPr>
          <w:ilvl w:val="1"/>
          <w:numId w:val="3"/>
        </w:numPr>
        <w:tabs>
          <w:tab w:val="left" w:pos="1560"/>
        </w:tabs>
        <w:spacing w:before="170" w:line="228" w:lineRule="auto"/>
        <w:ind w:right="115"/>
      </w:pPr>
      <w:r>
        <w:t>Lowering launch costs to compete with SpaceX, while expanding access to LEO, GEO, and lunar missions.</w:t>
      </w:r>
    </w:p>
    <w:p w:rsidR="003F2028">
      <w:pPr>
        <w:pStyle w:val="ListParagraph"/>
        <w:numPr>
          <w:ilvl w:val="1"/>
          <w:numId w:val="3"/>
        </w:numPr>
        <w:tabs>
          <w:tab w:val="left" w:pos="1560"/>
        </w:tabs>
        <w:spacing w:before="173" w:line="228" w:lineRule="auto"/>
        <w:ind w:right="120"/>
      </w:pPr>
      <w:r>
        <w:t>Addressing the global shortage of launch options, a growing bottleneck in the space sector.</w:t>
      </w:r>
    </w:p>
    <w:p w:rsidR="003F2028">
      <w:pPr>
        <w:pStyle w:val="ListParagraph"/>
        <w:numPr>
          <w:ilvl w:val="1"/>
          <w:numId w:val="3"/>
        </w:numPr>
        <w:tabs>
          <w:tab w:val="left" w:pos="1560"/>
        </w:tabs>
        <w:spacing w:before="168" w:line="232" w:lineRule="auto"/>
        <w:ind w:right="115"/>
      </w:pPr>
      <w:r>
        <w:t>Filling</w:t>
      </w:r>
      <w:r>
        <w:rPr>
          <w:spacing w:val="-14"/>
        </w:rPr>
        <w:t xml:space="preserve"> </w:t>
      </w:r>
      <w:r>
        <w:t>the</w:t>
      </w:r>
      <w:r>
        <w:rPr>
          <w:spacing w:val="-14"/>
        </w:rPr>
        <w:t xml:space="preserve"> </w:t>
      </w:r>
      <w:r>
        <w:t>gap</w:t>
      </w:r>
      <w:r>
        <w:rPr>
          <w:spacing w:val="-14"/>
        </w:rPr>
        <w:t xml:space="preserve"> </w:t>
      </w:r>
      <w:r>
        <w:t>left</w:t>
      </w:r>
      <w:r>
        <w:rPr>
          <w:spacing w:val="-12"/>
        </w:rPr>
        <w:t xml:space="preserve"> </w:t>
      </w:r>
      <w:r>
        <w:t>by</w:t>
      </w:r>
      <w:r>
        <w:rPr>
          <w:spacing w:val="-13"/>
        </w:rPr>
        <w:t xml:space="preserve"> </w:t>
      </w:r>
      <w:r>
        <w:t>the</w:t>
      </w:r>
      <w:r>
        <w:rPr>
          <w:spacing w:val="-16"/>
        </w:rPr>
        <w:t xml:space="preserve"> </w:t>
      </w:r>
      <w:r>
        <w:t>Russian</w:t>
      </w:r>
      <w:r>
        <w:rPr>
          <w:spacing w:val="-13"/>
        </w:rPr>
        <w:t xml:space="preserve"> </w:t>
      </w:r>
      <w:r>
        <w:t>launch</w:t>
      </w:r>
      <w:r>
        <w:rPr>
          <w:spacing w:val="-14"/>
        </w:rPr>
        <w:t xml:space="preserve"> </w:t>
      </w:r>
      <w:r>
        <w:t>vehicle,</w:t>
      </w:r>
      <w:r>
        <w:rPr>
          <w:spacing w:val="-13"/>
        </w:rPr>
        <w:t xml:space="preserve"> </w:t>
      </w:r>
      <w:r>
        <w:t>Soyuz,</w:t>
      </w:r>
      <w:r>
        <w:rPr>
          <w:spacing w:val="-12"/>
        </w:rPr>
        <w:t xml:space="preserve"> </w:t>
      </w:r>
      <w:r>
        <w:t>the</w:t>
      </w:r>
      <w:r>
        <w:rPr>
          <w:spacing w:val="-16"/>
        </w:rPr>
        <w:t xml:space="preserve"> </w:t>
      </w:r>
      <w:r>
        <w:t>second</w:t>
      </w:r>
      <w:r>
        <w:rPr>
          <w:spacing w:val="-15"/>
        </w:rPr>
        <w:t xml:space="preserve"> </w:t>
      </w:r>
      <w:r>
        <w:t>most-used launch</w:t>
      </w:r>
      <w:r>
        <w:rPr>
          <w:spacing w:val="-8"/>
        </w:rPr>
        <w:t xml:space="preserve"> </w:t>
      </w:r>
      <w:r>
        <w:t>vehicle</w:t>
      </w:r>
      <w:r>
        <w:rPr>
          <w:spacing w:val="-7"/>
        </w:rPr>
        <w:t xml:space="preserve"> </w:t>
      </w:r>
      <w:r>
        <w:t>in</w:t>
      </w:r>
      <w:r>
        <w:rPr>
          <w:spacing w:val="-10"/>
        </w:rPr>
        <w:t xml:space="preserve"> </w:t>
      </w:r>
      <w:r>
        <w:t>history,</w:t>
      </w:r>
      <w:r>
        <w:rPr>
          <w:spacing w:val="-9"/>
        </w:rPr>
        <w:t xml:space="preserve"> </w:t>
      </w:r>
      <w:r>
        <w:t>which</w:t>
      </w:r>
      <w:r>
        <w:rPr>
          <w:spacing w:val="-7"/>
        </w:rPr>
        <w:t xml:space="preserve"> </w:t>
      </w:r>
      <w:r>
        <w:t>launched</w:t>
      </w:r>
      <w:r>
        <w:rPr>
          <w:spacing w:val="-8"/>
        </w:rPr>
        <w:t xml:space="preserve"> </w:t>
      </w:r>
      <w:r>
        <w:t>52%</w:t>
      </w:r>
      <w:r>
        <w:rPr>
          <w:spacing w:val="-9"/>
        </w:rPr>
        <w:t xml:space="preserve"> </w:t>
      </w:r>
      <w:r>
        <w:t>of</w:t>
      </w:r>
      <w:r>
        <w:rPr>
          <w:spacing w:val="-9"/>
        </w:rPr>
        <w:t xml:space="preserve"> </w:t>
      </w:r>
      <w:r>
        <w:t>European</w:t>
      </w:r>
      <w:r>
        <w:rPr>
          <w:spacing w:val="-10"/>
        </w:rPr>
        <w:t xml:space="preserve"> </w:t>
      </w:r>
      <w:r>
        <w:t>satellites</w:t>
      </w:r>
      <w:r>
        <w:rPr>
          <w:spacing w:val="-10"/>
        </w:rPr>
        <w:t xml:space="preserve"> </w:t>
      </w:r>
      <w:r>
        <w:t>in</w:t>
      </w:r>
      <w:r>
        <w:rPr>
          <w:spacing w:val="-10"/>
        </w:rPr>
        <w:t xml:space="preserve"> </w:t>
      </w:r>
      <w:r>
        <w:t>the</w:t>
      </w:r>
      <w:r>
        <w:rPr>
          <w:spacing w:val="-10"/>
        </w:rPr>
        <w:t xml:space="preserve"> </w:t>
      </w:r>
      <w:r>
        <w:t xml:space="preserve">last </w:t>
      </w:r>
      <w:r>
        <w:rPr>
          <w:spacing w:val="-2"/>
        </w:rPr>
        <w:t>decade.</w:t>
      </w:r>
    </w:p>
    <w:p w:rsidR="003F2028">
      <w:pPr>
        <w:pStyle w:val="ListParagraph"/>
        <w:numPr>
          <w:ilvl w:val="1"/>
          <w:numId w:val="3"/>
        </w:numPr>
        <w:tabs>
          <w:tab w:val="left" w:pos="1560"/>
        </w:tabs>
        <w:spacing w:before="169" w:line="232" w:lineRule="auto"/>
        <w:ind w:right="119"/>
      </w:pPr>
      <w:r>
        <w:t xml:space="preserve">European Launcher Challenge (ELC) funding is crucial for Proxima’s development, enabling </w:t>
      </w:r>
      <w:r>
        <w:t>Orbex</w:t>
      </w:r>
      <w:r>
        <w:t xml:space="preserve"> to expand its capabilities and enhance UK </w:t>
      </w:r>
      <w:r>
        <w:rPr>
          <w:spacing w:val="-2"/>
        </w:rPr>
        <w:t>competitiveness.</w:t>
      </w:r>
    </w:p>
    <w:p w:rsidR="003F2028">
      <w:pPr>
        <w:pStyle w:val="Heading2"/>
        <w:spacing w:before="164"/>
      </w:pPr>
      <w:r>
        <w:t>A</w:t>
      </w:r>
      <w:r>
        <w:rPr>
          <w:spacing w:val="-7"/>
        </w:rPr>
        <w:t xml:space="preserve"> </w:t>
      </w:r>
      <w:r>
        <w:t>New</w:t>
      </w:r>
      <w:r>
        <w:rPr>
          <w:spacing w:val="-3"/>
        </w:rPr>
        <w:t xml:space="preserve"> </w:t>
      </w:r>
      <w:r>
        <w:t>Chapter</w:t>
      </w:r>
      <w:r>
        <w:rPr>
          <w:spacing w:val="-6"/>
        </w:rPr>
        <w:t xml:space="preserve"> </w:t>
      </w:r>
      <w:r>
        <w:t>for</w:t>
      </w:r>
      <w:r>
        <w:rPr>
          <w:spacing w:val="-7"/>
        </w:rPr>
        <w:t xml:space="preserve"> </w:t>
      </w:r>
      <w:r>
        <w:t>Orbex</w:t>
      </w:r>
      <w:r>
        <w:t>:</w:t>
      </w:r>
      <w:r>
        <w:rPr>
          <w:spacing w:val="-5"/>
        </w:rPr>
        <w:t xml:space="preserve"> </w:t>
      </w:r>
      <w:r>
        <w:t>Growth,</w:t>
      </w:r>
      <w:r>
        <w:rPr>
          <w:spacing w:val="-5"/>
        </w:rPr>
        <w:t xml:space="preserve"> </w:t>
      </w:r>
      <w:r>
        <w:t>Innovation,</w:t>
      </w:r>
      <w:r>
        <w:rPr>
          <w:spacing w:val="-5"/>
        </w:rPr>
        <w:t xml:space="preserve"> </w:t>
      </w:r>
      <w:r>
        <w:t>and</w:t>
      </w:r>
      <w:r>
        <w:rPr>
          <w:spacing w:val="-6"/>
        </w:rPr>
        <w:t xml:space="preserve"> </w:t>
      </w:r>
      <w:r>
        <w:t>Global</w:t>
      </w:r>
      <w:r>
        <w:rPr>
          <w:spacing w:val="-2"/>
        </w:rPr>
        <w:t xml:space="preserve"> Competitiveness</w:t>
      </w:r>
    </w:p>
    <w:p w:rsidR="003F2028">
      <w:pPr>
        <w:pStyle w:val="BodyText"/>
        <w:spacing w:before="27"/>
        <w:rPr>
          <w:b/>
          <w:i/>
        </w:rPr>
      </w:pPr>
    </w:p>
    <w:p w:rsidR="003F2028">
      <w:pPr>
        <w:pStyle w:val="BodyText"/>
        <w:ind w:left="120" w:right="113"/>
        <w:jc w:val="both"/>
      </w:pPr>
      <w:r>
        <w:t>Orbex</w:t>
      </w:r>
      <w:r>
        <w:t xml:space="preserve"> is entering an exciting new phase, poised to scale up operations and solidify the UK’s position as a leading player in the global space industry. Our partnership with the UK Government, which could not have been achieved without DSIT’s support, has been pivotal in advancing </w:t>
      </w:r>
      <w:r>
        <w:t>Orbex</w:t>
      </w:r>
      <w:r>
        <w:t xml:space="preserve"> towards the launch phase of Prime. With DSIT now an investor, there is an opportunity to strengthen this relationship and establish </w:t>
      </w:r>
      <w:r>
        <w:t>Orbex</w:t>
      </w:r>
      <w:r>
        <w:t xml:space="preserve"> as a strategic partner for the wider UK Government.</w:t>
      </w:r>
    </w:p>
    <w:p w:rsidR="003F2028">
      <w:pPr>
        <w:pStyle w:val="BodyText"/>
        <w:spacing w:before="27"/>
      </w:pPr>
    </w:p>
    <w:p w:rsidR="003F2028">
      <w:pPr>
        <w:pStyle w:val="BodyText"/>
        <w:ind w:left="120" w:right="112"/>
        <w:jc w:val="both"/>
      </w:pPr>
      <w:r>
        <w:t>Since the formation of the company, we have collaborated closely with the Scottish Government</w:t>
      </w:r>
      <w:r>
        <w:rPr>
          <w:spacing w:val="-3"/>
        </w:rPr>
        <w:t xml:space="preserve"> </w:t>
      </w:r>
      <w:r>
        <w:t>and</w:t>
      </w:r>
      <w:r>
        <w:rPr>
          <w:spacing w:val="-6"/>
        </w:rPr>
        <w:t xml:space="preserve"> </w:t>
      </w:r>
      <w:r>
        <w:t>bodies</w:t>
      </w:r>
      <w:r>
        <w:rPr>
          <w:spacing w:val="-6"/>
        </w:rPr>
        <w:t xml:space="preserve"> </w:t>
      </w:r>
      <w:r>
        <w:t>such</w:t>
      </w:r>
      <w:r>
        <w:rPr>
          <w:spacing w:val="-4"/>
        </w:rPr>
        <w:t xml:space="preserve"> </w:t>
      </w:r>
      <w:r>
        <w:t>as</w:t>
      </w:r>
      <w:r>
        <w:rPr>
          <w:spacing w:val="-6"/>
        </w:rPr>
        <w:t xml:space="preserve"> </w:t>
      </w:r>
      <w:r>
        <w:t>Highlands</w:t>
      </w:r>
      <w:r>
        <w:rPr>
          <w:spacing w:val="-4"/>
        </w:rPr>
        <w:t xml:space="preserve"> </w:t>
      </w:r>
      <w:r>
        <w:t>and</w:t>
      </w:r>
      <w:r>
        <w:rPr>
          <w:spacing w:val="-6"/>
        </w:rPr>
        <w:t xml:space="preserve"> </w:t>
      </w:r>
      <w:r>
        <w:t>Islands</w:t>
      </w:r>
      <w:r>
        <w:rPr>
          <w:spacing w:val="-4"/>
        </w:rPr>
        <w:t xml:space="preserve"> </w:t>
      </w:r>
      <w:r>
        <w:t>Enterprise</w:t>
      </w:r>
      <w:r>
        <w:rPr>
          <w:spacing w:val="-4"/>
        </w:rPr>
        <w:t xml:space="preserve"> </w:t>
      </w:r>
      <w:r>
        <w:t>in</w:t>
      </w:r>
      <w:r>
        <w:rPr>
          <w:spacing w:val="-6"/>
        </w:rPr>
        <w:t xml:space="preserve"> </w:t>
      </w:r>
      <w:r>
        <w:t>terms</w:t>
      </w:r>
      <w:r>
        <w:rPr>
          <w:spacing w:val="-6"/>
        </w:rPr>
        <w:t xml:space="preserve"> </w:t>
      </w:r>
      <w:r>
        <w:t>of</w:t>
      </w:r>
      <w:r>
        <w:rPr>
          <w:spacing w:val="-5"/>
        </w:rPr>
        <w:t xml:space="preserve"> </w:t>
      </w:r>
      <w:r>
        <w:t>funding</w:t>
      </w:r>
      <w:r>
        <w:rPr>
          <w:spacing w:val="-3"/>
        </w:rPr>
        <w:t xml:space="preserve"> </w:t>
      </w:r>
      <w:r>
        <w:t>as</w:t>
      </w:r>
      <w:r>
        <w:rPr>
          <w:spacing w:val="-4"/>
        </w:rPr>
        <w:t xml:space="preserve"> </w:t>
      </w:r>
      <w:r>
        <w:t>well as other aspects of the business including skills, housing and supply chain. They have explicitly supported the development of the space industry in Scotland and gained from the economic benefit that has been delivered. Our new relationship with the UK Government will allow us to deliver more growth and greater benefit to Scotland and UK.</w:t>
      </w:r>
    </w:p>
    <w:p w:rsidR="003F2028">
      <w:pPr>
        <w:pStyle w:val="BodyText"/>
        <w:spacing w:before="27"/>
      </w:pPr>
    </w:p>
    <w:p w:rsidR="003F2028">
      <w:pPr>
        <w:pStyle w:val="BodyText"/>
        <w:ind w:left="120" w:right="113"/>
        <w:jc w:val="both"/>
      </w:pPr>
      <w:r>
        <w:t>In order to</w:t>
      </w:r>
      <w:r>
        <w:t xml:space="preserve"> </w:t>
      </w:r>
      <w:r>
        <w:t>realise</w:t>
      </w:r>
      <w:r>
        <w:t xml:space="preserve"> greater levels of growth and the associated benefits it is essential that the UK and Scottish Governments </w:t>
      </w:r>
      <w:r>
        <w:t>recognise</w:t>
      </w:r>
      <w:r>
        <w:t xml:space="preserve"> the potential </w:t>
      </w:r>
      <w:r>
        <w:t>Orbex</w:t>
      </w:r>
      <w:r>
        <w:t xml:space="preserve"> can bring and provide us with the additional supported needed.</w:t>
      </w:r>
      <w:r>
        <w:rPr>
          <w:spacing w:val="40"/>
        </w:rPr>
        <w:t xml:space="preserve"> </w:t>
      </w:r>
      <w:r>
        <w:t>This includes supporting our bid for the ELC through the contribution</w:t>
      </w:r>
      <w:r>
        <w:rPr>
          <w:spacing w:val="-11"/>
        </w:rPr>
        <w:t xml:space="preserve"> </w:t>
      </w:r>
      <w:r>
        <w:t>of</w:t>
      </w:r>
      <w:r>
        <w:rPr>
          <w:spacing w:val="-11"/>
        </w:rPr>
        <w:t xml:space="preserve"> </w:t>
      </w:r>
      <w:r>
        <w:t>monies</w:t>
      </w:r>
      <w:r>
        <w:rPr>
          <w:spacing w:val="-12"/>
        </w:rPr>
        <w:t xml:space="preserve"> </w:t>
      </w:r>
      <w:r>
        <w:t>to</w:t>
      </w:r>
      <w:r>
        <w:rPr>
          <w:spacing w:val="-13"/>
        </w:rPr>
        <w:t xml:space="preserve"> </w:t>
      </w:r>
      <w:r>
        <w:t>the</w:t>
      </w:r>
      <w:r>
        <w:rPr>
          <w:spacing w:val="-11"/>
        </w:rPr>
        <w:t xml:space="preserve"> </w:t>
      </w:r>
      <w:r>
        <w:t>programme</w:t>
      </w:r>
      <w:r>
        <w:rPr>
          <w:spacing w:val="-13"/>
        </w:rPr>
        <w:t xml:space="preserve"> </w:t>
      </w:r>
      <w:r>
        <w:t>via</w:t>
      </w:r>
      <w:r>
        <w:rPr>
          <w:spacing w:val="-10"/>
        </w:rPr>
        <w:t xml:space="preserve"> </w:t>
      </w:r>
      <w:r>
        <w:t>ESA.</w:t>
      </w:r>
      <w:r>
        <w:rPr>
          <w:spacing w:val="40"/>
        </w:rPr>
        <w:t xml:space="preserve"> </w:t>
      </w:r>
      <w:r>
        <w:t>This</w:t>
      </w:r>
      <w:r>
        <w:rPr>
          <w:spacing w:val="-10"/>
        </w:rPr>
        <w:t xml:space="preserve"> </w:t>
      </w:r>
      <w:r>
        <w:t>funding</w:t>
      </w:r>
      <w:r>
        <w:rPr>
          <w:spacing w:val="-11"/>
        </w:rPr>
        <w:t xml:space="preserve"> </w:t>
      </w:r>
      <w:r>
        <w:t>will</w:t>
      </w:r>
      <w:r>
        <w:rPr>
          <w:spacing w:val="-11"/>
        </w:rPr>
        <w:t xml:space="preserve"> </w:t>
      </w:r>
      <w:r>
        <w:t>realise</w:t>
      </w:r>
      <w:r>
        <w:rPr>
          <w:spacing w:val="-10"/>
        </w:rPr>
        <w:t xml:space="preserve"> </w:t>
      </w:r>
      <w:r>
        <w:t>the</w:t>
      </w:r>
      <w:r>
        <w:rPr>
          <w:spacing w:val="-11"/>
        </w:rPr>
        <w:t xml:space="preserve"> </w:t>
      </w:r>
      <w:r>
        <w:t>creation</w:t>
      </w:r>
      <w:r>
        <w:rPr>
          <w:spacing w:val="-11"/>
        </w:rPr>
        <w:t xml:space="preserve"> </w:t>
      </w:r>
      <w:r>
        <w:t>of</w:t>
      </w:r>
      <w:r>
        <w:rPr>
          <w:spacing w:val="-12"/>
        </w:rPr>
        <w:t xml:space="preserve"> </w:t>
      </w:r>
      <w:r>
        <w:t xml:space="preserve">jobs within </w:t>
      </w:r>
      <w:r>
        <w:t>Orbex</w:t>
      </w:r>
      <w:r>
        <w:t>, grow the supply chain and deliver stronger and enhanced sovereign launch capability.</w:t>
      </w:r>
      <w:r>
        <w:rPr>
          <w:spacing w:val="40"/>
        </w:rPr>
        <w:t xml:space="preserve"> </w:t>
      </w:r>
      <w:r>
        <w:t xml:space="preserve">This capability will provide the Government through </w:t>
      </w:r>
      <w:r>
        <w:t>the MOD and its other departments with opportunities for launch, stimulating the domestic space sector.</w:t>
      </w:r>
    </w:p>
    <w:p w:rsidR="003F2028">
      <w:pPr>
        <w:pStyle w:val="BodyText"/>
        <w:spacing w:before="162"/>
        <w:ind w:left="120" w:right="116"/>
        <w:jc w:val="both"/>
      </w:pPr>
      <w:r>
        <w:t>We believe that the Industrial Strategy should embrace the space sector and include a sub- sector deal</w:t>
      </w:r>
      <w:r>
        <w:rPr>
          <w:spacing w:val="-1"/>
        </w:rPr>
        <w:t xml:space="preserve"> </w:t>
      </w:r>
      <w:r>
        <w:t>that focuses on the importance of launch. This presents a key opportunity</w:t>
      </w:r>
      <w:r>
        <w:rPr>
          <w:spacing w:val="-2"/>
        </w:rPr>
        <w:t xml:space="preserve"> </w:t>
      </w:r>
      <w:r>
        <w:t>for the UK Government to take a strategic view of the sector—leveraging both public and private investment</w:t>
      </w:r>
      <w:r>
        <w:rPr>
          <w:spacing w:val="-3"/>
        </w:rPr>
        <w:t xml:space="preserve"> </w:t>
      </w:r>
      <w:r>
        <w:t>to</w:t>
      </w:r>
      <w:r>
        <w:rPr>
          <w:spacing w:val="-2"/>
        </w:rPr>
        <w:t xml:space="preserve"> </w:t>
      </w:r>
      <w:r>
        <w:t>drive</w:t>
      </w:r>
      <w:r>
        <w:rPr>
          <w:spacing w:val="-2"/>
        </w:rPr>
        <w:t xml:space="preserve"> </w:t>
      </w:r>
      <w:r>
        <w:t>innovation,</w:t>
      </w:r>
      <w:r>
        <w:rPr>
          <w:spacing w:val="-1"/>
        </w:rPr>
        <w:t xml:space="preserve"> </w:t>
      </w:r>
      <w:r>
        <w:t>create</w:t>
      </w:r>
      <w:r>
        <w:rPr>
          <w:spacing w:val="-4"/>
        </w:rPr>
        <w:t xml:space="preserve"> </w:t>
      </w:r>
      <w:r>
        <w:t>high-value</w:t>
      </w:r>
      <w:r>
        <w:rPr>
          <w:spacing w:val="-4"/>
        </w:rPr>
        <w:t xml:space="preserve"> </w:t>
      </w:r>
      <w:r>
        <w:t>jobs, and</w:t>
      </w:r>
      <w:r>
        <w:rPr>
          <w:spacing w:val="-4"/>
        </w:rPr>
        <w:t xml:space="preserve"> </w:t>
      </w:r>
      <w:r>
        <w:t>position</w:t>
      </w:r>
      <w:r>
        <w:rPr>
          <w:spacing w:val="-4"/>
        </w:rPr>
        <w:t xml:space="preserve"> </w:t>
      </w:r>
      <w:r>
        <w:t>the</w:t>
      </w:r>
      <w:r>
        <w:rPr>
          <w:spacing w:val="-2"/>
        </w:rPr>
        <w:t xml:space="preserve"> </w:t>
      </w:r>
      <w:r>
        <w:t>UK</w:t>
      </w:r>
      <w:r>
        <w:rPr>
          <w:spacing w:val="-5"/>
        </w:rPr>
        <w:t xml:space="preserve"> </w:t>
      </w:r>
      <w:r>
        <w:t>as</w:t>
      </w:r>
      <w:r>
        <w:rPr>
          <w:spacing w:val="-2"/>
        </w:rPr>
        <w:t xml:space="preserve"> </w:t>
      </w:r>
      <w:r>
        <w:t>a</w:t>
      </w:r>
      <w:r>
        <w:rPr>
          <w:spacing w:val="-4"/>
        </w:rPr>
        <w:t xml:space="preserve"> </w:t>
      </w:r>
      <w:r>
        <w:t>global</w:t>
      </w:r>
      <w:r>
        <w:rPr>
          <w:spacing w:val="-3"/>
        </w:rPr>
        <w:t xml:space="preserve"> </w:t>
      </w:r>
      <w:r>
        <w:t>leader in commercial launch services.</w:t>
      </w:r>
    </w:p>
    <w:p w:rsidR="003F2028">
      <w:pPr>
        <w:jc w:val="both"/>
        <w:sectPr>
          <w:pgSz w:w="11910" w:h="16840"/>
          <w:pgMar w:top="1920" w:right="1320" w:bottom="900" w:left="1320" w:header="776" w:footer="707" w:gutter="0"/>
          <w:cols w:space="720"/>
        </w:sectPr>
      </w:pPr>
    </w:p>
    <w:p w:rsidR="003F2028">
      <w:pPr>
        <w:pStyle w:val="BodyText"/>
        <w:spacing w:before="111"/>
        <w:ind w:left="120" w:right="112"/>
        <w:jc w:val="both"/>
      </w:pPr>
      <w:r>
        <w:t>In order to</w:t>
      </w:r>
      <w:r>
        <w:t xml:space="preserve"> support growth of the space sector it is imperative that Government funding mechanisms such as the National Wealth Fund have the mandate that they need to provide long-term investment to Scottish and UK based Space companies like </w:t>
      </w:r>
      <w:r>
        <w:t>Orbex</w:t>
      </w:r>
      <w:r>
        <w:t>, to allow them to grow and thrive.</w:t>
      </w:r>
    </w:p>
    <w:p w:rsidR="003F2028">
      <w:pPr>
        <w:pStyle w:val="Heading2"/>
        <w:spacing w:before="162"/>
      </w:pPr>
      <w:r>
        <w:t>Existing</w:t>
      </w:r>
      <w:r>
        <w:rPr>
          <w:spacing w:val="-4"/>
        </w:rPr>
        <w:t xml:space="preserve"> </w:t>
      </w:r>
      <w:r>
        <w:rPr>
          <w:spacing w:val="-2"/>
        </w:rPr>
        <w:t>challenges</w:t>
      </w:r>
    </w:p>
    <w:p w:rsidR="003F2028">
      <w:pPr>
        <w:spacing w:before="160"/>
        <w:ind w:left="120"/>
        <w:jc w:val="both"/>
        <w:rPr>
          <w:i/>
        </w:rPr>
      </w:pPr>
      <w:r>
        <w:rPr>
          <w:i/>
        </w:rPr>
        <w:t>Competing</w:t>
      </w:r>
      <w:r>
        <w:rPr>
          <w:i/>
          <w:spacing w:val="-5"/>
        </w:rPr>
        <w:t xml:space="preserve"> </w:t>
      </w:r>
      <w:r>
        <w:rPr>
          <w:i/>
        </w:rPr>
        <w:t>on</w:t>
      </w:r>
      <w:r>
        <w:rPr>
          <w:i/>
          <w:spacing w:val="-7"/>
        </w:rPr>
        <w:t xml:space="preserve"> </w:t>
      </w:r>
      <w:r>
        <w:rPr>
          <w:i/>
        </w:rPr>
        <w:t>an</w:t>
      </w:r>
      <w:r>
        <w:rPr>
          <w:i/>
          <w:spacing w:val="-4"/>
        </w:rPr>
        <w:t xml:space="preserve"> </w:t>
      </w:r>
      <w:r>
        <w:rPr>
          <w:i/>
        </w:rPr>
        <w:t>uneven</w:t>
      </w:r>
      <w:r>
        <w:rPr>
          <w:i/>
          <w:spacing w:val="-5"/>
        </w:rPr>
        <w:t xml:space="preserve"> </w:t>
      </w:r>
      <w:r>
        <w:rPr>
          <w:i/>
        </w:rPr>
        <w:t>playing</w:t>
      </w:r>
      <w:r>
        <w:rPr>
          <w:i/>
          <w:spacing w:val="-4"/>
        </w:rPr>
        <w:t xml:space="preserve"> field</w:t>
      </w:r>
    </w:p>
    <w:p w:rsidR="003F2028">
      <w:pPr>
        <w:pStyle w:val="BodyText"/>
        <w:spacing w:before="160"/>
        <w:ind w:left="120" w:right="113"/>
        <w:jc w:val="both"/>
      </w:pPr>
      <w:r>
        <w:rPr>
          <w:color w:val="232323"/>
        </w:rPr>
        <w:t>Orbex</w:t>
      </w:r>
      <w:r>
        <w:rPr>
          <w:color w:val="232323"/>
        </w:rPr>
        <w:t xml:space="preserve"> and the wider sector face a competitive disadvantage compared to our European partners, who are receiving substantially more government support.</w:t>
      </w:r>
    </w:p>
    <w:p w:rsidR="003F2028">
      <w:pPr>
        <w:pStyle w:val="BodyText"/>
        <w:spacing w:before="252"/>
        <w:ind w:left="120" w:right="110"/>
        <w:jc w:val="both"/>
      </w:pPr>
      <w:r>
        <w:rPr>
          <w:color w:val="232323"/>
        </w:rPr>
        <w:t>According to 2023 OECD research, published by UKSA, France is investing four times more in civil space projects than the UK, with Italy (3x), Germany (2x), and Belgium (2x) also outspending the UK by significant margins.</w:t>
      </w:r>
    </w:p>
    <w:p w:rsidR="003F2028">
      <w:pPr>
        <w:pStyle w:val="BodyText"/>
        <w:spacing w:before="1"/>
      </w:pPr>
    </w:p>
    <w:p w:rsidR="003F2028">
      <w:pPr>
        <w:pStyle w:val="BodyText"/>
        <w:spacing w:before="1"/>
        <w:ind w:left="120" w:right="112"/>
        <w:jc w:val="both"/>
      </w:pPr>
      <w:r>
        <w:rPr>
          <w:color w:val="232323"/>
        </w:rPr>
        <w:t>This disparity in government support creates an uneven playing field, making it more difficult for</w:t>
      </w:r>
      <w:r>
        <w:rPr>
          <w:color w:val="232323"/>
          <w:spacing w:val="-16"/>
        </w:rPr>
        <w:t xml:space="preserve"> </w:t>
      </w:r>
      <w:r>
        <w:rPr>
          <w:color w:val="232323"/>
        </w:rPr>
        <w:t>Orbex</w:t>
      </w:r>
      <w:r>
        <w:rPr>
          <w:color w:val="232323"/>
          <w:spacing w:val="-15"/>
        </w:rPr>
        <w:t xml:space="preserve"> </w:t>
      </w:r>
      <w:r>
        <w:rPr>
          <w:color w:val="232323"/>
        </w:rPr>
        <w:t>to</w:t>
      </w:r>
      <w:r>
        <w:rPr>
          <w:color w:val="232323"/>
          <w:spacing w:val="-15"/>
        </w:rPr>
        <w:t xml:space="preserve"> </w:t>
      </w:r>
      <w:r>
        <w:rPr>
          <w:color w:val="232323"/>
        </w:rPr>
        <w:t>compete</w:t>
      </w:r>
      <w:r>
        <w:rPr>
          <w:color w:val="232323"/>
          <w:spacing w:val="-16"/>
        </w:rPr>
        <w:t xml:space="preserve"> </w:t>
      </w:r>
      <w:r>
        <w:rPr>
          <w:color w:val="232323"/>
        </w:rPr>
        <w:t>with</w:t>
      </w:r>
      <w:r>
        <w:rPr>
          <w:color w:val="232323"/>
          <w:spacing w:val="-15"/>
        </w:rPr>
        <w:t xml:space="preserve"> </w:t>
      </w:r>
      <w:r>
        <w:rPr>
          <w:color w:val="232323"/>
        </w:rPr>
        <w:t>better-funded</w:t>
      </w:r>
      <w:r>
        <w:rPr>
          <w:color w:val="232323"/>
          <w:spacing w:val="-15"/>
        </w:rPr>
        <w:t xml:space="preserve"> </w:t>
      </w:r>
      <w:r>
        <w:rPr>
          <w:color w:val="232323"/>
        </w:rPr>
        <w:t>European</w:t>
      </w:r>
      <w:r>
        <w:rPr>
          <w:color w:val="232323"/>
          <w:spacing w:val="-15"/>
        </w:rPr>
        <w:t xml:space="preserve"> </w:t>
      </w:r>
      <w:r>
        <w:rPr>
          <w:color w:val="232323"/>
        </w:rPr>
        <w:t>counterparts.</w:t>
      </w:r>
      <w:r>
        <w:rPr>
          <w:color w:val="232323"/>
          <w:spacing w:val="-14"/>
        </w:rPr>
        <w:t xml:space="preserve"> </w:t>
      </w:r>
      <w:r>
        <w:rPr>
          <w:color w:val="232323"/>
        </w:rPr>
        <w:t>Orbex</w:t>
      </w:r>
      <w:r>
        <w:rPr>
          <w:color w:val="232323"/>
          <w:spacing w:val="-14"/>
        </w:rPr>
        <w:t xml:space="preserve"> </w:t>
      </w:r>
      <w:r>
        <w:rPr>
          <w:color w:val="232323"/>
        </w:rPr>
        <w:t>believes</w:t>
      </w:r>
      <w:r>
        <w:rPr>
          <w:color w:val="232323"/>
          <w:spacing w:val="-14"/>
        </w:rPr>
        <w:t xml:space="preserve"> </w:t>
      </w:r>
      <w:r>
        <w:rPr>
          <w:color w:val="232323"/>
        </w:rPr>
        <w:t>that</w:t>
      </w:r>
      <w:r>
        <w:rPr>
          <w:color w:val="232323"/>
          <w:spacing w:val="-13"/>
        </w:rPr>
        <w:t xml:space="preserve"> </w:t>
      </w:r>
      <w:r>
        <w:rPr>
          <w:color w:val="232323"/>
        </w:rPr>
        <w:t>a</w:t>
      </w:r>
      <w:r>
        <w:rPr>
          <w:color w:val="232323"/>
          <w:spacing w:val="-16"/>
        </w:rPr>
        <w:t xml:space="preserve"> </w:t>
      </w:r>
      <w:r>
        <w:rPr>
          <w:color w:val="232323"/>
        </w:rPr>
        <w:t>modest increase in UK Government investment in space can take the sector a long way, helping us gain</w:t>
      </w:r>
      <w:r>
        <w:rPr>
          <w:color w:val="232323"/>
          <w:spacing w:val="-16"/>
        </w:rPr>
        <w:t xml:space="preserve"> </w:t>
      </w:r>
      <w:r>
        <w:rPr>
          <w:color w:val="232323"/>
        </w:rPr>
        <w:t>a</w:t>
      </w:r>
      <w:r>
        <w:rPr>
          <w:color w:val="232323"/>
          <w:spacing w:val="-15"/>
        </w:rPr>
        <w:t xml:space="preserve"> </w:t>
      </w:r>
      <w:r>
        <w:rPr>
          <w:color w:val="232323"/>
        </w:rPr>
        <w:t>comparative</w:t>
      </w:r>
      <w:r>
        <w:rPr>
          <w:color w:val="232323"/>
          <w:spacing w:val="-15"/>
        </w:rPr>
        <w:t xml:space="preserve"> </w:t>
      </w:r>
      <w:r>
        <w:rPr>
          <w:color w:val="232323"/>
        </w:rPr>
        <w:t>advantage</w:t>
      </w:r>
      <w:r>
        <w:rPr>
          <w:color w:val="232323"/>
          <w:spacing w:val="-16"/>
        </w:rPr>
        <w:t xml:space="preserve"> </w:t>
      </w:r>
      <w:r>
        <w:rPr>
          <w:color w:val="232323"/>
        </w:rPr>
        <w:t>against</w:t>
      </w:r>
      <w:r>
        <w:rPr>
          <w:color w:val="232323"/>
          <w:spacing w:val="-15"/>
        </w:rPr>
        <w:t xml:space="preserve"> </w:t>
      </w:r>
      <w:r>
        <w:rPr>
          <w:color w:val="232323"/>
        </w:rPr>
        <w:t>European</w:t>
      </w:r>
      <w:r>
        <w:rPr>
          <w:color w:val="232323"/>
          <w:spacing w:val="-15"/>
        </w:rPr>
        <w:t xml:space="preserve"> </w:t>
      </w:r>
      <w:r>
        <w:rPr>
          <w:color w:val="232323"/>
        </w:rPr>
        <w:t>partners</w:t>
      </w:r>
      <w:r>
        <w:rPr>
          <w:color w:val="232323"/>
          <w:spacing w:val="-15"/>
        </w:rPr>
        <w:t xml:space="preserve"> </w:t>
      </w:r>
      <w:r>
        <w:rPr>
          <w:color w:val="232323"/>
        </w:rPr>
        <w:t>and</w:t>
      </w:r>
      <w:r>
        <w:rPr>
          <w:color w:val="232323"/>
          <w:spacing w:val="-16"/>
        </w:rPr>
        <w:t xml:space="preserve"> </w:t>
      </w:r>
      <w:r>
        <w:rPr>
          <w:color w:val="232323"/>
        </w:rPr>
        <w:t>further</w:t>
      </w:r>
      <w:r>
        <w:rPr>
          <w:color w:val="232323"/>
          <w:spacing w:val="-15"/>
        </w:rPr>
        <w:t xml:space="preserve"> </w:t>
      </w:r>
      <w:r>
        <w:rPr>
          <w:color w:val="232323"/>
        </w:rPr>
        <w:t>than</w:t>
      </w:r>
      <w:r>
        <w:rPr>
          <w:color w:val="232323"/>
          <w:spacing w:val="-15"/>
        </w:rPr>
        <w:t xml:space="preserve"> </w:t>
      </w:r>
      <w:r>
        <w:rPr>
          <w:color w:val="232323"/>
        </w:rPr>
        <w:t>that,</w:t>
      </w:r>
      <w:r>
        <w:rPr>
          <w:color w:val="232323"/>
          <w:spacing w:val="-16"/>
        </w:rPr>
        <w:t xml:space="preserve"> </w:t>
      </w:r>
      <w:r>
        <w:rPr>
          <w:color w:val="232323"/>
        </w:rPr>
        <w:t>be</w:t>
      </w:r>
      <w:r>
        <w:rPr>
          <w:color w:val="232323"/>
          <w:spacing w:val="-15"/>
        </w:rPr>
        <w:t xml:space="preserve"> </w:t>
      </w:r>
      <w:r>
        <w:rPr>
          <w:color w:val="232323"/>
        </w:rPr>
        <w:t>competitive at a global scale.</w:t>
      </w:r>
    </w:p>
    <w:p w:rsidR="003F2028">
      <w:pPr>
        <w:spacing w:before="252"/>
        <w:ind w:left="120"/>
        <w:jc w:val="both"/>
        <w:rPr>
          <w:i/>
        </w:rPr>
      </w:pPr>
      <w:r>
        <w:rPr>
          <w:i/>
        </w:rPr>
        <w:t>Nature</w:t>
      </w:r>
      <w:r>
        <w:rPr>
          <w:i/>
          <w:spacing w:val="-4"/>
        </w:rPr>
        <w:t xml:space="preserve"> </w:t>
      </w:r>
      <w:r>
        <w:rPr>
          <w:i/>
        </w:rPr>
        <w:t>of</w:t>
      </w:r>
      <w:r>
        <w:rPr>
          <w:i/>
          <w:spacing w:val="-4"/>
        </w:rPr>
        <w:t xml:space="preserve"> </w:t>
      </w:r>
      <w:r>
        <w:rPr>
          <w:i/>
        </w:rPr>
        <w:t>the</w:t>
      </w:r>
      <w:r>
        <w:rPr>
          <w:i/>
          <w:spacing w:val="-4"/>
        </w:rPr>
        <w:t xml:space="preserve"> </w:t>
      </w:r>
      <w:r>
        <w:rPr>
          <w:i/>
        </w:rPr>
        <w:t>launch</w:t>
      </w:r>
      <w:r>
        <w:rPr>
          <w:i/>
          <w:spacing w:val="-3"/>
        </w:rPr>
        <w:t xml:space="preserve"> </w:t>
      </w:r>
      <w:r>
        <w:rPr>
          <w:i/>
          <w:spacing w:val="-2"/>
        </w:rPr>
        <w:t>sector</w:t>
      </w:r>
    </w:p>
    <w:p w:rsidR="003F2028">
      <w:pPr>
        <w:pStyle w:val="BodyText"/>
        <w:spacing w:before="159"/>
        <w:ind w:left="120" w:right="110"/>
        <w:jc w:val="both"/>
      </w:pPr>
      <w:r>
        <w:rPr>
          <w:color w:val="232323"/>
        </w:rPr>
        <w:t>Despite the growing demand for satellite launches and a limited number of suppliers in the market, customers remain hesitant to commit to new launch vehicles until they have demonstrated successful missions. This caution delays the flow of commercial revenue, creating a funding gap for companies in our sector.</w:t>
      </w:r>
    </w:p>
    <w:p w:rsidR="003F2028">
      <w:pPr>
        <w:pStyle w:val="BodyText"/>
      </w:pPr>
    </w:p>
    <w:p w:rsidR="003F2028">
      <w:pPr>
        <w:pStyle w:val="BodyText"/>
        <w:spacing w:before="1"/>
        <w:ind w:left="120" w:right="112"/>
        <w:jc w:val="both"/>
      </w:pPr>
      <w:r>
        <w:rPr>
          <w:color w:val="232323"/>
        </w:rPr>
        <w:t>Institutional funding from sources such as ESA and UKSA provides some risk mitigation, but these grants alone are insufficient to attract the level of private growth-stage capital needed to</w:t>
      </w:r>
      <w:r>
        <w:rPr>
          <w:color w:val="232323"/>
          <w:spacing w:val="-16"/>
        </w:rPr>
        <w:t xml:space="preserve"> </w:t>
      </w:r>
      <w:r>
        <w:rPr>
          <w:color w:val="232323"/>
        </w:rPr>
        <w:t>bring</w:t>
      </w:r>
      <w:r>
        <w:rPr>
          <w:color w:val="232323"/>
          <w:spacing w:val="-15"/>
        </w:rPr>
        <w:t xml:space="preserve"> </w:t>
      </w:r>
      <w:r>
        <w:rPr>
          <w:color w:val="232323"/>
        </w:rPr>
        <w:t>a</w:t>
      </w:r>
      <w:r>
        <w:rPr>
          <w:color w:val="232323"/>
          <w:spacing w:val="-15"/>
        </w:rPr>
        <w:t xml:space="preserve"> </w:t>
      </w:r>
      <w:r>
        <w:rPr>
          <w:color w:val="232323"/>
        </w:rPr>
        <w:t>launch</w:t>
      </w:r>
      <w:r>
        <w:rPr>
          <w:color w:val="232323"/>
          <w:spacing w:val="-16"/>
        </w:rPr>
        <w:t xml:space="preserve"> </w:t>
      </w:r>
      <w:r>
        <w:rPr>
          <w:color w:val="232323"/>
        </w:rPr>
        <w:t>service</w:t>
      </w:r>
      <w:r>
        <w:rPr>
          <w:color w:val="232323"/>
          <w:spacing w:val="-15"/>
        </w:rPr>
        <w:t xml:space="preserve"> </w:t>
      </w:r>
      <w:r>
        <w:rPr>
          <w:color w:val="232323"/>
        </w:rPr>
        <w:t>to</w:t>
      </w:r>
      <w:r>
        <w:rPr>
          <w:color w:val="232323"/>
          <w:spacing w:val="-15"/>
        </w:rPr>
        <w:t xml:space="preserve"> </w:t>
      </w:r>
      <w:r>
        <w:rPr>
          <w:color w:val="232323"/>
        </w:rPr>
        <w:t>market.</w:t>
      </w:r>
      <w:r>
        <w:rPr>
          <w:color w:val="232323"/>
          <w:spacing w:val="-15"/>
        </w:rPr>
        <w:t xml:space="preserve"> </w:t>
      </w:r>
      <w:r>
        <w:rPr>
          <w:color w:val="232323"/>
        </w:rPr>
        <w:t>While</w:t>
      </w:r>
      <w:r>
        <w:rPr>
          <w:color w:val="232323"/>
          <w:spacing w:val="-16"/>
        </w:rPr>
        <w:t xml:space="preserve"> </w:t>
      </w:r>
      <w:r>
        <w:rPr>
          <w:color w:val="232323"/>
        </w:rPr>
        <w:t>the</w:t>
      </w:r>
      <w:r>
        <w:rPr>
          <w:color w:val="232323"/>
          <w:spacing w:val="-15"/>
        </w:rPr>
        <w:t xml:space="preserve"> </w:t>
      </w:r>
      <w:r>
        <w:rPr>
          <w:color w:val="232323"/>
        </w:rPr>
        <w:t>UK</w:t>
      </w:r>
      <w:r>
        <w:rPr>
          <w:color w:val="232323"/>
          <w:spacing w:val="-15"/>
        </w:rPr>
        <w:t xml:space="preserve"> </w:t>
      </w:r>
      <w:r>
        <w:rPr>
          <w:color w:val="232323"/>
        </w:rPr>
        <w:t>Government</w:t>
      </w:r>
      <w:r>
        <w:rPr>
          <w:color w:val="232323"/>
          <w:spacing w:val="-16"/>
        </w:rPr>
        <w:t xml:space="preserve"> </w:t>
      </w:r>
      <w:r>
        <w:rPr>
          <w:color w:val="232323"/>
        </w:rPr>
        <w:t>has</w:t>
      </w:r>
      <w:r>
        <w:rPr>
          <w:color w:val="232323"/>
          <w:spacing w:val="-15"/>
        </w:rPr>
        <w:t xml:space="preserve"> </w:t>
      </w:r>
      <w:r>
        <w:rPr>
          <w:color w:val="232323"/>
        </w:rPr>
        <w:t>recognised</w:t>
      </w:r>
      <w:r>
        <w:rPr>
          <w:color w:val="232323"/>
          <w:spacing w:val="-15"/>
        </w:rPr>
        <w:t xml:space="preserve"> </w:t>
      </w:r>
      <w:r>
        <w:rPr>
          <w:color w:val="232323"/>
        </w:rPr>
        <w:t>this</w:t>
      </w:r>
      <w:r>
        <w:rPr>
          <w:color w:val="232323"/>
          <w:spacing w:val="-15"/>
        </w:rPr>
        <w:t xml:space="preserve"> </w:t>
      </w:r>
      <w:r>
        <w:rPr>
          <w:color w:val="232323"/>
        </w:rPr>
        <w:t>challenge— demonstrated by DSIT’s investment, for which we are extremely grateful—further support is essential to ensure the Scottish space sector can compete globally and continue to thrive.</w:t>
      </w:r>
    </w:p>
    <w:p w:rsidR="003F2028">
      <w:pPr>
        <w:pStyle w:val="BodyText"/>
        <w:spacing w:before="1"/>
      </w:pPr>
    </w:p>
    <w:p w:rsidR="003F2028">
      <w:pPr>
        <w:pStyle w:val="BodyText"/>
        <w:ind w:left="120" w:right="112"/>
        <w:jc w:val="both"/>
      </w:pPr>
      <w:r>
        <w:rPr>
          <w:color w:val="232323"/>
        </w:rPr>
        <w:t>While</w:t>
      </w:r>
      <w:r>
        <w:rPr>
          <w:color w:val="232323"/>
          <w:spacing w:val="-9"/>
        </w:rPr>
        <w:t xml:space="preserve"> </w:t>
      </w:r>
      <w:r>
        <w:rPr>
          <w:color w:val="232323"/>
        </w:rPr>
        <w:t>state</w:t>
      </w:r>
      <w:r>
        <w:rPr>
          <w:color w:val="232323"/>
          <w:spacing w:val="-10"/>
        </w:rPr>
        <w:t xml:space="preserve"> </w:t>
      </w:r>
      <w:r>
        <w:rPr>
          <w:color w:val="232323"/>
        </w:rPr>
        <w:t>support</w:t>
      </w:r>
      <w:r>
        <w:rPr>
          <w:color w:val="232323"/>
          <w:spacing w:val="-7"/>
        </w:rPr>
        <w:t xml:space="preserve"> </w:t>
      </w:r>
      <w:r>
        <w:rPr>
          <w:color w:val="232323"/>
        </w:rPr>
        <w:t>is</w:t>
      </w:r>
      <w:r>
        <w:rPr>
          <w:color w:val="232323"/>
          <w:spacing w:val="-8"/>
        </w:rPr>
        <w:t xml:space="preserve"> </w:t>
      </w:r>
      <w:r>
        <w:rPr>
          <w:color w:val="232323"/>
        </w:rPr>
        <w:t>key</w:t>
      </w:r>
      <w:r>
        <w:rPr>
          <w:color w:val="232323"/>
          <w:spacing w:val="-8"/>
        </w:rPr>
        <w:t xml:space="preserve"> </w:t>
      </w:r>
      <w:r>
        <w:rPr>
          <w:color w:val="232323"/>
        </w:rPr>
        <w:t>to</w:t>
      </w:r>
      <w:r>
        <w:rPr>
          <w:color w:val="232323"/>
          <w:spacing w:val="-11"/>
        </w:rPr>
        <w:t xml:space="preserve"> </w:t>
      </w:r>
      <w:r>
        <w:rPr>
          <w:color w:val="232323"/>
        </w:rPr>
        <w:t>the</w:t>
      </w:r>
      <w:r>
        <w:rPr>
          <w:color w:val="232323"/>
          <w:spacing w:val="-9"/>
        </w:rPr>
        <w:t xml:space="preserve"> </w:t>
      </w:r>
      <w:r>
        <w:rPr>
          <w:color w:val="232323"/>
        </w:rPr>
        <w:t>success</w:t>
      </w:r>
      <w:r>
        <w:rPr>
          <w:color w:val="232323"/>
          <w:spacing w:val="-9"/>
        </w:rPr>
        <w:t xml:space="preserve"> </w:t>
      </w:r>
      <w:r>
        <w:rPr>
          <w:color w:val="232323"/>
        </w:rPr>
        <w:t>of</w:t>
      </w:r>
      <w:r>
        <w:rPr>
          <w:color w:val="232323"/>
          <w:spacing w:val="-10"/>
        </w:rPr>
        <w:t xml:space="preserve"> </w:t>
      </w:r>
      <w:r>
        <w:rPr>
          <w:color w:val="232323"/>
        </w:rPr>
        <w:t>the</w:t>
      </w:r>
      <w:r>
        <w:rPr>
          <w:color w:val="232323"/>
          <w:spacing w:val="-9"/>
        </w:rPr>
        <w:t xml:space="preserve"> </w:t>
      </w:r>
      <w:r>
        <w:rPr>
          <w:color w:val="232323"/>
        </w:rPr>
        <w:t>Scottish</w:t>
      </w:r>
      <w:r>
        <w:rPr>
          <w:color w:val="232323"/>
          <w:spacing w:val="-11"/>
        </w:rPr>
        <w:t xml:space="preserve"> </w:t>
      </w:r>
      <w:r>
        <w:rPr>
          <w:color w:val="232323"/>
        </w:rPr>
        <w:t>space</w:t>
      </w:r>
      <w:r>
        <w:rPr>
          <w:color w:val="232323"/>
          <w:spacing w:val="-9"/>
        </w:rPr>
        <w:t xml:space="preserve"> </w:t>
      </w:r>
      <w:r>
        <w:rPr>
          <w:color w:val="232323"/>
        </w:rPr>
        <w:t>sector,</w:t>
      </w:r>
      <w:r>
        <w:rPr>
          <w:color w:val="232323"/>
          <w:spacing w:val="-7"/>
        </w:rPr>
        <w:t xml:space="preserve"> </w:t>
      </w:r>
      <w:r>
        <w:rPr>
          <w:color w:val="232323"/>
        </w:rPr>
        <w:t>it</w:t>
      </w:r>
      <w:r>
        <w:rPr>
          <w:color w:val="232323"/>
          <w:spacing w:val="-10"/>
        </w:rPr>
        <w:t xml:space="preserve"> </w:t>
      </w:r>
      <w:r>
        <w:rPr>
          <w:color w:val="232323"/>
        </w:rPr>
        <w:t>is</w:t>
      </w:r>
      <w:r>
        <w:rPr>
          <w:color w:val="232323"/>
          <w:spacing w:val="-11"/>
        </w:rPr>
        <w:t xml:space="preserve"> </w:t>
      </w:r>
      <w:r>
        <w:rPr>
          <w:color w:val="232323"/>
        </w:rPr>
        <w:t>also</w:t>
      </w:r>
      <w:r>
        <w:rPr>
          <w:color w:val="232323"/>
          <w:spacing w:val="-8"/>
        </w:rPr>
        <w:t xml:space="preserve"> </w:t>
      </w:r>
      <w:r>
        <w:rPr>
          <w:color w:val="232323"/>
        </w:rPr>
        <w:t>crucial</w:t>
      </w:r>
      <w:r>
        <w:rPr>
          <w:color w:val="232323"/>
          <w:spacing w:val="-10"/>
        </w:rPr>
        <w:t xml:space="preserve"> </w:t>
      </w:r>
      <w:r>
        <w:rPr>
          <w:color w:val="232323"/>
        </w:rPr>
        <w:t>that</w:t>
      </w:r>
      <w:r>
        <w:rPr>
          <w:color w:val="232323"/>
          <w:spacing w:val="-7"/>
        </w:rPr>
        <w:t xml:space="preserve"> </w:t>
      </w:r>
      <w:r>
        <w:rPr>
          <w:color w:val="232323"/>
        </w:rPr>
        <w:t>the UK Government commits to the success of the industry as a key national growth market. In this context, we welcome the Government ’s ongoing Industrial Strategy and encourage a stronger commitment to the sector’s long-term success.</w:t>
      </w:r>
    </w:p>
    <w:p w:rsidR="003F2028">
      <w:pPr>
        <w:pStyle w:val="BodyText"/>
      </w:pPr>
    </w:p>
    <w:p w:rsidR="003F2028">
      <w:pPr>
        <w:pStyle w:val="BodyText"/>
        <w:ind w:left="120" w:right="111"/>
        <w:jc w:val="both"/>
      </w:pPr>
      <w:r>
        <w:rPr>
          <w:color w:val="232323"/>
        </w:rPr>
        <w:t xml:space="preserve">In summary, </w:t>
      </w:r>
      <w:r>
        <w:rPr>
          <w:color w:val="232323"/>
        </w:rPr>
        <w:t>Orbex</w:t>
      </w:r>
      <w:r>
        <w:rPr>
          <w:color w:val="232323"/>
        </w:rPr>
        <w:t xml:space="preserve"> is navigating a complex funding environment common to the sector, with delayed customer commitments, cautious private capital, and insufficient UK Government support. These barriers make it challenging to break into the market, despite the company’s strong potential to meet the increasing demand for sustainable and flexible launch services.</w:t>
      </w:r>
    </w:p>
    <w:p w:rsidR="003F2028">
      <w:pPr>
        <w:pStyle w:val="BodyText"/>
        <w:spacing w:before="161"/>
      </w:pPr>
    </w:p>
    <w:p w:rsidR="003F2028">
      <w:pPr>
        <w:pStyle w:val="Heading2"/>
      </w:pPr>
      <w:r>
        <w:t>The</w:t>
      </w:r>
      <w:r>
        <w:rPr>
          <w:spacing w:val="-6"/>
        </w:rPr>
        <w:t xml:space="preserve"> </w:t>
      </w:r>
      <w:r>
        <w:t>Cost</w:t>
      </w:r>
      <w:r>
        <w:rPr>
          <w:spacing w:val="-3"/>
        </w:rPr>
        <w:t xml:space="preserve"> </w:t>
      </w:r>
      <w:r>
        <w:t>of</w:t>
      </w:r>
      <w:r>
        <w:rPr>
          <w:spacing w:val="-5"/>
        </w:rPr>
        <w:t xml:space="preserve"> </w:t>
      </w:r>
      <w:r>
        <w:t>Inaction:</w:t>
      </w:r>
      <w:r>
        <w:rPr>
          <w:spacing w:val="-5"/>
        </w:rPr>
        <w:t xml:space="preserve"> </w:t>
      </w:r>
      <w:r>
        <w:t>Risks</w:t>
      </w:r>
      <w:r>
        <w:rPr>
          <w:spacing w:val="-3"/>
        </w:rPr>
        <w:t xml:space="preserve"> </w:t>
      </w:r>
      <w:r>
        <w:t>of</w:t>
      </w:r>
      <w:r>
        <w:rPr>
          <w:spacing w:val="-3"/>
        </w:rPr>
        <w:t xml:space="preserve"> </w:t>
      </w:r>
      <w:r>
        <w:t>Failing</w:t>
      </w:r>
      <w:r>
        <w:rPr>
          <w:spacing w:val="-7"/>
        </w:rPr>
        <w:t xml:space="preserve"> </w:t>
      </w:r>
      <w:r>
        <w:t>to</w:t>
      </w:r>
      <w:r>
        <w:rPr>
          <w:spacing w:val="-4"/>
        </w:rPr>
        <w:t xml:space="preserve"> </w:t>
      </w:r>
      <w:r>
        <w:t>Support</w:t>
      </w:r>
      <w:r>
        <w:rPr>
          <w:spacing w:val="-4"/>
        </w:rPr>
        <w:t xml:space="preserve"> </w:t>
      </w:r>
      <w:r>
        <w:t>the</w:t>
      </w:r>
      <w:r>
        <w:rPr>
          <w:spacing w:val="-4"/>
        </w:rPr>
        <w:t xml:space="preserve"> </w:t>
      </w:r>
      <w:r>
        <w:t>Scottish</w:t>
      </w:r>
      <w:r>
        <w:rPr>
          <w:spacing w:val="-4"/>
        </w:rPr>
        <w:t xml:space="preserve"> </w:t>
      </w:r>
      <w:r>
        <w:t>Space</w:t>
      </w:r>
      <w:r>
        <w:rPr>
          <w:spacing w:val="-8"/>
        </w:rPr>
        <w:t xml:space="preserve"> </w:t>
      </w:r>
      <w:r>
        <w:rPr>
          <w:spacing w:val="-2"/>
        </w:rPr>
        <w:t>Sector</w:t>
      </w:r>
    </w:p>
    <w:p w:rsidR="003F2028">
      <w:pPr>
        <w:pStyle w:val="BodyText"/>
        <w:spacing w:before="160"/>
        <w:ind w:left="120" w:right="114"/>
        <w:jc w:val="both"/>
      </w:pPr>
      <w:r>
        <w:t>If the UK Government does not take decisive action to support its space sector, the country, and Scotland in particular, risks falling behind in a global industry that is growing at an unprecedented pace.</w:t>
      </w:r>
    </w:p>
    <w:p w:rsidR="003F2028">
      <w:pPr>
        <w:pStyle w:val="BodyText"/>
        <w:spacing w:before="160"/>
        <w:ind w:left="120" w:right="120"/>
        <w:jc w:val="both"/>
      </w:pPr>
      <w:r>
        <w:t>Other nations, including the US, China, France, and Germany, are making substantial investments to capture the value created by the space economy. A thriving space sector will</w:t>
      </w:r>
    </w:p>
    <w:p w:rsidR="003F2028">
      <w:pPr>
        <w:jc w:val="both"/>
        <w:sectPr>
          <w:pgSz w:w="11910" w:h="16840"/>
          <w:pgMar w:top="1920" w:right="1320" w:bottom="900" w:left="1320" w:header="776" w:footer="707" w:gutter="0"/>
          <w:cols w:space="720"/>
        </w:sectPr>
      </w:pPr>
    </w:p>
    <w:p w:rsidR="003F2028">
      <w:pPr>
        <w:pStyle w:val="BodyText"/>
        <w:spacing w:before="111"/>
        <w:ind w:left="120" w:right="116"/>
        <w:jc w:val="both"/>
      </w:pPr>
      <w:r>
        <w:t>provide export potential for Scotland, with the global space industry is projected to be worth trillions in the coming decades.</w:t>
      </w:r>
    </w:p>
    <w:p w:rsidR="003F2028">
      <w:pPr>
        <w:pStyle w:val="BodyText"/>
        <w:spacing w:before="162"/>
        <w:ind w:left="120" w:right="116"/>
        <w:jc w:val="both"/>
      </w:pPr>
      <w:r>
        <w:t>Without</w:t>
      </w:r>
      <w:r>
        <w:rPr>
          <w:spacing w:val="-13"/>
        </w:rPr>
        <w:t xml:space="preserve"> </w:t>
      </w:r>
      <w:r>
        <w:t>a</w:t>
      </w:r>
      <w:r>
        <w:rPr>
          <w:spacing w:val="-15"/>
        </w:rPr>
        <w:t xml:space="preserve"> </w:t>
      </w:r>
      <w:r>
        <w:t>domestic</w:t>
      </w:r>
      <w:r>
        <w:rPr>
          <w:spacing w:val="-14"/>
        </w:rPr>
        <w:t xml:space="preserve"> </w:t>
      </w:r>
      <w:r>
        <w:t>space</w:t>
      </w:r>
      <w:r>
        <w:rPr>
          <w:spacing w:val="-12"/>
        </w:rPr>
        <w:t xml:space="preserve"> </w:t>
      </w:r>
      <w:r>
        <w:t>sector,</w:t>
      </w:r>
      <w:r>
        <w:rPr>
          <w:spacing w:val="-13"/>
        </w:rPr>
        <w:t xml:space="preserve"> </w:t>
      </w:r>
      <w:r>
        <w:t>the</w:t>
      </w:r>
      <w:r>
        <w:rPr>
          <w:spacing w:val="-15"/>
        </w:rPr>
        <w:t xml:space="preserve"> </w:t>
      </w:r>
      <w:r>
        <w:t>MOD</w:t>
      </w:r>
      <w:r>
        <w:rPr>
          <w:spacing w:val="-13"/>
        </w:rPr>
        <w:t xml:space="preserve"> </w:t>
      </w:r>
      <w:r>
        <w:t>will</w:t>
      </w:r>
      <w:r>
        <w:rPr>
          <w:spacing w:val="-13"/>
        </w:rPr>
        <w:t xml:space="preserve"> </w:t>
      </w:r>
      <w:r>
        <w:t>remain</w:t>
      </w:r>
      <w:r>
        <w:rPr>
          <w:spacing w:val="-12"/>
        </w:rPr>
        <w:t xml:space="preserve"> </w:t>
      </w:r>
      <w:r>
        <w:t>dependent</w:t>
      </w:r>
      <w:r>
        <w:rPr>
          <w:spacing w:val="-13"/>
        </w:rPr>
        <w:t xml:space="preserve"> </w:t>
      </w:r>
      <w:r>
        <w:t>on</w:t>
      </w:r>
      <w:r>
        <w:rPr>
          <w:spacing w:val="-15"/>
        </w:rPr>
        <w:t xml:space="preserve"> </w:t>
      </w:r>
      <w:r>
        <w:t>foreign</w:t>
      </w:r>
      <w:r>
        <w:rPr>
          <w:spacing w:val="-13"/>
        </w:rPr>
        <w:t xml:space="preserve"> </w:t>
      </w:r>
      <w:r>
        <w:t>launch</w:t>
      </w:r>
      <w:r>
        <w:rPr>
          <w:spacing w:val="-13"/>
        </w:rPr>
        <w:t xml:space="preserve"> </w:t>
      </w:r>
      <w:r>
        <w:t>providers, such as SpaceX, rather than developing sovereign capabilities that ensure independent access to space. This reliance on external providers introduces supply chain vulnerabilities and risks that could compromise the UK’s ability to deploy critical assets when needed.</w:t>
      </w:r>
    </w:p>
    <w:p w:rsidR="003F2028">
      <w:pPr>
        <w:pStyle w:val="BodyText"/>
        <w:spacing w:before="159"/>
        <w:ind w:left="120" w:right="112"/>
        <w:jc w:val="both"/>
      </w:pPr>
      <w:r>
        <w:t>Job</w:t>
      </w:r>
      <w:r>
        <w:rPr>
          <w:spacing w:val="-8"/>
        </w:rPr>
        <w:t xml:space="preserve"> </w:t>
      </w:r>
      <w:r>
        <w:t>creation</w:t>
      </w:r>
      <w:r>
        <w:rPr>
          <w:spacing w:val="-10"/>
        </w:rPr>
        <w:t xml:space="preserve"> </w:t>
      </w:r>
      <w:r>
        <w:t>will</w:t>
      </w:r>
      <w:r>
        <w:rPr>
          <w:spacing w:val="-8"/>
        </w:rPr>
        <w:t xml:space="preserve"> </w:t>
      </w:r>
      <w:r>
        <w:t>also</w:t>
      </w:r>
      <w:r>
        <w:rPr>
          <w:spacing w:val="-7"/>
        </w:rPr>
        <w:t xml:space="preserve"> </w:t>
      </w:r>
      <w:r>
        <w:t>suffer,</w:t>
      </w:r>
      <w:r>
        <w:rPr>
          <w:spacing w:val="-8"/>
        </w:rPr>
        <w:t xml:space="preserve"> </w:t>
      </w:r>
      <w:r>
        <w:t>particularly</w:t>
      </w:r>
      <w:r>
        <w:rPr>
          <w:spacing w:val="-7"/>
        </w:rPr>
        <w:t xml:space="preserve"> </w:t>
      </w:r>
      <w:r>
        <w:t>in</w:t>
      </w:r>
      <w:r>
        <w:rPr>
          <w:spacing w:val="-10"/>
        </w:rPr>
        <w:t xml:space="preserve"> </w:t>
      </w:r>
      <w:r>
        <w:t>regions</w:t>
      </w:r>
      <w:r>
        <w:rPr>
          <w:spacing w:val="-11"/>
        </w:rPr>
        <w:t xml:space="preserve"> </w:t>
      </w:r>
      <w:r>
        <w:t>like</w:t>
      </w:r>
      <w:r>
        <w:rPr>
          <w:spacing w:val="-5"/>
        </w:rPr>
        <w:t xml:space="preserve"> </w:t>
      </w:r>
      <w:r>
        <w:t>Northern</w:t>
      </w:r>
      <w:r>
        <w:rPr>
          <w:spacing w:val="-7"/>
        </w:rPr>
        <w:t xml:space="preserve"> </w:t>
      </w:r>
      <w:r>
        <w:t>Scotland,</w:t>
      </w:r>
      <w:r>
        <w:rPr>
          <w:spacing w:val="-9"/>
        </w:rPr>
        <w:t xml:space="preserve"> </w:t>
      </w:r>
      <w:r>
        <w:t>where</w:t>
      </w:r>
      <w:r>
        <w:rPr>
          <w:spacing w:val="-10"/>
        </w:rPr>
        <w:t xml:space="preserve"> </w:t>
      </w:r>
      <w:r>
        <w:t>space</w:t>
      </w:r>
      <w:r>
        <w:rPr>
          <w:spacing w:val="-10"/>
        </w:rPr>
        <w:t xml:space="preserve"> </w:t>
      </w:r>
      <w:r>
        <w:t>sector investment</w:t>
      </w:r>
      <w:r>
        <w:rPr>
          <w:spacing w:val="-3"/>
        </w:rPr>
        <w:t xml:space="preserve"> </w:t>
      </w:r>
      <w:r>
        <w:t>has</w:t>
      </w:r>
      <w:r>
        <w:rPr>
          <w:spacing w:val="-6"/>
        </w:rPr>
        <w:t xml:space="preserve"> </w:t>
      </w:r>
      <w:r>
        <w:t>the</w:t>
      </w:r>
      <w:r>
        <w:rPr>
          <w:spacing w:val="-4"/>
        </w:rPr>
        <w:t xml:space="preserve"> </w:t>
      </w:r>
      <w:r>
        <w:t>potential</w:t>
      </w:r>
      <w:r>
        <w:rPr>
          <w:spacing w:val="-5"/>
        </w:rPr>
        <w:t xml:space="preserve"> </w:t>
      </w:r>
      <w:r>
        <w:t>to</w:t>
      </w:r>
      <w:r>
        <w:rPr>
          <w:spacing w:val="-4"/>
        </w:rPr>
        <w:t xml:space="preserve"> </w:t>
      </w:r>
      <w:r>
        <w:t>drive</w:t>
      </w:r>
      <w:r>
        <w:rPr>
          <w:spacing w:val="-7"/>
        </w:rPr>
        <w:t xml:space="preserve"> </w:t>
      </w:r>
      <w:r>
        <w:t>significant</w:t>
      </w:r>
      <w:r>
        <w:rPr>
          <w:spacing w:val="-3"/>
        </w:rPr>
        <w:t xml:space="preserve"> </w:t>
      </w:r>
      <w:r>
        <w:t>economic</w:t>
      </w:r>
      <w:r>
        <w:rPr>
          <w:spacing w:val="-4"/>
        </w:rPr>
        <w:t xml:space="preserve"> </w:t>
      </w:r>
      <w:r>
        <w:t>growth.</w:t>
      </w:r>
      <w:r>
        <w:rPr>
          <w:spacing w:val="-3"/>
        </w:rPr>
        <w:t xml:space="preserve"> </w:t>
      </w:r>
      <w:r>
        <w:t>The</w:t>
      </w:r>
      <w:r>
        <w:rPr>
          <w:spacing w:val="-6"/>
        </w:rPr>
        <w:t xml:space="preserve"> </w:t>
      </w:r>
      <w:r>
        <w:t>space</w:t>
      </w:r>
      <w:r>
        <w:rPr>
          <w:spacing w:val="-4"/>
        </w:rPr>
        <w:t xml:space="preserve"> </w:t>
      </w:r>
      <w:r>
        <w:t>industry</w:t>
      </w:r>
      <w:r>
        <w:rPr>
          <w:spacing w:val="-6"/>
        </w:rPr>
        <w:t xml:space="preserve"> </w:t>
      </w:r>
      <w:r>
        <w:t>has</w:t>
      </w:r>
      <w:r>
        <w:rPr>
          <w:spacing w:val="-6"/>
        </w:rPr>
        <w:t xml:space="preserve"> </w:t>
      </w:r>
      <w:r>
        <w:t>the power</w:t>
      </w:r>
      <w:r>
        <w:rPr>
          <w:spacing w:val="-16"/>
        </w:rPr>
        <w:t xml:space="preserve"> </w:t>
      </w:r>
      <w:r>
        <w:t>to</w:t>
      </w:r>
      <w:r>
        <w:rPr>
          <w:spacing w:val="-15"/>
        </w:rPr>
        <w:t xml:space="preserve"> </w:t>
      </w:r>
      <w:r>
        <w:t>transform</w:t>
      </w:r>
      <w:r>
        <w:rPr>
          <w:spacing w:val="-15"/>
        </w:rPr>
        <w:t xml:space="preserve"> </w:t>
      </w:r>
      <w:r>
        <w:t>the</w:t>
      </w:r>
      <w:r>
        <w:rPr>
          <w:spacing w:val="-16"/>
        </w:rPr>
        <w:t xml:space="preserve"> </w:t>
      </w:r>
      <w:r>
        <w:t>Scottish</w:t>
      </w:r>
      <w:r>
        <w:rPr>
          <w:spacing w:val="-15"/>
        </w:rPr>
        <w:t xml:space="preserve"> </w:t>
      </w:r>
      <w:r>
        <w:t>economy</w:t>
      </w:r>
      <w:r>
        <w:rPr>
          <w:spacing w:val="-15"/>
        </w:rPr>
        <w:t xml:space="preserve"> </w:t>
      </w:r>
      <w:r>
        <w:t>by</w:t>
      </w:r>
      <w:r>
        <w:rPr>
          <w:spacing w:val="-15"/>
        </w:rPr>
        <w:t xml:space="preserve"> </w:t>
      </w:r>
      <w:r>
        <w:t>fostering</w:t>
      </w:r>
      <w:r>
        <w:rPr>
          <w:spacing w:val="-16"/>
        </w:rPr>
        <w:t xml:space="preserve"> </w:t>
      </w:r>
      <w:r>
        <w:t>new</w:t>
      </w:r>
      <w:r>
        <w:rPr>
          <w:spacing w:val="-15"/>
        </w:rPr>
        <w:t xml:space="preserve"> </w:t>
      </w:r>
      <w:r>
        <w:t>supply</w:t>
      </w:r>
      <w:r>
        <w:rPr>
          <w:spacing w:val="-15"/>
        </w:rPr>
        <w:t xml:space="preserve"> </w:t>
      </w:r>
      <w:r>
        <w:t>chains,</w:t>
      </w:r>
      <w:r>
        <w:rPr>
          <w:spacing w:val="-16"/>
        </w:rPr>
        <w:t xml:space="preserve"> </w:t>
      </w:r>
      <w:r>
        <w:t>training</w:t>
      </w:r>
      <w:r>
        <w:rPr>
          <w:spacing w:val="-15"/>
        </w:rPr>
        <w:t xml:space="preserve"> </w:t>
      </w:r>
      <w:r>
        <w:t>highly</w:t>
      </w:r>
      <w:r>
        <w:rPr>
          <w:spacing w:val="-15"/>
        </w:rPr>
        <w:t xml:space="preserve"> </w:t>
      </w:r>
      <w:r>
        <w:t>skilled workers,</w:t>
      </w:r>
      <w:r>
        <w:rPr>
          <w:spacing w:val="-4"/>
        </w:rPr>
        <w:t xml:space="preserve"> </w:t>
      </w:r>
      <w:r>
        <w:t>and</w:t>
      </w:r>
      <w:r>
        <w:rPr>
          <w:spacing w:val="-7"/>
        </w:rPr>
        <w:t xml:space="preserve"> </w:t>
      </w:r>
      <w:r>
        <w:t>attracting</w:t>
      </w:r>
      <w:r>
        <w:rPr>
          <w:spacing w:val="-7"/>
        </w:rPr>
        <w:t xml:space="preserve"> </w:t>
      </w:r>
      <w:r>
        <w:t>foreign</w:t>
      </w:r>
      <w:r>
        <w:rPr>
          <w:spacing w:val="-5"/>
        </w:rPr>
        <w:t xml:space="preserve"> </w:t>
      </w:r>
      <w:r>
        <w:t>direct</w:t>
      </w:r>
      <w:r>
        <w:rPr>
          <w:spacing w:val="-4"/>
        </w:rPr>
        <w:t xml:space="preserve"> </w:t>
      </w:r>
      <w:r>
        <w:t>investment—a</w:t>
      </w:r>
      <w:r>
        <w:rPr>
          <w:spacing w:val="-5"/>
        </w:rPr>
        <w:t xml:space="preserve"> </w:t>
      </w:r>
      <w:r>
        <w:t>potential</w:t>
      </w:r>
      <w:r>
        <w:rPr>
          <w:spacing w:val="-8"/>
        </w:rPr>
        <w:t xml:space="preserve"> </w:t>
      </w:r>
      <w:r>
        <w:t>that</w:t>
      </w:r>
      <w:r>
        <w:rPr>
          <w:spacing w:val="-6"/>
        </w:rPr>
        <w:t xml:space="preserve"> </w:t>
      </w:r>
      <w:r>
        <w:t>will</w:t>
      </w:r>
      <w:r>
        <w:rPr>
          <w:spacing w:val="-6"/>
        </w:rPr>
        <w:t xml:space="preserve"> </w:t>
      </w:r>
      <w:r>
        <w:t>remain</w:t>
      </w:r>
      <w:r>
        <w:rPr>
          <w:spacing w:val="-5"/>
        </w:rPr>
        <w:t xml:space="preserve"> </w:t>
      </w:r>
      <w:r>
        <w:t>unrealised</w:t>
      </w:r>
      <w:r>
        <w:rPr>
          <w:spacing w:val="-5"/>
        </w:rPr>
        <w:t xml:space="preserve"> </w:t>
      </w:r>
      <w:r>
        <w:t>if</w:t>
      </w:r>
      <w:r>
        <w:rPr>
          <w:spacing w:val="-6"/>
        </w:rPr>
        <w:t xml:space="preserve"> </w:t>
      </w:r>
      <w:r>
        <w:t>the Government fails to act.</w:t>
      </w:r>
    </w:p>
    <w:p w:rsidR="003F2028">
      <w:pPr>
        <w:pStyle w:val="BodyText"/>
        <w:spacing w:before="161"/>
        <w:ind w:left="120" w:right="112"/>
        <w:jc w:val="both"/>
      </w:pPr>
      <w:r>
        <w:t>Furthermore,</w:t>
      </w:r>
      <w:r>
        <w:rPr>
          <w:spacing w:val="-7"/>
        </w:rPr>
        <w:t xml:space="preserve"> </w:t>
      </w:r>
      <w:r>
        <w:t>the</w:t>
      </w:r>
      <w:r>
        <w:rPr>
          <w:spacing w:val="-7"/>
        </w:rPr>
        <w:t xml:space="preserve"> </w:t>
      </w:r>
      <w:r>
        <w:t>space</w:t>
      </w:r>
      <w:r>
        <w:rPr>
          <w:spacing w:val="-9"/>
        </w:rPr>
        <w:t xml:space="preserve"> </w:t>
      </w:r>
      <w:r>
        <w:t>sector</w:t>
      </w:r>
      <w:r>
        <w:rPr>
          <w:spacing w:val="-5"/>
        </w:rPr>
        <w:t xml:space="preserve"> </w:t>
      </w:r>
      <w:r>
        <w:t>is</w:t>
      </w:r>
      <w:r>
        <w:rPr>
          <w:spacing w:val="-6"/>
        </w:rPr>
        <w:t xml:space="preserve"> </w:t>
      </w:r>
      <w:r>
        <w:t>a</w:t>
      </w:r>
      <w:r>
        <w:rPr>
          <w:spacing w:val="-9"/>
        </w:rPr>
        <w:t xml:space="preserve"> </w:t>
      </w:r>
      <w:r>
        <w:t>key</w:t>
      </w:r>
      <w:r>
        <w:rPr>
          <w:spacing w:val="-6"/>
        </w:rPr>
        <w:t xml:space="preserve"> </w:t>
      </w:r>
      <w:r>
        <w:t>driver</w:t>
      </w:r>
      <w:r>
        <w:rPr>
          <w:spacing w:val="-6"/>
        </w:rPr>
        <w:t xml:space="preserve"> </w:t>
      </w:r>
      <w:r>
        <w:t>of</w:t>
      </w:r>
      <w:r>
        <w:rPr>
          <w:spacing w:val="-5"/>
        </w:rPr>
        <w:t xml:space="preserve"> </w:t>
      </w:r>
      <w:r>
        <w:t>technological</w:t>
      </w:r>
      <w:r>
        <w:rPr>
          <w:spacing w:val="-7"/>
        </w:rPr>
        <w:t xml:space="preserve"> </w:t>
      </w:r>
      <w:r>
        <w:t>advancement,</w:t>
      </w:r>
      <w:r>
        <w:rPr>
          <w:spacing w:val="-5"/>
        </w:rPr>
        <w:t xml:space="preserve"> </w:t>
      </w:r>
      <w:r>
        <w:t>with</w:t>
      </w:r>
      <w:r>
        <w:rPr>
          <w:spacing w:val="-6"/>
        </w:rPr>
        <w:t xml:space="preserve"> </w:t>
      </w:r>
      <w:r>
        <w:t>applications that</w:t>
      </w:r>
      <w:r>
        <w:rPr>
          <w:spacing w:val="-13"/>
        </w:rPr>
        <w:t xml:space="preserve"> </w:t>
      </w:r>
      <w:r>
        <w:t>extend</w:t>
      </w:r>
      <w:r>
        <w:rPr>
          <w:spacing w:val="-16"/>
        </w:rPr>
        <w:t xml:space="preserve"> </w:t>
      </w:r>
      <w:r>
        <w:t>far</w:t>
      </w:r>
      <w:r>
        <w:rPr>
          <w:spacing w:val="-13"/>
        </w:rPr>
        <w:t xml:space="preserve"> </w:t>
      </w:r>
      <w:r>
        <w:t>beyond</w:t>
      </w:r>
      <w:r>
        <w:rPr>
          <w:spacing w:val="-16"/>
        </w:rPr>
        <w:t xml:space="preserve"> </w:t>
      </w:r>
      <w:r>
        <w:t>launch</w:t>
      </w:r>
      <w:r>
        <w:rPr>
          <w:spacing w:val="-13"/>
        </w:rPr>
        <w:t xml:space="preserve"> </w:t>
      </w:r>
      <w:r>
        <w:t>services—from</w:t>
      </w:r>
      <w:r>
        <w:rPr>
          <w:spacing w:val="-13"/>
        </w:rPr>
        <w:t xml:space="preserve"> </w:t>
      </w:r>
      <w:r>
        <w:t>climate</w:t>
      </w:r>
      <w:r>
        <w:rPr>
          <w:spacing w:val="-13"/>
        </w:rPr>
        <w:t xml:space="preserve"> </w:t>
      </w:r>
      <w:r>
        <w:t>monitoring</w:t>
      </w:r>
      <w:r>
        <w:rPr>
          <w:spacing w:val="-14"/>
        </w:rPr>
        <w:t xml:space="preserve"> </w:t>
      </w:r>
      <w:r>
        <w:t>and</w:t>
      </w:r>
      <w:r>
        <w:rPr>
          <w:spacing w:val="-14"/>
        </w:rPr>
        <w:t xml:space="preserve"> </w:t>
      </w:r>
      <w:r>
        <w:t>communications</w:t>
      </w:r>
      <w:r>
        <w:rPr>
          <w:spacing w:val="-13"/>
        </w:rPr>
        <w:t xml:space="preserve"> </w:t>
      </w:r>
      <w:r>
        <w:t>to</w:t>
      </w:r>
      <w:r>
        <w:rPr>
          <w:spacing w:val="-14"/>
        </w:rPr>
        <w:t xml:space="preserve"> </w:t>
      </w:r>
      <w:r>
        <w:t>next- generation materials and AI-driven space technologies.</w:t>
      </w:r>
    </w:p>
    <w:p w:rsidR="003F2028">
      <w:pPr>
        <w:pStyle w:val="BodyText"/>
        <w:spacing w:before="160"/>
        <w:ind w:left="120" w:right="115"/>
        <w:jc w:val="both"/>
      </w:pPr>
      <w:r>
        <w:t>Initiatives</w:t>
      </w:r>
      <w:r>
        <w:rPr>
          <w:spacing w:val="-1"/>
        </w:rPr>
        <w:t xml:space="preserve"> </w:t>
      </w:r>
      <w:r>
        <w:t>like</w:t>
      </w:r>
      <w:r>
        <w:rPr>
          <w:spacing w:val="-2"/>
        </w:rPr>
        <w:t xml:space="preserve"> </w:t>
      </w:r>
      <w:r>
        <w:t>the</w:t>
      </w:r>
      <w:r>
        <w:rPr>
          <w:spacing w:val="-1"/>
        </w:rPr>
        <w:t xml:space="preserve"> </w:t>
      </w:r>
      <w:r>
        <w:t>ELC</w:t>
      </w:r>
      <w:r>
        <w:rPr>
          <w:spacing w:val="-3"/>
        </w:rPr>
        <w:t xml:space="preserve"> </w:t>
      </w:r>
      <w:r>
        <w:t>present</w:t>
      </w:r>
      <w:r>
        <w:rPr>
          <w:spacing w:val="-1"/>
        </w:rPr>
        <w:t xml:space="preserve"> </w:t>
      </w:r>
      <w:r>
        <w:t>an</w:t>
      </w:r>
      <w:r>
        <w:rPr>
          <w:spacing w:val="-2"/>
        </w:rPr>
        <w:t xml:space="preserve"> </w:t>
      </w:r>
      <w:r>
        <w:t>opportunity</w:t>
      </w:r>
      <w:r>
        <w:rPr>
          <w:spacing w:val="-4"/>
        </w:rPr>
        <w:t xml:space="preserve"> </w:t>
      </w:r>
      <w:r>
        <w:t>to</w:t>
      </w:r>
      <w:r>
        <w:rPr>
          <w:spacing w:val="-2"/>
        </w:rPr>
        <w:t xml:space="preserve"> </w:t>
      </w:r>
      <w:r>
        <w:t>address</w:t>
      </w:r>
      <w:r>
        <w:rPr>
          <w:spacing w:val="-2"/>
        </w:rPr>
        <w:t xml:space="preserve"> </w:t>
      </w:r>
      <w:r>
        <w:t>these</w:t>
      </w:r>
      <w:r>
        <w:rPr>
          <w:spacing w:val="-2"/>
        </w:rPr>
        <w:t xml:space="preserve"> </w:t>
      </w:r>
      <w:r>
        <w:t>risks</w:t>
      </w:r>
      <w:r>
        <w:rPr>
          <w:spacing w:val="-4"/>
        </w:rPr>
        <w:t xml:space="preserve"> </w:t>
      </w:r>
      <w:r>
        <w:t>by</w:t>
      </w:r>
      <w:r>
        <w:rPr>
          <w:spacing w:val="-2"/>
        </w:rPr>
        <w:t xml:space="preserve"> </w:t>
      </w:r>
      <w:r>
        <w:t>unlocking</w:t>
      </w:r>
      <w:r>
        <w:rPr>
          <w:spacing w:val="-2"/>
        </w:rPr>
        <w:t xml:space="preserve"> </w:t>
      </w:r>
      <w:r>
        <w:t>substantial funding</w:t>
      </w:r>
      <w:r>
        <w:rPr>
          <w:spacing w:val="-13"/>
        </w:rPr>
        <w:t xml:space="preserve"> </w:t>
      </w:r>
      <w:r>
        <w:t>for</w:t>
      </w:r>
      <w:r>
        <w:rPr>
          <w:spacing w:val="-11"/>
        </w:rPr>
        <w:t xml:space="preserve"> </w:t>
      </w:r>
      <w:r>
        <w:t>Scottish</w:t>
      </w:r>
      <w:r>
        <w:rPr>
          <w:spacing w:val="-12"/>
        </w:rPr>
        <w:t xml:space="preserve"> </w:t>
      </w:r>
      <w:r>
        <w:t>and</w:t>
      </w:r>
      <w:r>
        <w:rPr>
          <w:spacing w:val="-16"/>
        </w:rPr>
        <w:t xml:space="preserve"> </w:t>
      </w:r>
      <w:r>
        <w:t>British</w:t>
      </w:r>
      <w:r>
        <w:rPr>
          <w:spacing w:val="-11"/>
        </w:rPr>
        <w:t xml:space="preserve"> </w:t>
      </w:r>
      <w:r>
        <w:t>businesses.</w:t>
      </w:r>
      <w:r>
        <w:rPr>
          <w:spacing w:val="-11"/>
        </w:rPr>
        <w:t xml:space="preserve"> </w:t>
      </w:r>
      <w:r>
        <w:t>With</w:t>
      </w:r>
      <w:r>
        <w:rPr>
          <w:spacing w:val="-15"/>
        </w:rPr>
        <w:t xml:space="preserve"> </w:t>
      </w:r>
      <w:r>
        <w:t>greater</w:t>
      </w:r>
      <w:r>
        <w:rPr>
          <w:spacing w:val="-11"/>
        </w:rPr>
        <w:t xml:space="preserve"> </w:t>
      </w:r>
      <w:r>
        <w:t>investment</w:t>
      </w:r>
      <w:r>
        <w:rPr>
          <w:spacing w:val="-11"/>
        </w:rPr>
        <w:t xml:space="preserve"> </w:t>
      </w:r>
      <w:r>
        <w:t>in</w:t>
      </w:r>
      <w:r>
        <w:rPr>
          <w:spacing w:val="-12"/>
        </w:rPr>
        <w:t xml:space="preserve"> </w:t>
      </w:r>
      <w:r>
        <w:t>UKSA,</w:t>
      </w:r>
      <w:r>
        <w:rPr>
          <w:spacing w:val="-8"/>
        </w:rPr>
        <w:t xml:space="preserve"> </w:t>
      </w:r>
      <w:r>
        <w:t>HMT</w:t>
      </w:r>
      <w:r>
        <w:rPr>
          <w:spacing w:val="-14"/>
        </w:rPr>
        <w:t xml:space="preserve"> </w:t>
      </w:r>
      <w:r>
        <w:t>could</w:t>
      </w:r>
      <w:r>
        <w:rPr>
          <w:spacing w:val="-12"/>
        </w:rPr>
        <w:t xml:space="preserve"> </w:t>
      </w:r>
      <w:r>
        <w:t xml:space="preserve">help </w:t>
      </w:r>
      <w:r>
        <w:t>catalyse</w:t>
      </w:r>
      <w:r>
        <w:rPr>
          <w:spacing w:val="-16"/>
        </w:rPr>
        <w:t xml:space="preserve"> </w:t>
      </w:r>
      <w:r>
        <w:t>private</w:t>
      </w:r>
      <w:r>
        <w:rPr>
          <w:spacing w:val="-15"/>
        </w:rPr>
        <w:t xml:space="preserve"> </w:t>
      </w:r>
      <w:r>
        <w:t>capital</w:t>
      </w:r>
      <w:r>
        <w:rPr>
          <w:spacing w:val="-15"/>
        </w:rPr>
        <w:t xml:space="preserve"> </w:t>
      </w:r>
      <w:r>
        <w:t>and</w:t>
      </w:r>
      <w:r>
        <w:rPr>
          <w:spacing w:val="-16"/>
        </w:rPr>
        <w:t xml:space="preserve"> </w:t>
      </w:r>
      <w:r>
        <w:t>ensure</w:t>
      </w:r>
      <w:r>
        <w:rPr>
          <w:spacing w:val="-15"/>
        </w:rPr>
        <w:t xml:space="preserve"> </w:t>
      </w:r>
      <w:r>
        <w:t>Scotland</w:t>
      </w:r>
      <w:r>
        <w:rPr>
          <w:spacing w:val="-15"/>
        </w:rPr>
        <w:t xml:space="preserve"> </w:t>
      </w:r>
      <w:r>
        <w:t>remains</w:t>
      </w:r>
      <w:r>
        <w:rPr>
          <w:spacing w:val="-15"/>
        </w:rPr>
        <w:t xml:space="preserve"> </w:t>
      </w:r>
      <w:r>
        <w:t>competitive</w:t>
      </w:r>
      <w:r>
        <w:rPr>
          <w:spacing w:val="-16"/>
        </w:rPr>
        <w:t xml:space="preserve"> </w:t>
      </w:r>
      <w:r>
        <w:t>in</w:t>
      </w:r>
      <w:r>
        <w:rPr>
          <w:spacing w:val="-15"/>
        </w:rPr>
        <w:t xml:space="preserve"> </w:t>
      </w:r>
      <w:r>
        <w:t>a</w:t>
      </w:r>
      <w:r>
        <w:rPr>
          <w:spacing w:val="-15"/>
        </w:rPr>
        <w:t xml:space="preserve"> </w:t>
      </w:r>
      <w:r>
        <w:t>rapidly</w:t>
      </w:r>
      <w:r>
        <w:rPr>
          <w:spacing w:val="-16"/>
        </w:rPr>
        <w:t xml:space="preserve"> </w:t>
      </w:r>
      <w:r>
        <w:t>evolving</w:t>
      </w:r>
      <w:r>
        <w:rPr>
          <w:spacing w:val="-15"/>
        </w:rPr>
        <w:t xml:space="preserve"> </w:t>
      </w:r>
      <w:r>
        <w:t>industry. Without this commitment, Scotland risks being left behind, losing out on economic, security, and technological advantages to better-prepared global competitors.</w:t>
      </w:r>
    </w:p>
    <w:p w:rsidR="003F2028">
      <w:pPr>
        <w:pStyle w:val="Heading2"/>
        <w:spacing w:before="161"/>
      </w:pPr>
      <w:r>
        <w:t>Key</w:t>
      </w:r>
      <w:r>
        <w:rPr>
          <w:spacing w:val="-7"/>
        </w:rPr>
        <w:t xml:space="preserve"> </w:t>
      </w:r>
      <w:r>
        <w:t>opportunities</w:t>
      </w:r>
      <w:r>
        <w:rPr>
          <w:spacing w:val="-3"/>
        </w:rPr>
        <w:t xml:space="preserve"> </w:t>
      </w:r>
      <w:r>
        <w:t>–</w:t>
      </w:r>
      <w:r>
        <w:rPr>
          <w:spacing w:val="-7"/>
        </w:rPr>
        <w:t xml:space="preserve"> </w:t>
      </w:r>
      <w:r>
        <w:t>boosting</w:t>
      </w:r>
      <w:r>
        <w:rPr>
          <w:spacing w:val="-7"/>
        </w:rPr>
        <w:t xml:space="preserve"> </w:t>
      </w:r>
      <w:r>
        <w:t>economic</w:t>
      </w:r>
      <w:r>
        <w:rPr>
          <w:spacing w:val="-4"/>
        </w:rPr>
        <w:t xml:space="preserve"> </w:t>
      </w:r>
      <w:r>
        <w:t>growth</w:t>
      </w:r>
      <w:r>
        <w:rPr>
          <w:spacing w:val="-5"/>
        </w:rPr>
        <w:t xml:space="preserve"> </w:t>
      </w:r>
      <w:r>
        <w:t>through</w:t>
      </w:r>
      <w:r>
        <w:rPr>
          <w:spacing w:val="-7"/>
        </w:rPr>
        <w:t xml:space="preserve"> </w:t>
      </w:r>
      <w:r>
        <w:t>the</w:t>
      </w:r>
      <w:r>
        <w:rPr>
          <w:spacing w:val="-7"/>
        </w:rPr>
        <w:t xml:space="preserve"> </w:t>
      </w:r>
      <w:r>
        <w:t>Scottish</w:t>
      </w:r>
      <w:r>
        <w:rPr>
          <w:spacing w:val="-9"/>
        </w:rPr>
        <w:t xml:space="preserve"> </w:t>
      </w:r>
      <w:r>
        <w:t>space</w:t>
      </w:r>
      <w:r>
        <w:rPr>
          <w:spacing w:val="-4"/>
        </w:rPr>
        <w:t xml:space="preserve"> </w:t>
      </w:r>
      <w:r>
        <w:rPr>
          <w:spacing w:val="-2"/>
        </w:rPr>
        <w:t>sector</w:t>
      </w:r>
    </w:p>
    <w:p w:rsidR="003F2028">
      <w:pPr>
        <w:pStyle w:val="BodyText"/>
        <w:spacing w:before="160"/>
        <w:ind w:left="120" w:right="113"/>
        <w:jc w:val="both"/>
      </w:pPr>
      <w:r>
        <w:t>The space industry has the potential to be a major driver of economic growth for Scotland, creating high-skilled jobs, strengthening supply chains, and enhancing global competitiveness. The global launch and satellite market, valued at $45 billion in 2022, is projected to grow to $63 billion by 2030, with the launch segment alone expanding from $11 billion to $15 billion.</w:t>
      </w:r>
    </w:p>
    <w:p w:rsidR="003F2028">
      <w:pPr>
        <w:pStyle w:val="BodyText"/>
        <w:spacing w:before="252"/>
        <w:ind w:left="120" w:right="114"/>
        <w:jc w:val="both"/>
      </w:pPr>
      <w:r>
        <w:t>Despite this rapid growth, the industry remains supply-constrained, with satellite demand quadrupling</w:t>
      </w:r>
      <w:r>
        <w:rPr>
          <w:spacing w:val="-15"/>
        </w:rPr>
        <w:t xml:space="preserve"> </w:t>
      </w:r>
      <w:r>
        <w:t>between</w:t>
      </w:r>
      <w:r>
        <w:rPr>
          <w:spacing w:val="-14"/>
        </w:rPr>
        <w:t xml:space="preserve"> </w:t>
      </w:r>
      <w:r>
        <w:t>2017</w:t>
      </w:r>
      <w:r>
        <w:rPr>
          <w:spacing w:val="-13"/>
        </w:rPr>
        <w:t xml:space="preserve"> </w:t>
      </w:r>
      <w:r>
        <w:t>and</w:t>
      </w:r>
      <w:r>
        <w:rPr>
          <w:spacing w:val="-14"/>
        </w:rPr>
        <w:t xml:space="preserve"> </w:t>
      </w:r>
      <w:r>
        <w:t>2022</w:t>
      </w:r>
      <w:r>
        <w:rPr>
          <w:spacing w:val="-14"/>
        </w:rPr>
        <w:t xml:space="preserve"> </w:t>
      </w:r>
      <w:r>
        <w:t>and</w:t>
      </w:r>
      <w:r>
        <w:rPr>
          <w:spacing w:val="-14"/>
        </w:rPr>
        <w:t xml:space="preserve"> </w:t>
      </w:r>
      <w:r>
        <w:t>a</w:t>
      </w:r>
      <w:r>
        <w:rPr>
          <w:spacing w:val="-16"/>
        </w:rPr>
        <w:t xml:space="preserve"> </w:t>
      </w:r>
      <w:r>
        <w:t>two-year</w:t>
      </w:r>
      <w:r>
        <w:rPr>
          <w:spacing w:val="-12"/>
        </w:rPr>
        <w:t xml:space="preserve"> </w:t>
      </w:r>
      <w:r>
        <w:t>waitlist</w:t>
      </w:r>
      <w:r>
        <w:rPr>
          <w:spacing w:val="-12"/>
        </w:rPr>
        <w:t xml:space="preserve"> </w:t>
      </w:r>
      <w:r>
        <w:t>for</w:t>
      </w:r>
      <w:r>
        <w:rPr>
          <w:spacing w:val="-13"/>
        </w:rPr>
        <w:t xml:space="preserve"> </w:t>
      </w:r>
      <w:r>
        <w:t>launch</w:t>
      </w:r>
      <w:r>
        <w:rPr>
          <w:spacing w:val="-14"/>
        </w:rPr>
        <w:t xml:space="preserve"> </w:t>
      </w:r>
      <w:r>
        <w:t>capacity</w:t>
      </w:r>
      <w:r>
        <w:rPr>
          <w:spacing w:val="-13"/>
        </w:rPr>
        <w:t xml:space="preserve"> </w:t>
      </w:r>
      <w:r>
        <w:t>in</w:t>
      </w:r>
      <w:r>
        <w:rPr>
          <w:spacing w:val="-14"/>
        </w:rPr>
        <w:t xml:space="preserve"> </w:t>
      </w:r>
      <w:r>
        <w:t>the</w:t>
      </w:r>
      <w:r>
        <w:rPr>
          <w:spacing w:val="-16"/>
        </w:rPr>
        <w:t xml:space="preserve"> </w:t>
      </w:r>
      <w:r>
        <w:t>Western world. This presents a significant opportunity for the UK and Scotland to establish itself as a key</w:t>
      </w:r>
      <w:r>
        <w:rPr>
          <w:spacing w:val="-3"/>
        </w:rPr>
        <w:t xml:space="preserve"> </w:t>
      </w:r>
      <w:r>
        <w:t>player</w:t>
      </w:r>
      <w:r>
        <w:rPr>
          <w:spacing w:val="-2"/>
        </w:rPr>
        <w:t xml:space="preserve"> </w:t>
      </w:r>
      <w:r>
        <w:t>in</w:t>
      </w:r>
      <w:r>
        <w:rPr>
          <w:spacing w:val="-7"/>
        </w:rPr>
        <w:t xml:space="preserve"> </w:t>
      </w:r>
      <w:r>
        <w:t>the</w:t>
      </w:r>
      <w:r>
        <w:rPr>
          <w:spacing w:val="-5"/>
        </w:rPr>
        <w:t xml:space="preserve"> </w:t>
      </w:r>
      <w:r>
        <w:t>market,</w:t>
      </w:r>
      <w:r>
        <w:rPr>
          <w:spacing w:val="-6"/>
        </w:rPr>
        <w:t xml:space="preserve"> </w:t>
      </w:r>
      <w:r>
        <w:t>but</w:t>
      </w:r>
      <w:r>
        <w:rPr>
          <w:spacing w:val="-1"/>
        </w:rPr>
        <w:t xml:space="preserve"> </w:t>
      </w:r>
      <w:r>
        <w:t>unlocking</w:t>
      </w:r>
      <w:r>
        <w:rPr>
          <w:spacing w:val="-5"/>
        </w:rPr>
        <w:t xml:space="preserve"> </w:t>
      </w:r>
      <w:r>
        <w:t>this</w:t>
      </w:r>
      <w:r>
        <w:rPr>
          <w:spacing w:val="-2"/>
        </w:rPr>
        <w:t xml:space="preserve"> </w:t>
      </w:r>
      <w:r>
        <w:t>potential</w:t>
      </w:r>
      <w:r>
        <w:rPr>
          <w:spacing w:val="-4"/>
        </w:rPr>
        <w:t xml:space="preserve"> </w:t>
      </w:r>
      <w:r>
        <w:t>requires</w:t>
      </w:r>
      <w:r>
        <w:rPr>
          <w:spacing w:val="-5"/>
        </w:rPr>
        <w:t xml:space="preserve"> </w:t>
      </w:r>
      <w:r>
        <w:t>sustained</w:t>
      </w:r>
      <w:r>
        <w:rPr>
          <w:spacing w:val="-2"/>
        </w:rPr>
        <w:t xml:space="preserve"> </w:t>
      </w:r>
      <w:r>
        <w:t>Government</w:t>
      </w:r>
      <w:r>
        <w:rPr>
          <w:spacing w:val="-3"/>
        </w:rPr>
        <w:t xml:space="preserve"> </w:t>
      </w:r>
      <w:r>
        <w:t>support.</w:t>
      </w:r>
    </w:p>
    <w:p w:rsidR="003F2028">
      <w:pPr>
        <w:pStyle w:val="BodyText"/>
      </w:pPr>
    </w:p>
    <w:p w:rsidR="003F2028">
      <w:pPr>
        <w:pStyle w:val="BodyText"/>
        <w:ind w:left="120"/>
        <w:jc w:val="both"/>
      </w:pPr>
      <w:r>
        <w:t>We</w:t>
      </w:r>
      <w:r>
        <w:rPr>
          <w:spacing w:val="-4"/>
        </w:rPr>
        <w:t xml:space="preserve"> </w:t>
      </w:r>
      <w:r>
        <w:t>are</w:t>
      </w:r>
      <w:r>
        <w:rPr>
          <w:spacing w:val="-4"/>
        </w:rPr>
        <w:t xml:space="preserve"> </w:t>
      </w:r>
      <w:r>
        <w:t>calling</w:t>
      </w:r>
      <w:r>
        <w:rPr>
          <w:spacing w:val="-4"/>
        </w:rPr>
        <w:t xml:space="preserve"> </w:t>
      </w:r>
      <w:r>
        <w:t>for</w:t>
      </w:r>
      <w:r>
        <w:rPr>
          <w:spacing w:val="-5"/>
        </w:rPr>
        <w:t xml:space="preserve"> </w:t>
      </w:r>
      <w:r>
        <w:t>the</w:t>
      </w:r>
      <w:r>
        <w:rPr>
          <w:spacing w:val="-4"/>
        </w:rPr>
        <w:t xml:space="preserve"> </w:t>
      </w:r>
      <w:r>
        <w:t>UK</w:t>
      </w:r>
      <w:r>
        <w:rPr>
          <w:spacing w:val="-7"/>
        </w:rPr>
        <w:t xml:space="preserve"> </w:t>
      </w:r>
      <w:r>
        <w:t>Government</w:t>
      </w:r>
      <w:r>
        <w:rPr>
          <w:spacing w:val="-5"/>
        </w:rPr>
        <w:t xml:space="preserve"> to:</w:t>
      </w:r>
    </w:p>
    <w:p w:rsidR="003F2028">
      <w:pPr>
        <w:pStyle w:val="BodyText"/>
      </w:pPr>
    </w:p>
    <w:p w:rsidR="003F2028">
      <w:pPr>
        <w:pStyle w:val="ListParagraph"/>
        <w:numPr>
          <w:ilvl w:val="0"/>
          <w:numId w:val="2"/>
        </w:numPr>
        <w:tabs>
          <w:tab w:val="left" w:pos="840"/>
        </w:tabs>
        <w:spacing w:before="1"/>
        <w:ind w:right="114"/>
      </w:pPr>
      <w:r>
        <w:rPr>
          <w:b/>
        </w:rPr>
        <w:t xml:space="preserve">Increase investment in the UK Space Agency (UKSA): </w:t>
      </w:r>
      <w:r>
        <w:t>Providing UKSA with additional resources will ensure long-term growth and competitiveness. It will also enable the UK to participate in ESA’s European Launcher Challenge, strengthening domestic</w:t>
      </w:r>
      <w:r>
        <w:rPr>
          <w:spacing w:val="-10"/>
        </w:rPr>
        <w:t xml:space="preserve"> </w:t>
      </w:r>
      <w:r>
        <w:t>launch</w:t>
      </w:r>
      <w:r>
        <w:rPr>
          <w:spacing w:val="-13"/>
        </w:rPr>
        <w:t xml:space="preserve"> </w:t>
      </w:r>
      <w:r>
        <w:t>capabilities,</w:t>
      </w:r>
      <w:r>
        <w:rPr>
          <w:spacing w:val="-9"/>
        </w:rPr>
        <w:t xml:space="preserve"> </w:t>
      </w:r>
      <w:r>
        <w:t>boosting</w:t>
      </w:r>
      <w:r>
        <w:rPr>
          <w:spacing w:val="-9"/>
        </w:rPr>
        <w:t xml:space="preserve"> </w:t>
      </w:r>
      <w:r>
        <w:t>Scottish</w:t>
      </w:r>
      <w:r>
        <w:rPr>
          <w:spacing w:val="-9"/>
        </w:rPr>
        <w:t xml:space="preserve"> </w:t>
      </w:r>
      <w:r>
        <w:t>exports,</w:t>
      </w:r>
      <w:r>
        <w:rPr>
          <w:spacing w:val="-9"/>
        </w:rPr>
        <w:t xml:space="preserve"> </w:t>
      </w:r>
      <w:r>
        <w:t>and</w:t>
      </w:r>
      <w:r>
        <w:rPr>
          <w:spacing w:val="-10"/>
        </w:rPr>
        <w:t xml:space="preserve"> </w:t>
      </w:r>
      <w:r>
        <w:t>driving</w:t>
      </w:r>
      <w:r>
        <w:rPr>
          <w:spacing w:val="-10"/>
        </w:rPr>
        <w:t xml:space="preserve"> </w:t>
      </w:r>
      <w:r>
        <w:t>regional</w:t>
      </w:r>
      <w:r>
        <w:rPr>
          <w:spacing w:val="-11"/>
        </w:rPr>
        <w:t xml:space="preserve"> </w:t>
      </w:r>
      <w:r>
        <w:t xml:space="preserve">economic </w:t>
      </w:r>
      <w:r>
        <w:rPr>
          <w:spacing w:val="-2"/>
        </w:rPr>
        <w:t>development.</w:t>
      </w:r>
    </w:p>
    <w:p w:rsidR="003F2028">
      <w:pPr>
        <w:pStyle w:val="ListParagraph"/>
        <w:numPr>
          <w:ilvl w:val="0"/>
          <w:numId w:val="2"/>
        </w:numPr>
        <w:tabs>
          <w:tab w:val="left" w:pos="840"/>
        </w:tabs>
        <w:spacing w:before="161"/>
        <w:ind w:right="113"/>
      </w:pPr>
      <w:r>
        <w:rPr>
          <w:b/>
        </w:rPr>
        <w:t xml:space="preserve">Leverage existing investment vehicles: </w:t>
      </w:r>
      <w:r>
        <w:t>High-impact industries like space must be supported through national investment mechanisms. Institutional investors, including the National Wealth Fund (NWF), should incorporate space within their mandate to ensure long-term financial backing.</w:t>
      </w:r>
    </w:p>
    <w:p w:rsidR="003F2028">
      <w:pPr>
        <w:pStyle w:val="ListParagraph"/>
        <w:numPr>
          <w:ilvl w:val="0"/>
          <w:numId w:val="2"/>
        </w:numPr>
        <w:tabs>
          <w:tab w:val="left" w:pos="840"/>
        </w:tabs>
        <w:ind w:right="110"/>
      </w:pPr>
      <w:r>
        <w:rPr>
          <w:b/>
        </w:rPr>
        <w:t>A</w:t>
      </w:r>
      <w:r>
        <w:rPr>
          <w:b/>
          <w:spacing w:val="-2"/>
        </w:rPr>
        <w:t xml:space="preserve"> </w:t>
      </w:r>
      <w:r>
        <w:rPr>
          <w:b/>
        </w:rPr>
        <w:t>strong</w:t>
      </w:r>
      <w:r>
        <w:rPr>
          <w:b/>
          <w:spacing w:val="-7"/>
        </w:rPr>
        <w:t xml:space="preserve"> </w:t>
      </w:r>
      <w:r>
        <w:rPr>
          <w:b/>
        </w:rPr>
        <w:t>Industrial</w:t>
      </w:r>
      <w:r>
        <w:rPr>
          <w:b/>
          <w:spacing w:val="-5"/>
        </w:rPr>
        <w:t xml:space="preserve"> </w:t>
      </w:r>
      <w:r>
        <w:rPr>
          <w:b/>
        </w:rPr>
        <w:t>Strategy</w:t>
      </w:r>
      <w:r>
        <w:rPr>
          <w:b/>
          <w:spacing w:val="-6"/>
        </w:rPr>
        <w:t xml:space="preserve"> </w:t>
      </w:r>
      <w:r>
        <w:rPr>
          <w:b/>
        </w:rPr>
        <w:t>for</w:t>
      </w:r>
      <w:r>
        <w:rPr>
          <w:b/>
          <w:spacing w:val="-4"/>
        </w:rPr>
        <w:t xml:space="preserve"> </w:t>
      </w:r>
      <w:r>
        <w:rPr>
          <w:b/>
        </w:rPr>
        <w:t>space:</w:t>
      </w:r>
      <w:r>
        <w:rPr>
          <w:b/>
          <w:spacing w:val="-3"/>
        </w:rPr>
        <w:t xml:space="preserve"> </w:t>
      </w:r>
      <w:r>
        <w:t>Space</w:t>
      </w:r>
      <w:r>
        <w:rPr>
          <w:spacing w:val="-6"/>
        </w:rPr>
        <w:t xml:space="preserve"> </w:t>
      </w:r>
      <w:r>
        <w:t>must</w:t>
      </w:r>
      <w:r>
        <w:rPr>
          <w:spacing w:val="-5"/>
        </w:rPr>
        <w:t xml:space="preserve"> </w:t>
      </w:r>
      <w:r>
        <w:t>be</w:t>
      </w:r>
      <w:r>
        <w:rPr>
          <w:spacing w:val="-7"/>
        </w:rPr>
        <w:t xml:space="preserve"> </w:t>
      </w:r>
      <w:r>
        <w:t>central</w:t>
      </w:r>
      <w:r>
        <w:rPr>
          <w:spacing w:val="-5"/>
        </w:rPr>
        <w:t xml:space="preserve"> </w:t>
      </w:r>
      <w:r>
        <w:t>to</w:t>
      </w:r>
      <w:r>
        <w:rPr>
          <w:spacing w:val="-9"/>
        </w:rPr>
        <w:t xml:space="preserve"> </w:t>
      </w:r>
      <w:r>
        <w:t>the</w:t>
      </w:r>
      <w:r>
        <w:rPr>
          <w:spacing w:val="-4"/>
        </w:rPr>
        <w:t xml:space="preserve"> </w:t>
      </w:r>
      <w:r>
        <w:t>UK’s</w:t>
      </w:r>
      <w:r>
        <w:rPr>
          <w:spacing w:val="-4"/>
        </w:rPr>
        <w:t xml:space="preserve"> </w:t>
      </w:r>
      <w:r>
        <w:t xml:space="preserve">industrial strategy, with increased funding and better coordination between Government and industry to accelerate growth, innovation, and global market leadership. We want to see a sub sector deal for Space specifically that </w:t>
      </w:r>
      <w:r>
        <w:t>recognises</w:t>
      </w:r>
      <w:r>
        <w:t xml:space="preserve"> the importance of launch and the value of the Scottish Space sector.</w:t>
      </w:r>
    </w:p>
    <w:p w:rsidR="003F2028">
      <w:pPr>
        <w:jc w:val="both"/>
        <w:sectPr>
          <w:pgSz w:w="11910" w:h="16840"/>
          <w:pgMar w:top="1920" w:right="1320" w:bottom="900" w:left="1320" w:header="776" w:footer="707" w:gutter="0"/>
          <w:cols w:space="720"/>
        </w:sectPr>
      </w:pPr>
    </w:p>
    <w:p w:rsidR="003F2028">
      <w:pPr>
        <w:pStyle w:val="ListParagraph"/>
        <w:numPr>
          <w:ilvl w:val="0"/>
          <w:numId w:val="2"/>
        </w:numPr>
        <w:tabs>
          <w:tab w:val="left" w:pos="840"/>
        </w:tabs>
        <w:spacing w:before="111"/>
        <w:ind w:right="112"/>
      </w:pPr>
      <w:r>
        <w:rPr>
          <w:b/>
        </w:rPr>
        <w:t>Recognition</w:t>
      </w:r>
      <w:r>
        <w:rPr>
          <w:b/>
          <w:spacing w:val="-6"/>
        </w:rPr>
        <w:t xml:space="preserve"> </w:t>
      </w:r>
      <w:r>
        <w:rPr>
          <w:b/>
        </w:rPr>
        <w:t>of</w:t>
      </w:r>
      <w:r>
        <w:rPr>
          <w:b/>
          <w:spacing w:val="-2"/>
        </w:rPr>
        <w:t xml:space="preserve"> </w:t>
      </w:r>
      <w:r>
        <w:rPr>
          <w:b/>
        </w:rPr>
        <w:t>Scotland’s</w:t>
      </w:r>
      <w:r>
        <w:rPr>
          <w:b/>
          <w:spacing w:val="-2"/>
        </w:rPr>
        <w:t xml:space="preserve"> </w:t>
      </w:r>
      <w:r>
        <w:rPr>
          <w:b/>
        </w:rPr>
        <w:t>status</w:t>
      </w:r>
      <w:r>
        <w:rPr>
          <w:b/>
          <w:spacing w:val="-5"/>
        </w:rPr>
        <w:t xml:space="preserve"> </w:t>
      </w:r>
      <w:r>
        <w:rPr>
          <w:b/>
        </w:rPr>
        <w:t>as</w:t>
      </w:r>
      <w:r>
        <w:rPr>
          <w:b/>
          <w:spacing w:val="-5"/>
        </w:rPr>
        <w:t xml:space="preserve"> </w:t>
      </w:r>
      <w:r>
        <w:rPr>
          <w:b/>
        </w:rPr>
        <w:t>the</w:t>
      </w:r>
      <w:r>
        <w:rPr>
          <w:b/>
          <w:spacing w:val="-6"/>
        </w:rPr>
        <w:t xml:space="preserve"> </w:t>
      </w:r>
      <w:r>
        <w:rPr>
          <w:b/>
        </w:rPr>
        <w:t>capital</w:t>
      </w:r>
      <w:r>
        <w:rPr>
          <w:b/>
          <w:spacing w:val="-1"/>
        </w:rPr>
        <w:t xml:space="preserve"> </w:t>
      </w:r>
      <w:r>
        <w:rPr>
          <w:b/>
        </w:rPr>
        <w:t>of</w:t>
      </w:r>
      <w:r>
        <w:rPr>
          <w:b/>
          <w:spacing w:val="-4"/>
        </w:rPr>
        <w:t xml:space="preserve"> </w:t>
      </w:r>
      <w:r>
        <w:rPr>
          <w:b/>
        </w:rPr>
        <w:t>the</w:t>
      </w:r>
      <w:r>
        <w:rPr>
          <w:b/>
          <w:spacing w:val="-6"/>
        </w:rPr>
        <w:t xml:space="preserve"> </w:t>
      </w:r>
      <w:r>
        <w:rPr>
          <w:b/>
        </w:rPr>
        <w:t>UK</w:t>
      </w:r>
      <w:r>
        <w:rPr>
          <w:b/>
          <w:spacing w:val="-3"/>
        </w:rPr>
        <w:t xml:space="preserve"> </w:t>
      </w:r>
      <w:r>
        <w:rPr>
          <w:b/>
        </w:rPr>
        <w:t>space</w:t>
      </w:r>
      <w:r>
        <w:rPr>
          <w:b/>
          <w:spacing w:val="-5"/>
        </w:rPr>
        <w:t xml:space="preserve"> </w:t>
      </w:r>
      <w:r>
        <w:rPr>
          <w:b/>
        </w:rPr>
        <w:t xml:space="preserve">sector: </w:t>
      </w:r>
      <w:r>
        <w:t>Scotland is</w:t>
      </w:r>
      <w:r>
        <w:rPr>
          <w:spacing w:val="-5"/>
        </w:rPr>
        <w:t xml:space="preserve"> </w:t>
      </w:r>
      <w:r>
        <w:t>the</w:t>
      </w:r>
      <w:r>
        <w:rPr>
          <w:spacing w:val="-6"/>
        </w:rPr>
        <w:t xml:space="preserve"> </w:t>
      </w:r>
      <w:r>
        <w:t>crown</w:t>
      </w:r>
      <w:r>
        <w:rPr>
          <w:spacing w:val="-8"/>
        </w:rPr>
        <w:t xml:space="preserve"> </w:t>
      </w:r>
      <w:r>
        <w:t>jewel</w:t>
      </w:r>
      <w:r>
        <w:rPr>
          <w:spacing w:val="-6"/>
        </w:rPr>
        <w:t xml:space="preserve"> </w:t>
      </w:r>
      <w:r>
        <w:t>of</w:t>
      </w:r>
      <w:r>
        <w:rPr>
          <w:spacing w:val="-7"/>
        </w:rPr>
        <w:t xml:space="preserve"> </w:t>
      </w:r>
      <w:r>
        <w:t>the</w:t>
      </w:r>
      <w:r>
        <w:rPr>
          <w:spacing w:val="-8"/>
        </w:rPr>
        <w:t xml:space="preserve"> </w:t>
      </w:r>
      <w:r>
        <w:t>UK’s</w:t>
      </w:r>
      <w:r>
        <w:rPr>
          <w:spacing w:val="-5"/>
        </w:rPr>
        <w:t xml:space="preserve"> </w:t>
      </w:r>
      <w:r>
        <w:t>space</w:t>
      </w:r>
      <w:r>
        <w:rPr>
          <w:spacing w:val="-5"/>
        </w:rPr>
        <w:t xml:space="preserve"> </w:t>
      </w:r>
      <w:r>
        <w:t>sector</w:t>
      </w:r>
      <w:r>
        <w:rPr>
          <w:spacing w:val="-6"/>
        </w:rPr>
        <w:t xml:space="preserve"> </w:t>
      </w:r>
      <w:r>
        <w:t>and</w:t>
      </w:r>
      <w:r>
        <w:rPr>
          <w:spacing w:val="-5"/>
        </w:rPr>
        <w:t xml:space="preserve"> </w:t>
      </w:r>
      <w:r>
        <w:t>should</w:t>
      </w:r>
      <w:r>
        <w:rPr>
          <w:spacing w:val="-5"/>
        </w:rPr>
        <w:t xml:space="preserve"> </w:t>
      </w:r>
      <w:r>
        <w:t>be</w:t>
      </w:r>
      <w:r>
        <w:rPr>
          <w:spacing w:val="-6"/>
        </w:rPr>
        <w:t xml:space="preserve"> </w:t>
      </w:r>
      <w:r>
        <w:t>acknowledged</w:t>
      </w:r>
      <w:r>
        <w:rPr>
          <w:spacing w:val="-5"/>
        </w:rPr>
        <w:t xml:space="preserve"> </w:t>
      </w:r>
      <w:r>
        <w:t>as</w:t>
      </w:r>
      <w:r>
        <w:rPr>
          <w:spacing w:val="-5"/>
        </w:rPr>
        <w:t xml:space="preserve"> </w:t>
      </w:r>
      <w:r>
        <w:t>such.</w:t>
      </w:r>
      <w:r>
        <w:rPr>
          <w:spacing w:val="-6"/>
        </w:rPr>
        <w:t xml:space="preserve"> </w:t>
      </w:r>
      <w:r>
        <w:t>We believe the UK and Scottish Governments should play a bigger role in supporting domestic launch services by becoming customers of Scottish launch businesses.</w:t>
      </w:r>
    </w:p>
    <w:p w:rsidR="003F2028">
      <w:pPr>
        <w:pStyle w:val="Heading2"/>
        <w:numPr>
          <w:ilvl w:val="0"/>
          <w:numId w:val="1"/>
        </w:numPr>
        <w:tabs>
          <w:tab w:val="left" w:pos="838"/>
        </w:tabs>
        <w:spacing w:before="162"/>
        <w:ind w:left="838" w:hanging="358"/>
      </w:pPr>
      <w:r>
        <w:t>Supporting</w:t>
      </w:r>
      <w:r>
        <w:rPr>
          <w:spacing w:val="-9"/>
        </w:rPr>
        <w:t xml:space="preserve"> </w:t>
      </w:r>
      <w:r>
        <w:t>economic</w:t>
      </w:r>
      <w:r>
        <w:rPr>
          <w:spacing w:val="-8"/>
        </w:rPr>
        <w:t xml:space="preserve"> </w:t>
      </w:r>
      <w:r>
        <w:rPr>
          <w:spacing w:val="-2"/>
        </w:rPr>
        <w:t>growth</w:t>
      </w:r>
    </w:p>
    <w:p w:rsidR="003F2028">
      <w:pPr>
        <w:spacing w:before="160"/>
        <w:ind w:left="120"/>
        <w:jc w:val="both"/>
        <w:rPr>
          <w:i/>
        </w:rPr>
      </w:pPr>
      <w:r>
        <w:rPr>
          <w:i/>
        </w:rPr>
        <w:t>Job</w:t>
      </w:r>
      <w:r>
        <w:rPr>
          <w:i/>
          <w:spacing w:val="-2"/>
        </w:rPr>
        <w:t xml:space="preserve"> creation</w:t>
      </w:r>
    </w:p>
    <w:p w:rsidR="003F2028">
      <w:pPr>
        <w:pStyle w:val="BodyText"/>
        <w:rPr>
          <w:i/>
        </w:rPr>
      </w:pPr>
    </w:p>
    <w:p w:rsidR="003F2028">
      <w:pPr>
        <w:pStyle w:val="BodyText"/>
        <w:ind w:left="120" w:right="112"/>
        <w:jc w:val="both"/>
      </w:pPr>
      <w:r>
        <w:t xml:space="preserve">With the planned scale-up of Prime and the development of Proxima, </w:t>
      </w:r>
      <w:r>
        <w:t>Orbex</w:t>
      </w:r>
      <w:r>
        <w:t xml:space="preserve"> aims to expand its</w:t>
      </w:r>
      <w:r>
        <w:rPr>
          <w:spacing w:val="-3"/>
        </w:rPr>
        <w:t xml:space="preserve"> </w:t>
      </w:r>
      <w:r>
        <w:t>workforce</w:t>
      </w:r>
      <w:r>
        <w:rPr>
          <w:spacing w:val="-6"/>
        </w:rPr>
        <w:t xml:space="preserve"> </w:t>
      </w:r>
      <w:r>
        <w:t>to</w:t>
      </w:r>
      <w:r>
        <w:rPr>
          <w:spacing w:val="-4"/>
        </w:rPr>
        <w:t xml:space="preserve"> </w:t>
      </w:r>
      <w:r>
        <w:t>570</w:t>
      </w:r>
      <w:r>
        <w:rPr>
          <w:spacing w:val="-4"/>
        </w:rPr>
        <w:t xml:space="preserve"> </w:t>
      </w:r>
      <w:r>
        <w:t>employees</w:t>
      </w:r>
      <w:r>
        <w:rPr>
          <w:spacing w:val="-3"/>
        </w:rPr>
        <w:t xml:space="preserve"> </w:t>
      </w:r>
      <w:r>
        <w:t>by</w:t>
      </w:r>
      <w:r>
        <w:rPr>
          <w:spacing w:val="-4"/>
        </w:rPr>
        <w:t xml:space="preserve"> </w:t>
      </w:r>
      <w:r>
        <w:t>2030</w:t>
      </w:r>
      <w:r>
        <w:rPr>
          <w:spacing w:val="-4"/>
        </w:rPr>
        <w:t xml:space="preserve"> </w:t>
      </w:r>
      <w:r>
        <w:t>(2.75x</w:t>
      </w:r>
      <w:r>
        <w:rPr>
          <w:spacing w:val="-3"/>
        </w:rPr>
        <w:t xml:space="preserve"> </w:t>
      </w:r>
      <w:r>
        <w:t>its</w:t>
      </w:r>
      <w:r>
        <w:rPr>
          <w:spacing w:val="-6"/>
        </w:rPr>
        <w:t xml:space="preserve"> </w:t>
      </w:r>
      <w:r>
        <w:t>current</w:t>
      </w:r>
      <w:r>
        <w:rPr>
          <w:spacing w:val="-2"/>
        </w:rPr>
        <w:t xml:space="preserve"> </w:t>
      </w:r>
      <w:r>
        <w:t>size).</w:t>
      </w:r>
      <w:r>
        <w:rPr>
          <w:spacing w:val="-2"/>
        </w:rPr>
        <w:t xml:space="preserve"> </w:t>
      </w:r>
      <w:r>
        <w:t>These</w:t>
      </w:r>
      <w:r>
        <w:rPr>
          <w:spacing w:val="-7"/>
        </w:rPr>
        <w:t xml:space="preserve"> </w:t>
      </w:r>
      <w:r>
        <w:t>roles</w:t>
      </w:r>
      <w:r>
        <w:rPr>
          <w:spacing w:val="-3"/>
        </w:rPr>
        <w:t xml:space="preserve"> </w:t>
      </w:r>
      <w:r>
        <w:t>are</w:t>
      </w:r>
      <w:r>
        <w:rPr>
          <w:spacing w:val="-3"/>
        </w:rPr>
        <w:t xml:space="preserve"> </w:t>
      </w:r>
      <w:r>
        <w:t>not</w:t>
      </w:r>
      <w:r>
        <w:rPr>
          <w:spacing w:val="-5"/>
        </w:rPr>
        <w:t xml:space="preserve"> </w:t>
      </w:r>
      <w:r>
        <w:t>only</w:t>
      </w:r>
      <w:r>
        <w:rPr>
          <w:spacing w:val="-4"/>
        </w:rPr>
        <w:t xml:space="preserve"> </w:t>
      </w:r>
      <w:r>
        <w:t>new but also high-earning technical jobs in an industry poised for significant growth. The average salary</w:t>
      </w:r>
      <w:r>
        <w:rPr>
          <w:spacing w:val="-15"/>
        </w:rPr>
        <w:t xml:space="preserve"> </w:t>
      </w:r>
      <w:r>
        <w:t>in</w:t>
      </w:r>
      <w:r>
        <w:rPr>
          <w:spacing w:val="-15"/>
        </w:rPr>
        <w:t xml:space="preserve"> </w:t>
      </w:r>
      <w:r>
        <w:t>Orbex</w:t>
      </w:r>
      <w:r>
        <w:rPr>
          <w:spacing w:val="-12"/>
        </w:rPr>
        <w:t xml:space="preserve"> </w:t>
      </w:r>
      <w:r>
        <w:t>is</w:t>
      </w:r>
      <w:r>
        <w:rPr>
          <w:spacing w:val="-16"/>
        </w:rPr>
        <w:t xml:space="preserve"> </w:t>
      </w:r>
      <w:r>
        <w:t>£68,000,</w:t>
      </w:r>
      <w:r>
        <w:rPr>
          <w:spacing w:val="-11"/>
        </w:rPr>
        <w:t xml:space="preserve"> </w:t>
      </w:r>
      <w:r>
        <w:t>2.4x</w:t>
      </w:r>
      <w:r>
        <w:rPr>
          <w:spacing w:val="-16"/>
        </w:rPr>
        <w:t xml:space="preserve"> </w:t>
      </w:r>
      <w:r>
        <w:t>higher</w:t>
      </w:r>
      <w:r>
        <w:rPr>
          <w:spacing w:val="-14"/>
        </w:rPr>
        <w:t xml:space="preserve"> </w:t>
      </w:r>
      <w:r>
        <w:t>than</w:t>
      </w:r>
      <w:r>
        <w:rPr>
          <w:spacing w:val="-16"/>
        </w:rPr>
        <w:t xml:space="preserve"> </w:t>
      </w:r>
      <w:r>
        <w:t>the</w:t>
      </w:r>
      <w:r>
        <w:rPr>
          <w:spacing w:val="-15"/>
        </w:rPr>
        <w:t xml:space="preserve"> </w:t>
      </w:r>
      <w:r>
        <w:t>UK</w:t>
      </w:r>
      <w:r>
        <w:rPr>
          <w:spacing w:val="-13"/>
        </w:rPr>
        <w:t xml:space="preserve"> </w:t>
      </w:r>
      <w:r>
        <w:t>median</w:t>
      </w:r>
      <w:r>
        <w:rPr>
          <w:spacing w:val="-14"/>
        </w:rPr>
        <w:t xml:space="preserve"> </w:t>
      </w:r>
      <w:r>
        <w:t>pay</w:t>
      </w:r>
      <w:r>
        <w:rPr>
          <w:spacing w:val="-13"/>
        </w:rPr>
        <w:t xml:space="preserve"> </w:t>
      </w:r>
      <w:r>
        <w:t>in</w:t>
      </w:r>
      <w:r>
        <w:rPr>
          <w:spacing w:val="-14"/>
        </w:rPr>
        <w:t xml:space="preserve"> </w:t>
      </w:r>
      <w:r>
        <w:t>2022</w:t>
      </w:r>
      <w:r>
        <w:rPr>
          <w:spacing w:val="-14"/>
        </w:rPr>
        <w:t xml:space="preserve"> </w:t>
      </w:r>
      <w:r>
        <w:t>according</w:t>
      </w:r>
      <w:r>
        <w:rPr>
          <w:spacing w:val="-13"/>
        </w:rPr>
        <w:t xml:space="preserve"> </w:t>
      </w:r>
      <w:r>
        <w:t>to</w:t>
      </w:r>
      <w:r>
        <w:rPr>
          <w:spacing w:val="-16"/>
        </w:rPr>
        <w:t xml:space="preserve"> </w:t>
      </w:r>
      <w:r>
        <w:t>the</w:t>
      </w:r>
      <w:r>
        <w:rPr>
          <w:spacing w:val="-15"/>
        </w:rPr>
        <w:t xml:space="preserve"> </w:t>
      </w:r>
      <w:r>
        <w:t>Office for National Statistics.</w:t>
      </w:r>
    </w:p>
    <w:p w:rsidR="003F2028">
      <w:pPr>
        <w:pStyle w:val="BodyText"/>
      </w:pPr>
    </w:p>
    <w:p w:rsidR="003F2028">
      <w:pPr>
        <w:pStyle w:val="BodyText"/>
        <w:ind w:left="120" w:right="113"/>
        <w:jc w:val="both"/>
      </w:pPr>
      <w:r>
        <w:t xml:space="preserve">However, this expansion can only occur if the UK Government continues to show its confidence in the sector and its growth potential. Funding UKSA and providing a </w:t>
      </w:r>
      <w:r>
        <w:t>favourable</w:t>
      </w:r>
      <w:r>
        <w:t xml:space="preserve"> business landscape will allow businesses like </w:t>
      </w:r>
      <w:r>
        <w:t>Orbex</w:t>
      </w:r>
      <w:r>
        <w:t xml:space="preserve"> to thrive.</w:t>
      </w:r>
    </w:p>
    <w:p w:rsidR="003F2028">
      <w:pPr>
        <w:pStyle w:val="BodyText"/>
        <w:spacing w:before="1"/>
      </w:pPr>
    </w:p>
    <w:p w:rsidR="003F2028">
      <w:pPr>
        <w:pStyle w:val="BodyText"/>
        <w:ind w:left="120" w:right="113"/>
        <w:jc w:val="both"/>
      </w:pPr>
      <w:r>
        <w:t>Orbex’s</w:t>
      </w:r>
      <w:r>
        <w:t xml:space="preserve"> primarily Scottish-based job base will benefit as both Prime’s manufacturing and operations</w:t>
      </w:r>
      <w:r>
        <w:rPr>
          <w:spacing w:val="-6"/>
        </w:rPr>
        <w:t xml:space="preserve"> </w:t>
      </w:r>
      <w:r>
        <w:t>ramp</w:t>
      </w:r>
      <w:r>
        <w:rPr>
          <w:spacing w:val="-3"/>
        </w:rPr>
        <w:t xml:space="preserve"> </w:t>
      </w:r>
      <w:r>
        <w:t>up.</w:t>
      </w:r>
      <w:r>
        <w:rPr>
          <w:spacing w:val="-3"/>
        </w:rPr>
        <w:t xml:space="preserve"> </w:t>
      </w:r>
      <w:r>
        <w:t>The</w:t>
      </w:r>
      <w:r>
        <w:rPr>
          <w:spacing w:val="-6"/>
        </w:rPr>
        <w:t xml:space="preserve"> </w:t>
      </w:r>
      <w:r>
        <w:t>development</w:t>
      </w:r>
      <w:r>
        <w:rPr>
          <w:spacing w:val="-3"/>
        </w:rPr>
        <w:t xml:space="preserve"> </w:t>
      </w:r>
      <w:r>
        <w:t>of</w:t>
      </w:r>
      <w:r>
        <w:rPr>
          <w:spacing w:val="-3"/>
        </w:rPr>
        <w:t xml:space="preserve"> </w:t>
      </w:r>
      <w:r>
        <w:t>Proxima,</w:t>
      </w:r>
      <w:r>
        <w:rPr>
          <w:spacing w:val="-4"/>
        </w:rPr>
        <w:t xml:space="preserve"> </w:t>
      </w:r>
      <w:r>
        <w:t>a</w:t>
      </w:r>
      <w:r>
        <w:rPr>
          <w:spacing w:val="-4"/>
        </w:rPr>
        <w:t xml:space="preserve"> </w:t>
      </w:r>
      <w:r>
        <w:t>much</w:t>
      </w:r>
      <w:r>
        <w:rPr>
          <w:spacing w:val="-4"/>
        </w:rPr>
        <w:t xml:space="preserve"> </w:t>
      </w:r>
      <w:r>
        <w:t>larger</w:t>
      </w:r>
      <w:r>
        <w:rPr>
          <w:spacing w:val="-5"/>
        </w:rPr>
        <w:t xml:space="preserve"> </w:t>
      </w:r>
      <w:r>
        <w:t>rocket,</w:t>
      </w:r>
      <w:r>
        <w:rPr>
          <w:spacing w:val="-2"/>
        </w:rPr>
        <w:t xml:space="preserve"> </w:t>
      </w:r>
      <w:r>
        <w:t>will</w:t>
      </w:r>
      <w:r>
        <w:rPr>
          <w:spacing w:val="-4"/>
        </w:rPr>
        <w:t xml:space="preserve"> </w:t>
      </w:r>
      <w:r>
        <w:t>further</w:t>
      </w:r>
      <w:r>
        <w:rPr>
          <w:spacing w:val="-3"/>
        </w:rPr>
        <w:t xml:space="preserve"> </w:t>
      </w:r>
      <w:r>
        <w:t>boost</w:t>
      </w:r>
      <w:r>
        <w:rPr>
          <w:spacing w:val="-5"/>
        </w:rPr>
        <w:t xml:space="preserve"> </w:t>
      </w:r>
      <w:r>
        <w:t xml:space="preserve">the demand for skilled </w:t>
      </w:r>
      <w:r>
        <w:t>labour</w:t>
      </w:r>
      <w:r>
        <w:t xml:space="preserve"> and manufacturing, creating additional economic activity.</w:t>
      </w:r>
    </w:p>
    <w:p w:rsidR="003F2028">
      <w:pPr>
        <w:spacing w:before="251"/>
        <w:ind w:left="120"/>
        <w:jc w:val="both"/>
        <w:rPr>
          <w:i/>
        </w:rPr>
      </w:pPr>
      <w:r>
        <w:rPr>
          <w:i/>
        </w:rPr>
        <w:t>Attracting</w:t>
      </w:r>
      <w:r>
        <w:rPr>
          <w:i/>
          <w:spacing w:val="-6"/>
        </w:rPr>
        <w:t xml:space="preserve"> </w:t>
      </w:r>
      <w:r>
        <w:rPr>
          <w:i/>
        </w:rPr>
        <w:t>private</w:t>
      </w:r>
      <w:r>
        <w:rPr>
          <w:i/>
          <w:spacing w:val="-8"/>
        </w:rPr>
        <w:t xml:space="preserve"> </w:t>
      </w:r>
      <w:r>
        <w:rPr>
          <w:i/>
        </w:rPr>
        <w:t>capital</w:t>
      </w:r>
      <w:r>
        <w:rPr>
          <w:i/>
          <w:spacing w:val="-9"/>
        </w:rPr>
        <w:t xml:space="preserve"> </w:t>
      </w:r>
      <w:r>
        <w:rPr>
          <w:i/>
        </w:rPr>
        <w:t>and</w:t>
      </w:r>
      <w:r>
        <w:rPr>
          <w:i/>
          <w:spacing w:val="-6"/>
        </w:rPr>
        <w:t xml:space="preserve"> </w:t>
      </w:r>
      <w:r>
        <w:rPr>
          <w:i/>
        </w:rPr>
        <w:t>foreign</w:t>
      </w:r>
      <w:r>
        <w:rPr>
          <w:i/>
          <w:spacing w:val="-5"/>
        </w:rPr>
        <w:t xml:space="preserve"> </w:t>
      </w:r>
      <w:r>
        <w:rPr>
          <w:i/>
        </w:rPr>
        <w:t>direct</w:t>
      </w:r>
      <w:r>
        <w:rPr>
          <w:i/>
          <w:spacing w:val="-4"/>
        </w:rPr>
        <w:t xml:space="preserve"> </w:t>
      </w:r>
      <w:r>
        <w:rPr>
          <w:i/>
          <w:spacing w:val="-2"/>
        </w:rPr>
        <w:t>investment</w:t>
      </w:r>
    </w:p>
    <w:p w:rsidR="003F2028">
      <w:pPr>
        <w:pStyle w:val="BodyText"/>
        <w:spacing w:before="160"/>
        <w:ind w:left="120" w:right="113"/>
        <w:jc w:val="both"/>
      </w:pPr>
      <w:r>
        <w:t>UK</w:t>
      </w:r>
      <w:r>
        <w:rPr>
          <w:spacing w:val="-3"/>
        </w:rPr>
        <w:t xml:space="preserve"> </w:t>
      </w:r>
      <w:r>
        <w:t>Government</w:t>
      </w:r>
      <w:r>
        <w:rPr>
          <w:spacing w:val="-1"/>
        </w:rPr>
        <w:t xml:space="preserve"> </w:t>
      </w:r>
      <w:r>
        <w:t>support</w:t>
      </w:r>
      <w:r>
        <w:rPr>
          <w:spacing w:val="-5"/>
        </w:rPr>
        <w:t xml:space="preserve"> </w:t>
      </w:r>
      <w:r>
        <w:t>plays</w:t>
      </w:r>
      <w:r>
        <w:rPr>
          <w:spacing w:val="-3"/>
        </w:rPr>
        <w:t xml:space="preserve"> </w:t>
      </w:r>
      <w:r>
        <w:t>a</w:t>
      </w:r>
      <w:r>
        <w:rPr>
          <w:spacing w:val="-3"/>
        </w:rPr>
        <w:t xml:space="preserve"> </w:t>
      </w:r>
      <w:r>
        <w:t>crucial</w:t>
      </w:r>
      <w:r>
        <w:rPr>
          <w:spacing w:val="-3"/>
        </w:rPr>
        <w:t xml:space="preserve"> </w:t>
      </w:r>
      <w:r>
        <w:t>role</w:t>
      </w:r>
      <w:r>
        <w:rPr>
          <w:spacing w:val="-2"/>
        </w:rPr>
        <w:t xml:space="preserve"> </w:t>
      </w:r>
      <w:r>
        <w:t>in</w:t>
      </w:r>
      <w:r>
        <w:rPr>
          <w:spacing w:val="-3"/>
        </w:rPr>
        <w:t xml:space="preserve"> </w:t>
      </w:r>
      <w:r>
        <w:t>unlocking</w:t>
      </w:r>
      <w:r>
        <w:rPr>
          <w:spacing w:val="-3"/>
        </w:rPr>
        <w:t xml:space="preserve"> </w:t>
      </w:r>
      <w:r>
        <w:t>private</w:t>
      </w:r>
      <w:r>
        <w:rPr>
          <w:spacing w:val="-5"/>
        </w:rPr>
        <w:t xml:space="preserve"> </w:t>
      </w:r>
      <w:r>
        <w:t>capital</w:t>
      </w:r>
      <w:r>
        <w:rPr>
          <w:spacing w:val="-3"/>
        </w:rPr>
        <w:t xml:space="preserve"> </w:t>
      </w:r>
      <w:r>
        <w:t>and</w:t>
      </w:r>
      <w:r>
        <w:rPr>
          <w:spacing w:val="-2"/>
        </w:rPr>
        <w:t xml:space="preserve"> </w:t>
      </w:r>
      <w:r>
        <w:t>attracting</w:t>
      </w:r>
      <w:r>
        <w:rPr>
          <w:spacing w:val="-2"/>
        </w:rPr>
        <w:t xml:space="preserve"> </w:t>
      </w:r>
      <w:r>
        <w:t>foreign direct</w:t>
      </w:r>
      <w:r>
        <w:rPr>
          <w:spacing w:val="-3"/>
        </w:rPr>
        <w:t xml:space="preserve"> </w:t>
      </w:r>
      <w:r>
        <w:t>investment</w:t>
      </w:r>
      <w:r>
        <w:rPr>
          <w:spacing w:val="-2"/>
        </w:rPr>
        <w:t xml:space="preserve"> </w:t>
      </w:r>
      <w:r>
        <w:t>into</w:t>
      </w:r>
      <w:r>
        <w:rPr>
          <w:spacing w:val="-6"/>
        </w:rPr>
        <w:t xml:space="preserve"> </w:t>
      </w:r>
      <w:r>
        <w:t>the</w:t>
      </w:r>
      <w:r>
        <w:rPr>
          <w:spacing w:val="-4"/>
        </w:rPr>
        <w:t xml:space="preserve"> </w:t>
      </w:r>
      <w:r>
        <w:t>Scottish</w:t>
      </w:r>
      <w:r>
        <w:rPr>
          <w:spacing w:val="-4"/>
        </w:rPr>
        <w:t xml:space="preserve"> </w:t>
      </w:r>
      <w:r>
        <w:t>space</w:t>
      </w:r>
      <w:r>
        <w:rPr>
          <w:spacing w:val="-4"/>
        </w:rPr>
        <w:t xml:space="preserve"> </w:t>
      </w:r>
      <w:r>
        <w:t>industry.</w:t>
      </w:r>
      <w:r>
        <w:rPr>
          <w:spacing w:val="-4"/>
        </w:rPr>
        <w:t xml:space="preserve"> </w:t>
      </w:r>
      <w:r>
        <w:t>DSIT’s</w:t>
      </w:r>
      <w:r>
        <w:rPr>
          <w:spacing w:val="-1"/>
        </w:rPr>
        <w:t xml:space="preserve"> </w:t>
      </w:r>
      <w:r>
        <w:t>role</w:t>
      </w:r>
      <w:r>
        <w:rPr>
          <w:spacing w:val="-4"/>
        </w:rPr>
        <w:t xml:space="preserve"> </w:t>
      </w:r>
      <w:r>
        <w:t>as</w:t>
      </w:r>
      <w:r>
        <w:rPr>
          <w:spacing w:val="-4"/>
        </w:rPr>
        <w:t xml:space="preserve"> </w:t>
      </w:r>
      <w:r>
        <w:t>an</w:t>
      </w:r>
      <w:r>
        <w:rPr>
          <w:spacing w:val="-4"/>
        </w:rPr>
        <w:t xml:space="preserve"> </w:t>
      </w:r>
      <w:r>
        <w:t>anchor</w:t>
      </w:r>
      <w:r>
        <w:rPr>
          <w:spacing w:val="-2"/>
        </w:rPr>
        <w:t xml:space="preserve"> </w:t>
      </w:r>
      <w:r>
        <w:t>investor</w:t>
      </w:r>
      <w:r>
        <w:rPr>
          <w:spacing w:val="-2"/>
        </w:rPr>
        <w:t xml:space="preserve"> </w:t>
      </w:r>
      <w:r>
        <w:t>in</w:t>
      </w:r>
      <w:r>
        <w:rPr>
          <w:spacing w:val="-4"/>
        </w:rPr>
        <w:t xml:space="preserve"> </w:t>
      </w:r>
      <w:r>
        <w:t>Orbex</w:t>
      </w:r>
      <w:r>
        <w:t xml:space="preserve"> is a key driver in the company’s four-year financing plan, which aims to secure an additional</w:t>
      </w:r>
    </w:p>
    <w:p w:rsidR="003F2028">
      <w:pPr>
        <w:pStyle w:val="BodyText"/>
        <w:spacing w:before="2"/>
        <w:ind w:left="120" w:right="114"/>
        <w:jc w:val="both"/>
      </w:pPr>
      <w:r>
        <w:t xml:space="preserve">£120 million in private capital. With a projected ratio of £1 in public funding leveraging £6 in private investment, the Government direct investment received by </w:t>
      </w:r>
      <w:r>
        <w:t>Orbex</w:t>
      </w:r>
      <w:r>
        <w:t xml:space="preserve"> is at the </w:t>
      </w:r>
      <w:r>
        <w:t>centre</w:t>
      </w:r>
      <w:r>
        <w:t xml:space="preserve"> of </w:t>
      </w:r>
      <w:r>
        <w:t>catalysing</w:t>
      </w:r>
      <w:r>
        <w:t xml:space="preserve"> this level of financial commitment.</w:t>
      </w:r>
    </w:p>
    <w:p w:rsidR="003F2028">
      <w:pPr>
        <w:pStyle w:val="BodyText"/>
        <w:spacing w:before="161"/>
        <w:ind w:left="120" w:right="110"/>
        <w:jc w:val="both"/>
      </w:pPr>
      <w:r>
        <w:t xml:space="preserve">Further support for initiatives like the ELC would enhance </w:t>
      </w:r>
      <w:r>
        <w:t>Orbex’s</w:t>
      </w:r>
      <w:r>
        <w:t xml:space="preserve"> access to the institutional European</w:t>
      </w:r>
      <w:r>
        <w:rPr>
          <w:spacing w:val="-16"/>
        </w:rPr>
        <w:t xml:space="preserve"> </w:t>
      </w:r>
      <w:r>
        <w:t>satellite</w:t>
      </w:r>
      <w:r>
        <w:rPr>
          <w:spacing w:val="-15"/>
        </w:rPr>
        <w:t xml:space="preserve"> </w:t>
      </w:r>
      <w:r>
        <w:t>launch</w:t>
      </w:r>
      <w:r>
        <w:rPr>
          <w:spacing w:val="-15"/>
        </w:rPr>
        <w:t xml:space="preserve"> </w:t>
      </w:r>
      <w:r>
        <w:t>market,</w:t>
      </w:r>
      <w:r>
        <w:rPr>
          <w:spacing w:val="-15"/>
        </w:rPr>
        <w:t xml:space="preserve"> </w:t>
      </w:r>
      <w:r>
        <w:t>significantly</w:t>
      </w:r>
      <w:r>
        <w:rPr>
          <w:spacing w:val="-14"/>
        </w:rPr>
        <w:t xml:space="preserve"> </w:t>
      </w:r>
      <w:r>
        <w:t>boosting</w:t>
      </w:r>
      <w:r>
        <w:rPr>
          <w:spacing w:val="-14"/>
        </w:rPr>
        <w:t xml:space="preserve"> </w:t>
      </w:r>
      <w:r>
        <w:t>investor</w:t>
      </w:r>
      <w:r>
        <w:rPr>
          <w:spacing w:val="-15"/>
        </w:rPr>
        <w:t xml:space="preserve"> </w:t>
      </w:r>
      <w:r>
        <w:t>confidence.</w:t>
      </w:r>
      <w:r>
        <w:rPr>
          <w:spacing w:val="-15"/>
        </w:rPr>
        <w:t xml:space="preserve"> </w:t>
      </w:r>
      <w:r>
        <w:t>Given</w:t>
      </w:r>
      <w:r>
        <w:rPr>
          <w:spacing w:val="-16"/>
        </w:rPr>
        <w:t xml:space="preserve"> </w:t>
      </w:r>
      <w:r>
        <w:t>the</w:t>
      </w:r>
      <w:r>
        <w:rPr>
          <w:spacing w:val="-15"/>
        </w:rPr>
        <w:t xml:space="preserve"> </w:t>
      </w:r>
      <w:r>
        <w:t>capital- intensive nature of the launch industry, ELC winners are likely to</w:t>
      </w:r>
      <w:r>
        <w:rPr>
          <w:spacing w:val="-2"/>
        </w:rPr>
        <w:t xml:space="preserve"> </w:t>
      </w:r>
      <w:r>
        <w:t>be</w:t>
      </w:r>
      <w:r>
        <w:rPr>
          <w:spacing w:val="-2"/>
        </w:rPr>
        <w:t xml:space="preserve"> </w:t>
      </w:r>
      <w:r>
        <w:t>the only companies able to</w:t>
      </w:r>
      <w:r>
        <w:rPr>
          <w:spacing w:val="-2"/>
        </w:rPr>
        <w:t xml:space="preserve"> </w:t>
      </w:r>
      <w:r>
        <w:t>attract</w:t>
      </w:r>
      <w:r>
        <w:rPr>
          <w:spacing w:val="-2"/>
        </w:rPr>
        <w:t xml:space="preserve"> </w:t>
      </w:r>
      <w:r>
        <w:t>the</w:t>
      </w:r>
      <w:r>
        <w:rPr>
          <w:spacing w:val="-7"/>
        </w:rPr>
        <w:t xml:space="preserve"> </w:t>
      </w:r>
      <w:r>
        <w:t>required</w:t>
      </w:r>
      <w:r>
        <w:rPr>
          <w:spacing w:val="-4"/>
        </w:rPr>
        <w:t xml:space="preserve"> </w:t>
      </w:r>
      <w:r>
        <w:t>private</w:t>
      </w:r>
      <w:r>
        <w:rPr>
          <w:spacing w:val="-3"/>
        </w:rPr>
        <w:t xml:space="preserve"> </w:t>
      </w:r>
      <w:r>
        <w:t>investment,</w:t>
      </w:r>
      <w:r>
        <w:rPr>
          <w:spacing w:val="-3"/>
        </w:rPr>
        <w:t xml:space="preserve"> </w:t>
      </w:r>
      <w:r>
        <w:t>driving</w:t>
      </w:r>
      <w:r>
        <w:rPr>
          <w:spacing w:val="-7"/>
        </w:rPr>
        <w:t xml:space="preserve"> </w:t>
      </w:r>
      <w:r>
        <w:t>consolidation</w:t>
      </w:r>
      <w:r>
        <w:rPr>
          <w:spacing w:val="-1"/>
        </w:rPr>
        <w:t xml:space="preserve"> </w:t>
      </w:r>
      <w:r>
        <w:t>in</w:t>
      </w:r>
      <w:r>
        <w:rPr>
          <w:spacing w:val="-4"/>
        </w:rPr>
        <w:t xml:space="preserve"> </w:t>
      </w:r>
      <w:r>
        <w:t>the</w:t>
      </w:r>
      <w:r>
        <w:rPr>
          <w:spacing w:val="-4"/>
        </w:rPr>
        <w:t xml:space="preserve"> </w:t>
      </w:r>
      <w:r>
        <w:t>European</w:t>
      </w:r>
      <w:r>
        <w:rPr>
          <w:spacing w:val="-1"/>
        </w:rPr>
        <w:t xml:space="preserve"> </w:t>
      </w:r>
      <w:r>
        <w:t>space</w:t>
      </w:r>
      <w:r>
        <w:rPr>
          <w:spacing w:val="-4"/>
        </w:rPr>
        <w:t xml:space="preserve"> </w:t>
      </w:r>
      <w:r>
        <w:t>sector.</w:t>
      </w:r>
    </w:p>
    <w:p w:rsidR="003F2028">
      <w:pPr>
        <w:pStyle w:val="BodyText"/>
        <w:spacing w:before="159"/>
        <w:ind w:left="120" w:right="113"/>
        <w:jc w:val="both"/>
      </w:pPr>
      <w:r>
        <w:t>By supporting Scottish space companies in a similar way, the UK Government can position Scotland</w:t>
      </w:r>
      <w:r>
        <w:rPr>
          <w:spacing w:val="-7"/>
        </w:rPr>
        <w:t xml:space="preserve"> </w:t>
      </w:r>
      <w:r>
        <w:t>as</w:t>
      </w:r>
      <w:r>
        <w:rPr>
          <w:spacing w:val="-6"/>
        </w:rPr>
        <w:t xml:space="preserve"> </w:t>
      </w:r>
      <w:r>
        <w:t>a</w:t>
      </w:r>
      <w:r>
        <w:rPr>
          <w:spacing w:val="-9"/>
        </w:rPr>
        <w:t xml:space="preserve"> </w:t>
      </w:r>
      <w:r>
        <w:t>premier</w:t>
      </w:r>
      <w:r>
        <w:rPr>
          <w:spacing w:val="-8"/>
        </w:rPr>
        <w:t xml:space="preserve"> </w:t>
      </w:r>
      <w:r>
        <w:t>destination</w:t>
      </w:r>
      <w:r>
        <w:rPr>
          <w:spacing w:val="-8"/>
        </w:rPr>
        <w:t xml:space="preserve"> </w:t>
      </w:r>
      <w:r>
        <w:t>for</w:t>
      </w:r>
      <w:r>
        <w:rPr>
          <w:spacing w:val="-5"/>
        </w:rPr>
        <w:t xml:space="preserve"> </w:t>
      </w:r>
      <w:r>
        <w:t>investment</w:t>
      </w:r>
      <w:r>
        <w:rPr>
          <w:spacing w:val="-7"/>
        </w:rPr>
        <w:t xml:space="preserve"> </w:t>
      </w:r>
      <w:r>
        <w:t>in</w:t>
      </w:r>
      <w:r>
        <w:rPr>
          <w:spacing w:val="-6"/>
        </w:rPr>
        <w:t xml:space="preserve"> </w:t>
      </w:r>
      <w:r>
        <w:t>space</w:t>
      </w:r>
      <w:r>
        <w:rPr>
          <w:spacing w:val="-9"/>
        </w:rPr>
        <w:t xml:space="preserve"> </w:t>
      </w:r>
      <w:r>
        <w:t>technology,</w:t>
      </w:r>
      <w:r>
        <w:rPr>
          <w:spacing w:val="-7"/>
        </w:rPr>
        <w:t xml:space="preserve"> </w:t>
      </w:r>
      <w:r>
        <w:t>reinforcing</w:t>
      </w:r>
      <w:r>
        <w:rPr>
          <w:spacing w:val="-6"/>
        </w:rPr>
        <w:t xml:space="preserve"> </w:t>
      </w:r>
      <w:r>
        <w:t>its</w:t>
      </w:r>
      <w:r>
        <w:rPr>
          <w:spacing w:val="-8"/>
        </w:rPr>
        <w:t xml:space="preserve"> </w:t>
      </w:r>
      <w:r>
        <w:t>status</w:t>
      </w:r>
      <w:r>
        <w:rPr>
          <w:spacing w:val="-6"/>
        </w:rPr>
        <w:t xml:space="preserve"> </w:t>
      </w:r>
      <w:r>
        <w:t>as a global leader in the industry and securing long-term economic benefits.</w:t>
      </w:r>
    </w:p>
    <w:p w:rsidR="003F2028">
      <w:pPr>
        <w:spacing w:before="160"/>
        <w:ind w:left="120"/>
        <w:jc w:val="both"/>
        <w:rPr>
          <w:i/>
        </w:rPr>
      </w:pPr>
      <w:r>
        <w:rPr>
          <w:i/>
        </w:rPr>
        <w:t>Regional</w:t>
      </w:r>
      <w:r>
        <w:rPr>
          <w:i/>
          <w:spacing w:val="-12"/>
        </w:rPr>
        <w:t xml:space="preserve"> </w:t>
      </w:r>
      <w:r>
        <w:rPr>
          <w:i/>
          <w:spacing w:val="-2"/>
        </w:rPr>
        <w:t>growth</w:t>
      </w:r>
    </w:p>
    <w:p w:rsidR="003F2028">
      <w:pPr>
        <w:pStyle w:val="BodyText"/>
        <w:spacing w:before="160"/>
        <w:ind w:left="120" w:right="115"/>
        <w:jc w:val="both"/>
      </w:pPr>
      <w:r>
        <w:t>Orbex</w:t>
      </w:r>
      <w:r>
        <w:rPr>
          <w:spacing w:val="-16"/>
        </w:rPr>
        <w:t xml:space="preserve"> </w:t>
      </w:r>
      <w:r>
        <w:t>is</w:t>
      </w:r>
      <w:r>
        <w:rPr>
          <w:spacing w:val="-14"/>
        </w:rPr>
        <w:t xml:space="preserve"> </w:t>
      </w:r>
      <w:r>
        <w:t>a</w:t>
      </w:r>
      <w:r>
        <w:rPr>
          <w:spacing w:val="-15"/>
        </w:rPr>
        <w:t xml:space="preserve"> </w:t>
      </w:r>
      <w:r>
        <w:t>prime</w:t>
      </w:r>
      <w:r>
        <w:rPr>
          <w:spacing w:val="-13"/>
        </w:rPr>
        <w:t xml:space="preserve"> </w:t>
      </w:r>
      <w:r>
        <w:t>example</w:t>
      </w:r>
      <w:r>
        <w:rPr>
          <w:spacing w:val="-14"/>
        </w:rPr>
        <w:t xml:space="preserve"> </w:t>
      </w:r>
      <w:r>
        <w:t>of</w:t>
      </w:r>
      <w:r>
        <w:rPr>
          <w:spacing w:val="-15"/>
        </w:rPr>
        <w:t xml:space="preserve"> </w:t>
      </w:r>
      <w:r>
        <w:t>how</w:t>
      </w:r>
      <w:r>
        <w:rPr>
          <w:spacing w:val="-16"/>
        </w:rPr>
        <w:t xml:space="preserve"> </w:t>
      </w:r>
      <w:r>
        <w:t>targeted</w:t>
      </w:r>
      <w:r>
        <w:rPr>
          <w:spacing w:val="-13"/>
        </w:rPr>
        <w:t xml:space="preserve"> </w:t>
      </w:r>
      <w:r>
        <w:t>investment</w:t>
      </w:r>
      <w:r>
        <w:rPr>
          <w:spacing w:val="-15"/>
        </w:rPr>
        <w:t xml:space="preserve"> </w:t>
      </w:r>
      <w:r>
        <w:t>fuels</w:t>
      </w:r>
      <w:r>
        <w:rPr>
          <w:spacing w:val="-16"/>
        </w:rPr>
        <w:t xml:space="preserve"> </w:t>
      </w:r>
      <w:r>
        <w:t>regional</w:t>
      </w:r>
      <w:r>
        <w:rPr>
          <w:spacing w:val="-14"/>
        </w:rPr>
        <w:t xml:space="preserve"> </w:t>
      </w:r>
      <w:r>
        <w:t>development.</w:t>
      </w:r>
      <w:r>
        <w:rPr>
          <w:spacing w:val="-15"/>
        </w:rPr>
        <w:t xml:space="preserve"> </w:t>
      </w:r>
      <w:r>
        <w:t>With</w:t>
      </w:r>
      <w:r>
        <w:rPr>
          <w:spacing w:val="-16"/>
        </w:rPr>
        <w:t xml:space="preserve"> </w:t>
      </w:r>
      <w:r>
        <w:t>DSIT’s backing,</w:t>
      </w:r>
      <w:r>
        <w:rPr>
          <w:spacing w:val="-3"/>
        </w:rPr>
        <w:t xml:space="preserve"> </w:t>
      </w:r>
      <w:r>
        <w:t>the</w:t>
      </w:r>
      <w:r>
        <w:rPr>
          <w:spacing w:val="-4"/>
        </w:rPr>
        <w:t xml:space="preserve"> </w:t>
      </w:r>
      <w:r>
        <w:t>company</w:t>
      </w:r>
      <w:r>
        <w:rPr>
          <w:spacing w:val="-4"/>
        </w:rPr>
        <w:t xml:space="preserve"> </w:t>
      </w:r>
      <w:r>
        <w:t>is</w:t>
      </w:r>
      <w:r>
        <w:rPr>
          <w:spacing w:val="-6"/>
        </w:rPr>
        <w:t xml:space="preserve"> </w:t>
      </w:r>
      <w:r>
        <w:t>expanding</w:t>
      </w:r>
      <w:r>
        <w:rPr>
          <w:spacing w:val="-2"/>
        </w:rPr>
        <w:t xml:space="preserve"> </w:t>
      </w:r>
      <w:r>
        <w:t>its</w:t>
      </w:r>
      <w:r>
        <w:rPr>
          <w:spacing w:val="-4"/>
        </w:rPr>
        <w:t xml:space="preserve"> </w:t>
      </w:r>
      <w:r>
        <w:t>operations,</w:t>
      </w:r>
      <w:r>
        <w:rPr>
          <w:spacing w:val="-3"/>
        </w:rPr>
        <w:t xml:space="preserve"> </w:t>
      </w:r>
      <w:r>
        <w:t>creating</w:t>
      </w:r>
      <w:r>
        <w:rPr>
          <w:spacing w:val="-4"/>
        </w:rPr>
        <w:t xml:space="preserve"> </w:t>
      </w:r>
      <w:r>
        <w:t>high-skilled</w:t>
      </w:r>
      <w:r>
        <w:rPr>
          <w:spacing w:val="-4"/>
        </w:rPr>
        <w:t xml:space="preserve"> </w:t>
      </w:r>
      <w:r>
        <w:t>jobs</w:t>
      </w:r>
      <w:r>
        <w:rPr>
          <w:spacing w:val="-1"/>
        </w:rPr>
        <w:t xml:space="preserve"> </w:t>
      </w:r>
      <w:r>
        <w:t>in</w:t>
      </w:r>
      <w:r>
        <w:rPr>
          <w:spacing w:val="-4"/>
        </w:rPr>
        <w:t xml:space="preserve"> </w:t>
      </w:r>
      <w:r>
        <w:t>an</w:t>
      </w:r>
      <w:r>
        <w:rPr>
          <w:spacing w:val="-4"/>
        </w:rPr>
        <w:t xml:space="preserve"> </w:t>
      </w:r>
      <w:r>
        <w:t>area</w:t>
      </w:r>
      <w:r>
        <w:rPr>
          <w:spacing w:val="-4"/>
        </w:rPr>
        <w:t xml:space="preserve"> </w:t>
      </w:r>
      <w:r>
        <w:t>where such opportunities have historically been limited. This investment is not only driving direct employment</w:t>
      </w:r>
      <w:r>
        <w:rPr>
          <w:spacing w:val="-16"/>
        </w:rPr>
        <w:t xml:space="preserve"> </w:t>
      </w:r>
      <w:r>
        <w:t>but</w:t>
      </w:r>
      <w:r>
        <w:rPr>
          <w:spacing w:val="-15"/>
        </w:rPr>
        <w:t xml:space="preserve"> </w:t>
      </w:r>
      <w:r>
        <w:t>also</w:t>
      </w:r>
      <w:r>
        <w:rPr>
          <w:spacing w:val="-15"/>
        </w:rPr>
        <w:t xml:space="preserve"> </w:t>
      </w:r>
      <w:r>
        <w:t>strengthening</w:t>
      </w:r>
      <w:r>
        <w:rPr>
          <w:spacing w:val="-16"/>
        </w:rPr>
        <w:t xml:space="preserve"> </w:t>
      </w:r>
      <w:r>
        <w:t>local</w:t>
      </w:r>
      <w:r>
        <w:rPr>
          <w:spacing w:val="-15"/>
        </w:rPr>
        <w:t xml:space="preserve"> </w:t>
      </w:r>
      <w:r>
        <w:t>supply</w:t>
      </w:r>
      <w:r>
        <w:rPr>
          <w:spacing w:val="-15"/>
        </w:rPr>
        <w:t xml:space="preserve"> </w:t>
      </w:r>
      <w:r>
        <w:t>chains,</w:t>
      </w:r>
      <w:r>
        <w:rPr>
          <w:spacing w:val="-15"/>
        </w:rPr>
        <w:t xml:space="preserve"> </w:t>
      </w:r>
      <w:r>
        <w:t>attracting</w:t>
      </w:r>
      <w:r>
        <w:rPr>
          <w:spacing w:val="-15"/>
        </w:rPr>
        <w:t xml:space="preserve"> </w:t>
      </w:r>
      <w:r>
        <w:t>private</w:t>
      </w:r>
      <w:r>
        <w:rPr>
          <w:spacing w:val="-16"/>
        </w:rPr>
        <w:t xml:space="preserve"> </w:t>
      </w:r>
      <w:r>
        <w:t>capital,</w:t>
      </w:r>
      <w:r>
        <w:rPr>
          <w:spacing w:val="-13"/>
        </w:rPr>
        <w:t xml:space="preserve"> </w:t>
      </w:r>
      <w:r>
        <w:t>and</w:t>
      </w:r>
      <w:r>
        <w:rPr>
          <w:spacing w:val="-15"/>
        </w:rPr>
        <w:t xml:space="preserve"> </w:t>
      </w:r>
      <w:r>
        <w:t>boosting infrastructure development.</w:t>
      </w:r>
    </w:p>
    <w:p w:rsidR="003F2028">
      <w:pPr>
        <w:pStyle w:val="BodyText"/>
        <w:spacing w:before="161"/>
        <w:ind w:left="120" w:right="111"/>
        <w:jc w:val="both"/>
      </w:pPr>
      <w:r>
        <w:t xml:space="preserve">A clear example of supply chain stimulation is the integration of oil and gas infrastructure manufacturers into the space sector to support </w:t>
      </w:r>
      <w:r>
        <w:t>Orbex’s</w:t>
      </w:r>
      <w:r>
        <w:t xml:space="preserve"> test and launch sites. Additionally, private</w:t>
      </w:r>
      <w:r>
        <w:rPr>
          <w:spacing w:val="-12"/>
        </w:rPr>
        <w:t xml:space="preserve"> </w:t>
      </w:r>
      <w:r>
        <w:t>investment</w:t>
      </w:r>
      <w:r>
        <w:rPr>
          <w:spacing w:val="-11"/>
        </w:rPr>
        <w:t xml:space="preserve"> </w:t>
      </w:r>
      <w:r>
        <w:t>in</w:t>
      </w:r>
      <w:r>
        <w:rPr>
          <w:spacing w:val="-14"/>
        </w:rPr>
        <w:t xml:space="preserve"> </w:t>
      </w:r>
      <w:r>
        <w:t>SaxaVord</w:t>
      </w:r>
      <w:r>
        <w:rPr>
          <w:spacing w:val="-12"/>
        </w:rPr>
        <w:t xml:space="preserve"> </w:t>
      </w:r>
      <w:r>
        <w:t>Spaceport</w:t>
      </w:r>
      <w:r>
        <w:rPr>
          <w:spacing w:val="-11"/>
        </w:rPr>
        <w:t xml:space="preserve"> </w:t>
      </w:r>
      <w:r>
        <w:t>in</w:t>
      </w:r>
      <w:r>
        <w:rPr>
          <w:spacing w:val="-12"/>
        </w:rPr>
        <w:t xml:space="preserve"> </w:t>
      </w:r>
      <w:r>
        <w:t>Shetland,</w:t>
      </w:r>
      <w:r>
        <w:rPr>
          <w:spacing w:val="-11"/>
        </w:rPr>
        <w:t xml:space="preserve"> </w:t>
      </w:r>
      <w:r>
        <w:t>where</w:t>
      </w:r>
      <w:r>
        <w:rPr>
          <w:spacing w:val="-14"/>
        </w:rPr>
        <w:t xml:space="preserve"> </w:t>
      </w:r>
      <w:r>
        <w:t>a</w:t>
      </w:r>
      <w:r>
        <w:rPr>
          <w:spacing w:val="-12"/>
        </w:rPr>
        <w:t xml:space="preserve"> </w:t>
      </w:r>
      <w:r>
        <w:t>dedicated</w:t>
      </w:r>
      <w:r>
        <w:rPr>
          <w:spacing w:val="-13"/>
        </w:rPr>
        <w:t xml:space="preserve"> </w:t>
      </w:r>
      <w:r>
        <w:t>launch</w:t>
      </w:r>
      <w:r>
        <w:rPr>
          <w:spacing w:val="-13"/>
        </w:rPr>
        <w:t xml:space="preserve"> </w:t>
      </w:r>
      <w:r>
        <w:t>pad</w:t>
      </w:r>
      <w:r>
        <w:rPr>
          <w:spacing w:val="-12"/>
        </w:rPr>
        <w:t xml:space="preserve"> </w:t>
      </w:r>
      <w:r>
        <w:t>is</w:t>
      </w:r>
      <w:r>
        <w:rPr>
          <w:spacing w:val="-12"/>
        </w:rPr>
        <w:t xml:space="preserve"> </w:t>
      </w:r>
      <w:r>
        <w:t xml:space="preserve">being built for </w:t>
      </w:r>
      <w:r>
        <w:t>Orbex</w:t>
      </w:r>
      <w:r>
        <w:t>, highlights how Government support can unlock further industry-led growth.</w:t>
      </w:r>
    </w:p>
    <w:p w:rsidR="003F2028">
      <w:pPr>
        <w:pStyle w:val="BodyText"/>
        <w:spacing w:before="159"/>
        <w:ind w:left="120" w:right="114"/>
        <w:jc w:val="both"/>
      </w:pPr>
      <w:r>
        <w:t>Crucially, the space sector provides a transition path for workers from traditional industries, offering</w:t>
      </w:r>
      <w:r>
        <w:rPr>
          <w:spacing w:val="40"/>
        </w:rPr>
        <w:t xml:space="preserve"> </w:t>
      </w:r>
      <w:r>
        <w:t>long-term</w:t>
      </w:r>
      <w:r>
        <w:rPr>
          <w:spacing w:val="40"/>
        </w:rPr>
        <w:t xml:space="preserve"> </w:t>
      </w:r>
      <w:r>
        <w:t>opportunities</w:t>
      </w:r>
      <w:r>
        <w:rPr>
          <w:spacing w:val="40"/>
        </w:rPr>
        <w:t xml:space="preserve"> </w:t>
      </w:r>
      <w:r>
        <w:t>in</w:t>
      </w:r>
      <w:r>
        <w:rPr>
          <w:spacing w:val="40"/>
        </w:rPr>
        <w:t xml:space="preserve"> </w:t>
      </w:r>
      <w:r>
        <w:t>a</w:t>
      </w:r>
      <w:r>
        <w:rPr>
          <w:spacing w:val="40"/>
        </w:rPr>
        <w:t xml:space="preserve"> </w:t>
      </w:r>
      <w:r>
        <w:t>high-growth</w:t>
      </w:r>
      <w:r>
        <w:rPr>
          <w:spacing w:val="40"/>
        </w:rPr>
        <w:t xml:space="preserve"> </w:t>
      </w:r>
      <w:r>
        <w:t>field.</w:t>
      </w:r>
      <w:r>
        <w:rPr>
          <w:spacing w:val="40"/>
        </w:rPr>
        <w:t xml:space="preserve"> </w:t>
      </w:r>
      <w:r>
        <w:t>With</w:t>
      </w:r>
      <w:r>
        <w:rPr>
          <w:spacing w:val="40"/>
        </w:rPr>
        <w:t xml:space="preserve"> </w:t>
      </w:r>
      <w:r>
        <w:t>the</w:t>
      </w:r>
      <w:r>
        <w:rPr>
          <w:spacing w:val="40"/>
        </w:rPr>
        <w:t xml:space="preserve"> </w:t>
      </w:r>
      <w:r>
        <w:t>right</w:t>
      </w:r>
      <w:r>
        <w:rPr>
          <w:spacing w:val="40"/>
        </w:rPr>
        <w:t xml:space="preserve"> </w:t>
      </w:r>
      <w:r>
        <w:t>support,</w:t>
      </w:r>
      <w:r>
        <w:rPr>
          <w:spacing w:val="40"/>
        </w:rPr>
        <w:t xml:space="preserve"> </w:t>
      </w:r>
      <w:r>
        <w:t>space</w:t>
      </w:r>
      <w:r>
        <w:rPr>
          <w:spacing w:val="40"/>
        </w:rPr>
        <w:t xml:space="preserve"> </w:t>
      </w:r>
      <w:r>
        <w:t>can</w:t>
      </w:r>
    </w:p>
    <w:p w:rsidR="003F2028">
      <w:pPr>
        <w:jc w:val="both"/>
        <w:sectPr>
          <w:pgSz w:w="11910" w:h="16840"/>
          <w:pgMar w:top="1920" w:right="1320" w:bottom="900" w:left="1320" w:header="776" w:footer="707" w:gutter="0"/>
          <w:cols w:space="720"/>
        </w:sectPr>
      </w:pPr>
    </w:p>
    <w:p w:rsidR="003F2028">
      <w:pPr>
        <w:pStyle w:val="BodyText"/>
        <w:spacing w:before="111"/>
        <w:ind w:left="120" w:right="122"/>
        <w:jc w:val="both"/>
      </w:pPr>
      <w:r>
        <w:t>become a cornerstone of economic renewal in the North of Scotland, driving skilled job creation, technological innovation, and regional economic resilience.</w:t>
      </w:r>
    </w:p>
    <w:p w:rsidR="003F2028">
      <w:pPr>
        <w:pStyle w:val="Heading2"/>
        <w:numPr>
          <w:ilvl w:val="0"/>
          <w:numId w:val="1"/>
        </w:numPr>
        <w:tabs>
          <w:tab w:val="left" w:pos="838"/>
        </w:tabs>
        <w:spacing w:before="162"/>
        <w:ind w:left="838" w:hanging="358"/>
      </w:pPr>
      <w:r>
        <w:t>Economic</w:t>
      </w:r>
      <w:r>
        <w:rPr>
          <w:spacing w:val="-5"/>
        </w:rPr>
        <w:t xml:space="preserve"> </w:t>
      </w:r>
      <w:r>
        <w:rPr>
          <w:spacing w:val="-2"/>
        </w:rPr>
        <w:t>implications</w:t>
      </w:r>
    </w:p>
    <w:p w:rsidR="003F2028">
      <w:pPr>
        <w:pStyle w:val="BodyText"/>
        <w:spacing w:before="159"/>
        <w:ind w:left="120" w:right="117"/>
        <w:jc w:val="both"/>
      </w:pPr>
      <w:r>
        <w:t>Investing in the Scottish space industry presents a major opportunity to boost exports, drive growth,</w:t>
      </w:r>
      <w:r>
        <w:rPr>
          <w:spacing w:val="-16"/>
        </w:rPr>
        <w:t xml:space="preserve"> </w:t>
      </w:r>
      <w:r>
        <w:t>and</w:t>
      </w:r>
      <w:r>
        <w:rPr>
          <w:spacing w:val="-15"/>
        </w:rPr>
        <w:t xml:space="preserve"> </w:t>
      </w:r>
      <w:r>
        <w:t>generate</w:t>
      </w:r>
      <w:r>
        <w:rPr>
          <w:spacing w:val="-15"/>
        </w:rPr>
        <w:t xml:space="preserve"> </w:t>
      </w:r>
      <w:r>
        <w:t>significant</w:t>
      </w:r>
      <w:r>
        <w:rPr>
          <w:spacing w:val="-16"/>
        </w:rPr>
        <w:t xml:space="preserve"> </w:t>
      </w:r>
      <w:r>
        <w:t>tax</w:t>
      </w:r>
      <w:r>
        <w:rPr>
          <w:spacing w:val="-15"/>
        </w:rPr>
        <w:t xml:space="preserve"> </w:t>
      </w:r>
      <w:r>
        <w:t>revenues.</w:t>
      </w:r>
      <w:r>
        <w:rPr>
          <w:spacing w:val="-15"/>
        </w:rPr>
        <w:t xml:space="preserve"> </w:t>
      </w:r>
      <w:r>
        <w:t>The</w:t>
      </w:r>
      <w:r>
        <w:rPr>
          <w:spacing w:val="-15"/>
        </w:rPr>
        <w:t xml:space="preserve"> </w:t>
      </w:r>
      <w:r>
        <w:t>global</w:t>
      </w:r>
      <w:r>
        <w:rPr>
          <w:spacing w:val="-16"/>
        </w:rPr>
        <w:t xml:space="preserve"> </w:t>
      </w:r>
      <w:r>
        <w:t>race</w:t>
      </w:r>
      <w:r>
        <w:rPr>
          <w:spacing w:val="-15"/>
        </w:rPr>
        <w:t xml:space="preserve"> </w:t>
      </w:r>
      <w:r>
        <w:t>to</w:t>
      </w:r>
      <w:r>
        <w:rPr>
          <w:spacing w:val="-15"/>
        </w:rPr>
        <w:t xml:space="preserve"> </w:t>
      </w:r>
      <w:r>
        <w:t>provide</w:t>
      </w:r>
      <w:r>
        <w:rPr>
          <w:spacing w:val="-16"/>
        </w:rPr>
        <w:t xml:space="preserve"> </w:t>
      </w:r>
      <w:r>
        <w:t>small</w:t>
      </w:r>
      <w:r>
        <w:rPr>
          <w:spacing w:val="-15"/>
        </w:rPr>
        <w:t xml:space="preserve"> </w:t>
      </w:r>
      <w:r>
        <w:t>satellite</w:t>
      </w:r>
      <w:r>
        <w:rPr>
          <w:spacing w:val="-15"/>
        </w:rPr>
        <w:t xml:space="preserve"> </w:t>
      </w:r>
      <w:r>
        <w:t>launch services is accelerating, and Europe is investing to establish its own capabilities.</w:t>
      </w:r>
    </w:p>
    <w:p w:rsidR="003F2028">
      <w:pPr>
        <w:pStyle w:val="BodyText"/>
        <w:spacing w:before="161"/>
        <w:ind w:left="120" w:right="113"/>
        <w:jc w:val="both"/>
      </w:pPr>
      <w:r>
        <w:t>Orbex</w:t>
      </w:r>
      <w:r>
        <w:t xml:space="preserve"> is in pole position to capture a substantial share of this market, as the only British company</w:t>
      </w:r>
      <w:r>
        <w:rPr>
          <w:spacing w:val="-14"/>
        </w:rPr>
        <w:t xml:space="preserve"> </w:t>
      </w:r>
      <w:r>
        <w:t>ever</w:t>
      </w:r>
      <w:r>
        <w:rPr>
          <w:spacing w:val="-10"/>
        </w:rPr>
        <w:t xml:space="preserve"> </w:t>
      </w:r>
      <w:r>
        <w:t>awarded</w:t>
      </w:r>
      <w:r>
        <w:rPr>
          <w:spacing w:val="-14"/>
        </w:rPr>
        <w:t xml:space="preserve"> </w:t>
      </w:r>
      <w:r>
        <w:t>a</w:t>
      </w:r>
      <w:r>
        <w:rPr>
          <w:spacing w:val="-14"/>
        </w:rPr>
        <w:t xml:space="preserve"> </w:t>
      </w:r>
      <w:r>
        <w:t>contract</w:t>
      </w:r>
      <w:r>
        <w:rPr>
          <w:spacing w:val="-12"/>
        </w:rPr>
        <w:t xml:space="preserve"> </w:t>
      </w:r>
      <w:r>
        <w:t>to</w:t>
      </w:r>
      <w:r>
        <w:rPr>
          <w:spacing w:val="-14"/>
        </w:rPr>
        <w:t xml:space="preserve"> </w:t>
      </w:r>
      <w:r>
        <w:t>launch</w:t>
      </w:r>
      <w:r>
        <w:rPr>
          <w:spacing w:val="-14"/>
        </w:rPr>
        <w:t xml:space="preserve"> </w:t>
      </w:r>
      <w:r>
        <w:t>ESA</w:t>
      </w:r>
      <w:r>
        <w:rPr>
          <w:spacing w:val="-12"/>
        </w:rPr>
        <w:t xml:space="preserve"> </w:t>
      </w:r>
      <w:r>
        <w:t>and</w:t>
      </w:r>
      <w:r>
        <w:rPr>
          <w:spacing w:val="-12"/>
        </w:rPr>
        <w:t xml:space="preserve"> </w:t>
      </w:r>
      <w:r>
        <w:t>EU</w:t>
      </w:r>
      <w:r>
        <w:rPr>
          <w:spacing w:val="-12"/>
        </w:rPr>
        <w:t xml:space="preserve"> </w:t>
      </w:r>
      <w:r>
        <w:t>small</w:t>
      </w:r>
      <w:r>
        <w:rPr>
          <w:spacing w:val="-14"/>
        </w:rPr>
        <w:t xml:space="preserve"> </w:t>
      </w:r>
      <w:r>
        <w:t>satellites.</w:t>
      </w:r>
      <w:r>
        <w:rPr>
          <w:spacing w:val="-15"/>
        </w:rPr>
        <w:t xml:space="preserve"> </w:t>
      </w:r>
      <w:r>
        <w:t>With</w:t>
      </w:r>
      <w:r>
        <w:rPr>
          <w:spacing w:val="-11"/>
        </w:rPr>
        <w:t xml:space="preserve"> </w:t>
      </w:r>
      <w:r>
        <w:t>70%</w:t>
      </w:r>
      <w:r>
        <w:rPr>
          <w:spacing w:val="-13"/>
        </w:rPr>
        <w:t xml:space="preserve"> </w:t>
      </w:r>
      <w:r>
        <w:t>of</w:t>
      </w:r>
      <w:r>
        <w:rPr>
          <w:spacing w:val="-15"/>
        </w:rPr>
        <w:t xml:space="preserve"> </w:t>
      </w:r>
      <w:r>
        <w:t>Orbex’s</w:t>
      </w:r>
      <w:r>
        <w:t xml:space="preserve"> current customer pipeline coming from European and US companies, the UK and Scotland have a real opportunity to establish itself as a leading player in the global launch market.</w:t>
      </w:r>
    </w:p>
    <w:p w:rsidR="003F2028">
      <w:pPr>
        <w:pStyle w:val="BodyText"/>
        <w:spacing w:before="160"/>
        <w:ind w:left="120" w:right="111"/>
        <w:jc w:val="both"/>
      </w:pPr>
      <w:r>
        <w:t xml:space="preserve">Beyond exports, a thriving space sector would deliver long-term fiscal benefits. As </w:t>
      </w:r>
      <w:r>
        <w:t>Orbex</w:t>
      </w:r>
      <w:r>
        <w:t xml:space="preserve"> scales up operations, it expects to become a regular contributor to UK tax revenues, forecasting annual corporation tax payments exceeding £40 million by the early 2030s— equivalent</w:t>
      </w:r>
      <w:r>
        <w:rPr>
          <w:spacing w:val="-11"/>
        </w:rPr>
        <w:t xml:space="preserve"> </w:t>
      </w:r>
      <w:r>
        <w:t>to</w:t>
      </w:r>
      <w:r>
        <w:rPr>
          <w:spacing w:val="-11"/>
        </w:rPr>
        <w:t xml:space="preserve"> </w:t>
      </w:r>
      <w:r>
        <w:t>7.5%</w:t>
      </w:r>
      <w:r>
        <w:rPr>
          <w:spacing w:val="-10"/>
        </w:rPr>
        <w:t xml:space="preserve"> </w:t>
      </w:r>
      <w:r>
        <w:t>of</w:t>
      </w:r>
      <w:r>
        <w:rPr>
          <w:spacing w:val="-13"/>
        </w:rPr>
        <w:t xml:space="preserve"> </w:t>
      </w:r>
      <w:r>
        <w:t>the</w:t>
      </w:r>
      <w:r>
        <w:rPr>
          <w:spacing w:val="-16"/>
        </w:rPr>
        <w:t xml:space="preserve"> </w:t>
      </w:r>
      <w:r>
        <w:t>company’s</w:t>
      </w:r>
      <w:r>
        <w:rPr>
          <w:spacing w:val="-11"/>
        </w:rPr>
        <w:t xml:space="preserve"> </w:t>
      </w:r>
      <w:r>
        <w:t>projected</w:t>
      </w:r>
      <w:r>
        <w:rPr>
          <w:spacing w:val="-14"/>
        </w:rPr>
        <w:t xml:space="preserve"> </w:t>
      </w:r>
      <w:r>
        <w:t>revenues.</w:t>
      </w:r>
      <w:r>
        <w:rPr>
          <w:spacing w:val="-10"/>
        </w:rPr>
        <w:t xml:space="preserve"> </w:t>
      </w:r>
      <w:r>
        <w:t>This</w:t>
      </w:r>
      <w:r>
        <w:rPr>
          <w:spacing w:val="-11"/>
        </w:rPr>
        <w:t xml:space="preserve"> </w:t>
      </w:r>
      <w:r>
        <w:t>would</w:t>
      </w:r>
      <w:r>
        <w:rPr>
          <w:spacing w:val="-11"/>
        </w:rPr>
        <w:t xml:space="preserve"> </w:t>
      </w:r>
      <w:r>
        <w:t>provide</w:t>
      </w:r>
      <w:r>
        <w:rPr>
          <w:spacing w:val="-11"/>
        </w:rPr>
        <w:t xml:space="preserve"> </w:t>
      </w:r>
      <w:r>
        <w:t>a</w:t>
      </w:r>
      <w:r>
        <w:rPr>
          <w:spacing w:val="-11"/>
        </w:rPr>
        <w:t xml:space="preserve"> </w:t>
      </w:r>
      <w:r>
        <w:t>substantial</w:t>
      </w:r>
      <w:r>
        <w:rPr>
          <w:spacing w:val="-12"/>
        </w:rPr>
        <w:t xml:space="preserve"> </w:t>
      </w:r>
      <w:r>
        <w:t>and sustained</w:t>
      </w:r>
      <w:r>
        <w:rPr>
          <w:spacing w:val="-11"/>
        </w:rPr>
        <w:t xml:space="preserve"> </w:t>
      </w:r>
      <w:r>
        <w:t>return</w:t>
      </w:r>
      <w:r>
        <w:rPr>
          <w:spacing w:val="-11"/>
        </w:rPr>
        <w:t xml:space="preserve"> </w:t>
      </w:r>
      <w:r>
        <w:t>to</w:t>
      </w:r>
      <w:r>
        <w:rPr>
          <w:spacing w:val="-14"/>
        </w:rPr>
        <w:t xml:space="preserve"> </w:t>
      </w:r>
      <w:r>
        <w:t>the</w:t>
      </w:r>
      <w:r>
        <w:rPr>
          <w:spacing w:val="-12"/>
        </w:rPr>
        <w:t xml:space="preserve"> </w:t>
      </w:r>
      <w:r>
        <w:t>Treasury,</w:t>
      </w:r>
      <w:r>
        <w:rPr>
          <w:spacing w:val="-12"/>
        </w:rPr>
        <w:t xml:space="preserve"> </w:t>
      </w:r>
      <w:r>
        <w:t>reinforcing</w:t>
      </w:r>
      <w:r>
        <w:rPr>
          <w:spacing w:val="-12"/>
        </w:rPr>
        <w:t xml:space="preserve"> </w:t>
      </w:r>
      <w:r>
        <w:t>the</w:t>
      </w:r>
      <w:r>
        <w:rPr>
          <w:spacing w:val="-12"/>
        </w:rPr>
        <w:t xml:space="preserve"> </w:t>
      </w:r>
      <w:r>
        <w:t>value</w:t>
      </w:r>
      <w:r>
        <w:rPr>
          <w:spacing w:val="-9"/>
        </w:rPr>
        <w:t xml:space="preserve"> </w:t>
      </w:r>
      <w:r>
        <w:t>of</w:t>
      </w:r>
      <w:r>
        <w:rPr>
          <w:spacing w:val="-10"/>
        </w:rPr>
        <w:t xml:space="preserve"> </w:t>
      </w:r>
      <w:r>
        <w:t>Government</w:t>
      </w:r>
      <w:r>
        <w:rPr>
          <w:spacing w:val="-9"/>
        </w:rPr>
        <w:t xml:space="preserve"> </w:t>
      </w:r>
      <w:r>
        <w:t>support</w:t>
      </w:r>
      <w:r>
        <w:rPr>
          <w:spacing w:val="-10"/>
        </w:rPr>
        <w:t xml:space="preserve"> </w:t>
      </w:r>
      <w:r>
        <w:t>for</w:t>
      </w:r>
      <w:r>
        <w:rPr>
          <w:spacing w:val="-10"/>
        </w:rPr>
        <w:t xml:space="preserve"> </w:t>
      </w:r>
      <w:r>
        <w:t>high-growth, high-tech industries. By backing Scotland’s space sector today, the UK Government can unlock a powerful engine for exports, innovation, and long-term revenue generation.</w:t>
      </w:r>
    </w:p>
    <w:p w:rsidR="003F2028">
      <w:pPr>
        <w:pStyle w:val="BodyText"/>
        <w:spacing w:before="161"/>
        <w:ind w:left="120" w:right="115"/>
        <w:jc w:val="both"/>
      </w:pPr>
      <w:r>
        <w:t>Orbex’s</w:t>
      </w:r>
      <w:r>
        <w:t xml:space="preserve"> success will create </w:t>
      </w:r>
      <w:r>
        <w:t>a large number of</w:t>
      </w:r>
      <w:r>
        <w:t xml:space="preserve"> jobs in Scotland.</w:t>
      </w:r>
      <w:r>
        <w:rPr>
          <w:spacing w:val="40"/>
        </w:rPr>
        <w:t xml:space="preserve"> </w:t>
      </w:r>
      <w:r>
        <w:t>The Scottish space industry aims</w:t>
      </w:r>
      <w:r>
        <w:rPr>
          <w:spacing w:val="-2"/>
        </w:rPr>
        <w:t xml:space="preserve"> </w:t>
      </w:r>
      <w:r>
        <w:t>to create</w:t>
      </w:r>
      <w:r>
        <w:rPr>
          <w:spacing w:val="-2"/>
        </w:rPr>
        <w:t xml:space="preserve"> </w:t>
      </w:r>
      <w:r>
        <w:t>20,000</w:t>
      </w:r>
      <w:r>
        <w:rPr>
          <w:spacing w:val="-4"/>
        </w:rPr>
        <w:t xml:space="preserve"> </w:t>
      </w:r>
      <w:r>
        <w:t>jobs by 2030</w:t>
      </w:r>
      <w:r>
        <w:rPr>
          <w:spacing w:val="-2"/>
        </w:rPr>
        <w:t xml:space="preserve"> </w:t>
      </w:r>
      <w:r>
        <w:t>and</w:t>
      </w:r>
      <w:r>
        <w:rPr>
          <w:spacing w:val="-2"/>
        </w:rPr>
        <w:t xml:space="preserve"> </w:t>
      </w:r>
      <w:r>
        <w:t>secure</w:t>
      </w:r>
      <w:r>
        <w:rPr>
          <w:spacing w:val="-2"/>
        </w:rPr>
        <w:t xml:space="preserve"> </w:t>
      </w:r>
      <w:r>
        <w:t>a</w:t>
      </w:r>
      <w:r>
        <w:rPr>
          <w:spacing w:val="-2"/>
        </w:rPr>
        <w:t xml:space="preserve"> </w:t>
      </w:r>
      <w:r>
        <w:t>£4 billion share of</w:t>
      </w:r>
      <w:r>
        <w:rPr>
          <w:spacing w:val="-1"/>
        </w:rPr>
        <w:t xml:space="preserve"> </w:t>
      </w:r>
      <w:r>
        <w:t>the</w:t>
      </w:r>
      <w:r>
        <w:rPr>
          <w:spacing w:val="-2"/>
        </w:rPr>
        <w:t xml:space="preserve"> </w:t>
      </w:r>
      <w:r>
        <w:t>global</w:t>
      </w:r>
      <w:r>
        <w:rPr>
          <w:spacing w:val="-1"/>
        </w:rPr>
        <w:t xml:space="preserve"> </w:t>
      </w:r>
      <w:r>
        <w:t>space</w:t>
      </w:r>
      <w:r>
        <w:rPr>
          <w:spacing w:val="-2"/>
        </w:rPr>
        <w:t xml:space="preserve"> </w:t>
      </w:r>
      <w:r>
        <w:t>market.</w:t>
      </w:r>
    </w:p>
    <w:p w:rsidR="003F2028">
      <w:pPr>
        <w:pStyle w:val="Heading2"/>
        <w:numPr>
          <w:ilvl w:val="0"/>
          <w:numId w:val="1"/>
        </w:numPr>
        <w:tabs>
          <w:tab w:val="left" w:pos="838"/>
        </w:tabs>
        <w:spacing w:before="159"/>
        <w:ind w:left="838" w:hanging="358"/>
      </w:pPr>
      <w:r>
        <w:t>Promoting</w:t>
      </w:r>
      <w:r>
        <w:rPr>
          <w:spacing w:val="-6"/>
        </w:rPr>
        <w:t xml:space="preserve"> </w:t>
      </w:r>
      <w:r>
        <w:t>European</w:t>
      </w:r>
      <w:r>
        <w:rPr>
          <w:spacing w:val="-7"/>
        </w:rPr>
        <w:t xml:space="preserve"> </w:t>
      </w:r>
      <w:r>
        <w:t>co-</w:t>
      </w:r>
      <w:r>
        <w:rPr>
          <w:spacing w:val="-2"/>
        </w:rPr>
        <w:t>operation</w:t>
      </w:r>
    </w:p>
    <w:p w:rsidR="003F2028">
      <w:pPr>
        <w:pStyle w:val="BodyText"/>
        <w:spacing w:before="159"/>
        <w:ind w:left="120" w:right="113"/>
        <w:jc w:val="both"/>
      </w:pPr>
      <w:r>
        <w:t>Funding pan-European</w:t>
      </w:r>
      <w:r>
        <w:rPr>
          <w:spacing w:val="-1"/>
        </w:rPr>
        <w:t xml:space="preserve"> </w:t>
      </w:r>
      <w:r>
        <w:t>initiatives like</w:t>
      </w:r>
      <w:r>
        <w:rPr>
          <w:spacing w:val="-1"/>
        </w:rPr>
        <w:t xml:space="preserve"> </w:t>
      </w:r>
      <w:r>
        <w:t>the</w:t>
      </w:r>
      <w:r>
        <w:rPr>
          <w:spacing w:val="-1"/>
        </w:rPr>
        <w:t xml:space="preserve"> </w:t>
      </w:r>
      <w:r>
        <w:t>European Launcher Challenge (ELC) would</w:t>
      </w:r>
      <w:r>
        <w:rPr>
          <w:spacing w:val="-1"/>
        </w:rPr>
        <w:t xml:space="preserve"> </w:t>
      </w:r>
      <w:r>
        <w:t>further enhance</w:t>
      </w:r>
      <w:r>
        <w:rPr>
          <w:spacing w:val="-10"/>
        </w:rPr>
        <w:t xml:space="preserve"> </w:t>
      </w:r>
      <w:r>
        <w:t>the</w:t>
      </w:r>
      <w:r>
        <w:rPr>
          <w:spacing w:val="-10"/>
        </w:rPr>
        <w:t xml:space="preserve"> </w:t>
      </w:r>
      <w:r>
        <w:t>UK’s</w:t>
      </w:r>
      <w:r>
        <w:rPr>
          <w:spacing w:val="-9"/>
        </w:rPr>
        <w:t xml:space="preserve"> </w:t>
      </w:r>
      <w:r>
        <w:t>economic</w:t>
      </w:r>
      <w:r>
        <w:rPr>
          <w:spacing w:val="-9"/>
        </w:rPr>
        <w:t xml:space="preserve"> </w:t>
      </w:r>
      <w:r>
        <w:t>and</w:t>
      </w:r>
      <w:r>
        <w:rPr>
          <w:spacing w:val="-10"/>
        </w:rPr>
        <w:t xml:space="preserve"> </w:t>
      </w:r>
      <w:r>
        <w:t>strategic</w:t>
      </w:r>
      <w:r>
        <w:rPr>
          <w:spacing w:val="-9"/>
        </w:rPr>
        <w:t xml:space="preserve"> </w:t>
      </w:r>
      <w:r>
        <w:t>position.</w:t>
      </w:r>
      <w:r>
        <w:rPr>
          <w:spacing w:val="-9"/>
        </w:rPr>
        <w:t xml:space="preserve"> </w:t>
      </w:r>
      <w:r>
        <w:t>Such</w:t>
      </w:r>
      <w:r>
        <w:rPr>
          <w:spacing w:val="-10"/>
        </w:rPr>
        <w:t xml:space="preserve"> </w:t>
      </w:r>
      <w:r>
        <w:t>programmes</w:t>
      </w:r>
      <w:r>
        <w:rPr>
          <w:spacing w:val="-9"/>
        </w:rPr>
        <w:t xml:space="preserve"> </w:t>
      </w:r>
      <w:r>
        <w:t>attract</w:t>
      </w:r>
      <w:r>
        <w:rPr>
          <w:spacing w:val="-9"/>
        </w:rPr>
        <w:t xml:space="preserve"> </w:t>
      </w:r>
      <w:r>
        <w:t>investment</w:t>
      </w:r>
      <w:r>
        <w:rPr>
          <w:spacing w:val="-8"/>
        </w:rPr>
        <w:t xml:space="preserve"> </w:t>
      </w:r>
      <w:r>
        <w:t>from other</w:t>
      </w:r>
      <w:r>
        <w:rPr>
          <w:spacing w:val="-11"/>
        </w:rPr>
        <w:t xml:space="preserve"> </w:t>
      </w:r>
      <w:r>
        <w:t>European</w:t>
      </w:r>
      <w:r>
        <w:rPr>
          <w:spacing w:val="-12"/>
        </w:rPr>
        <w:t xml:space="preserve"> </w:t>
      </w:r>
      <w:r>
        <w:t>states,</w:t>
      </w:r>
      <w:r>
        <w:rPr>
          <w:spacing w:val="-11"/>
        </w:rPr>
        <w:t xml:space="preserve"> </w:t>
      </w:r>
      <w:r>
        <w:t>amplifying</w:t>
      </w:r>
      <w:r>
        <w:rPr>
          <w:spacing w:val="-13"/>
        </w:rPr>
        <w:t xml:space="preserve"> </w:t>
      </w:r>
      <w:r>
        <w:t>the</w:t>
      </w:r>
      <w:r>
        <w:rPr>
          <w:spacing w:val="-10"/>
        </w:rPr>
        <w:t xml:space="preserve"> </w:t>
      </w:r>
      <w:r>
        <w:t>UK’s</w:t>
      </w:r>
      <w:r>
        <w:rPr>
          <w:spacing w:val="-9"/>
        </w:rPr>
        <w:t xml:space="preserve"> </w:t>
      </w:r>
      <w:r>
        <w:t>initial</w:t>
      </w:r>
      <w:r>
        <w:rPr>
          <w:spacing w:val="-13"/>
        </w:rPr>
        <w:t xml:space="preserve"> </w:t>
      </w:r>
      <w:r>
        <w:t>contribution</w:t>
      </w:r>
      <w:r>
        <w:rPr>
          <w:spacing w:val="-13"/>
        </w:rPr>
        <w:t xml:space="preserve"> </w:t>
      </w:r>
      <w:r>
        <w:t>while</w:t>
      </w:r>
      <w:r>
        <w:rPr>
          <w:spacing w:val="-10"/>
        </w:rPr>
        <w:t xml:space="preserve"> </w:t>
      </w:r>
      <w:r>
        <w:t>strengthening</w:t>
      </w:r>
      <w:r>
        <w:rPr>
          <w:spacing w:val="-10"/>
        </w:rPr>
        <w:t xml:space="preserve"> </w:t>
      </w:r>
      <w:r>
        <w:t>its</w:t>
      </w:r>
      <w:r>
        <w:rPr>
          <w:spacing w:val="-12"/>
        </w:rPr>
        <w:t xml:space="preserve"> </w:t>
      </w:r>
      <w:r>
        <w:t>influence in</w:t>
      </w:r>
      <w:r>
        <w:rPr>
          <w:spacing w:val="-12"/>
        </w:rPr>
        <w:t xml:space="preserve"> </w:t>
      </w:r>
      <w:r>
        <w:t>Europe.</w:t>
      </w:r>
      <w:r>
        <w:rPr>
          <w:spacing w:val="-14"/>
        </w:rPr>
        <w:t xml:space="preserve"> </w:t>
      </w:r>
      <w:r>
        <w:t>Crucially,</w:t>
      </w:r>
      <w:r>
        <w:rPr>
          <w:spacing w:val="-11"/>
        </w:rPr>
        <w:t xml:space="preserve"> </w:t>
      </w:r>
      <w:r>
        <w:t>participation</w:t>
      </w:r>
      <w:r>
        <w:rPr>
          <w:spacing w:val="-13"/>
        </w:rPr>
        <w:t xml:space="preserve"> </w:t>
      </w:r>
      <w:r>
        <w:t>in</w:t>
      </w:r>
      <w:r>
        <w:rPr>
          <w:spacing w:val="-12"/>
        </w:rPr>
        <w:t xml:space="preserve"> </w:t>
      </w:r>
      <w:r>
        <w:t>ELC</w:t>
      </w:r>
      <w:r>
        <w:rPr>
          <w:spacing w:val="-16"/>
        </w:rPr>
        <w:t xml:space="preserve"> </w:t>
      </w:r>
      <w:r>
        <w:t>would</w:t>
      </w:r>
      <w:r>
        <w:rPr>
          <w:spacing w:val="-11"/>
        </w:rPr>
        <w:t xml:space="preserve"> </w:t>
      </w:r>
      <w:r>
        <w:t>enable</w:t>
      </w:r>
      <w:r>
        <w:rPr>
          <w:spacing w:val="-12"/>
        </w:rPr>
        <w:t xml:space="preserve"> </w:t>
      </w:r>
      <w:r>
        <w:t>UK</w:t>
      </w:r>
      <w:r>
        <w:rPr>
          <w:spacing w:val="-13"/>
        </w:rPr>
        <w:t xml:space="preserve"> </w:t>
      </w:r>
      <w:r>
        <w:t>companies</w:t>
      </w:r>
      <w:r>
        <w:rPr>
          <w:spacing w:val="-14"/>
        </w:rPr>
        <w:t xml:space="preserve"> </w:t>
      </w:r>
      <w:r>
        <w:t>to</w:t>
      </w:r>
      <w:r>
        <w:rPr>
          <w:spacing w:val="-15"/>
        </w:rPr>
        <w:t xml:space="preserve"> </w:t>
      </w:r>
      <w:r>
        <w:t>serve</w:t>
      </w:r>
      <w:r>
        <w:rPr>
          <w:spacing w:val="-12"/>
        </w:rPr>
        <w:t xml:space="preserve"> </w:t>
      </w:r>
      <w:r>
        <w:t>EU</w:t>
      </w:r>
      <w:r>
        <w:rPr>
          <w:spacing w:val="-15"/>
        </w:rPr>
        <w:t xml:space="preserve"> </w:t>
      </w:r>
      <w:r>
        <w:t>institutional demand—ensuring that British businesses remain competitive in a market that might otherwise be closed to non-EU players.</w:t>
      </w:r>
    </w:p>
    <w:p w:rsidR="003F2028">
      <w:pPr>
        <w:pStyle w:val="BodyText"/>
        <w:spacing w:before="161"/>
        <w:ind w:left="120" w:right="112"/>
        <w:jc w:val="both"/>
      </w:pPr>
      <w:r>
        <w:t>By investing</w:t>
      </w:r>
      <w:r>
        <w:rPr>
          <w:spacing w:val="-2"/>
        </w:rPr>
        <w:t xml:space="preserve"> </w:t>
      </w:r>
      <w:r>
        <w:t>in Scottish launch capabilities, the</w:t>
      </w:r>
      <w:r>
        <w:rPr>
          <w:spacing w:val="-2"/>
        </w:rPr>
        <w:t xml:space="preserve"> </w:t>
      </w:r>
      <w:r>
        <w:t>UK Government can</w:t>
      </w:r>
      <w:r>
        <w:rPr>
          <w:spacing w:val="-2"/>
        </w:rPr>
        <w:t xml:space="preserve"> </w:t>
      </w:r>
      <w:r>
        <w:t>position Scotland</w:t>
      </w:r>
      <w:r>
        <w:rPr>
          <w:spacing w:val="-2"/>
        </w:rPr>
        <w:t xml:space="preserve"> </w:t>
      </w:r>
      <w:r>
        <w:t>as</w:t>
      </w:r>
      <w:r>
        <w:rPr>
          <w:spacing w:val="-2"/>
        </w:rPr>
        <w:t xml:space="preserve"> </w:t>
      </w:r>
      <w:r>
        <w:t>the premier satellite launch destination in Europe. The growing demand for small satellite launches presents a major economic opportunity, and with the right support, Scotland can attract customers from across the world—capturing market share that might otherwise go to competing nations. A thriving Scottish launch industry would generate exports, create high- skilled</w:t>
      </w:r>
      <w:r>
        <w:rPr>
          <w:spacing w:val="-2"/>
        </w:rPr>
        <w:t xml:space="preserve"> </w:t>
      </w:r>
      <w:r>
        <w:t>jobs, and</w:t>
      </w:r>
      <w:r>
        <w:rPr>
          <w:spacing w:val="-2"/>
        </w:rPr>
        <w:t xml:space="preserve"> </w:t>
      </w:r>
      <w:r>
        <w:t>establish</w:t>
      </w:r>
      <w:r>
        <w:rPr>
          <w:spacing w:val="-2"/>
        </w:rPr>
        <w:t xml:space="preserve"> </w:t>
      </w:r>
      <w:r>
        <w:t>the</w:t>
      </w:r>
      <w:r>
        <w:rPr>
          <w:spacing w:val="-2"/>
        </w:rPr>
        <w:t xml:space="preserve"> </w:t>
      </w:r>
      <w:r>
        <w:t>UK and</w:t>
      </w:r>
      <w:r>
        <w:rPr>
          <w:spacing w:val="-2"/>
        </w:rPr>
        <w:t xml:space="preserve"> </w:t>
      </w:r>
      <w:r>
        <w:t>Scotland</w:t>
      </w:r>
      <w:r>
        <w:rPr>
          <w:spacing w:val="-1"/>
        </w:rPr>
        <w:t xml:space="preserve"> </w:t>
      </w:r>
      <w:r>
        <w:t>as</w:t>
      </w:r>
      <w:r>
        <w:rPr>
          <w:spacing w:val="-2"/>
        </w:rPr>
        <w:t xml:space="preserve"> </w:t>
      </w:r>
      <w:r>
        <w:t>critical</w:t>
      </w:r>
      <w:r>
        <w:rPr>
          <w:spacing w:val="-3"/>
        </w:rPr>
        <w:t xml:space="preserve"> </w:t>
      </w:r>
      <w:r>
        <w:t>players</w:t>
      </w:r>
      <w:r>
        <w:rPr>
          <w:spacing w:val="-1"/>
        </w:rPr>
        <w:t xml:space="preserve"> </w:t>
      </w:r>
      <w:r>
        <w:t>in</w:t>
      </w:r>
      <w:r>
        <w:rPr>
          <w:spacing w:val="-4"/>
        </w:rPr>
        <w:t xml:space="preserve"> </w:t>
      </w:r>
      <w:r>
        <w:t>th</w:t>
      </w:r>
      <w:r>
        <w:t>e</w:t>
      </w:r>
      <w:r>
        <w:rPr>
          <w:spacing w:val="-2"/>
        </w:rPr>
        <w:t xml:space="preserve"> </w:t>
      </w:r>
      <w:r>
        <w:t>European</w:t>
      </w:r>
      <w:r>
        <w:rPr>
          <w:spacing w:val="-2"/>
        </w:rPr>
        <w:t xml:space="preserve"> </w:t>
      </w:r>
      <w:r>
        <w:t>and</w:t>
      </w:r>
      <w:r>
        <w:rPr>
          <w:spacing w:val="-2"/>
        </w:rPr>
        <w:t xml:space="preserve"> </w:t>
      </w:r>
      <w:r>
        <w:t>global space markets.</w:t>
      </w:r>
    </w:p>
    <w:p w:rsidR="003F2028">
      <w:pPr>
        <w:pStyle w:val="BodyText"/>
        <w:spacing w:before="161"/>
        <w:ind w:left="120" w:right="113"/>
        <w:jc w:val="both"/>
      </w:pPr>
      <w:r>
        <w:t>Beyond economic benefits, investing in European launch capabilities is a matter of national and</w:t>
      </w:r>
      <w:r>
        <w:rPr>
          <w:spacing w:val="-14"/>
        </w:rPr>
        <w:t xml:space="preserve"> </w:t>
      </w:r>
      <w:r>
        <w:t>regional</w:t>
      </w:r>
      <w:r>
        <w:rPr>
          <w:spacing w:val="-15"/>
        </w:rPr>
        <w:t xml:space="preserve"> </w:t>
      </w:r>
      <w:r>
        <w:t>security.</w:t>
      </w:r>
      <w:r>
        <w:rPr>
          <w:spacing w:val="-15"/>
        </w:rPr>
        <w:t xml:space="preserve"> </w:t>
      </w:r>
      <w:r>
        <w:t>In</w:t>
      </w:r>
      <w:r>
        <w:rPr>
          <w:spacing w:val="-16"/>
        </w:rPr>
        <w:t xml:space="preserve"> </w:t>
      </w:r>
      <w:r>
        <w:t>an</w:t>
      </w:r>
      <w:r>
        <w:rPr>
          <w:spacing w:val="-13"/>
        </w:rPr>
        <w:t xml:space="preserve"> </w:t>
      </w:r>
      <w:r>
        <w:t>era</w:t>
      </w:r>
      <w:r>
        <w:rPr>
          <w:spacing w:val="-13"/>
        </w:rPr>
        <w:t xml:space="preserve"> </w:t>
      </w:r>
      <w:r>
        <w:t>of</w:t>
      </w:r>
      <w:r>
        <w:rPr>
          <w:spacing w:val="-15"/>
        </w:rPr>
        <w:t xml:space="preserve"> </w:t>
      </w:r>
      <w:r>
        <w:t>increasing</w:t>
      </w:r>
      <w:r>
        <w:rPr>
          <w:spacing w:val="-14"/>
        </w:rPr>
        <w:t xml:space="preserve"> </w:t>
      </w:r>
      <w:r>
        <w:t>geopolitical</w:t>
      </w:r>
      <w:r>
        <w:rPr>
          <w:spacing w:val="-15"/>
        </w:rPr>
        <w:t xml:space="preserve"> </w:t>
      </w:r>
      <w:r>
        <w:t>uncertainty,</w:t>
      </w:r>
      <w:r>
        <w:rPr>
          <w:spacing w:val="-12"/>
        </w:rPr>
        <w:t xml:space="preserve"> </w:t>
      </w:r>
      <w:r>
        <w:t>relying</w:t>
      </w:r>
      <w:r>
        <w:rPr>
          <w:spacing w:val="-14"/>
        </w:rPr>
        <w:t xml:space="preserve"> </w:t>
      </w:r>
      <w:r>
        <w:t>on</w:t>
      </w:r>
      <w:r>
        <w:rPr>
          <w:spacing w:val="-14"/>
        </w:rPr>
        <w:t xml:space="preserve"> </w:t>
      </w:r>
      <w:r>
        <w:t>non-European launch</w:t>
      </w:r>
      <w:r>
        <w:rPr>
          <w:spacing w:val="-16"/>
        </w:rPr>
        <w:t xml:space="preserve"> </w:t>
      </w:r>
      <w:r>
        <w:t>providers</w:t>
      </w:r>
      <w:r>
        <w:rPr>
          <w:spacing w:val="-15"/>
        </w:rPr>
        <w:t xml:space="preserve"> </w:t>
      </w:r>
      <w:r>
        <w:t>presents</w:t>
      </w:r>
      <w:r>
        <w:rPr>
          <w:spacing w:val="-15"/>
        </w:rPr>
        <w:t xml:space="preserve"> </w:t>
      </w:r>
      <w:r>
        <w:t>a</w:t>
      </w:r>
      <w:r>
        <w:rPr>
          <w:spacing w:val="-16"/>
        </w:rPr>
        <w:t xml:space="preserve"> </w:t>
      </w:r>
      <w:r>
        <w:t>strategic</w:t>
      </w:r>
      <w:r>
        <w:rPr>
          <w:spacing w:val="-15"/>
        </w:rPr>
        <w:t xml:space="preserve"> </w:t>
      </w:r>
      <w:r>
        <w:t>vulnerability.</w:t>
      </w:r>
      <w:r>
        <w:rPr>
          <w:spacing w:val="-15"/>
        </w:rPr>
        <w:t xml:space="preserve"> </w:t>
      </w:r>
      <w:r>
        <w:t>By</w:t>
      </w:r>
      <w:r>
        <w:rPr>
          <w:spacing w:val="-15"/>
        </w:rPr>
        <w:t xml:space="preserve"> </w:t>
      </w:r>
      <w:r>
        <w:t>supporting</w:t>
      </w:r>
      <w:r>
        <w:rPr>
          <w:spacing w:val="-16"/>
        </w:rPr>
        <w:t xml:space="preserve"> </w:t>
      </w:r>
      <w:r>
        <w:t>a</w:t>
      </w:r>
      <w:r>
        <w:rPr>
          <w:spacing w:val="-15"/>
        </w:rPr>
        <w:t xml:space="preserve"> </w:t>
      </w:r>
      <w:r>
        <w:t>sovereign</w:t>
      </w:r>
      <w:r>
        <w:rPr>
          <w:spacing w:val="-15"/>
        </w:rPr>
        <w:t xml:space="preserve"> </w:t>
      </w:r>
      <w:r>
        <w:t>launch</w:t>
      </w:r>
      <w:r>
        <w:rPr>
          <w:spacing w:val="-16"/>
        </w:rPr>
        <w:t xml:space="preserve"> </w:t>
      </w:r>
      <w:r>
        <w:t>capability in Europe, the UK Government can contribute to</w:t>
      </w:r>
      <w:r>
        <w:rPr>
          <w:spacing w:val="-2"/>
        </w:rPr>
        <w:t xml:space="preserve"> </w:t>
      </w:r>
      <w:r>
        <w:t xml:space="preserve">a more autonomous and resilient European space sector—ensuring that key </w:t>
      </w:r>
      <w:r>
        <w:t>defence</w:t>
      </w:r>
      <w:r>
        <w:t xml:space="preserve"> and communications assets can be deployed without reliance on third countries. Strengthening European launch infrastructure would enhance both the UK’s and Europe’s ability to respond to global </w:t>
      </w:r>
      <w:r>
        <w:t>challenges, safeguarding economic and security interests for the long term.</w:t>
      </w:r>
    </w:p>
    <w:p w:rsidR="003F2028">
      <w:pPr>
        <w:pStyle w:val="Heading2"/>
        <w:numPr>
          <w:ilvl w:val="0"/>
          <w:numId w:val="1"/>
        </w:numPr>
        <w:tabs>
          <w:tab w:val="left" w:pos="838"/>
        </w:tabs>
        <w:spacing w:before="160"/>
        <w:ind w:left="838" w:hanging="358"/>
      </w:pPr>
      <w:r>
        <w:t>Wider</w:t>
      </w:r>
      <w:r>
        <w:rPr>
          <w:spacing w:val="-4"/>
        </w:rPr>
        <w:t xml:space="preserve"> </w:t>
      </w:r>
      <w:r>
        <w:t>benefits</w:t>
      </w:r>
      <w:r>
        <w:rPr>
          <w:spacing w:val="-4"/>
        </w:rPr>
        <w:t xml:space="preserve"> </w:t>
      </w:r>
      <w:r>
        <w:t>to</w:t>
      </w:r>
      <w:r>
        <w:rPr>
          <w:spacing w:val="-3"/>
        </w:rPr>
        <w:t xml:space="preserve"> </w:t>
      </w:r>
      <w:r>
        <w:t>Scotland</w:t>
      </w:r>
      <w:r>
        <w:rPr>
          <w:spacing w:val="-3"/>
        </w:rPr>
        <w:t xml:space="preserve"> </w:t>
      </w:r>
      <w:r>
        <w:t>and</w:t>
      </w:r>
      <w:r>
        <w:rPr>
          <w:spacing w:val="-4"/>
        </w:rPr>
        <w:t xml:space="preserve"> </w:t>
      </w:r>
      <w:r>
        <w:t>the</w:t>
      </w:r>
      <w:r>
        <w:rPr>
          <w:spacing w:val="-2"/>
        </w:rPr>
        <w:t xml:space="preserve"> </w:t>
      </w:r>
      <w:r>
        <w:rPr>
          <w:spacing w:val="-5"/>
        </w:rPr>
        <w:t>UK</w:t>
      </w:r>
    </w:p>
    <w:p w:rsidR="003F2028">
      <w:pPr>
        <w:spacing w:before="160"/>
        <w:ind w:left="120"/>
        <w:jc w:val="both"/>
        <w:rPr>
          <w:i/>
        </w:rPr>
      </w:pPr>
      <w:r>
        <w:rPr>
          <w:i/>
        </w:rPr>
        <w:t>Wider</w:t>
      </w:r>
      <w:r>
        <w:rPr>
          <w:i/>
          <w:spacing w:val="-4"/>
        </w:rPr>
        <w:t xml:space="preserve"> </w:t>
      </w:r>
      <w:r>
        <w:rPr>
          <w:i/>
        </w:rPr>
        <w:t>benefits</w:t>
      </w:r>
      <w:r>
        <w:rPr>
          <w:i/>
          <w:spacing w:val="-6"/>
        </w:rPr>
        <w:t xml:space="preserve"> </w:t>
      </w:r>
      <w:r>
        <w:rPr>
          <w:i/>
        </w:rPr>
        <w:t>to</w:t>
      </w:r>
      <w:r>
        <w:rPr>
          <w:i/>
          <w:spacing w:val="-6"/>
        </w:rPr>
        <w:t xml:space="preserve"> </w:t>
      </w:r>
      <w:r>
        <w:rPr>
          <w:i/>
          <w:spacing w:val="-2"/>
        </w:rPr>
        <w:t>Scotland</w:t>
      </w:r>
    </w:p>
    <w:p w:rsidR="003F2028">
      <w:pPr>
        <w:pStyle w:val="BodyText"/>
        <w:spacing w:before="160"/>
        <w:ind w:left="120" w:right="113"/>
        <w:jc w:val="both"/>
      </w:pPr>
      <w:r>
        <w:t>Supporting the space industry would have far-reaching benefits for the wider Scottish economic, innovation, and political goals, beginning with national sovereignty.</w:t>
      </w:r>
    </w:p>
    <w:p w:rsidR="003F2028">
      <w:pPr>
        <w:jc w:val="both"/>
        <w:sectPr>
          <w:pgSz w:w="11910" w:h="16840"/>
          <w:pgMar w:top="1920" w:right="1320" w:bottom="900" w:left="1320" w:header="776" w:footer="707" w:gutter="0"/>
          <w:cols w:space="720"/>
        </w:sectPr>
      </w:pPr>
    </w:p>
    <w:p w:rsidR="003F2028">
      <w:pPr>
        <w:pStyle w:val="BodyText"/>
        <w:spacing w:before="111"/>
        <w:ind w:left="120" w:right="115"/>
        <w:jc w:val="both"/>
      </w:pPr>
      <w:r>
        <w:t xml:space="preserve">From a climate and sustainability perspective, </w:t>
      </w:r>
      <w:r>
        <w:t>Orbex</w:t>
      </w:r>
      <w:r>
        <w:t xml:space="preserve"> is building the world’s most sustainable launch vehicle, which aligns with the UK and Scottish Governments environmental goals.</w:t>
      </w:r>
    </w:p>
    <w:p w:rsidR="003F2028">
      <w:pPr>
        <w:pStyle w:val="BodyText"/>
        <w:spacing w:before="2"/>
      </w:pPr>
    </w:p>
    <w:p w:rsidR="003F2028">
      <w:pPr>
        <w:pStyle w:val="BodyText"/>
        <w:ind w:left="120" w:right="113"/>
        <w:jc w:val="both"/>
      </w:pPr>
      <w:r>
        <w:t>Orbex’s</w:t>
      </w:r>
      <w:r>
        <w:t xml:space="preserve"> rocket technology not only </w:t>
      </w:r>
      <w:r>
        <w:t>minimises</w:t>
      </w:r>
      <w:r>
        <w:t xml:space="preserve"> carbon emissions but also enables the deployment of Earth observation satellites that play a critical role in climate monitoring and environmental protection. This allows for the monitoring of Scottish forests and peatland to maintain Scotland’s rich biodiversity.</w:t>
      </w:r>
    </w:p>
    <w:p w:rsidR="003F2028">
      <w:pPr>
        <w:pStyle w:val="BodyText"/>
      </w:pPr>
    </w:p>
    <w:p w:rsidR="003F2028">
      <w:pPr>
        <w:pStyle w:val="BodyText"/>
        <w:ind w:left="120" w:right="113"/>
        <w:jc w:val="both"/>
      </w:pPr>
      <w:r>
        <w:t xml:space="preserve">Lastly, the innovations developed by </w:t>
      </w:r>
      <w:r>
        <w:t>Orbex</w:t>
      </w:r>
      <w:r>
        <w:t xml:space="preserve"> have the potential to create significant spillover effects across industries beyond space and the wider R&amp;D ecosystem. Advancements in materials science, propulsion systems, automation, and AI developed for spaceflight can be applied across industries.</w:t>
      </w:r>
    </w:p>
    <w:p w:rsidR="003F2028">
      <w:pPr>
        <w:pStyle w:val="BodyText"/>
      </w:pPr>
    </w:p>
    <w:p w:rsidR="003F2028">
      <w:pPr>
        <w:pStyle w:val="BodyText"/>
        <w:spacing w:before="1"/>
        <w:ind w:left="120" w:right="113"/>
        <w:jc w:val="both"/>
      </w:pPr>
      <w:r>
        <w:t>Orbex’s</w:t>
      </w:r>
      <w:r>
        <w:rPr>
          <w:spacing w:val="-9"/>
        </w:rPr>
        <w:t xml:space="preserve"> </w:t>
      </w:r>
      <w:r>
        <w:t>cryogenic</w:t>
      </w:r>
      <w:r>
        <w:rPr>
          <w:spacing w:val="-9"/>
        </w:rPr>
        <w:t xml:space="preserve"> </w:t>
      </w:r>
      <w:r>
        <w:t>carbon</w:t>
      </w:r>
      <w:r>
        <w:rPr>
          <w:spacing w:val="-7"/>
        </w:rPr>
        <w:t xml:space="preserve"> </w:t>
      </w:r>
      <w:r>
        <w:t>fibre</w:t>
      </w:r>
      <w:r>
        <w:rPr>
          <w:spacing w:val="-9"/>
        </w:rPr>
        <w:t xml:space="preserve"> </w:t>
      </w:r>
      <w:r>
        <w:t>tanks,</w:t>
      </w:r>
      <w:r>
        <w:rPr>
          <w:spacing w:val="-8"/>
        </w:rPr>
        <w:t xml:space="preserve"> </w:t>
      </w:r>
      <w:r>
        <w:t>for</w:t>
      </w:r>
      <w:r>
        <w:rPr>
          <w:spacing w:val="-8"/>
        </w:rPr>
        <w:t xml:space="preserve"> </w:t>
      </w:r>
      <w:r>
        <w:t>example,</w:t>
      </w:r>
      <w:r>
        <w:rPr>
          <w:spacing w:val="-5"/>
        </w:rPr>
        <w:t xml:space="preserve"> </w:t>
      </w:r>
      <w:r>
        <w:t>have</w:t>
      </w:r>
      <w:r>
        <w:rPr>
          <w:spacing w:val="-7"/>
        </w:rPr>
        <w:t xml:space="preserve"> </w:t>
      </w:r>
      <w:r>
        <w:t>potential</w:t>
      </w:r>
      <w:r>
        <w:rPr>
          <w:spacing w:val="-8"/>
        </w:rPr>
        <w:t xml:space="preserve"> </w:t>
      </w:r>
      <w:r>
        <w:t>uses</w:t>
      </w:r>
      <w:r>
        <w:rPr>
          <w:spacing w:val="-9"/>
        </w:rPr>
        <w:t xml:space="preserve"> </w:t>
      </w:r>
      <w:r>
        <w:t>in</w:t>
      </w:r>
      <w:r>
        <w:rPr>
          <w:spacing w:val="-10"/>
        </w:rPr>
        <w:t xml:space="preserve"> </w:t>
      </w:r>
      <w:r>
        <w:t>the</w:t>
      </w:r>
      <w:r>
        <w:rPr>
          <w:spacing w:val="-7"/>
        </w:rPr>
        <w:t xml:space="preserve"> </w:t>
      </w:r>
      <w:r>
        <w:t>hydrogen</w:t>
      </w:r>
      <w:r>
        <w:rPr>
          <w:spacing w:val="-10"/>
        </w:rPr>
        <w:t xml:space="preserve"> </w:t>
      </w:r>
      <w:r>
        <w:t>sector for clean energy storage, while its 3D printing and non-destructive inspection technologies have applications in fields such as precision manufacturing. Increased Government support for space R&amp;D would reinforce Scotland’s position as a leader in innovation.</w:t>
      </w:r>
    </w:p>
    <w:p w:rsidR="003F2028">
      <w:pPr>
        <w:pStyle w:val="BodyText"/>
        <w:spacing w:before="158"/>
      </w:pPr>
    </w:p>
    <w:p w:rsidR="003F2028">
      <w:pPr>
        <w:pStyle w:val="Heading2"/>
      </w:pPr>
      <w:r>
        <w:t>Government</w:t>
      </w:r>
      <w:r>
        <w:rPr>
          <w:spacing w:val="-4"/>
        </w:rPr>
        <w:t xml:space="preserve"> </w:t>
      </w:r>
      <w:r>
        <w:t>support</w:t>
      </w:r>
      <w:r>
        <w:rPr>
          <w:spacing w:val="-4"/>
        </w:rPr>
        <w:t xml:space="preserve"> </w:t>
      </w:r>
      <w:r>
        <w:t>for</w:t>
      </w:r>
      <w:r>
        <w:rPr>
          <w:spacing w:val="-3"/>
        </w:rPr>
        <w:t xml:space="preserve"> </w:t>
      </w:r>
      <w:r>
        <w:t>the</w:t>
      </w:r>
      <w:r>
        <w:rPr>
          <w:spacing w:val="-5"/>
        </w:rPr>
        <w:t xml:space="preserve"> </w:t>
      </w:r>
      <w:r>
        <w:rPr>
          <w:spacing w:val="-2"/>
        </w:rPr>
        <w:t>sector</w:t>
      </w:r>
    </w:p>
    <w:p w:rsidR="003F2028">
      <w:pPr>
        <w:pStyle w:val="BodyText"/>
        <w:spacing w:before="162"/>
        <w:ind w:left="120" w:right="110"/>
        <w:jc w:val="both"/>
      </w:pPr>
      <w:r>
        <w:t>We require the UK Government to continue to support the space sector and the launch element of this.</w:t>
      </w:r>
      <w:r>
        <w:rPr>
          <w:spacing w:val="40"/>
        </w:rPr>
        <w:t xml:space="preserve"> </w:t>
      </w:r>
      <w:r>
        <w:t>We have outlined below the ways they can do this and the benefits of each.</w:t>
      </w:r>
    </w:p>
    <w:p w:rsidR="003F2028">
      <w:pPr>
        <w:spacing w:before="159"/>
        <w:ind w:left="120"/>
        <w:jc w:val="both"/>
        <w:rPr>
          <w:i/>
        </w:rPr>
      </w:pPr>
      <w:r>
        <w:rPr>
          <w:i/>
        </w:rPr>
        <w:t>Commitment</w:t>
      </w:r>
      <w:r>
        <w:rPr>
          <w:i/>
          <w:spacing w:val="-10"/>
        </w:rPr>
        <w:t xml:space="preserve"> </w:t>
      </w:r>
      <w:r>
        <w:rPr>
          <w:i/>
        </w:rPr>
        <w:t>to</w:t>
      </w:r>
      <w:r>
        <w:rPr>
          <w:i/>
          <w:spacing w:val="-6"/>
        </w:rPr>
        <w:t xml:space="preserve"> </w:t>
      </w:r>
      <w:r>
        <w:rPr>
          <w:i/>
        </w:rPr>
        <w:t>Funding</w:t>
      </w:r>
      <w:r>
        <w:rPr>
          <w:i/>
          <w:spacing w:val="-9"/>
        </w:rPr>
        <w:t xml:space="preserve"> </w:t>
      </w:r>
      <w:r>
        <w:rPr>
          <w:i/>
        </w:rPr>
        <w:t>the</w:t>
      </w:r>
      <w:r>
        <w:rPr>
          <w:i/>
          <w:spacing w:val="-6"/>
        </w:rPr>
        <w:t xml:space="preserve"> </w:t>
      </w:r>
      <w:r>
        <w:rPr>
          <w:i/>
        </w:rPr>
        <w:t>European</w:t>
      </w:r>
      <w:r>
        <w:rPr>
          <w:i/>
          <w:spacing w:val="-5"/>
        </w:rPr>
        <w:t xml:space="preserve"> </w:t>
      </w:r>
      <w:r>
        <w:rPr>
          <w:i/>
        </w:rPr>
        <w:t>Launcher</w:t>
      </w:r>
      <w:r>
        <w:rPr>
          <w:i/>
          <w:spacing w:val="-8"/>
        </w:rPr>
        <w:t xml:space="preserve"> </w:t>
      </w:r>
      <w:r>
        <w:rPr>
          <w:i/>
        </w:rPr>
        <w:t>Challenge</w:t>
      </w:r>
      <w:r>
        <w:rPr>
          <w:i/>
          <w:spacing w:val="-5"/>
        </w:rPr>
        <w:t xml:space="preserve"> </w:t>
      </w:r>
      <w:r>
        <w:rPr>
          <w:i/>
          <w:spacing w:val="-2"/>
        </w:rPr>
        <w:t>(ELC)</w:t>
      </w:r>
    </w:p>
    <w:p w:rsidR="003F2028">
      <w:pPr>
        <w:pStyle w:val="BodyText"/>
        <w:spacing w:before="160"/>
        <w:ind w:left="120" w:right="114"/>
        <w:jc w:val="both"/>
      </w:pPr>
      <w:r>
        <w:t>We urge the UK Government to commit funding to the European Launcher Challenge (ELC) initiative.</w:t>
      </w:r>
      <w:r>
        <w:rPr>
          <w:spacing w:val="-16"/>
        </w:rPr>
        <w:t xml:space="preserve"> </w:t>
      </w:r>
      <w:r>
        <w:t>This</w:t>
      </w:r>
      <w:r>
        <w:rPr>
          <w:spacing w:val="-15"/>
        </w:rPr>
        <w:t xml:space="preserve"> </w:t>
      </w:r>
      <w:r>
        <w:t>investment</w:t>
      </w:r>
      <w:r>
        <w:rPr>
          <w:spacing w:val="-15"/>
        </w:rPr>
        <w:t xml:space="preserve"> </w:t>
      </w:r>
      <w:r>
        <w:t>will</w:t>
      </w:r>
      <w:r>
        <w:rPr>
          <w:spacing w:val="-15"/>
        </w:rPr>
        <w:t xml:space="preserve"> </w:t>
      </w:r>
      <w:r>
        <w:t>secure</w:t>
      </w:r>
      <w:r>
        <w:rPr>
          <w:spacing w:val="-15"/>
        </w:rPr>
        <w:t xml:space="preserve"> </w:t>
      </w:r>
      <w:r>
        <w:t>a</w:t>
      </w:r>
      <w:r>
        <w:rPr>
          <w:spacing w:val="-15"/>
        </w:rPr>
        <w:t xml:space="preserve"> </w:t>
      </w:r>
      <w:r>
        <w:t>sovereign,</w:t>
      </w:r>
      <w:r>
        <w:rPr>
          <w:spacing w:val="-16"/>
        </w:rPr>
        <w:t xml:space="preserve"> </w:t>
      </w:r>
      <w:r>
        <w:t>sustainable,</w:t>
      </w:r>
      <w:r>
        <w:rPr>
          <w:spacing w:val="-14"/>
        </w:rPr>
        <w:t xml:space="preserve"> </w:t>
      </w:r>
      <w:r>
        <w:t>and</w:t>
      </w:r>
      <w:r>
        <w:rPr>
          <w:spacing w:val="-15"/>
        </w:rPr>
        <w:t xml:space="preserve"> </w:t>
      </w:r>
      <w:r>
        <w:t>commercially</w:t>
      </w:r>
      <w:r>
        <w:rPr>
          <w:spacing w:val="-14"/>
        </w:rPr>
        <w:t xml:space="preserve"> </w:t>
      </w:r>
      <w:r>
        <w:t>viable</w:t>
      </w:r>
      <w:r>
        <w:rPr>
          <w:spacing w:val="-15"/>
        </w:rPr>
        <w:t xml:space="preserve"> </w:t>
      </w:r>
      <w:r>
        <w:t xml:space="preserve">launch capability in the UK, strengthening the domestic space sector and ensuring strategic </w:t>
      </w:r>
      <w:r>
        <w:rPr>
          <w:spacing w:val="-2"/>
        </w:rPr>
        <w:t>independence.</w:t>
      </w:r>
    </w:p>
    <w:p w:rsidR="003F2028">
      <w:pPr>
        <w:pStyle w:val="BodyText"/>
        <w:spacing w:before="160"/>
        <w:ind w:left="120" w:right="114"/>
        <w:jc w:val="both"/>
      </w:pPr>
      <w:r>
        <w:t>The benefits extend beyond the industry itself—creating highly-skilled jobs, fostering supply chain</w:t>
      </w:r>
      <w:r>
        <w:rPr>
          <w:spacing w:val="-14"/>
        </w:rPr>
        <w:t xml:space="preserve"> </w:t>
      </w:r>
      <w:r>
        <w:t>growth,</w:t>
      </w:r>
      <w:r>
        <w:rPr>
          <w:spacing w:val="-15"/>
        </w:rPr>
        <w:t xml:space="preserve"> </w:t>
      </w:r>
      <w:r>
        <w:t>and</w:t>
      </w:r>
      <w:r>
        <w:rPr>
          <w:spacing w:val="-14"/>
        </w:rPr>
        <w:t xml:space="preserve"> </w:t>
      </w:r>
      <w:r>
        <w:t>driving</w:t>
      </w:r>
      <w:r>
        <w:rPr>
          <w:spacing w:val="-16"/>
        </w:rPr>
        <w:t xml:space="preserve"> </w:t>
      </w:r>
      <w:r>
        <w:t>innovation,</w:t>
      </w:r>
      <w:r>
        <w:rPr>
          <w:spacing w:val="-11"/>
        </w:rPr>
        <w:t xml:space="preserve"> </w:t>
      </w:r>
      <w:r>
        <w:t>particularly</w:t>
      </w:r>
      <w:r>
        <w:rPr>
          <w:spacing w:val="-14"/>
        </w:rPr>
        <w:t xml:space="preserve"> </w:t>
      </w:r>
      <w:r>
        <w:t>in</w:t>
      </w:r>
      <w:r>
        <w:rPr>
          <w:spacing w:val="-16"/>
        </w:rPr>
        <w:t xml:space="preserve"> </w:t>
      </w:r>
      <w:r>
        <w:t>Scotland,</w:t>
      </w:r>
      <w:r>
        <w:rPr>
          <w:spacing w:val="-11"/>
        </w:rPr>
        <w:t xml:space="preserve"> </w:t>
      </w:r>
      <w:r>
        <w:t>where</w:t>
      </w:r>
      <w:r>
        <w:rPr>
          <w:spacing w:val="-16"/>
        </w:rPr>
        <w:t xml:space="preserve"> </w:t>
      </w:r>
      <w:r>
        <w:t>the</w:t>
      </w:r>
      <w:r>
        <w:rPr>
          <w:spacing w:val="-15"/>
        </w:rPr>
        <w:t xml:space="preserve"> </w:t>
      </w:r>
      <w:r>
        <w:t>space</w:t>
      </w:r>
      <w:r>
        <w:rPr>
          <w:spacing w:val="-13"/>
        </w:rPr>
        <w:t xml:space="preserve"> </w:t>
      </w:r>
      <w:r>
        <w:t>sector</w:t>
      </w:r>
      <w:r>
        <w:rPr>
          <w:spacing w:val="-13"/>
        </w:rPr>
        <w:t xml:space="preserve"> </w:t>
      </w:r>
      <w:r>
        <w:t>is</w:t>
      </w:r>
      <w:r>
        <w:rPr>
          <w:spacing w:val="-13"/>
        </w:rPr>
        <w:t xml:space="preserve"> </w:t>
      </w:r>
      <w:r>
        <w:t>rapidly expanding. By supporting ELC, the Government will help solidify the UK’s position as a competitive space-faring nation while delivering economic benefits Scotland through increased investment and technological advancements.</w:t>
      </w:r>
    </w:p>
    <w:p w:rsidR="003F2028">
      <w:pPr>
        <w:spacing w:before="160"/>
        <w:ind w:left="120"/>
        <w:jc w:val="both"/>
        <w:rPr>
          <w:i/>
        </w:rPr>
      </w:pPr>
      <w:r>
        <w:rPr>
          <w:i/>
        </w:rPr>
        <w:t>Expanding</w:t>
      </w:r>
      <w:r>
        <w:rPr>
          <w:i/>
          <w:spacing w:val="-7"/>
        </w:rPr>
        <w:t xml:space="preserve"> </w:t>
      </w:r>
      <w:r>
        <w:rPr>
          <w:i/>
        </w:rPr>
        <w:t>the</w:t>
      </w:r>
      <w:r>
        <w:rPr>
          <w:i/>
          <w:spacing w:val="-4"/>
        </w:rPr>
        <w:t xml:space="preserve"> </w:t>
      </w:r>
      <w:r>
        <w:rPr>
          <w:i/>
        </w:rPr>
        <w:t>National</w:t>
      </w:r>
      <w:r>
        <w:rPr>
          <w:i/>
          <w:spacing w:val="-7"/>
        </w:rPr>
        <w:t xml:space="preserve"> </w:t>
      </w:r>
      <w:r>
        <w:rPr>
          <w:i/>
        </w:rPr>
        <w:t>Wealth</w:t>
      </w:r>
      <w:r>
        <w:rPr>
          <w:i/>
          <w:spacing w:val="-4"/>
        </w:rPr>
        <w:t xml:space="preserve"> </w:t>
      </w:r>
      <w:r>
        <w:rPr>
          <w:i/>
        </w:rPr>
        <w:t>Fund</w:t>
      </w:r>
      <w:r>
        <w:rPr>
          <w:i/>
          <w:spacing w:val="-7"/>
        </w:rPr>
        <w:t xml:space="preserve"> </w:t>
      </w:r>
      <w:r>
        <w:rPr>
          <w:i/>
        </w:rPr>
        <w:t>(NWF)</w:t>
      </w:r>
      <w:r>
        <w:rPr>
          <w:i/>
          <w:spacing w:val="-5"/>
        </w:rPr>
        <w:t xml:space="preserve"> </w:t>
      </w:r>
      <w:r>
        <w:rPr>
          <w:i/>
        </w:rPr>
        <w:t>to</w:t>
      </w:r>
      <w:r>
        <w:rPr>
          <w:i/>
          <w:spacing w:val="-6"/>
        </w:rPr>
        <w:t xml:space="preserve"> </w:t>
      </w:r>
      <w:r>
        <w:rPr>
          <w:i/>
        </w:rPr>
        <w:t>Unlock</w:t>
      </w:r>
      <w:r>
        <w:rPr>
          <w:i/>
          <w:spacing w:val="-4"/>
        </w:rPr>
        <w:t xml:space="preserve"> </w:t>
      </w:r>
      <w:r>
        <w:rPr>
          <w:i/>
        </w:rPr>
        <w:t>UK</w:t>
      </w:r>
      <w:r>
        <w:rPr>
          <w:i/>
          <w:spacing w:val="-5"/>
        </w:rPr>
        <w:t xml:space="preserve"> </w:t>
      </w:r>
      <w:r>
        <w:rPr>
          <w:i/>
        </w:rPr>
        <w:t>Space</w:t>
      </w:r>
      <w:r>
        <w:rPr>
          <w:i/>
          <w:spacing w:val="-5"/>
        </w:rPr>
        <w:t xml:space="preserve"> </w:t>
      </w:r>
      <w:r>
        <w:rPr>
          <w:i/>
        </w:rPr>
        <w:t>Sector</w:t>
      </w:r>
      <w:r>
        <w:rPr>
          <w:i/>
          <w:spacing w:val="-7"/>
        </w:rPr>
        <w:t xml:space="preserve"> </w:t>
      </w:r>
      <w:r>
        <w:rPr>
          <w:i/>
          <w:spacing w:val="-2"/>
        </w:rPr>
        <w:t>Growth</w:t>
      </w:r>
    </w:p>
    <w:p w:rsidR="003F2028">
      <w:pPr>
        <w:pStyle w:val="BodyText"/>
        <w:spacing w:before="160"/>
        <w:ind w:left="120" w:right="117"/>
        <w:jc w:val="both"/>
      </w:pPr>
      <w:r>
        <w:t>Innovative</w:t>
      </w:r>
      <w:r>
        <w:rPr>
          <w:spacing w:val="-2"/>
        </w:rPr>
        <w:t xml:space="preserve"> </w:t>
      </w:r>
      <w:r>
        <w:t>space</w:t>
      </w:r>
      <w:r>
        <w:rPr>
          <w:spacing w:val="-2"/>
        </w:rPr>
        <w:t xml:space="preserve"> </w:t>
      </w:r>
      <w:r>
        <w:t>startups, including</w:t>
      </w:r>
      <w:r>
        <w:rPr>
          <w:spacing w:val="-2"/>
        </w:rPr>
        <w:t xml:space="preserve"> </w:t>
      </w:r>
      <w:r>
        <w:t>Orbex</w:t>
      </w:r>
      <w:r>
        <w:t>, need</w:t>
      </w:r>
      <w:r>
        <w:rPr>
          <w:spacing w:val="-4"/>
        </w:rPr>
        <w:t xml:space="preserve"> </w:t>
      </w:r>
      <w:r>
        <w:t>access</w:t>
      </w:r>
      <w:r>
        <w:rPr>
          <w:spacing w:val="-1"/>
        </w:rPr>
        <w:t xml:space="preserve"> </w:t>
      </w:r>
      <w:r>
        <w:t>to</w:t>
      </w:r>
      <w:r>
        <w:rPr>
          <w:spacing w:val="-4"/>
        </w:rPr>
        <w:t xml:space="preserve"> </w:t>
      </w:r>
      <w:r>
        <w:t>capital</w:t>
      </w:r>
      <w:r>
        <w:rPr>
          <w:spacing w:val="-3"/>
        </w:rPr>
        <w:t xml:space="preserve"> </w:t>
      </w:r>
      <w:r>
        <w:t>to</w:t>
      </w:r>
      <w:r>
        <w:rPr>
          <w:spacing w:val="-2"/>
        </w:rPr>
        <w:t xml:space="preserve"> </w:t>
      </w:r>
      <w:r>
        <w:t>scale</w:t>
      </w:r>
      <w:r>
        <w:rPr>
          <w:spacing w:val="-4"/>
        </w:rPr>
        <w:t xml:space="preserve"> </w:t>
      </w:r>
      <w:r>
        <w:t>successfully. The UK Government can play a vital role by expanding the remit of the National Wealth Fund (NWF) to include targeted investment in space launch companies.</w:t>
      </w:r>
    </w:p>
    <w:p w:rsidR="003F2028">
      <w:pPr>
        <w:pStyle w:val="BodyText"/>
        <w:spacing w:before="161"/>
        <w:ind w:left="120" w:right="113"/>
        <w:jc w:val="both"/>
      </w:pPr>
      <w:r>
        <w:t>At present, many UK-based space businesses struggle to secure the necessary financial backing to move from development to full-scale operations. By directing NWF investments toward</w:t>
      </w:r>
      <w:r>
        <w:rPr>
          <w:spacing w:val="-8"/>
        </w:rPr>
        <w:t xml:space="preserve"> </w:t>
      </w:r>
      <w:r>
        <w:t>high-growth</w:t>
      </w:r>
      <w:r>
        <w:rPr>
          <w:spacing w:val="-9"/>
        </w:rPr>
        <w:t xml:space="preserve"> </w:t>
      </w:r>
      <w:r>
        <w:t>space</w:t>
      </w:r>
      <w:r>
        <w:rPr>
          <w:spacing w:val="-9"/>
        </w:rPr>
        <w:t xml:space="preserve"> </w:t>
      </w:r>
      <w:r>
        <w:t>ventures,</w:t>
      </w:r>
      <w:r>
        <w:rPr>
          <w:spacing w:val="-10"/>
        </w:rPr>
        <w:t xml:space="preserve"> </w:t>
      </w:r>
      <w:r>
        <w:t>the</w:t>
      </w:r>
      <w:r>
        <w:rPr>
          <w:spacing w:val="-9"/>
        </w:rPr>
        <w:t xml:space="preserve"> </w:t>
      </w:r>
      <w:r>
        <w:t>Government</w:t>
      </w:r>
      <w:r>
        <w:rPr>
          <w:spacing w:val="-7"/>
        </w:rPr>
        <w:t xml:space="preserve"> </w:t>
      </w:r>
      <w:r>
        <w:t>can</w:t>
      </w:r>
      <w:r>
        <w:rPr>
          <w:spacing w:val="-9"/>
        </w:rPr>
        <w:t xml:space="preserve"> </w:t>
      </w:r>
      <w:r>
        <w:t>unlock</w:t>
      </w:r>
      <w:r>
        <w:rPr>
          <w:spacing w:val="-9"/>
        </w:rPr>
        <w:t xml:space="preserve"> </w:t>
      </w:r>
      <w:r>
        <w:t>the</w:t>
      </w:r>
      <w:r>
        <w:rPr>
          <w:spacing w:val="-12"/>
        </w:rPr>
        <w:t xml:space="preserve"> </w:t>
      </w:r>
      <w:r>
        <w:t>next</w:t>
      </w:r>
      <w:r>
        <w:rPr>
          <w:spacing w:val="-7"/>
        </w:rPr>
        <w:t xml:space="preserve"> </w:t>
      </w:r>
      <w:r>
        <w:t>generation</w:t>
      </w:r>
      <w:r>
        <w:rPr>
          <w:spacing w:val="-9"/>
        </w:rPr>
        <w:t xml:space="preserve"> </w:t>
      </w:r>
      <w:r>
        <w:t>of</w:t>
      </w:r>
      <w:r>
        <w:rPr>
          <w:spacing w:val="-7"/>
        </w:rPr>
        <w:t xml:space="preserve"> </w:t>
      </w:r>
      <w:r>
        <w:t>British space</w:t>
      </w:r>
      <w:r>
        <w:rPr>
          <w:spacing w:val="-12"/>
        </w:rPr>
        <w:t xml:space="preserve"> </w:t>
      </w:r>
      <w:r>
        <w:t>companies,</w:t>
      </w:r>
      <w:r>
        <w:rPr>
          <w:spacing w:val="-11"/>
        </w:rPr>
        <w:t xml:space="preserve"> </w:t>
      </w:r>
      <w:r>
        <w:t>fostering</w:t>
      </w:r>
      <w:r>
        <w:rPr>
          <w:spacing w:val="-13"/>
        </w:rPr>
        <w:t xml:space="preserve"> </w:t>
      </w:r>
      <w:r>
        <w:t>economic</w:t>
      </w:r>
      <w:r>
        <w:rPr>
          <w:spacing w:val="-12"/>
        </w:rPr>
        <w:t xml:space="preserve"> </w:t>
      </w:r>
      <w:r>
        <w:t>growth,</w:t>
      </w:r>
      <w:r>
        <w:rPr>
          <w:spacing w:val="-11"/>
        </w:rPr>
        <w:t xml:space="preserve"> </w:t>
      </w:r>
      <w:r>
        <w:t>supporting</w:t>
      </w:r>
      <w:r>
        <w:rPr>
          <w:spacing w:val="-13"/>
        </w:rPr>
        <w:t xml:space="preserve"> </w:t>
      </w:r>
      <w:r>
        <w:t>high-tech</w:t>
      </w:r>
      <w:r>
        <w:rPr>
          <w:spacing w:val="-12"/>
        </w:rPr>
        <w:t xml:space="preserve"> </w:t>
      </w:r>
      <w:r>
        <w:t>job</w:t>
      </w:r>
      <w:r>
        <w:rPr>
          <w:spacing w:val="-15"/>
        </w:rPr>
        <w:t xml:space="preserve"> </w:t>
      </w:r>
      <w:r>
        <w:t>creation,</w:t>
      </w:r>
      <w:r>
        <w:rPr>
          <w:spacing w:val="-11"/>
        </w:rPr>
        <w:t xml:space="preserve"> </w:t>
      </w:r>
      <w:r>
        <w:t>and</w:t>
      </w:r>
      <w:r>
        <w:rPr>
          <w:spacing w:val="-12"/>
        </w:rPr>
        <w:t xml:space="preserve"> </w:t>
      </w:r>
      <w:r>
        <w:t>ensuring the UK remains competitive in the global space race.</w:t>
      </w:r>
    </w:p>
    <w:p w:rsidR="003F2028">
      <w:pPr>
        <w:spacing w:before="161"/>
        <w:ind w:left="120"/>
        <w:jc w:val="both"/>
        <w:rPr>
          <w:i/>
        </w:rPr>
      </w:pPr>
      <w:r>
        <w:rPr>
          <w:i/>
        </w:rPr>
        <w:t>A</w:t>
      </w:r>
      <w:r>
        <w:rPr>
          <w:i/>
          <w:spacing w:val="-7"/>
        </w:rPr>
        <w:t xml:space="preserve"> </w:t>
      </w:r>
      <w:r>
        <w:rPr>
          <w:i/>
        </w:rPr>
        <w:t>Coordinated</w:t>
      </w:r>
      <w:r>
        <w:rPr>
          <w:i/>
          <w:spacing w:val="-6"/>
        </w:rPr>
        <w:t xml:space="preserve"> </w:t>
      </w:r>
      <w:r>
        <w:rPr>
          <w:i/>
        </w:rPr>
        <w:t>and</w:t>
      </w:r>
      <w:r>
        <w:rPr>
          <w:i/>
          <w:spacing w:val="-7"/>
        </w:rPr>
        <w:t xml:space="preserve"> </w:t>
      </w:r>
      <w:r>
        <w:rPr>
          <w:i/>
        </w:rPr>
        <w:t>Strategic</w:t>
      </w:r>
      <w:r>
        <w:rPr>
          <w:i/>
          <w:spacing w:val="-6"/>
        </w:rPr>
        <w:t xml:space="preserve"> </w:t>
      </w:r>
      <w:r>
        <w:rPr>
          <w:i/>
        </w:rPr>
        <w:t>Approach</w:t>
      </w:r>
      <w:r>
        <w:rPr>
          <w:i/>
          <w:spacing w:val="-7"/>
        </w:rPr>
        <w:t xml:space="preserve"> </w:t>
      </w:r>
      <w:r>
        <w:rPr>
          <w:i/>
        </w:rPr>
        <w:t>to</w:t>
      </w:r>
      <w:r>
        <w:rPr>
          <w:i/>
          <w:spacing w:val="-8"/>
        </w:rPr>
        <w:t xml:space="preserve"> </w:t>
      </w:r>
      <w:r>
        <w:rPr>
          <w:i/>
        </w:rPr>
        <w:t>Government</w:t>
      </w:r>
      <w:r>
        <w:rPr>
          <w:i/>
          <w:spacing w:val="-7"/>
        </w:rPr>
        <w:t xml:space="preserve"> </w:t>
      </w:r>
      <w:r>
        <w:rPr>
          <w:i/>
        </w:rPr>
        <w:t>Procurement</w:t>
      </w:r>
      <w:r>
        <w:rPr>
          <w:i/>
          <w:spacing w:val="-5"/>
        </w:rPr>
        <w:t xml:space="preserve"> </w:t>
      </w:r>
      <w:r>
        <w:rPr>
          <w:i/>
        </w:rPr>
        <w:t>of</w:t>
      </w:r>
      <w:r>
        <w:rPr>
          <w:i/>
          <w:spacing w:val="-6"/>
        </w:rPr>
        <w:t xml:space="preserve"> </w:t>
      </w:r>
      <w:r>
        <w:rPr>
          <w:i/>
          <w:spacing w:val="-2"/>
        </w:rPr>
        <w:t>Launch</w:t>
      </w:r>
    </w:p>
    <w:p w:rsidR="003F2028">
      <w:pPr>
        <w:pStyle w:val="BodyText"/>
        <w:spacing w:before="159"/>
        <w:ind w:left="120" w:right="114"/>
        <w:jc w:val="both"/>
      </w:pPr>
      <w:r>
        <w:t xml:space="preserve">To ensure a sustainable UK launch industry, the Government must </w:t>
      </w:r>
      <w:r>
        <w:t>centralise</w:t>
      </w:r>
      <w:r>
        <w:t xml:space="preserve"> its launch procurement through a dedicated team and establish a long-term pipeline of procurement opportunities. This</w:t>
      </w:r>
      <w:r>
        <w:rPr>
          <w:spacing w:val="-3"/>
        </w:rPr>
        <w:t xml:space="preserve"> </w:t>
      </w:r>
      <w:r>
        <w:t>should</w:t>
      </w:r>
      <w:r>
        <w:rPr>
          <w:spacing w:val="-1"/>
        </w:rPr>
        <w:t xml:space="preserve"> </w:t>
      </w:r>
      <w:r>
        <w:t>involve</w:t>
      </w:r>
      <w:r>
        <w:rPr>
          <w:spacing w:val="-1"/>
        </w:rPr>
        <w:t xml:space="preserve"> </w:t>
      </w:r>
      <w:r>
        <w:t>setting</w:t>
      </w:r>
      <w:r>
        <w:rPr>
          <w:spacing w:val="-1"/>
        </w:rPr>
        <w:t xml:space="preserve"> </w:t>
      </w:r>
      <w:r>
        <w:t>out national</w:t>
      </w:r>
      <w:r>
        <w:rPr>
          <w:spacing w:val="-2"/>
        </w:rPr>
        <w:t xml:space="preserve"> </w:t>
      </w:r>
      <w:r>
        <w:t>launch</w:t>
      </w:r>
      <w:r>
        <w:rPr>
          <w:spacing w:val="-1"/>
        </w:rPr>
        <w:t xml:space="preserve"> </w:t>
      </w:r>
      <w:r>
        <w:t>requirements</w:t>
      </w:r>
      <w:r>
        <w:rPr>
          <w:spacing w:val="-1"/>
        </w:rPr>
        <w:t xml:space="preserve"> </w:t>
      </w:r>
      <w:r>
        <w:t>years</w:t>
      </w:r>
      <w:r>
        <w:rPr>
          <w:spacing w:val="-1"/>
        </w:rPr>
        <w:t xml:space="preserve"> </w:t>
      </w:r>
      <w:r>
        <w:t>in</w:t>
      </w:r>
      <w:r>
        <w:rPr>
          <w:spacing w:val="-1"/>
        </w:rPr>
        <w:t xml:space="preserve"> </w:t>
      </w:r>
      <w:r>
        <w:t>advance, with</w:t>
      </w:r>
      <w:r>
        <w:rPr>
          <w:spacing w:val="-2"/>
        </w:rPr>
        <w:t xml:space="preserve"> </w:t>
      </w:r>
      <w:r>
        <w:t>options</w:t>
      </w:r>
      <w:r>
        <w:rPr>
          <w:spacing w:val="-4"/>
        </w:rPr>
        <w:t xml:space="preserve"> </w:t>
      </w:r>
      <w:r>
        <w:t>for</w:t>
      </w:r>
      <w:r>
        <w:rPr>
          <w:spacing w:val="-3"/>
        </w:rPr>
        <w:t xml:space="preserve"> </w:t>
      </w:r>
      <w:r>
        <w:t>pre-payment</w:t>
      </w:r>
      <w:r>
        <w:rPr>
          <w:spacing w:val="-3"/>
        </w:rPr>
        <w:t xml:space="preserve"> </w:t>
      </w:r>
      <w:r>
        <w:t>or</w:t>
      </w:r>
      <w:r>
        <w:rPr>
          <w:spacing w:val="-3"/>
        </w:rPr>
        <w:t xml:space="preserve"> </w:t>
      </w:r>
      <w:r>
        <w:t>early</w:t>
      </w:r>
      <w:r>
        <w:rPr>
          <w:spacing w:val="-1"/>
        </w:rPr>
        <w:t xml:space="preserve"> </w:t>
      </w:r>
      <w:r>
        <w:t>commitment</w:t>
      </w:r>
      <w:r>
        <w:rPr>
          <w:spacing w:val="-3"/>
        </w:rPr>
        <w:t xml:space="preserve"> </w:t>
      </w:r>
      <w:r>
        <w:t>to</w:t>
      </w:r>
      <w:r>
        <w:rPr>
          <w:spacing w:val="-2"/>
        </w:rPr>
        <w:t xml:space="preserve"> </w:t>
      </w:r>
      <w:r>
        <w:t>support</w:t>
      </w:r>
      <w:r>
        <w:rPr>
          <w:spacing w:val="-3"/>
        </w:rPr>
        <w:t xml:space="preserve"> </w:t>
      </w:r>
      <w:r>
        <w:t>commercial</w:t>
      </w:r>
      <w:r>
        <w:rPr>
          <w:spacing w:val="-3"/>
        </w:rPr>
        <w:t xml:space="preserve"> </w:t>
      </w:r>
      <w:r>
        <w:t>launch</w:t>
      </w:r>
      <w:r>
        <w:rPr>
          <w:spacing w:val="-2"/>
        </w:rPr>
        <w:t xml:space="preserve"> </w:t>
      </w:r>
      <w:r>
        <w:t>providers</w:t>
      </w:r>
      <w:r>
        <w:rPr>
          <w:spacing w:val="-1"/>
        </w:rPr>
        <w:t xml:space="preserve"> </w:t>
      </w:r>
      <w:r>
        <w:t>as they scale.</w:t>
      </w:r>
    </w:p>
    <w:p w:rsidR="003F2028">
      <w:pPr>
        <w:jc w:val="both"/>
        <w:sectPr>
          <w:pgSz w:w="11910" w:h="16840"/>
          <w:pgMar w:top="1920" w:right="1320" w:bottom="900" w:left="1320" w:header="776" w:footer="707" w:gutter="0"/>
          <w:cols w:space="720"/>
        </w:sectPr>
      </w:pPr>
    </w:p>
    <w:p w:rsidR="003F2028">
      <w:pPr>
        <w:pStyle w:val="BodyText"/>
        <w:spacing w:before="111"/>
        <w:ind w:left="120" w:right="112"/>
        <w:jc w:val="both"/>
      </w:pPr>
      <w:r>
        <w:t>A</w:t>
      </w:r>
      <w:r>
        <w:rPr>
          <w:spacing w:val="-16"/>
        </w:rPr>
        <w:t xml:space="preserve"> </w:t>
      </w:r>
      <w:r>
        <w:t>clear</w:t>
      </w:r>
      <w:r>
        <w:rPr>
          <w:spacing w:val="-15"/>
        </w:rPr>
        <w:t xml:space="preserve"> </w:t>
      </w:r>
      <w:r>
        <w:t>and</w:t>
      </w:r>
      <w:r>
        <w:rPr>
          <w:spacing w:val="-15"/>
        </w:rPr>
        <w:t xml:space="preserve"> </w:t>
      </w:r>
      <w:r>
        <w:t>consistent</w:t>
      </w:r>
      <w:r>
        <w:rPr>
          <w:spacing w:val="-16"/>
        </w:rPr>
        <w:t xml:space="preserve"> </w:t>
      </w:r>
      <w:r>
        <w:t>demand</w:t>
      </w:r>
      <w:r>
        <w:rPr>
          <w:spacing w:val="-15"/>
        </w:rPr>
        <w:t xml:space="preserve"> </w:t>
      </w:r>
      <w:r>
        <w:t>signal</w:t>
      </w:r>
      <w:r>
        <w:rPr>
          <w:spacing w:val="-15"/>
        </w:rPr>
        <w:t xml:space="preserve"> </w:t>
      </w:r>
      <w:r>
        <w:t>from</w:t>
      </w:r>
      <w:r>
        <w:rPr>
          <w:spacing w:val="-15"/>
        </w:rPr>
        <w:t xml:space="preserve"> </w:t>
      </w:r>
      <w:r>
        <w:t>Government</w:t>
      </w:r>
      <w:r>
        <w:rPr>
          <w:spacing w:val="-16"/>
        </w:rPr>
        <w:t xml:space="preserve"> </w:t>
      </w:r>
      <w:r>
        <w:t>would</w:t>
      </w:r>
      <w:r>
        <w:rPr>
          <w:spacing w:val="-15"/>
        </w:rPr>
        <w:t xml:space="preserve"> </w:t>
      </w:r>
      <w:r>
        <w:t>provide</w:t>
      </w:r>
      <w:r>
        <w:rPr>
          <w:spacing w:val="-15"/>
        </w:rPr>
        <w:t xml:space="preserve"> </w:t>
      </w:r>
      <w:r>
        <w:t>industry</w:t>
      </w:r>
      <w:r>
        <w:rPr>
          <w:spacing w:val="-16"/>
        </w:rPr>
        <w:t xml:space="preserve"> </w:t>
      </w:r>
      <w:r>
        <w:t>stability,</w:t>
      </w:r>
      <w:r>
        <w:rPr>
          <w:spacing w:val="-15"/>
        </w:rPr>
        <w:t xml:space="preserve"> </w:t>
      </w:r>
      <w:r>
        <w:t>attract private</w:t>
      </w:r>
      <w:r>
        <w:rPr>
          <w:spacing w:val="-10"/>
        </w:rPr>
        <w:t xml:space="preserve"> </w:t>
      </w:r>
      <w:r>
        <w:t>investment,</w:t>
      </w:r>
      <w:r>
        <w:rPr>
          <w:spacing w:val="-9"/>
        </w:rPr>
        <w:t xml:space="preserve"> </w:t>
      </w:r>
      <w:r>
        <w:t>and</w:t>
      </w:r>
      <w:r>
        <w:rPr>
          <w:spacing w:val="-12"/>
        </w:rPr>
        <w:t xml:space="preserve"> </w:t>
      </w:r>
      <w:r>
        <w:t>enable</w:t>
      </w:r>
      <w:r>
        <w:rPr>
          <w:spacing w:val="-10"/>
        </w:rPr>
        <w:t xml:space="preserve"> </w:t>
      </w:r>
      <w:r>
        <w:t>British</w:t>
      </w:r>
      <w:r>
        <w:rPr>
          <w:spacing w:val="-10"/>
        </w:rPr>
        <w:t xml:space="preserve"> </w:t>
      </w:r>
      <w:r>
        <w:t>launch</w:t>
      </w:r>
      <w:r>
        <w:rPr>
          <w:spacing w:val="-10"/>
        </w:rPr>
        <w:t xml:space="preserve"> </w:t>
      </w:r>
      <w:r>
        <w:t>companies</w:t>
      </w:r>
      <w:r>
        <w:rPr>
          <w:spacing w:val="-10"/>
        </w:rPr>
        <w:t xml:space="preserve"> </w:t>
      </w:r>
      <w:r>
        <w:t>to</w:t>
      </w:r>
      <w:r>
        <w:rPr>
          <w:spacing w:val="-10"/>
        </w:rPr>
        <w:t xml:space="preserve"> </w:t>
      </w:r>
      <w:r>
        <w:t>develop</w:t>
      </w:r>
      <w:r>
        <w:rPr>
          <w:spacing w:val="-10"/>
        </w:rPr>
        <w:t xml:space="preserve"> </w:t>
      </w:r>
      <w:r>
        <w:t>in</w:t>
      </w:r>
      <w:r>
        <w:rPr>
          <w:spacing w:val="-10"/>
        </w:rPr>
        <w:t xml:space="preserve"> </w:t>
      </w:r>
      <w:r>
        <w:t>alignment</w:t>
      </w:r>
      <w:r>
        <w:rPr>
          <w:spacing w:val="-11"/>
        </w:rPr>
        <w:t xml:space="preserve"> </w:t>
      </w:r>
      <w:r>
        <w:t>with</w:t>
      </w:r>
      <w:r>
        <w:rPr>
          <w:spacing w:val="-10"/>
        </w:rPr>
        <w:t xml:space="preserve"> </w:t>
      </w:r>
      <w:r>
        <w:t>national needs. Additionally, the creation of a UK Space Council could provide a forum to coordinate Government</w:t>
      </w:r>
      <w:r>
        <w:rPr>
          <w:spacing w:val="-8"/>
        </w:rPr>
        <w:t xml:space="preserve"> </w:t>
      </w:r>
      <w:r>
        <w:t>priorities,</w:t>
      </w:r>
      <w:r>
        <w:rPr>
          <w:spacing w:val="-11"/>
        </w:rPr>
        <w:t xml:space="preserve"> </w:t>
      </w:r>
      <w:r>
        <w:t>streamline</w:t>
      </w:r>
      <w:r>
        <w:rPr>
          <w:spacing w:val="-10"/>
        </w:rPr>
        <w:t xml:space="preserve"> </w:t>
      </w:r>
      <w:r>
        <w:t>procurement,</w:t>
      </w:r>
      <w:r>
        <w:rPr>
          <w:spacing w:val="-9"/>
        </w:rPr>
        <w:t xml:space="preserve"> </w:t>
      </w:r>
      <w:r>
        <w:t>and</w:t>
      </w:r>
      <w:r>
        <w:rPr>
          <w:spacing w:val="-10"/>
        </w:rPr>
        <w:t xml:space="preserve"> </w:t>
      </w:r>
      <w:r>
        <w:t>reinforce</w:t>
      </w:r>
      <w:r>
        <w:rPr>
          <w:spacing w:val="-12"/>
        </w:rPr>
        <w:t xml:space="preserve"> </w:t>
      </w:r>
      <w:r>
        <w:t>the</w:t>
      </w:r>
      <w:r>
        <w:rPr>
          <w:spacing w:val="-13"/>
        </w:rPr>
        <w:t xml:space="preserve"> </w:t>
      </w:r>
      <w:r>
        <w:t>UK's</w:t>
      </w:r>
      <w:r>
        <w:rPr>
          <w:spacing w:val="-12"/>
        </w:rPr>
        <w:t xml:space="preserve"> </w:t>
      </w:r>
      <w:r>
        <w:t>commitment</w:t>
      </w:r>
      <w:r>
        <w:rPr>
          <w:spacing w:val="-11"/>
        </w:rPr>
        <w:t xml:space="preserve"> </w:t>
      </w:r>
      <w:r>
        <w:t>to</w:t>
      </w:r>
      <w:r>
        <w:rPr>
          <w:spacing w:val="-12"/>
        </w:rPr>
        <w:t xml:space="preserve"> </w:t>
      </w:r>
      <w:r>
        <w:t>launch.</w:t>
      </w:r>
    </w:p>
    <w:p w:rsidR="003F2028">
      <w:pPr>
        <w:pStyle w:val="BodyText"/>
        <w:spacing w:before="162"/>
        <w:ind w:left="120" w:right="112"/>
        <w:jc w:val="both"/>
      </w:pPr>
      <w:r>
        <w:t xml:space="preserve">The Ministry of </w:t>
      </w:r>
      <w:r>
        <w:t>Defence</w:t>
      </w:r>
      <w:r>
        <w:t xml:space="preserve"> and other Government departments should </w:t>
      </w:r>
      <w:r>
        <w:t>prioritise</w:t>
      </w:r>
      <w:r>
        <w:t xml:space="preserve"> UK-based companies</w:t>
      </w:r>
      <w:r>
        <w:rPr>
          <w:spacing w:val="-14"/>
        </w:rPr>
        <w:t xml:space="preserve"> </w:t>
      </w:r>
      <w:r>
        <w:t>like</w:t>
      </w:r>
      <w:r>
        <w:rPr>
          <w:spacing w:val="-15"/>
        </w:rPr>
        <w:t xml:space="preserve"> </w:t>
      </w:r>
      <w:r>
        <w:t>Orbex</w:t>
      </w:r>
      <w:r>
        <w:rPr>
          <w:spacing w:val="-14"/>
        </w:rPr>
        <w:t xml:space="preserve"> </w:t>
      </w:r>
      <w:r>
        <w:t>when</w:t>
      </w:r>
      <w:r>
        <w:rPr>
          <w:spacing w:val="-15"/>
        </w:rPr>
        <w:t xml:space="preserve"> </w:t>
      </w:r>
      <w:r>
        <w:t>procuring</w:t>
      </w:r>
      <w:r>
        <w:rPr>
          <w:spacing w:val="-15"/>
        </w:rPr>
        <w:t xml:space="preserve"> </w:t>
      </w:r>
      <w:r>
        <w:t>launch</w:t>
      </w:r>
      <w:r>
        <w:rPr>
          <w:spacing w:val="-15"/>
        </w:rPr>
        <w:t xml:space="preserve"> </w:t>
      </w:r>
      <w:r>
        <w:t>services</w:t>
      </w:r>
      <w:r>
        <w:rPr>
          <w:spacing w:val="-14"/>
        </w:rPr>
        <w:t xml:space="preserve"> </w:t>
      </w:r>
      <w:r>
        <w:t>or</w:t>
      </w:r>
      <w:r>
        <w:rPr>
          <w:spacing w:val="-14"/>
        </w:rPr>
        <w:t xml:space="preserve"> </w:t>
      </w:r>
      <w:r>
        <w:t>satellite</w:t>
      </w:r>
      <w:r>
        <w:rPr>
          <w:spacing w:val="-15"/>
        </w:rPr>
        <w:t xml:space="preserve"> </w:t>
      </w:r>
      <w:r>
        <w:t>deployments.</w:t>
      </w:r>
      <w:r>
        <w:rPr>
          <w:spacing w:val="-13"/>
        </w:rPr>
        <w:t xml:space="preserve"> </w:t>
      </w:r>
      <w:r>
        <w:t>This</w:t>
      </w:r>
      <w:r>
        <w:rPr>
          <w:spacing w:val="-14"/>
        </w:rPr>
        <w:t xml:space="preserve"> </w:t>
      </w:r>
      <w:r>
        <w:t>approach would stimulate growth in the sector, enhance supply chain resilience, and ensure that Government space requirements are met domestically. By leveraging its purchasing power, the Government can create a virtuous cycle of demand and investment, strengthening the UK’s space ecosystem and reinforcing Scotland’s position as a hub for space innovation.</w:t>
      </w:r>
    </w:p>
    <w:p w:rsidR="003F2028">
      <w:pPr>
        <w:spacing w:before="160"/>
        <w:ind w:left="120"/>
        <w:jc w:val="both"/>
        <w:rPr>
          <w:i/>
        </w:rPr>
      </w:pPr>
      <w:r>
        <w:rPr>
          <w:i/>
        </w:rPr>
        <w:t>Strengthening</w:t>
      </w:r>
      <w:r>
        <w:rPr>
          <w:i/>
          <w:spacing w:val="-9"/>
        </w:rPr>
        <w:t xml:space="preserve"> </w:t>
      </w:r>
      <w:r>
        <w:rPr>
          <w:i/>
        </w:rPr>
        <w:t>the</w:t>
      </w:r>
      <w:r>
        <w:rPr>
          <w:i/>
          <w:spacing w:val="-7"/>
        </w:rPr>
        <w:t xml:space="preserve"> </w:t>
      </w:r>
      <w:r>
        <w:rPr>
          <w:i/>
        </w:rPr>
        <w:t>UK’s</w:t>
      </w:r>
      <w:r>
        <w:rPr>
          <w:i/>
          <w:spacing w:val="-4"/>
        </w:rPr>
        <w:t xml:space="preserve"> </w:t>
      </w:r>
      <w:r>
        <w:rPr>
          <w:i/>
        </w:rPr>
        <w:t>Industrial</w:t>
      </w:r>
      <w:r>
        <w:rPr>
          <w:i/>
          <w:spacing w:val="-6"/>
        </w:rPr>
        <w:t xml:space="preserve"> </w:t>
      </w:r>
      <w:r>
        <w:rPr>
          <w:i/>
        </w:rPr>
        <w:t>Strategy</w:t>
      </w:r>
      <w:r>
        <w:rPr>
          <w:i/>
          <w:spacing w:val="-7"/>
        </w:rPr>
        <w:t xml:space="preserve"> </w:t>
      </w:r>
      <w:r>
        <w:rPr>
          <w:i/>
        </w:rPr>
        <w:t>to</w:t>
      </w:r>
      <w:r>
        <w:rPr>
          <w:i/>
          <w:spacing w:val="-5"/>
        </w:rPr>
        <w:t xml:space="preserve"> </w:t>
      </w:r>
      <w:r>
        <w:rPr>
          <w:i/>
        </w:rPr>
        <w:t>Support</w:t>
      </w:r>
      <w:r>
        <w:rPr>
          <w:i/>
          <w:spacing w:val="-6"/>
        </w:rPr>
        <w:t xml:space="preserve"> </w:t>
      </w:r>
      <w:r>
        <w:rPr>
          <w:i/>
        </w:rPr>
        <w:t>the</w:t>
      </w:r>
      <w:r>
        <w:rPr>
          <w:i/>
          <w:spacing w:val="-7"/>
        </w:rPr>
        <w:t xml:space="preserve"> </w:t>
      </w:r>
      <w:r>
        <w:rPr>
          <w:i/>
        </w:rPr>
        <w:t>Space</w:t>
      </w:r>
      <w:r>
        <w:rPr>
          <w:i/>
          <w:spacing w:val="-5"/>
        </w:rPr>
        <w:t xml:space="preserve"> </w:t>
      </w:r>
      <w:r>
        <w:rPr>
          <w:i/>
          <w:spacing w:val="-2"/>
        </w:rPr>
        <w:t>Sector</w:t>
      </w:r>
    </w:p>
    <w:p w:rsidR="003F2028">
      <w:pPr>
        <w:pStyle w:val="BodyText"/>
        <w:spacing w:before="160"/>
        <w:ind w:left="120" w:right="113"/>
        <w:jc w:val="both"/>
      </w:pPr>
      <w:r>
        <w:t>To</w:t>
      </w:r>
      <w:r>
        <w:rPr>
          <w:spacing w:val="-10"/>
        </w:rPr>
        <w:t xml:space="preserve"> </w:t>
      </w:r>
      <w:r>
        <w:t>fully</w:t>
      </w:r>
      <w:r>
        <w:rPr>
          <w:spacing w:val="-12"/>
        </w:rPr>
        <w:t xml:space="preserve"> </w:t>
      </w:r>
      <w:r>
        <w:t>realise</w:t>
      </w:r>
      <w:r>
        <w:rPr>
          <w:spacing w:val="-12"/>
        </w:rPr>
        <w:t xml:space="preserve"> </w:t>
      </w:r>
      <w:r>
        <w:t>the</w:t>
      </w:r>
      <w:r>
        <w:rPr>
          <w:spacing w:val="-13"/>
        </w:rPr>
        <w:t xml:space="preserve"> </w:t>
      </w:r>
      <w:r>
        <w:t>UK’s</w:t>
      </w:r>
      <w:r>
        <w:rPr>
          <w:spacing w:val="-9"/>
        </w:rPr>
        <w:t xml:space="preserve"> </w:t>
      </w:r>
      <w:r>
        <w:t>industrial</w:t>
      </w:r>
      <w:r>
        <w:rPr>
          <w:spacing w:val="-11"/>
        </w:rPr>
        <w:t xml:space="preserve"> </w:t>
      </w:r>
      <w:r>
        <w:t>ambitions,</w:t>
      </w:r>
      <w:r>
        <w:rPr>
          <w:spacing w:val="-6"/>
        </w:rPr>
        <w:t xml:space="preserve"> </w:t>
      </w:r>
      <w:r>
        <w:t>we</w:t>
      </w:r>
      <w:r>
        <w:rPr>
          <w:spacing w:val="-12"/>
        </w:rPr>
        <w:t xml:space="preserve"> </w:t>
      </w:r>
      <w:r>
        <w:t>would</w:t>
      </w:r>
      <w:r>
        <w:rPr>
          <w:spacing w:val="-10"/>
        </w:rPr>
        <w:t xml:space="preserve"> </w:t>
      </w:r>
      <w:r>
        <w:t>support</w:t>
      </w:r>
      <w:r>
        <w:rPr>
          <w:spacing w:val="-11"/>
        </w:rPr>
        <w:t xml:space="preserve"> </w:t>
      </w:r>
      <w:r>
        <w:t>the</w:t>
      </w:r>
      <w:r>
        <w:rPr>
          <w:spacing w:val="-14"/>
        </w:rPr>
        <w:t xml:space="preserve"> </w:t>
      </w:r>
      <w:r>
        <w:t>Government</w:t>
      </w:r>
      <w:r>
        <w:rPr>
          <w:spacing w:val="-10"/>
        </w:rPr>
        <w:t xml:space="preserve"> </w:t>
      </w:r>
      <w:r>
        <w:t>strengthening its Industrial Strategy by integrating a clear focus on high-growth sectors like space, particularly in launch services. Embedding a dedicated space sub-sector plan within the broader industrial</w:t>
      </w:r>
      <w:r>
        <w:rPr>
          <w:spacing w:val="-2"/>
        </w:rPr>
        <w:t xml:space="preserve"> </w:t>
      </w:r>
      <w:r>
        <w:t>framework would provide</w:t>
      </w:r>
      <w:r>
        <w:rPr>
          <w:spacing w:val="-1"/>
        </w:rPr>
        <w:t xml:space="preserve"> </w:t>
      </w:r>
      <w:r>
        <w:t>clarity, attract investment, and enhance the</w:t>
      </w:r>
      <w:r>
        <w:rPr>
          <w:spacing w:val="-1"/>
        </w:rPr>
        <w:t xml:space="preserve"> </w:t>
      </w:r>
      <w:r>
        <w:t>UK’s position as a leader in advanced manufacturing and technology-driven industries. Aligning industrial policy with national economic and security objectives will drive long-term growth, innovation, and global competitiveness across</w:t>
      </w:r>
      <w:r>
        <w:t xml:space="preserve"> the UK’s high-value manufacturing and technology sectors.</w:t>
      </w:r>
    </w:p>
    <w:p w:rsidR="003F2028">
      <w:pPr>
        <w:pStyle w:val="BodyText"/>
        <w:spacing w:before="160"/>
        <w:ind w:left="120" w:right="118"/>
        <w:jc w:val="both"/>
      </w:pPr>
      <w:r>
        <w:t>By implementing these measures, the UK Government can unlock the full potential of the domestic space industry, driving economic growth, job creation, and global competitiveness in this critical sector.</w:t>
      </w:r>
    </w:p>
    <w:p w:rsidR="00EC4A99" w:rsidRPr="00EC4A99" w:rsidP="00EC4A99"/>
    <w:p w:rsidR="00EC4A99" w:rsidRPr="00EC4A99" w:rsidP="00EC4A99"/>
    <w:p w:rsidR="00EC4A99" w:rsidP="00EC4A99"/>
    <w:p w:rsidR="00EC4A99" w:rsidRPr="00EC4A99" w:rsidP="00EC4A99">
      <w:pPr>
        <w:rPr>
          <w:i/>
          <w:iCs/>
        </w:rPr>
      </w:pPr>
      <w:r>
        <w:rPr>
          <w:i/>
          <w:iCs/>
        </w:rPr>
        <w:t xml:space="preserve">March 2025 </w:t>
      </w:r>
    </w:p>
    <w:sectPr>
      <w:pgSz w:w="11910" w:h="16840"/>
      <w:pgMar w:top="1920" w:right="1320" w:bottom="900" w:left="1320" w:header="776" w:footer="70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028">
    <w:pPr>
      <w:pStyle w:val="BodyText"/>
      <w:spacing w:line="14" w:lineRule="auto"/>
      <w:rPr>
        <w:sz w:val="20"/>
      </w:rPr>
    </w:pPr>
    <w:r>
      <w:rPr>
        <w:noProof/>
      </w:rPr>
      <w:pict>
        <v:shapetype id="_x0000_t202" coordsize="21600,21600" o:spt="202" path="m,l,21600r21600,l21600,xe">
          <v:stroke joinstyle="miter"/>
          <v:path gradientshapeok="t" o:connecttype="rect"/>
        </v:shapetype>
        <v:shape id="Textbox 7" o:spid="_x0000_s2049" type="#_x0000_t202" style="height:12.1pt;margin-left:71pt;margin-top:795.55pt;mso-position-horizontal-relative:page;mso-position-vertical-relative:page;mso-wrap-distance-bottom:0;mso-wrap-distance-left:0;mso-wrap-distance-right:0;mso-wrap-distance-top:0;mso-wrap-style:square;position:absolute;v-text-anchor:top;visibility:visible;width:47.1pt;z-index:-251658240" filled="f" stroked="f">
          <v:textbox inset="0,0,0,0">
            <w:txbxContent>
              <w:p w:rsidR="003F2028">
                <w:pPr>
                  <w:spacing w:before="14"/>
                  <w:ind w:left="20"/>
                  <w:rPr>
                    <w:sz w:val="18"/>
                  </w:rPr>
                </w:pPr>
                <w:r>
                  <w:rPr>
                    <w:spacing w:val="-2"/>
                    <w:sz w:val="18"/>
                  </w:rPr>
                  <w:t>28/03/2025</w:t>
                </w:r>
              </w:p>
            </w:txbxContent>
          </v:textbox>
          <w10:wrap anchorx="page" anchory="page"/>
        </v:shape>
      </w:pict>
    </w:r>
    <w:r>
      <w:rPr>
        <w:noProof/>
      </w:rPr>
      <w:pict>
        <v:shape id="Textbox 8" o:spid="_x0000_s2050" type="#_x0000_t202" style="height:12.1pt;margin-left:222.35pt;margin-top:795.55pt;mso-position-horizontal-relative:page;mso-position-vertical-relative:page;mso-wrap-distance-bottom:0;mso-wrap-distance-left:0;mso-wrap-distance-right:0;mso-wrap-distance-top:0;mso-wrap-style:square;position:absolute;v-text-anchor:top;visibility:visible;width:150.6pt;z-index:-251657216" filled="f" stroked="f">
          <v:textbox inset="0,0,0,0">
            <w:txbxContent>
              <w:p w:rsidR="003F2028">
                <w:pPr>
                  <w:spacing w:before="14"/>
                  <w:ind w:left="20"/>
                  <w:rPr>
                    <w:sz w:val="18"/>
                  </w:rPr>
                </w:pPr>
                <w:r>
                  <w:rPr>
                    <w:sz w:val="18"/>
                  </w:rPr>
                  <w:t>OFFICIAL</w:t>
                </w:r>
                <w:r>
                  <w:rPr>
                    <w:spacing w:val="-1"/>
                    <w:sz w:val="18"/>
                  </w:rPr>
                  <w:t xml:space="preserve"> </w:t>
                </w:r>
                <w:r>
                  <w:rPr>
                    <w:sz w:val="18"/>
                  </w:rPr>
                  <w:t>– FOR</w:t>
                </w:r>
                <w:r>
                  <w:rPr>
                    <w:spacing w:val="-3"/>
                    <w:sz w:val="18"/>
                  </w:rPr>
                  <w:t xml:space="preserve"> </w:t>
                </w:r>
                <w:r>
                  <w:rPr>
                    <w:sz w:val="18"/>
                  </w:rPr>
                  <w:t>PUBLIC</w:t>
                </w:r>
                <w:r>
                  <w:rPr>
                    <w:spacing w:val="-1"/>
                    <w:sz w:val="18"/>
                  </w:rPr>
                  <w:t xml:space="preserve"> </w:t>
                </w:r>
                <w:r>
                  <w:rPr>
                    <w:spacing w:val="-2"/>
                    <w:sz w:val="18"/>
                  </w:rPr>
                  <w:t>RELEASE</w:t>
                </w:r>
              </w:p>
            </w:txbxContent>
          </v:textbox>
          <w10:wrap anchorx="page" anchory="page"/>
        </v:shape>
      </w:pict>
    </w:r>
    <w:r>
      <w:rPr>
        <w:noProof/>
      </w:rPr>
      <w:pict>
        <v:shape id="Textbox 9" o:spid="_x0000_s2051" type="#_x0000_t202" style="height:12.1pt;margin-left:470.35pt;margin-top:795.55pt;mso-position-horizontal-relative:page;mso-position-vertical-relative:page;mso-wrap-distance-bottom:0;mso-wrap-distance-left:0;mso-wrap-distance-right:0;mso-wrap-distance-top:0;mso-wrap-style:square;position:absolute;v-text-anchor:top;visibility:visible;width:54.2pt;z-index:-251656192" filled="f" stroked="f">
          <v:textbox inset="0,0,0,0">
            <w:txbxContent>
              <w:p w:rsidR="003F2028">
                <w:pPr>
                  <w:spacing w:before="14"/>
                  <w:ind w:left="20"/>
                  <w:rPr>
                    <w:sz w:val="18"/>
                  </w:rPr>
                </w:pPr>
                <w:r>
                  <w:rPr>
                    <w:sz w:val="18"/>
                  </w:rPr>
                  <w:t>Version</w:t>
                </w:r>
                <w:r>
                  <w:rPr>
                    <w:spacing w:val="-2"/>
                    <w:sz w:val="18"/>
                  </w:rPr>
                  <w:t xml:space="preserve"> </w:t>
                </w:r>
                <w:r>
                  <w:rPr>
                    <w:sz w:val="18"/>
                  </w:rPr>
                  <w:t>No</w:t>
                </w:r>
                <w:r>
                  <w:rPr>
                    <w:spacing w:val="-2"/>
                    <w:sz w:val="18"/>
                  </w:rPr>
                  <w:t xml:space="preserve"> </w:t>
                </w:r>
                <w:r>
                  <w:rPr>
                    <w:spacing w:val="-10"/>
                    <w:sz w:val="18"/>
                  </w:rPr>
                  <w:t>1</w:t>
                </w: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2028">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9E8558B"/>
    <w:multiLevelType w:val="hybridMultilevel"/>
    <w:tmpl w:val="1D886F3E"/>
    <w:lvl w:ilvl="0">
      <w:start w:val="0"/>
      <w:numFmt w:val="bullet"/>
      <w:lvlText w:val=""/>
      <w:lvlJc w:val="left"/>
      <w:pPr>
        <w:ind w:left="840" w:hanging="360"/>
      </w:pPr>
      <w:rPr>
        <w:rFonts w:ascii="Symbol" w:eastAsia="Symbol" w:hAnsi="Symbol" w:cs="Symbol" w:hint="default"/>
        <w:b w:val="0"/>
        <w:bCs w:val="0"/>
        <w:i w:val="0"/>
        <w:iCs w:val="0"/>
        <w:spacing w:val="0"/>
        <w:w w:val="99"/>
        <w:sz w:val="20"/>
        <w:szCs w:val="20"/>
        <w:lang w:val="en-US" w:eastAsia="en-US" w:bidi="ar-SA"/>
      </w:rPr>
    </w:lvl>
    <w:lvl w:ilvl="1">
      <w:start w:val="0"/>
      <w:numFmt w:val="bullet"/>
      <w:lvlText w:val="•"/>
      <w:lvlJc w:val="left"/>
      <w:pPr>
        <w:ind w:left="1682" w:hanging="360"/>
      </w:pPr>
      <w:rPr>
        <w:rFonts w:hint="default"/>
        <w:lang w:val="en-US" w:eastAsia="en-US" w:bidi="ar-SA"/>
      </w:rPr>
    </w:lvl>
    <w:lvl w:ilvl="2">
      <w:start w:val="0"/>
      <w:numFmt w:val="bullet"/>
      <w:lvlText w:val="•"/>
      <w:lvlJc w:val="left"/>
      <w:pPr>
        <w:ind w:left="2525" w:hanging="360"/>
      </w:pPr>
      <w:rPr>
        <w:rFonts w:hint="default"/>
        <w:lang w:val="en-US" w:eastAsia="en-US" w:bidi="ar-SA"/>
      </w:rPr>
    </w:lvl>
    <w:lvl w:ilvl="3">
      <w:start w:val="0"/>
      <w:numFmt w:val="bullet"/>
      <w:lvlText w:val="•"/>
      <w:lvlJc w:val="left"/>
      <w:pPr>
        <w:ind w:left="3367" w:hanging="360"/>
      </w:pPr>
      <w:rPr>
        <w:rFonts w:hint="default"/>
        <w:lang w:val="en-US" w:eastAsia="en-US" w:bidi="ar-SA"/>
      </w:rPr>
    </w:lvl>
    <w:lvl w:ilvl="4">
      <w:start w:val="0"/>
      <w:numFmt w:val="bullet"/>
      <w:lvlText w:val="•"/>
      <w:lvlJc w:val="left"/>
      <w:pPr>
        <w:ind w:left="4210" w:hanging="360"/>
      </w:pPr>
      <w:rPr>
        <w:rFonts w:hint="default"/>
        <w:lang w:val="en-US" w:eastAsia="en-US" w:bidi="ar-SA"/>
      </w:rPr>
    </w:lvl>
    <w:lvl w:ilvl="5">
      <w:start w:val="0"/>
      <w:numFmt w:val="bullet"/>
      <w:lvlText w:val="•"/>
      <w:lvlJc w:val="left"/>
      <w:pPr>
        <w:ind w:left="5053" w:hanging="360"/>
      </w:pPr>
      <w:rPr>
        <w:rFonts w:hint="default"/>
        <w:lang w:val="en-US" w:eastAsia="en-US" w:bidi="ar-SA"/>
      </w:rPr>
    </w:lvl>
    <w:lvl w:ilvl="6">
      <w:start w:val="0"/>
      <w:numFmt w:val="bullet"/>
      <w:lvlText w:val="•"/>
      <w:lvlJc w:val="left"/>
      <w:pPr>
        <w:ind w:left="5895" w:hanging="360"/>
      </w:pPr>
      <w:rPr>
        <w:rFonts w:hint="default"/>
        <w:lang w:val="en-US" w:eastAsia="en-US" w:bidi="ar-SA"/>
      </w:rPr>
    </w:lvl>
    <w:lvl w:ilvl="7">
      <w:start w:val="0"/>
      <w:numFmt w:val="bullet"/>
      <w:lvlText w:val="•"/>
      <w:lvlJc w:val="left"/>
      <w:pPr>
        <w:ind w:left="6738" w:hanging="360"/>
      </w:pPr>
      <w:rPr>
        <w:rFonts w:hint="default"/>
        <w:lang w:val="en-US" w:eastAsia="en-US" w:bidi="ar-SA"/>
      </w:rPr>
    </w:lvl>
    <w:lvl w:ilvl="8">
      <w:start w:val="0"/>
      <w:numFmt w:val="bullet"/>
      <w:lvlText w:val="•"/>
      <w:lvlJc w:val="left"/>
      <w:pPr>
        <w:ind w:left="7581" w:hanging="360"/>
      </w:pPr>
      <w:rPr>
        <w:rFonts w:hint="default"/>
        <w:lang w:val="en-US" w:eastAsia="en-US" w:bidi="ar-SA"/>
      </w:rPr>
    </w:lvl>
  </w:abstractNum>
  <w:abstractNum w:abstractNumId="1">
    <w:nsid w:val="70164996"/>
    <w:multiLevelType w:val="hybridMultilevel"/>
    <w:tmpl w:val="8B76D850"/>
    <w:lvl w:ilvl="0">
      <w:start w:val="1"/>
      <w:numFmt w:val="decimal"/>
      <w:lvlText w:val="%1."/>
      <w:lvlJc w:val="left"/>
      <w:pPr>
        <w:ind w:left="840" w:hanging="360"/>
        <w:jc w:val="left"/>
      </w:pPr>
      <w:rPr>
        <w:rFonts w:ascii="Arial" w:eastAsia="Arial" w:hAnsi="Arial" w:cs="Arial" w:hint="default"/>
        <w:b/>
        <w:bCs/>
        <w:i/>
        <w:iCs/>
        <w:spacing w:val="-1"/>
        <w:w w:val="100"/>
        <w:sz w:val="22"/>
        <w:szCs w:val="22"/>
        <w:lang w:val="en-US" w:eastAsia="en-US" w:bidi="ar-SA"/>
      </w:rPr>
    </w:lvl>
    <w:lvl w:ilvl="1">
      <w:start w:val="0"/>
      <w:numFmt w:val="bullet"/>
      <w:lvlText w:val="•"/>
      <w:lvlJc w:val="left"/>
      <w:pPr>
        <w:ind w:left="1682" w:hanging="360"/>
      </w:pPr>
      <w:rPr>
        <w:rFonts w:hint="default"/>
        <w:lang w:val="en-US" w:eastAsia="en-US" w:bidi="ar-SA"/>
      </w:rPr>
    </w:lvl>
    <w:lvl w:ilvl="2">
      <w:start w:val="0"/>
      <w:numFmt w:val="bullet"/>
      <w:lvlText w:val="•"/>
      <w:lvlJc w:val="left"/>
      <w:pPr>
        <w:ind w:left="2525" w:hanging="360"/>
      </w:pPr>
      <w:rPr>
        <w:rFonts w:hint="default"/>
        <w:lang w:val="en-US" w:eastAsia="en-US" w:bidi="ar-SA"/>
      </w:rPr>
    </w:lvl>
    <w:lvl w:ilvl="3">
      <w:start w:val="0"/>
      <w:numFmt w:val="bullet"/>
      <w:lvlText w:val="•"/>
      <w:lvlJc w:val="left"/>
      <w:pPr>
        <w:ind w:left="3367" w:hanging="360"/>
      </w:pPr>
      <w:rPr>
        <w:rFonts w:hint="default"/>
        <w:lang w:val="en-US" w:eastAsia="en-US" w:bidi="ar-SA"/>
      </w:rPr>
    </w:lvl>
    <w:lvl w:ilvl="4">
      <w:start w:val="0"/>
      <w:numFmt w:val="bullet"/>
      <w:lvlText w:val="•"/>
      <w:lvlJc w:val="left"/>
      <w:pPr>
        <w:ind w:left="4210" w:hanging="360"/>
      </w:pPr>
      <w:rPr>
        <w:rFonts w:hint="default"/>
        <w:lang w:val="en-US" w:eastAsia="en-US" w:bidi="ar-SA"/>
      </w:rPr>
    </w:lvl>
    <w:lvl w:ilvl="5">
      <w:start w:val="0"/>
      <w:numFmt w:val="bullet"/>
      <w:lvlText w:val="•"/>
      <w:lvlJc w:val="left"/>
      <w:pPr>
        <w:ind w:left="5053" w:hanging="360"/>
      </w:pPr>
      <w:rPr>
        <w:rFonts w:hint="default"/>
        <w:lang w:val="en-US" w:eastAsia="en-US" w:bidi="ar-SA"/>
      </w:rPr>
    </w:lvl>
    <w:lvl w:ilvl="6">
      <w:start w:val="0"/>
      <w:numFmt w:val="bullet"/>
      <w:lvlText w:val="•"/>
      <w:lvlJc w:val="left"/>
      <w:pPr>
        <w:ind w:left="5895" w:hanging="360"/>
      </w:pPr>
      <w:rPr>
        <w:rFonts w:hint="default"/>
        <w:lang w:val="en-US" w:eastAsia="en-US" w:bidi="ar-SA"/>
      </w:rPr>
    </w:lvl>
    <w:lvl w:ilvl="7">
      <w:start w:val="0"/>
      <w:numFmt w:val="bullet"/>
      <w:lvlText w:val="•"/>
      <w:lvlJc w:val="left"/>
      <w:pPr>
        <w:ind w:left="6738" w:hanging="360"/>
      </w:pPr>
      <w:rPr>
        <w:rFonts w:hint="default"/>
        <w:lang w:val="en-US" w:eastAsia="en-US" w:bidi="ar-SA"/>
      </w:rPr>
    </w:lvl>
    <w:lvl w:ilvl="8">
      <w:start w:val="0"/>
      <w:numFmt w:val="bullet"/>
      <w:lvlText w:val="•"/>
      <w:lvlJc w:val="left"/>
      <w:pPr>
        <w:ind w:left="7581" w:hanging="360"/>
      </w:pPr>
      <w:rPr>
        <w:rFonts w:hint="default"/>
        <w:lang w:val="en-US" w:eastAsia="en-US" w:bidi="ar-SA"/>
      </w:rPr>
    </w:lvl>
  </w:abstractNum>
  <w:abstractNum w:abstractNumId="2">
    <w:nsid w:val="731C4FCC"/>
    <w:multiLevelType w:val="hybridMultilevel"/>
    <w:tmpl w:val="00F86086"/>
    <w:lvl w:ilvl="0">
      <w:start w:val="1"/>
      <w:numFmt w:val="decimal"/>
      <w:lvlText w:val="%1."/>
      <w:lvlJc w:val="left"/>
      <w:pPr>
        <w:ind w:left="840" w:hanging="360"/>
        <w:jc w:val="left"/>
      </w:pPr>
      <w:rPr>
        <w:rFonts w:ascii="Arial" w:eastAsia="Arial" w:hAnsi="Arial" w:cs="Arial" w:hint="default"/>
        <w:b w:val="0"/>
        <w:bCs w:val="0"/>
        <w:i w:val="0"/>
        <w:iCs w:val="0"/>
        <w:spacing w:val="-1"/>
        <w:w w:val="100"/>
        <w:sz w:val="22"/>
        <w:szCs w:val="22"/>
        <w:lang w:val="en-US" w:eastAsia="en-US" w:bidi="ar-SA"/>
      </w:rPr>
    </w:lvl>
    <w:lvl w:ilvl="1">
      <w:start w:val="0"/>
      <w:numFmt w:val="bullet"/>
      <w:lvlText w:val="o"/>
      <w:lvlJc w:val="left"/>
      <w:pPr>
        <w:ind w:left="1560" w:hanging="360"/>
      </w:pPr>
      <w:rPr>
        <w:rFonts w:ascii="Courier New" w:eastAsia="Courier New" w:hAnsi="Courier New" w:cs="Courier New" w:hint="default"/>
        <w:b w:val="0"/>
        <w:bCs w:val="0"/>
        <w:i w:val="0"/>
        <w:iCs w:val="0"/>
        <w:spacing w:val="0"/>
        <w:w w:val="99"/>
        <w:sz w:val="20"/>
        <w:szCs w:val="20"/>
        <w:lang w:val="en-US" w:eastAsia="en-US" w:bidi="ar-SA"/>
      </w:rPr>
    </w:lvl>
    <w:lvl w:ilvl="2">
      <w:start w:val="0"/>
      <w:numFmt w:val="bullet"/>
      <w:lvlText w:val="•"/>
      <w:lvlJc w:val="left"/>
      <w:pPr>
        <w:ind w:left="2416" w:hanging="360"/>
      </w:pPr>
      <w:rPr>
        <w:rFonts w:hint="default"/>
        <w:lang w:val="en-US" w:eastAsia="en-US" w:bidi="ar-SA"/>
      </w:rPr>
    </w:lvl>
    <w:lvl w:ilvl="3">
      <w:start w:val="0"/>
      <w:numFmt w:val="bullet"/>
      <w:lvlText w:val="•"/>
      <w:lvlJc w:val="left"/>
      <w:pPr>
        <w:ind w:left="3272" w:hanging="360"/>
      </w:pPr>
      <w:rPr>
        <w:rFonts w:hint="default"/>
        <w:lang w:val="en-US" w:eastAsia="en-US" w:bidi="ar-SA"/>
      </w:rPr>
    </w:lvl>
    <w:lvl w:ilvl="4">
      <w:start w:val="0"/>
      <w:numFmt w:val="bullet"/>
      <w:lvlText w:val="•"/>
      <w:lvlJc w:val="left"/>
      <w:pPr>
        <w:ind w:left="4128" w:hanging="360"/>
      </w:pPr>
      <w:rPr>
        <w:rFonts w:hint="default"/>
        <w:lang w:val="en-US" w:eastAsia="en-US" w:bidi="ar-SA"/>
      </w:rPr>
    </w:lvl>
    <w:lvl w:ilvl="5">
      <w:start w:val="0"/>
      <w:numFmt w:val="bullet"/>
      <w:lvlText w:val="•"/>
      <w:lvlJc w:val="left"/>
      <w:pPr>
        <w:ind w:left="4985" w:hanging="360"/>
      </w:pPr>
      <w:rPr>
        <w:rFonts w:hint="default"/>
        <w:lang w:val="en-US" w:eastAsia="en-US" w:bidi="ar-SA"/>
      </w:rPr>
    </w:lvl>
    <w:lvl w:ilvl="6">
      <w:start w:val="0"/>
      <w:numFmt w:val="bullet"/>
      <w:lvlText w:val="•"/>
      <w:lvlJc w:val="left"/>
      <w:pPr>
        <w:ind w:left="5841" w:hanging="360"/>
      </w:pPr>
      <w:rPr>
        <w:rFonts w:hint="default"/>
        <w:lang w:val="en-US" w:eastAsia="en-US" w:bidi="ar-SA"/>
      </w:rPr>
    </w:lvl>
    <w:lvl w:ilvl="7">
      <w:start w:val="0"/>
      <w:numFmt w:val="bullet"/>
      <w:lvlText w:val="•"/>
      <w:lvlJc w:val="left"/>
      <w:pPr>
        <w:ind w:left="6697" w:hanging="360"/>
      </w:pPr>
      <w:rPr>
        <w:rFonts w:hint="default"/>
        <w:lang w:val="en-US" w:eastAsia="en-US" w:bidi="ar-SA"/>
      </w:rPr>
    </w:lvl>
    <w:lvl w:ilvl="8">
      <w:start w:val="0"/>
      <w:numFmt w:val="bullet"/>
      <w:lvlText w:val="•"/>
      <w:lvlJc w:val="left"/>
      <w:pPr>
        <w:ind w:left="7553" w:hanging="36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60"/>
      <w:ind w:hanging="358"/>
      <w:outlineLvl w:val="0"/>
    </w:pPr>
    <w:rPr>
      <w:b/>
      <w:bCs/>
    </w:rPr>
  </w:style>
  <w:style w:type="paragraph" w:styleId="Heading2">
    <w:name w:val="heading 2"/>
    <w:basedOn w:val="Normal"/>
    <w:uiPriority w:val="9"/>
    <w:unhideWhenUsed/>
    <w:qFormat/>
    <w:pPr>
      <w:ind w:left="120"/>
      <w:jc w:val="both"/>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804" w:lineRule="exact"/>
    </w:pPr>
    <w:rPr>
      <w:b/>
      <w:bCs/>
      <w:sz w:val="72"/>
      <w:szCs w:val="72"/>
    </w:rPr>
  </w:style>
  <w:style w:type="paragraph" w:styleId="ListParagraph">
    <w:name w:val="List Paragraph"/>
    <w:basedOn w:val="Normal"/>
    <w:uiPriority w:val="1"/>
    <w:qFormat/>
    <w:pPr>
      <w:spacing w:before="159"/>
      <w:ind w:left="156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C4A99"/>
    <w:pPr>
      <w:tabs>
        <w:tab w:val="center" w:pos="4513"/>
        <w:tab w:val="right" w:pos="9026"/>
      </w:tabs>
    </w:pPr>
  </w:style>
  <w:style w:type="character" w:customStyle="1" w:styleId="HeaderChar">
    <w:name w:val="Header Char"/>
    <w:basedOn w:val="DefaultParagraphFont"/>
    <w:link w:val="Header"/>
    <w:uiPriority w:val="99"/>
    <w:rsid w:val="00EC4A99"/>
    <w:rPr>
      <w:rFonts w:ascii="Arial" w:eastAsia="Arial" w:hAnsi="Arial" w:cs="Arial"/>
    </w:rPr>
  </w:style>
  <w:style w:type="paragraph" w:styleId="Footer">
    <w:name w:val="footer"/>
    <w:basedOn w:val="Normal"/>
    <w:link w:val="FooterChar"/>
    <w:uiPriority w:val="99"/>
    <w:unhideWhenUsed/>
    <w:rsid w:val="00EC4A99"/>
    <w:pPr>
      <w:tabs>
        <w:tab w:val="center" w:pos="4513"/>
        <w:tab w:val="right" w:pos="9026"/>
      </w:tabs>
    </w:pPr>
  </w:style>
  <w:style w:type="character" w:customStyle="1" w:styleId="FooterChar">
    <w:name w:val="Footer Char"/>
    <w:basedOn w:val="DefaultParagraphFont"/>
    <w:link w:val="Footer"/>
    <w:uiPriority w:val="99"/>
    <w:rsid w:val="00EC4A9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