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04940" w:rsidRPr="00D04940" w:rsidP="00D04940">
      <w:pPr>
        <w:shd w:val="clear" w:color="auto" w:fill="FFFFFF"/>
        <w:spacing w:after="200"/>
        <w:rPr>
          <w:rFonts w:ascii="Verdana" w:hAnsi="Verdana"/>
          <w:b/>
          <w:bCs/>
          <w:sz w:val="28"/>
          <w:szCs w:val="28"/>
        </w:rPr>
      </w:pPr>
      <w:r>
        <w:rPr>
          <w:rFonts w:ascii="Verdana" w:hAnsi="Verdana"/>
          <w:b/>
          <w:bCs/>
          <w:sz w:val="28"/>
          <w:szCs w:val="28"/>
        </w:rPr>
        <w:t>T</w:t>
      </w:r>
      <w:r w:rsidRPr="00D04940">
        <w:rPr>
          <w:rFonts w:ascii="Verdana" w:hAnsi="Verdana"/>
          <w:b/>
          <w:bCs/>
          <w:sz w:val="28"/>
          <w:szCs w:val="28"/>
        </w:rPr>
        <w:t>he Centre for Inclusive Trade Policy (CITP) and the UK Trade Policy Observatory (UKTPO)</w:t>
      </w:r>
      <w:r w:rsidRPr="00146BEA">
        <w:rPr>
          <w:rFonts w:ascii="Verdana" w:hAnsi="Verdana"/>
          <w:b/>
          <w:bCs/>
          <w:sz w:val="28"/>
          <w:szCs w:val="28"/>
        </w:rPr>
        <w:t>– Written Evidence (RES00</w:t>
      </w:r>
      <w:r>
        <w:rPr>
          <w:rFonts w:ascii="Verdana" w:hAnsi="Verdana"/>
          <w:b/>
          <w:bCs/>
          <w:sz w:val="28"/>
          <w:szCs w:val="28"/>
        </w:rPr>
        <w:t>7</w:t>
      </w:r>
      <w:r>
        <w:rPr>
          <w:rFonts w:ascii="Verdana" w:hAnsi="Verdana"/>
          <w:b/>
          <w:bCs/>
          <w:sz w:val="28"/>
          <w:szCs w:val="28"/>
        </w:rPr>
        <w:t>5</w:t>
      </w:r>
      <w:r w:rsidRPr="00146BEA">
        <w:rPr>
          <w:rFonts w:ascii="Verdana" w:hAnsi="Verdana"/>
          <w:b/>
          <w:bCs/>
          <w:sz w:val="28"/>
          <w:szCs w:val="28"/>
        </w:rPr>
        <w:t>)</w:t>
      </w:r>
    </w:p>
    <w:p w:rsidR="00D04940" w:rsidP="001723BC">
      <w:pPr>
        <w:jc w:val="center"/>
        <w:rPr>
          <w:rFonts w:ascii="Verdana" w:hAnsi="Verdana"/>
          <w:b/>
          <w:bCs/>
          <w:sz w:val="24"/>
          <w:szCs w:val="24"/>
        </w:rPr>
      </w:pPr>
    </w:p>
    <w:p w:rsidR="00DD648D" w:rsidRPr="00D04940" w:rsidP="001723BC">
      <w:pPr>
        <w:jc w:val="center"/>
        <w:rPr>
          <w:rFonts w:ascii="Verdana" w:hAnsi="Verdana"/>
          <w:b/>
          <w:bCs/>
          <w:sz w:val="24"/>
          <w:szCs w:val="24"/>
        </w:rPr>
      </w:pPr>
      <w:r w:rsidRPr="00D04940">
        <w:rPr>
          <w:rFonts w:ascii="Verdana" w:hAnsi="Verdana"/>
          <w:b/>
          <w:bCs/>
          <w:sz w:val="24"/>
          <w:szCs w:val="24"/>
        </w:rPr>
        <w:t xml:space="preserve">House </w:t>
      </w:r>
      <w:r w:rsidRPr="00D04940">
        <w:rPr>
          <w:rFonts w:ascii="Verdana" w:hAnsi="Verdana"/>
          <w:b/>
          <w:bCs/>
          <w:sz w:val="24"/>
          <w:szCs w:val="24"/>
        </w:rPr>
        <w:t xml:space="preserve">of </w:t>
      </w:r>
      <w:r w:rsidRPr="00D04940">
        <w:rPr>
          <w:rFonts w:ascii="Verdana" w:hAnsi="Verdana"/>
          <w:b/>
          <w:bCs/>
          <w:sz w:val="24"/>
          <w:szCs w:val="24"/>
        </w:rPr>
        <w:t xml:space="preserve"> </w:t>
      </w:r>
      <w:r w:rsidRPr="00D04940" w:rsidR="00216BCE">
        <w:rPr>
          <w:rFonts w:ascii="Verdana" w:hAnsi="Verdana"/>
          <w:b/>
          <w:bCs/>
          <w:sz w:val="24"/>
          <w:szCs w:val="24"/>
        </w:rPr>
        <w:t>Lords</w:t>
      </w:r>
      <w:r w:rsidRPr="00D04940" w:rsidR="00216BCE">
        <w:rPr>
          <w:rFonts w:ascii="Verdana" w:hAnsi="Verdana"/>
          <w:b/>
          <w:bCs/>
          <w:sz w:val="24"/>
          <w:szCs w:val="24"/>
        </w:rPr>
        <w:t xml:space="preserve"> | European Affairs Committee</w:t>
      </w:r>
    </w:p>
    <w:p w:rsidR="00DD648D" w:rsidRPr="00D04940" w:rsidP="001723BC">
      <w:pPr>
        <w:jc w:val="center"/>
        <w:rPr>
          <w:rFonts w:ascii="Verdana" w:hAnsi="Verdana"/>
          <w:b/>
          <w:bCs/>
          <w:sz w:val="24"/>
          <w:szCs w:val="24"/>
        </w:rPr>
      </w:pPr>
      <w:r w:rsidRPr="00D04940">
        <w:rPr>
          <w:rFonts w:ascii="Verdana" w:hAnsi="Verdana"/>
          <w:b/>
          <w:bCs/>
          <w:sz w:val="24"/>
          <w:szCs w:val="24"/>
        </w:rPr>
        <w:t xml:space="preserve">Inquiry on </w:t>
      </w:r>
      <w:r>
        <w:fldChar w:fldCharType="begin"/>
      </w:r>
      <w:r>
        <w:instrText xml:space="preserve"> HYPERLINK "https://parliament.us16.list-manage.com/track/click?u=3ad7e4c57a864f07e4db008c4&amp;id=cc75fcf960&amp;e=a9b136de39" \o "https://parliament.us16.list-manage.com/track/click?u=3ad7e4c57a864f07e4db008c4&amp;id=cc75fcf960&amp;e=a9b136de39" </w:instrText>
      </w:r>
      <w:r>
        <w:fldChar w:fldCharType="separate"/>
      </w:r>
      <w:r w:rsidRPr="00D04940">
        <w:rPr>
          <w:rStyle w:val="Hyperlink"/>
          <w:rFonts w:ascii="Verdana" w:hAnsi="Verdana"/>
          <w:b/>
          <w:bCs/>
          <w:color w:val="auto"/>
          <w:sz w:val="24"/>
          <w:szCs w:val="24"/>
          <w:u w:val="none"/>
        </w:rPr>
        <w:t>The UK-EU reset</w:t>
      </w:r>
      <w:r>
        <w:fldChar w:fldCharType="end"/>
      </w:r>
    </w:p>
    <w:p w:rsidR="00216BCE" w:rsidRPr="00D04940" w:rsidP="001723BC">
      <w:pPr>
        <w:jc w:val="center"/>
        <w:rPr>
          <w:rFonts w:ascii="Verdana" w:hAnsi="Verdana"/>
          <w:b/>
          <w:bCs/>
          <w:sz w:val="24"/>
          <w:szCs w:val="24"/>
        </w:rPr>
      </w:pPr>
      <w:r w:rsidRPr="00D04940">
        <w:rPr>
          <w:rFonts w:ascii="Verdana" w:hAnsi="Verdana"/>
          <w:sz w:val="24"/>
          <w:szCs w:val="24"/>
        </w:rPr>
        <w:t> </w:t>
      </w:r>
      <w:r w:rsidRPr="00D04940">
        <w:rPr>
          <w:rFonts w:ascii="Verdana" w:hAnsi="Verdana"/>
          <w:b/>
          <w:bCs/>
          <w:sz w:val="24"/>
          <w:szCs w:val="24"/>
        </w:rPr>
        <w:t>2 April 2025</w:t>
      </w:r>
    </w:p>
    <w:p w:rsidR="00DD648D" w:rsidRPr="00D04940" w:rsidP="00DD648D">
      <w:pPr>
        <w:tabs>
          <w:tab w:val="num" w:pos="720"/>
        </w:tabs>
        <w:ind w:left="720" w:hanging="360"/>
        <w:jc w:val="center"/>
        <w:rPr>
          <w:rFonts w:ascii="Verdana" w:hAnsi="Verdana"/>
          <w:b/>
          <w:bCs/>
          <w:sz w:val="24"/>
          <w:szCs w:val="24"/>
        </w:rPr>
      </w:pPr>
    </w:p>
    <w:p w:rsidR="00DD648D" w:rsidRPr="00D04940" w:rsidP="00DD648D">
      <w:pPr>
        <w:ind w:left="360"/>
        <w:jc w:val="center"/>
        <w:rPr>
          <w:rFonts w:ascii="Verdana" w:hAnsi="Verdana"/>
          <w:b/>
          <w:sz w:val="24"/>
          <w:szCs w:val="24"/>
        </w:rPr>
      </w:pPr>
      <w:r w:rsidRPr="00D04940">
        <w:rPr>
          <w:rFonts w:ascii="Verdana" w:hAnsi="Verdana"/>
          <w:b/>
          <w:sz w:val="24"/>
          <w:szCs w:val="24"/>
        </w:rPr>
        <w:t xml:space="preserve">Written evidence from </w:t>
      </w:r>
      <w:bookmarkStart w:id="0" w:name="_Hlk194566729"/>
      <w:r w:rsidRPr="00D04940">
        <w:rPr>
          <w:rFonts w:ascii="Verdana" w:hAnsi="Verdana"/>
          <w:b/>
          <w:sz w:val="24"/>
          <w:szCs w:val="24"/>
        </w:rPr>
        <w:t>the Centre for Inclusive Trade Policy (CITP)</w:t>
      </w:r>
      <w:r w:rsidRPr="00D04940" w:rsidR="001723BC">
        <w:rPr>
          <w:rFonts w:ascii="Verdana" w:hAnsi="Verdana"/>
          <w:b/>
          <w:sz w:val="24"/>
          <w:szCs w:val="24"/>
        </w:rPr>
        <w:t xml:space="preserve"> and the UK Trade Policy Observatory (UKTPO)</w:t>
      </w:r>
    </w:p>
    <w:p w:rsidR="00DD648D" w:rsidRPr="00D04940" w:rsidP="00DD648D">
      <w:pPr>
        <w:ind w:left="360"/>
        <w:jc w:val="center"/>
        <w:rPr>
          <w:rFonts w:ascii="Verdana" w:hAnsi="Verdana"/>
          <w:b/>
          <w:sz w:val="24"/>
          <w:szCs w:val="24"/>
        </w:rPr>
      </w:pPr>
      <w:bookmarkEnd w:id="0"/>
    </w:p>
    <w:p w:rsidR="00DD648D" w:rsidRPr="00D04940" w:rsidP="00DD648D">
      <w:pPr>
        <w:pBdr>
          <w:top w:val="single" w:sz="4" w:space="1" w:color="auto"/>
          <w:left w:val="single" w:sz="4" w:space="4" w:color="auto"/>
          <w:bottom w:val="single" w:sz="4" w:space="0" w:color="auto"/>
          <w:right w:val="single" w:sz="4" w:space="4" w:color="auto"/>
        </w:pBdr>
        <w:shd w:val="pct15" w:color="auto" w:fill="auto"/>
        <w:spacing w:after="0"/>
        <w:ind w:left="360"/>
        <w:jc w:val="both"/>
        <w:rPr>
          <w:rFonts w:ascii="Verdana" w:hAnsi="Verdana"/>
          <w:b/>
          <w:bCs/>
          <w:sz w:val="24"/>
          <w:szCs w:val="24"/>
        </w:rPr>
      </w:pPr>
      <w:r w:rsidRPr="00D04940">
        <w:rPr>
          <w:rFonts w:ascii="Verdana" w:hAnsi="Verdana"/>
          <w:b/>
          <w:bCs/>
          <w:sz w:val="24"/>
          <w:szCs w:val="24"/>
        </w:rPr>
        <w:t>About the Centre for Inclusive Trade Policy</w:t>
      </w:r>
    </w:p>
    <w:p w:rsidR="00DD648D" w:rsidRPr="00D04940" w:rsidP="001723BC">
      <w:pPr>
        <w:pBdr>
          <w:top w:val="single" w:sz="4" w:space="1" w:color="auto"/>
          <w:left w:val="single" w:sz="4" w:space="4" w:color="auto"/>
          <w:bottom w:val="single" w:sz="4" w:space="0" w:color="auto"/>
          <w:right w:val="single" w:sz="4" w:space="4" w:color="auto"/>
        </w:pBdr>
        <w:shd w:val="pct15" w:color="auto" w:fill="auto"/>
        <w:spacing w:after="0"/>
        <w:ind w:left="360"/>
        <w:rPr>
          <w:rFonts w:ascii="Verdana" w:hAnsi="Verdana"/>
          <w:sz w:val="24"/>
          <w:szCs w:val="24"/>
        </w:rPr>
      </w:pPr>
      <w:r w:rsidRPr="00D04940">
        <w:rPr>
          <w:rFonts w:ascii="Verdana" w:hAnsi="Verdana"/>
          <w:sz w:val="24"/>
          <w:szCs w:val="24"/>
        </w:rPr>
        <w:t>The Centre for Inclusive Trade Policy, a centre of excellence for innovative trade policy research, is the first Centre dedicated to trade policy to be funded by the Economic and Social Research Council. The Centre is built on the precept that trade policy should be inclusive in both policy formulation and outcome. Our aim is to build permanent capacity by developing a community of scholars and practitioners with the knowledge, skills and mutual understanding to develop robust trade policy in a changing world.</w:t>
      </w:r>
    </w:p>
    <w:p w:rsidR="001723BC" w:rsidRPr="00D04940" w:rsidP="001723BC">
      <w:pPr>
        <w:pBdr>
          <w:top w:val="single" w:sz="4" w:space="1" w:color="auto"/>
          <w:left w:val="single" w:sz="4" w:space="4" w:color="auto"/>
          <w:bottom w:val="single" w:sz="4" w:space="0" w:color="auto"/>
          <w:right w:val="single" w:sz="4" w:space="4" w:color="auto"/>
        </w:pBdr>
        <w:shd w:val="pct15" w:color="auto" w:fill="auto"/>
        <w:spacing w:after="0"/>
        <w:ind w:left="360"/>
        <w:rPr>
          <w:rFonts w:ascii="Verdana" w:hAnsi="Verdana"/>
          <w:sz w:val="24"/>
          <w:szCs w:val="24"/>
        </w:rPr>
      </w:pPr>
    </w:p>
    <w:p w:rsidR="001723BC" w:rsidRPr="00D04940">
      <w:pPr>
        <w:pBdr>
          <w:top w:val="single" w:sz="4" w:space="1" w:color="auto"/>
          <w:left w:val="single" w:sz="4" w:space="4" w:color="auto"/>
          <w:bottom w:val="single" w:sz="4" w:space="0" w:color="auto"/>
          <w:right w:val="single" w:sz="4" w:space="4" w:color="auto"/>
        </w:pBdr>
        <w:shd w:val="pct15" w:color="auto" w:fill="auto"/>
        <w:spacing w:after="0"/>
        <w:ind w:left="360"/>
        <w:rPr>
          <w:rStyle w:val="Hyperlink"/>
          <w:rFonts w:ascii="Verdana" w:hAnsi="Verdana"/>
          <w:sz w:val="24"/>
          <w:szCs w:val="24"/>
        </w:rPr>
      </w:pPr>
      <w:r w:rsidRPr="00D04940">
        <w:rPr>
          <w:rFonts w:ascii="Verdana" w:hAnsi="Verdana"/>
          <w:sz w:val="24"/>
          <w:szCs w:val="24"/>
        </w:rPr>
        <w:t xml:space="preserve">Led by the University of Sussex, the Centre is comprised of universities from across the whole of the UK - including from the University of Nottingham, the University of Strathclyde, Queen’s University Belfast, Cardiff University and the University of Cambridge - and beyond, along with non-academic partners working on trade. </w:t>
      </w:r>
      <w:r>
        <w:fldChar w:fldCharType="begin"/>
      </w:r>
      <w:r>
        <w:instrText xml:space="preserve"> HYPERLINK "https://citp.ac.uk/" </w:instrText>
      </w:r>
      <w:r>
        <w:fldChar w:fldCharType="separate"/>
      </w:r>
      <w:r w:rsidRPr="00D04940">
        <w:rPr>
          <w:rStyle w:val="Hyperlink"/>
          <w:rFonts w:ascii="Verdana" w:hAnsi="Verdana"/>
          <w:sz w:val="24"/>
          <w:szCs w:val="24"/>
        </w:rPr>
        <w:t>https://citp.ac.uk/</w:t>
      </w:r>
      <w:r>
        <w:fldChar w:fldCharType="end"/>
      </w:r>
    </w:p>
    <w:p w:rsidR="001723BC" w:rsidRPr="00D04940" w:rsidP="001723BC">
      <w:pPr>
        <w:pBdr>
          <w:top w:val="single" w:sz="4" w:space="1" w:color="auto"/>
          <w:left w:val="single" w:sz="4" w:space="4" w:color="auto"/>
          <w:bottom w:val="single" w:sz="4" w:space="0" w:color="auto"/>
          <w:right w:val="single" w:sz="4" w:space="4" w:color="auto"/>
        </w:pBdr>
        <w:shd w:val="pct15" w:color="auto" w:fill="auto"/>
        <w:spacing w:after="0"/>
        <w:ind w:left="360"/>
        <w:rPr>
          <w:rStyle w:val="Hyperlink"/>
          <w:rFonts w:ascii="Verdana" w:hAnsi="Verdana"/>
          <w:sz w:val="24"/>
          <w:szCs w:val="24"/>
        </w:rPr>
      </w:pPr>
    </w:p>
    <w:p w:rsidR="001723BC" w:rsidRPr="00D04940" w:rsidP="001723BC">
      <w:pPr>
        <w:pBdr>
          <w:top w:val="single" w:sz="4" w:space="1" w:color="auto"/>
          <w:left w:val="single" w:sz="4" w:space="4" w:color="auto"/>
          <w:bottom w:val="single" w:sz="4" w:space="0" w:color="auto"/>
          <w:right w:val="single" w:sz="4" w:space="4" w:color="auto"/>
        </w:pBdr>
        <w:shd w:val="pct15" w:color="auto" w:fill="auto"/>
        <w:spacing w:after="0"/>
        <w:ind w:left="360"/>
        <w:rPr>
          <w:rFonts w:ascii="Verdana" w:hAnsi="Verdana"/>
          <w:sz w:val="24"/>
          <w:szCs w:val="24"/>
        </w:rPr>
      </w:pPr>
      <w:r w:rsidRPr="00D04940">
        <w:rPr>
          <w:rFonts w:ascii="Verdana" w:hAnsi="Verdana"/>
          <w:b/>
          <w:bCs/>
          <w:sz w:val="24"/>
          <w:szCs w:val="24"/>
        </w:rPr>
        <w:t>About the UK Trade Policy Observatory</w:t>
      </w:r>
    </w:p>
    <w:p w:rsidR="001723BC" w:rsidRPr="00D04940" w:rsidP="001723BC">
      <w:pPr>
        <w:pBdr>
          <w:top w:val="single" w:sz="4" w:space="1" w:color="auto"/>
          <w:left w:val="single" w:sz="4" w:space="4" w:color="auto"/>
          <w:bottom w:val="single" w:sz="4" w:space="0" w:color="auto"/>
          <w:right w:val="single" w:sz="4" w:space="4" w:color="auto"/>
        </w:pBdr>
        <w:shd w:val="pct15" w:color="auto" w:fill="auto"/>
        <w:spacing w:after="0"/>
        <w:ind w:left="360"/>
        <w:rPr>
          <w:rFonts w:ascii="Verdana" w:hAnsi="Verdana"/>
          <w:sz w:val="24"/>
          <w:szCs w:val="24"/>
        </w:rPr>
      </w:pPr>
      <w:r w:rsidRPr="00D04940">
        <w:rPr>
          <w:rFonts w:ascii="Verdana" w:hAnsi="Verdana"/>
          <w:sz w:val="24"/>
          <w:szCs w:val="24"/>
        </w:rPr>
        <w:t>The UK Trade Policy Observatory (UKTPO) is an independent expert group at the University of Sussex Business School that initiates, comments on, and analyses trade policy proposals for the UK, and trains British policymakers, negotiators and other interested parties through tailored training packages. The University of Sussex has the largest collection of academic expertise on the world trading system in the UK, with experts in trade policy, trade law and trade politics, and European law and economy. The UKTPO is a member of the Centre for Inclusive Trade Policy.</w:t>
      </w:r>
    </w:p>
    <w:p w:rsidR="00DD648D" w:rsidRPr="00D04940" w:rsidP="001723BC">
      <w:pPr>
        <w:pBdr>
          <w:top w:val="single" w:sz="4" w:space="1" w:color="auto"/>
          <w:left w:val="single" w:sz="4" w:space="4" w:color="auto"/>
          <w:bottom w:val="single" w:sz="4" w:space="0" w:color="auto"/>
          <w:right w:val="single" w:sz="4" w:space="4" w:color="auto"/>
        </w:pBdr>
        <w:shd w:val="pct15" w:color="auto" w:fill="auto"/>
        <w:spacing w:after="0"/>
        <w:ind w:left="360"/>
        <w:rPr>
          <w:rFonts w:ascii="Verdana" w:hAnsi="Verdana"/>
          <w:sz w:val="24"/>
          <w:szCs w:val="24"/>
        </w:rPr>
      </w:pPr>
      <w:r w:rsidRPr="00D04940">
        <w:rPr>
          <w:rStyle w:val="Hyperlink"/>
          <w:rFonts w:ascii="Verdana" w:hAnsi="Verdana"/>
          <w:color w:val="auto"/>
          <w:sz w:val="24"/>
          <w:szCs w:val="24"/>
          <w:u w:val="none"/>
        </w:rPr>
        <w:br/>
      </w:r>
    </w:p>
    <w:p w:rsidR="00DD648D" w:rsidRPr="00D04940" w:rsidP="00216BCE">
      <w:pPr>
        <w:rPr>
          <w:rFonts w:ascii="Verdana" w:hAnsi="Verdana"/>
          <w:sz w:val="24"/>
          <w:szCs w:val="24"/>
        </w:rPr>
      </w:pPr>
    </w:p>
    <w:p w:rsidR="00216BCE" w:rsidRPr="00D04940" w:rsidP="00216BCE">
      <w:pPr>
        <w:rPr>
          <w:rFonts w:ascii="Verdana" w:hAnsi="Verdana"/>
          <w:b/>
          <w:bCs/>
          <w:color w:val="C00000"/>
          <w:sz w:val="24"/>
          <w:szCs w:val="24"/>
        </w:rPr>
      </w:pPr>
      <w:r w:rsidRPr="00D04940">
        <w:rPr>
          <w:rFonts w:ascii="Verdana" w:hAnsi="Verdana"/>
          <w:b/>
          <w:bCs/>
          <w:color w:val="C00000"/>
          <w:sz w:val="24"/>
          <w:szCs w:val="24"/>
        </w:rPr>
        <w:t xml:space="preserve">1. What should the reset seek to achieve </w:t>
      </w:r>
      <w:r w:rsidRPr="00D04940">
        <w:rPr>
          <w:rFonts w:ascii="Verdana" w:hAnsi="Verdana"/>
          <w:b/>
          <w:bCs/>
          <w:color w:val="C00000"/>
          <w:sz w:val="24"/>
          <w:szCs w:val="24"/>
        </w:rPr>
        <w:t>in order to</w:t>
      </w:r>
      <w:r w:rsidRPr="00D04940">
        <w:rPr>
          <w:rFonts w:ascii="Verdana" w:hAnsi="Verdana"/>
          <w:b/>
          <w:bCs/>
          <w:color w:val="C00000"/>
          <w:sz w:val="24"/>
          <w:szCs w:val="24"/>
        </w:rPr>
        <w:t xml:space="preserve"> serve the British national interest? What would a successful reset of UK-EU relations look like?</w:t>
      </w:r>
    </w:p>
    <w:p w:rsidR="00216BCE" w:rsidRPr="00D04940" w:rsidP="00216BCE">
      <w:pPr>
        <w:rPr>
          <w:rFonts w:ascii="Verdana" w:hAnsi="Verdana"/>
          <w:b/>
          <w:bCs/>
          <w:color w:val="C00000"/>
          <w:sz w:val="24"/>
          <w:szCs w:val="24"/>
        </w:rPr>
      </w:pPr>
      <w:r w:rsidRPr="00D04940">
        <w:rPr>
          <w:rFonts w:ascii="Verdana" w:hAnsi="Verdana"/>
          <w:b/>
          <w:bCs/>
          <w:color w:val="C00000"/>
          <w:sz w:val="24"/>
          <w:szCs w:val="24"/>
        </w:rPr>
        <w:t>a) What is your assessment of the Government’s aims and approach to the reset? Is the Government being too ambitious, or not ambitious enough?</w:t>
      </w:r>
    </w:p>
    <w:p w:rsidR="00720DB8" w:rsidRPr="00D04940" w:rsidP="00216BCE">
      <w:pPr>
        <w:rPr>
          <w:rFonts w:ascii="Verdana" w:hAnsi="Verdana"/>
          <w:sz w:val="24"/>
          <w:szCs w:val="24"/>
        </w:rPr>
      </w:pPr>
      <w:r w:rsidRPr="00D04940">
        <w:rPr>
          <w:rFonts w:ascii="Verdana" w:hAnsi="Verdana"/>
          <w:sz w:val="24"/>
          <w:szCs w:val="24"/>
        </w:rPr>
        <w:t>It is important to distinguish between the desired outcomes, and the processes for achieving those outcomes. The proximate basis for the UK-EU reset is the scheduled review of the Trade and Cooperation Agreement. However, t</w:t>
      </w:r>
      <w:r w:rsidRPr="00D04940">
        <w:rPr>
          <w:rFonts w:ascii="Verdana" w:hAnsi="Verdana"/>
          <w:sz w:val="24"/>
          <w:szCs w:val="24"/>
        </w:rPr>
        <w:t xml:space="preserve">he UK government’s </w:t>
      </w:r>
      <w:r w:rsidRPr="00D04940">
        <w:rPr>
          <w:rFonts w:ascii="Verdana" w:hAnsi="Verdana"/>
          <w:sz w:val="24"/>
          <w:szCs w:val="24"/>
        </w:rPr>
        <w:t xml:space="preserve">objectives from </w:t>
      </w:r>
      <w:r w:rsidRPr="00D04940">
        <w:rPr>
          <w:rFonts w:ascii="Verdana" w:hAnsi="Verdana"/>
          <w:sz w:val="24"/>
          <w:szCs w:val="24"/>
        </w:rPr>
        <w:t xml:space="preserve">the UK-EU reset </w:t>
      </w:r>
      <w:r w:rsidRPr="00D04940">
        <w:rPr>
          <w:rFonts w:ascii="Verdana" w:hAnsi="Verdana"/>
          <w:sz w:val="24"/>
          <w:szCs w:val="24"/>
        </w:rPr>
        <w:t>are</w:t>
      </w:r>
      <w:r w:rsidRPr="00D04940">
        <w:rPr>
          <w:rFonts w:ascii="Verdana" w:hAnsi="Verdana"/>
          <w:sz w:val="24"/>
          <w:szCs w:val="24"/>
        </w:rPr>
        <w:t xml:space="preserve"> based around the three pillars of security, safety and prosperity</w:t>
      </w:r>
      <w:r w:rsidRPr="00D04940">
        <w:rPr>
          <w:rFonts w:ascii="Verdana" w:hAnsi="Verdana"/>
          <w:sz w:val="24"/>
          <w:szCs w:val="24"/>
        </w:rPr>
        <w:t xml:space="preserve"> – and this goes beyond the TCA. Hence, for example, defence and security cooperation was excluded from the TCA; and illegal migration and border controls (which fall under the safety pillar) are only partially covered as the provision on law enforcement and judicial cooperation are limited. </w:t>
      </w:r>
    </w:p>
    <w:p w:rsidR="001E3C0B" w:rsidRPr="00D04940" w:rsidP="00216BCE">
      <w:pPr>
        <w:rPr>
          <w:rFonts w:ascii="Verdana" w:hAnsi="Verdana"/>
          <w:sz w:val="24"/>
          <w:szCs w:val="24"/>
        </w:rPr>
      </w:pPr>
      <w:r w:rsidRPr="00D04940">
        <w:rPr>
          <w:rFonts w:ascii="Verdana" w:hAnsi="Verdana"/>
          <w:sz w:val="24"/>
          <w:szCs w:val="24"/>
        </w:rPr>
        <w:t xml:space="preserve">The EU is unlikely to want to set up new formal (and </w:t>
      </w:r>
      <w:r w:rsidRPr="00D04940" w:rsidR="007C16D3">
        <w:rPr>
          <w:rFonts w:ascii="Verdana" w:hAnsi="Verdana"/>
          <w:sz w:val="24"/>
          <w:szCs w:val="24"/>
        </w:rPr>
        <w:t xml:space="preserve">to some extent also </w:t>
      </w:r>
      <w:r w:rsidRPr="00D04940">
        <w:rPr>
          <w:rFonts w:ascii="Verdana" w:hAnsi="Verdana"/>
          <w:sz w:val="24"/>
          <w:szCs w:val="24"/>
        </w:rPr>
        <w:t xml:space="preserve">informal) structures covering new areas of </w:t>
      </w:r>
      <w:r w:rsidRPr="00D04940" w:rsidR="006273CB">
        <w:rPr>
          <w:rFonts w:ascii="Verdana" w:hAnsi="Verdana"/>
          <w:sz w:val="24"/>
          <w:szCs w:val="24"/>
        </w:rPr>
        <w:t xml:space="preserve">trade </w:t>
      </w:r>
      <w:r w:rsidRPr="00D04940">
        <w:rPr>
          <w:rFonts w:ascii="Verdana" w:hAnsi="Verdana"/>
          <w:sz w:val="24"/>
          <w:szCs w:val="24"/>
        </w:rPr>
        <w:t xml:space="preserve">cooperation, </w:t>
      </w:r>
      <w:r w:rsidRPr="00D04940" w:rsidR="006273CB">
        <w:rPr>
          <w:rFonts w:ascii="Verdana" w:hAnsi="Verdana"/>
          <w:sz w:val="24"/>
          <w:szCs w:val="24"/>
        </w:rPr>
        <w:t>as</w:t>
      </w:r>
      <w:r w:rsidRPr="00D04940">
        <w:rPr>
          <w:rFonts w:ascii="Verdana" w:hAnsi="Verdana"/>
          <w:sz w:val="24"/>
          <w:szCs w:val="24"/>
        </w:rPr>
        <w:t xml:space="preserve"> it may be difficult and certainly complicated to get the required mandate from all the member states. The mandate already exists for the </w:t>
      </w:r>
      <w:r w:rsidRPr="00D04940">
        <w:rPr>
          <w:rFonts w:ascii="Verdana" w:hAnsi="Verdana"/>
          <w:sz w:val="24"/>
          <w:szCs w:val="24"/>
        </w:rPr>
        <w:t>TCA</w:t>
      </w:r>
      <w:r w:rsidRPr="00D04940" w:rsidR="00DD648D">
        <w:rPr>
          <w:rFonts w:ascii="Verdana" w:hAnsi="Verdana"/>
          <w:sz w:val="24"/>
          <w:szCs w:val="24"/>
        </w:rPr>
        <w:t xml:space="preserve"> </w:t>
      </w:r>
      <w:r w:rsidRPr="00D04940">
        <w:rPr>
          <w:rFonts w:ascii="Verdana" w:hAnsi="Verdana"/>
          <w:sz w:val="24"/>
          <w:szCs w:val="24"/>
        </w:rPr>
        <w:t xml:space="preserve"> and</w:t>
      </w:r>
      <w:r w:rsidRPr="00D04940">
        <w:rPr>
          <w:rFonts w:ascii="Verdana" w:hAnsi="Verdana"/>
          <w:sz w:val="24"/>
          <w:szCs w:val="24"/>
        </w:rPr>
        <w:t xml:space="preserve"> the elements within it </w:t>
      </w:r>
      <w:r w:rsidRPr="00D04940" w:rsidR="00983E6A">
        <w:rPr>
          <w:rFonts w:ascii="Verdana" w:hAnsi="Verdana"/>
          <w:sz w:val="24"/>
          <w:szCs w:val="24"/>
        </w:rPr>
        <w:t xml:space="preserve">and it will probably be easier for the EU to negotiate from within that mandate. Hence, attempts by the UK government to go beyond </w:t>
      </w:r>
      <w:r w:rsidRPr="00D04940" w:rsidR="0040467E">
        <w:rPr>
          <w:rFonts w:ascii="Verdana" w:hAnsi="Verdana"/>
          <w:sz w:val="24"/>
          <w:szCs w:val="24"/>
        </w:rPr>
        <w:t xml:space="preserve">what is possible from within the TCA </w:t>
      </w:r>
      <w:r w:rsidRPr="00D04940" w:rsidR="00983E6A">
        <w:rPr>
          <w:rFonts w:ascii="Verdana" w:hAnsi="Verdana"/>
          <w:sz w:val="24"/>
          <w:szCs w:val="24"/>
        </w:rPr>
        <w:t>may be ‘too ambitious’ for the EU to agree to</w:t>
      </w:r>
      <w:r w:rsidRPr="00D04940" w:rsidR="00C66875">
        <w:rPr>
          <w:rFonts w:ascii="Verdana" w:hAnsi="Verdana"/>
          <w:sz w:val="24"/>
          <w:szCs w:val="24"/>
        </w:rPr>
        <w:t>, and will complicate the negotiations</w:t>
      </w:r>
      <w:r w:rsidRPr="00D04940" w:rsidR="00983E6A">
        <w:rPr>
          <w:rFonts w:ascii="Verdana" w:hAnsi="Verdana"/>
          <w:sz w:val="24"/>
          <w:szCs w:val="24"/>
        </w:rPr>
        <w:t>.</w:t>
      </w:r>
    </w:p>
    <w:p w:rsidR="00983E6A" w:rsidRPr="00D04940" w:rsidP="00216BCE">
      <w:pPr>
        <w:rPr>
          <w:rFonts w:ascii="Verdana" w:hAnsi="Verdana"/>
          <w:sz w:val="24"/>
          <w:szCs w:val="24"/>
        </w:rPr>
      </w:pPr>
      <w:r w:rsidRPr="00D04940">
        <w:rPr>
          <w:rFonts w:ascii="Verdana" w:hAnsi="Verdana"/>
          <w:sz w:val="24"/>
          <w:szCs w:val="24"/>
        </w:rPr>
        <w:t xml:space="preserve">The main objectives of the </w:t>
      </w:r>
      <w:r w:rsidRPr="00D04940" w:rsidR="00DD648D">
        <w:rPr>
          <w:rFonts w:ascii="Verdana" w:hAnsi="Verdana"/>
          <w:sz w:val="24"/>
          <w:szCs w:val="24"/>
        </w:rPr>
        <w:t xml:space="preserve">UK </w:t>
      </w:r>
      <w:r w:rsidRPr="00D04940">
        <w:rPr>
          <w:rFonts w:ascii="Verdana" w:hAnsi="Verdana"/>
          <w:sz w:val="24"/>
          <w:szCs w:val="24"/>
        </w:rPr>
        <w:t xml:space="preserve">Government from the reset </w:t>
      </w:r>
      <w:r w:rsidRPr="00D04940">
        <w:rPr>
          <w:rFonts w:ascii="Verdana" w:hAnsi="Verdana"/>
          <w:sz w:val="24"/>
          <w:szCs w:val="24"/>
        </w:rPr>
        <w:t>appear to be</w:t>
      </w:r>
      <w:r w:rsidRPr="00D04940">
        <w:rPr>
          <w:rFonts w:ascii="Verdana" w:hAnsi="Verdana"/>
          <w:sz w:val="24"/>
          <w:szCs w:val="24"/>
        </w:rPr>
        <w:t xml:space="preserve"> focused around several </w:t>
      </w:r>
      <w:r w:rsidRPr="00D04940">
        <w:rPr>
          <w:rFonts w:ascii="Verdana" w:hAnsi="Verdana"/>
          <w:sz w:val="24"/>
          <w:szCs w:val="24"/>
        </w:rPr>
        <w:t xml:space="preserve">areas </w:t>
      </w:r>
      <w:r w:rsidRPr="00D04940" w:rsidR="00DD648D">
        <w:rPr>
          <w:rFonts w:ascii="Verdana" w:hAnsi="Verdana"/>
          <w:sz w:val="24"/>
          <w:szCs w:val="24"/>
        </w:rPr>
        <w:t>:</w:t>
      </w:r>
    </w:p>
    <w:p w:rsidR="00270510" w:rsidRPr="00D04940" w:rsidP="00270510">
      <w:pPr>
        <w:pStyle w:val="ListParagraph"/>
        <w:numPr>
          <w:ilvl w:val="0"/>
          <w:numId w:val="2"/>
        </w:numPr>
        <w:rPr>
          <w:rFonts w:ascii="Verdana" w:hAnsi="Verdana"/>
          <w:sz w:val="24"/>
          <w:szCs w:val="24"/>
        </w:rPr>
      </w:pPr>
      <w:r w:rsidRPr="00D04940">
        <w:rPr>
          <w:rFonts w:ascii="Verdana" w:hAnsi="Verdana"/>
          <w:b/>
          <w:bCs/>
          <w:sz w:val="24"/>
          <w:szCs w:val="24"/>
        </w:rPr>
        <w:t>SPS/</w:t>
      </w:r>
      <w:r w:rsidRPr="00D04940" w:rsidR="00983E6A">
        <w:rPr>
          <w:rFonts w:ascii="Verdana" w:hAnsi="Verdana"/>
          <w:b/>
          <w:bCs/>
          <w:sz w:val="24"/>
          <w:szCs w:val="24"/>
        </w:rPr>
        <w:t>v</w:t>
      </w:r>
      <w:r w:rsidRPr="00D04940">
        <w:rPr>
          <w:rFonts w:ascii="Verdana" w:hAnsi="Verdana"/>
          <w:b/>
          <w:bCs/>
          <w:sz w:val="24"/>
          <w:szCs w:val="24"/>
        </w:rPr>
        <w:t>eterinary agreement</w:t>
      </w:r>
      <w:r w:rsidRPr="00D04940" w:rsidR="00983E6A">
        <w:rPr>
          <w:rFonts w:ascii="Verdana" w:hAnsi="Verdana"/>
          <w:sz w:val="24"/>
          <w:szCs w:val="24"/>
        </w:rPr>
        <w:t xml:space="preserve">: The term covers a range of possibilities as can be seen from the difference between the </w:t>
      </w:r>
      <w:r w:rsidRPr="00D04940">
        <w:rPr>
          <w:rFonts w:ascii="Verdana" w:hAnsi="Verdana"/>
          <w:sz w:val="24"/>
          <w:szCs w:val="24"/>
        </w:rPr>
        <w:t>agreements the EU has with New Zealand and Switzerland respectively. A New Zealand style agreement would reduce the need for physical checks and simplify requirements for certificates only for some products, and for others there would be no change. Even in these limited areas where reductions have taken place, it maintains documentary and identity checks. The EU-Swiss agreement results in a common veterinary area within which all forms of border controls for trade on animals and animal products are removed.</w:t>
      </w:r>
      <w:r>
        <w:rPr>
          <w:rStyle w:val="FootnoteReference"/>
          <w:rFonts w:ascii="Verdana" w:hAnsi="Verdana"/>
          <w:sz w:val="24"/>
          <w:szCs w:val="24"/>
        </w:rPr>
        <w:footnoteReference w:id="2"/>
      </w:r>
      <w:r w:rsidRPr="00D04940">
        <w:rPr>
          <w:rFonts w:ascii="Verdana" w:hAnsi="Verdana"/>
          <w:sz w:val="24"/>
          <w:szCs w:val="24"/>
        </w:rPr>
        <w:t xml:space="preserve"> </w:t>
      </w:r>
    </w:p>
    <w:p w:rsidR="00270510" w:rsidRPr="00D04940" w:rsidP="00270510">
      <w:pPr>
        <w:pStyle w:val="ListParagraph"/>
        <w:rPr>
          <w:rFonts w:ascii="Verdana" w:hAnsi="Verdana"/>
          <w:sz w:val="24"/>
          <w:szCs w:val="24"/>
        </w:rPr>
      </w:pPr>
    </w:p>
    <w:p w:rsidR="0040467E" w:rsidRPr="00D04940" w:rsidP="00270510">
      <w:pPr>
        <w:pStyle w:val="ListParagraph"/>
        <w:rPr>
          <w:rFonts w:ascii="Verdana" w:hAnsi="Verdana"/>
          <w:sz w:val="24"/>
          <w:szCs w:val="24"/>
        </w:rPr>
      </w:pPr>
      <w:r w:rsidRPr="00D04940">
        <w:rPr>
          <w:rFonts w:ascii="Verdana" w:hAnsi="Verdana"/>
          <w:sz w:val="24"/>
          <w:szCs w:val="24"/>
        </w:rPr>
        <w:t xml:space="preserve">The degree to which these agreements remove border requirements is proportional to the regulatory alignment achieved. The EU-NZ agreement is based on mutual recognition of the equivalence of some regulation for red meat, poultry, dairy and seafood. The EU-Swiss agreement is much more ambitious but entails regulatory harmonisation and dynamic alignment with new regulations, as well as coordination of customs procedures. Dynamic alignment of regulations in this sector may in turn put a strain on relations between the UK and the </w:t>
      </w:r>
      <w:r w:rsidRPr="00D04940">
        <w:rPr>
          <w:rFonts w:ascii="Verdana" w:hAnsi="Verdana"/>
          <w:sz w:val="24"/>
          <w:szCs w:val="24"/>
        </w:rPr>
        <w:t>US, and</w:t>
      </w:r>
      <w:r w:rsidRPr="00D04940">
        <w:rPr>
          <w:rFonts w:ascii="Verdana" w:hAnsi="Verdana"/>
          <w:sz w:val="24"/>
          <w:szCs w:val="24"/>
        </w:rPr>
        <w:t xml:space="preserve"> would certainly make a more comprehensive agreement with the US more difficult. </w:t>
      </w:r>
    </w:p>
    <w:p w:rsidR="0040467E" w:rsidRPr="00D04940" w:rsidP="00270510">
      <w:pPr>
        <w:pStyle w:val="ListParagraph"/>
        <w:rPr>
          <w:rFonts w:ascii="Verdana" w:hAnsi="Verdana"/>
          <w:sz w:val="24"/>
          <w:szCs w:val="24"/>
        </w:rPr>
      </w:pPr>
    </w:p>
    <w:p w:rsidR="005C4D23" w:rsidRPr="00D04940" w:rsidP="00270510">
      <w:pPr>
        <w:pStyle w:val="ListParagraph"/>
        <w:rPr>
          <w:rFonts w:ascii="Verdana" w:hAnsi="Verdana"/>
          <w:sz w:val="24"/>
          <w:szCs w:val="24"/>
        </w:rPr>
      </w:pPr>
      <w:r w:rsidRPr="00D04940">
        <w:rPr>
          <w:rFonts w:ascii="Verdana" w:hAnsi="Verdana"/>
          <w:sz w:val="24"/>
          <w:szCs w:val="24"/>
        </w:rPr>
        <w:t xml:space="preserve">The UK-EU relationship doesn’t clearly fit the circumstances of either New Zealand (a geographically distant trade partner </w:t>
      </w:r>
      <w:r w:rsidRPr="00D04940">
        <w:rPr>
          <w:rFonts w:ascii="Verdana" w:hAnsi="Verdana"/>
          <w:sz w:val="24"/>
          <w:szCs w:val="24"/>
        </w:rPr>
        <w:t>with limited agricultural trade</w:t>
      </w:r>
      <w:r w:rsidRPr="00D04940">
        <w:rPr>
          <w:rFonts w:ascii="Verdana" w:hAnsi="Verdana"/>
          <w:sz w:val="24"/>
          <w:szCs w:val="24"/>
        </w:rPr>
        <w:t xml:space="preserve">) or Switzerland (which has free movement, deep regulatory integration across </w:t>
      </w:r>
      <w:r w:rsidRPr="00D04940">
        <w:rPr>
          <w:rFonts w:ascii="Verdana" w:hAnsi="Verdana"/>
          <w:sz w:val="24"/>
          <w:szCs w:val="24"/>
        </w:rPr>
        <w:t>a number of</w:t>
      </w:r>
      <w:r w:rsidRPr="00D04940">
        <w:rPr>
          <w:rFonts w:ascii="Verdana" w:hAnsi="Verdana"/>
          <w:sz w:val="24"/>
          <w:szCs w:val="24"/>
        </w:rPr>
        <w:t xml:space="preserve"> sectors and contributes to the EU budget)</w:t>
      </w:r>
      <w:r w:rsidRPr="00D04940">
        <w:rPr>
          <w:rFonts w:ascii="Verdana" w:hAnsi="Verdana"/>
          <w:sz w:val="24"/>
          <w:szCs w:val="24"/>
        </w:rPr>
        <w:t>. In this negotiation, it’s important to keep in mind that:</w:t>
      </w:r>
    </w:p>
    <w:p w:rsidR="00535F7C" w:rsidRPr="00D04940" w:rsidP="00270510">
      <w:pPr>
        <w:pStyle w:val="ListParagraph"/>
        <w:rPr>
          <w:rFonts w:ascii="Verdana" w:hAnsi="Verdana"/>
          <w:sz w:val="24"/>
          <w:szCs w:val="24"/>
        </w:rPr>
      </w:pPr>
    </w:p>
    <w:p w:rsidR="00270510" w:rsidRPr="00D04940" w:rsidP="00535F7C">
      <w:pPr>
        <w:pStyle w:val="ListParagraph"/>
        <w:numPr>
          <w:ilvl w:val="0"/>
          <w:numId w:val="5"/>
        </w:numPr>
        <w:ind w:left="1077" w:hanging="357"/>
        <w:contextualSpacing w:val="0"/>
        <w:rPr>
          <w:rFonts w:ascii="Verdana" w:hAnsi="Verdana"/>
          <w:sz w:val="24"/>
          <w:szCs w:val="24"/>
        </w:rPr>
      </w:pPr>
      <w:r w:rsidRPr="00D04940">
        <w:rPr>
          <w:rFonts w:ascii="Verdana" w:hAnsi="Verdana"/>
          <w:sz w:val="24"/>
          <w:szCs w:val="24"/>
        </w:rPr>
        <w:t>I</w:t>
      </w:r>
      <w:r w:rsidRPr="00D04940" w:rsidR="006273CB">
        <w:rPr>
          <w:rFonts w:ascii="Verdana" w:hAnsi="Verdana"/>
          <w:sz w:val="24"/>
          <w:szCs w:val="24"/>
        </w:rPr>
        <w:t>t</w:t>
      </w:r>
      <w:r w:rsidRPr="00D04940" w:rsidR="00535F7C">
        <w:rPr>
          <w:rFonts w:ascii="Verdana" w:hAnsi="Verdana"/>
          <w:sz w:val="24"/>
          <w:szCs w:val="24"/>
        </w:rPr>
        <w:t xml:space="preserve"> is</w:t>
      </w:r>
      <w:r w:rsidRPr="00D04940" w:rsidR="006273CB">
        <w:rPr>
          <w:rFonts w:ascii="Verdana" w:hAnsi="Verdana"/>
          <w:sz w:val="24"/>
          <w:szCs w:val="24"/>
        </w:rPr>
        <w:t xml:space="preserve"> </w:t>
      </w:r>
      <w:r w:rsidRPr="00D04940">
        <w:rPr>
          <w:rFonts w:ascii="Verdana" w:hAnsi="Verdana"/>
          <w:sz w:val="24"/>
          <w:szCs w:val="24"/>
        </w:rPr>
        <w:t>un</w:t>
      </w:r>
      <w:r w:rsidRPr="00D04940" w:rsidR="006273CB">
        <w:rPr>
          <w:rFonts w:ascii="Verdana" w:hAnsi="Verdana"/>
          <w:sz w:val="24"/>
          <w:szCs w:val="24"/>
        </w:rPr>
        <w:t xml:space="preserve">likely that </w:t>
      </w:r>
      <w:r w:rsidRPr="00D04940">
        <w:rPr>
          <w:rFonts w:ascii="Verdana" w:hAnsi="Verdana"/>
          <w:sz w:val="24"/>
          <w:szCs w:val="24"/>
        </w:rPr>
        <w:t xml:space="preserve">an EU-UK SPS Agreement </w:t>
      </w:r>
      <w:r w:rsidRPr="00D04940" w:rsidR="006273CB">
        <w:rPr>
          <w:rFonts w:ascii="Verdana" w:hAnsi="Verdana"/>
          <w:sz w:val="24"/>
          <w:szCs w:val="24"/>
        </w:rPr>
        <w:t xml:space="preserve">will </w:t>
      </w:r>
      <w:r w:rsidRPr="00D04940">
        <w:rPr>
          <w:rFonts w:ascii="Verdana" w:hAnsi="Verdana"/>
          <w:sz w:val="24"/>
          <w:szCs w:val="24"/>
        </w:rPr>
        <w:t>precisely copy existing models given its unique circumstances, and might well be very innovative</w:t>
      </w:r>
    </w:p>
    <w:p w:rsidR="005C4D23" w:rsidRPr="00D04940" w:rsidP="00535F7C">
      <w:pPr>
        <w:pStyle w:val="ListParagraph"/>
        <w:numPr>
          <w:ilvl w:val="0"/>
          <w:numId w:val="5"/>
        </w:numPr>
        <w:ind w:left="1077" w:hanging="357"/>
        <w:contextualSpacing w:val="0"/>
        <w:rPr>
          <w:rFonts w:ascii="Verdana" w:hAnsi="Verdana"/>
          <w:sz w:val="24"/>
          <w:szCs w:val="24"/>
        </w:rPr>
      </w:pPr>
      <w:r w:rsidRPr="00D04940">
        <w:rPr>
          <w:rFonts w:ascii="Verdana" w:hAnsi="Verdana"/>
          <w:sz w:val="24"/>
          <w:szCs w:val="24"/>
        </w:rPr>
        <w:t xml:space="preserve">The TCA has less ambitious regulatory cooperation on agri-food (SPS chapter) than the UK has with other FTA partners, including in its new FTAs with New Zealand and Australia. This is surprising given that each is the number one export destination for the others’ agri-food products. Even a New Zealand style SPS Agreement would be an </w:t>
      </w:r>
      <w:r w:rsidRPr="00D04940">
        <w:rPr>
          <w:rFonts w:ascii="Verdana" w:hAnsi="Verdana"/>
          <w:sz w:val="24"/>
          <w:szCs w:val="24"/>
        </w:rPr>
        <w:t>improvement, but</w:t>
      </w:r>
      <w:r w:rsidRPr="00D04940">
        <w:rPr>
          <w:rFonts w:ascii="Verdana" w:hAnsi="Verdana"/>
          <w:sz w:val="24"/>
          <w:szCs w:val="24"/>
        </w:rPr>
        <w:t xml:space="preserve"> would be very limited in its effect because it wouldn’t eliminate documentary and identity border checks. </w:t>
      </w:r>
    </w:p>
    <w:p w:rsidR="005C4D23" w:rsidRPr="00D04940" w:rsidP="00535F7C">
      <w:pPr>
        <w:pStyle w:val="ListParagraph"/>
        <w:numPr>
          <w:ilvl w:val="0"/>
          <w:numId w:val="5"/>
        </w:numPr>
        <w:ind w:left="1077" w:hanging="357"/>
        <w:contextualSpacing w:val="0"/>
        <w:rPr>
          <w:rFonts w:ascii="Verdana" w:hAnsi="Verdana"/>
          <w:sz w:val="24"/>
          <w:szCs w:val="24"/>
        </w:rPr>
      </w:pPr>
      <w:r w:rsidRPr="00D04940">
        <w:rPr>
          <w:rFonts w:ascii="Verdana" w:hAnsi="Verdana"/>
          <w:sz w:val="24"/>
          <w:szCs w:val="24"/>
        </w:rPr>
        <w:t xml:space="preserve">A more ambitious agreement would involve dynamic alignment between the EU and the UK. This will require the UK to address some domestic governance questions, including how UK nations will work together on dynamic alignment with the EU, and how to manage borders domestically to ‘enforce’ EU regulatory requirements. </w:t>
      </w:r>
    </w:p>
    <w:p w:rsidR="00A737D5" w:rsidRPr="00D04940" w:rsidP="00A737D5">
      <w:pPr>
        <w:ind w:left="720"/>
        <w:rPr>
          <w:rFonts w:ascii="Verdana" w:hAnsi="Verdana"/>
          <w:b/>
          <w:bCs/>
          <w:sz w:val="24"/>
          <w:szCs w:val="24"/>
        </w:rPr>
      </w:pPr>
      <w:r w:rsidRPr="00D04940">
        <w:rPr>
          <w:rFonts w:ascii="Verdana" w:hAnsi="Verdana"/>
          <w:b/>
          <w:bCs/>
          <w:sz w:val="24"/>
          <w:szCs w:val="24"/>
        </w:rPr>
        <w:t xml:space="preserve">We recommend </w:t>
      </w:r>
      <w:r w:rsidRPr="00D04940">
        <w:rPr>
          <w:rFonts w:ascii="Verdana" w:hAnsi="Verdana"/>
          <w:b/>
          <w:bCs/>
          <w:sz w:val="24"/>
          <w:szCs w:val="24"/>
        </w:rPr>
        <w:t>that the UK</w:t>
      </w:r>
      <w:r w:rsidRPr="00D04940" w:rsidR="00E41C62">
        <w:rPr>
          <w:rFonts w:ascii="Verdana" w:hAnsi="Verdana"/>
          <w:b/>
          <w:bCs/>
          <w:sz w:val="24"/>
          <w:szCs w:val="24"/>
        </w:rPr>
        <w:t xml:space="preserve"> seeks an ambitious agreement with the E</w:t>
      </w:r>
      <w:r w:rsidRPr="00D04940">
        <w:rPr>
          <w:rFonts w:ascii="Verdana" w:hAnsi="Verdana"/>
          <w:b/>
          <w:bCs/>
          <w:sz w:val="24"/>
          <w:szCs w:val="24"/>
        </w:rPr>
        <w:t xml:space="preserve">U that includes scope for dynamic </w:t>
      </w:r>
      <w:r w:rsidRPr="00D04940">
        <w:rPr>
          <w:rFonts w:ascii="Verdana" w:hAnsi="Verdana"/>
          <w:b/>
          <w:bCs/>
          <w:sz w:val="24"/>
          <w:szCs w:val="24"/>
        </w:rPr>
        <w:t>alignment, but</w:t>
      </w:r>
      <w:r w:rsidRPr="00D04940">
        <w:rPr>
          <w:rFonts w:ascii="Verdana" w:hAnsi="Verdana"/>
          <w:b/>
          <w:bCs/>
          <w:sz w:val="24"/>
          <w:szCs w:val="24"/>
        </w:rPr>
        <w:t xml:space="preserve"> maintains discretion to opt out of harmonization with new EU regulation, a process which should be undertaken with a role for Parliament and devolved nations (for more context </w:t>
      </w:r>
      <w:r w:rsidRPr="00D04940">
        <w:rPr>
          <w:rFonts w:ascii="Verdana" w:hAnsi="Verdana"/>
          <w:b/>
          <w:bCs/>
          <w:sz w:val="24"/>
          <w:szCs w:val="24"/>
        </w:rPr>
        <w:t>see Q 12/13 and refer to the models of the Continuity (Scotland) Act and the Stormont Brake)</w:t>
      </w:r>
      <w:r w:rsidRPr="00D04940" w:rsidR="0063214D">
        <w:rPr>
          <w:rFonts w:ascii="Verdana" w:hAnsi="Verdana"/>
          <w:b/>
          <w:bCs/>
          <w:sz w:val="24"/>
          <w:szCs w:val="24"/>
        </w:rPr>
        <w:t>.</w:t>
      </w:r>
      <w:r w:rsidRPr="00D04940">
        <w:rPr>
          <w:rFonts w:ascii="Verdana" w:hAnsi="Verdana"/>
          <w:b/>
          <w:bCs/>
          <w:sz w:val="24"/>
          <w:szCs w:val="24"/>
        </w:rPr>
        <w:t xml:space="preserve"> </w:t>
      </w:r>
    </w:p>
    <w:p w:rsidR="00270510" w:rsidRPr="00D04940" w:rsidP="00270510">
      <w:pPr>
        <w:pStyle w:val="ListParagraph"/>
        <w:rPr>
          <w:rFonts w:ascii="Verdana" w:hAnsi="Verdana"/>
          <w:sz w:val="24"/>
          <w:szCs w:val="24"/>
        </w:rPr>
      </w:pPr>
    </w:p>
    <w:p w:rsidR="00A737D5" w:rsidRPr="00D04940" w:rsidP="00270510">
      <w:pPr>
        <w:pStyle w:val="ListParagraph"/>
        <w:rPr>
          <w:rFonts w:ascii="Verdana" w:hAnsi="Verdana"/>
          <w:sz w:val="24"/>
          <w:szCs w:val="24"/>
        </w:rPr>
      </w:pPr>
    </w:p>
    <w:p w:rsidR="00A3643C" w:rsidRPr="00D04940" w:rsidP="00A3643C">
      <w:pPr>
        <w:pStyle w:val="ListParagraph"/>
        <w:numPr>
          <w:ilvl w:val="0"/>
          <w:numId w:val="2"/>
        </w:numPr>
        <w:rPr>
          <w:rFonts w:ascii="Verdana" w:hAnsi="Verdana"/>
          <w:sz w:val="24"/>
          <w:szCs w:val="24"/>
        </w:rPr>
      </w:pPr>
      <w:r w:rsidRPr="00D04940">
        <w:rPr>
          <w:rFonts w:ascii="Verdana" w:hAnsi="Verdana"/>
          <w:b/>
          <w:bCs/>
          <w:sz w:val="24"/>
          <w:szCs w:val="24"/>
        </w:rPr>
        <w:t>ETS/Carbon linkage</w:t>
      </w:r>
      <w:r w:rsidRPr="00D04940">
        <w:rPr>
          <w:rFonts w:ascii="Verdana" w:hAnsi="Verdana"/>
          <w:sz w:val="24"/>
          <w:szCs w:val="24"/>
        </w:rPr>
        <w:t xml:space="preserve">: </w:t>
      </w:r>
      <w:r w:rsidRPr="00D04940" w:rsidR="00F65273">
        <w:rPr>
          <w:rFonts w:ascii="Verdana" w:hAnsi="Verdana"/>
          <w:sz w:val="24"/>
          <w:szCs w:val="24"/>
        </w:rPr>
        <w:t xml:space="preserve">Article 392 (6) of the TCA states that ‘The Parties shall cooperate on carbon pricing. They shall give serious consideration to linking their respective carbon pricing systems in a way that preserves the integrity of these systems and provides for the possibility to increase their effectiveness.’ To date, little progress has been made but an integrated market for emissions permits would be economically </w:t>
      </w:r>
      <w:r w:rsidRPr="00D04940">
        <w:rPr>
          <w:rFonts w:ascii="Verdana" w:hAnsi="Verdana"/>
          <w:sz w:val="24"/>
          <w:szCs w:val="24"/>
        </w:rPr>
        <w:t xml:space="preserve">more </w:t>
      </w:r>
      <w:r w:rsidRPr="00D04940" w:rsidR="00F65273">
        <w:rPr>
          <w:rFonts w:ascii="Verdana" w:hAnsi="Verdana"/>
          <w:sz w:val="24"/>
          <w:szCs w:val="24"/>
        </w:rPr>
        <w:t>efficient</w:t>
      </w:r>
      <w:r w:rsidRPr="00D04940">
        <w:rPr>
          <w:rFonts w:ascii="Verdana" w:hAnsi="Verdana"/>
          <w:sz w:val="24"/>
          <w:szCs w:val="24"/>
        </w:rPr>
        <w:t xml:space="preserve"> than two separate ones</w:t>
      </w:r>
      <w:r w:rsidRPr="00D04940" w:rsidR="00F65273">
        <w:rPr>
          <w:rFonts w:ascii="Verdana" w:hAnsi="Verdana"/>
          <w:sz w:val="24"/>
          <w:szCs w:val="24"/>
        </w:rPr>
        <w:t>.</w:t>
      </w:r>
      <w:r w:rsidRPr="00D04940" w:rsidR="00541B9A">
        <w:rPr>
          <w:rFonts w:ascii="Verdana" w:hAnsi="Verdana"/>
          <w:sz w:val="24"/>
          <w:szCs w:val="24"/>
        </w:rPr>
        <w:t xml:space="preserve"> </w:t>
      </w:r>
      <w:r w:rsidRPr="00D04940" w:rsidR="006510F0">
        <w:rPr>
          <w:rFonts w:ascii="Verdana" w:hAnsi="Verdana"/>
          <w:sz w:val="24"/>
          <w:szCs w:val="24"/>
        </w:rPr>
        <w:t>In addition, statements by Commission officials (notably Stefan Fuehring) have indicated that elimination of CBAM documentation requirements and charges would require a separate deal.</w:t>
      </w:r>
    </w:p>
    <w:p w:rsidR="00A3643C" w:rsidRPr="00D04940" w:rsidP="00A3643C">
      <w:pPr>
        <w:pStyle w:val="ListParagraph"/>
        <w:rPr>
          <w:rFonts w:ascii="Verdana" w:hAnsi="Verdana"/>
          <w:sz w:val="24"/>
          <w:szCs w:val="24"/>
        </w:rPr>
      </w:pPr>
    </w:p>
    <w:p w:rsidR="00A3643C" w:rsidRPr="00D04940" w:rsidP="00A3643C">
      <w:pPr>
        <w:pStyle w:val="ListParagraph"/>
        <w:rPr>
          <w:rFonts w:ascii="Verdana" w:hAnsi="Verdana"/>
          <w:sz w:val="24"/>
          <w:szCs w:val="24"/>
        </w:rPr>
      </w:pPr>
      <w:r w:rsidRPr="00D04940">
        <w:rPr>
          <w:rFonts w:ascii="Verdana" w:hAnsi="Verdana"/>
          <w:sz w:val="24"/>
          <w:szCs w:val="24"/>
        </w:rPr>
        <w:t>The obvious policy objective would be to</w:t>
      </w:r>
      <w:r w:rsidRPr="00D04940" w:rsidR="00F65273">
        <w:rPr>
          <w:rFonts w:ascii="Verdana" w:hAnsi="Verdana"/>
          <w:sz w:val="24"/>
          <w:szCs w:val="24"/>
        </w:rPr>
        <w:t xml:space="preserve"> </w:t>
      </w:r>
      <w:r w:rsidRPr="00D04940">
        <w:rPr>
          <w:rFonts w:ascii="Verdana" w:hAnsi="Verdana"/>
          <w:sz w:val="24"/>
          <w:szCs w:val="24"/>
        </w:rPr>
        <w:t>align the UK’s ETS with that of the EU, which would require negotiation – not least to assure the EU that the UK would administer its part of the combined system appropriately – and would need a formal legal agreement. While UK emissions allowances are currently cheaper than the EU’s</w:t>
      </w:r>
      <w:r w:rsidRPr="00D04940">
        <w:rPr>
          <w:rFonts w:ascii="Verdana" w:hAnsi="Verdana"/>
          <w:sz w:val="24"/>
          <w:szCs w:val="24"/>
        </w:rPr>
        <w:t>,</w:t>
      </w:r>
      <w:r w:rsidRPr="00D04940">
        <w:rPr>
          <w:rFonts w:ascii="Verdana" w:hAnsi="Verdana"/>
          <w:sz w:val="24"/>
          <w:szCs w:val="24"/>
        </w:rPr>
        <w:t xml:space="preserve"> most commentators expect the two prices to converge in a couple of years (i.e. before alignment would formally occur).</w:t>
      </w:r>
      <w:r w:rsidRPr="00D04940" w:rsidR="00907F24">
        <w:rPr>
          <w:rFonts w:ascii="Verdana" w:hAnsi="Verdana"/>
          <w:sz w:val="24"/>
          <w:szCs w:val="24"/>
        </w:rPr>
        <w:t xml:space="preserve"> This is because the divergence largely reflected one-off ad hoc adjustments by the previous Government that, at least on the announced UK path to net-zero cannot be repeated. </w:t>
      </w:r>
      <w:r w:rsidRPr="00D04940">
        <w:rPr>
          <w:rFonts w:ascii="Verdana" w:hAnsi="Verdana"/>
          <w:sz w:val="24"/>
          <w:szCs w:val="24"/>
        </w:rPr>
        <w:t xml:space="preserve"> Alignment </w:t>
      </w:r>
      <w:r w:rsidRPr="00D04940" w:rsidR="00F65273">
        <w:rPr>
          <w:rFonts w:ascii="Verdana" w:hAnsi="Verdana"/>
          <w:sz w:val="24"/>
          <w:szCs w:val="24"/>
        </w:rPr>
        <w:t xml:space="preserve">should </w:t>
      </w:r>
      <w:r w:rsidRPr="00D04940">
        <w:rPr>
          <w:rFonts w:ascii="Verdana" w:hAnsi="Verdana"/>
          <w:sz w:val="24"/>
          <w:szCs w:val="24"/>
        </w:rPr>
        <w:t xml:space="preserve">also </w:t>
      </w:r>
      <w:r w:rsidRPr="00D04940" w:rsidR="00F65273">
        <w:rPr>
          <w:rFonts w:ascii="Verdana" w:hAnsi="Verdana"/>
          <w:sz w:val="24"/>
          <w:szCs w:val="24"/>
        </w:rPr>
        <w:t xml:space="preserve">ideally be part of a larger effort to integrate energy markets, which would contribute to energy security, lower energy prices and facilitate the energy transition for the UK and EU – see CITP </w:t>
      </w:r>
      <w:r>
        <w:fldChar w:fldCharType="begin"/>
      </w:r>
      <w:r>
        <w:instrText xml:space="preserve"> HYPERLINK "https://citp.ac.uk/publications/climate-energy-and-green-industrial-policy-in-the-uk-eu-reset" </w:instrText>
      </w:r>
      <w:r>
        <w:fldChar w:fldCharType="separate"/>
      </w:r>
      <w:r w:rsidRPr="00D04940" w:rsidR="00F65273">
        <w:rPr>
          <w:rStyle w:val="Hyperlink"/>
          <w:rFonts w:ascii="Verdana" w:hAnsi="Verdana"/>
          <w:sz w:val="24"/>
          <w:szCs w:val="24"/>
        </w:rPr>
        <w:t>Briefing Paper 20</w:t>
      </w:r>
      <w:r>
        <w:fldChar w:fldCharType="end"/>
      </w:r>
      <w:r w:rsidRPr="00D04940" w:rsidR="00F65273">
        <w:rPr>
          <w:rFonts w:ascii="Verdana" w:hAnsi="Verdana"/>
          <w:sz w:val="24"/>
          <w:szCs w:val="24"/>
        </w:rPr>
        <w:t xml:space="preserve">. </w:t>
      </w:r>
    </w:p>
    <w:p w:rsidR="00A3643C" w:rsidRPr="00D04940" w:rsidP="00A3643C">
      <w:pPr>
        <w:pStyle w:val="ListParagraph"/>
        <w:rPr>
          <w:rFonts w:ascii="Verdana" w:hAnsi="Verdana"/>
          <w:sz w:val="24"/>
          <w:szCs w:val="24"/>
        </w:rPr>
      </w:pPr>
    </w:p>
    <w:p w:rsidR="00A3643C" w:rsidRPr="00D04940" w:rsidP="00A3643C">
      <w:pPr>
        <w:pStyle w:val="ListParagraph"/>
        <w:rPr>
          <w:rFonts w:ascii="Verdana" w:hAnsi="Verdana"/>
          <w:sz w:val="24"/>
          <w:szCs w:val="24"/>
        </w:rPr>
      </w:pPr>
      <w:r w:rsidRPr="00D04940">
        <w:rPr>
          <w:rFonts w:ascii="Verdana" w:hAnsi="Verdana"/>
          <w:sz w:val="24"/>
          <w:szCs w:val="24"/>
        </w:rPr>
        <w:t xml:space="preserve">De facto, aligning the ETS is probably a necessary condition for eliminating CBAM charges </w:t>
      </w:r>
      <w:r w:rsidRPr="00D04940">
        <w:rPr>
          <w:rFonts w:ascii="Verdana" w:hAnsi="Verdana"/>
          <w:sz w:val="24"/>
          <w:szCs w:val="24"/>
        </w:rPr>
        <w:t xml:space="preserve">(and associated paperwork) </w:t>
      </w:r>
      <w:r w:rsidRPr="00D04940">
        <w:rPr>
          <w:rFonts w:ascii="Verdana" w:hAnsi="Verdana"/>
          <w:sz w:val="24"/>
          <w:szCs w:val="24"/>
        </w:rPr>
        <w:t>on UK-EU trade, which traders in both places urgently seek. In addition</w:t>
      </w:r>
      <w:r w:rsidRPr="00D04940">
        <w:rPr>
          <w:rFonts w:ascii="Verdana" w:hAnsi="Verdana"/>
          <w:sz w:val="24"/>
          <w:szCs w:val="24"/>
        </w:rPr>
        <w:t>,</w:t>
      </w:r>
      <w:r w:rsidRPr="00D04940">
        <w:rPr>
          <w:rFonts w:ascii="Verdana" w:hAnsi="Verdana"/>
          <w:sz w:val="24"/>
          <w:szCs w:val="24"/>
        </w:rPr>
        <w:t xml:space="preserve"> one would need to align the UK and EU CBAMs because without that there may be trade deflection whereby third country traders exploit the differences between them. While CITP research suggests several details </w:t>
      </w:r>
      <w:r w:rsidRPr="00D04940">
        <w:rPr>
          <w:rFonts w:ascii="Verdana" w:hAnsi="Verdana"/>
          <w:sz w:val="24"/>
          <w:szCs w:val="24"/>
        </w:rPr>
        <w:t>o</w:t>
      </w:r>
      <w:r w:rsidRPr="00D04940">
        <w:rPr>
          <w:rFonts w:ascii="Verdana" w:hAnsi="Verdana"/>
          <w:sz w:val="24"/>
          <w:szCs w:val="24"/>
        </w:rPr>
        <w:t xml:space="preserve">n which the EU CBAM could </w:t>
      </w:r>
      <w:r w:rsidRPr="00D04940">
        <w:rPr>
          <w:rFonts w:ascii="Verdana" w:hAnsi="Verdana"/>
          <w:sz w:val="24"/>
          <w:szCs w:val="24"/>
        </w:rPr>
        <w:t xml:space="preserve">be improved, the overall benefits of ETS and CBAM alignment outweigh the benefits of correcting these glitches. </w:t>
      </w:r>
    </w:p>
    <w:p w:rsidR="004867D8" w:rsidRPr="00D04940" w:rsidP="00A3643C">
      <w:pPr>
        <w:pStyle w:val="ListParagraph"/>
        <w:rPr>
          <w:rFonts w:ascii="Verdana" w:hAnsi="Verdana"/>
          <w:sz w:val="24"/>
          <w:szCs w:val="24"/>
        </w:rPr>
      </w:pPr>
    </w:p>
    <w:p w:rsidR="00907F24" w:rsidRPr="00D04940" w:rsidP="00907F24">
      <w:pPr>
        <w:pStyle w:val="ListParagraph"/>
        <w:rPr>
          <w:rFonts w:ascii="Verdana" w:hAnsi="Verdana"/>
          <w:sz w:val="24"/>
          <w:szCs w:val="24"/>
        </w:rPr>
      </w:pPr>
      <w:r w:rsidRPr="00D04940">
        <w:rPr>
          <w:rFonts w:ascii="Verdana" w:hAnsi="Verdana"/>
          <w:sz w:val="24"/>
          <w:szCs w:val="24"/>
        </w:rPr>
        <w:t xml:space="preserve">The EU has recently proposed an Omnibus Regulation to ease the burden of the CBAM on traders, following recent UK efforts in the same direction in the Government’s response to the second CBAM consultation. The details differ and would need to be harmonised, </w:t>
      </w:r>
      <w:r w:rsidRPr="00D04940">
        <w:rPr>
          <w:rFonts w:ascii="Verdana" w:hAnsi="Verdana"/>
          <w:sz w:val="24"/>
          <w:szCs w:val="24"/>
        </w:rPr>
        <w:t xml:space="preserve">but that is not an insurmountable hurdle. Moreover, it is worth stating that the EU CBAM is still not completely specified and so there would be returns to trying to open informal official-level contact as soon as possible. </w:t>
      </w:r>
    </w:p>
    <w:p w:rsidR="00907F24" w:rsidRPr="00D04940" w:rsidP="00A3643C">
      <w:pPr>
        <w:pStyle w:val="ListParagraph"/>
        <w:rPr>
          <w:rFonts w:ascii="Verdana" w:hAnsi="Verdana"/>
          <w:sz w:val="24"/>
          <w:szCs w:val="24"/>
        </w:rPr>
      </w:pPr>
    </w:p>
    <w:p w:rsidR="004867D8" w:rsidRPr="00D04940" w:rsidP="004867D8">
      <w:pPr>
        <w:pStyle w:val="ListParagraph"/>
        <w:rPr>
          <w:rFonts w:ascii="Verdana" w:hAnsi="Verdana"/>
          <w:b/>
          <w:bCs/>
          <w:sz w:val="24"/>
          <w:szCs w:val="24"/>
        </w:rPr>
      </w:pPr>
      <w:r w:rsidRPr="00D04940">
        <w:rPr>
          <w:rFonts w:ascii="Verdana" w:hAnsi="Verdana"/>
          <w:b/>
          <w:bCs/>
          <w:sz w:val="24"/>
          <w:szCs w:val="24"/>
        </w:rPr>
        <w:t xml:space="preserve">Our recommendation is that the UK does align the ETS with that of the EU, and then also align its CBAM. </w:t>
      </w:r>
    </w:p>
    <w:p w:rsidR="00F408F8" w:rsidRPr="00D04940" w:rsidP="004867D8">
      <w:pPr>
        <w:pStyle w:val="ListParagraph"/>
        <w:rPr>
          <w:rFonts w:ascii="Verdana" w:hAnsi="Verdana"/>
          <w:sz w:val="24"/>
          <w:szCs w:val="24"/>
        </w:rPr>
      </w:pPr>
    </w:p>
    <w:p w:rsidR="003D179C" w:rsidRPr="00D04940" w:rsidP="0043126B">
      <w:pPr>
        <w:pStyle w:val="ListParagraph"/>
        <w:numPr>
          <w:ilvl w:val="0"/>
          <w:numId w:val="2"/>
        </w:numPr>
        <w:rPr>
          <w:rFonts w:ascii="Verdana" w:hAnsi="Verdana"/>
          <w:sz w:val="24"/>
          <w:szCs w:val="24"/>
        </w:rPr>
      </w:pPr>
      <w:r w:rsidRPr="00D04940">
        <w:rPr>
          <w:rFonts w:ascii="Verdana" w:hAnsi="Verdana"/>
          <w:b/>
          <w:bCs/>
          <w:sz w:val="24"/>
          <w:szCs w:val="24"/>
        </w:rPr>
        <w:t>Y</w:t>
      </w:r>
      <w:r w:rsidRPr="00D04940" w:rsidR="00983E6A">
        <w:rPr>
          <w:rFonts w:ascii="Verdana" w:hAnsi="Verdana"/>
          <w:b/>
          <w:bCs/>
          <w:sz w:val="24"/>
          <w:szCs w:val="24"/>
        </w:rPr>
        <w:t xml:space="preserve">outh </w:t>
      </w:r>
      <w:r w:rsidRPr="00D04940" w:rsidR="00983E6A">
        <w:rPr>
          <w:rFonts w:ascii="Verdana" w:hAnsi="Verdana"/>
          <w:b/>
          <w:bCs/>
          <w:sz w:val="24"/>
          <w:szCs w:val="24"/>
        </w:rPr>
        <w:t>mobility</w:t>
      </w:r>
      <w:r w:rsidRPr="00D04940" w:rsidR="00983E6A">
        <w:rPr>
          <w:rFonts w:ascii="Verdana" w:hAnsi="Verdana"/>
          <w:sz w:val="24"/>
          <w:szCs w:val="24"/>
        </w:rPr>
        <w:t xml:space="preserve">; </w:t>
      </w:r>
      <w:r w:rsidRPr="00D04940">
        <w:rPr>
          <w:rFonts w:ascii="Verdana" w:hAnsi="Verdana"/>
          <w:sz w:val="24"/>
          <w:szCs w:val="24"/>
        </w:rPr>
        <w:t xml:space="preserve"> </w:t>
      </w:r>
      <w:r w:rsidRPr="00D04940" w:rsidR="004867D8">
        <w:rPr>
          <w:rFonts w:ascii="Verdana" w:hAnsi="Verdana"/>
          <w:sz w:val="24"/>
          <w:szCs w:val="24"/>
        </w:rPr>
        <w:t>This</w:t>
      </w:r>
      <w:r w:rsidRPr="00D04940" w:rsidR="004867D8">
        <w:rPr>
          <w:rFonts w:ascii="Verdana" w:hAnsi="Verdana"/>
          <w:sz w:val="24"/>
          <w:szCs w:val="24"/>
        </w:rPr>
        <w:t xml:space="preserve"> is a contentious issue, in good part because of the political sensitivities, notably in the UK</w:t>
      </w:r>
      <w:r w:rsidRPr="00D04940" w:rsidR="00220BB1">
        <w:rPr>
          <w:rFonts w:ascii="Verdana" w:hAnsi="Verdana"/>
          <w:sz w:val="24"/>
          <w:szCs w:val="24"/>
        </w:rPr>
        <w:t xml:space="preserve">, but is considered very important by the EU side. The UK </w:t>
      </w:r>
      <w:r w:rsidRPr="00D04940" w:rsidR="0043126B">
        <w:rPr>
          <w:rFonts w:ascii="Verdana" w:hAnsi="Verdana"/>
          <w:sz w:val="24"/>
          <w:szCs w:val="24"/>
        </w:rPr>
        <w:t xml:space="preserve">will almost certainly </w:t>
      </w:r>
      <w:r w:rsidRPr="00D04940" w:rsidR="00220BB1">
        <w:rPr>
          <w:rFonts w:ascii="Verdana" w:hAnsi="Verdana"/>
          <w:sz w:val="24"/>
          <w:szCs w:val="24"/>
        </w:rPr>
        <w:t>need to make a proposal that will be acceptable to the EU</w:t>
      </w:r>
      <w:r w:rsidRPr="00D04940" w:rsidR="00995D41">
        <w:rPr>
          <w:rFonts w:ascii="Verdana" w:hAnsi="Verdana"/>
          <w:sz w:val="24"/>
          <w:szCs w:val="24"/>
        </w:rPr>
        <w:t>, otherwise it</w:t>
      </w:r>
      <w:r w:rsidRPr="00D04940" w:rsidR="0043126B">
        <w:rPr>
          <w:rFonts w:ascii="Verdana" w:hAnsi="Verdana"/>
          <w:sz w:val="24"/>
          <w:szCs w:val="24"/>
        </w:rPr>
        <w:t xml:space="preserve"> will</w:t>
      </w:r>
      <w:r w:rsidRPr="00D04940" w:rsidR="00995D41">
        <w:rPr>
          <w:rFonts w:ascii="Verdana" w:hAnsi="Verdana"/>
          <w:sz w:val="24"/>
          <w:szCs w:val="24"/>
        </w:rPr>
        <w:t xml:space="preserve"> be hard to make progress in other areas</w:t>
      </w:r>
      <w:r w:rsidRPr="00D04940" w:rsidR="00220BB1">
        <w:rPr>
          <w:rFonts w:ascii="Verdana" w:hAnsi="Verdana"/>
          <w:sz w:val="24"/>
          <w:szCs w:val="24"/>
        </w:rPr>
        <w:t xml:space="preserve">. </w:t>
      </w:r>
      <w:r w:rsidRPr="00D04940" w:rsidR="00995D41">
        <w:rPr>
          <w:rFonts w:ascii="Verdana" w:hAnsi="Verdana"/>
          <w:sz w:val="24"/>
          <w:szCs w:val="24"/>
        </w:rPr>
        <w:t>For domestic purposes</w:t>
      </w:r>
      <w:r w:rsidRPr="00D04940" w:rsidR="00DD648D">
        <w:rPr>
          <w:rFonts w:ascii="Verdana" w:hAnsi="Verdana"/>
          <w:sz w:val="24"/>
          <w:szCs w:val="24"/>
        </w:rPr>
        <w:t>,</w:t>
      </w:r>
      <w:r w:rsidRPr="00D04940" w:rsidR="00995D41">
        <w:rPr>
          <w:rFonts w:ascii="Verdana" w:hAnsi="Verdana"/>
          <w:sz w:val="24"/>
          <w:szCs w:val="24"/>
        </w:rPr>
        <w:t xml:space="preserve"> it</w:t>
      </w:r>
      <w:r w:rsidRPr="00D04940" w:rsidR="00220BB1">
        <w:rPr>
          <w:rFonts w:ascii="Verdana" w:hAnsi="Verdana"/>
          <w:sz w:val="24"/>
          <w:szCs w:val="24"/>
        </w:rPr>
        <w:t xml:space="preserve"> needs to seek find a form of agreement that confirms that it will be understood as not being a form of </w:t>
      </w:r>
      <w:r w:rsidRPr="00D04940" w:rsidR="00995D41">
        <w:rPr>
          <w:rFonts w:ascii="Verdana" w:hAnsi="Verdana"/>
          <w:sz w:val="24"/>
          <w:szCs w:val="24"/>
        </w:rPr>
        <w:t>f</w:t>
      </w:r>
      <w:r w:rsidRPr="00D04940" w:rsidR="00220BB1">
        <w:rPr>
          <w:rFonts w:ascii="Verdana" w:hAnsi="Verdana"/>
          <w:sz w:val="24"/>
          <w:szCs w:val="24"/>
        </w:rPr>
        <w:t xml:space="preserve">reedom of movement. </w:t>
      </w:r>
      <w:r w:rsidRPr="00D04940" w:rsidR="00220BB1">
        <w:rPr>
          <w:rFonts w:ascii="Verdana" w:hAnsi="Verdana"/>
          <w:sz w:val="24"/>
          <w:szCs w:val="24"/>
        </w:rPr>
        <w:br/>
      </w:r>
      <w:r w:rsidRPr="00D04940" w:rsidR="00220BB1">
        <w:rPr>
          <w:rFonts w:ascii="Verdana" w:hAnsi="Verdana"/>
          <w:sz w:val="24"/>
          <w:szCs w:val="24"/>
        </w:rPr>
        <w:br/>
        <w:t>One EU demand has been UK universities not discriminating against EU students.</w:t>
      </w:r>
      <w:r w:rsidRPr="00D04940" w:rsidR="00851B67">
        <w:rPr>
          <w:rFonts w:ascii="Verdana" w:hAnsi="Verdana"/>
          <w:sz w:val="24"/>
          <w:szCs w:val="24"/>
        </w:rPr>
        <w:t xml:space="preserve"> A related issue for the UK, concerns</w:t>
      </w:r>
      <w:r w:rsidRPr="00D04940" w:rsidR="00FB26CF">
        <w:rPr>
          <w:rFonts w:ascii="Verdana" w:hAnsi="Verdana"/>
          <w:sz w:val="24"/>
          <w:szCs w:val="24"/>
        </w:rPr>
        <w:t xml:space="preserve"> the financial difficulties of many</w:t>
      </w:r>
      <w:r w:rsidRPr="00D04940" w:rsidR="00851B67">
        <w:rPr>
          <w:rFonts w:ascii="Verdana" w:hAnsi="Verdana"/>
          <w:sz w:val="24"/>
          <w:szCs w:val="24"/>
        </w:rPr>
        <w:t xml:space="preserve"> u</w:t>
      </w:r>
      <w:r w:rsidRPr="00D04940" w:rsidR="00220BB1">
        <w:rPr>
          <w:rFonts w:ascii="Verdana" w:hAnsi="Verdana"/>
          <w:sz w:val="24"/>
          <w:szCs w:val="24"/>
        </w:rPr>
        <w:t>nivers</w:t>
      </w:r>
      <w:r w:rsidRPr="00D04940" w:rsidR="00FB26CF">
        <w:rPr>
          <w:rFonts w:ascii="Verdana" w:hAnsi="Verdana"/>
          <w:sz w:val="24"/>
          <w:szCs w:val="24"/>
        </w:rPr>
        <w:t xml:space="preserve">ities. </w:t>
      </w:r>
      <w:r w:rsidRPr="00D04940" w:rsidR="00220BB1">
        <w:rPr>
          <w:rFonts w:ascii="Verdana" w:hAnsi="Verdana"/>
          <w:sz w:val="24"/>
          <w:szCs w:val="24"/>
        </w:rPr>
        <w:t xml:space="preserve">In view of falling student applications it seems unlikely </w:t>
      </w:r>
      <w:r w:rsidRPr="00D04940" w:rsidR="00220BB1">
        <w:rPr>
          <w:rFonts w:ascii="Verdana" w:hAnsi="Verdana"/>
          <w:sz w:val="24"/>
          <w:szCs w:val="24"/>
        </w:rPr>
        <w:t>-  if</w:t>
      </w:r>
      <w:r w:rsidRPr="00D04940" w:rsidR="00220BB1">
        <w:rPr>
          <w:rFonts w:ascii="Verdana" w:hAnsi="Verdana"/>
          <w:sz w:val="24"/>
          <w:szCs w:val="24"/>
        </w:rPr>
        <w:t xml:space="preserve"> UK universities are free to select admissions candidates</w:t>
      </w:r>
      <w:r w:rsidRPr="00D04940" w:rsidR="00A8784A">
        <w:rPr>
          <w:rFonts w:ascii="Verdana" w:hAnsi="Verdana"/>
          <w:sz w:val="24"/>
          <w:szCs w:val="24"/>
        </w:rPr>
        <w:t xml:space="preserve"> </w:t>
      </w:r>
      <w:r w:rsidRPr="00D04940" w:rsidR="00220BB1">
        <w:rPr>
          <w:rFonts w:ascii="Verdana" w:hAnsi="Verdana"/>
          <w:sz w:val="24"/>
          <w:szCs w:val="24"/>
        </w:rPr>
        <w:t>-</w:t>
      </w:r>
      <w:r w:rsidRPr="00D04940" w:rsidR="00A8784A">
        <w:rPr>
          <w:rFonts w:ascii="Verdana" w:hAnsi="Verdana"/>
          <w:sz w:val="24"/>
          <w:szCs w:val="24"/>
        </w:rPr>
        <w:t xml:space="preserve"> </w:t>
      </w:r>
      <w:r w:rsidRPr="00D04940" w:rsidR="00220BB1">
        <w:rPr>
          <w:rFonts w:ascii="Verdana" w:hAnsi="Verdana"/>
          <w:sz w:val="24"/>
          <w:szCs w:val="24"/>
        </w:rPr>
        <w:t xml:space="preserve"> that home fee EU students would displace high</w:t>
      </w:r>
      <w:r w:rsidRPr="00D04940" w:rsidR="00DD648D">
        <w:rPr>
          <w:rFonts w:ascii="Verdana" w:hAnsi="Verdana"/>
          <w:sz w:val="24"/>
          <w:szCs w:val="24"/>
        </w:rPr>
        <w:t>-</w:t>
      </w:r>
      <w:r w:rsidRPr="00D04940" w:rsidR="00220BB1">
        <w:rPr>
          <w:rFonts w:ascii="Verdana" w:hAnsi="Verdana"/>
          <w:sz w:val="24"/>
          <w:szCs w:val="24"/>
        </w:rPr>
        <w:t>fee Chinese students</w:t>
      </w:r>
      <w:r w:rsidRPr="00D04940" w:rsidR="00DD648D">
        <w:rPr>
          <w:rFonts w:ascii="Verdana" w:hAnsi="Verdana"/>
          <w:sz w:val="24"/>
          <w:szCs w:val="24"/>
        </w:rPr>
        <w:t>, etc</w:t>
      </w:r>
      <w:r w:rsidRPr="00D04940" w:rsidR="00220BB1">
        <w:rPr>
          <w:rFonts w:ascii="Verdana" w:hAnsi="Verdana"/>
          <w:sz w:val="24"/>
          <w:szCs w:val="24"/>
        </w:rPr>
        <w:t xml:space="preserve">. </w:t>
      </w:r>
      <w:r w:rsidRPr="00D04940" w:rsidR="00A8784A">
        <w:rPr>
          <w:rFonts w:ascii="Verdana" w:hAnsi="Verdana"/>
          <w:sz w:val="24"/>
          <w:szCs w:val="24"/>
        </w:rPr>
        <w:t>Hence, any concern that lowering fees on EU students would worsen university finances is</w:t>
      </w:r>
      <w:r w:rsidRPr="00D04940" w:rsidR="00184304">
        <w:rPr>
          <w:rFonts w:ascii="Verdana" w:hAnsi="Verdana"/>
          <w:sz w:val="24"/>
          <w:szCs w:val="24"/>
        </w:rPr>
        <w:t xml:space="preserve"> almost certainly unwarranted. </w:t>
      </w:r>
      <w:r w:rsidRPr="00D04940" w:rsidR="00220BB1">
        <w:rPr>
          <w:rFonts w:ascii="Verdana" w:hAnsi="Verdana"/>
          <w:sz w:val="24"/>
          <w:szCs w:val="24"/>
        </w:rPr>
        <w:t>Attention needs essentially to be paid to seeking to attract additional EU students on courses where there is spare capacity and where UK fees cover marginal costs of tuition. The lost revenues would be those from the</w:t>
      </w:r>
      <w:r w:rsidRPr="00D04940" w:rsidR="00184304">
        <w:rPr>
          <w:rFonts w:ascii="Verdana" w:hAnsi="Verdana"/>
          <w:sz w:val="24"/>
          <w:szCs w:val="24"/>
        </w:rPr>
        <w:t xml:space="preserve"> (smaller) number</w:t>
      </w:r>
      <w:r w:rsidRPr="00D04940" w:rsidR="00220BB1">
        <w:rPr>
          <w:rFonts w:ascii="Verdana" w:hAnsi="Verdana"/>
          <w:sz w:val="24"/>
          <w:szCs w:val="24"/>
        </w:rPr>
        <w:t xml:space="preserve"> of EU students currently paying international fees. </w:t>
      </w:r>
    </w:p>
    <w:p w:rsidR="0043126B" w:rsidRPr="00D04940" w:rsidP="000E577A">
      <w:pPr>
        <w:pStyle w:val="ListParagraph"/>
        <w:rPr>
          <w:rFonts w:ascii="Verdana" w:hAnsi="Verdana"/>
          <w:sz w:val="24"/>
          <w:szCs w:val="24"/>
        </w:rPr>
      </w:pPr>
    </w:p>
    <w:p w:rsidR="0063214D" w:rsidRPr="00D04940" w:rsidP="000E577A">
      <w:pPr>
        <w:pStyle w:val="ListParagraph"/>
        <w:rPr>
          <w:rFonts w:ascii="Verdana" w:hAnsi="Verdana"/>
          <w:b/>
          <w:bCs/>
          <w:sz w:val="24"/>
          <w:szCs w:val="24"/>
        </w:rPr>
      </w:pPr>
      <w:r w:rsidRPr="00D04940">
        <w:rPr>
          <w:rFonts w:ascii="Verdana" w:hAnsi="Verdana"/>
          <w:b/>
          <w:bCs/>
          <w:sz w:val="24"/>
          <w:szCs w:val="24"/>
        </w:rPr>
        <w:t xml:space="preserve">Our recommendation is that the UK agrees to a youth mobility deal with the EU, </w:t>
      </w:r>
      <w:r w:rsidRPr="00D04940">
        <w:rPr>
          <w:rFonts w:ascii="Verdana" w:hAnsi="Verdana"/>
          <w:b/>
          <w:bCs/>
          <w:sz w:val="24"/>
          <w:szCs w:val="24"/>
        </w:rPr>
        <w:t>and also</w:t>
      </w:r>
      <w:r w:rsidRPr="00D04940">
        <w:rPr>
          <w:rFonts w:ascii="Verdana" w:hAnsi="Verdana"/>
          <w:b/>
          <w:bCs/>
          <w:sz w:val="24"/>
          <w:szCs w:val="24"/>
        </w:rPr>
        <w:t xml:space="preserve"> encourages EU </w:t>
      </w:r>
      <w:r w:rsidRPr="00D04940" w:rsidR="007D67EE">
        <w:rPr>
          <w:rFonts w:ascii="Verdana" w:hAnsi="Verdana"/>
          <w:b/>
          <w:bCs/>
          <w:sz w:val="24"/>
          <w:szCs w:val="24"/>
        </w:rPr>
        <w:t xml:space="preserve">students </w:t>
      </w:r>
      <w:r w:rsidRPr="00D04940" w:rsidR="00611630">
        <w:rPr>
          <w:rFonts w:ascii="Verdana" w:hAnsi="Verdana"/>
          <w:b/>
          <w:bCs/>
          <w:sz w:val="24"/>
          <w:szCs w:val="24"/>
        </w:rPr>
        <w:t xml:space="preserve">in the UK </w:t>
      </w:r>
      <w:r w:rsidRPr="00D04940" w:rsidR="007D67EE">
        <w:rPr>
          <w:rFonts w:ascii="Verdana" w:hAnsi="Verdana"/>
          <w:b/>
          <w:bCs/>
          <w:sz w:val="24"/>
          <w:szCs w:val="24"/>
        </w:rPr>
        <w:t xml:space="preserve">by charging </w:t>
      </w:r>
      <w:r w:rsidRPr="00D04940" w:rsidR="00611630">
        <w:rPr>
          <w:rFonts w:ascii="Verdana" w:hAnsi="Verdana"/>
          <w:b/>
          <w:bCs/>
          <w:sz w:val="24"/>
          <w:szCs w:val="24"/>
        </w:rPr>
        <w:t xml:space="preserve">them </w:t>
      </w:r>
      <w:r w:rsidRPr="00D04940" w:rsidR="007D67EE">
        <w:rPr>
          <w:rFonts w:ascii="Verdana" w:hAnsi="Verdana"/>
          <w:b/>
          <w:bCs/>
          <w:sz w:val="24"/>
          <w:szCs w:val="24"/>
        </w:rPr>
        <w:t>home fees.</w:t>
      </w:r>
    </w:p>
    <w:p w:rsidR="0063214D" w:rsidRPr="00D04940" w:rsidP="000E577A">
      <w:pPr>
        <w:pStyle w:val="ListParagraph"/>
        <w:rPr>
          <w:rFonts w:ascii="Verdana" w:hAnsi="Verdana"/>
          <w:sz w:val="24"/>
          <w:szCs w:val="24"/>
        </w:rPr>
      </w:pPr>
    </w:p>
    <w:p w:rsidR="003D179C" w:rsidRPr="00D04940" w:rsidP="0043126B">
      <w:pPr>
        <w:pStyle w:val="ListParagraph"/>
        <w:numPr>
          <w:ilvl w:val="0"/>
          <w:numId w:val="2"/>
        </w:numPr>
        <w:rPr>
          <w:rFonts w:ascii="Verdana" w:hAnsi="Verdana"/>
          <w:sz w:val="24"/>
          <w:szCs w:val="24"/>
        </w:rPr>
      </w:pPr>
      <w:r w:rsidRPr="00D04940">
        <w:rPr>
          <w:rFonts w:ascii="Verdana" w:hAnsi="Verdana"/>
          <w:b/>
          <w:bCs/>
          <w:sz w:val="24"/>
          <w:szCs w:val="24"/>
        </w:rPr>
        <w:t xml:space="preserve">Easier access for UK touring artists in the EU: </w:t>
      </w:r>
      <w:r w:rsidRPr="00D04940" w:rsidR="00B817CD">
        <w:rPr>
          <w:rFonts w:ascii="Verdana" w:hAnsi="Verdana"/>
          <w:b/>
          <w:bCs/>
          <w:sz w:val="24"/>
          <w:szCs w:val="24"/>
        </w:rPr>
        <w:t xml:space="preserve"> </w:t>
      </w:r>
      <w:r w:rsidRPr="00D04940" w:rsidR="00B817CD">
        <w:rPr>
          <w:rFonts w:ascii="Verdana" w:hAnsi="Verdana"/>
          <w:sz w:val="24"/>
          <w:szCs w:val="24"/>
        </w:rPr>
        <w:t>This is culturally important and economically probably more significant than fisheries. But the EU will insist on any deal covering its interests too</w:t>
      </w:r>
      <w:r w:rsidRPr="00D04940" w:rsidR="00611630">
        <w:rPr>
          <w:rFonts w:ascii="Verdana" w:hAnsi="Verdana"/>
          <w:sz w:val="24"/>
          <w:szCs w:val="24"/>
        </w:rPr>
        <w:t>,</w:t>
      </w:r>
      <w:r w:rsidRPr="00D04940" w:rsidR="00B817CD">
        <w:rPr>
          <w:rFonts w:ascii="Verdana" w:hAnsi="Verdana"/>
          <w:sz w:val="24"/>
          <w:szCs w:val="24"/>
        </w:rPr>
        <w:t xml:space="preserve"> so here as everywhere</w:t>
      </w:r>
      <w:r w:rsidRPr="00D04940" w:rsidR="00611630">
        <w:rPr>
          <w:rFonts w:ascii="Verdana" w:hAnsi="Verdana"/>
          <w:sz w:val="24"/>
          <w:szCs w:val="24"/>
        </w:rPr>
        <w:t>,</w:t>
      </w:r>
      <w:r w:rsidRPr="00D04940" w:rsidR="00B817CD">
        <w:rPr>
          <w:rFonts w:ascii="Verdana" w:hAnsi="Verdana"/>
          <w:sz w:val="24"/>
          <w:szCs w:val="24"/>
        </w:rPr>
        <w:t xml:space="preserve"> the UK must be ready to consider what it wants to put on the table, presented as a mutually beneficial deal, not just list of demands and red lines.</w:t>
      </w:r>
    </w:p>
    <w:p w:rsidR="004867D8" w:rsidRPr="00D04940" w:rsidP="004867D8">
      <w:pPr>
        <w:pStyle w:val="ListParagraph"/>
        <w:rPr>
          <w:rFonts w:ascii="Verdana" w:hAnsi="Verdana"/>
          <w:b/>
          <w:bCs/>
          <w:sz w:val="24"/>
          <w:szCs w:val="24"/>
        </w:rPr>
      </w:pPr>
    </w:p>
    <w:p w:rsidR="00565156" w:rsidRPr="00D04940" w:rsidP="00785802">
      <w:pPr>
        <w:pStyle w:val="ListParagraph"/>
        <w:numPr>
          <w:ilvl w:val="0"/>
          <w:numId w:val="2"/>
        </w:numPr>
        <w:rPr>
          <w:rFonts w:ascii="Verdana" w:hAnsi="Verdana"/>
          <w:sz w:val="24"/>
          <w:szCs w:val="24"/>
        </w:rPr>
      </w:pPr>
      <w:r w:rsidRPr="00D04940">
        <w:rPr>
          <w:rFonts w:ascii="Verdana" w:hAnsi="Verdana"/>
          <w:b/>
          <w:bCs/>
          <w:sz w:val="24"/>
          <w:szCs w:val="24"/>
        </w:rPr>
        <w:t>R</w:t>
      </w:r>
      <w:r w:rsidRPr="00D04940" w:rsidR="00720DB8">
        <w:rPr>
          <w:rFonts w:ascii="Verdana" w:hAnsi="Verdana"/>
          <w:b/>
          <w:bCs/>
          <w:sz w:val="24"/>
          <w:szCs w:val="24"/>
        </w:rPr>
        <w:t>ules</w:t>
      </w:r>
      <w:r w:rsidRPr="00D04940" w:rsidR="00983E6A">
        <w:rPr>
          <w:rFonts w:ascii="Verdana" w:hAnsi="Verdana"/>
          <w:b/>
          <w:bCs/>
          <w:sz w:val="24"/>
          <w:szCs w:val="24"/>
        </w:rPr>
        <w:t xml:space="preserve"> of origin</w:t>
      </w:r>
      <w:r w:rsidRPr="00D04940" w:rsidR="004867D8">
        <w:rPr>
          <w:rFonts w:ascii="Verdana" w:hAnsi="Verdana"/>
          <w:sz w:val="24"/>
          <w:szCs w:val="24"/>
        </w:rPr>
        <w:t xml:space="preserve">: The main discussion on rules of origin </w:t>
      </w:r>
      <w:r w:rsidRPr="00D04940" w:rsidR="00611630">
        <w:rPr>
          <w:rFonts w:ascii="Verdana" w:hAnsi="Verdana"/>
          <w:sz w:val="24"/>
          <w:szCs w:val="24"/>
        </w:rPr>
        <w:t>is</w:t>
      </w:r>
      <w:r w:rsidRPr="00D04940" w:rsidR="004867D8">
        <w:rPr>
          <w:rFonts w:ascii="Verdana" w:hAnsi="Verdana"/>
          <w:sz w:val="24"/>
          <w:szCs w:val="24"/>
        </w:rPr>
        <w:t xml:space="preserve"> around </w:t>
      </w:r>
      <w:r w:rsidRPr="00D04940" w:rsidR="004867D8">
        <w:rPr>
          <w:rFonts w:ascii="Verdana" w:hAnsi="Verdana"/>
          <w:sz w:val="24"/>
          <w:szCs w:val="24"/>
        </w:rPr>
        <w:t>whether or not</w:t>
      </w:r>
      <w:r w:rsidRPr="00D04940" w:rsidR="004867D8">
        <w:rPr>
          <w:rFonts w:ascii="Verdana" w:hAnsi="Verdana"/>
          <w:sz w:val="24"/>
          <w:szCs w:val="24"/>
        </w:rPr>
        <w:t xml:space="preserve"> the UK could join the Pan European </w:t>
      </w:r>
      <w:r w:rsidRPr="00D04940" w:rsidR="00715EE4">
        <w:rPr>
          <w:rFonts w:ascii="Verdana" w:hAnsi="Verdana"/>
          <w:sz w:val="24"/>
          <w:szCs w:val="24"/>
        </w:rPr>
        <w:t xml:space="preserve">Mediterranean zone of cumulation. This would make it easier for UK firms to source </w:t>
      </w:r>
      <w:r w:rsidRPr="00D04940" w:rsidR="00715EE4">
        <w:rPr>
          <w:rFonts w:ascii="Verdana" w:hAnsi="Verdana"/>
          <w:sz w:val="24"/>
          <w:szCs w:val="24"/>
        </w:rPr>
        <w:t xml:space="preserve">inputs from a broader range of countries and still export to the EU duty free. </w:t>
      </w:r>
    </w:p>
    <w:p w:rsidR="00565156" w:rsidRPr="00D04940" w:rsidP="00565156">
      <w:pPr>
        <w:pStyle w:val="ListParagraph"/>
        <w:rPr>
          <w:rFonts w:ascii="Verdana" w:hAnsi="Verdana"/>
          <w:sz w:val="24"/>
          <w:szCs w:val="24"/>
        </w:rPr>
      </w:pPr>
    </w:p>
    <w:p w:rsidR="004867D8" w:rsidRPr="00D04940" w:rsidP="00565156">
      <w:pPr>
        <w:pStyle w:val="ListParagraph"/>
        <w:rPr>
          <w:rFonts w:ascii="Verdana" w:hAnsi="Verdana"/>
          <w:sz w:val="24"/>
          <w:szCs w:val="24"/>
        </w:rPr>
      </w:pPr>
      <w:r w:rsidRPr="00D04940">
        <w:rPr>
          <w:rFonts w:ascii="Verdana" w:hAnsi="Verdana"/>
          <w:b/>
          <w:bCs/>
          <w:sz w:val="24"/>
          <w:szCs w:val="24"/>
        </w:rPr>
        <w:t xml:space="preserve">Our recommendation is that </w:t>
      </w:r>
      <w:r w:rsidRPr="00D04940" w:rsidR="00611630">
        <w:rPr>
          <w:rFonts w:ascii="Verdana" w:hAnsi="Verdana"/>
          <w:b/>
          <w:bCs/>
          <w:sz w:val="24"/>
          <w:szCs w:val="24"/>
        </w:rPr>
        <w:t xml:space="preserve">joining the PEM </w:t>
      </w:r>
      <w:r w:rsidRPr="00D04940" w:rsidR="00715EE4">
        <w:rPr>
          <w:rFonts w:ascii="Verdana" w:hAnsi="Verdana"/>
          <w:b/>
          <w:bCs/>
          <w:sz w:val="24"/>
          <w:szCs w:val="24"/>
        </w:rPr>
        <w:t xml:space="preserve">is the minimum ambition that the UK should have </w:t>
      </w:r>
      <w:r w:rsidRPr="00D04940" w:rsidR="00715EE4">
        <w:rPr>
          <w:rFonts w:ascii="Verdana" w:hAnsi="Verdana"/>
          <w:b/>
          <w:bCs/>
          <w:sz w:val="24"/>
          <w:szCs w:val="24"/>
        </w:rPr>
        <w:t>with regard to</w:t>
      </w:r>
      <w:r w:rsidRPr="00D04940" w:rsidR="00715EE4">
        <w:rPr>
          <w:rFonts w:ascii="Verdana" w:hAnsi="Verdana"/>
          <w:b/>
          <w:bCs/>
          <w:sz w:val="24"/>
          <w:szCs w:val="24"/>
        </w:rPr>
        <w:t xml:space="preserve"> rules of origin</w:t>
      </w:r>
      <w:r w:rsidRPr="00D04940" w:rsidR="00715EE4">
        <w:rPr>
          <w:rFonts w:ascii="Verdana" w:hAnsi="Verdana"/>
          <w:sz w:val="24"/>
          <w:szCs w:val="24"/>
        </w:rPr>
        <w:t xml:space="preserve">. The ambition could, in principle, be greater as there are more flexible rules of origin that would help UK and EU businesses more. However, it is probably very unlikely that the EU would agree to these. </w:t>
      </w:r>
    </w:p>
    <w:p w:rsidR="00715EE4" w:rsidRPr="00D04940" w:rsidP="00715EE4">
      <w:pPr>
        <w:pStyle w:val="ListParagraph"/>
        <w:rPr>
          <w:rFonts w:ascii="Verdana" w:hAnsi="Verdana"/>
          <w:sz w:val="24"/>
          <w:szCs w:val="24"/>
        </w:rPr>
      </w:pPr>
    </w:p>
    <w:p w:rsidR="00715EE4" w:rsidRPr="00D04940" w:rsidP="00715EE4">
      <w:pPr>
        <w:pStyle w:val="ListParagraph"/>
        <w:rPr>
          <w:rFonts w:ascii="Verdana" w:hAnsi="Verdana"/>
          <w:sz w:val="24"/>
          <w:szCs w:val="24"/>
        </w:rPr>
      </w:pPr>
      <w:r w:rsidRPr="00D04940">
        <w:rPr>
          <w:rFonts w:ascii="Verdana" w:hAnsi="Verdana"/>
          <w:sz w:val="24"/>
          <w:szCs w:val="24"/>
        </w:rPr>
        <w:t>A second issue with regard to rules of origin concerns the extension to cars and car batteries</w:t>
      </w:r>
      <w:r w:rsidRPr="00D04940" w:rsidR="005C4D23">
        <w:rPr>
          <w:rFonts w:ascii="Verdana" w:hAnsi="Verdana"/>
          <w:sz w:val="24"/>
          <w:szCs w:val="24"/>
        </w:rPr>
        <w:t>,</w:t>
      </w:r>
      <w:r w:rsidRPr="00D04940">
        <w:rPr>
          <w:rFonts w:ascii="Verdana" w:hAnsi="Verdana"/>
          <w:sz w:val="24"/>
          <w:szCs w:val="24"/>
        </w:rPr>
        <w:t xml:space="preserve"> which was </w:t>
      </w:r>
      <w:r w:rsidRPr="00D04940" w:rsidR="005C4D23">
        <w:rPr>
          <w:rFonts w:ascii="Verdana" w:hAnsi="Verdana"/>
          <w:sz w:val="24"/>
          <w:szCs w:val="24"/>
        </w:rPr>
        <w:t xml:space="preserve">initially going to </w:t>
      </w:r>
      <w:r w:rsidRPr="00D04940" w:rsidR="00644BCF">
        <w:rPr>
          <w:rFonts w:ascii="Verdana" w:hAnsi="Verdana"/>
          <w:sz w:val="24"/>
          <w:szCs w:val="24"/>
        </w:rPr>
        <w:t>take effect in January 2024, but was subsequently extended by negotiation to 2026 (</w:t>
      </w:r>
      <w:r>
        <w:fldChar w:fldCharType="begin"/>
      </w:r>
      <w:r>
        <w:instrText xml:space="preserve"> HYPERLINK "https://hansard.parliament.uk/commons/2024-01-08/debates/24010861000008/ElectricVehicleRulesOfOriginExtension" \l ":~:text=The%20first%20increase%20was%20due,until%20the%20end%20of%202026" </w:instrText>
      </w:r>
      <w:r>
        <w:fldChar w:fldCharType="separate"/>
      </w:r>
      <w:r w:rsidRPr="00D04940" w:rsidR="00611630">
        <w:rPr>
          <w:rStyle w:val="Hyperlink"/>
          <w:rFonts w:ascii="Verdana" w:hAnsi="Verdana"/>
          <w:sz w:val="24"/>
          <w:szCs w:val="24"/>
        </w:rPr>
        <w:t>https://hansard.parliament.uk/commons/2024-01-08/debates/24010861000008/ElectricVehicleRulesOfOriginExtension#:~:text=The%20first%20increase%20was%20due,until%20the%20end%20of%202026</w:t>
      </w:r>
      <w:r>
        <w:fldChar w:fldCharType="end"/>
      </w:r>
      <w:r w:rsidRPr="00D04940" w:rsidR="00611630">
        <w:rPr>
          <w:rFonts w:ascii="Verdana" w:hAnsi="Verdana"/>
          <w:sz w:val="24"/>
          <w:szCs w:val="24"/>
        </w:rPr>
        <w:t xml:space="preserve"> </w:t>
      </w:r>
      <w:r w:rsidRPr="00D04940" w:rsidR="00644BCF">
        <w:rPr>
          <w:rFonts w:ascii="Verdana" w:hAnsi="Verdana"/>
          <w:sz w:val="24"/>
          <w:szCs w:val="24"/>
        </w:rPr>
        <w:t>)</w:t>
      </w:r>
      <w:r w:rsidRPr="00D04940">
        <w:rPr>
          <w:rFonts w:ascii="Verdana" w:hAnsi="Verdana"/>
          <w:sz w:val="24"/>
          <w:szCs w:val="24"/>
        </w:rPr>
        <w:t xml:space="preserve">. The aim of this extension was to allow for the build up of battery capacity in the UK and the EU. However, it seems likely that more time will be needed for this, and that a further extension would be required. </w:t>
      </w:r>
    </w:p>
    <w:p w:rsidR="00715EE4" w:rsidRPr="00D04940" w:rsidP="00715EE4">
      <w:pPr>
        <w:pStyle w:val="ListParagraph"/>
        <w:rPr>
          <w:rFonts w:ascii="Verdana" w:hAnsi="Verdana"/>
          <w:sz w:val="24"/>
          <w:szCs w:val="24"/>
        </w:rPr>
      </w:pPr>
    </w:p>
    <w:p w:rsidR="00720DB8" w:rsidRPr="00D04940" w:rsidP="00216BCE">
      <w:pPr>
        <w:rPr>
          <w:rFonts w:ascii="Verdana" w:hAnsi="Verdana"/>
          <w:b/>
          <w:bCs/>
          <w:color w:val="C00000"/>
          <w:sz w:val="24"/>
          <w:szCs w:val="24"/>
        </w:rPr>
      </w:pPr>
      <w:r w:rsidRPr="00D04940">
        <w:rPr>
          <w:rFonts w:ascii="Verdana" w:hAnsi="Verdana"/>
          <w:b/>
          <w:bCs/>
          <w:color w:val="C00000"/>
          <w:sz w:val="24"/>
          <w:szCs w:val="24"/>
        </w:rPr>
        <w:t>O</w:t>
      </w:r>
      <w:r w:rsidRPr="00D04940" w:rsidR="00603937">
        <w:rPr>
          <w:rFonts w:ascii="Verdana" w:hAnsi="Verdana"/>
          <w:b/>
          <w:bCs/>
          <w:color w:val="C00000"/>
          <w:sz w:val="24"/>
          <w:szCs w:val="24"/>
        </w:rPr>
        <w:t>ther areas the UK could / should be considering negotiating over:</w:t>
      </w:r>
    </w:p>
    <w:p w:rsidR="003D179C" w:rsidRPr="00D04940" w:rsidP="00F43882">
      <w:pPr>
        <w:pStyle w:val="ListParagraph"/>
        <w:numPr>
          <w:ilvl w:val="0"/>
          <w:numId w:val="2"/>
        </w:numPr>
        <w:rPr>
          <w:rFonts w:ascii="Verdana" w:hAnsi="Verdana"/>
          <w:b/>
          <w:bCs/>
          <w:sz w:val="24"/>
          <w:szCs w:val="24"/>
        </w:rPr>
      </w:pPr>
      <w:r w:rsidRPr="00D04940">
        <w:rPr>
          <w:rFonts w:ascii="Verdana" w:hAnsi="Verdana"/>
          <w:b/>
          <w:bCs/>
          <w:sz w:val="24"/>
          <w:szCs w:val="24"/>
        </w:rPr>
        <w:t>Mutual recognition of conformity assessment</w:t>
      </w:r>
    </w:p>
    <w:p w:rsidR="00D87F08" w:rsidRPr="00D04940" w:rsidP="00D87F08">
      <w:pPr>
        <w:rPr>
          <w:rFonts w:ascii="Verdana" w:hAnsi="Verdana"/>
          <w:sz w:val="24"/>
          <w:szCs w:val="24"/>
        </w:rPr>
      </w:pPr>
      <w:r w:rsidRPr="00D04940">
        <w:rPr>
          <w:rFonts w:ascii="Verdana" w:hAnsi="Verdana"/>
          <w:sz w:val="24"/>
          <w:szCs w:val="24"/>
        </w:rPr>
        <w:t>As members of European standards bodies (CEN and CENELEC) the UK is committed to adopting the same standards as the EU. Standards are however voluntary unless incorporated in regulations. Divergence of regulations and Conformity Assessment mechanisms to monitor compliance is the main cause of trade frictions. In the TCA negotiations the UK sought mutual recognition of UK Conformity Assessment Bodies certification of UK goods production to EU regulatory requirements. The EU rejected Mutual recognition of Conformity Assessment except for very rare exceptions, notable Type Approval Certification for Cars. Th</w:t>
      </w:r>
      <w:r w:rsidRPr="00D04940" w:rsidR="000C6C06">
        <w:rPr>
          <w:rFonts w:ascii="Verdana" w:hAnsi="Verdana"/>
          <w:sz w:val="24"/>
          <w:szCs w:val="24"/>
        </w:rPr>
        <w:t>e lack of mutual recognition of conformity assessment</w:t>
      </w:r>
      <w:r w:rsidRPr="00D04940">
        <w:rPr>
          <w:rFonts w:ascii="Verdana" w:hAnsi="Verdana"/>
          <w:sz w:val="24"/>
          <w:szCs w:val="24"/>
        </w:rPr>
        <w:t xml:space="preserve"> is costly for UK firms who </w:t>
      </w:r>
      <w:r w:rsidRPr="00D04940">
        <w:rPr>
          <w:rFonts w:ascii="Verdana" w:hAnsi="Verdana"/>
          <w:sz w:val="24"/>
          <w:szCs w:val="24"/>
        </w:rPr>
        <w:t>have to</w:t>
      </w:r>
      <w:r w:rsidRPr="00D04940">
        <w:rPr>
          <w:rFonts w:ascii="Verdana" w:hAnsi="Verdana"/>
          <w:sz w:val="24"/>
          <w:szCs w:val="24"/>
        </w:rPr>
        <w:t xml:space="preserve"> get their products certified separately by EU testing agencies for sale in the EU, even where regulations do not differ.</w:t>
      </w:r>
    </w:p>
    <w:p w:rsidR="00D87F08" w:rsidRPr="00D04940" w:rsidP="00D87F08">
      <w:pPr>
        <w:rPr>
          <w:rFonts w:ascii="Verdana" w:hAnsi="Verdana"/>
          <w:sz w:val="24"/>
          <w:szCs w:val="24"/>
        </w:rPr>
      </w:pPr>
      <w:r w:rsidRPr="00D04940">
        <w:rPr>
          <w:rFonts w:ascii="Verdana" w:hAnsi="Verdana"/>
          <w:sz w:val="24"/>
          <w:szCs w:val="24"/>
        </w:rPr>
        <w:t>The EU side ha</w:t>
      </w:r>
      <w:r w:rsidRPr="00D04940" w:rsidR="00DB7F30">
        <w:rPr>
          <w:rFonts w:ascii="Verdana" w:hAnsi="Verdana"/>
          <w:sz w:val="24"/>
          <w:szCs w:val="24"/>
        </w:rPr>
        <w:t>d</w:t>
      </w:r>
      <w:r w:rsidRPr="00D04940">
        <w:rPr>
          <w:rFonts w:ascii="Verdana" w:hAnsi="Verdana"/>
          <w:sz w:val="24"/>
          <w:szCs w:val="24"/>
        </w:rPr>
        <w:t xml:space="preserve"> good reasons for saying no to the UK’s proposals in the TCA negotiations:</w:t>
      </w:r>
    </w:p>
    <w:p w:rsidR="00D87F08" w:rsidRPr="00D04940" w:rsidP="00D87F08">
      <w:pPr>
        <w:pStyle w:val="ListParagraph"/>
        <w:numPr>
          <w:ilvl w:val="0"/>
          <w:numId w:val="3"/>
        </w:numPr>
        <w:rPr>
          <w:rFonts w:ascii="Verdana" w:hAnsi="Verdana"/>
          <w:sz w:val="24"/>
          <w:szCs w:val="24"/>
        </w:rPr>
      </w:pPr>
      <w:r w:rsidRPr="00D04940">
        <w:rPr>
          <w:rFonts w:ascii="Verdana" w:hAnsi="Verdana"/>
          <w:sz w:val="24"/>
          <w:szCs w:val="24"/>
        </w:rPr>
        <w:t xml:space="preserve">The UK has little choice but to unilaterally recognise the EU’s CE conformity assessment marks and would be hard pressed to offer a market access benefit to the EU equivalent to the gain to the UK of </w:t>
      </w:r>
      <w:r w:rsidRPr="00D04940">
        <w:rPr>
          <w:rFonts w:ascii="Verdana" w:hAnsi="Verdana"/>
          <w:sz w:val="24"/>
          <w:szCs w:val="24"/>
        </w:rPr>
        <w:t>avoiding dual certification and the need to get UK goods certified by EU accredited CABs</w:t>
      </w:r>
    </w:p>
    <w:p w:rsidR="00D87F08" w:rsidRPr="00D04940" w:rsidP="00963056">
      <w:pPr>
        <w:pStyle w:val="ListParagraph"/>
        <w:numPr>
          <w:ilvl w:val="0"/>
          <w:numId w:val="3"/>
        </w:numPr>
        <w:rPr>
          <w:rFonts w:ascii="Verdana" w:hAnsi="Verdana"/>
          <w:sz w:val="24"/>
          <w:szCs w:val="24"/>
        </w:rPr>
      </w:pPr>
      <w:r w:rsidRPr="00D04940">
        <w:rPr>
          <w:rFonts w:ascii="Verdana" w:hAnsi="Verdana"/>
          <w:sz w:val="24"/>
          <w:szCs w:val="24"/>
        </w:rPr>
        <w:t>There are genuine doubts on the EU side about the effectiveness of some UK testing capacity e</w:t>
      </w:r>
      <w:r w:rsidRPr="00D04940" w:rsidR="00DB7F30">
        <w:rPr>
          <w:rFonts w:ascii="Verdana" w:hAnsi="Verdana"/>
          <w:sz w:val="24"/>
          <w:szCs w:val="24"/>
        </w:rPr>
        <w:t>.</w:t>
      </w:r>
      <w:r w:rsidRPr="00D04940">
        <w:rPr>
          <w:rFonts w:ascii="Verdana" w:hAnsi="Verdana"/>
          <w:sz w:val="24"/>
          <w:szCs w:val="24"/>
        </w:rPr>
        <w:t>g</w:t>
      </w:r>
      <w:r w:rsidRPr="00D04940" w:rsidR="00DB7F30">
        <w:rPr>
          <w:rFonts w:ascii="Verdana" w:hAnsi="Verdana"/>
          <w:sz w:val="24"/>
          <w:szCs w:val="24"/>
        </w:rPr>
        <w:t>.</w:t>
      </w:r>
      <w:r w:rsidRPr="00D04940">
        <w:rPr>
          <w:rFonts w:ascii="Verdana" w:hAnsi="Verdana"/>
          <w:sz w:val="24"/>
          <w:szCs w:val="24"/>
        </w:rPr>
        <w:t xml:space="preserve"> in building materials safety</w:t>
      </w:r>
    </w:p>
    <w:p w:rsidR="00D87F08" w:rsidRPr="00D04940" w:rsidP="00D87F08">
      <w:pPr>
        <w:pStyle w:val="ListParagraph"/>
        <w:numPr>
          <w:ilvl w:val="0"/>
          <w:numId w:val="3"/>
        </w:numPr>
        <w:rPr>
          <w:rFonts w:ascii="Verdana" w:hAnsi="Verdana"/>
          <w:sz w:val="24"/>
          <w:szCs w:val="24"/>
        </w:rPr>
      </w:pPr>
      <w:r w:rsidRPr="00D04940">
        <w:rPr>
          <w:rFonts w:ascii="Verdana" w:hAnsi="Verdana"/>
          <w:sz w:val="24"/>
          <w:szCs w:val="24"/>
        </w:rPr>
        <w:t xml:space="preserve">MRAs on conformity assessment </w:t>
      </w:r>
      <w:r w:rsidRPr="00D04940" w:rsidR="00963056">
        <w:rPr>
          <w:rFonts w:ascii="Verdana" w:hAnsi="Verdana"/>
          <w:sz w:val="24"/>
          <w:szCs w:val="24"/>
        </w:rPr>
        <w:t>(</w:t>
      </w:r>
      <w:r w:rsidRPr="00D04940">
        <w:rPr>
          <w:rFonts w:ascii="Verdana" w:hAnsi="Verdana"/>
          <w:sz w:val="24"/>
          <w:szCs w:val="24"/>
        </w:rPr>
        <w:t>other than the E</w:t>
      </w:r>
      <w:r w:rsidRPr="00D04940" w:rsidR="00963056">
        <w:rPr>
          <w:rFonts w:ascii="Verdana" w:hAnsi="Verdana"/>
          <w:sz w:val="24"/>
          <w:szCs w:val="24"/>
        </w:rPr>
        <w:t xml:space="preserve">uropean </w:t>
      </w:r>
      <w:r w:rsidRPr="00D04940">
        <w:rPr>
          <w:rFonts w:ascii="Verdana" w:hAnsi="Verdana"/>
          <w:sz w:val="24"/>
          <w:szCs w:val="24"/>
        </w:rPr>
        <w:t>E</w:t>
      </w:r>
      <w:r w:rsidRPr="00D04940" w:rsidR="00963056">
        <w:rPr>
          <w:rFonts w:ascii="Verdana" w:hAnsi="Verdana"/>
          <w:sz w:val="24"/>
          <w:szCs w:val="24"/>
        </w:rPr>
        <w:t xml:space="preserve">conomic </w:t>
      </w:r>
      <w:r w:rsidRPr="00D04940">
        <w:rPr>
          <w:rFonts w:ascii="Verdana" w:hAnsi="Verdana"/>
          <w:sz w:val="24"/>
          <w:szCs w:val="24"/>
        </w:rPr>
        <w:t>A</w:t>
      </w:r>
      <w:r w:rsidRPr="00D04940" w:rsidR="00963056">
        <w:rPr>
          <w:rFonts w:ascii="Verdana" w:hAnsi="Verdana"/>
          <w:sz w:val="24"/>
          <w:szCs w:val="24"/>
        </w:rPr>
        <w:t>rea)</w:t>
      </w:r>
      <w:r w:rsidRPr="00D04940">
        <w:rPr>
          <w:rFonts w:ascii="Verdana" w:hAnsi="Verdana"/>
          <w:sz w:val="24"/>
          <w:szCs w:val="24"/>
        </w:rPr>
        <w:t xml:space="preserve"> are always hard to negotiate</w:t>
      </w:r>
    </w:p>
    <w:p w:rsidR="00D87F08" w:rsidRPr="00D04940" w:rsidP="00D87F08">
      <w:pPr>
        <w:pStyle w:val="ListParagraph"/>
        <w:rPr>
          <w:rFonts w:ascii="Verdana" w:hAnsi="Verdana"/>
          <w:sz w:val="24"/>
          <w:szCs w:val="24"/>
        </w:rPr>
      </w:pPr>
    </w:p>
    <w:p w:rsidR="00D87F08" w:rsidRPr="00D04940" w:rsidP="00D87F08">
      <w:pPr>
        <w:pStyle w:val="ListParagraph"/>
        <w:ind w:left="0"/>
        <w:rPr>
          <w:rFonts w:ascii="Verdana" w:hAnsi="Verdana"/>
          <w:sz w:val="24"/>
          <w:szCs w:val="24"/>
        </w:rPr>
      </w:pPr>
      <w:r w:rsidRPr="00D04940">
        <w:rPr>
          <w:rFonts w:ascii="Verdana" w:hAnsi="Verdana"/>
          <w:sz w:val="24"/>
          <w:szCs w:val="24"/>
        </w:rPr>
        <w:t>Nevertheless</w:t>
      </w:r>
      <w:r w:rsidRPr="00D04940" w:rsidR="00611630">
        <w:rPr>
          <w:rFonts w:ascii="Verdana" w:hAnsi="Verdana"/>
          <w:sz w:val="24"/>
          <w:szCs w:val="24"/>
        </w:rPr>
        <w:t>,</w:t>
      </w:r>
      <w:r w:rsidRPr="00D04940">
        <w:rPr>
          <w:rFonts w:ascii="Verdana" w:hAnsi="Verdana"/>
          <w:sz w:val="24"/>
          <w:szCs w:val="24"/>
        </w:rPr>
        <w:t xml:space="preserve"> this is extremely important for the UK </w:t>
      </w:r>
      <w:r w:rsidRPr="00D04940">
        <w:rPr>
          <w:rFonts w:ascii="Verdana" w:hAnsi="Verdana"/>
          <w:sz w:val="24"/>
          <w:szCs w:val="24"/>
        </w:rPr>
        <w:t>and also</w:t>
      </w:r>
      <w:r w:rsidRPr="00D04940">
        <w:rPr>
          <w:rFonts w:ascii="Verdana" w:hAnsi="Verdana"/>
          <w:sz w:val="24"/>
          <w:szCs w:val="24"/>
        </w:rPr>
        <w:t xml:space="preserve"> for EU value chains involving UK firms.  </w:t>
      </w:r>
    </w:p>
    <w:p w:rsidR="00D87F08" w:rsidRPr="00D04940" w:rsidP="00D87F08">
      <w:pPr>
        <w:pStyle w:val="ListParagraph"/>
        <w:ind w:left="0"/>
        <w:rPr>
          <w:rFonts w:ascii="Verdana" w:hAnsi="Verdana"/>
          <w:sz w:val="24"/>
          <w:szCs w:val="24"/>
        </w:rPr>
      </w:pPr>
    </w:p>
    <w:p w:rsidR="00907F24" w:rsidRPr="00D04940" w:rsidP="00907F24">
      <w:pPr>
        <w:pStyle w:val="ListParagraph"/>
        <w:ind w:left="0"/>
        <w:rPr>
          <w:rFonts w:ascii="Verdana" w:hAnsi="Verdana"/>
          <w:sz w:val="24"/>
          <w:szCs w:val="24"/>
        </w:rPr>
      </w:pPr>
      <w:r w:rsidRPr="00D04940">
        <w:rPr>
          <w:rFonts w:ascii="Verdana" w:hAnsi="Verdana"/>
          <w:sz w:val="24"/>
          <w:szCs w:val="24"/>
        </w:rPr>
        <w:t>The sta</w:t>
      </w:r>
      <w:r w:rsidRPr="00D04940" w:rsidR="00963056">
        <w:rPr>
          <w:rFonts w:ascii="Verdana" w:hAnsi="Verdana"/>
          <w:sz w:val="24"/>
          <w:szCs w:val="24"/>
        </w:rPr>
        <w:t>r</w:t>
      </w:r>
      <w:r w:rsidRPr="00D04940">
        <w:rPr>
          <w:rFonts w:ascii="Verdana" w:hAnsi="Verdana"/>
          <w:sz w:val="24"/>
          <w:szCs w:val="24"/>
        </w:rPr>
        <w:t xml:space="preserve">ting point is to avoid accidental divergence using the 2024 Metrology </w:t>
      </w:r>
      <w:r w:rsidRPr="00D04940">
        <w:rPr>
          <w:rFonts w:ascii="Verdana" w:hAnsi="Verdana"/>
          <w:sz w:val="24"/>
          <w:szCs w:val="24"/>
        </w:rPr>
        <w:t>Bill, and</w:t>
      </w:r>
      <w:r w:rsidRPr="00D04940">
        <w:rPr>
          <w:rFonts w:ascii="Verdana" w:hAnsi="Verdana"/>
          <w:sz w:val="24"/>
          <w:szCs w:val="24"/>
        </w:rPr>
        <w:t xml:space="preserve"> adopt systematic dynamic alignment but this requires </w:t>
      </w:r>
      <w:r w:rsidRPr="00D04940" w:rsidR="00611630">
        <w:rPr>
          <w:rFonts w:ascii="Verdana" w:hAnsi="Verdana"/>
          <w:sz w:val="24"/>
          <w:szCs w:val="24"/>
        </w:rPr>
        <w:t xml:space="preserve">a </w:t>
      </w:r>
      <w:r w:rsidRPr="00D04940">
        <w:rPr>
          <w:rFonts w:ascii="Verdana" w:hAnsi="Verdana"/>
          <w:sz w:val="24"/>
          <w:szCs w:val="24"/>
        </w:rPr>
        <w:t>pro-active policy.  TCA Art 351 on Regulatory Cooperation and the terms of the recent EU-Switzerland agreement provide a basis for building on this. It should explore the possibility of full or associate membership of EU regulatory agencies that allow non</w:t>
      </w:r>
      <w:r w:rsidRPr="00D04940" w:rsidR="00611630">
        <w:rPr>
          <w:rFonts w:ascii="Verdana" w:hAnsi="Verdana"/>
          <w:sz w:val="24"/>
          <w:szCs w:val="24"/>
        </w:rPr>
        <w:t>-</w:t>
      </w:r>
      <w:r w:rsidRPr="00D04940">
        <w:rPr>
          <w:rFonts w:ascii="Verdana" w:hAnsi="Verdana"/>
          <w:sz w:val="24"/>
          <w:szCs w:val="24"/>
        </w:rPr>
        <w:t xml:space="preserve">EU states to participate, </w:t>
      </w:r>
      <w:r w:rsidRPr="00D04940">
        <w:rPr>
          <w:rFonts w:ascii="Verdana" w:hAnsi="Verdana"/>
          <w:sz w:val="24"/>
          <w:szCs w:val="24"/>
        </w:rPr>
        <w:t>eg</w:t>
      </w:r>
      <w:r w:rsidRPr="00D04940">
        <w:rPr>
          <w:rFonts w:ascii="Verdana" w:hAnsi="Verdana"/>
          <w:sz w:val="24"/>
          <w:szCs w:val="24"/>
        </w:rPr>
        <w:t xml:space="preserve"> EASA (Aerospace) and the Environment Agency.  </w:t>
      </w:r>
      <w:r w:rsidRPr="00D04940">
        <w:rPr>
          <w:rFonts w:ascii="Verdana" w:hAnsi="Verdana"/>
          <w:sz w:val="24"/>
          <w:szCs w:val="24"/>
        </w:rPr>
        <w:t>This would allow the UK to have upstream engagement in the discussions around the formulation of regulations and</w:t>
      </w:r>
      <w:r w:rsidRPr="00D04940" w:rsidR="00611630">
        <w:rPr>
          <w:rFonts w:ascii="Verdana" w:hAnsi="Verdana"/>
          <w:sz w:val="24"/>
          <w:szCs w:val="24"/>
        </w:rPr>
        <w:t>,</w:t>
      </w:r>
      <w:r w:rsidRPr="00D04940">
        <w:rPr>
          <w:rFonts w:ascii="Verdana" w:hAnsi="Verdana"/>
          <w:sz w:val="24"/>
          <w:szCs w:val="24"/>
        </w:rPr>
        <w:t xml:space="preserve"> through regulatory cooperation</w:t>
      </w:r>
      <w:r w:rsidRPr="00D04940" w:rsidR="00611630">
        <w:rPr>
          <w:rFonts w:ascii="Verdana" w:hAnsi="Verdana"/>
          <w:sz w:val="24"/>
          <w:szCs w:val="24"/>
        </w:rPr>
        <w:t>,</w:t>
      </w:r>
      <w:r w:rsidRPr="00D04940">
        <w:rPr>
          <w:rFonts w:ascii="Verdana" w:hAnsi="Verdana"/>
          <w:sz w:val="24"/>
          <w:szCs w:val="24"/>
        </w:rPr>
        <w:t xml:space="preserve"> increase the trust needed to pave the way for Mutual Recognition of Conformity Assessment.</w:t>
      </w:r>
    </w:p>
    <w:p w:rsidR="00907F24" w:rsidRPr="00D04940" w:rsidP="00907F24">
      <w:pPr>
        <w:pStyle w:val="ListParagraph"/>
        <w:ind w:left="0"/>
        <w:rPr>
          <w:rFonts w:ascii="Verdana" w:hAnsi="Verdana"/>
          <w:sz w:val="24"/>
          <w:szCs w:val="24"/>
        </w:rPr>
      </w:pPr>
    </w:p>
    <w:p w:rsidR="00D87F08" w:rsidRPr="00D04940" w:rsidP="00907F24">
      <w:pPr>
        <w:pStyle w:val="ListParagraph"/>
        <w:ind w:left="0"/>
        <w:rPr>
          <w:rFonts w:ascii="Verdana" w:hAnsi="Verdana"/>
          <w:b/>
          <w:bCs/>
          <w:sz w:val="24"/>
          <w:szCs w:val="24"/>
        </w:rPr>
      </w:pPr>
      <w:r w:rsidRPr="00D04940">
        <w:rPr>
          <w:rFonts w:ascii="Verdana" w:hAnsi="Verdana"/>
          <w:b/>
          <w:bCs/>
          <w:sz w:val="24"/>
          <w:szCs w:val="24"/>
        </w:rPr>
        <w:t>Our recommendation is that t</w:t>
      </w:r>
      <w:r w:rsidRPr="00D04940">
        <w:rPr>
          <w:rFonts w:ascii="Verdana" w:hAnsi="Verdana"/>
          <w:b/>
          <w:bCs/>
          <w:sz w:val="24"/>
          <w:szCs w:val="24"/>
        </w:rPr>
        <w:t xml:space="preserve">he UK should </w:t>
      </w:r>
      <w:r w:rsidRPr="00D04940" w:rsidR="00907F24">
        <w:rPr>
          <w:rFonts w:ascii="Verdana" w:hAnsi="Verdana"/>
          <w:b/>
          <w:bCs/>
          <w:sz w:val="24"/>
          <w:szCs w:val="24"/>
        </w:rPr>
        <w:t xml:space="preserve">use every avenue for expanding regulatory cooperation as provided for in the TCA and </w:t>
      </w:r>
      <w:r w:rsidRPr="00D04940">
        <w:rPr>
          <w:rFonts w:ascii="Verdana" w:hAnsi="Verdana"/>
          <w:b/>
          <w:bCs/>
          <w:sz w:val="24"/>
          <w:szCs w:val="24"/>
        </w:rPr>
        <w:t xml:space="preserve">promote a tighter partnership between UKAS </w:t>
      </w:r>
      <w:r w:rsidRPr="00D04940" w:rsidR="00907F24">
        <w:rPr>
          <w:rFonts w:ascii="Verdana" w:hAnsi="Verdana"/>
          <w:b/>
          <w:bCs/>
          <w:sz w:val="24"/>
          <w:szCs w:val="24"/>
        </w:rPr>
        <w:t xml:space="preserve">(the UK Accreditation Service) </w:t>
      </w:r>
      <w:r w:rsidRPr="00D04940">
        <w:rPr>
          <w:rFonts w:ascii="Verdana" w:hAnsi="Verdana"/>
          <w:b/>
          <w:bCs/>
          <w:sz w:val="24"/>
          <w:szCs w:val="24"/>
        </w:rPr>
        <w:t>and</w:t>
      </w:r>
      <w:r w:rsidRPr="00D04940" w:rsidR="00907F24">
        <w:rPr>
          <w:rFonts w:ascii="Verdana" w:hAnsi="Verdana"/>
          <w:b/>
          <w:bCs/>
          <w:sz w:val="24"/>
          <w:szCs w:val="24"/>
        </w:rPr>
        <w:t xml:space="preserve"> the</w:t>
      </w:r>
      <w:r w:rsidRPr="00D04940">
        <w:rPr>
          <w:rFonts w:ascii="Verdana" w:hAnsi="Verdana"/>
          <w:b/>
          <w:bCs/>
          <w:sz w:val="24"/>
          <w:szCs w:val="24"/>
        </w:rPr>
        <w:t xml:space="preserve"> EA</w:t>
      </w:r>
      <w:r w:rsidRPr="00D04940" w:rsidR="00907F24">
        <w:rPr>
          <w:rFonts w:ascii="Verdana" w:hAnsi="Verdana"/>
          <w:b/>
          <w:bCs/>
          <w:sz w:val="24"/>
          <w:szCs w:val="24"/>
        </w:rPr>
        <w:t xml:space="preserve"> (</w:t>
      </w:r>
      <w:r w:rsidRPr="00D04940">
        <w:rPr>
          <w:rFonts w:ascii="Verdana" w:hAnsi="Verdana"/>
          <w:b/>
          <w:bCs/>
          <w:sz w:val="24"/>
          <w:szCs w:val="24"/>
        </w:rPr>
        <w:t>the European co-operation for Accreditation organisation</w:t>
      </w:r>
      <w:r w:rsidRPr="00D04940" w:rsidR="00907F24">
        <w:rPr>
          <w:rFonts w:ascii="Verdana" w:hAnsi="Verdana"/>
          <w:b/>
          <w:bCs/>
          <w:sz w:val="24"/>
          <w:szCs w:val="24"/>
        </w:rPr>
        <w:t>)</w:t>
      </w:r>
      <w:r w:rsidRPr="00D04940">
        <w:rPr>
          <w:rFonts w:ascii="Verdana" w:hAnsi="Verdana"/>
          <w:b/>
          <w:bCs/>
          <w:sz w:val="24"/>
          <w:szCs w:val="24"/>
        </w:rPr>
        <w:t xml:space="preserve"> as a way overcome obstacles to </w:t>
      </w:r>
      <w:r w:rsidRPr="00D04940" w:rsidR="002E3C71">
        <w:rPr>
          <w:rFonts w:ascii="Verdana" w:hAnsi="Verdana"/>
          <w:b/>
          <w:bCs/>
          <w:sz w:val="24"/>
          <w:szCs w:val="24"/>
        </w:rPr>
        <w:t>mutual recognition</w:t>
      </w:r>
      <w:r w:rsidRPr="00D04940">
        <w:rPr>
          <w:rFonts w:ascii="Verdana" w:hAnsi="Verdana"/>
          <w:b/>
          <w:bCs/>
          <w:sz w:val="24"/>
          <w:szCs w:val="24"/>
        </w:rPr>
        <w:t xml:space="preserve"> of conformity assessment.</w:t>
      </w:r>
    </w:p>
    <w:p w:rsidR="00A57A29" w:rsidRPr="00D04940" w:rsidP="00D87F08">
      <w:pPr>
        <w:pStyle w:val="ListParagraph"/>
        <w:ind w:left="0"/>
        <w:rPr>
          <w:rFonts w:ascii="Verdana" w:hAnsi="Verdana"/>
          <w:sz w:val="24"/>
          <w:szCs w:val="24"/>
        </w:rPr>
      </w:pPr>
    </w:p>
    <w:p w:rsidR="00907F24" w:rsidRPr="00D04940" w:rsidP="00907F24">
      <w:pPr>
        <w:pStyle w:val="ListParagraph"/>
        <w:ind w:left="0"/>
        <w:rPr>
          <w:rFonts w:ascii="Verdana" w:hAnsi="Verdana"/>
          <w:sz w:val="24"/>
          <w:szCs w:val="24"/>
        </w:rPr>
      </w:pPr>
      <w:r w:rsidRPr="00D04940">
        <w:rPr>
          <w:rFonts w:ascii="Verdana" w:hAnsi="Verdana"/>
          <w:sz w:val="24"/>
          <w:szCs w:val="24"/>
        </w:rPr>
        <w:t xml:space="preserve">The first step would be an MRA under which the EU and the UK accept the right of the other’s Conformity Assessment Bodies (CABs). Such “designation” is a feature of most MRAs on </w:t>
      </w:r>
      <w:r w:rsidRPr="00D04940" w:rsidR="00611630">
        <w:rPr>
          <w:rFonts w:ascii="Verdana" w:hAnsi="Verdana"/>
          <w:sz w:val="24"/>
          <w:szCs w:val="24"/>
        </w:rPr>
        <w:t>Conformity Assessment</w:t>
      </w:r>
      <w:r w:rsidRPr="00D04940">
        <w:rPr>
          <w:rFonts w:ascii="Verdana" w:hAnsi="Verdana"/>
          <w:sz w:val="24"/>
          <w:szCs w:val="24"/>
        </w:rPr>
        <w:t>. In most cases the “positive list” of approved bodies is quite limited (the EEA is an exception.)</w:t>
      </w:r>
    </w:p>
    <w:p w:rsidR="00907F24" w:rsidRPr="00D04940" w:rsidP="00907F24">
      <w:pPr>
        <w:pStyle w:val="ListParagraph"/>
        <w:ind w:left="0"/>
        <w:rPr>
          <w:rFonts w:ascii="Verdana" w:hAnsi="Verdana"/>
          <w:sz w:val="24"/>
          <w:szCs w:val="24"/>
        </w:rPr>
      </w:pPr>
      <w:r w:rsidRPr="00D04940">
        <w:rPr>
          <w:rFonts w:ascii="Verdana" w:hAnsi="Verdana"/>
          <w:sz w:val="24"/>
          <w:szCs w:val="24"/>
        </w:rPr>
        <w:t xml:space="preserve">Clearly the UK’s interest is to make this list as long as possible. The next major step would be to move to a “negative list” where the default was </w:t>
      </w:r>
      <w:r w:rsidRPr="00D04940" w:rsidR="00F70B02">
        <w:rPr>
          <w:rFonts w:ascii="Verdana" w:hAnsi="Verdana"/>
          <w:sz w:val="24"/>
          <w:szCs w:val="24"/>
        </w:rPr>
        <w:t>mutual recognition</w:t>
      </w:r>
      <w:r w:rsidRPr="00D04940">
        <w:rPr>
          <w:rFonts w:ascii="Verdana" w:hAnsi="Verdana"/>
          <w:sz w:val="24"/>
          <w:szCs w:val="24"/>
        </w:rPr>
        <w:t xml:space="preserve"> of CABs, with the possibility of exceptions. This would require an agreement to incorporate UKAS into the EU’s Accreditation regime. This was firmly rejected by Barnier in 2020. His reasons still stand but the political situation may allow flexibility. The ultimate step is for full </w:t>
      </w:r>
      <w:r w:rsidRPr="00D04940" w:rsidR="00F70B02">
        <w:rPr>
          <w:rFonts w:ascii="Verdana" w:hAnsi="Verdana"/>
          <w:sz w:val="24"/>
          <w:szCs w:val="24"/>
        </w:rPr>
        <w:t>mutual recognition</w:t>
      </w:r>
      <w:r w:rsidRPr="00D04940">
        <w:rPr>
          <w:rFonts w:ascii="Verdana" w:hAnsi="Verdana"/>
          <w:sz w:val="24"/>
          <w:szCs w:val="24"/>
        </w:rPr>
        <w:t xml:space="preserve"> of </w:t>
      </w:r>
      <w:r w:rsidRPr="00D04940" w:rsidR="00611630">
        <w:rPr>
          <w:rFonts w:ascii="Verdana" w:hAnsi="Verdana"/>
          <w:sz w:val="24"/>
          <w:szCs w:val="24"/>
        </w:rPr>
        <w:t>Conformity Assessment</w:t>
      </w:r>
      <w:r w:rsidRPr="00D04940" w:rsidR="00611630">
        <w:rPr>
          <w:rFonts w:ascii="Verdana" w:hAnsi="Verdana"/>
          <w:sz w:val="24"/>
          <w:szCs w:val="24"/>
        </w:rPr>
        <w:t xml:space="preserve"> </w:t>
      </w:r>
      <w:r w:rsidRPr="00D04940">
        <w:rPr>
          <w:rFonts w:ascii="Verdana" w:hAnsi="Verdana"/>
          <w:sz w:val="24"/>
          <w:szCs w:val="24"/>
        </w:rPr>
        <w:t xml:space="preserve">via full </w:t>
      </w:r>
      <w:r w:rsidRPr="00D04940" w:rsidR="00611630">
        <w:rPr>
          <w:rFonts w:ascii="Verdana" w:hAnsi="Verdana"/>
          <w:sz w:val="24"/>
          <w:szCs w:val="24"/>
        </w:rPr>
        <w:t xml:space="preserve">mutual recognition </w:t>
      </w:r>
      <w:r w:rsidRPr="00D04940">
        <w:rPr>
          <w:rFonts w:ascii="Verdana" w:hAnsi="Verdana"/>
          <w:sz w:val="24"/>
          <w:szCs w:val="24"/>
        </w:rPr>
        <w:t>of accreditation.</w:t>
      </w:r>
    </w:p>
    <w:p w:rsidR="00907F24" w:rsidRPr="00D04940" w:rsidP="00D87F08">
      <w:pPr>
        <w:pStyle w:val="ListParagraph"/>
        <w:ind w:left="0"/>
        <w:rPr>
          <w:rFonts w:ascii="Verdana" w:hAnsi="Verdana"/>
          <w:sz w:val="24"/>
          <w:szCs w:val="24"/>
        </w:rPr>
      </w:pPr>
    </w:p>
    <w:p w:rsidR="00D87F08" w:rsidRPr="00D04940" w:rsidP="00D87F08">
      <w:pPr>
        <w:pStyle w:val="ListParagraph"/>
        <w:ind w:left="0"/>
        <w:rPr>
          <w:rFonts w:ascii="Verdana" w:hAnsi="Verdana"/>
          <w:sz w:val="24"/>
          <w:szCs w:val="24"/>
        </w:rPr>
      </w:pPr>
      <w:r w:rsidRPr="00D04940">
        <w:rPr>
          <w:rFonts w:ascii="Verdana" w:hAnsi="Verdana"/>
          <w:sz w:val="24"/>
          <w:szCs w:val="24"/>
        </w:rPr>
        <w:t>The UK needs to be ready accept the need for a degree of regulatory harmonisation as it has standards harmonisation.</w:t>
      </w:r>
    </w:p>
    <w:p w:rsidR="002515D6" w:rsidRPr="00D04940" w:rsidP="00140E2D">
      <w:pPr>
        <w:pStyle w:val="ListParagraph"/>
        <w:rPr>
          <w:rFonts w:ascii="Verdana" w:hAnsi="Verdana"/>
          <w:b/>
          <w:bCs/>
          <w:sz w:val="24"/>
          <w:szCs w:val="24"/>
        </w:rPr>
      </w:pPr>
    </w:p>
    <w:p w:rsidR="00140E2D" w:rsidRPr="00D04940" w:rsidP="00140E2D">
      <w:pPr>
        <w:pStyle w:val="ListParagraph"/>
        <w:numPr>
          <w:ilvl w:val="0"/>
          <w:numId w:val="2"/>
        </w:numPr>
        <w:rPr>
          <w:rFonts w:ascii="Verdana" w:hAnsi="Verdana"/>
          <w:b/>
          <w:bCs/>
          <w:sz w:val="24"/>
          <w:szCs w:val="24"/>
        </w:rPr>
      </w:pPr>
      <w:r w:rsidRPr="00D04940">
        <w:rPr>
          <w:rFonts w:ascii="Verdana" w:hAnsi="Verdana"/>
          <w:b/>
          <w:bCs/>
          <w:sz w:val="24"/>
          <w:szCs w:val="24"/>
        </w:rPr>
        <w:t xml:space="preserve">Digital / </w:t>
      </w:r>
      <w:r w:rsidRPr="00D04940">
        <w:rPr>
          <w:rFonts w:ascii="Verdana" w:hAnsi="Verdana"/>
          <w:b/>
          <w:bCs/>
          <w:sz w:val="24"/>
          <w:szCs w:val="24"/>
        </w:rPr>
        <w:t xml:space="preserve">data </w:t>
      </w:r>
      <w:r w:rsidRPr="00D04940" w:rsidR="00383FF3">
        <w:rPr>
          <w:rFonts w:ascii="Verdana" w:hAnsi="Verdana"/>
          <w:b/>
          <w:bCs/>
          <w:sz w:val="24"/>
          <w:szCs w:val="24"/>
        </w:rPr>
        <w:t>:</w:t>
      </w:r>
      <w:r w:rsidRPr="00D04940" w:rsidR="00383FF3">
        <w:rPr>
          <w:rFonts w:ascii="Verdana" w:hAnsi="Verdana"/>
          <w:b/>
          <w:bCs/>
          <w:sz w:val="24"/>
          <w:szCs w:val="24"/>
        </w:rPr>
        <w:t xml:space="preserve"> </w:t>
      </w:r>
    </w:p>
    <w:p w:rsidR="00CF5112" w:rsidRPr="00D04940" w:rsidP="00140E2D">
      <w:pPr>
        <w:rPr>
          <w:rFonts w:ascii="Verdana" w:hAnsi="Verdana"/>
          <w:sz w:val="24"/>
          <w:szCs w:val="24"/>
        </w:rPr>
      </w:pPr>
      <w:r w:rsidRPr="00D04940">
        <w:rPr>
          <w:rFonts w:ascii="Verdana" w:hAnsi="Verdana"/>
          <w:sz w:val="24"/>
          <w:szCs w:val="24"/>
        </w:rPr>
        <w:t xml:space="preserve">There are two major issues. </w:t>
      </w:r>
      <w:r w:rsidRPr="00D04940" w:rsidR="005A543B">
        <w:rPr>
          <w:rFonts w:ascii="Verdana" w:hAnsi="Verdana"/>
          <w:sz w:val="24"/>
          <w:szCs w:val="24"/>
        </w:rPr>
        <w:t>The f</w:t>
      </w:r>
      <w:r w:rsidRPr="00D04940">
        <w:rPr>
          <w:rFonts w:ascii="Verdana" w:hAnsi="Verdana"/>
          <w:sz w:val="24"/>
          <w:szCs w:val="24"/>
        </w:rPr>
        <w:t>irst</w:t>
      </w:r>
      <w:r w:rsidRPr="00D04940" w:rsidR="005A543B">
        <w:rPr>
          <w:rFonts w:ascii="Verdana" w:hAnsi="Verdana"/>
          <w:sz w:val="24"/>
          <w:szCs w:val="24"/>
        </w:rPr>
        <w:t xml:space="preserve"> is about free data flows between the UK and the EU.</w:t>
      </w:r>
      <w:r w:rsidRPr="00D04940">
        <w:rPr>
          <w:rFonts w:ascii="Verdana" w:hAnsi="Verdana"/>
          <w:sz w:val="24"/>
          <w:szCs w:val="24"/>
        </w:rPr>
        <w:t xml:space="preserve"> </w:t>
      </w:r>
      <w:r w:rsidRPr="00D04940" w:rsidR="005A543B">
        <w:rPr>
          <w:rFonts w:ascii="Verdana" w:hAnsi="Verdana"/>
          <w:sz w:val="24"/>
          <w:szCs w:val="24"/>
        </w:rPr>
        <w:t>W</w:t>
      </w:r>
      <w:r w:rsidRPr="00D04940" w:rsidR="007C1096">
        <w:rPr>
          <w:rFonts w:ascii="Verdana" w:hAnsi="Verdana"/>
          <w:sz w:val="24"/>
          <w:szCs w:val="24"/>
        </w:rPr>
        <w:t>hether</w:t>
      </w:r>
      <w:r w:rsidRPr="00D04940">
        <w:rPr>
          <w:rFonts w:ascii="Verdana" w:hAnsi="Verdana"/>
          <w:sz w:val="24"/>
          <w:szCs w:val="24"/>
        </w:rPr>
        <w:t xml:space="preserve"> the UK could </w:t>
      </w:r>
      <w:r w:rsidRPr="00D04940" w:rsidR="007C1096">
        <w:rPr>
          <w:rFonts w:ascii="Verdana" w:hAnsi="Verdana"/>
          <w:sz w:val="24"/>
          <w:szCs w:val="24"/>
        </w:rPr>
        <w:t>maintain</w:t>
      </w:r>
      <w:r w:rsidRPr="00D04940">
        <w:rPr>
          <w:rFonts w:ascii="Verdana" w:hAnsi="Verdana"/>
          <w:sz w:val="24"/>
          <w:szCs w:val="24"/>
        </w:rPr>
        <w:t xml:space="preserve"> free data flows between the UK and the EU</w:t>
      </w:r>
      <w:r w:rsidRPr="00D04940" w:rsidR="007C1096">
        <w:rPr>
          <w:rFonts w:ascii="Verdana" w:hAnsi="Verdana"/>
          <w:sz w:val="24"/>
          <w:szCs w:val="24"/>
        </w:rPr>
        <w:t xml:space="preserve"> under the new Data Protection and Digital Information Bill is not clear</w:t>
      </w:r>
      <w:r w:rsidRPr="00D04940">
        <w:rPr>
          <w:rFonts w:ascii="Verdana" w:hAnsi="Verdana"/>
          <w:sz w:val="24"/>
          <w:szCs w:val="24"/>
        </w:rPr>
        <w:t>. The EC proposed to extend adequacy decisions for the UK until 27 December 2025</w:t>
      </w:r>
      <w:r w:rsidRPr="00D04940" w:rsidR="005A543B">
        <w:rPr>
          <w:rFonts w:ascii="Verdana" w:hAnsi="Verdana"/>
          <w:sz w:val="24"/>
          <w:szCs w:val="24"/>
        </w:rPr>
        <w:t xml:space="preserve"> so that</w:t>
      </w:r>
      <w:r w:rsidRPr="00D04940">
        <w:rPr>
          <w:rFonts w:ascii="Verdana" w:hAnsi="Verdana"/>
          <w:sz w:val="24"/>
          <w:szCs w:val="24"/>
        </w:rPr>
        <w:t xml:space="preserve"> the UK </w:t>
      </w:r>
      <w:r w:rsidRPr="00D04940" w:rsidR="005A543B">
        <w:rPr>
          <w:rFonts w:ascii="Verdana" w:hAnsi="Verdana"/>
          <w:sz w:val="24"/>
          <w:szCs w:val="24"/>
        </w:rPr>
        <w:t>can</w:t>
      </w:r>
      <w:r w:rsidRPr="00D04940">
        <w:rPr>
          <w:rFonts w:ascii="Verdana" w:hAnsi="Verdana"/>
          <w:sz w:val="24"/>
          <w:szCs w:val="24"/>
        </w:rPr>
        <w:t xml:space="preserve"> conclude its legislative process of the </w:t>
      </w:r>
      <w:r w:rsidRPr="00D04940" w:rsidR="007C1096">
        <w:rPr>
          <w:rFonts w:ascii="Verdana" w:hAnsi="Verdana"/>
          <w:sz w:val="24"/>
          <w:szCs w:val="24"/>
        </w:rPr>
        <w:t xml:space="preserve">new </w:t>
      </w:r>
      <w:r w:rsidRPr="00D04940">
        <w:rPr>
          <w:rFonts w:ascii="Verdana" w:hAnsi="Verdana"/>
          <w:sz w:val="24"/>
          <w:szCs w:val="24"/>
        </w:rPr>
        <w:t xml:space="preserve">Bill. </w:t>
      </w:r>
      <w:r w:rsidRPr="00D04940" w:rsidR="007C1096">
        <w:rPr>
          <w:rFonts w:ascii="Verdana" w:hAnsi="Verdana"/>
          <w:sz w:val="24"/>
          <w:szCs w:val="24"/>
        </w:rPr>
        <w:t>The Bill diverges from GDPR in certain areas such as reducing business compliance burdens. If the EU assess</w:t>
      </w:r>
      <w:r w:rsidRPr="00D04940" w:rsidR="00611630">
        <w:rPr>
          <w:rFonts w:ascii="Verdana" w:hAnsi="Verdana"/>
          <w:sz w:val="24"/>
          <w:szCs w:val="24"/>
        </w:rPr>
        <w:t>es</w:t>
      </w:r>
      <w:r w:rsidRPr="00D04940" w:rsidR="007C1096">
        <w:rPr>
          <w:rFonts w:ascii="Verdana" w:hAnsi="Verdana"/>
          <w:sz w:val="24"/>
          <w:szCs w:val="24"/>
        </w:rPr>
        <w:t xml:space="preserve"> that </w:t>
      </w:r>
      <w:r w:rsidRPr="00D04940" w:rsidR="005A543B">
        <w:rPr>
          <w:rFonts w:ascii="Verdana" w:hAnsi="Verdana"/>
          <w:sz w:val="24"/>
          <w:szCs w:val="24"/>
        </w:rPr>
        <w:t xml:space="preserve">data privacy protection standards under the new Bill is not satisfactory, the UK will lose the EU’s adequacy decision. </w:t>
      </w:r>
      <w:r w:rsidRPr="00D04940">
        <w:rPr>
          <w:rFonts w:ascii="Verdana" w:hAnsi="Verdana"/>
          <w:sz w:val="24"/>
          <w:szCs w:val="24"/>
        </w:rPr>
        <w:t>There may be an additional issue for adequacy if the UK decides to use any additional flexibility to broaden data flows with third countries</w:t>
      </w:r>
      <w:r w:rsidRPr="00D04940" w:rsidR="004B1D51">
        <w:rPr>
          <w:rFonts w:ascii="Verdana" w:hAnsi="Verdana"/>
          <w:sz w:val="24"/>
          <w:szCs w:val="24"/>
        </w:rPr>
        <w:t xml:space="preserve"> (such as the United States)</w:t>
      </w:r>
      <w:r w:rsidRPr="00D04940">
        <w:rPr>
          <w:rFonts w:ascii="Verdana" w:hAnsi="Verdana"/>
          <w:sz w:val="24"/>
          <w:szCs w:val="24"/>
        </w:rPr>
        <w:t xml:space="preserve"> using alternative mechanisms to GDPR, such as the Global Cross Border Privacy Rules (CBPR). The UK has joined the CBPR Global Forum as an observer, but the CBPR regime may not be compatible with the EU GDPR standards. As an illustration, Japan’s EU adequacy decision expressly bans onward transfers of EU data from Japan to third countries using CBPR. </w:t>
      </w:r>
    </w:p>
    <w:p w:rsidR="00603937" w:rsidRPr="00D04940" w:rsidP="001A4FD1">
      <w:pPr>
        <w:rPr>
          <w:rFonts w:ascii="Verdana" w:hAnsi="Verdana"/>
          <w:sz w:val="24"/>
          <w:szCs w:val="24"/>
        </w:rPr>
      </w:pPr>
      <w:r w:rsidRPr="00D04940">
        <w:rPr>
          <w:rFonts w:ascii="Verdana" w:hAnsi="Verdana"/>
          <w:sz w:val="24"/>
          <w:szCs w:val="24"/>
        </w:rPr>
        <w:t xml:space="preserve">The second issue is regulatory and policy </w:t>
      </w:r>
      <w:r w:rsidRPr="00D04940" w:rsidR="0028207C">
        <w:rPr>
          <w:rFonts w:ascii="Verdana" w:hAnsi="Verdana"/>
          <w:sz w:val="24"/>
          <w:szCs w:val="24"/>
        </w:rPr>
        <w:t>cooperation</w:t>
      </w:r>
      <w:r w:rsidRPr="00D04940">
        <w:rPr>
          <w:rFonts w:ascii="Verdana" w:hAnsi="Verdana"/>
          <w:sz w:val="24"/>
          <w:szCs w:val="24"/>
        </w:rPr>
        <w:t xml:space="preserve"> on data and AI between the UK and the EU for the mid to long term. Since the UK government is showing some signs of aligning its policy with the US Trump administration, the UK and EU reset talks need to identify how the UK and the EU could </w:t>
      </w:r>
      <w:r w:rsidRPr="00D04940" w:rsidR="0028207C">
        <w:rPr>
          <w:rFonts w:ascii="Verdana" w:hAnsi="Verdana"/>
          <w:sz w:val="24"/>
          <w:szCs w:val="24"/>
        </w:rPr>
        <w:t xml:space="preserve">promote </w:t>
      </w:r>
      <w:r w:rsidRPr="00D04940">
        <w:rPr>
          <w:rFonts w:ascii="Verdana" w:hAnsi="Verdana"/>
          <w:sz w:val="24"/>
          <w:szCs w:val="24"/>
        </w:rPr>
        <w:t>cooperat</w:t>
      </w:r>
      <w:r w:rsidRPr="00D04940" w:rsidR="0028207C">
        <w:rPr>
          <w:rFonts w:ascii="Verdana" w:hAnsi="Verdana"/>
          <w:sz w:val="24"/>
          <w:szCs w:val="24"/>
        </w:rPr>
        <w:t>ion, including security and competition policy</w:t>
      </w:r>
      <w:r w:rsidRPr="00D04940">
        <w:rPr>
          <w:rFonts w:ascii="Verdana" w:hAnsi="Verdana"/>
          <w:sz w:val="24"/>
          <w:szCs w:val="24"/>
        </w:rPr>
        <w:t xml:space="preserve"> in the digital sphere</w:t>
      </w:r>
      <w:r w:rsidRPr="00D04940" w:rsidR="0028207C">
        <w:rPr>
          <w:rFonts w:ascii="Verdana" w:hAnsi="Verdana"/>
          <w:sz w:val="24"/>
          <w:szCs w:val="24"/>
        </w:rPr>
        <w:t>.</w:t>
      </w:r>
      <w:r w:rsidRPr="00D04940" w:rsidR="00ED5A6C">
        <w:rPr>
          <w:rFonts w:ascii="Verdana" w:hAnsi="Verdana"/>
          <w:sz w:val="24"/>
          <w:szCs w:val="24"/>
        </w:rPr>
        <w:t xml:space="preserve"> One initial issue that may require some alignment is the proposed National Data Library</w:t>
      </w:r>
      <w:r w:rsidRPr="00D04940" w:rsidR="00CF5112">
        <w:rPr>
          <w:rFonts w:ascii="Verdana" w:hAnsi="Verdana"/>
          <w:sz w:val="24"/>
          <w:szCs w:val="24"/>
        </w:rPr>
        <w:t xml:space="preserve"> (NDL)</w:t>
      </w:r>
      <w:r w:rsidRPr="00D04940" w:rsidR="00ED5A6C">
        <w:rPr>
          <w:rFonts w:ascii="Verdana" w:hAnsi="Verdana"/>
          <w:sz w:val="24"/>
          <w:szCs w:val="24"/>
        </w:rPr>
        <w:t xml:space="preserve">, which </w:t>
      </w:r>
      <w:r w:rsidRPr="00D04940" w:rsidR="00235B29">
        <w:rPr>
          <w:rFonts w:ascii="Verdana" w:hAnsi="Verdana"/>
          <w:sz w:val="24"/>
          <w:szCs w:val="24"/>
        </w:rPr>
        <w:t>DSIT announced in January 2025 as part of the AI Opportunities Action Plan as an instrument to unlock the value of public and private data</w:t>
      </w:r>
      <w:r w:rsidRPr="00D04940" w:rsidR="00ED5A6C">
        <w:rPr>
          <w:rFonts w:ascii="Verdana" w:hAnsi="Verdana"/>
          <w:sz w:val="24"/>
          <w:szCs w:val="24"/>
        </w:rPr>
        <w:t>.</w:t>
      </w:r>
      <w:r>
        <w:rPr>
          <w:rStyle w:val="FootnoteReference"/>
          <w:rFonts w:ascii="Verdana" w:hAnsi="Verdana"/>
          <w:sz w:val="24"/>
          <w:szCs w:val="24"/>
        </w:rPr>
        <w:footnoteReference w:id="3"/>
      </w:r>
      <w:r w:rsidRPr="00D04940" w:rsidR="00ED5A6C">
        <w:rPr>
          <w:rFonts w:ascii="Verdana" w:hAnsi="Verdana"/>
          <w:sz w:val="24"/>
          <w:szCs w:val="24"/>
        </w:rPr>
        <w:t xml:space="preserve"> </w:t>
      </w:r>
      <w:r w:rsidRPr="00D04940" w:rsidR="00235B29">
        <w:rPr>
          <w:rFonts w:ascii="Verdana" w:hAnsi="Verdana"/>
          <w:sz w:val="24"/>
          <w:szCs w:val="24"/>
        </w:rPr>
        <w:t>The details are scarce but i</w:t>
      </w:r>
      <w:r w:rsidRPr="00D04940" w:rsidR="00ED5A6C">
        <w:rPr>
          <w:rFonts w:ascii="Verdana" w:hAnsi="Verdana"/>
          <w:sz w:val="24"/>
          <w:szCs w:val="24"/>
        </w:rPr>
        <w:t xml:space="preserve">n an interview with the Financial Times, the science secretary Peter Kyle MP </w:t>
      </w:r>
      <w:r w:rsidRPr="00D04940" w:rsidR="00235B29">
        <w:rPr>
          <w:rFonts w:ascii="Verdana" w:hAnsi="Verdana"/>
          <w:sz w:val="24"/>
          <w:szCs w:val="24"/>
        </w:rPr>
        <w:t>stated that ministers were drawing plans to sell anonymised personal data to businesses in the future.</w:t>
      </w:r>
      <w:r>
        <w:rPr>
          <w:rStyle w:val="FootnoteReference"/>
          <w:rFonts w:ascii="Verdana" w:hAnsi="Verdana"/>
          <w:sz w:val="24"/>
          <w:szCs w:val="24"/>
        </w:rPr>
        <w:footnoteReference w:id="4"/>
      </w:r>
      <w:r w:rsidRPr="00D04940" w:rsidR="00235B29">
        <w:rPr>
          <w:rFonts w:ascii="Verdana" w:hAnsi="Verdana"/>
          <w:sz w:val="24"/>
          <w:szCs w:val="24"/>
        </w:rPr>
        <w:t xml:space="preserve"> </w:t>
      </w:r>
      <w:r w:rsidRPr="00D04940" w:rsidR="00CF5112">
        <w:rPr>
          <w:rFonts w:ascii="Verdana" w:hAnsi="Verdana"/>
          <w:sz w:val="24"/>
          <w:szCs w:val="24"/>
        </w:rPr>
        <w:t>The EU may ask questions if this involves selling EU data to third countries such as the US.</w:t>
      </w:r>
    </w:p>
    <w:p w:rsidR="000C474A" w:rsidRPr="00D04940" w:rsidP="001A4FD1">
      <w:pPr>
        <w:rPr>
          <w:rFonts w:ascii="Verdana" w:hAnsi="Verdana"/>
          <w:sz w:val="24"/>
          <w:szCs w:val="24"/>
        </w:rPr>
      </w:pPr>
    </w:p>
    <w:p w:rsidR="000C474A" w:rsidRPr="00D04940" w:rsidP="000C474A">
      <w:pPr>
        <w:rPr>
          <w:rFonts w:ascii="Verdana" w:hAnsi="Verdana"/>
          <w:sz w:val="24"/>
          <w:szCs w:val="24"/>
        </w:rPr>
      </w:pPr>
      <w:r w:rsidRPr="00D04940">
        <w:rPr>
          <w:rFonts w:ascii="Verdana" w:hAnsi="Verdana"/>
          <w:b/>
          <w:bCs/>
          <w:sz w:val="24"/>
          <w:szCs w:val="24"/>
        </w:rPr>
        <w:t xml:space="preserve">Services:  </w:t>
      </w:r>
      <w:r w:rsidRPr="00D04940">
        <w:rPr>
          <w:rFonts w:ascii="Verdana" w:hAnsi="Verdana"/>
          <w:sz w:val="24"/>
          <w:szCs w:val="24"/>
        </w:rPr>
        <w:t xml:space="preserve">Article 126 of the TCA provides that the TCA review offers an opportunity to re-examine </w:t>
      </w:r>
      <w:r w:rsidRPr="00D04940">
        <w:rPr>
          <w:rFonts w:ascii="Verdana" w:hAnsi="Verdana"/>
          <w:sz w:val="24"/>
          <w:szCs w:val="24"/>
        </w:rPr>
        <w:t>the  rules</w:t>
      </w:r>
      <w:r w:rsidRPr="00D04940">
        <w:rPr>
          <w:rFonts w:ascii="Verdana" w:hAnsi="Verdana"/>
          <w:sz w:val="24"/>
          <w:szCs w:val="24"/>
        </w:rPr>
        <w:t xml:space="preserve"> for services “With a view to introducing possible improvements to the provisions of this Title, and consistent with their commitments under international agreements, the Parties shall review their legal framework relating to trade in services and </w:t>
      </w:r>
      <w:r w:rsidRPr="00D04940">
        <w:rPr>
          <w:rFonts w:ascii="Verdana" w:hAnsi="Verdana"/>
          <w:sz w:val="24"/>
          <w:szCs w:val="24"/>
        </w:rPr>
        <w:t xml:space="preserve">investment, including this Agreement, in accordance with Article 776.”  But that “This Article shall not apply with respect to financial services.” </w:t>
      </w:r>
      <w:r w:rsidRPr="00D04940">
        <w:rPr>
          <w:rFonts w:ascii="Verdana" w:hAnsi="Verdana"/>
          <w:sz w:val="24"/>
          <w:szCs w:val="24"/>
        </w:rPr>
        <w:t>Nevertheless</w:t>
      </w:r>
      <w:r w:rsidRPr="00D04940">
        <w:rPr>
          <w:rFonts w:ascii="Verdana" w:hAnsi="Verdana"/>
          <w:sz w:val="24"/>
          <w:szCs w:val="24"/>
        </w:rPr>
        <w:t xml:space="preserve"> the Commission has indicated the possibility of a side deal.</w:t>
      </w:r>
    </w:p>
    <w:p w:rsidR="000C474A" w:rsidRPr="00D04940" w:rsidP="000C474A">
      <w:pPr>
        <w:rPr>
          <w:rFonts w:ascii="Verdana" w:hAnsi="Verdana"/>
          <w:b/>
          <w:bCs/>
          <w:sz w:val="24"/>
          <w:szCs w:val="24"/>
        </w:rPr>
      </w:pPr>
      <w:r w:rsidRPr="00D04940">
        <w:rPr>
          <w:rFonts w:ascii="Verdana" w:hAnsi="Verdana"/>
          <w:b/>
          <w:bCs/>
          <w:sz w:val="24"/>
          <w:szCs w:val="24"/>
        </w:rPr>
        <w:t xml:space="preserve">We recommend that the UK </w:t>
      </w:r>
      <w:r w:rsidRPr="00D04940" w:rsidR="00611630">
        <w:rPr>
          <w:rFonts w:ascii="Verdana" w:hAnsi="Verdana"/>
          <w:b/>
          <w:bCs/>
          <w:sz w:val="24"/>
          <w:szCs w:val="24"/>
        </w:rPr>
        <w:t>G</w:t>
      </w:r>
      <w:r w:rsidRPr="00D04940">
        <w:rPr>
          <w:rFonts w:ascii="Verdana" w:hAnsi="Verdana"/>
          <w:b/>
          <w:bCs/>
          <w:sz w:val="24"/>
          <w:szCs w:val="24"/>
        </w:rPr>
        <w:t>overnment seeks to further reduce barriers to services trade. One specific area could be the mutual recognition of professional qualifications</w:t>
      </w:r>
      <w:r w:rsidRPr="00D04940" w:rsidR="001723BC">
        <w:rPr>
          <w:rFonts w:ascii="Verdana" w:hAnsi="Verdana"/>
          <w:b/>
          <w:bCs/>
          <w:sz w:val="24"/>
          <w:szCs w:val="24"/>
        </w:rPr>
        <w:t xml:space="preserve"> (MRPQ)</w:t>
      </w:r>
      <w:r w:rsidRPr="00D04940">
        <w:rPr>
          <w:rFonts w:ascii="Verdana" w:hAnsi="Verdana"/>
          <w:b/>
          <w:bCs/>
          <w:sz w:val="24"/>
          <w:szCs w:val="24"/>
        </w:rPr>
        <w:t xml:space="preserve">. </w:t>
      </w:r>
    </w:p>
    <w:p w:rsidR="001723BC" w:rsidRPr="00D04940" w:rsidP="001723BC">
      <w:pPr>
        <w:rPr>
          <w:rFonts w:ascii="Verdana" w:hAnsi="Verdana"/>
          <w:sz w:val="24"/>
          <w:szCs w:val="24"/>
        </w:rPr>
      </w:pPr>
      <w:r w:rsidRPr="00D04940">
        <w:rPr>
          <w:rFonts w:ascii="Verdana" w:hAnsi="Verdana"/>
          <w:sz w:val="24"/>
          <w:szCs w:val="24"/>
        </w:rPr>
        <w:t xml:space="preserve">In the first instance MRPQ this would require agreement between the relevant regulators for each profession with each EU country separately, and then submission to the TCA partnership council for approval. Hence while in principle MRPQ would be a very positive step, it is practically difficult to achieve, and it is hard to see how any improvement to this could be achieved in the UK-EU reset negotiations. </w:t>
      </w:r>
    </w:p>
    <w:p w:rsidR="00216BCE" w:rsidRPr="00D04940" w:rsidP="00216BCE">
      <w:pPr>
        <w:rPr>
          <w:rFonts w:ascii="Verdana" w:hAnsi="Verdana"/>
          <w:b/>
          <w:bCs/>
          <w:color w:val="C00000"/>
          <w:sz w:val="24"/>
          <w:szCs w:val="24"/>
        </w:rPr>
      </w:pPr>
      <w:r w:rsidRPr="00D04940">
        <w:rPr>
          <w:rFonts w:ascii="Verdana" w:hAnsi="Verdana"/>
          <w:b/>
          <w:bCs/>
          <w:color w:val="C00000"/>
          <w:sz w:val="24"/>
          <w:szCs w:val="24"/>
        </w:rPr>
        <w:t>b) Should the Government have any ‘red lines’ for the UK-EU reset?</w:t>
      </w:r>
    </w:p>
    <w:p w:rsidR="00AC14D9" w:rsidRPr="00D04940" w:rsidP="00AC14D9">
      <w:pPr>
        <w:rPr>
          <w:rFonts w:ascii="Verdana" w:hAnsi="Verdana"/>
          <w:sz w:val="24"/>
          <w:szCs w:val="24"/>
        </w:rPr>
      </w:pPr>
      <w:r w:rsidRPr="00D04940">
        <w:rPr>
          <w:rFonts w:ascii="Verdana" w:hAnsi="Verdana"/>
          <w:sz w:val="24"/>
          <w:szCs w:val="24"/>
        </w:rPr>
        <w:t>From an economic perspective</w:t>
      </w:r>
      <w:r w:rsidRPr="00D04940" w:rsidR="00611630">
        <w:rPr>
          <w:rFonts w:ascii="Verdana" w:hAnsi="Verdana"/>
          <w:sz w:val="24"/>
          <w:szCs w:val="24"/>
        </w:rPr>
        <w:t>,</w:t>
      </w:r>
      <w:r w:rsidRPr="00D04940">
        <w:rPr>
          <w:rFonts w:ascii="Verdana" w:hAnsi="Verdana"/>
          <w:sz w:val="24"/>
          <w:szCs w:val="24"/>
        </w:rPr>
        <w:t xml:space="preserve"> </w:t>
      </w:r>
      <w:r w:rsidRPr="00D04940" w:rsidR="00611630">
        <w:rPr>
          <w:rFonts w:ascii="Verdana" w:hAnsi="Verdana"/>
          <w:sz w:val="24"/>
          <w:szCs w:val="24"/>
        </w:rPr>
        <w:t>t</w:t>
      </w:r>
      <w:r w:rsidRPr="00D04940">
        <w:rPr>
          <w:rFonts w:ascii="Verdana" w:hAnsi="Verdana"/>
          <w:sz w:val="24"/>
          <w:szCs w:val="24"/>
        </w:rPr>
        <w:t xml:space="preserve">he governments’ commitment to being “ruthlessly pragmatic” in the reset negotiations suggest that it should weigh very carefully the cost of adhering for political reasons to the </w:t>
      </w:r>
      <w:r w:rsidRPr="00D04940" w:rsidR="00611630">
        <w:rPr>
          <w:rFonts w:ascii="Verdana" w:hAnsi="Verdana"/>
          <w:sz w:val="24"/>
          <w:szCs w:val="24"/>
        </w:rPr>
        <w:t>r</w:t>
      </w:r>
      <w:r w:rsidRPr="00D04940">
        <w:rPr>
          <w:rFonts w:ascii="Verdana" w:hAnsi="Verdana"/>
          <w:sz w:val="24"/>
          <w:szCs w:val="24"/>
        </w:rPr>
        <w:t xml:space="preserve">ed </w:t>
      </w:r>
      <w:r w:rsidRPr="00D04940" w:rsidR="00611630">
        <w:rPr>
          <w:rFonts w:ascii="Verdana" w:hAnsi="Verdana"/>
          <w:sz w:val="24"/>
          <w:szCs w:val="24"/>
        </w:rPr>
        <w:t>li</w:t>
      </w:r>
      <w:r w:rsidRPr="00D04940">
        <w:rPr>
          <w:rFonts w:ascii="Verdana" w:hAnsi="Verdana"/>
          <w:sz w:val="24"/>
          <w:szCs w:val="24"/>
        </w:rPr>
        <w:t>nes it has in the past proclaimed it will adhere to.</w:t>
      </w:r>
    </w:p>
    <w:p w:rsidR="003D179C" w:rsidRPr="00D04940" w:rsidP="00216BCE">
      <w:pPr>
        <w:rPr>
          <w:rFonts w:ascii="Verdana" w:hAnsi="Verdana"/>
          <w:sz w:val="24"/>
          <w:szCs w:val="24"/>
        </w:rPr>
      </w:pPr>
    </w:p>
    <w:p w:rsidR="00216BCE" w:rsidRPr="00D04940" w:rsidP="00216BCE">
      <w:pPr>
        <w:rPr>
          <w:rFonts w:ascii="Verdana" w:hAnsi="Verdana"/>
          <w:b/>
          <w:bCs/>
          <w:color w:val="C00000"/>
          <w:sz w:val="24"/>
          <w:szCs w:val="24"/>
        </w:rPr>
      </w:pPr>
      <w:r w:rsidRPr="00D04940">
        <w:rPr>
          <w:rFonts w:ascii="Verdana" w:hAnsi="Verdana"/>
          <w:b/>
          <w:bCs/>
          <w:color w:val="C00000"/>
          <w:sz w:val="24"/>
          <w:szCs w:val="24"/>
        </w:rPr>
        <w:t>3. How are the policies of the new US Administration likely to affect the UK-EU reset?</w:t>
      </w:r>
    </w:p>
    <w:p w:rsidR="00EA6241" w:rsidRPr="00D04940" w:rsidP="00EA6241">
      <w:pPr>
        <w:rPr>
          <w:rFonts w:ascii="Verdana" w:hAnsi="Verdana"/>
          <w:sz w:val="24"/>
          <w:szCs w:val="24"/>
        </w:rPr>
      </w:pPr>
      <w:r w:rsidRPr="00D04940">
        <w:rPr>
          <w:rFonts w:ascii="Verdana" w:hAnsi="Verdana"/>
          <w:sz w:val="24"/>
          <w:szCs w:val="24"/>
        </w:rPr>
        <w:t xml:space="preserve">This is a large topic and given all the uncertainties surrounding the policies of the new US administration very hard to answer with much </w:t>
      </w:r>
      <w:r w:rsidRPr="00D04940" w:rsidR="00021DFC">
        <w:rPr>
          <w:rFonts w:ascii="Verdana" w:hAnsi="Verdana"/>
          <w:sz w:val="24"/>
          <w:szCs w:val="24"/>
        </w:rPr>
        <w:t>clarity.</w:t>
      </w:r>
      <w:r w:rsidRPr="00D04940">
        <w:rPr>
          <w:rFonts w:ascii="Verdana" w:hAnsi="Verdana"/>
          <w:sz w:val="24"/>
          <w:szCs w:val="24"/>
        </w:rPr>
        <w:t xml:space="preserve"> There are several ways in which the proposed policies of the US administration could impact on UK-EU trade, though not necessarily directly on the reset negotiations. </w:t>
      </w:r>
    </w:p>
    <w:p w:rsidR="000517F5" w:rsidRPr="00D04940" w:rsidP="00164F4C">
      <w:pPr>
        <w:pStyle w:val="ListParagraph"/>
        <w:numPr>
          <w:ilvl w:val="0"/>
          <w:numId w:val="4"/>
        </w:numPr>
        <w:rPr>
          <w:rFonts w:ascii="Verdana" w:hAnsi="Verdana"/>
          <w:sz w:val="24"/>
          <w:szCs w:val="24"/>
        </w:rPr>
      </w:pPr>
      <w:r w:rsidRPr="00D04940">
        <w:rPr>
          <w:rFonts w:ascii="Verdana" w:hAnsi="Verdana"/>
          <w:sz w:val="24"/>
          <w:szCs w:val="24"/>
        </w:rPr>
        <w:t>The actions of the new US Administration make it very clear that the US is no longer a cooperative member of the multilateral trading s</w:t>
      </w:r>
      <w:r w:rsidRPr="00D04940" w:rsidR="00167B5C">
        <w:rPr>
          <w:rFonts w:ascii="Verdana" w:hAnsi="Verdana"/>
          <w:sz w:val="24"/>
          <w:szCs w:val="24"/>
        </w:rPr>
        <w:t xml:space="preserve">ystem. The absence of </w:t>
      </w:r>
      <w:r w:rsidRPr="00D04940" w:rsidR="001723BC">
        <w:rPr>
          <w:rFonts w:ascii="Verdana" w:hAnsi="Verdana"/>
          <w:sz w:val="24"/>
          <w:szCs w:val="24"/>
        </w:rPr>
        <w:t xml:space="preserve">(one of) </w:t>
      </w:r>
      <w:r w:rsidRPr="00D04940" w:rsidR="00167B5C">
        <w:rPr>
          <w:rFonts w:ascii="Verdana" w:hAnsi="Verdana"/>
          <w:sz w:val="24"/>
          <w:szCs w:val="24"/>
        </w:rPr>
        <w:t>the world</w:t>
      </w:r>
      <w:r w:rsidRPr="00D04940" w:rsidR="00D437EE">
        <w:rPr>
          <w:rFonts w:ascii="Verdana" w:hAnsi="Verdana"/>
          <w:sz w:val="24"/>
          <w:szCs w:val="24"/>
        </w:rPr>
        <w:t xml:space="preserve">’s </w:t>
      </w:r>
      <w:r w:rsidRPr="00D04940" w:rsidR="00DC5493">
        <w:rPr>
          <w:rFonts w:ascii="Verdana" w:hAnsi="Verdana"/>
          <w:sz w:val="24"/>
          <w:szCs w:val="24"/>
        </w:rPr>
        <w:t>largest trading economy</w:t>
      </w:r>
      <w:r w:rsidRPr="00D04940" w:rsidR="0057485D">
        <w:rPr>
          <w:rFonts w:ascii="Verdana" w:hAnsi="Verdana"/>
          <w:sz w:val="24"/>
          <w:szCs w:val="24"/>
        </w:rPr>
        <w:t xml:space="preserve"> </w:t>
      </w:r>
      <w:r w:rsidRPr="00D04940" w:rsidR="00CF2447">
        <w:rPr>
          <w:rFonts w:ascii="Verdana" w:hAnsi="Verdana"/>
          <w:sz w:val="24"/>
          <w:szCs w:val="24"/>
        </w:rPr>
        <w:t xml:space="preserve">is a blow to the multilateral trading system – but one which the UK and the EU need </w:t>
      </w:r>
      <w:r w:rsidRPr="00D04940" w:rsidR="00164F4C">
        <w:rPr>
          <w:rFonts w:ascii="Verdana" w:hAnsi="Verdana"/>
          <w:sz w:val="24"/>
          <w:szCs w:val="24"/>
        </w:rPr>
        <w:t xml:space="preserve">to live with. </w:t>
      </w:r>
      <w:r w:rsidRPr="00D04940">
        <w:rPr>
          <w:rFonts w:ascii="Verdana" w:hAnsi="Verdana"/>
          <w:sz w:val="24"/>
          <w:szCs w:val="24"/>
        </w:rPr>
        <w:t>The</w:t>
      </w:r>
      <w:r w:rsidRPr="00D04940" w:rsidR="00164F4C">
        <w:rPr>
          <w:rFonts w:ascii="Verdana" w:hAnsi="Verdana"/>
          <w:sz w:val="24"/>
          <w:szCs w:val="24"/>
        </w:rPr>
        <w:t xml:space="preserve"> UK should avoid </w:t>
      </w:r>
      <w:r w:rsidRPr="00D04940" w:rsidR="00164F4C">
        <w:rPr>
          <w:rFonts w:ascii="Verdana" w:hAnsi="Verdana"/>
          <w:sz w:val="24"/>
          <w:szCs w:val="24"/>
        </w:rPr>
        <w:t>taking action</w:t>
      </w:r>
      <w:r w:rsidRPr="00D04940" w:rsidR="00164F4C">
        <w:rPr>
          <w:rFonts w:ascii="Verdana" w:hAnsi="Verdana"/>
          <w:sz w:val="24"/>
          <w:szCs w:val="24"/>
        </w:rPr>
        <w:t xml:space="preserve"> against the EU under US pressure</w:t>
      </w:r>
      <w:r w:rsidRPr="00D04940">
        <w:rPr>
          <w:rFonts w:ascii="Verdana" w:hAnsi="Verdana"/>
          <w:sz w:val="24"/>
          <w:szCs w:val="24"/>
        </w:rPr>
        <w:t xml:space="preserve">. This is in part not to </w:t>
      </w:r>
    </w:p>
    <w:p w:rsidR="000517F5" w:rsidRPr="00D04940" w:rsidP="000517F5">
      <w:pPr>
        <w:pStyle w:val="ListParagraph"/>
        <w:ind w:left="360"/>
        <w:rPr>
          <w:rFonts w:ascii="Verdana" w:hAnsi="Verdana"/>
          <w:sz w:val="24"/>
          <w:szCs w:val="24"/>
        </w:rPr>
      </w:pPr>
      <w:r w:rsidRPr="00D04940">
        <w:rPr>
          <w:rFonts w:ascii="Verdana" w:hAnsi="Verdana"/>
          <w:sz w:val="24"/>
          <w:szCs w:val="24"/>
        </w:rPr>
        <w:t>d</w:t>
      </w:r>
      <w:r w:rsidRPr="00D04940" w:rsidR="00164F4C">
        <w:rPr>
          <w:rFonts w:ascii="Verdana" w:hAnsi="Verdana"/>
          <w:sz w:val="24"/>
          <w:szCs w:val="24"/>
        </w:rPr>
        <w:t>amage</w:t>
      </w:r>
      <w:r w:rsidRPr="00D04940">
        <w:rPr>
          <w:rFonts w:ascii="Verdana" w:hAnsi="Verdana"/>
          <w:sz w:val="24"/>
          <w:szCs w:val="24"/>
        </w:rPr>
        <w:t xml:space="preserve"> </w:t>
      </w:r>
      <w:r w:rsidRPr="00D04940" w:rsidR="00164F4C">
        <w:rPr>
          <w:rFonts w:ascii="Verdana" w:hAnsi="Verdana"/>
          <w:sz w:val="24"/>
          <w:szCs w:val="24"/>
        </w:rPr>
        <w:t>the reset</w:t>
      </w:r>
      <w:r w:rsidRPr="00D04940">
        <w:rPr>
          <w:rFonts w:ascii="Verdana" w:hAnsi="Verdana"/>
          <w:sz w:val="24"/>
          <w:szCs w:val="24"/>
        </w:rPr>
        <w:t xml:space="preserve">; in part to stand firm against the challenge the US is trying to pose to the multilateral trading system; and in part because of the </w:t>
      </w:r>
      <w:r w:rsidRPr="00D04940" w:rsidR="00164F4C">
        <w:rPr>
          <w:rFonts w:ascii="Verdana" w:hAnsi="Verdana"/>
          <w:sz w:val="24"/>
          <w:szCs w:val="24"/>
        </w:rPr>
        <w:t>unreliability of any concessions from the U</w:t>
      </w:r>
      <w:r w:rsidRPr="00D04940">
        <w:rPr>
          <w:rFonts w:ascii="Verdana" w:hAnsi="Verdana"/>
          <w:sz w:val="24"/>
          <w:szCs w:val="24"/>
        </w:rPr>
        <w:t>S.</w:t>
      </w:r>
    </w:p>
    <w:p w:rsidR="00391D8E" w:rsidRPr="00D04940" w:rsidP="000517F5">
      <w:pPr>
        <w:pStyle w:val="ListParagraph"/>
        <w:numPr>
          <w:ilvl w:val="0"/>
          <w:numId w:val="4"/>
        </w:numPr>
        <w:rPr>
          <w:rFonts w:ascii="Verdana" w:hAnsi="Verdana"/>
          <w:sz w:val="24"/>
          <w:szCs w:val="24"/>
        </w:rPr>
      </w:pPr>
      <w:r w:rsidRPr="00D04940">
        <w:rPr>
          <w:rFonts w:ascii="Verdana" w:hAnsi="Verdana"/>
          <w:sz w:val="24"/>
          <w:szCs w:val="24"/>
        </w:rPr>
        <w:t xml:space="preserve">Indeed, if anything, the challenge posed by Trump could be used to help galvanise improved economic and political relations between the UK and the US. </w:t>
      </w:r>
    </w:p>
    <w:p w:rsidR="003D179C" w:rsidRPr="00D04940" w:rsidP="00EA6241">
      <w:pPr>
        <w:pStyle w:val="ListParagraph"/>
        <w:numPr>
          <w:ilvl w:val="0"/>
          <w:numId w:val="4"/>
        </w:numPr>
        <w:rPr>
          <w:rFonts w:ascii="Verdana" w:hAnsi="Verdana"/>
          <w:sz w:val="24"/>
          <w:szCs w:val="24"/>
        </w:rPr>
      </w:pPr>
      <w:r w:rsidRPr="00D04940">
        <w:rPr>
          <w:rFonts w:ascii="Verdana" w:hAnsi="Verdana"/>
          <w:sz w:val="24"/>
          <w:szCs w:val="24"/>
        </w:rPr>
        <w:t>If the US levies widespread tariffs on the EU, which at the time of writing seems likely, and the EU retaliates</w:t>
      </w:r>
      <w:r w:rsidRPr="00D04940" w:rsidR="00EA6241">
        <w:rPr>
          <w:rFonts w:ascii="Verdana" w:hAnsi="Verdana"/>
          <w:sz w:val="24"/>
          <w:szCs w:val="24"/>
        </w:rPr>
        <w:t xml:space="preserve">, then those retaliatory tariffs </w:t>
      </w:r>
      <w:r w:rsidRPr="00D04940" w:rsidR="00EA6241">
        <w:rPr>
          <w:rFonts w:ascii="Verdana" w:hAnsi="Verdana"/>
          <w:sz w:val="24"/>
          <w:szCs w:val="24"/>
        </w:rPr>
        <w:t>would also apply to any direct import by Northern Ireland from the US. There is also the possibility that under this scenario that the differential between EU and UK tariffs on imports from the US would widen, which thus increases the range of goods deemed ‘at risk’ under the Windsor Framework going from GB to NI. This scenario does not necessarily affect the reset itself, but it may heighten the tensions between GB, NI and the EU which may complicate the reset.</w:t>
      </w:r>
    </w:p>
    <w:p w:rsidR="00EA6241" w:rsidRPr="00D04940" w:rsidP="007C440F">
      <w:pPr>
        <w:pStyle w:val="ListParagraph"/>
        <w:numPr>
          <w:ilvl w:val="0"/>
          <w:numId w:val="4"/>
        </w:numPr>
        <w:rPr>
          <w:rFonts w:ascii="Verdana" w:hAnsi="Verdana"/>
          <w:sz w:val="24"/>
          <w:szCs w:val="24"/>
        </w:rPr>
      </w:pPr>
      <w:r w:rsidRPr="00D04940">
        <w:rPr>
          <w:rFonts w:ascii="Verdana" w:hAnsi="Verdana"/>
          <w:sz w:val="24"/>
          <w:szCs w:val="24"/>
        </w:rPr>
        <w:t>One possible outcome is the introduction of US tariffs on the EU, but not on the UK. However</w:t>
      </w:r>
      <w:r w:rsidRPr="00D04940" w:rsidR="005E6374">
        <w:rPr>
          <w:rFonts w:ascii="Verdana" w:hAnsi="Verdana"/>
          <w:sz w:val="24"/>
          <w:szCs w:val="24"/>
        </w:rPr>
        <w:t>,</w:t>
      </w:r>
      <w:r w:rsidRPr="00D04940">
        <w:rPr>
          <w:rFonts w:ascii="Verdana" w:hAnsi="Verdana"/>
          <w:sz w:val="24"/>
          <w:szCs w:val="24"/>
        </w:rPr>
        <w:t xml:space="preserve"> this does not mean th</w:t>
      </w:r>
      <w:r w:rsidRPr="00D04940" w:rsidR="00611630">
        <w:rPr>
          <w:rFonts w:ascii="Verdana" w:hAnsi="Verdana"/>
          <w:sz w:val="24"/>
          <w:szCs w:val="24"/>
        </w:rPr>
        <w:t>at</w:t>
      </w:r>
      <w:r w:rsidRPr="00D04940">
        <w:rPr>
          <w:rFonts w:ascii="Verdana" w:hAnsi="Verdana"/>
          <w:sz w:val="24"/>
          <w:szCs w:val="24"/>
        </w:rPr>
        <w:t xml:space="preserve"> UK exports would not be </w:t>
      </w:r>
      <w:r w:rsidRPr="00D04940" w:rsidR="00611630">
        <w:rPr>
          <w:rFonts w:ascii="Verdana" w:hAnsi="Verdana"/>
          <w:sz w:val="24"/>
          <w:szCs w:val="24"/>
        </w:rPr>
        <w:t>in</w:t>
      </w:r>
      <w:r w:rsidRPr="00D04940">
        <w:rPr>
          <w:rFonts w:ascii="Verdana" w:hAnsi="Verdana"/>
          <w:sz w:val="24"/>
          <w:szCs w:val="24"/>
        </w:rPr>
        <w:t xml:space="preserve">directly affected. </w:t>
      </w:r>
      <w:r w:rsidRPr="00D04940" w:rsidR="005E6374">
        <w:rPr>
          <w:rFonts w:ascii="Verdana" w:hAnsi="Verdana"/>
          <w:sz w:val="24"/>
          <w:szCs w:val="24"/>
        </w:rPr>
        <w:t xml:space="preserve">To the extent that the US administration is concerned with rules of </w:t>
      </w:r>
      <w:r w:rsidRPr="00D04940" w:rsidR="005E6374">
        <w:rPr>
          <w:rFonts w:ascii="Verdana" w:hAnsi="Verdana"/>
          <w:sz w:val="24"/>
          <w:szCs w:val="24"/>
        </w:rPr>
        <w:t>origin, and</w:t>
      </w:r>
      <w:r w:rsidRPr="00D04940" w:rsidR="005E6374">
        <w:rPr>
          <w:rFonts w:ascii="Verdana" w:hAnsi="Verdana"/>
          <w:sz w:val="24"/>
          <w:szCs w:val="24"/>
        </w:rPr>
        <w:t xml:space="preserve"> given the close integration of UK and EU supply chains, especially in certain sectors, it is quite possible that UK exports to the US may not be able to meet the rules of origin and be subject to US tariffs. </w:t>
      </w:r>
    </w:p>
    <w:p w:rsidR="005E6374" w:rsidRPr="00D04940" w:rsidP="007C440F">
      <w:pPr>
        <w:pStyle w:val="ListParagraph"/>
        <w:numPr>
          <w:ilvl w:val="0"/>
          <w:numId w:val="4"/>
        </w:numPr>
        <w:rPr>
          <w:rFonts w:ascii="Verdana" w:hAnsi="Verdana"/>
          <w:sz w:val="24"/>
          <w:szCs w:val="24"/>
        </w:rPr>
      </w:pPr>
      <w:r w:rsidRPr="00D04940">
        <w:rPr>
          <w:rFonts w:ascii="Verdana" w:hAnsi="Verdana"/>
          <w:sz w:val="24"/>
          <w:szCs w:val="24"/>
        </w:rPr>
        <w:t xml:space="preserve">At the time of writing there is much discussion concerning a possible ‘mini’ trade deal between the UK and the US – however little is known about the terms of that trade deal. One of the areas being mooted is to with data privacy and online protection. A weakening of UK provisions in this regard (which the US is likely to seek), may be problematic for the EU, and may impact on the EU’s data adequacy decision. This has just been extended for six months but is then up for review. </w:t>
      </w:r>
      <w:r w:rsidRPr="00D04940" w:rsidR="00623268">
        <w:rPr>
          <w:rFonts w:ascii="Verdana" w:hAnsi="Verdana"/>
          <w:sz w:val="24"/>
          <w:szCs w:val="24"/>
        </w:rPr>
        <w:t xml:space="preserve">More generally closer regulatory alignment especially </w:t>
      </w:r>
      <w:r w:rsidRPr="00D04940" w:rsidR="00623268">
        <w:rPr>
          <w:rFonts w:ascii="Verdana" w:hAnsi="Verdana"/>
          <w:sz w:val="24"/>
          <w:szCs w:val="24"/>
        </w:rPr>
        <w:t>with regard to</w:t>
      </w:r>
      <w:r w:rsidRPr="00D04940" w:rsidR="00623268">
        <w:rPr>
          <w:rFonts w:ascii="Verdana" w:hAnsi="Verdana"/>
          <w:sz w:val="24"/>
          <w:szCs w:val="24"/>
        </w:rPr>
        <w:t xml:space="preserve"> food, plant and animal standards with the EU, may cause frictions with the US, and vice versa. </w:t>
      </w:r>
    </w:p>
    <w:p w:rsidR="005E6374" w:rsidRPr="00D04940" w:rsidP="007C440F">
      <w:pPr>
        <w:pStyle w:val="ListParagraph"/>
        <w:numPr>
          <w:ilvl w:val="0"/>
          <w:numId w:val="4"/>
        </w:numPr>
        <w:rPr>
          <w:rFonts w:ascii="Verdana" w:hAnsi="Verdana"/>
          <w:sz w:val="24"/>
          <w:szCs w:val="24"/>
        </w:rPr>
      </w:pPr>
      <w:r w:rsidRPr="00D04940">
        <w:rPr>
          <w:rFonts w:ascii="Verdana" w:hAnsi="Verdana"/>
          <w:sz w:val="24"/>
          <w:szCs w:val="24"/>
        </w:rPr>
        <w:t xml:space="preserve">It is not inconceivable that if there was an escalation of a trade war between the US </w:t>
      </w:r>
      <w:r w:rsidRPr="00D04940">
        <w:rPr>
          <w:rFonts w:ascii="Verdana" w:hAnsi="Verdana"/>
          <w:sz w:val="24"/>
          <w:szCs w:val="24"/>
        </w:rPr>
        <w:t xml:space="preserve">and </w:t>
      </w:r>
      <w:r w:rsidRPr="00D04940" w:rsidR="00623268">
        <w:rPr>
          <w:rFonts w:ascii="Verdana" w:hAnsi="Verdana"/>
          <w:sz w:val="24"/>
          <w:szCs w:val="24"/>
        </w:rPr>
        <w:t xml:space="preserve"> certain</w:t>
      </w:r>
      <w:r w:rsidRPr="00D04940" w:rsidR="00623268">
        <w:rPr>
          <w:rFonts w:ascii="Verdana" w:hAnsi="Verdana"/>
          <w:sz w:val="24"/>
          <w:szCs w:val="24"/>
        </w:rPr>
        <w:t xml:space="preserve"> major partners – notably China, t</w:t>
      </w:r>
      <w:r w:rsidRPr="00D04940">
        <w:rPr>
          <w:rFonts w:ascii="Verdana" w:hAnsi="Verdana"/>
          <w:sz w:val="24"/>
          <w:szCs w:val="24"/>
        </w:rPr>
        <w:t xml:space="preserve">hat the US administration may require third countries to </w:t>
      </w:r>
      <w:r w:rsidRPr="00D04940" w:rsidR="00623268">
        <w:rPr>
          <w:rFonts w:ascii="Verdana" w:hAnsi="Verdana"/>
          <w:sz w:val="24"/>
          <w:szCs w:val="24"/>
        </w:rPr>
        <w:t xml:space="preserve">also </w:t>
      </w:r>
      <w:r w:rsidRPr="00D04940">
        <w:rPr>
          <w:rFonts w:ascii="Verdana" w:hAnsi="Verdana"/>
          <w:sz w:val="24"/>
          <w:szCs w:val="24"/>
        </w:rPr>
        <w:t xml:space="preserve">take actions against </w:t>
      </w:r>
      <w:r w:rsidRPr="00D04940" w:rsidR="00623268">
        <w:rPr>
          <w:rFonts w:ascii="Verdana" w:hAnsi="Verdana"/>
          <w:sz w:val="24"/>
          <w:szCs w:val="24"/>
        </w:rPr>
        <w:t xml:space="preserve">China – be this with regard to export or investment controls for example. President Trump and some of his top aides also appear extremely negatively disposed towards the EU. While, probably unlikely, it is conceivable that US demands for such actions may extend to actions against the EU. </w:t>
      </w:r>
      <w:r w:rsidRPr="00D04940" w:rsidR="008E165C">
        <w:rPr>
          <w:rFonts w:ascii="Verdana" w:hAnsi="Verdana"/>
          <w:sz w:val="24"/>
          <w:szCs w:val="24"/>
        </w:rPr>
        <w:t xml:space="preserve">The UK should not accede to such pressure. </w:t>
      </w:r>
    </w:p>
    <w:p w:rsidR="007A26B1" w:rsidRPr="00D04940" w:rsidP="001723BC">
      <w:pPr>
        <w:rPr>
          <w:rFonts w:ascii="Verdana" w:hAnsi="Verdana"/>
          <w:b/>
          <w:bCs/>
          <w:sz w:val="24"/>
          <w:szCs w:val="24"/>
        </w:rPr>
      </w:pPr>
      <w:r w:rsidRPr="00D04940">
        <w:rPr>
          <w:rFonts w:ascii="Verdana" w:hAnsi="Verdana"/>
          <w:b/>
          <w:bCs/>
          <w:sz w:val="24"/>
          <w:szCs w:val="24"/>
        </w:rPr>
        <w:t>Our recommendation is</w:t>
      </w:r>
      <w:r w:rsidRPr="00D04940" w:rsidR="001723BC">
        <w:rPr>
          <w:rFonts w:ascii="Verdana" w:hAnsi="Verdana"/>
          <w:b/>
          <w:bCs/>
          <w:sz w:val="24"/>
          <w:szCs w:val="24"/>
        </w:rPr>
        <w:t xml:space="preserve"> that under the current circumstances, the UK prioritises its relationship with the EU and the rest of the world as opposed to the United States. This should mean respecting the existing rules of the multilateral trading system and that any deal that may be struck with the US does not compromise the UK-EU reset.</w:t>
      </w:r>
    </w:p>
    <w:p w:rsidR="001723BC" w:rsidRPr="00D04940" w:rsidP="001723BC">
      <w:pPr>
        <w:rPr>
          <w:rFonts w:ascii="Verdana" w:hAnsi="Verdana"/>
          <w:b/>
          <w:bCs/>
          <w:sz w:val="24"/>
          <w:szCs w:val="24"/>
        </w:rPr>
      </w:pPr>
    </w:p>
    <w:p w:rsidR="00216BCE" w:rsidRPr="00D04940" w:rsidP="00216BCE">
      <w:pPr>
        <w:rPr>
          <w:rFonts w:ascii="Verdana" w:hAnsi="Verdana"/>
          <w:color w:val="C00000"/>
          <w:sz w:val="24"/>
          <w:szCs w:val="24"/>
        </w:rPr>
      </w:pPr>
      <w:r w:rsidRPr="00D04940">
        <w:rPr>
          <w:rFonts w:ascii="Verdana" w:hAnsi="Verdana"/>
          <w:sz w:val="24"/>
          <w:szCs w:val="24"/>
        </w:rPr>
        <w:t xml:space="preserve">12. </w:t>
      </w:r>
      <w:r w:rsidRPr="00D04940">
        <w:rPr>
          <w:rFonts w:ascii="Verdana" w:hAnsi="Verdana"/>
          <w:b/>
          <w:bCs/>
          <w:color w:val="C00000"/>
          <w:sz w:val="24"/>
          <w:szCs w:val="24"/>
        </w:rPr>
        <w:t xml:space="preserve">How can the Government most effectively engage with and inform the devolved Administrations and legislatures, the public, </w:t>
      </w:r>
      <w:r w:rsidRPr="00D04940">
        <w:rPr>
          <w:rFonts w:ascii="Verdana" w:hAnsi="Verdana"/>
          <w:b/>
          <w:bCs/>
          <w:color w:val="C00000"/>
          <w:sz w:val="24"/>
          <w:szCs w:val="24"/>
        </w:rPr>
        <w:t>parliamentarians and business and other domestic stakeholders with respect to the reset process? Are there lessons that the Government could learn from the UK’s negotiation of post-Brexit trade agreements with partners other than the EU?</w:t>
      </w:r>
    </w:p>
    <w:p w:rsidR="00216BCE" w:rsidRPr="00D04940" w:rsidP="00216BCE">
      <w:pPr>
        <w:rPr>
          <w:rFonts w:ascii="Verdana" w:hAnsi="Verdana"/>
          <w:sz w:val="24"/>
          <w:szCs w:val="24"/>
        </w:rPr>
      </w:pPr>
      <w:r w:rsidRPr="00D04940">
        <w:rPr>
          <w:rFonts w:ascii="Verdana" w:hAnsi="Verdana"/>
          <w:sz w:val="24"/>
          <w:szCs w:val="24"/>
        </w:rPr>
        <w:t xml:space="preserve">13. </w:t>
      </w:r>
      <w:r w:rsidRPr="00D04940">
        <w:rPr>
          <w:rFonts w:ascii="Verdana" w:hAnsi="Verdana"/>
          <w:b/>
          <w:bCs/>
          <w:color w:val="C00000"/>
          <w:sz w:val="24"/>
          <w:szCs w:val="24"/>
        </w:rPr>
        <w:t>Is it necessary or desirable for the results of any UK-EU reset to take legally binding form? If so, what legal form should be taken by any new UK-EU agreements, and what would be the implications for parliamentary scrutiny</w:t>
      </w:r>
      <w:r w:rsidRPr="00D04940">
        <w:rPr>
          <w:rFonts w:ascii="Verdana" w:hAnsi="Verdana"/>
          <w:sz w:val="24"/>
          <w:szCs w:val="24"/>
        </w:rPr>
        <w:t>?</w:t>
      </w:r>
    </w:p>
    <w:p w:rsidR="00644BCF" w:rsidRPr="00D04940" w:rsidP="00216BCE">
      <w:pPr>
        <w:rPr>
          <w:rFonts w:ascii="Verdana" w:hAnsi="Verdana"/>
          <w:sz w:val="24"/>
          <w:szCs w:val="24"/>
        </w:rPr>
      </w:pPr>
      <w:r w:rsidRPr="00D04940">
        <w:rPr>
          <w:rFonts w:ascii="Verdana" w:hAnsi="Verdana"/>
          <w:sz w:val="24"/>
          <w:szCs w:val="24"/>
        </w:rPr>
        <w:t xml:space="preserve">(Answer to both 12 and 13) </w:t>
      </w:r>
    </w:p>
    <w:p w:rsidR="00644BCF" w:rsidRPr="00D04940" w:rsidP="00216BCE">
      <w:pPr>
        <w:rPr>
          <w:rFonts w:ascii="Verdana" w:hAnsi="Verdana"/>
          <w:sz w:val="24"/>
          <w:szCs w:val="24"/>
        </w:rPr>
      </w:pPr>
      <w:r w:rsidRPr="00D04940">
        <w:rPr>
          <w:rFonts w:ascii="Verdana" w:hAnsi="Verdana"/>
          <w:sz w:val="24"/>
          <w:szCs w:val="24"/>
        </w:rPr>
        <w:t>It seems very difficult to manage an EU re-set without legally binding commitments, even if these are only domestic in nature. As an example, t</w:t>
      </w:r>
      <w:r w:rsidRPr="00D04940">
        <w:rPr>
          <w:rFonts w:ascii="Verdana" w:hAnsi="Verdana"/>
          <w:sz w:val="24"/>
          <w:szCs w:val="24"/>
        </w:rPr>
        <w:t>he UK could manage the re-set unilaterally, by simply agreeing to follow EU regulation</w:t>
      </w:r>
      <w:r w:rsidRPr="00D04940" w:rsidR="00CB2950">
        <w:rPr>
          <w:rFonts w:ascii="Verdana" w:hAnsi="Verdana"/>
          <w:sz w:val="24"/>
          <w:szCs w:val="24"/>
        </w:rPr>
        <w:t xml:space="preserve">, </w:t>
      </w:r>
      <w:r w:rsidRPr="00D04940">
        <w:rPr>
          <w:rFonts w:ascii="Verdana" w:hAnsi="Verdana"/>
          <w:sz w:val="24"/>
          <w:szCs w:val="24"/>
        </w:rPr>
        <w:t xml:space="preserve">a model </w:t>
      </w:r>
      <w:r w:rsidRPr="00D04940" w:rsidR="00CB2950">
        <w:rPr>
          <w:rFonts w:ascii="Verdana" w:hAnsi="Verdana"/>
          <w:sz w:val="24"/>
          <w:szCs w:val="24"/>
        </w:rPr>
        <w:t xml:space="preserve">adopted in </w:t>
      </w:r>
      <w:r w:rsidRPr="00D04940">
        <w:rPr>
          <w:rFonts w:ascii="Verdana" w:hAnsi="Verdana"/>
          <w:sz w:val="24"/>
          <w:szCs w:val="24"/>
        </w:rPr>
        <w:t xml:space="preserve">the Product </w:t>
      </w:r>
      <w:r w:rsidRPr="00D04940">
        <w:rPr>
          <w:rFonts w:ascii="Verdana" w:hAnsi="Verdana"/>
          <w:sz w:val="24"/>
          <w:szCs w:val="24"/>
        </w:rPr>
        <w:t>Regulation</w:t>
      </w:r>
      <w:r w:rsidRPr="00D04940">
        <w:rPr>
          <w:rFonts w:ascii="Verdana" w:hAnsi="Verdana"/>
          <w:sz w:val="24"/>
          <w:szCs w:val="24"/>
        </w:rPr>
        <w:t xml:space="preserve"> and Metrology Bill</w:t>
      </w:r>
      <w:r w:rsidRPr="00D04940" w:rsidR="00CB2950">
        <w:rPr>
          <w:rFonts w:ascii="Verdana" w:hAnsi="Verdana"/>
          <w:sz w:val="24"/>
          <w:szCs w:val="24"/>
        </w:rPr>
        <w:t xml:space="preserve"> (2024)</w:t>
      </w:r>
      <w:r w:rsidRPr="00D04940">
        <w:rPr>
          <w:rFonts w:ascii="Verdana" w:hAnsi="Verdana"/>
          <w:sz w:val="24"/>
          <w:szCs w:val="24"/>
        </w:rPr>
        <w:t xml:space="preserve">. However, a unilateral approach is very unlikely to result in any formal market access concessions from the EU, which is what the UK ultimately seeks. </w:t>
      </w:r>
      <w:r w:rsidRPr="00D04940" w:rsidR="00CB2950">
        <w:rPr>
          <w:rFonts w:ascii="Verdana" w:hAnsi="Verdana"/>
          <w:sz w:val="24"/>
          <w:szCs w:val="24"/>
        </w:rPr>
        <w:t xml:space="preserve">Elements of the re-set that change UK regulation </w:t>
      </w:r>
      <w:r w:rsidRPr="00D04940">
        <w:rPr>
          <w:rFonts w:ascii="Verdana" w:hAnsi="Verdana"/>
          <w:sz w:val="24"/>
          <w:szCs w:val="24"/>
        </w:rPr>
        <w:t xml:space="preserve">need to be </w:t>
      </w:r>
      <w:r w:rsidRPr="00D04940" w:rsidR="00CB2950">
        <w:rPr>
          <w:rFonts w:ascii="Verdana" w:hAnsi="Verdana"/>
          <w:sz w:val="24"/>
          <w:szCs w:val="24"/>
        </w:rPr>
        <w:t>negotiated</w:t>
      </w:r>
      <w:r w:rsidRPr="00D04940">
        <w:rPr>
          <w:rFonts w:ascii="Verdana" w:hAnsi="Verdana"/>
          <w:sz w:val="24"/>
          <w:szCs w:val="24"/>
        </w:rPr>
        <w:t xml:space="preserve">, </w:t>
      </w:r>
      <w:r w:rsidRPr="00D04940" w:rsidR="00CB2950">
        <w:rPr>
          <w:rFonts w:ascii="Verdana" w:hAnsi="Verdana"/>
          <w:sz w:val="24"/>
          <w:szCs w:val="24"/>
        </w:rPr>
        <w:t>will likely be incorporated into the TCA, and then</w:t>
      </w:r>
      <w:r w:rsidRPr="00D04940">
        <w:rPr>
          <w:rFonts w:ascii="Verdana" w:hAnsi="Verdana"/>
          <w:sz w:val="24"/>
          <w:szCs w:val="24"/>
        </w:rPr>
        <w:t xml:space="preserve"> </w:t>
      </w:r>
      <w:r w:rsidRPr="00D04940" w:rsidR="00CB2950">
        <w:rPr>
          <w:rFonts w:ascii="Verdana" w:hAnsi="Verdana"/>
          <w:sz w:val="24"/>
          <w:szCs w:val="24"/>
        </w:rPr>
        <w:t>transposed</w:t>
      </w:r>
      <w:r w:rsidRPr="00D04940">
        <w:rPr>
          <w:rFonts w:ascii="Verdana" w:hAnsi="Verdana"/>
          <w:sz w:val="24"/>
          <w:szCs w:val="24"/>
        </w:rPr>
        <w:t xml:space="preserve"> </w:t>
      </w:r>
      <w:r w:rsidRPr="00D04940" w:rsidR="00CB2950">
        <w:rPr>
          <w:rFonts w:ascii="Verdana" w:hAnsi="Verdana"/>
          <w:sz w:val="24"/>
          <w:szCs w:val="24"/>
        </w:rPr>
        <w:t>as binding commitments in</w:t>
      </w:r>
      <w:r w:rsidRPr="00D04940">
        <w:rPr>
          <w:rFonts w:ascii="Verdana" w:hAnsi="Verdana"/>
          <w:sz w:val="24"/>
          <w:szCs w:val="24"/>
        </w:rPr>
        <w:t xml:space="preserve"> domestic law. </w:t>
      </w:r>
    </w:p>
    <w:p w:rsidR="000C474A" w:rsidRPr="00D04940" w:rsidP="000C474A">
      <w:pPr>
        <w:rPr>
          <w:rFonts w:ascii="Verdana" w:hAnsi="Verdana"/>
          <w:sz w:val="24"/>
          <w:szCs w:val="24"/>
        </w:rPr>
      </w:pPr>
      <w:r w:rsidRPr="00D04940">
        <w:rPr>
          <w:rFonts w:ascii="Verdana" w:hAnsi="Verdana"/>
          <w:sz w:val="24"/>
          <w:szCs w:val="24"/>
        </w:rPr>
        <w:t xml:space="preserve">There are important implications for UK domestic governance, including both Parliamentary scrutiny and competences of devolved administrations, for elements of the UK-EU re-set that entail changes to UK domestic regulation or regulatory processes. </w:t>
      </w:r>
      <w:r w:rsidRPr="00D04940" w:rsidR="00851A4C">
        <w:rPr>
          <w:rFonts w:ascii="Verdana" w:hAnsi="Verdana"/>
          <w:sz w:val="24"/>
          <w:szCs w:val="24"/>
        </w:rPr>
        <w:t>The keen interest in UK-EU relations of the NI, Welsh and Scottish Governments, plus the impact on devolved areas of policy make such engagement with all three devolved administrations good practice.</w:t>
      </w:r>
      <w:r w:rsidRPr="00D04940">
        <w:rPr>
          <w:rFonts w:ascii="Verdana" w:hAnsi="Verdana"/>
          <w:sz w:val="24"/>
          <w:szCs w:val="24"/>
        </w:rPr>
        <w:t xml:space="preserve"> Ensuring involvement of the devolved administrations is likely to improve the deals the UK negotiates, and creates better legitimacy and transparency, as decisions about trade are made closer to the people affected by those decisions, and their views are incorporated from an early stage.</w:t>
      </w:r>
    </w:p>
    <w:p w:rsidR="00EE23E9" w:rsidRPr="00D04940" w:rsidP="000C474A">
      <w:pPr>
        <w:rPr>
          <w:rFonts w:ascii="Verdana" w:hAnsi="Verdana"/>
          <w:sz w:val="24"/>
          <w:szCs w:val="24"/>
        </w:rPr>
      </w:pPr>
      <w:r w:rsidRPr="00D04940">
        <w:rPr>
          <w:rFonts w:ascii="Verdana" w:hAnsi="Verdana"/>
          <w:sz w:val="24"/>
          <w:szCs w:val="24"/>
        </w:rPr>
        <w:t xml:space="preserve">There is a key opportunity to connect the two reset processes - that of UK-EU relationships and that of UK intergovernmental relations. The specific circumstances of Northern Ireland and the knock-on effects on GB to NI trade of changes to UK-EU trade mean such UK Gov/NI discussions should already be taking place. </w:t>
      </w:r>
    </w:p>
    <w:p w:rsidR="0058405D" w:rsidRPr="00D04940" w:rsidP="0058405D">
      <w:pPr>
        <w:rPr>
          <w:rFonts w:ascii="Verdana" w:hAnsi="Verdana"/>
          <w:sz w:val="24"/>
          <w:szCs w:val="24"/>
        </w:rPr>
      </w:pPr>
      <w:r w:rsidRPr="00D04940">
        <w:rPr>
          <w:rFonts w:ascii="Verdana" w:hAnsi="Verdana"/>
          <w:sz w:val="24"/>
          <w:szCs w:val="24"/>
        </w:rPr>
        <w:t xml:space="preserve">At </w:t>
      </w:r>
      <w:r w:rsidRPr="00D04940" w:rsidR="005558BD">
        <w:rPr>
          <w:rFonts w:ascii="Verdana" w:hAnsi="Verdana"/>
          <w:sz w:val="24"/>
          <w:szCs w:val="24"/>
        </w:rPr>
        <w:t xml:space="preserve">a </w:t>
      </w:r>
      <w:r w:rsidRPr="00D04940">
        <w:rPr>
          <w:rFonts w:ascii="Verdana" w:hAnsi="Verdana"/>
          <w:sz w:val="24"/>
          <w:szCs w:val="24"/>
        </w:rPr>
        <w:t>minimum, how the reset would affect devolved policy areas should be discussed in intergovernmental ministerial settings (</w:t>
      </w:r>
      <w:r w:rsidRPr="00D04940">
        <w:rPr>
          <w:rFonts w:ascii="Verdana" w:hAnsi="Verdana"/>
          <w:sz w:val="24"/>
          <w:szCs w:val="24"/>
        </w:rPr>
        <w:t>eg</w:t>
      </w:r>
      <w:r w:rsidRPr="00D04940">
        <w:rPr>
          <w:rFonts w:ascii="Verdana" w:hAnsi="Verdana"/>
          <w:sz w:val="24"/>
          <w:szCs w:val="24"/>
        </w:rPr>
        <w:t xml:space="preserve"> for SPS discussions, in EFRA EMG) as well as through policy-specific Common Frameworks to not only keep devolved actors abreast of negotiations but draw on their expertise. </w:t>
      </w:r>
    </w:p>
    <w:p w:rsidR="009F38DF" w:rsidRPr="00D04940" w:rsidP="009F38DF">
      <w:pPr>
        <w:rPr>
          <w:rFonts w:ascii="Verdana" w:hAnsi="Verdana"/>
          <w:sz w:val="24"/>
          <w:szCs w:val="24"/>
        </w:rPr>
      </w:pPr>
      <w:r w:rsidRPr="00D04940">
        <w:rPr>
          <w:rFonts w:ascii="Verdana" w:hAnsi="Verdana"/>
          <w:sz w:val="24"/>
          <w:szCs w:val="24"/>
        </w:rPr>
        <w:t>If dynamic alignment is involved with any elements of the EU re-set, such as an SPS Agreement, new procedures must be established to ensure that devolved nations are involved in discussions about this alignment</w:t>
      </w:r>
      <w:r w:rsidRPr="00D04940">
        <w:rPr>
          <w:rFonts w:ascii="Verdana" w:hAnsi="Verdana"/>
          <w:sz w:val="24"/>
          <w:szCs w:val="24"/>
        </w:rPr>
        <w:t xml:space="preserve">. For example, The Product Regulation and Metrology Bill provides little scope for meaningful involvement from devolved nations or Parliament. In contrast, the Continuity </w:t>
      </w:r>
      <w:r w:rsidRPr="00D04940" w:rsidR="00E736E8">
        <w:rPr>
          <w:rFonts w:ascii="Verdana" w:hAnsi="Verdana"/>
          <w:sz w:val="24"/>
          <w:szCs w:val="24"/>
        </w:rPr>
        <w:t xml:space="preserve">(Scotland) </w:t>
      </w:r>
      <w:r w:rsidRPr="00D04940">
        <w:rPr>
          <w:rFonts w:ascii="Verdana" w:hAnsi="Verdana"/>
          <w:sz w:val="24"/>
          <w:szCs w:val="24"/>
        </w:rPr>
        <w:t xml:space="preserve">Act provides for some oversight from Scottish Parliament. </w:t>
      </w:r>
    </w:p>
    <w:p w:rsidR="0058405D" w:rsidRPr="00D04940" w:rsidP="0058405D">
      <w:pPr>
        <w:rPr>
          <w:rFonts w:ascii="Verdana" w:hAnsi="Verdana"/>
          <w:sz w:val="24"/>
          <w:szCs w:val="24"/>
        </w:rPr>
      </w:pPr>
      <w:r w:rsidRPr="00D04940">
        <w:rPr>
          <w:rFonts w:ascii="Verdana" w:hAnsi="Verdana"/>
          <w:sz w:val="24"/>
          <w:szCs w:val="24"/>
        </w:rPr>
        <w:t xml:space="preserve">It is worth pointing out that effective engagement is about not just the frequency of interaction between the governments, but the quality of that engagement and the importance of sharing all necessary information. </w:t>
      </w:r>
      <w:r w:rsidRPr="00D04940" w:rsidR="000C474A">
        <w:rPr>
          <w:rFonts w:ascii="Verdana" w:hAnsi="Verdana"/>
          <w:sz w:val="24"/>
          <w:szCs w:val="24"/>
        </w:rPr>
        <w:t xml:space="preserve">We are aware too that there have been requests for </w:t>
      </w:r>
      <w:r w:rsidRPr="00D04940">
        <w:rPr>
          <w:rFonts w:ascii="Verdana" w:hAnsi="Verdana"/>
          <w:sz w:val="24"/>
          <w:szCs w:val="24"/>
        </w:rPr>
        <w:t xml:space="preserve">improved devolved representation in the Domestic Advisory Groups in the formal TCA structures. </w:t>
      </w:r>
    </w:p>
    <w:p w:rsidR="0058405D" w:rsidRPr="00D04940" w:rsidP="0058405D">
      <w:pPr>
        <w:rPr>
          <w:rFonts w:ascii="Verdana" w:hAnsi="Verdana"/>
          <w:sz w:val="24"/>
          <w:szCs w:val="24"/>
        </w:rPr>
      </w:pPr>
      <w:r w:rsidRPr="00D04940">
        <w:rPr>
          <w:rFonts w:ascii="Verdana" w:hAnsi="Verdana"/>
          <w:sz w:val="24"/>
          <w:szCs w:val="24"/>
        </w:rPr>
        <w:t xml:space="preserve">Our understanding is that engagement relating to UK </w:t>
      </w:r>
      <w:r w:rsidRPr="00D04940" w:rsidR="007A26B1">
        <w:rPr>
          <w:rFonts w:ascii="Verdana" w:hAnsi="Verdana"/>
          <w:sz w:val="24"/>
          <w:szCs w:val="24"/>
        </w:rPr>
        <w:t xml:space="preserve">trade </w:t>
      </w:r>
      <w:r w:rsidRPr="00D04940">
        <w:rPr>
          <w:rFonts w:ascii="Verdana" w:hAnsi="Verdana"/>
          <w:sz w:val="24"/>
          <w:szCs w:val="24"/>
        </w:rPr>
        <w:t>agreements with the rest of the world (</w:t>
      </w:r>
      <w:r w:rsidRPr="00D04940">
        <w:rPr>
          <w:rFonts w:ascii="Verdana" w:hAnsi="Verdana"/>
          <w:sz w:val="24"/>
          <w:szCs w:val="24"/>
        </w:rPr>
        <w:t>ie</w:t>
      </w:r>
      <w:r w:rsidRPr="00D04940">
        <w:rPr>
          <w:rFonts w:ascii="Verdana" w:hAnsi="Verdana"/>
          <w:sz w:val="24"/>
          <w:szCs w:val="24"/>
        </w:rPr>
        <w:t xml:space="preserve"> non-EU) has generally been positive with good information sharing arrangements in place. Given the positive feedback, it would seem likely there are lessons to be learnt in how to replicate arrangements with the devolved governments.</w:t>
      </w:r>
    </w:p>
    <w:p w:rsidR="0058405D" w:rsidRPr="00D04940" w:rsidP="0058405D">
      <w:pPr>
        <w:rPr>
          <w:rFonts w:ascii="Verdana" w:hAnsi="Verdana"/>
          <w:sz w:val="24"/>
          <w:szCs w:val="24"/>
        </w:rPr>
      </w:pPr>
      <w:r w:rsidRPr="00D04940">
        <w:rPr>
          <w:rFonts w:ascii="Verdana" w:hAnsi="Verdana"/>
          <w:sz w:val="24"/>
          <w:szCs w:val="24"/>
        </w:rPr>
        <w:t>It is also important that any impact assessment includ</w:t>
      </w:r>
      <w:r w:rsidRPr="00D04940" w:rsidR="007A26B1">
        <w:rPr>
          <w:rFonts w:ascii="Verdana" w:hAnsi="Verdana"/>
          <w:sz w:val="24"/>
          <w:szCs w:val="24"/>
        </w:rPr>
        <w:t>es</w:t>
      </w:r>
      <w:r w:rsidRPr="00D04940">
        <w:rPr>
          <w:rFonts w:ascii="Verdana" w:hAnsi="Verdana"/>
          <w:sz w:val="24"/>
          <w:szCs w:val="24"/>
        </w:rPr>
        <w:t xml:space="preserve"> a sufficiently detailed regional analysis, </w:t>
      </w:r>
      <w:r w:rsidRPr="00D04940">
        <w:rPr>
          <w:rFonts w:ascii="Verdana" w:hAnsi="Verdana"/>
          <w:sz w:val="24"/>
          <w:szCs w:val="24"/>
        </w:rPr>
        <w:t>so as to</w:t>
      </w:r>
      <w:r w:rsidRPr="00D04940">
        <w:rPr>
          <w:rFonts w:ascii="Verdana" w:hAnsi="Verdana"/>
          <w:sz w:val="24"/>
          <w:szCs w:val="24"/>
        </w:rPr>
        <w:t xml:space="preserve"> allow a proper consideration of the evidence by the devolved administrations. </w:t>
      </w:r>
    </w:p>
    <w:p w:rsidR="007A26B1" w:rsidRPr="00D04940">
      <w:pPr>
        <w:rPr>
          <w:rFonts w:ascii="Verdana" w:hAnsi="Verdana"/>
          <w:sz w:val="24"/>
          <w:szCs w:val="24"/>
        </w:rPr>
      </w:pPr>
      <w:r w:rsidRPr="00D04940">
        <w:rPr>
          <w:rFonts w:ascii="Verdana" w:hAnsi="Verdana"/>
          <w:sz w:val="24"/>
          <w:szCs w:val="24"/>
        </w:rPr>
        <w:t xml:space="preserve">Hence, </w:t>
      </w:r>
      <w:r w:rsidRPr="00D04940" w:rsidR="009F32EF">
        <w:rPr>
          <w:rFonts w:ascii="Verdana" w:hAnsi="Verdana"/>
          <w:sz w:val="24"/>
          <w:szCs w:val="24"/>
        </w:rPr>
        <w:t>broader engagement with Parliament, devolved legislatures and stakeholders should also be factored in.</w:t>
      </w:r>
      <w:r>
        <w:rPr>
          <w:rStyle w:val="FootnoteReference"/>
          <w:rFonts w:ascii="Verdana" w:hAnsi="Verdana"/>
          <w:sz w:val="24"/>
          <w:szCs w:val="24"/>
        </w:rPr>
        <w:footnoteReference w:id="5"/>
      </w:r>
      <w:r w:rsidRPr="00D04940" w:rsidR="009F32EF">
        <w:rPr>
          <w:rFonts w:ascii="Verdana" w:hAnsi="Verdana"/>
          <w:sz w:val="24"/>
          <w:szCs w:val="24"/>
        </w:rPr>
        <w:t xml:space="preserve">  This could take different formats - stakeholders could contribute to a Parliamentary inquiry, or to a report from the OIM for example - and could be opportunity to test possibility for joint inquiries between different UK legislatures etc. Key lesson from UK negotiation of post-Brexit trade agreement with e.g. Australia, is that the UK is an outlier due to the weakness of Parliamentary scrutiny of Trade Deals — with </w:t>
      </w:r>
      <w:r w:rsidRPr="00D04940" w:rsidR="00FE7B63">
        <w:rPr>
          <w:rFonts w:ascii="Verdana" w:hAnsi="Verdana"/>
          <w:sz w:val="24"/>
          <w:szCs w:val="24"/>
        </w:rPr>
        <w:t xml:space="preserve">a </w:t>
      </w:r>
      <w:r w:rsidRPr="00D04940" w:rsidR="009F32EF">
        <w:rPr>
          <w:rFonts w:ascii="Verdana" w:hAnsi="Verdana"/>
          <w:sz w:val="24"/>
          <w:szCs w:val="24"/>
        </w:rPr>
        <w:t>knock on</w:t>
      </w:r>
      <w:r w:rsidRPr="00D04940" w:rsidR="009F32EF">
        <w:rPr>
          <w:rFonts w:ascii="Verdana" w:hAnsi="Verdana"/>
          <w:sz w:val="24"/>
          <w:szCs w:val="24"/>
        </w:rPr>
        <w:t xml:space="preserve"> impact on the legitimacy of those deals but also a risk that key expertise is missed</w:t>
      </w:r>
      <w:r w:rsidRPr="00D04940">
        <w:rPr>
          <w:rFonts w:ascii="Verdana" w:hAnsi="Verdana"/>
          <w:sz w:val="24"/>
          <w:szCs w:val="24"/>
        </w:rPr>
        <w:t>.</w:t>
      </w:r>
      <w:r w:rsidRPr="00D04940" w:rsidR="009F32EF">
        <w:rPr>
          <w:rFonts w:ascii="Verdana" w:hAnsi="Verdana"/>
          <w:sz w:val="24"/>
          <w:szCs w:val="24"/>
        </w:rPr>
        <w:t> </w:t>
      </w:r>
    </w:p>
    <w:p w:rsidR="007A26B1" w:rsidRPr="00D04940" w:rsidP="007A26B1">
      <w:pPr>
        <w:rPr>
          <w:rFonts w:ascii="Verdana" w:hAnsi="Verdana"/>
          <w:b/>
          <w:bCs/>
          <w:sz w:val="24"/>
          <w:szCs w:val="24"/>
        </w:rPr>
      </w:pPr>
      <w:r w:rsidRPr="00D04940">
        <w:rPr>
          <w:rFonts w:ascii="Verdana" w:hAnsi="Verdana"/>
          <w:b/>
          <w:bCs/>
          <w:sz w:val="24"/>
          <w:szCs w:val="24"/>
        </w:rPr>
        <w:t>Our recommendation is</w:t>
      </w:r>
      <w:r w:rsidRPr="00D04940" w:rsidR="001723BC">
        <w:rPr>
          <w:rFonts w:ascii="Verdana" w:hAnsi="Verdana"/>
          <w:b/>
          <w:bCs/>
          <w:sz w:val="24"/>
          <w:szCs w:val="24"/>
        </w:rPr>
        <w:t xml:space="preserve"> that it is important to ensure devolved nations have meaningful input into UK negotiating positions on the EU-UK reset, </w:t>
      </w:r>
      <w:r w:rsidRPr="00D04940" w:rsidR="001723BC">
        <w:rPr>
          <w:rFonts w:ascii="Verdana" w:hAnsi="Verdana"/>
          <w:b/>
          <w:bCs/>
          <w:sz w:val="24"/>
          <w:szCs w:val="24"/>
        </w:rPr>
        <w:t>particular those</w:t>
      </w:r>
      <w:r w:rsidRPr="00D04940" w:rsidR="001723BC">
        <w:rPr>
          <w:rFonts w:ascii="Verdana" w:hAnsi="Verdana"/>
          <w:b/>
          <w:bCs/>
          <w:sz w:val="24"/>
          <w:szCs w:val="24"/>
        </w:rPr>
        <w:t xml:space="preserve"> in devolved areas, such as agri-food and environment.  </w:t>
      </w:r>
    </w:p>
    <w:p w:rsidR="007A26B1" w:rsidRPr="00D04940" w:rsidP="001723BC">
      <w:pPr>
        <w:ind w:left="720" w:hanging="720"/>
        <w:rPr>
          <w:rFonts w:ascii="Verdana" w:hAnsi="Verdana"/>
          <w:b/>
          <w:bCs/>
          <w:sz w:val="24"/>
          <w:szCs w:val="24"/>
        </w:rPr>
      </w:pPr>
      <w:r w:rsidRPr="00D04940">
        <w:rPr>
          <w:rFonts w:ascii="Verdana" w:hAnsi="Verdana"/>
          <w:b/>
          <w:bCs/>
          <w:sz w:val="24"/>
          <w:szCs w:val="24"/>
        </w:rPr>
        <w:t>Received 2</w:t>
      </w:r>
      <w:r w:rsidRPr="00D04940">
        <w:rPr>
          <w:rFonts w:ascii="Verdana" w:hAnsi="Verdana"/>
          <w:b/>
          <w:bCs/>
          <w:sz w:val="24"/>
          <w:szCs w:val="24"/>
          <w:vertAlign w:val="superscript"/>
        </w:rPr>
        <w:t xml:space="preserve"> </w:t>
      </w:r>
      <w:r w:rsidRPr="00D04940">
        <w:rPr>
          <w:rFonts w:ascii="Verdana" w:hAnsi="Verdana"/>
          <w:b/>
          <w:bCs/>
          <w:sz w:val="24"/>
          <w:szCs w:val="24"/>
        </w:rPr>
        <w:t>April 2025</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44AC2" w:rsidP="00715EE4">
      <w:pPr>
        <w:spacing w:after="0" w:line="240" w:lineRule="auto"/>
      </w:pPr>
      <w:r>
        <w:separator/>
      </w:r>
    </w:p>
  </w:footnote>
  <w:footnote w:type="continuationSeparator" w:id="1">
    <w:p w:rsidR="00844AC2" w:rsidP="00715EE4">
      <w:pPr>
        <w:spacing w:after="0" w:line="240" w:lineRule="auto"/>
      </w:pPr>
      <w:r>
        <w:continuationSeparator/>
      </w:r>
    </w:p>
  </w:footnote>
  <w:footnote w:id="2">
    <w:p w:rsidR="00715EE4">
      <w:pPr>
        <w:pStyle w:val="FootnoteText"/>
      </w:pPr>
      <w:r>
        <w:rPr>
          <w:rStyle w:val="FootnoteReference"/>
        </w:rPr>
        <w:footnoteRef/>
      </w:r>
      <w:r>
        <w:t xml:space="preserve"> For an accessible but informed discussion of the issues see: </w:t>
      </w:r>
      <w:r>
        <w:fldChar w:fldCharType="begin"/>
      </w:r>
      <w:r>
        <w:instrText xml:space="preserve"> HYPERLINK "https://citp.ac.uk/publications/an-eu-uk-sps-agreement-the-perils-and-possibilities-of-realignment" </w:instrText>
      </w:r>
      <w:r>
        <w:fldChar w:fldCharType="separate"/>
      </w:r>
      <w:r w:rsidRPr="002A7E0F" w:rsidR="00DD648D">
        <w:rPr>
          <w:rStyle w:val="Hyperlink"/>
        </w:rPr>
        <w:t>https://citp.ac.uk/publications/an-eu-uk-sps-agreement-the-perils-and-possibilities-of-realignment</w:t>
      </w:r>
      <w:r>
        <w:fldChar w:fldCharType="end"/>
      </w:r>
      <w:r w:rsidR="00DD648D">
        <w:t xml:space="preserve"> </w:t>
      </w:r>
    </w:p>
  </w:footnote>
  <w:footnote w:id="3">
    <w:p w:rsidR="00235B29">
      <w:pPr>
        <w:pStyle w:val="FootnoteText"/>
      </w:pPr>
      <w:r>
        <w:rPr>
          <w:rStyle w:val="FootnoteReference"/>
        </w:rPr>
        <w:footnoteRef/>
      </w:r>
      <w:r>
        <w:t xml:space="preserve"> </w:t>
      </w:r>
      <w:r w:rsidRPr="00235B29">
        <w:t>https://www.gov.uk/government/publications/ai-opportunities-action-plan/ai-opportunities-action-plan</w:t>
      </w:r>
    </w:p>
  </w:footnote>
  <w:footnote w:id="4">
    <w:p w:rsidR="00235B29">
      <w:pPr>
        <w:pStyle w:val="FootnoteText"/>
      </w:pPr>
      <w:r>
        <w:rPr>
          <w:rStyle w:val="FootnoteReference"/>
        </w:rPr>
        <w:footnoteRef/>
      </w:r>
      <w:r>
        <w:t xml:space="preserve"> </w:t>
      </w:r>
      <w:r w:rsidRPr="00235B29">
        <w:t>https://www.ft.com/content/85d8b8cc-878c-4e72-a9a8-8a3b31a5d670</w:t>
      </w:r>
    </w:p>
  </w:footnote>
  <w:footnote w:id="5">
    <w:p w:rsidR="00677CED" w:rsidP="00677CED">
      <w:r>
        <w:rPr>
          <w:rStyle w:val="FootnoteReference"/>
        </w:rPr>
        <w:footnoteRef/>
      </w:r>
      <w:r>
        <w:t xml:space="preserve"> See: </w:t>
      </w:r>
      <w:r>
        <w:fldChar w:fldCharType="begin"/>
      </w:r>
      <w:r>
        <w:instrText xml:space="preserve"> HYPERLINK "https://url.uk.m.mimecastprotect.com/s/l-xAC7XWjcAy5Vnwh8fWUo6JSA?domain=citp.ac.uk" \o "https://url.uk.m.mimecastprotect.com/s/l-xAC7XWjcAy5Vnwh8fWUo6JSA?domain=citp.ac.uk" </w:instrText>
      </w:r>
      <w:r>
        <w:fldChar w:fldCharType="separate"/>
      </w:r>
      <w:r w:rsidRPr="009F32EF">
        <w:rPr>
          <w:rStyle w:val="Hyperlink"/>
        </w:rPr>
        <w:t>https://citp.ac.uk/publications/how-should-parliament-scrutinise-new-treaties</w:t>
      </w:r>
      <w:r>
        <w:fldChar w:fldCharType="end"/>
      </w:r>
      <w:r>
        <w:t xml:space="preserve"> for a more detailed discussion. </w:t>
      </w:r>
    </w:p>
    <w:p w:rsidR="00677CED">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65C91"/>
    <w:multiLevelType w:val="hybridMultilevel"/>
    <w:tmpl w:val="046A91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26FB1BF4"/>
    <w:multiLevelType w:val="hybridMultilevel"/>
    <w:tmpl w:val="74E61E3E"/>
    <w:lvl w:ilvl="0">
      <w:start w:val="1"/>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7871467"/>
    <w:multiLevelType w:val="hybridMultilevel"/>
    <w:tmpl w:val="7C44B650"/>
    <w:lvl w:ilvl="0">
      <w:start w:val="1"/>
      <w:numFmt w:val="lowerRoman"/>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28377AAB"/>
    <w:multiLevelType w:val="hybridMultilevel"/>
    <w:tmpl w:val="AB30D26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31A71E99"/>
    <w:multiLevelType w:val="hybridMultilevel"/>
    <w:tmpl w:val="B0540AE4"/>
    <w:lvl w:ilvl="0">
      <w:start w:val="0"/>
      <w:numFmt w:val="bullet"/>
      <w:lvlText w:val="-"/>
      <w:lvlJc w:val="left"/>
      <w:pPr>
        <w:ind w:left="1080" w:hanging="360"/>
      </w:pPr>
      <w:rPr>
        <w:rFonts w:ascii="Aptos" w:hAnsi="Aptos" w:eastAsiaTheme="minorHAnsi" w:cstheme="minorBid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3D9D73DC"/>
    <w:multiLevelType w:val="hybridMultilevel"/>
    <w:tmpl w:val="1B9A45BC"/>
    <w:lvl w:ilvl="0">
      <w:start w:val="0"/>
      <w:numFmt w:val="bullet"/>
      <w:lvlText w:val="-"/>
      <w:lvlJc w:val="left"/>
      <w:pPr>
        <w:ind w:left="720" w:hanging="360"/>
      </w:pPr>
      <w:rPr>
        <w:rFonts w:ascii="Aptos" w:eastAsia="Aptos" w:hAnsi="Apto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5551597A"/>
    <w:multiLevelType w:val="hybridMultilevel"/>
    <w:tmpl w:val="C84E100E"/>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7">
    <w:nsid w:val="58921CCF"/>
    <w:multiLevelType w:val="multilevel"/>
    <w:tmpl w:val="B9A6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2"/>
  </w:num>
  <w:num w:numId="3">
    <w:abstractNumId w:val="1"/>
  </w:num>
  <w:num w:numId="4">
    <w:abstractNumId w:val="3"/>
  </w:num>
  <w:num w:numId="5">
    <w:abstractNumId w:val="4"/>
  </w:num>
  <w:num w:numId="6">
    <w:abstractNumId w:val="3"/>
  </w:num>
  <w:num w:numId="7">
    <w:abstractNumId w:val="6"/>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216B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6B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6B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6B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6B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6B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6B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6B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6B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B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6B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6B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6B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6B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6B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6B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6B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6BCE"/>
    <w:rPr>
      <w:rFonts w:eastAsiaTheme="majorEastAsia" w:cstheme="majorBidi"/>
      <w:color w:val="272727" w:themeColor="text1" w:themeTint="D8"/>
    </w:rPr>
  </w:style>
  <w:style w:type="paragraph" w:styleId="Title">
    <w:name w:val="Title"/>
    <w:basedOn w:val="Normal"/>
    <w:next w:val="Normal"/>
    <w:link w:val="TitleChar"/>
    <w:uiPriority w:val="10"/>
    <w:qFormat/>
    <w:rsid w:val="00216B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B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B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B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6BCE"/>
    <w:pPr>
      <w:spacing w:before="160"/>
      <w:jc w:val="center"/>
    </w:pPr>
    <w:rPr>
      <w:i/>
      <w:iCs/>
      <w:color w:val="404040" w:themeColor="text1" w:themeTint="BF"/>
    </w:rPr>
  </w:style>
  <w:style w:type="character" w:customStyle="1" w:styleId="QuoteChar">
    <w:name w:val="Quote Char"/>
    <w:basedOn w:val="DefaultParagraphFont"/>
    <w:link w:val="Quote"/>
    <w:uiPriority w:val="29"/>
    <w:rsid w:val="00216BCE"/>
    <w:rPr>
      <w:i/>
      <w:iCs/>
      <w:color w:val="404040" w:themeColor="text1" w:themeTint="BF"/>
    </w:rPr>
  </w:style>
  <w:style w:type="paragraph" w:styleId="ListParagraph">
    <w:name w:val="List Paragraph"/>
    <w:basedOn w:val="Normal"/>
    <w:uiPriority w:val="34"/>
    <w:qFormat/>
    <w:rsid w:val="00216BCE"/>
    <w:pPr>
      <w:ind w:left="720"/>
      <w:contextualSpacing/>
    </w:pPr>
  </w:style>
  <w:style w:type="character" w:styleId="IntenseEmphasis">
    <w:name w:val="Intense Emphasis"/>
    <w:basedOn w:val="DefaultParagraphFont"/>
    <w:uiPriority w:val="21"/>
    <w:qFormat/>
    <w:rsid w:val="00216BCE"/>
    <w:rPr>
      <w:i/>
      <w:iCs/>
      <w:color w:val="0F4761" w:themeColor="accent1" w:themeShade="BF"/>
    </w:rPr>
  </w:style>
  <w:style w:type="paragraph" w:styleId="IntenseQuote">
    <w:name w:val="Intense Quote"/>
    <w:basedOn w:val="Normal"/>
    <w:next w:val="Normal"/>
    <w:link w:val="IntenseQuoteChar"/>
    <w:uiPriority w:val="30"/>
    <w:qFormat/>
    <w:rsid w:val="00216B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6BCE"/>
    <w:rPr>
      <w:i/>
      <w:iCs/>
      <w:color w:val="0F4761" w:themeColor="accent1" w:themeShade="BF"/>
    </w:rPr>
  </w:style>
  <w:style w:type="character" w:styleId="IntenseReference">
    <w:name w:val="Intense Reference"/>
    <w:basedOn w:val="DefaultParagraphFont"/>
    <w:uiPriority w:val="32"/>
    <w:qFormat/>
    <w:rsid w:val="00216BCE"/>
    <w:rPr>
      <w:b/>
      <w:bCs/>
      <w:smallCaps/>
      <w:color w:val="0F4761" w:themeColor="accent1" w:themeShade="BF"/>
      <w:spacing w:val="5"/>
    </w:rPr>
  </w:style>
  <w:style w:type="character" w:styleId="Hyperlink">
    <w:name w:val="Hyperlink"/>
    <w:basedOn w:val="DefaultParagraphFont"/>
    <w:uiPriority w:val="99"/>
    <w:unhideWhenUsed/>
    <w:rsid w:val="00216BCE"/>
    <w:rPr>
      <w:color w:val="467886" w:themeColor="hyperlink"/>
      <w:u w:val="single"/>
    </w:rPr>
  </w:style>
  <w:style w:type="character" w:customStyle="1" w:styleId="UnresolvedMention">
    <w:name w:val="Unresolved Mention"/>
    <w:basedOn w:val="DefaultParagraphFont"/>
    <w:uiPriority w:val="99"/>
    <w:semiHidden/>
    <w:unhideWhenUsed/>
    <w:rsid w:val="00216BCE"/>
    <w:rPr>
      <w:color w:val="605E5C"/>
      <w:shd w:val="clear" w:color="auto" w:fill="E1DFDD"/>
    </w:rPr>
  </w:style>
  <w:style w:type="paragraph" w:styleId="NormalWeb">
    <w:name w:val="Normal (Web)"/>
    <w:basedOn w:val="Normal"/>
    <w:uiPriority w:val="99"/>
    <w:semiHidden/>
    <w:unhideWhenUsed/>
    <w:rsid w:val="0027051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F408F8"/>
    <w:rPr>
      <w:sz w:val="16"/>
      <w:szCs w:val="16"/>
    </w:rPr>
  </w:style>
  <w:style w:type="paragraph" w:styleId="CommentText">
    <w:name w:val="annotation text"/>
    <w:basedOn w:val="Normal"/>
    <w:link w:val="CommentTextChar"/>
    <w:uiPriority w:val="99"/>
    <w:unhideWhenUsed/>
    <w:rsid w:val="00F408F8"/>
    <w:pPr>
      <w:spacing w:line="240" w:lineRule="auto"/>
    </w:pPr>
    <w:rPr>
      <w:sz w:val="20"/>
      <w:szCs w:val="20"/>
    </w:rPr>
  </w:style>
  <w:style w:type="character" w:customStyle="1" w:styleId="CommentTextChar">
    <w:name w:val="Comment Text Char"/>
    <w:basedOn w:val="DefaultParagraphFont"/>
    <w:link w:val="CommentText"/>
    <w:uiPriority w:val="99"/>
    <w:rsid w:val="00F408F8"/>
    <w:rPr>
      <w:sz w:val="20"/>
      <w:szCs w:val="20"/>
    </w:rPr>
  </w:style>
  <w:style w:type="paragraph" w:styleId="CommentSubject">
    <w:name w:val="annotation subject"/>
    <w:basedOn w:val="CommentText"/>
    <w:next w:val="CommentText"/>
    <w:link w:val="CommentSubjectChar"/>
    <w:uiPriority w:val="99"/>
    <w:semiHidden/>
    <w:unhideWhenUsed/>
    <w:rsid w:val="00F408F8"/>
    <w:rPr>
      <w:b/>
      <w:bCs/>
    </w:rPr>
  </w:style>
  <w:style w:type="character" w:customStyle="1" w:styleId="CommentSubjectChar">
    <w:name w:val="Comment Subject Char"/>
    <w:basedOn w:val="CommentTextChar"/>
    <w:link w:val="CommentSubject"/>
    <w:uiPriority w:val="99"/>
    <w:semiHidden/>
    <w:rsid w:val="00F408F8"/>
    <w:rPr>
      <w:b/>
      <w:bCs/>
      <w:sz w:val="20"/>
      <w:szCs w:val="20"/>
    </w:rPr>
  </w:style>
  <w:style w:type="paragraph" w:styleId="FootnoteText">
    <w:name w:val="footnote text"/>
    <w:basedOn w:val="Normal"/>
    <w:link w:val="FootnoteTextChar"/>
    <w:uiPriority w:val="99"/>
    <w:semiHidden/>
    <w:unhideWhenUsed/>
    <w:rsid w:val="00715E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5EE4"/>
    <w:rPr>
      <w:sz w:val="20"/>
      <w:szCs w:val="20"/>
    </w:rPr>
  </w:style>
  <w:style w:type="character" w:styleId="FootnoteReference">
    <w:name w:val="footnote reference"/>
    <w:basedOn w:val="DefaultParagraphFont"/>
    <w:uiPriority w:val="99"/>
    <w:semiHidden/>
    <w:unhideWhenUsed/>
    <w:rsid w:val="00715EE4"/>
    <w:rPr>
      <w:vertAlign w:val="superscript"/>
    </w:rPr>
  </w:style>
  <w:style w:type="paragraph" w:styleId="Revision">
    <w:name w:val="Revision"/>
    <w:hidden/>
    <w:uiPriority w:val="99"/>
    <w:semiHidden/>
    <w:rsid w:val="00F65273"/>
    <w:pPr>
      <w:spacing w:after="0" w:line="240" w:lineRule="auto"/>
    </w:pPr>
  </w:style>
  <w:style w:type="paragraph" w:customStyle="1" w:styleId="pf0">
    <w:name w:val="pf0"/>
    <w:basedOn w:val="Normal"/>
    <w:rsid w:val="00220BB1"/>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cf01">
    <w:name w:val="cf01"/>
    <w:basedOn w:val="DefaultParagraphFont"/>
    <w:rsid w:val="00220BB1"/>
    <w:rPr>
      <w:rFonts w:ascii="Segoe UI" w:hAnsi="Segoe UI" w:cs="Segoe UI" w:hint="default"/>
      <w:sz w:val="18"/>
      <w:szCs w:val="18"/>
    </w:rPr>
  </w:style>
  <w:style w:type="paragraph" w:styleId="Header">
    <w:name w:val="header"/>
    <w:basedOn w:val="Normal"/>
    <w:link w:val="HeaderChar"/>
    <w:uiPriority w:val="99"/>
    <w:unhideWhenUsed/>
    <w:rsid w:val="00907F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7F24"/>
  </w:style>
  <w:style w:type="paragraph" w:styleId="Footer">
    <w:name w:val="footer"/>
    <w:basedOn w:val="Normal"/>
    <w:link w:val="FooterChar"/>
    <w:uiPriority w:val="99"/>
    <w:unhideWhenUsed/>
    <w:rsid w:val="00907F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7F24"/>
  </w:style>
  <w:style w:type="character" w:styleId="FollowedHyperlink">
    <w:name w:val="FollowedHyperlink"/>
    <w:basedOn w:val="DefaultParagraphFont"/>
    <w:uiPriority w:val="99"/>
    <w:semiHidden/>
    <w:unhideWhenUsed/>
    <w:rsid w:val="0061163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5D15E-546F-4428-860A-FAE993D9F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