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65F75" w:rsidRPr="00265F75" w:rsidP="00265F75">
      <w:pPr>
        <w:shd w:val="clear" w:color="auto" w:fill="FFFFFF"/>
        <w:spacing w:after="200"/>
        <w:rPr>
          <w:rFonts w:ascii="Verdana" w:hAnsi="Verdana"/>
          <w:b/>
          <w:bCs/>
          <w:sz w:val="28"/>
          <w:szCs w:val="28"/>
        </w:rPr>
      </w:pPr>
      <w:r>
        <w:rPr>
          <w:rFonts w:ascii="Verdana" w:hAnsi="Verdana"/>
          <w:b/>
          <w:bCs/>
          <w:sz w:val="28"/>
          <w:szCs w:val="28"/>
        </w:rPr>
        <w:t>Institutue</w:t>
      </w:r>
      <w:r>
        <w:rPr>
          <w:rFonts w:ascii="Verdana" w:hAnsi="Verdana"/>
          <w:b/>
          <w:bCs/>
          <w:sz w:val="28"/>
          <w:szCs w:val="28"/>
        </w:rPr>
        <w:t xml:space="preserve"> of Directors</w:t>
      </w:r>
      <w:r w:rsidRPr="004B5B3A">
        <w:rPr>
          <w:rFonts w:ascii="Verdana" w:hAnsi="Verdana"/>
          <w:b/>
          <w:bCs/>
          <w:sz w:val="28"/>
          <w:szCs w:val="28"/>
        </w:rPr>
        <w:t xml:space="preserve"> </w:t>
      </w:r>
      <w:r w:rsidRPr="00146BEA">
        <w:rPr>
          <w:rFonts w:ascii="Verdana" w:hAnsi="Verdana"/>
          <w:b/>
          <w:bCs/>
          <w:sz w:val="28"/>
          <w:szCs w:val="28"/>
        </w:rPr>
        <w:t>– Written Evidence (RES00</w:t>
      </w:r>
      <w:r>
        <w:rPr>
          <w:rFonts w:ascii="Verdana" w:hAnsi="Verdana"/>
          <w:b/>
          <w:bCs/>
          <w:sz w:val="28"/>
          <w:szCs w:val="28"/>
        </w:rPr>
        <w:t>7</w:t>
      </w:r>
      <w:r>
        <w:rPr>
          <w:rFonts w:ascii="Verdana" w:hAnsi="Verdana"/>
          <w:b/>
          <w:bCs/>
          <w:sz w:val="28"/>
          <w:szCs w:val="28"/>
        </w:rPr>
        <w:t>1</w:t>
      </w:r>
      <w:r w:rsidRPr="00146BEA">
        <w:rPr>
          <w:rFonts w:ascii="Verdana" w:hAnsi="Verdana"/>
          <w:b/>
          <w:bCs/>
          <w:sz w:val="28"/>
          <w:szCs w:val="28"/>
        </w:rPr>
        <w:t>)</w:t>
      </w:r>
    </w:p>
    <w:p w:rsidR="00265F75" w:rsidP="003C1432">
      <w:pPr>
        <w:jc w:val="right"/>
        <w:rPr>
          <w:rFonts w:ascii="Verdana" w:hAnsi="Verdana" w:cstheme="minorHAnsi"/>
        </w:rPr>
      </w:pPr>
    </w:p>
    <w:p w:rsidR="003C1432" w:rsidRPr="00265F75" w:rsidP="003C1432">
      <w:pPr>
        <w:jc w:val="right"/>
        <w:rPr>
          <w:rFonts w:ascii="Verdana" w:hAnsi="Verdana" w:cstheme="minorHAnsi"/>
        </w:rPr>
      </w:pPr>
      <w:r w:rsidRPr="00265F75">
        <w:rPr>
          <w:rFonts w:ascii="Verdana" w:hAnsi="Verdana" w:cstheme="minorHAnsi"/>
        </w:rPr>
        <w:t>Institute of Directors</w:t>
      </w:r>
    </w:p>
    <w:p w:rsidR="003C1432" w:rsidRPr="00265F75" w:rsidP="003C1432">
      <w:pPr>
        <w:jc w:val="right"/>
        <w:rPr>
          <w:rFonts w:ascii="Verdana" w:hAnsi="Verdana" w:cstheme="minorHAnsi"/>
        </w:rPr>
      </w:pPr>
      <w:r w:rsidRPr="00265F75">
        <w:rPr>
          <w:rFonts w:ascii="Verdana" w:hAnsi="Verdana" w:cstheme="minorHAnsi"/>
        </w:rPr>
        <w:t>116 Pall Mall</w:t>
      </w:r>
    </w:p>
    <w:p w:rsidR="003C1432" w:rsidRPr="00265F75" w:rsidP="003C1432">
      <w:pPr>
        <w:jc w:val="right"/>
        <w:rPr>
          <w:rFonts w:ascii="Verdana" w:hAnsi="Verdana" w:cstheme="minorHAnsi"/>
        </w:rPr>
      </w:pPr>
      <w:r w:rsidRPr="00265F75">
        <w:rPr>
          <w:rFonts w:ascii="Verdana" w:hAnsi="Verdana" w:cstheme="minorHAnsi"/>
        </w:rPr>
        <w:t>London</w:t>
      </w:r>
    </w:p>
    <w:p w:rsidR="003C1432" w:rsidRPr="00265F75" w:rsidP="003C1432">
      <w:pPr>
        <w:jc w:val="right"/>
        <w:rPr>
          <w:rFonts w:ascii="Verdana" w:hAnsi="Verdana" w:cstheme="minorHAnsi"/>
        </w:rPr>
      </w:pPr>
      <w:r w:rsidRPr="00265F75">
        <w:rPr>
          <w:rFonts w:ascii="Verdana" w:hAnsi="Verdana" w:cstheme="minorHAnsi"/>
        </w:rPr>
        <w:t>SW1Y 5ED</w:t>
      </w:r>
    </w:p>
    <w:p w:rsidR="003C1432" w:rsidRPr="00265F75" w:rsidP="003C1432">
      <w:pPr>
        <w:jc w:val="right"/>
        <w:rPr>
          <w:rFonts w:ascii="Verdana" w:hAnsi="Verdana" w:cstheme="minorHAnsi"/>
        </w:rPr>
      </w:pPr>
    </w:p>
    <w:p w:rsidR="003C1432" w:rsidRPr="00265F75" w:rsidP="003C1432">
      <w:pPr>
        <w:jc w:val="right"/>
        <w:rPr>
          <w:rFonts w:ascii="Verdana" w:hAnsi="Verdana" w:cstheme="minorHAnsi"/>
        </w:rPr>
      </w:pPr>
      <w:r w:rsidRPr="00265F75">
        <w:rPr>
          <w:rFonts w:ascii="Verdana" w:hAnsi="Verdana" w:cstheme="minorHAnsi"/>
        </w:rPr>
        <w:t>02.04.2025</w:t>
      </w:r>
    </w:p>
    <w:p w:rsidR="003C1432" w:rsidRPr="00265F75" w:rsidP="003C1432">
      <w:pPr>
        <w:rPr>
          <w:rFonts w:ascii="Verdana" w:hAnsi="Verdana" w:cstheme="minorHAnsi"/>
          <w:b/>
          <w:bCs/>
        </w:rPr>
      </w:pPr>
    </w:p>
    <w:p w:rsidR="003C1432" w:rsidRPr="00265F75" w:rsidP="003C1432">
      <w:pPr>
        <w:rPr>
          <w:rFonts w:ascii="Verdana" w:hAnsi="Verdana" w:cstheme="minorHAnsi"/>
        </w:rPr>
      </w:pPr>
      <w:r w:rsidRPr="00265F75">
        <w:rPr>
          <w:rFonts w:ascii="Verdana" w:hAnsi="Verdana" w:cstheme="minorHAnsi"/>
        </w:rPr>
        <w:t>European Affairs Committee</w:t>
      </w:r>
    </w:p>
    <w:p w:rsidR="003C1432" w:rsidRPr="00265F75" w:rsidP="003C1432">
      <w:pPr>
        <w:rPr>
          <w:rFonts w:ascii="Verdana" w:hAnsi="Verdana" w:cstheme="minorHAnsi"/>
        </w:rPr>
      </w:pPr>
      <w:r w:rsidRPr="00265F75">
        <w:rPr>
          <w:rFonts w:ascii="Verdana" w:hAnsi="Verdana" w:cstheme="minorHAnsi"/>
        </w:rPr>
        <w:t>House of Lords</w:t>
      </w:r>
    </w:p>
    <w:p w:rsidR="003C1432" w:rsidRPr="00265F75" w:rsidP="003C1432">
      <w:pPr>
        <w:rPr>
          <w:rFonts w:ascii="Verdana" w:hAnsi="Verdana" w:cstheme="minorHAnsi"/>
        </w:rPr>
      </w:pPr>
      <w:r w:rsidRPr="00265F75">
        <w:rPr>
          <w:rFonts w:ascii="Verdana" w:hAnsi="Verdana" w:cstheme="minorHAnsi"/>
        </w:rPr>
        <w:t>London</w:t>
      </w:r>
    </w:p>
    <w:p w:rsidR="003C1432" w:rsidRPr="00265F75" w:rsidP="003C1432">
      <w:pPr>
        <w:rPr>
          <w:rFonts w:ascii="Verdana" w:hAnsi="Verdana" w:cstheme="minorHAnsi"/>
        </w:rPr>
      </w:pPr>
      <w:r w:rsidRPr="00265F75">
        <w:rPr>
          <w:rFonts w:ascii="Verdana" w:hAnsi="Verdana" w:cstheme="minorHAnsi"/>
        </w:rPr>
        <w:t>SW1A 0PW</w:t>
      </w:r>
    </w:p>
    <w:p w:rsidR="003C1432" w:rsidRPr="00265F75" w:rsidP="003C1432">
      <w:pPr>
        <w:rPr>
          <w:rFonts w:ascii="Verdana" w:hAnsi="Verdana" w:cstheme="minorHAnsi"/>
          <w:b/>
          <w:bCs/>
        </w:rPr>
      </w:pPr>
    </w:p>
    <w:p w:rsidR="003C1432" w:rsidRPr="00265F75" w:rsidP="003C1432">
      <w:pPr>
        <w:rPr>
          <w:rFonts w:ascii="Verdana" w:hAnsi="Verdana" w:cstheme="minorHAnsi"/>
          <w:b/>
          <w:bCs/>
        </w:rPr>
      </w:pPr>
    </w:p>
    <w:p w:rsidR="003C1432" w:rsidRPr="00265F75" w:rsidP="003C1432">
      <w:pPr>
        <w:pStyle w:val="Appendixheading"/>
        <w:rPr>
          <w:rFonts w:ascii="Verdana" w:hAnsi="Verdana"/>
          <w:color w:val="auto"/>
          <w:sz w:val="24"/>
          <w:szCs w:val="24"/>
        </w:rPr>
      </w:pPr>
      <w:r w:rsidRPr="00265F75">
        <w:rPr>
          <w:rFonts w:ascii="Verdana" w:hAnsi="Verdana"/>
          <w:color w:val="auto"/>
          <w:sz w:val="24"/>
          <w:szCs w:val="24"/>
        </w:rPr>
        <w:t>Call for Evidence: Reset of UK-EU relations</w:t>
      </w:r>
    </w:p>
    <w:p w:rsidR="003C1432" w:rsidRPr="00265F75" w:rsidP="003C1432">
      <w:pPr>
        <w:rPr>
          <w:rFonts w:ascii="Verdana" w:hAnsi="Verdana" w:cstheme="minorHAnsi"/>
          <w:b/>
          <w:bCs/>
        </w:rPr>
      </w:pPr>
    </w:p>
    <w:p w:rsidR="003C1432" w:rsidRPr="00265F75" w:rsidP="003C1432">
      <w:pPr>
        <w:rPr>
          <w:rFonts w:ascii="Verdana" w:hAnsi="Verdana" w:cstheme="minorHAnsi"/>
          <w:b/>
          <w:bCs/>
        </w:rPr>
      </w:pPr>
      <w:r w:rsidRPr="00265F75">
        <w:rPr>
          <w:rFonts w:ascii="Verdana" w:hAnsi="Verdana" w:cstheme="minorHAnsi"/>
          <w:b/>
          <w:bCs/>
        </w:rPr>
        <w:t xml:space="preserve">About the IoD </w:t>
      </w:r>
    </w:p>
    <w:p w:rsidR="003C1432" w:rsidRPr="00265F75" w:rsidP="003C1432">
      <w:pPr>
        <w:rPr>
          <w:rFonts w:ascii="Verdana" w:hAnsi="Verdana" w:cstheme="minorHAnsi"/>
          <w:i/>
          <w:iCs/>
        </w:rPr>
      </w:pPr>
    </w:p>
    <w:p w:rsidR="003C1432" w:rsidRPr="00265F75" w:rsidP="003C1432">
      <w:pPr>
        <w:rPr>
          <w:rFonts w:ascii="Verdana" w:hAnsi="Verdana" w:cstheme="minorHAnsi"/>
          <w:i/>
          <w:iCs/>
        </w:rPr>
      </w:pPr>
      <w:r w:rsidRPr="00265F75">
        <w:rPr>
          <w:rFonts w:ascii="Verdana" w:hAnsi="Verdana" w:cstheme="minorHAnsi"/>
          <w:i/>
          <w:iCs/>
        </w:rPr>
        <w:t xml:space="preserve">The IoD is an independent, non-party political organisation representing approximately 20,000 company directors, senior business leaders, and entrepreneurs. It is the UK's longest-running organisation for professional leaders, having been founded in 1903 and incorporated by Royal Charter in 1906. Its aim is to promote good governance and ensure high levels of skills and integrity among directors of organisations. It campaigns on issues of importance to its members and to the wider business community with the aim of fostering a climate favourable to entrepreneurial activity in the UK. </w:t>
      </w:r>
    </w:p>
    <w:p w:rsidR="003C1432" w:rsidRPr="00265F75" w:rsidP="003C1432">
      <w:pPr>
        <w:rPr>
          <w:rFonts w:ascii="Verdana" w:hAnsi="Verdana" w:cstheme="minorHAnsi"/>
        </w:rPr>
      </w:pPr>
    </w:p>
    <w:p w:rsidR="00CB5134" w:rsidRPr="00265F75" w:rsidP="00AD5B45">
      <w:pPr>
        <w:pStyle w:val="IoDBodyText"/>
        <w:rPr>
          <w:rFonts w:ascii="Verdana" w:hAnsi="Verdana"/>
          <w:sz w:val="24"/>
          <w:szCs w:val="24"/>
        </w:rPr>
      </w:pPr>
      <w:r w:rsidRPr="00265F75">
        <w:rPr>
          <w:rFonts w:ascii="Verdana" w:hAnsi="Verdana"/>
          <w:sz w:val="24"/>
          <w:szCs w:val="24"/>
        </w:rPr>
        <w:t xml:space="preserve">The IoD welcomes the opportunity to respond to the call for evidence on resetting of UK-EU relations. </w:t>
      </w:r>
    </w:p>
    <w:p w:rsidR="003C1432" w:rsidRPr="00265F75" w:rsidP="003C1432">
      <w:pPr>
        <w:spacing w:after="160" w:line="278" w:lineRule="auto"/>
        <w:rPr>
          <w:rFonts w:ascii="Verdana" w:eastAsia="Aptos" w:hAnsi="Verdana" w:cstheme="minorHAnsi"/>
          <w:b/>
          <w:bCs/>
          <w:kern w:val="2"/>
        </w:rPr>
      </w:pPr>
    </w:p>
    <w:p w:rsidR="003C1432" w:rsidRPr="00265F75" w:rsidP="003C1432">
      <w:pPr>
        <w:spacing w:after="160" w:line="278" w:lineRule="auto"/>
        <w:rPr>
          <w:rFonts w:ascii="Verdana" w:eastAsia="Aptos" w:hAnsi="Verdana" w:cstheme="minorHAnsi"/>
          <w:b/>
          <w:bCs/>
          <w:kern w:val="2"/>
        </w:rPr>
      </w:pPr>
      <w:r w:rsidRPr="00265F75">
        <w:rPr>
          <w:rFonts w:ascii="Verdana" w:eastAsia="Aptos" w:hAnsi="Verdana" w:cstheme="minorHAnsi"/>
          <w:b/>
          <w:bCs/>
          <w:kern w:val="2"/>
        </w:rPr>
        <w:t xml:space="preserve">First, to understand what a successful reset would look like, it is helpful to look at the challenges. </w:t>
      </w:r>
    </w:p>
    <w:p w:rsidR="003C1432" w:rsidRPr="00265F75" w:rsidP="003C1432">
      <w:pPr>
        <w:spacing w:after="160" w:line="278" w:lineRule="auto"/>
        <w:rPr>
          <w:rFonts w:ascii="Verdana" w:eastAsia="Aptos" w:hAnsi="Verdana" w:cstheme="minorHAnsi"/>
          <w:kern w:val="2"/>
        </w:rPr>
      </w:pPr>
      <w:r w:rsidRPr="00265F75">
        <w:rPr>
          <w:rFonts w:ascii="Verdana" w:eastAsia="Aptos" w:hAnsi="Verdana" w:cstheme="minorHAnsi"/>
          <w:kern w:val="2"/>
        </w:rPr>
        <w:t>IoD data from January 2025 shows that the third best thing the government can do to boost business confidence for members’ organisations is to negotiate an improved trade deal with the EU, behind reducing the tax burden on business and significantly scaling back the proposed employment law reforms:</w:t>
      </w:r>
    </w:p>
    <w:p w:rsidR="003C1432" w:rsidRPr="00265F75" w:rsidP="003C1432">
      <w:pPr>
        <w:spacing w:after="160" w:line="278" w:lineRule="auto"/>
        <w:rPr>
          <w:rFonts w:ascii="Verdana" w:eastAsia="Aptos" w:hAnsi="Verdana" w:cstheme="minorHAnsi"/>
          <w:b/>
          <w:bCs/>
          <w:kern w:val="2"/>
        </w:rPr>
      </w:pPr>
    </w:p>
    <w:p w:rsidR="003C1432" w:rsidRPr="00265F75" w:rsidP="00420DFF">
      <w:pPr>
        <w:spacing w:line="278" w:lineRule="auto"/>
        <w:rPr>
          <w:rFonts w:ascii="Verdana" w:eastAsia="Aptos" w:hAnsi="Verdana" w:cstheme="minorHAnsi"/>
          <w:b/>
          <w:bCs/>
          <w:kern w:val="2"/>
        </w:rPr>
      </w:pPr>
      <w:r w:rsidRPr="00265F75">
        <w:rPr>
          <w:rFonts w:ascii="Verdana" w:eastAsia="Aptos" w:hAnsi="Verdana" w:cstheme="minorHAnsi"/>
          <w:b/>
          <w:bCs/>
          <w:kern w:val="2"/>
        </w:rPr>
        <w:t xml:space="preserve">Which of the following would do most to boost business confidence in 2025? Please select up to three. </w:t>
      </w:r>
    </w:p>
    <w:p w:rsidR="00420DFF" w:rsidRPr="00265F75" w:rsidP="00420DFF">
      <w:pPr>
        <w:spacing w:line="278" w:lineRule="auto"/>
        <w:rPr>
          <w:rFonts w:ascii="Verdana" w:eastAsia="Aptos" w:hAnsi="Verdana" w:cstheme="minorHAnsi"/>
          <w:b/>
          <w:bCs/>
          <w:kern w:val="2"/>
        </w:rPr>
      </w:pPr>
    </w:p>
    <w:tbl>
      <w:tblPr>
        <w:tblStyle w:val="TableGrid1"/>
        <w:tblW w:w="0" w:type="auto"/>
        <w:tblLook w:val="04A0"/>
      </w:tblPr>
      <w:tblGrid>
        <w:gridCol w:w="7756"/>
        <w:gridCol w:w="1260"/>
      </w:tblGrid>
      <w:tr w:rsidTr="00491F3C">
        <w:tblPrEx>
          <w:tblW w:w="0" w:type="auto"/>
          <w:tblLook w:val="04A0"/>
        </w:tblPrEx>
        <w:trPr>
          <w:trHeight w:val="290"/>
        </w:trPr>
        <w:tc>
          <w:tcPr>
            <w:tcW w:w="12520" w:type="dxa"/>
            <w:noWrap/>
            <w:hideMark/>
          </w:tcPr>
          <w:p w:rsidR="003C1432" w:rsidRPr="00265F75" w:rsidP="003C1432">
            <w:pPr>
              <w:rPr>
                <w:rFonts w:ascii="Verdana" w:eastAsia="Aptos" w:hAnsi="Verdana" w:cstheme="minorHAnsi"/>
              </w:rPr>
            </w:pPr>
            <w:r w:rsidRPr="00265F75">
              <w:rPr>
                <w:rFonts w:ascii="Verdana" w:eastAsia="Aptos" w:hAnsi="Verdana" w:cstheme="minorHAnsi"/>
              </w:rPr>
              <w:t>Reduction of the tax burden on business</w:t>
            </w:r>
          </w:p>
        </w:tc>
        <w:tc>
          <w:tcPr>
            <w:tcW w:w="1920" w:type="dxa"/>
            <w:noWrap/>
            <w:hideMark/>
          </w:tcPr>
          <w:p w:rsidR="003C1432" w:rsidRPr="00265F75" w:rsidP="003C1432">
            <w:pPr>
              <w:rPr>
                <w:rFonts w:ascii="Verdana" w:eastAsia="Aptos" w:hAnsi="Verdana" w:cstheme="minorHAnsi"/>
              </w:rPr>
            </w:pPr>
            <w:r w:rsidRPr="00265F75">
              <w:rPr>
                <w:rFonts w:ascii="Verdana" w:eastAsia="Aptos" w:hAnsi="Verdana" w:cstheme="minorHAnsi"/>
              </w:rPr>
              <w:t>58.2%</w:t>
            </w:r>
          </w:p>
        </w:tc>
      </w:tr>
      <w:tr w:rsidTr="00491F3C">
        <w:tblPrEx>
          <w:tblW w:w="0" w:type="auto"/>
          <w:tblLook w:val="04A0"/>
        </w:tblPrEx>
        <w:trPr>
          <w:trHeight w:val="290"/>
        </w:trPr>
        <w:tc>
          <w:tcPr>
            <w:tcW w:w="12520" w:type="dxa"/>
            <w:noWrap/>
            <w:hideMark/>
          </w:tcPr>
          <w:p w:rsidR="003C1432" w:rsidRPr="00265F75" w:rsidP="003C1432">
            <w:pPr>
              <w:rPr>
                <w:rFonts w:ascii="Verdana" w:eastAsia="Aptos" w:hAnsi="Verdana" w:cstheme="minorHAnsi"/>
              </w:rPr>
            </w:pPr>
            <w:r w:rsidRPr="00265F75">
              <w:rPr>
                <w:rFonts w:ascii="Verdana" w:eastAsia="Aptos" w:hAnsi="Verdana" w:cstheme="minorHAnsi"/>
              </w:rPr>
              <w:t>A significant scaling-back of the government's employment law reforms</w:t>
            </w:r>
          </w:p>
        </w:tc>
        <w:tc>
          <w:tcPr>
            <w:tcW w:w="1920" w:type="dxa"/>
            <w:noWrap/>
            <w:hideMark/>
          </w:tcPr>
          <w:p w:rsidR="003C1432" w:rsidRPr="00265F75" w:rsidP="003C1432">
            <w:pPr>
              <w:rPr>
                <w:rFonts w:ascii="Verdana" w:eastAsia="Aptos" w:hAnsi="Verdana" w:cstheme="minorHAnsi"/>
              </w:rPr>
            </w:pPr>
            <w:r w:rsidRPr="00265F75">
              <w:rPr>
                <w:rFonts w:ascii="Verdana" w:eastAsia="Aptos" w:hAnsi="Verdana" w:cstheme="minorHAnsi"/>
              </w:rPr>
              <w:t>41.5%</w:t>
            </w:r>
          </w:p>
        </w:tc>
      </w:tr>
      <w:tr w:rsidTr="00491F3C">
        <w:tblPrEx>
          <w:tblW w:w="0" w:type="auto"/>
          <w:tblLook w:val="04A0"/>
        </w:tblPrEx>
        <w:trPr>
          <w:trHeight w:val="290"/>
        </w:trPr>
        <w:tc>
          <w:tcPr>
            <w:tcW w:w="12520" w:type="dxa"/>
            <w:noWrap/>
            <w:hideMark/>
          </w:tcPr>
          <w:p w:rsidR="003C1432" w:rsidRPr="00265F75" w:rsidP="003C1432">
            <w:pPr>
              <w:rPr>
                <w:rFonts w:ascii="Verdana" w:eastAsia="Aptos" w:hAnsi="Verdana" w:cstheme="minorHAnsi"/>
              </w:rPr>
            </w:pPr>
            <w:r w:rsidRPr="00265F75">
              <w:rPr>
                <w:rFonts w:ascii="Verdana" w:eastAsia="Aptos" w:hAnsi="Verdana" w:cstheme="minorHAnsi"/>
              </w:rPr>
              <w:t>An improved trade deal with the EU</w:t>
            </w:r>
          </w:p>
        </w:tc>
        <w:tc>
          <w:tcPr>
            <w:tcW w:w="1920" w:type="dxa"/>
            <w:noWrap/>
            <w:hideMark/>
          </w:tcPr>
          <w:p w:rsidR="003C1432" w:rsidRPr="00265F75" w:rsidP="003C1432">
            <w:pPr>
              <w:rPr>
                <w:rFonts w:ascii="Verdana" w:eastAsia="Aptos" w:hAnsi="Verdana" w:cstheme="minorHAnsi"/>
              </w:rPr>
            </w:pPr>
            <w:r w:rsidRPr="00265F75">
              <w:rPr>
                <w:rFonts w:ascii="Verdana" w:eastAsia="Aptos" w:hAnsi="Verdana" w:cstheme="minorHAnsi"/>
              </w:rPr>
              <w:t>35.0%</w:t>
            </w:r>
          </w:p>
        </w:tc>
      </w:tr>
      <w:tr w:rsidTr="00491F3C">
        <w:tblPrEx>
          <w:tblW w:w="0" w:type="auto"/>
          <w:tblLook w:val="04A0"/>
        </w:tblPrEx>
        <w:trPr>
          <w:trHeight w:val="290"/>
        </w:trPr>
        <w:tc>
          <w:tcPr>
            <w:tcW w:w="12520" w:type="dxa"/>
            <w:noWrap/>
            <w:hideMark/>
          </w:tcPr>
          <w:p w:rsidR="003C1432" w:rsidRPr="00265F75" w:rsidP="003C1432">
            <w:pPr>
              <w:rPr>
                <w:rFonts w:ascii="Verdana" w:eastAsia="Aptos" w:hAnsi="Verdana" w:cstheme="minorHAnsi"/>
              </w:rPr>
            </w:pPr>
            <w:r w:rsidRPr="00265F75">
              <w:rPr>
                <w:rFonts w:ascii="Verdana" w:eastAsia="Aptos" w:hAnsi="Verdana" w:cstheme="minorHAnsi"/>
              </w:rPr>
              <w:t>Cuts in interest rates</w:t>
            </w:r>
          </w:p>
        </w:tc>
        <w:tc>
          <w:tcPr>
            <w:tcW w:w="1920" w:type="dxa"/>
            <w:noWrap/>
            <w:hideMark/>
          </w:tcPr>
          <w:p w:rsidR="003C1432" w:rsidRPr="00265F75" w:rsidP="003C1432">
            <w:pPr>
              <w:rPr>
                <w:rFonts w:ascii="Verdana" w:eastAsia="Aptos" w:hAnsi="Verdana" w:cstheme="minorHAnsi"/>
              </w:rPr>
            </w:pPr>
            <w:r w:rsidRPr="00265F75">
              <w:rPr>
                <w:rFonts w:ascii="Verdana" w:eastAsia="Aptos" w:hAnsi="Verdana" w:cstheme="minorHAnsi"/>
              </w:rPr>
              <w:t>27.9%</w:t>
            </w:r>
          </w:p>
        </w:tc>
      </w:tr>
      <w:tr w:rsidTr="00491F3C">
        <w:tblPrEx>
          <w:tblW w:w="0" w:type="auto"/>
          <w:tblLook w:val="04A0"/>
        </w:tblPrEx>
        <w:trPr>
          <w:trHeight w:val="290"/>
        </w:trPr>
        <w:tc>
          <w:tcPr>
            <w:tcW w:w="12520" w:type="dxa"/>
            <w:noWrap/>
            <w:hideMark/>
          </w:tcPr>
          <w:p w:rsidR="003C1432" w:rsidRPr="00265F75" w:rsidP="003C1432">
            <w:pPr>
              <w:rPr>
                <w:rFonts w:ascii="Verdana" w:eastAsia="Aptos" w:hAnsi="Verdana" w:cstheme="minorHAnsi"/>
              </w:rPr>
            </w:pPr>
            <w:r w:rsidRPr="00265F75">
              <w:rPr>
                <w:rFonts w:ascii="Verdana" w:eastAsia="Aptos" w:hAnsi="Verdana" w:cstheme="minorHAnsi"/>
              </w:rPr>
              <w:t>Reduction in the complexity of the tax system</w:t>
            </w:r>
          </w:p>
        </w:tc>
        <w:tc>
          <w:tcPr>
            <w:tcW w:w="1920" w:type="dxa"/>
            <w:noWrap/>
            <w:hideMark/>
          </w:tcPr>
          <w:p w:rsidR="003C1432" w:rsidRPr="00265F75" w:rsidP="003C1432">
            <w:pPr>
              <w:rPr>
                <w:rFonts w:ascii="Verdana" w:eastAsia="Aptos" w:hAnsi="Verdana" w:cstheme="minorHAnsi"/>
              </w:rPr>
            </w:pPr>
            <w:r w:rsidRPr="00265F75">
              <w:rPr>
                <w:rFonts w:ascii="Verdana" w:eastAsia="Aptos" w:hAnsi="Verdana" w:cstheme="minorHAnsi"/>
              </w:rPr>
              <w:t>24.3%</w:t>
            </w:r>
          </w:p>
        </w:tc>
      </w:tr>
      <w:tr w:rsidTr="00491F3C">
        <w:tblPrEx>
          <w:tblW w:w="0" w:type="auto"/>
          <w:tblLook w:val="04A0"/>
        </w:tblPrEx>
        <w:trPr>
          <w:trHeight w:val="290"/>
        </w:trPr>
        <w:tc>
          <w:tcPr>
            <w:tcW w:w="12520" w:type="dxa"/>
            <w:noWrap/>
            <w:hideMark/>
          </w:tcPr>
          <w:p w:rsidR="003C1432" w:rsidRPr="00265F75" w:rsidP="003C1432">
            <w:pPr>
              <w:rPr>
                <w:rFonts w:ascii="Verdana" w:eastAsia="Aptos" w:hAnsi="Verdana" w:cstheme="minorHAnsi"/>
              </w:rPr>
            </w:pPr>
            <w:r w:rsidRPr="00265F75">
              <w:rPr>
                <w:rFonts w:ascii="Verdana" w:eastAsia="Aptos" w:hAnsi="Verdana" w:cstheme="minorHAnsi"/>
              </w:rPr>
              <w:t>Better articulation of overall growth strategy</w:t>
            </w:r>
          </w:p>
        </w:tc>
        <w:tc>
          <w:tcPr>
            <w:tcW w:w="1920" w:type="dxa"/>
            <w:noWrap/>
            <w:hideMark/>
          </w:tcPr>
          <w:p w:rsidR="003C1432" w:rsidRPr="00265F75" w:rsidP="003C1432">
            <w:pPr>
              <w:rPr>
                <w:rFonts w:ascii="Verdana" w:eastAsia="Aptos" w:hAnsi="Verdana" w:cstheme="minorHAnsi"/>
              </w:rPr>
            </w:pPr>
            <w:r w:rsidRPr="00265F75">
              <w:rPr>
                <w:rFonts w:ascii="Verdana" w:eastAsia="Aptos" w:hAnsi="Verdana" w:cstheme="minorHAnsi"/>
              </w:rPr>
              <w:t>22.7%</w:t>
            </w:r>
          </w:p>
        </w:tc>
      </w:tr>
      <w:tr w:rsidTr="00491F3C">
        <w:tblPrEx>
          <w:tblW w:w="0" w:type="auto"/>
          <w:tblLook w:val="04A0"/>
        </w:tblPrEx>
        <w:trPr>
          <w:trHeight w:val="290"/>
        </w:trPr>
        <w:tc>
          <w:tcPr>
            <w:tcW w:w="12520" w:type="dxa"/>
            <w:noWrap/>
            <w:hideMark/>
          </w:tcPr>
          <w:p w:rsidR="003C1432" w:rsidRPr="00265F75" w:rsidP="003C1432">
            <w:pPr>
              <w:rPr>
                <w:rFonts w:ascii="Verdana" w:eastAsia="Aptos" w:hAnsi="Verdana" w:cstheme="minorHAnsi"/>
              </w:rPr>
            </w:pPr>
            <w:r w:rsidRPr="00265F75">
              <w:rPr>
                <w:rFonts w:ascii="Verdana" w:eastAsia="Aptos" w:hAnsi="Verdana" w:cstheme="minorHAnsi"/>
              </w:rPr>
              <w:t>Energy market restructuring to deliver lower business energy costs</w:t>
            </w:r>
          </w:p>
        </w:tc>
        <w:tc>
          <w:tcPr>
            <w:tcW w:w="1920" w:type="dxa"/>
            <w:noWrap/>
            <w:hideMark/>
          </w:tcPr>
          <w:p w:rsidR="003C1432" w:rsidRPr="00265F75" w:rsidP="003C1432">
            <w:pPr>
              <w:rPr>
                <w:rFonts w:ascii="Verdana" w:eastAsia="Aptos" w:hAnsi="Verdana" w:cstheme="minorHAnsi"/>
              </w:rPr>
            </w:pPr>
            <w:r w:rsidRPr="00265F75">
              <w:rPr>
                <w:rFonts w:ascii="Verdana" w:eastAsia="Aptos" w:hAnsi="Verdana" w:cstheme="minorHAnsi"/>
              </w:rPr>
              <w:t>20.1%</w:t>
            </w:r>
          </w:p>
        </w:tc>
      </w:tr>
      <w:tr w:rsidTr="00491F3C">
        <w:tblPrEx>
          <w:tblW w:w="0" w:type="auto"/>
          <w:tblLook w:val="04A0"/>
        </w:tblPrEx>
        <w:trPr>
          <w:trHeight w:val="290"/>
        </w:trPr>
        <w:tc>
          <w:tcPr>
            <w:tcW w:w="12520" w:type="dxa"/>
            <w:noWrap/>
            <w:hideMark/>
          </w:tcPr>
          <w:p w:rsidR="003C1432" w:rsidRPr="00265F75" w:rsidP="003C1432">
            <w:pPr>
              <w:rPr>
                <w:rFonts w:ascii="Verdana" w:eastAsia="Aptos" w:hAnsi="Verdana" w:cstheme="minorHAnsi"/>
              </w:rPr>
            </w:pPr>
            <w:r w:rsidRPr="00265F75">
              <w:rPr>
                <w:rFonts w:ascii="Verdana" w:eastAsia="Aptos" w:hAnsi="Verdana" w:cstheme="minorHAnsi"/>
              </w:rPr>
              <w:t>Greater public investment in infrastructure</w:t>
            </w:r>
          </w:p>
        </w:tc>
        <w:tc>
          <w:tcPr>
            <w:tcW w:w="1920" w:type="dxa"/>
            <w:noWrap/>
            <w:hideMark/>
          </w:tcPr>
          <w:p w:rsidR="003C1432" w:rsidRPr="00265F75" w:rsidP="003C1432">
            <w:pPr>
              <w:rPr>
                <w:rFonts w:ascii="Verdana" w:eastAsia="Aptos" w:hAnsi="Verdana" w:cstheme="minorHAnsi"/>
              </w:rPr>
            </w:pPr>
            <w:r w:rsidRPr="00265F75">
              <w:rPr>
                <w:rFonts w:ascii="Verdana" w:eastAsia="Aptos" w:hAnsi="Verdana" w:cstheme="minorHAnsi"/>
              </w:rPr>
              <w:t>17.7%</w:t>
            </w:r>
          </w:p>
        </w:tc>
      </w:tr>
      <w:tr w:rsidTr="00491F3C">
        <w:tblPrEx>
          <w:tblW w:w="0" w:type="auto"/>
          <w:tblLook w:val="04A0"/>
        </w:tblPrEx>
        <w:trPr>
          <w:trHeight w:val="290"/>
        </w:trPr>
        <w:tc>
          <w:tcPr>
            <w:tcW w:w="12520" w:type="dxa"/>
            <w:noWrap/>
            <w:hideMark/>
          </w:tcPr>
          <w:p w:rsidR="003C1432" w:rsidRPr="00265F75" w:rsidP="003C1432">
            <w:pPr>
              <w:rPr>
                <w:rFonts w:ascii="Verdana" w:eastAsia="Aptos" w:hAnsi="Verdana" w:cstheme="minorHAnsi"/>
              </w:rPr>
            </w:pPr>
            <w:r w:rsidRPr="00265F75">
              <w:rPr>
                <w:rFonts w:ascii="Verdana" w:eastAsia="Aptos" w:hAnsi="Verdana" w:cstheme="minorHAnsi"/>
              </w:rPr>
              <w:t>Articulation of an industrial strategy</w:t>
            </w:r>
          </w:p>
        </w:tc>
        <w:tc>
          <w:tcPr>
            <w:tcW w:w="1920" w:type="dxa"/>
            <w:noWrap/>
            <w:hideMark/>
          </w:tcPr>
          <w:p w:rsidR="003C1432" w:rsidRPr="00265F75" w:rsidP="003C1432">
            <w:pPr>
              <w:rPr>
                <w:rFonts w:ascii="Verdana" w:eastAsia="Aptos" w:hAnsi="Verdana" w:cstheme="minorHAnsi"/>
              </w:rPr>
            </w:pPr>
            <w:r w:rsidRPr="00265F75">
              <w:rPr>
                <w:rFonts w:ascii="Verdana" w:eastAsia="Aptos" w:hAnsi="Verdana" w:cstheme="minorHAnsi"/>
              </w:rPr>
              <w:t>16.6%</w:t>
            </w:r>
          </w:p>
        </w:tc>
      </w:tr>
      <w:tr w:rsidTr="00491F3C">
        <w:tblPrEx>
          <w:tblW w:w="0" w:type="auto"/>
          <w:tblLook w:val="04A0"/>
        </w:tblPrEx>
        <w:trPr>
          <w:trHeight w:val="290"/>
        </w:trPr>
        <w:tc>
          <w:tcPr>
            <w:tcW w:w="12520" w:type="dxa"/>
            <w:noWrap/>
            <w:hideMark/>
          </w:tcPr>
          <w:p w:rsidR="003C1432" w:rsidRPr="00265F75" w:rsidP="003C1432">
            <w:pPr>
              <w:rPr>
                <w:rFonts w:ascii="Verdana" w:eastAsia="Aptos" w:hAnsi="Verdana" w:cstheme="minorHAnsi"/>
              </w:rPr>
            </w:pPr>
            <w:r w:rsidRPr="00265F75">
              <w:rPr>
                <w:rFonts w:ascii="Verdana" w:eastAsia="Aptos" w:hAnsi="Verdana" w:cstheme="minorHAnsi"/>
              </w:rPr>
              <w:t>Improved incentives for investment in skills and vocational training</w:t>
            </w:r>
          </w:p>
        </w:tc>
        <w:tc>
          <w:tcPr>
            <w:tcW w:w="1920" w:type="dxa"/>
            <w:noWrap/>
            <w:hideMark/>
          </w:tcPr>
          <w:p w:rsidR="003C1432" w:rsidRPr="00265F75" w:rsidP="003C1432">
            <w:pPr>
              <w:rPr>
                <w:rFonts w:ascii="Verdana" w:eastAsia="Aptos" w:hAnsi="Verdana" w:cstheme="minorHAnsi"/>
              </w:rPr>
            </w:pPr>
            <w:r w:rsidRPr="00265F75">
              <w:rPr>
                <w:rFonts w:ascii="Verdana" w:eastAsia="Aptos" w:hAnsi="Verdana" w:cstheme="minorHAnsi"/>
              </w:rPr>
              <w:t>15.0%</w:t>
            </w:r>
          </w:p>
        </w:tc>
      </w:tr>
      <w:tr w:rsidTr="00491F3C">
        <w:tblPrEx>
          <w:tblW w:w="0" w:type="auto"/>
          <w:tblLook w:val="04A0"/>
        </w:tblPrEx>
        <w:trPr>
          <w:trHeight w:val="290"/>
        </w:trPr>
        <w:tc>
          <w:tcPr>
            <w:tcW w:w="12520" w:type="dxa"/>
            <w:noWrap/>
            <w:hideMark/>
          </w:tcPr>
          <w:p w:rsidR="003C1432" w:rsidRPr="00265F75" w:rsidP="003C1432">
            <w:pPr>
              <w:rPr>
                <w:rFonts w:ascii="Verdana" w:eastAsia="Aptos" w:hAnsi="Verdana" w:cstheme="minorHAnsi"/>
              </w:rPr>
            </w:pPr>
            <w:r w:rsidRPr="00265F75">
              <w:rPr>
                <w:rFonts w:ascii="Verdana" w:eastAsia="Aptos" w:hAnsi="Verdana" w:cstheme="minorHAnsi"/>
              </w:rPr>
              <w:t>A Free Trade Agreement with the United States</w:t>
            </w:r>
          </w:p>
        </w:tc>
        <w:tc>
          <w:tcPr>
            <w:tcW w:w="1920" w:type="dxa"/>
            <w:noWrap/>
            <w:hideMark/>
          </w:tcPr>
          <w:p w:rsidR="003C1432" w:rsidRPr="00265F75" w:rsidP="003C1432">
            <w:pPr>
              <w:rPr>
                <w:rFonts w:ascii="Verdana" w:eastAsia="Aptos" w:hAnsi="Verdana" w:cstheme="minorHAnsi"/>
              </w:rPr>
            </w:pPr>
            <w:r w:rsidRPr="00265F75">
              <w:rPr>
                <w:rFonts w:ascii="Verdana" w:eastAsia="Aptos" w:hAnsi="Verdana" w:cstheme="minorHAnsi"/>
              </w:rPr>
              <w:t>14.7%</w:t>
            </w:r>
          </w:p>
        </w:tc>
      </w:tr>
      <w:tr w:rsidTr="00491F3C">
        <w:tblPrEx>
          <w:tblW w:w="0" w:type="auto"/>
          <w:tblLook w:val="04A0"/>
        </w:tblPrEx>
        <w:trPr>
          <w:trHeight w:val="290"/>
        </w:trPr>
        <w:tc>
          <w:tcPr>
            <w:tcW w:w="12520" w:type="dxa"/>
            <w:noWrap/>
            <w:hideMark/>
          </w:tcPr>
          <w:p w:rsidR="003C1432" w:rsidRPr="00265F75" w:rsidP="003C1432">
            <w:pPr>
              <w:rPr>
                <w:rFonts w:ascii="Verdana" w:eastAsia="Aptos" w:hAnsi="Verdana" w:cstheme="minorHAnsi"/>
              </w:rPr>
            </w:pPr>
            <w:r w:rsidRPr="00265F75">
              <w:rPr>
                <w:rFonts w:ascii="Verdana" w:eastAsia="Aptos" w:hAnsi="Verdana" w:cstheme="minorHAnsi"/>
              </w:rPr>
              <w:t>Political stability</w:t>
            </w:r>
          </w:p>
        </w:tc>
        <w:tc>
          <w:tcPr>
            <w:tcW w:w="1920" w:type="dxa"/>
            <w:noWrap/>
            <w:hideMark/>
          </w:tcPr>
          <w:p w:rsidR="003C1432" w:rsidRPr="00265F75" w:rsidP="003C1432">
            <w:pPr>
              <w:rPr>
                <w:rFonts w:ascii="Verdana" w:eastAsia="Aptos" w:hAnsi="Verdana" w:cstheme="minorHAnsi"/>
              </w:rPr>
            </w:pPr>
            <w:r w:rsidRPr="00265F75">
              <w:rPr>
                <w:rFonts w:ascii="Verdana" w:eastAsia="Aptos" w:hAnsi="Verdana" w:cstheme="minorHAnsi"/>
              </w:rPr>
              <w:t>12.8%</w:t>
            </w:r>
          </w:p>
        </w:tc>
      </w:tr>
      <w:tr w:rsidTr="00491F3C">
        <w:tblPrEx>
          <w:tblW w:w="0" w:type="auto"/>
          <w:tblLook w:val="04A0"/>
        </w:tblPrEx>
        <w:trPr>
          <w:trHeight w:val="290"/>
        </w:trPr>
        <w:tc>
          <w:tcPr>
            <w:tcW w:w="12520" w:type="dxa"/>
            <w:noWrap/>
            <w:hideMark/>
          </w:tcPr>
          <w:p w:rsidR="003C1432" w:rsidRPr="00265F75" w:rsidP="003C1432">
            <w:pPr>
              <w:rPr>
                <w:rFonts w:ascii="Verdana" w:eastAsia="Aptos" w:hAnsi="Verdana" w:cstheme="minorHAnsi"/>
              </w:rPr>
            </w:pPr>
            <w:r w:rsidRPr="00265F75">
              <w:rPr>
                <w:rFonts w:ascii="Verdana" w:eastAsia="Aptos" w:hAnsi="Verdana" w:cstheme="minorHAnsi"/>
              </w:rPr>
              <w:t>Improved SME access to finance</w:t>
            </w:r>
          </w:p>
        </w:tc>
        <w:tc>
          <w:tcPr>
            <w:tcW w:w="1920" w:type="dxa"/>
            <w:noWrap/>
            <w:hideMark/>
          </w:tcPr>
          <w:p w:rsidR="003C1432" w:rsidRPr="00265F75" w:rsidP="003C1432">
            <w:pPr>
              <w:rPr>
                <w:rFonts w:ascii="Verdana" w:eastAsia="Aptos" w:hAnsi="Verdana" w:cstheme="minorHAnsi"/>
              </w:rPr>
            </w:pPr>
            <w:r w:rsidRPr="00265F75">
              <w:rPr>
                <w:rFonts w:ascii="Verdana" w:eastAsia="Aptos" w:hAnsi="Verdana" w:cstheme="minorHAnsi"/>
              </w:rPr>
              <w:t>12.5%</w:t>
            </w:r>
          </w:p>
        </w:tc>
      </w:tr>
      <w:tr w:rsidTr="00491F3C">
        <w:tblPrEx>
          <w:tblW w:w="0" w:type="auto"/>
          <w:tblLook w:val="04A0"/>
        </w:tblPrEx>
        <w:trPr>
          <w:trHeight w:val="290"/>
        </w:trPr>
        <w:tc>
          <w:tcPr>
            <w:tcW w:w="12520" w:type="dxa"/>
            <w:noWrap/>
            <w:hideMark/>
          </w:tcPr>
          <w:p w:rsidR="003C1432" w:rsidRPr="00265F75" w:rsidP="003C1432">
            <w:pPr>
              <w:rPr>
                <w:rFonts w:ascii="Verdana" w:eastAsia="Aptos" w:hAnsi="Verdana" w:cstheme="minorHAnsi"/>
              </w:rPr>
            </w:pPr>
            <w:r w:rsidRPr="00265F75">
              <w:rPr>
                <w:rFonts w:ascii="Verdana" w:eastAsia="Aptos" w:hAnsi="Verdana" w:cstheme="minorHAnsi"/>
              </w:rPr>
              <w:t>Deregulatory measures for investment in technology and R&amp;D</w:t>
            </w:r>
          </w:p>
        </w:tc>
        <w:tc>
          <w:tcPr>
            <w:tcW w:w="1920" w:type="dxa"/>
            <w:noWrap/>
            <w:hideMark/>
          </w:tcPr>
          <w:p w:rsidR="003C1432" w:rsidRPr="00265F75" w:rsidP="003C1432">
            <w:pPr>
              <w:rPr>
                <w:rFonts w:ascii="Verdana" w:eastAsia="Aptos" w:hAnsi="Verdana" w:cstheme="minorHAnsi"/>
              </w:rPr>
            </w:pPr>
            <w:r w:rsidRPr="00265F75">
              <w:rPr>
                <w:rFonts w:ascii="Verdana" w:eastAsia="Aptos" w:hAnsi="Verdana" w:cstheme="minorHAnsi"/>
              </w:rPr>
              <w:t>11.4%</w:t>
            </w:r>
          </w:p>
        </w:tc>
      </w:tr>
      <w:tr w:rsidTr="00491F3C">
        <w:tblPrEx>
          <w:tblW w:w="0" w:type="auto"/>
          <w:tblLook w:val="04A0"/>
        </w:tblPrEx>
        <w:trPr>
          <w:trHeight w:val="290"/>
        </w:trPr>
        <w:tc>
          <w:tcPr>
            <w:tcW w:w="12520" w:type="dxa"/>
            <w:noWrap/>
            <w:hideMark/>
          </w:tcPr>
          <w:p w:rsidR="003C1432" w:rsidRPr="00265F75" w:rsidP="003C1432">
            <w:pPr>
              <w:rPr>
                <w:rFonts w:ascii="Verdana" w:eastAsia="Aptos" w:hAnsi="Verdana" w:cstheme="minorHAnsi"/>
              </w:rPr>
            </w:pPr>
            <w:r w:rsidRPr="00265F75">
              <w:rPr>
                <w:rFonts w:ascii="Verdana" w:eastAsia="Aptos" w:hAnsi="Verdana" w:cstheme="minorHAnsi"/>
              </w:rPr>
              <w:t>Planning reform</w:t>
            </w:r>
          </w:p>
        </w:tc>
        <w:tc>
          <w:tcPr>
            <w:tcW w:w="1920" w:type="dxa"/>
            <w:noWrap/>
            <w:hideMark/>
          </w:tcPr>
          <w:p w:rsidR="003C1432" w:rsidRPr="00265F75" w:rsidP="003C1432">
            <w:pPr>
              <w:rPr>
                <w:rFonts w:ascii="Verdana" w:eastAsia="Aptos" w:hAnsi="Verdana" w:cstheme="minorHAnsi"/>
              </w:rPr>
            </w:pPr>
            <w:r w:rsidRPr="00265F75">
              <w:rPr>
                <w:rFonts w:ascii="Verdana" w:eastAsia="Aptos" w:hAnsi="Verdana" w:cstheme="minorHAnsi"/>
              </w:rPr>
              <w:t>10.7%</w:t>
            </w:r>
          </w:p>
        </w:tc>
      </w:tr>
      <w:tr w:rsidTr="00491F3C">
        <w:tblPrEx>
          <w:tblW w:w="0" w:type="auto"/>
          <w:tblLook w:val="04A0"/>
        </w:tblPrEx>
        <w:trPr>
          <w:trHeight w:val="290"/>
        </w:trPr>
        <w:tc>
          <w:tcPr>
            <w:tcW w:w="12520" w:type="dxa"/>
            <w:noWrap/>
            <w:hideMark/>
          </w:tcPr>
          <w:p w:rsidR="003C1432" w:rsidRPr="00265F75" w:rsidP="003C1432">
            <w:pPr>
              <w:rPr>
                <w:rFonts w:ascii="Verdana" w:eastAsia="Aptos" w:hAnsi="Verdana" w:cstheme="minorHAnsi"/>
              </w:rPr>
            </w:pPr>
            <w:r w:rsidRPr="00265F75">
              <w:rPr>
                <w:rFonts w:ascii="Verdana" w:eastAsia="Aptos" w:hAnsi="Verdana" w:cstheme="minorHAnsi"/>
              </w:rPr>
              <w:t>Improved access to skilled migrants</w:t>
            </w:r>
          </w:p>
        </w:tc>
        <w:tc>
          <w:tcPr>
            <w:tcW w:w="1920" w:type="dxa"/>
            <w:noWrap/>
            <w:hideMark/>
          </w:tcPr>
          <w:p w:rsidR="003C1432" w:rsidRPr="00265F75" w:rsidP="003C1432">
            <w:pPr>
              <w:rPr>
                <w:rFonts w:ascii="Verdana" w:eastAsia="Aptos" w:hAnsi="Verdana" w:cstheme="minorHAnsi"/>
              </w:rPr>
            </w:pPr>
            <w:r w:rsidRPr="00265F75">
              <w:rPr>
                <w:rFonts w:ascii="Verdana" w:eastAsia="Aptos" w:hAnsi="Verdana" w:cstheme="minorHAnsi"/>
              </w:rPr>
              <w:t>9.1%</w:t>
            </w:r>
          </w:p>
        </w:tc>
      </w:tr>
      <w:tr w:rsidTr="00491F3C">
        <w:tblPrEx>
          <w:tblW w:w="0" w:type="auto"/>
          <w:tblLook w:val="04A0"/>
        </w:tblPrEx>
        <w:trPr>
          <w:trHeight w:val="290"/>
        </w:trPr>
        <w:tc>
          <w:tcPr>
            <w:tcW w:w="12520" w:type="dxa"/>
            <w:noWrap/>
            <w:hideMark/>
          </w:tcPr>
          <w:p w:rsidR="003C1432" w:rsidRPr="00265F75" w:rsidP="003C1432">
            <w:pPr>
              <w:rPr>
                <w:rFonts w:ascii="Verdana" w:eastAsia="Aptos" w:hAnsi="Verdana" w:cstheme="minorHAnsi"/>
              </w:rPr>
            </w:pPr>
            <w:r w:rsidRPr="00265F75">
              <w:rPr>
                <w:rFonts w:ascii="Verdana" w:eastAsia="Aptos" w:hAnsi="Verdana" w:cstheme="minorHAnsi"/>
              </w:rPr>
              <w:t>Greater devolution</w:t>
            </w:r>
          </w:p>
        </w:tc>
        <w:tc>
          <w:tcPr>
            <w:tcW w:w="1920" w:type="dxa"/>
            <w:noWrap/>
            <w:hideMark/>
          </w:tcPr>
          <w:p w:rsidR="003C1432" w:rsidRPr="00265F75" w:rsidP="003C1432">
            <w:pPr>
              <w:rPr>
                <w:rFonts w:ascii="Verdana" w:eastAsia="Aptos" w:hAnsi="Verdana" w:cstheme="minorHAnsi"/>
              </w:rPr>
            </w:pPr>
            <w:r w:rsidRPr="00265F75">
              <w:rPr>
                <w:rFonts w:ascii="Verdana" w:eastAsia="Aptos" w:hAnsi="Verdana" w:cstheme="minorHAnsi"/>
              </w:rPr>
              <w:t>1.8%</w:t>
            </w:r>
          </w:p>
        </w:tc>
      </w:tr>
      <w:tr w:rsidTr="00491F3C">
        <w:tblPrEx>
          <w:tblW w:w="0" w:type="auto"/>
          <w:tblLook w:val="04A0"/>
        </w:tblPrEx>
        <w:trPr>
          <w:trHeight w:val="290"/>
        </w:trPr>
        <w:tc>
          <w:tcPr>
            <w:tcW w:w="12520" w:type="dxa"/>
            <w:noWrap/>
            <w:hideMark/>
          </w:tcPr>
          <w:p w:rsidR="003C1432" w:rsidRPr="00265F75" w:rsidP="003C1432">
            <w:pPr>
              <w:rPr>
                <w:rFonts w:ascii="Verdana" w:eastAsia="Aptos" w:hAnsi="Verdana" w:cstheme="minorHAnsi"/>
              </w:rPr>
            </w:pPr>
            <w:r w:rsidRPr="00265F75">
              <w:rPr>
                <w:rFonts w:ascii="Verdana" w:eastAsia="Aptos" w:hAnsi="Verdana" w:cstheme="minorHAnsi"/>
              </w:rPr>
              <w:t>Don't know</w:t>
            </w:r>
          </w:p>
        </w:tc>
        <w:tc>
          <w:tcPr>
            <w:tcW w:w="1920" w:type="dxa"/>
            <w:noWrap/>
            <w:hideMark/>
          </w:tcPr>
          <w:p w:rsidR="003C1432" w:rsidRPr="00265F75" w:rsidP="003C1432">
            <w:pPr>
              <w:rPr>
                <w:rFonts w:ascii="Verdana" w:eastAsia="Aptos" w:hAnsi="Verdana" w:cstheme="minorHAnsi"/>
              </w:rPr>
            </w:pPr>
            <w:r w:rsidRPr="00265F75">
              <w:rPr>
                <w:rFonts w:ascii="Verdana" w:eastAsia="Aptos" w:hAnsi="Verdana" w:cstheme="minorHAnsi"/>
              </w:rPr>
              <w:t>0.1%</w:t>
            </w:r>
          </w:p>
        </w:tc>
      </w:tr>
    </w:tbl>
    <w:p w:rsidR="003C1432" w:rsidRPr="00265F75" w:rsidP="003C1432">
      <w:pPr>
        <w:spacing w:after="160" w:line="278" w:lineRule="auto"/>
        <w:rPr>
          <w:rFonts w:ascii="Verdana" w:eastAsia="Aptos" w:hAnsi="Verdana" w:cstheme="minorHAnsi"/>
          <w:kern w:val="2"/>
        </w:rPr>
      </w:pPr>
      <w:r w:rsidRPr="00265F75">
        <w:rPr>
          <w:rFonts w:ascii="Verdana" w:eastAsia="Aptos" w:hAnsi="Verdana" w:cstheme="minorHAnsi"/>
          <w:kern w:val="2"/>
        </w:rPr>
        <w:t xml:space="preserve">Source: </w:t>
      </w:r>
      <w:r w:rsidRPr="00265F75">
        <w:rPr>
          <w:rFonts w:ascii="Verdana" w:eastAsia="Aptos" w:hAnsi="Verdana" w:cstheme="minorHAnsi"/>
          <w:kern w:val="2"/>
        </w:rPr>
        <w:t>IoD</w:t>
      </w:r>
    </w:p>
    <w:p w:rsidR="003C1432" w:rsidRPr="00265F75" w:rsidP="003C1432">
      <w:pPr>
        <w:spacing w:after="160" w:line="278" w:lineRule="auto"/>
        <w:rPr>
          <w:rFonts w:ascii="Verdana" w:eastAsia="Aptos" w:hAnsi="Verdana" w:cstheme="minorHAnsi"/>
          <w:kern w:val="2"/>
        </w:rPr>
      </w:pPr>
    </w:p>
    <w:p w:rsidR="003C1432" w:rsidRPr="00265F75" w:rsidP="003C1432">
      <w:pPr>
        <w:spacing w:after="160" w:line="278" w:lineRule="auto"/>
        <w:rPr>
          <w:rFonts w:ascii="Verdana" w:eastAsia="Aptos" w:hAnsi="Verdana" w:cstheme="minorHAnsi"/>
          <w:kern w:val="2"/>
        </w:rPr>
      </w:pPr>
      <w:r w:rsidRPr="00265F75">
        <w:rPr>
          <w:rFonts w:ascii="Verdana" w:eastAsia="Aptos" w:hAnsi="Verdana" w:cstheme="minorHAnsi"/>
          <w:kern w:val="2"/>
        </w:rPr>
        <w:t>Meanwhile, in July 2024, 45% of members told us their experience of the UK’s trading relationship with the EU is challenging compared with 8% who said they find it positive.</w:t>
      </w:r>
      <w:r>
        <w:rPr>
          <w:rFonts w:ascii="Verdana" w:eastAsia="Aptos" w:hAnsi="Verdana" w:cstheme="minorHAnsi"/>
          <w:kern w:val="2"/>
          <w:vertAlign w:val="superscript"/>
        </w:rPr>
        <w:footnoteReference w:id="2"/>
      </w:r>
      <w:r w:rsidRPr="00265F75">
        <w:rPr>
          <w:rFonts w:ascii="Verdana" w:eastAsia="Aptos" w:hAnsi="Verdana" w:cstheme="minorHAnsi"/>
          <w:kern w:val="2"/>
        </w:rPr>
        <w:t xml:space="preserve"> Of those who are finding it challenging, the primary reasons relate to the administrative burden, with 24% responding ‘paperwork’ is the most challenging aspect of the relationship, 14% selecting ‘time taken for checks at the border’ and 14% selecting ‘customs duties’.</w:t>
      </w:r>
      <w:r>
        <w:rPr>
          <w:rFonts w:ascii="Verdana" w:eastAsia="Aptos" w:hAnsi="Verdana" w:cstheme="minorHAnsi"/>
          <w:kern w:val="2"/>
          <w:vertAlign w:val="superscript"/>
        </w:rPr>
        <w:footnoteReference w:id="3"/>
      </w:r>
    </w:p>
    <w:p w:rsidR="003C1432" w:rsidRPr="00265F75" w:rsidP="00AD5B45">
      <w:pPr>
        <w:pStyle w:val="IoDBodyText"/>
        <w:rPr>
          <w:rFonts w:ascii="Verdana" w:hAnsi="Verdana"/>
          <w:sz w:val="24"/>
          <w:szCs w:val="24"/>
        </w:rPr>
      </w:pPr>
    </w:p>
    <w:p w:rsidR="00420DFF" w:rsidRPr="00265F75" w:rsidP="00AD5B45">
      <w:pPr>
        <w:pStyle w:val="IoDBodyText"/>
        <w:rPr>
          <w:rFonts w:ascii="Verdana" w:hAnsi="Verdana"/>
          <w:sz w:val="24"/>
          <w:szCs w:val="24"/>
        </w:rPr>
      </w:pPr>
    </w:p>
    <w:p w:rsidR="00420DFF" w:rsidRPr="00265F75" w:rsidP="00420DFF">
      <w:pPr>
        <w:spacing w:line="278" w:lineRule="auto"/>
        <w:rPr>
          <w:rFonts w:ascii="Verdana" w:eastAsia="Aptos" w:hAnsi="Verdana" w:cstheme="minorHAnsi"/>
          <w:b/>
          <w:bCs/>
          <w:kern w:val="2"/>
        </w:rPr>
      </w:pPr>
      <w:r w:rsidRPr="00265F75">
        <w:rPr>
          <w:rFonts w:ascii="Verdana" w:eastAsia="Aptos" w:hAnsi="Verdana" w:cstheme="minorHAnsi"/>
          <w:b/>
          <w:bCs/>
          <w:kern w:val="2"/>
        </w:rPr>
        <w:t xml:space="preserve">You said you are finding the UK’s trading relationship with the EU challenging. Of the following, which is the MOST challenging to your business? </w:t>
      </w:r>
    </w:p>
    <w:p w:rsidR="00420DFF" w:rsidRPr="00265F75" w:rsidP="00420DFF">
      <w:pPr>
        <w:spacing w:line="278" w:lineRule="auto"/>
        <w:rPr>
          <w:rFonts w:ascii="Verdana" w:eastAsia="Aptos" w:hAnsi="Verdana" w:cstheme="minorHAnsi"/>
          <w:b/>
          <w:bCs/>
          <w:kern w:val="2"/>
        </w:rPr>
      </w:pPr>
    </w:p>
    <w:tbl>
      <w:tblPr>
        <w:tblStyle w:val="TableGrid2"/>
        <w:tblW w:w="0" w:type="auto"/>
        <w:tblLook w:val="04A0"/>
      </w:tblPr>
      <w:tblGrid>
        <w:gridCol w:w="6490"/>
        <w:gridCol w:w="2526"/>
      </w:tblGrid>
      <w:tr w:rsidTr="00491F3C">
        <w:tblPrEx>
          <w:tblW w:w="0" w:type="auto"/>
          <w:tblLook w:val="04A0"/>
        </w:tblPrEx>
        <w:trPr>
          <w:trHeight w:val="290"/>
        </w:trPr>
        <w:tc>
          <w:tcPr>
            <w:tcW w:w="8340" w:type="dxa"/>
            <w:hideMark/>
          </w:tcPr>
          <w:p w:rsidR="00420DFF" w:rsidRPr="00265F75" w:rsidP="00420DFF">
            <w:pPr>
              <w:rPr>
                <w:rFonts w:ascii="Verdana" w:eastAsia="Aptos" w:hAnsi="Verdana" w:cstheme="minorHAnsi"/>
              </w:rPr>
            </w:pPr>
            <w:r w:rsidRPr="00265F75">
              <w:rPr>
                <w:rFonts w:ascii="Verdana" w:eastAsia="Aptos" w:hAnsi="Verdana" w:cstheme="minorHAnsi"/>
              </w:rPr>
              <w:t>Paperwork</w:t>
            </w:r>
          </w:p>
        </w:tc>
        <w:tc>
          <w:tcPr>
            <w:tcW w:w="3120" w:type="dxa"/>
            <w:hideMark/>
          </w:tcPr>
          <w:p w:rsidR="00420DFF" w:rsidRPr="00265F75" w:rsidP="00420DFF">
            <w:pPr>
              <w:rPr>
                <w:rFonts w:ascii="Verdana" w:eastAsia="Aptos" w:hAnsi="Verdana" w:cstheme="minorHAnsi"/>
              </w:rPr>
            </w:pPr>
            <w:r w:rsidRPr="00265F75">
              <w:rPr>
                <w:rFonts w:ascii="Verdana" w:eastAsia="Aptos" w:hAnsi="Verdana" w:cstheme="minorHAnsi"/>
              </w:rPr>
              <w:t>24.1%</w:t>
            </w:r>
          </w:p>
        </w:tc>
      </w:tr>
      <w:tr w:rsidTr="00491F3C">
        <w:tblPrEx>
          <w:tblW w:w="0" w:type="auto"/>
          <w:tblLook w:val="04A0"/>
        </w:tblPrEx>
        <w:trPr>
          <w:trHeight w:val="290"/>
        </w:trPr>
        <w:tc>
          <w:tcPr>
            <w:tcW w:w="8340" w:type="dxa"/>
            <w:hideMark/>
          </w:tcPr>
          <w:p w:rsidR="00420DFF" w:rsidRPr="00265F75" w:rsidP="00420DFF">
            <w:pPr>
              <w:rPr>
                <w:rFonts w:ascii="Verdana" w:eastAsia="Aptos" w:hAnsi="Verdana" w:cstheme="minorHAnsi"/>
              </w:rPr>
            </w:pPr>
            <w:r w:rsidRPr="00265F75">
              <w:rPr>
                <w:rFonts w:ascii="Verdana" w:eastAsia="Aptos" w:hAnsi="Verdana" w:cstheme="minorHAnsi"/>
              </w:rPr>
              <w:t>Customs duties</w:t>
            </w:r>
          </w:p>
        </w:tc>
        <w:tc>
          <w:tcPr>
            <w:tcW w:w="3120" w:type="dxa"/>
            <w:hideMark/>
          </w:tcPr>
          <w:p w:rsidR="00420DFF" w:rsidRPr="00265F75" w:rsidP="00420DFF">
            <w:pPr>
              <w:rPr>
                <w:rFonts w:ascii="Verdana" w:eastAsia="Aptos" w:hAnsi="Verdana" w:cstheme="minorHAnsi"/>
              </w:rPr>
            </w:pPr>
            <w:r w:rsidRPr="00265F75">
              <w:rPr>
                <w:rFonts w:ascii="Verdana" w:eastAsia="Aptos" w:hAnsi="Verdana" w:cstheme="minorHAnsi"/>
              </w:rPr>
              <w:t>14.4%</w:t>
            </w:r>
          </w:p>
        </w:tc>
      </w:tr>
      <w:tr w:rsidTr="00491F3C">
        <w:tblPrEx>
          <w:tblW w:w="0" w:type="auto"/>
          <w:tblLook w:val="04A0"/>
        </w:tblPrEx>
        <w:trPr>
          <w:trHeight w:val="290"/>
        </w:trPr>
        <w:tc>
          <w:tcPr>
            <w:tcW w:w="8340" w:type="dxa"/>
            <w:hideMark/>
          </w:tcPr>
          <w:p w:rsidR="00420DFF" w:rsidRPr="00265F75" w:rsidP="00420DFF">
            <w:pPr>
              <w:rPr>
                <w:rFonts w:ascii="Verdana" w:eastAsia="Aptos" w:hAnsi="Verdana" w:cstheme="minorHAnsi"/>
              </w:rPr>
            </w:pPr>
            <w:r w:rsidRPr="00265F75">
              <w:rPr>
                <w:rFonts w:ascii="Verdana" w:eastAsia="Aptos" w:hAnsi="Verdana" w:cstheme="minorHAnsi"/>
              </w:rPr>
              <w:t>Time taken for checks at the border</w:t>
            </w:r>
          </w:p>
        </w:tc>
        <w:tc>
          <w:tcPr>
            <w:tcW w:w="3120" w:type="dxa"/>
            <w:hideMark/>
          </w:tcPr>
          <w:p w:rsidR="00420DFF" w:rsidRPr="00265F75" w:rsidP="00420DFF">
            <w:pPr>
              <w:rPr>
                <w:rFonts w:ascii="Verdana" w:eastAsia="Aptos" w:hAnsi="Verdana" w:cstheme="minorHAnsi"/>
              </w:rPr>
            </w:pPr>
            <w:r w:rsidRPr="00265F75">
              <w:rPr>
                <w:rFonts w:ascii="Verdana" w:eastAsia="Aptos" w:hAnsi="Verdana" w:cstheme="minorHAnsi"/>
              </w:rPr>
              <w:t>14.4%</w:t>
            </w:r>
          </w:p>
        </w:tc>
      </w:tr>
      <w:tr w:rsidTr="00491F3C">
        <w:tblPrEx>
          <w:tblW w:w="0" w:type="auto"/>
          <w:tblLook w:val="04A0"/>
        </w:tblPrEx>
        <w:trPr>
          <w:trHeight w:val="290"/>
        </w:trPr>
        <w:tc>
          <w:tcPr>
            <w:tcW w:w="8340" w:type="dxa"/>
            <w:hideMark/>
          </w:tcPr>
          <w:p w:rsidR="00420DFF" w:rsidRPr="00265F75" w:rsidP="00420DFF">
            <w:pPr>
              <w:rPr>
                <w:rFonts w:ascii="Verdana" w:eastAsia="Aptos" w:hAnsi="Verdana" w:cstheme="minorHAnsi"/>
              </w:rPr>
            </w:pPr>
            <w:r w:rsidRPr="00265F75">
              <w:rPr>
                <w:rFonts w:ascii="Verdana" w:eastAsia="Aptos" w:hAnsi="Verdana" w:cstheme="minorHAnsi"/>
              </w:rPr>
              <w:t>Access to the EU research and funding streams, or academic collaboration activities</w:t>
            </w:r>
          </w:p>
        </w:tc>
        <w:tc>
          <w:tcPr>
            <w:tcW w:w="3120" w:type="dxa"/>
            <w:hideMark/>
          </w:tcPr>
          <w:p w:rsidR="00420DFF" w:rsidRPr="00265F75" w:rsidP="00420DFF">
            <w:pPr>
              <w:rPr>
                <w:rFonts w:ascii="Verdana" w:eastAsia="Aptos" w:hAnsi="Verdana" w:cstheme="minorHAnsi"/>
              </w:rPr>
            </w:pPr>
            <w:r w:rsidRPr="00265F75">
              <w:rPr>
                <w:rFonts w:ascii="Verdana" w:eastAsia="Aptos" w:hAnsi="Verdana" w:cstheme="minorHAnsi"/>
              </w:rPr>
              <w:t>11.7%</w:t>
            </w:r>
          </w:p>
        </w:tc>
      </w:tr>
      <w:tr w:rsidTr="00491F3C">
        <w:tblPrEx>
          <w:tblW w:w="0" w:type="auto"/>
          <w:tblLook w:val="04A0"/>
        </w:tblPrEx>
        <w:trPr>
          <w:trHeight w:val="290"/>
        </w:trPr>
        <w:tc>
          <w:tcPr>
            <w:tcW w:w="8340" w:type="dxa"/>
            <w:hideMark/>
          </w:tcPr>
          <w:p w:rsidR="00420DFF" w:rsidRPr="00265F75" w:rsidP="00420DFF">
            <w:pPr>
              <w:rPr>
                <w:rFonts w:ascii="Verdana" w:eastAsia="Aptos" w:hAnsi="Verdana" w:cstheme="minorHAnsi"/>
              </w:rPr>
            </w:pPr>
            <w:r w:rsidRPr="00265F75">
              <w:rPr>
                <w:rFonts w:ascii="Verdana" w:eastAsia="Aptos" w:hAnsi="Verdana" w:cstheme="minorHAnsi"/>
              </w:rPr>
              <w:t>Restrictions on business travel</w:t>
            </w:r>
          </w:p>
        </w:tc>
        <w:tc>
          <w:tcPr>
            <w:tcW w:w="3120" w:type="dxa"/>
            <w:hideMark/>
          </w:tcPr>
          <w:p w:rsidR="00420DFF" w:rsidRPr="00265F75" w:rsidP="00420DFF">
            <w:pPr>
              <w:rPr>
                <w:rFonts w:ascii="Verdana" w:eastAsia="Aptos" w:hAnsi="Verdana" w:cstheme="minorHAnsi"/>
              </w:rPr>
            </w:pPr>
            <w:r w:rsidRPr="00265F75">
              <w:rPr>
                <w:rFonts w:ascii="Verdana" w:eastAsia="Aptos" w:hAnsi="Verdana" w:cstheme="minorHAnsi"/>
              </w:rPr>
              <w:t>9.3%</w:t>
            </w:r>
          </w:p>
        </w:tc>
      </w:tr>
      <w:tr w:rsidTr="00491F3C">
        <w:tblPrEx>
          <w:tblW w:w="0" w:type="auto"/>
          <w:tblLook w:val="04A0"/>
        </w:tblPrEx>
        <w:trPr>
          <w:trHeight w:val="290"/>
        </w:trPr>
        <w:tc>
          <w:tcPr>
            <w:tcW w:w="8340" w:type="dxa"/>
            <w:hideMark/>
          </w:tcPr>
          <w:p w:rsidR="00420DFF" w:rsidRPr="00265F75" w:rsidP="00420DFF">
            <w:pPr>
              <w:rPr>
                <w:rFonts w:ascii="Verdana" w:eastAsia="Aptos" w:hAnsi="Verdana" w:cstheme="minorHAnsi"/>
              </w:rPr>
            </w:pPr>
            <w:r w:rsidRPr="00265F75">
              <w:rPr>
                <w:rFonts w:ascii="Verdana" w:eastAsia="Aptos" w:hAnsi="Verdana" w:cstheme="minorHAnsi"/>
              </w:rPr>
              <w:t>Lack of mutual recognition of professional qualifications</w:t>
            </w:r>
          </w:p>
        </w:tc>
        <w:tc>
          <w:tcPr>
            <w:tcW w:w="3120" w:type="dxa"/>
            <w:hideMark/>
          </w:tcPr>
          <w:p w:rsidR="00420DFF" w:rsidRPr="00265F75" w:rsidP="00420DFF">
            <w:pPr>
              <w:rPr>
                <w:rFonts w:ascii="Verdana" w:eastAsia="Aptos" w:hAnsi="Verdana" w:cstheme="minorHAnsi"/>
              </w:rPr>
            </w:pPr>
            <w:r w:rsidRPr="00265F75">
              <w:rPr>
                <w:rFonts w:ascii="Verdana" w:eastAsia="Aptos" w:hAnsi="Verdana" w:cstheme="minorHAnsi"/>
              </w:rPr>
              <w:t>6.2%</w:t>
            </w:r>
          </w:p>
        </w:tc>
      </w:tr>
      <w:tr w:rsidTr="00491F3C">
        <w:tblPrEx>
          <w:tblW w:w="0" w:type="auto"/>
          <w:tblLook w:val="04A0"/>
        </w:tblPrEx>
        <w:trPr>
          <w:trHeight w:val="290"/>
        </w:trPr>
        <w:tc>
          <w:tcPr>
            <w:tcW w:w="8340" w:type="dxa"/>
            <w:hideMark/>
          </w:tcPr>
          <w:p w:rsidR="00420DFF" w:rsidRPr="00265F75" w:rsidP="00420DFF">
            <w:pPr>
              <w:rPr>
                <w:rFonts w:ascii="Verdana" w:eastAsia="Aptos" w:hAnsi="Verdana" w:cstheme="minorHAnsi"/>
              </w:rPr>
            </w:pPr>
            <w:r w:rsidRPr="00265F75">
              <w:rPr>
                <w:rFonts w:ascii="Verdana" w:eastAsia="Aptos" w:hAnsi="Verdana" w:cstheme="minorHAnsi"/>
              </w:rPr>
              <w:t>Exchange rate volatility</w:t>
            </w:r>
          </w:p>
        </w:tc>
        <w:tc>
          <w:tcPr>
            <w:tcW w:w="3120" w:type="dxa"/>
            <w:hideMark/>
          </w:tcPr>
          <w:p w:rsidR="00420DFF" w:rsidRPr="00265F75" w:rsidP="00420DFF">
            <w:pPr>
              <w:rPr>
                <w:rFonts w:ascii="Verdana" w:eastAsia="Aptos" w:hAnsi="Verdana" w:cstheme="minorHAnsi"/>
              </w:rPr>
            </w:pPr>
            <w:r w:rsidRPr="00265F75">
              <w:rPr>
                <w:rFonts w:ascii="Verdana" w:eastAsia="Aptos" w:hAnsi="Verdana" w:cstheme="minorHAnsi"/>
              </w:rPr>
              <w:t>3.1%</w:t>
            </w:r>
          </w:p>
        </w:tc>
      </w:tr>
    </w:tbl>
    <w:p w:rsidR="00420DFF" w:rsidRPr="00265F75" w:rsidP="00420DFF">
      <w:pPr>
        <w:spacing w:after="160" w:line="278" w:lineRule="auto"/>
        <w:rPr>
          <w:rFonts w:ascii="Verdana" w:eastAsia="Aptos" w:hAnsi="Verdana" w:cstheme="minorHAnsi"/>
          <w:kern w:val="2"/>
        </w:rPr>
      </w:pPr>
      <w:r w:rsidRPr="00265F75">
        <w:rPr>
          <w:rFonts w:ascii="Verdana" w:eastAsia="Aptos" w:hAnsi="Verdana" w:cstheme="minorHAnsi"/>
          <w:kern w:val="2"/>
        </w:rPr>
        <w:t xml:space="preserve">Source: </w:t>
      </w:r>
      <w:r w:rsidRPr="00265F75">
        <w:rPr>
          <w:rFonts w:ascii="Verdana" w:eastAsia="Aptos" w:hAnsi="Verdana" w:cstheme="minorHAnsi"/>
          <w:kern w:val="2"/>
        </w:rPr>
        <w:t>IoD</w:t>
      </w: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kern w:val="2"/>
        </w:rPr>
        <w:t xml:space="preserve">Businesses are now spending significantly more time and money on Brexit-related administration. Many have hired extra staff to manage customs processes, or to oversee the export end of the business. But </w:t>
      </w:r>
      <w:r w:rsidRPr="00265F75">
        <w:rPr>
          <w:rFonts w:ascii="Verdana" w:eastAsia="Aptos" w:hAnsi="Verdana" w:cstheme="minorHAnsi"/>
          <w:kern w:val="2"/>
        </w:rPr>
        <w:t>it is clear that the</w:t>
      </w:r>
      <w:r w:rsidRPr="00265F75">
        <w:rPr>
          <w:rFonts w:ascii="Verdana" w:eastAsia="Aptos" w:hAnsi="Verdana" w:cstheme="minorHAnsi"/>
          <w:kern w:val="2"/>
        </w:rPr>
        <w:t xml:space="preserve"> administrative burden is particularly affecting smaller businesses and less frequent exporters, who do not necessarily have the same knowledge, resource and time bigger businesses do to overcome these challenges.</w:t>
      </w: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i/>
          <w:iCs/>
          <w:kern w:val="2"/>
        </w:rPr>
        <w:t xml:space="preserve">“…nobody could give me the information we needed to </w:t>
      </w:r>
      <w:r w:rsidRPr="00265F75">
        <w:rPr>
          <w:rFonts w:ascii="Verdana" w:eastAsia="Aptos" w:hAnsi="Verdana" w:cstheme="minorHAnsi"/>
          <w:i/>
          <w:iCs/>
          <w:kern w:val="2"/>
        </w:rPr>
        <w:t>actually get</w:t>
      </w:r>
      <w:r w:rsidRPr="00265F75">
        <w:rPr>
          <w:rFonts w:ascii="Verdana" w:eastAsia="Aptos" w:hAnsi="Verdana" w:cstheme="minorHAnsi"/>
          <w:i/>
          <w:iCs/>
          <w:kern w:val="2"/>
        </w:rPr>
        <w:t xml:space="preserve"> overseas. </w:t>
      </w:r>
      <w:r w:rsidRPr="00265F75">
        <w:rPr>
          <w:rFonts w:ascii="Verdana" w:eastAsia="Aptos" w:hAnsi="Verdana" w:cstheme="minorHAnsi"/>
          <w:i/>
          <w:iCs/>
          <w:kern w:val="2"/>
        </w:rPr>
        <w:t>So</w:t>
      </w:r>
      <w:r w:rsidRPr="00265F75">
        <w:rPr>
          <w:rFonts w:ascii="Verdana" w:eastAsia="Aptos" w:hAnsi="Verdana" w:cstheme="minorHAnsi"/>
          <w:i/>
          <w:iCs/>
          <w:kern w:val="2"/>
        </w:rPr>
        <w:t xml:space="preserve"> at that point, we pulled the plug on every single export we did because it was just too hard.”</w:t>
      </w:r>
      <w:r w:rsidRPr="00265F75">
        <w:rPr>
          <w:rFonts w:ascii="Verdana" w:eastAsia="Aptos" w:hAnsi="Verdana" w:cstheme="minorHAnsi"/>
          <w:kern w:val="2"/>
        </w:rPr>
        <w:t xml:space="preserve"> (Statistical analysis research company, small business)</w:t>
      </w: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i/>
          <w:iCs/>
          <w:kern w:val="2"/>
        </w:rPr>
        <w:t>“Brexit has delayed our delivery times by about 24 to 40 hours. We can’t do next day deliveries to Europe anymore. That’s just simply not possible.”</w:t>
      </w:r>
      <w:r w:rsidRPr="00265F75">
        <w:rPr>
          <w:rFonts w:ascii="Verdana" w:eastAsia="Aptos" w:hAnsi="Verdana" w:cstheme="minorHAnsi"/>
          <w:kern w:val="2"/>
        </w:rPr>
        <w:t xml:space="preserve"> (Homeware distributor, medium-sized business)</w:t>
      </w: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kern w:val="2"/>
        </w:rPr>
        <w:t xml:space="preserve">Those who have had the option have set up subsidiaries or distribution centres within the EU to bypass border regulation. Members who offer consulting services to businesses on international growth have said they are also advising their UK clients to form long-term relationships with EU businesses </w:t>
      </w:r>
      <w:r w:rsidRPr="00265F75">
        <w:rPr>
          <w:rFonts w:ascii="Verdana" w:eastAsia="Aptos" w:hAnsi="Verdana" w:cstheme="minorHAnsi"/>
          <w:kern w:val="2"/>
        </w:rPr>
        <w:t>in order to</w:t>
      </w:r>
      <w:r w:rsidRPr="00265F75">
        <w:rPr>
          <w:rFonts w:ascii="Verdana" w:eastAsia="Aptos" w:hAnsi="Verdana" w:cstheme="minorHAnsi"/>
          <w:kern w:val="2"/>
        </w:rPr>
        <w:t xml:space="preserve"> establish an export base from their location. Similarly, some less frequent exporters looking to expand are targeting multinational corporations as new clients which already have established global links, meaning they also have the necessary experience in international trade processes.</w:t>
      </w: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kern w:val="2"/>
        </w:rPr>
        <w:t xml:space="preserve">Meanwhile, the mobility of people for work and travel across the border has become more difficult. Qualitative research of the business mobility issue shows that administration and visa documentation has become long </w:t>
      </w:r>
      <w:r w:rsidRPr="00265F75">
        <w:rPr>
          <w:rFonts w:ascii="Verdana" w:eastAsia="Aptos" w:hAnsi="Verdana" w:cstheme="minorHAnsi"/>
          <w:kern w:val="2"/>
        </w:rPr>
        <w:t xml:space="preserve">and complex to understand, varies from member state to member state, and often </w:t>
      </w:r>
      <w:r w:rsidRPr="00265F75">
        <w:rPr>
          <w:rFonts w:ascii="Verdana" w:eastAsia="Aptos" w:hAnsi="Verdana" w:cstheme="minorHAnsi"/>
          <w:kern w:val="2"/>
        </w:rPr>
        <w:t>has to</w:t>
      </w:r>
      <w:r w:rsidRPr="00265F75">
        <w:rPr>
          <w:rFonts w:ascii="Verdana" w:eastAsia="Aptos" w:hAnsi="Verdana" w:cstheme="minorHAnsi"/>
          <w:kern w:val="2"/>
        </w:rPr>
        <w:t xml:space="preserve"> be completed in the destination country’s language. </w:t>
      </w: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kern w:val="2"/>
        </w:rPr>
        <w:t xml:space="preserve">The experience of passport controls has become much longer and clunkier than before, disincentivising business travel in the first place: </w:t>
      </w:r>
      <w:r w:rsidRPr="00265F75">
        <w:rPr>
          <w:rFonts w:ascii="Verdana" w:eastAsia="Aptos" w:hAnsi="Verdana" w:cstheme="minorHAnsi"/>
          <w:i/>
          <w:iCs/>
          <w:kern w:val="2"/>
        </w:rPr>
        <w:t>“Travel within Europe has become less convenient, with occasionally long waits to get through the “non-EU” gates at passport control when flying through an EU hub</w:t>
      </w:r>
      <w:r w:rsidRPr="00265F75">
        <w:rPr>
          <w:rFonts w:ascii="Verdana" w:eastAsia="Aptos" w:hAnsi="Verdana" w:cstheme="minorHAnsi"/>
          <w:kern w:val="2"/>
        </w:rPr>
        <w:t>.</w:t>
      </w:r>
      <w:r w:rsidRPr="00265F75">
        <w:rPr>
          <w:rFonts w:ascii="Verdana" w:eastAsia="Aptos" w:hAnsi="Verdana" w:cstheme="minorHAnsi"/>
          <w:i/>
          <w:iCs/>
          <w:kern w:val="2"/>
        </w:rPr>
        <w:t xml:space="preserve">” </w:t>
      </w:r>
      <w:r w:rsidRPr="00265F75">
        <w:rPr>
          <w:rFonts w:ascii="Verdana" w:eastAsia="Aptos" w:hAnsi="Verdana" w:cstheme="minorHAnsi"/>
          <w:kern w:val="2"/>
        </w:rPr>
        <w:t>(Sole trader, professional, scientific and technical activities)</w:t>
      </w: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kern w:val="2"/>
        </w:rPr>
        <w:t xml:space="preserve">Separately, members have said they are finding it difficult recruiting the right employees with the right skills, and that the new relationship with the EU has exacerbated their skills shortages now businesses have access to a much smaller pool of people from which to recruit. </w:t>
      </w: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i/>
          <w:iCs/>
          <w:kern w:val="2"/>
        </w:rPr>
        <w:t xml:space="preserve">“Before Brexit we would attract candidates for both medical writing and account management roles from Europe – free movement meant it was easy for them to move in and out of the country to </w:t>
      </w:r>
      <w:r w:rsidRPr="00265F75">
        <w:rPr>
          <w:rFonts w:ascii="Verdana" w:eastAsia="Aptos" w:hAnsi="Verdana" w:cstheme="minorHAnsi"/>
          <w:i/>
          <w:iCs/>
          <w:kern w:val="2"/>
        </w:rPr>
        <w:t>live, and</w:t>
      </w:r>
      <w:r w:rsidRPr="00265F75">
        <w:rPr>
          <w:rFonts w:ascii="Verdana" w:eastAsia="Aptos" w:hAnsi="Verdana" w:cstheme="minorHAnsi"/>
          <w:i/>
          <w:iCs/>
          <w:kern w:val="2"/>
        </w:rPr>
        <w:t xml:space="preserve"> having staff with native French/German/Spanish is useful.  Since Brexit we have not had a single candidate.” </w:t>
      </w:r>
      <w:r w:rsidRPr="00265F75">
        <w:rPr>
          <w:rFonts w:ascii="Verdana" w:eastAsia="Aptos" w:hAnsi="Verdana" w:cstheme="minorHAnsi"/>
          <w:kern w:val="2"/>
        </w:rPr>
        <w:t>(10 – 25 employees, pharmaceutical industry)</w:t>
      </w: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kern w:val="2"/>
        </w:rPr>
        <w:t xml:space="preserve">Another significant obstacle to UK exports is that UK businesses are being squeezed out of the EU by European firms which are not constrained by regulation, administration or extra costs. </w:t>
      </w: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kern w:val="2"/>
        </w:rPr>
        <w:t>Anecdotally, many businesses feel at a disadvantage to EU companies who can provide goods or services often more quickly, sometimes more cheaply, and without the hassle of paperwork.</w:t>
      </w: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i/>
          <w:iCs/>
          <w:kern w:val="2"/>
        </w:rPr>
        <w:t xml:space="preserve">“We send engineers to Europe to repair specialist machinery. Each EU country demands different things. The time to get a visa is long, and complicated. However, we know the UK turns a blind eye to EU companies coming in to do the same. The EU customers we had also have to get involved in supporting our working for them. Some cannot be bothered so we lose that work.” </w:t>
      </w:r>
      <w:r w:rsidRPr="00265F75">
        <w:rPr>
          <w:rFonts w:ascii="Verdana" w:eastAsia="Aptos" w:hAnsi="Verdana" w:cstheme="minorHAnsi"/>
          <w:kern w:val="2"/>
        </w:rPr>
        <w:t>(</w:t>
      </w:r>
      <w:r w:rsidRPr="00265F75">
        <w:rPr>
          <w:rFonts w:ascii="Verdana" w:eastAsia="Aptos" w:hAnsi="Verdana" w:cstheme="minorHAnsi"/>
          <w:kern w:val="2"/>
        </w:rPr>
        <w:t>North East</w:t>
      </w:r>
      <w:r w:rsidRPr="00265F75">
        <w:rPr>
          <w:rFonts w:ascii="Verdana" w:eastAsia="Aptos" w:hAnsi="Verdana" w:cstheme="minorHAnsi"/>
          <w:kern w:val="2"/>
        </w:rPr>
        <w:t xml:space="preserve"> England, Construction, 10-49 employees)</w:t>
      </w: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kern w:val="2"/>
        </w:rPr>
        <w:t xml:space="preserve">As a result of these issues, there is no doubt that Brexit has had a negative impact on the UK economy. The exact impact is difficult to disentangle from the impact of the pandemic, and the effects of the Russian invasion of Ukraine. However, the Centre for European Reform estimates that missed growth opportunities in goods and services trade </w:t>
      </w:r>
      <w:r w:rsidRPr="00265F75">
        <w:rPr>
          <w:rFonts w:ascii="Verdana" w:eastAsia="Aptos" w:hAnsi="Verdana" w:cstheme="minorHAnsi"/>
          <w:kern w:val="2"/>
        </w:rPr>
        <w:t>with the EU account for a GDP reduction of roughly 4-5% compared with a Britain that had remained in the EU.</w:t>
      </w:r>
      <w:r>
        <w:rPr>
          <w:rFonts w:ascii="Verdana" w:eastAsia="Aptos" w:hAnsi="Verdana" w:cstheme="minorHAnsi"/>
          <w:kern w:val="2"/>
          <w:vertAlign w:val="superscript"/>
        </w:rPr>
        <w:footnoteReference w:id="4"/>
      </w:r>
      <w:r w:rsidRPr="00265F75">
        <w:rPr>
          <w:rFonts w:ascii="Verdana" w:eastAsia="Aptos" w:hAnsi="Verdana" w:cstheme="minorHAnsi"/>
          <w:kern w:val="2"/>
        </w:rPr>
        <w:t xml:space="preserve"> </w:t>
      </w: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kern w:val="2"/>
        </w:rPr>
        <w:t>Likewise, the National Institute of Economic and Social Research (NIESR) has projected that three years after the end of the transition period, UK GDP is now 2-3% lower than it would have been had it not left the EU, approximated by using a counterfactual scenario where the UK retained membership.</w:t>
      </w:r>
      <w:r>
        <w:rPr>
          <w:rFonts w:ascii="Verdana" w:eastAsia="Aptos" w:hAnsi="Verdana" w:cstheme="minorHAnsi"/>
          <w:kern w:val="2"/>
          <w:vertAlign w:val="superscript"/>
        </w:rPr>
        <w:footnoteReference w:id="5"/>
      </w:r>
      <w:r w:rsidRPr="00265F75">
        <w:rPr>
          <w:rFonts w:ascii="Verdana" w:eastAsia="Aptos" w:hAnsi="Verdana" w:cstheme="minorHAnsi"/>
          <w:kern w:val="2"/>
        </w:rPr>
        <w:t xml:space="preserve"> It further estimates, that, as a result of a reduction in trade with the EU and the fact that the UK is now less attractive to invest in, the impact of Brexit will continue to manifest over a longer period of time, and so by 2035, there will have been a 5-6% hit to UK real GDP. </w:t>
      </w: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kern w:val="2"/>
        </w:rPr>
        <w:t xml:space="preserve">The relationship between the UK and the EU has been somewhat sensitive since the 2016 referendum, and the Brexit narrative became very polarising. The politics has often overshadowed the practicalities.  </w:t>
      </w: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kern w:val="2"/>
        </w:rPr>
        <w:t>The IoD welcomes the commitment to “deepen ties with our European friends, neighbours and allies”, providing a renewed opportunity for diplomatic relations with the continent.</w:t>
      </w:r>
      <w:r>
        <w:rPr>
          <w:rFonts w:ascii="Verdana" w:eastAsia="Aptos" w:hAnsi="Verdana" w:cstheme="minorHAnsi"/>
          <w:kern w:val="2"/>
          <w:vertAlign w:val="superscript"/>
        </w:rPr>
        <w:footnoteReference w:id="6"/>
      </w:r>
      <w:r w:rsidRPr="00265F75">
        <w:rPr>
          <w:rFonts w:ascii="Verdana" w:eastAsia="Aptos" w:hAnsi="Verdana" w:cstheme="minorHAnsi"/>
          <w:kern w:val="2"/>
        </w:rPr>
        <w:t xml:space="preserve"> This is particularly poignant against a backdrop where external geopolitical threats are building – war in Ukraine has reached a critical point; conflict in the Middle East is still causing the diversion of shipping routes around the Cape of Good Hope; and China and the West continue to clash. Meanwhile, the election of Donald Trump and his associated policy agenda of tariffs and more interventionist foreign policy gives the UK greater necessity to ensure strong relations with its closest and biggest trading partner. The geopolitical context has already led to greater levels of cooperation between the UK and EU, most immediately in areas of defence and security. </w:t>
      </w: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kern w:val="2"/>
        </w:rPr>
        <w:t xml:space="preserve">It is clear though, despite this progress, that the politics still present teething problems to the success of the ‘Reset’. As is stipulated by the Red Lines, the IoD would not advocate for a return to the Single Market or Customs Union. </w:t>
      </w: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kern w:val="2"/>
        </w:rPr>
        <w:t>But,</w:t>
      </w:r>
      <w:r w:rsidRPr="00265F75">
        <w:rPr>
          <w:rFonts w:ascii="Verdana" w:eastAsia="Aptos" w:hAnsi="Verdana" w:cstheme="minorHAnsi"/>
          <w:kern w:val="2"/>
        </w:rPr>
        <w:t xml:space="preserve"> both the UK and Europe are suffering from low economic growth and as a result are struggling to remain competitive on the global stage, and so these Red Lines should not be an impediment to removing barriers that could stimulate growth for the UK economy. </w:t>
      </w: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kern w:val="2"/>
        </w:rPr>
        <w:t>IoD data from July 2024 shows businesses have mixed opinions around the government’s approach to the reset:</w:t>
      </w:r>
    </w:p>
    <w:p w:rsidR="00420DFF" w:rsidRPr="00265F75" w:rsidP="00AD5B45">
      <w:pPr>
        <w:pStyle w:val="IoDBodyText"/>
        <w:rPr>
          <w:rFonts w:ascii="Verdana" w:hAnsi="Verdana"/>
          <w:sz w:val="24"/>
          <w:szCs w:val="24"/>
        </w:rPr>
      </w:pPr>
    </w:p>
    <w:p w:rsidR="00420DFF" w:rsidRPr="00265F75" w:rsidP="00420DFF">
      <w:pPr>
        <w:spacing w:line="278" w:lineRule="auto"/>
        <w:rPr>
          <w:rFonts w:ascii="Verdana" w:eastAsia="Aptos" w:hAnsi="Verdana" w:cstheme="minorHAnsi"/>
          <w:b/>
          <w:bCs/>
          <w:kern w:val="2"/>
        </w:rPr>
      </w:pPr>
      <w:r w:rsidRPr="00265F75">
        <w:rPr>
          <w:rFonts w:ascii="Verdana" w:eastAsia="Aptos" w:hAnsi="Verdana" w:cstheme="minorHAnsi"/>
          <w:b/>
          <w:bCs/>
          <w:kern w:val="2"/>
        </w:rPr>
        <w:t>The government has said the UK will not re-enter the EU customs union. However, they want to negotiate individual agreements with the EU such as veterinary agreement, a mutual recognition agreement on professional qualifications and help for touring artists. How confident are you that this strategy will improve the UK's relationship with the EU?</w:t>
      </w:r>
    </w:p>
    <w:p w:rsidR="00420DFF" w:rsidRPr="00265F75" w:rsidP="00420DFF">
      <w:pPr>
        <w:spacing w:line="278" w:lineRule="auto"/>
        <w:rPr>
          <w:rFonts w:ascii="Verdana" w:eastAsia="Aptos" w:hAnsi="Verdana" w:cstheme="minorHAnsi"/>
          <w:b/>
          <w:bCs/>
          <w:kern w:val="2"/>
        </w:rPr>
      </w:pPr>
    </w:p>
    <w:tbl>
      <w:tblPr>
        <w:tblStyle w:val="TableGrid3"/>
        <w:tblW w:w="0" w:type="auto"/>
        <w:tblLook w:val="04A0"/>
      </w:tblPr>
      <w:tblGrid>
        <w:gridCol w:w="3280"/>
        <w:gridCol w:w="5560"/>
      </w:tblGrid>
      <w:tr w:rsidTr="00491F3C">
        <w:tblPrEx>
          <w:tblW w:w="0" w:type="auto"/>
          <w:tblLook w:val="04A0"/>
        </w:tblPrEx>
        <w:trPr>
          <w:trHeight w:val="290"/>
        </w:trPr>
        <w:tc>
          <w:tcPr>
            <w:tcW w:w="3280" w:type="dxa"/>
            <w:noWrap/>
            <w:hideMark/>
          </w:tcPr>
          <w:p w:rsidR="00420DFF" w:rsidRPr="00265F75" w:rsidP="00420DFF">
            <w:pPr>
              <w:rPr>
                <w:rFonts w:ascii="Verdana" w:eastAsia="Aptos" w:hAnsi="Verdana" w:cstheme="minorHAnsi"/>
              </w:rPr>
            </w:pPr>
            <w:r w:rsidRPr="00265F75">
              <w:rPr>
                <w:rFonts w:ascii="Verdana" w:eastAsia="Aptos" w:hAnsi="Verdana" w:cstheme="minorHAnsi"/>
              </w:rPr>
              <w:t>Very confident</w:t>
            </w:r>
          </w:p>
        </w:tc>
        <w:tc>
          <w:tcPr>
            <w:tcW w:w="5560" w:type="dxa"/>
            <w:noWrap/>
            <w:hideMark/>
          </w:tcPr>
          <w:p w:rsidR="00420DFF" w:rsidRPr="00265F75" w:rsidP="00420DFF">
            <w:pPr>
              <w:rPr>
                <w:rFonts w:ascii="Verdana" w:eastAsia="Aptos" w:hAnsi="Verdana" w:cstheme="minorHAnsi"/>
              </w:rPr>
            </w:pPr>
            <w:r w:rsidRPr="00265F75">
              <w:rPr>
                <w:rFonts w:ascii="Verdana" w:eastAsia="Aptos" w:hAnsi="Verdana" w:cstheme="minorHAnsi"/>
              </w:rPr>
              <w:t>5.8%</w:t>
            </w:r>
          </w:p>
        </w:tc>
      </w:tr>
      <w:tr w:rsidTr="00491F3C">
        <w:tblPrEx>
          <w:tblW w:w="0" w:type="auto"/>
          <w:tblLook w:val="04A0"/>
        </w:tblPrEx>
        <w:trPr>
          <w:trHeight w:val="290"/>
        </w:trPr>
        <w:tc>
          <w:tcPr>
            <w:tcW w:w="3280" w:type="dxa"/>
            <w:noWrap/>
            <w:hideMark/>
          </w:tcPr>
          <w:p w:rsidR="00420DFF" w:rsidRPr="00265F75" w:rsidP="00420DFF">
            <w:pPr>
              <w:rPr>
                <w:rFonts w:ascii="Verdana" w:eastAsia="Aptos" w:hAnsi="Verdana" w:cstheme="minorHAnsi"/>
              </w:rPr>
            </w:pPr>
            <w:r w:rsidRPr="00265F75">
              <w:rPr>
                <w:rFonts w:ascii="Verdana" w:eastAsia="Aptos" w:hAnsi="Verdana" w:cstheme="minorHAnsi"/>
              </w:rPr>
              <w:t>Quite confident</w:t>
            </w:r>
          </w:p>
        </w:tc>
        <w:tc>
          <w:tcPr>
            <w:tcW w:w="5560" w:type="dxa"/>
            <w:noWrap/>
            <w:hideMark/>
          </w:tcPr>
          <w:p w:rsidR="00420DFF" w:rsidRPr="00265F75" w:rsidP="00420DFF">
            <w:pPr>
              <w:rPr>
                <w:rFonts w:ascii="Verdana" w:eastAsia="Aptos" w:hAnsi="Verdana" w:cstheme="minorHAnsi"/>
              </w:rPr>
            </w:pPr>
            <w:r w:rsidRPr="00265F75">
              <w:rPr>
                <w:rFonts w:ascii="Verdana" w:eastAsia="Aptos" w:hAnsi="Verdana" w:cstheme="minorHAnsi"/>
              </w:rPr>
              <w:t>25.7%</w:t>
            </w:r>
          </w:p>
        </w:tc>
      </w:tr>
      <w:tr w:rsidTr="00491F3C">
        <w:tblPrEx>
          <w:tblW w:w="0" w:type="auto"/>
          <w:tblLook w:val="04A0"/>
        </w:tblPrEx>
        <w:trPr>
          <w:trHeight w:val="290"/>
        </w:trPr>
        <w:tc>
          <w:tcPr>
            <w:tcW w:w="3280" w:type="dxa"/>
            <w:noWrap/>
            <w:hideMark/>
          </w:tcPr>
          <w:p w:rsidR="00420DFF" w:rsidRPr="00265F75" w:rsidP="00420DFF">
            <w:pPr>
              <w:rPr>
                <w:rFonts w:ascii="Verdana" w:eastAsia="Aptos" w:hAnsi="Verdana" w:cstheme="minorHAnsi"/>
              </w:rPr>
            </w:pPr>
            <w:r w:rsidRPr="00265F75">
              <w:rPr>
                <w:rFonts w:ascii="Verdana" w:eastAsia="Aptos" w:hAnsi="Verdana" w:cstheme="minorHAnsi"/>
              </w:rPr>
              <w:t>Neither confident nor unconfident</w:t>
            </w:r>
          </w:p>
        </w:tc>
        <w:tc>
          <w:tcPr>
            <w:tcW w:w="5560" w:type="dxa"/>
            <w:noWrap/>
            <w:hideMark/>
          </w:tcPr>
          <w:p w:rsidR="00420DFF" w:rsidRPr="00265F75" w:rsidP="00420DFF">
            <w:pPr>
              <w:rPr>
                <w:rFonts w:ascii="Verdana" w:eastAsia="Aptos" w:hAnsi="Verdana" w:cstheme="minorHAnsi"/>
              </w:rPr>
            </w:pPr>
            <w:r w:rsidRPr="00265F75">
              <w:rPr>
                <w:rFonts w:ascii="Verdana" w:eastAsia="Aptos" w:hAnsi="Verdana" w:cstheme="minorHAnsi"/>
              </w:rPr>
              <w:t>33.1%</w:t>
            </w:r>
          </w:p>
        </w:tc>
      </w:tr>
      <w:tr w:rsidTr="00491F3C">
        <w:tblPrEx>
          <w:tblW w:w="0" w:type="auto"/>
          <w:tblLook w:val="04A0"/>
        </w:tblPrEx>
        <w:trPr>
          <w:trHeight w:val="290"/>
        </w:trPr>
        <w:tc>
          <w:tcPr>
            <w:tcW w:w="3280" w:type="dxa"/>
            <w:noWrap/>
            <w:hideMark/>
          </w:tcPr>
          <w:p w:rsidR="00420DFF" w:rsidRPr="00265F75" w:rsidP="00420DFF">
            <w:pPr>
              <w:rPr>
                <w:rFonts w:ascii="Verdana" w:eastAsia="Aptos" w:hAnsi="Verdana" w:cstheme="minorHAnsi"/>
              </w:rPr>
            </w:pPr>
            <w:r w:rsidRPr="00265F75">
              <w:rPr>
                <w:rFonts w:ascii="Verdana" w:eastAsia="Aptos" w:hAnsi="Verdana" w:cstheme="minorHAnsi"/>
              </w:rPr>
              <w:t>Quite unconfident</w:t>
            </w:r>
          </w:p>
        </w:tc>
        <w:tc>
          <w:tcPr>
            <w:tcW w:w="5560" w:type="dxa"/>
            <w:noWrap/>
            <w:hideMark/>
          </w:tcPr>
          <w:p w:rsidR="00420DFF" w:rsidRPr="00265F75" w:rsidP="00420DFF">
            <w:pPr>
              <w:rPr>
                <w:rFonts w:ascii="Verdana" w:eastAsia="Aptos" w:hAnsi="Verdana" w:cstheme="minorHAnsi"/>
              </w:rPr>
            </w:pPr>
            <w:r w:rsidRPr="00265F75">
              <w:rPr>
                <w:rFonts w:ascii="Verdana" w:eastAsia="Aptos" w:hAnsi="Verdana" w:cstheme="minorHAnsi"/>
              </w:rPr>
              <w:t>13.7%</w:t>
            </w:r>
          </w:p>
        </w:tc>
      </w:tr>
      <w:tr w:rsidTr="00491F3C">
        <w:tblPrEx>
          <w:tblW w:w="0" w:type="auto"/>
          <w:tblLook w:val="04A0"/>
        </w:tblPrEx>
        <w:trPr>
          <w:trHeight w:val="290"/>
        </w:trPr>
        <w:tc>
          <w:tcPr>
            <w:tcW w:w="3280" w:type="dxa"/>
            <w:noWrap/>
            <w:hideMark/>
          </w:tcPr>
          <w:p w:rsidR="00420DFF" w:rsidRPr="00265F75" w:rsidP="00420DFF">
            <w:pPr>
              <w:rPr>
                <w:rFonts w:ascii="Verdana" w:eastAsia="Aptos" w:hAnsi="Verdana" w:cstheme="minorHAnsi"/>
              </w:rPr>
            </w:pPr>
            <w:r w:rsidRPr="00265F75">
              <w:rPr>
                <w:rFonts w:ascii="Verdana" w:eastAsia="Aptos" w:hAnsi="Verdana" w:cstheme="minorHAnsi"/>
              </w:rPr>
              <w:t>Very unconfident</w:t>
            </w:r>
          </w:p>
        </w:tc>
        <w:tc>
          <w:tcPr>
            <w:tcW w:w="5560" w:type="dxa"/>
            <w:noWrap/>
            <w:hideMark/>
          </w:tcPr>
          <w:p w:rsidR="00420DFF" w:rsidRPr="00265F75" w:rsidP="00420DFF">
            <w:pPr>
              <w:rPr>
                <w:rFonts w:ascii="Verdana" w:eastAsia="Aptos" w:hAnsi="Verdana" w:cstheme="minorHAnsi"/>
              </w:rPr>
            </w:pPr>
            <w:r w:rsidRPr="00265F75">
              <w:rPr>
                <w:rFonts w:ascii="Verdana" w:eastAsia="Aptos" w:hAnsi="Verdana" w:cstheme="minorHAnsi"/>
              </w:rPr>
              <w:t>14.4%</w:t>
            </w:r>
          </w:p>
        </w:tc>
      </w:tr>
      <w:tr w:rsidTr="00491F3C">
        <w:tblPrEx>
          <w:tblW w:w="0" w:type="auto"/>
          <w:tblLook w:val="04A0"/>
        </w:tblPrEx>
        <w:trPr>
          <w:trHeight w:val="290"/>
        </w:trPr>
        <w:tc>
          <w:tcPr>
            <w:tcW w:w="3280" w:type="dxa"/>
            <w:noWrap/>
            <w:hideMark/>
          </w:tcPr>
          <w:p w:rsidR="00420DFF" w:rsidRPr="00265F75" w:rsidP="00420DFF">
            <w:pPr>
              <w:rPr>
                <w:rFonts w:ascii="Verdana" w:eastAsia="Aptos" w:hAnsi="Verdana" w:cstheme="minorHAnsi"/>
              </w:rPr>
            </w:pPr>
            <w:r w:rsidRPr="00265F75">
              <w:rPr>
                <w:rFonts w:ascii="Verdana" w:eastAsia="Aptos" w:hAnsi="Verdana" w:cstheme="minorHAnsi"/>
              </w:rPr>
              <w:t>Don't know</w:t>
            </w:r>
          </w:p>
        </w:tc>
        <w:tc>
          <w:tcPr>
            <w:tcW w:w="5560" w:type="dxa"/>
            <w:noWrap/>
            <w:hideMark/>
          </w:tcPr>
          <w:p w:rsidR="00420DFF" w:rsidRPr="00265F75" w:rsidP="00420DFF">
            <w:pPr>
              <w:rPr>
                <w:rFonts w:ascii="Verdana" w:eastAsia="Aptos" w:hAnsi="Verdana" w:cstheme="minorHAnsi"/>
              </w:rPr>
            </w:pPr>
            <w:r w:rsidRPr="00265F75">
              <w:rPr>
                <w:rFonts w:ascii="Verdana" w:eastAsia="Aptos" w:hAnsi="Verdana" w:cstheme="minorHAnsi"/>
              </w:rPr>
              <w:t>2.6%</w:t>
            </w:r>
          </w:p>
        </w:tc>
      </w:tr>
      <w:tr w:rsidTr="00491F3C">
        <w:tblPrEx>
          <w:tblW w:w="0" w:type="auto"/>
          <w:tblLook w:val="04A0"/>
        </w:tblPrEx>
        <w:trPr>
          <w:trHeight w:val="290"/>
        </w:trPr>
        <w:tc>
          <w:tcPr>
            <w:tcW w:w="3280" w:type="dxa"/>
            <w:noWrap/>
            <w:hideMark/>
          </w:tcPr>
          <w:p w:rsidR="00420DFF" w:rsidRPr="00265F75" w:rsidP="00420DFF">
            <w:pPr>
              <w:rPr>
                <w:rFonts w:ascii="Verdana" w:eastAsia="Aptos" w:hAnsi="Verdana" w:cstheme="minorHAnsi"/>
              </w:rPr>
            </w:pPr>
            <w:r w:rsidRPr="00265F75">
              <w:rPr>
                <w:rFonts w:ascii="Verdana" w:eastAsia="Aptos" w:hAnsi="Verdana" w:cstheme="minorHAnsi"/>
              </w:rPr>
              <w:t>N/A</w:t>
            </w:r>
          </w:p>
        </w:tc>
        <w:tc>
          <w:tcPr>
            <w:tcW w:w="5560" w:type="dxa"/>
            <w:noWrap/>
            <w:hideMark/>
          </w:tcPr>
          <w:p w:rsidR="00420DFF" w:rsidRPr="00265F75" w:rsidP="00420DFF">
            <w:pPr>
              <w:rPr>
                <w:rFonts w:ascii="Verdana" w:eastAsia="Aptos" w:hAnsi="Verdana" w:cstheme="minorHAnsi"/>
              </w:rPr>
            </w:pPr>
            <w:r w:rsidRPr="00265F75">
              <w:rPr>
                <w:rFonts w:ascii="Verdana" w:eastAsia="Aptos" w:hAnsi="Verdana" w:cstheme="minorHAnsi"/>
              </w:rPr>
              <w:t>4.7%</w:t>
            </w:r>
          </w:p>
        </w:tc>
      </w:tr>
    </w:tbl>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kern w:val="2"/>
        </w:rPr>
        <w:t xml:space="preserve">Source: </w:t>
      </w:r>
      <w:r w:rsidRPr="00265F75">
        <w:rPr>
          <w:rFonts w:ascii="Verdana" w:eastAsia="Aptos" w:hAnsi="Verdana" w:cstheme="minorHAnsi"/>
          <w:kern w:val="2"/>
        </w:rPr>
        <w:t>IoD</w:t>
      </w:r>
      <w:r w:rsidRPr="00265F75">
        <w:rPr>
          <w:rFonts w:ascii="Verdana" w:eastAsia="Aptos" w:hAnsi="Verdana" w:cstheme="minorHAnsi"/>
          <w:kern w:val="2"/>
        </w:rPr>
        <w:t xml:space="preserve"> Policy Voice July 2024</w:t>
      </w: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kern w:val="2"/>
        </w:rPr>
        <w:t xml:space="preserve">The IoD supports the government’s priorities of a veterinary agreement, mutual recognition of professional qualifications and easier access for UK touring artists. Further to this, the IoD is also calling for the relaxing of the </w:t>
      </w:r>
      <w:r w:rsidRPr="00265F75">
        <w:rPr>
          <w:rFonts w:ascii="Verdana" w:eastAsia="Aptos" w:hAnsi="Verdana" w:cstheme="minorHAnsi"/>
          <w:kern w:val="2"/>
        </w:rPr>
        <w:t>90 day</w:t>
      </w:r>
      <w:r w:rsidRPr="00265F75">
        <w:rPr>
          <w:rFonts w:ascii="Verdana" w:eastAsia="Aptos" w:hAnsi="Verdana" w:cstheme="minorHAnsi"/>
          <w:kern w:val="2"/>
        </w:rPr>
        <w:t xml:space="preserve"> restriction in every six months for business travel to encourage greater flexibility between the EU and the UK. </w:t>
      </w: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kern w:val="2"/>
        </w:rPr>
        <w:t>Moreover, since it is likely that the issue of regulatory alignment will grow as each jurisdiction unilaterally updates its own regulation and the regulatory gap widens, the IoD would support a Canada-style mutual recognition of regulation and standards. This would enable the UK and EU to recognise each other’s rules and standards, even if they are not identical, provided they meet similar objectives. As a result, the UK would be able to maintain its sovereignty and flexibility to regulate where it best serves UK business, whilst reducing non-tariff barriers such as product certifications, inspections, and compliance checks.</w:t>
      </w: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kern w:val="2"/>
        </w:rPr>
        <w:t xml:space="preserve">IoD data from March 2025 shows that 40% of members think a mutual recognition approach to regulatory alignment with the EU would be the </w:t>
      </w:r>
      <w:r w:rsidRPr="00265F75">
        <w:rPr>
          <w:rFonts w:ascii="Verdana" w:eastAsia="Aptos" w:hAnsi="Verdana" w:cstheme="minorHAnsi"/>
          <w:kern w:val="2"/>
        </w:rPr>
        <w:t>most beneficial to their organisation. 21% would opt for complete alignment, and 17% would support dynamic alignment.</w:t>
      </w:r>
      <w:r>
        <w:rPr>
          <w:rFonts w:ascii="Verdana" w:eastAsia="Aptos" w:hAnsi="Verdana" w:cstheme="minorHAnsi"/>
          <w:kern w:val="2"/>
          <w:vertAlign w:val="superscript"/>
        </w:rPr>
        <w:footnoteReference w:id="7"/>
      </w:r>
    </w:p>
    <w:p w:rsidR="00420DFF" w:rsidRPr="00265F75" w:rsidP="00AD5B45">
      <w:pPr>
        <w:pStyle w:val="IoDBodyText"/>
        <w:rPr>
          <w:rFonts w:ascii="Verdana" w:hAnsi="Verdana"/>
          <w:sz w:val="24"/>
          <w:szCs w:val="24"/>
        </w:rPr>
      </w:pPr>
    </w:p>
    <w:p w:rsidR="00420DFF" w:rsidRPr="00265F75" w:rsidP="00420DFF">
      <w:pPr>
        <w:spacing w:line="278" w:lineRule="auto"/>
        <w:rPr>
          <w:rFonts w:ascii="Verdana" w:eastAsia="Aptos" w:hAnsi="Verdana" w:cstheme="minorHAnsi"/>
          <w:b/>
          <w:bCs/>
          <w:kern w:val="2"/>
        </w:rPr>
      </w:pPr>
      <w:r w:rsidRPr="00265F75">
        <w:rPr>
          <w:rFonts w:ascii="Verdana" w:eastAsia="Aptos" w:hAnsi="Verdana" w:cstheme="minorHAnsi"/>
          <w:b/>
          <w:bCs/>
          <w:kern w:val="2"/>
        </w:rPr>
        <w:t>Which approach to UK-EU regulatory alignment do you think would be the most beneficial to your organisation?</w:t>
      </w:r>
    </w:p>
    <w:p w:rsidR="00420DFF" w:rsidRPr="00265F75" w:rsidP="00420DFF">
      <w:pPr>
        <w:spacing w:line="278" w:lineRule="auto"/>
        <w:rPr>
          <w:rFonts w:ascii="Verdana" w:eastAsia="Aptos" w:hAnsi="Verdana" w:cstheme="minorHAnsi"/>
          <w:b/>
          <w:bCs/>
          <w:kern w:val="2"/>
        </w:rPr>
      </w:pPr>
    </w:p>
    <w:tbl>
      <w:tblPr>
        <w:tblStyle w:val="TableGrid4"/>
        <w:tblW w:w="0" w:type="auto"/>
        <w:tblLook w:val="04A0"/>
      </w:tblPr>
      <w:tblGrid>
        <w:gridCol w:w="7508"/>
        <w:gridCol w:w="1020"/>
      </w:tblGrid>
      <w:tr w:rsidTr="00420DFF">
        <w:tblPrEx>
          <w:tblW w:w="0" w:type="auto"/>
          <w:tblLook w:val="04A0"/>
        </w:tblPrEx>
        <w:trPr>
          <w:trHeight w:val="870"/>
        </w:trPr>
        <w:tc>
          <w:tcPr>
            <w:tcW w:w="7508" w:type="dxa"/>
            <w:hideMark/>
          </w:tcPr>
          <w:p w:rsidR="00420DFF" w:rsidRPr="00265F75" w:rsidP="00420DFF">
            <w:pPr>
              <w:rPr>
                <w:rFonts w:ascii="Verdana" w:eastAsia="Aptos" w:hAnsi="Verdana" w:cstheme="minorHAnsi"/>
              </w:rPr>
            </w:pPr>
            <w:r w:rsidRPr="00265F75">
              <w:rPr>
                <w:rFonts w:ascii="Verdana" w:eastAsia="Aptos" w:hAnsi="Verdana" w:cstheme="minorHAnsi"/>
              </w:rPr>
              <w:t>Mutual recognition, where the UK and the EU would recognise each other's regulation and standards as equivalent, even if they are not identical, provided they meet similar objectives</w:t>
            </w:r>
          </w:p>
        </w:tc>
        <w:tc>
          <w:tcPr>
            <w:tcW w:w="788" w:type="dxa"/>
            <w:noWrap/>
            <w:hideMark/>
          </w:tcPr>
          <w:p w:rsidR="00420DFF" w:rsidRPr="00265F75" w:rsidP="00420DFF">
            <w:pPr>
              <w:rPr>
                <w:rFonts w:ascii="Verdana" w:eastAsia="Aptos" w:hAnsi="Verdana" w:cstheme="minorHAnsi"/>
              </w:rPr>
            </w:pPr>
            <w:r w:rsidRPr="00265F75">
              <w:rPr>
                <w:rFonts w:ascii="Verdana" w:eastAsia="Aptos" w:hAnsi="Verdana" w:cstheme="minorHAnsi"/>
              </w:rPr>
              <w:t>39.8%</w:t>
            </w:r>
          </w:p>
        </w:tc>
      </w:tr>
      <w:tr w:rsidTr="00420DFF">
        <w:tblPrEx>
          <w:tblW w:w="0" w:type="auto"/>
          <w:tblLook w:val="04A0"/>
        </w:tblPrEx>
        <w:trPr>
          <w:trHeight w:val="580"/>
        </w:trPr>
        <w:tc>
          <w:tcPr>
            <w:tcW w:w="7508" w:type="dxa"/>
            <w:hideMark/>
          </w:tcPr>
          <w:p w:rsidR="00420DFF" w:rsidRPr="00265F75" w:rsidP="00420DFF">
            <w:pPr>
              <w:rPr>
                <w:rFonts w:ascii="Verdana" w:eastAsia="Aptos" w:hAnsi="Verdana" w:cstheme="minorHAnsi"/>
              </w:rPr>
            </w:pPr>
            <w:r w:rsidRPr="00265F75">
              <w:rPr>
                <w:rFonts w:ascii="Verdana" w:eastAsia="Aptos" w:hAnsi="Verdana" w:cstheme="minorHAnsi"/>
              </w:rPr>
              <w:t>Complete alignment, where the UK would adopt all EU regulation and standards</w:t>
            </w:r>
          </w:p>
        </w:tc>
        <w:tc>
          <w:tcPr>
            <w:tcW w:w="788" w:type="dxa"/>
            <w:noWrap/>
            <w:hideMark/>
          </w:tcPr>
          <w:p w:rsidR="00420DFF" w:rsidRPr="00265F75" w:rsidP="00420DFF">
            <w:pPr>
              <w:rPr>
                <w:rFonts w:ascii="Verdana" w:eastAsia="Aptos" w:hAnsi="Verdana" w:cstheme="minorHAnsi"/>
              </w:rPr>
            </w:pPr>
            <w:r w:rsidRPr="00265F75">
              <w:rPr>
                <w:rFonts w:ascii="Verdana" w:eastAsia="Aptos" w:hAnsi="Verdana" w:cstheme="minorHAnsi"/>
              </w:rPr>
              <w:t>20.5%</w:t>
            </w:r>
          </w:p>
        </w:tc>
      </w:tr>
      <w:tr w:rsidTr="00420DFF">
        <w:tblPrEx>
          <w:tblW w:w="0" w:type="auto"/>
          <w:tblLook w:val="04A0"/>
        </w:tblPrEx>
        <w:trPr>
          <w:trHeight w:val="870"/>
        </w:trPr>
        <w:tc>
          <w:tcPr>
            <w:tcW w:w="7508" w:type="dxa"/>
            <w:hideMark/>
          </w:tcPr>
          <w:p w:rsidR="00420DFF" w:rsidRPr="00265F75" w:rsidP="00420DFF">
            <w:pPr>
              <w:rPr>
                <w:rFonts w:ascii="Verdana" w:eastAsia="Aptos" w:hAnsi="Verdana" w:cstheme="minorHAnsi"/>
              </w:rPr>
            </w:pPr>
            <w:r w:rsidRPr="00265F75">
              <w:rPr>
                <w:rFonts w:ascii="Verdana" w:eastAsia="Aptos" w:hAnsi="Verdana" w:cstheme="minorHAnsi"/>
              </w:rPr>
              <w:t>Dynamic alignment, where the UK and EU would cooperate on evolving regulation and standards on an ongoing basis to ensure mutual compatibility </w:t>
            </w:r>
          </w:p>
        </w:tc>
        <w:tc>
          <w:tcPr>
            <w:tcW w:w="788" w:type="dxa"/>
            <w:noWrap/>
            <w:hideMark/>
          </w:tcPr>
          <w:p w:rsidR="00420DFF" w:rsidRPr="00265F75" w:rsidP="00420DFF">
            <w:pPr>
              <w:rPr>
                <w:rFonts w:ascii="Verdana" w:eastAsia="Aptos" w:hAnsi="Verdana" w:cstheme="minorHAnsi"/>
              </w:rPr>
            </w:pPr>
            <w:r w:rsidRPr="00265F75">
              <w:rPr>
                <w:rFonts w:ascii="Verdana" w:eastAsia="Aptos" w:hAnsi="Verdana" w:cstheme="minorHAnsi"/>
              </w:rPr>
              <w:t>17.0%</w:t>
            </w:r>
          </w:p>
        </w:tc>
      </w:tr>
      <w:tr w:rsidTr="00420DFF">
        <w:tblPrEx>
          <w:tblW w:w="0" w:type="auto"/>
          <w:tblLook w:val="04A0"/>
        </w:tblPrEx>
        <w:trPr>
          <w:trHeight w:val="580"/>
        </w:trPr>
        <w:tc>
          <w:tcPr>
            <w:tcW w:w="7508" w:type="dxa"/>
            <w:hideMark/>
          </w:tcPr>
          <w:p w:rsidR="00420DFF" w:rsidRPr="00265F75" w:rsidP="00420DFF">
            <w:pPr>
              <w:rPr>
                <w:rFonts w:ascii="Verdana" w:eastAsia="Aptos" w:hAnsi="Verdana" w:cstheme="minorHAnsi"/>
              </w:rPr>
            </w:pPr>
            <w:r w:rsidRPr="00265F75">
              <w:rPr>
                <w:rFonts w:ascii="Verdana" w:eastAsia="Aptos" w:hAnsi="Verdana" w:cstheme="minorHAnsi"/>
              </w:rPr>
              <w:t>Partial alignment, where the UK would agree to align with certain EU regulation and standards in specific sectors</w:t>
            </w:r>
          </w:p>
        </w:tc>
        <w:tc>
          <w:tcPr>
            <w:tcW w:w="788" w:type="dxa"/>
            <w:noWrap/>
            <w:hideMark/>
          </w:tcPr>
          <w:p w:rsidR="00420DFF" w:rsidRPr="00265F75" w:rsidP="00420DFF">
            <w:pPr>
              <w:rPr>
                <w:rFonts w:ascii="Verdana" w:eastAsia="Aptos" w:hAnsi="Verdana" w:cstheme="minorHAnsi"/>
              </w:rPr>
            </w:pPr>
            <w:r w:rsidRPr="00265F75">
              <w:rPr>
                <w:rFonts w:ascii="Verdana" w:eastAsia="Aptos" w:hAnsi="Verdana" w:cstheme="minorHAnsi"/>
              </w:rPr>
              <w:t>8.6%</w:t>
            </w:r>
          </w:p>
        </w:tc>
      </w:tr>
      <w:tr w:rsidTr="00420DFF">
        <w:tblPrEx>
          <w:tblW w:w="0" w:type="auto"/>
          <w:tblLook w:val="04A0"/>
        </w:tblPrEx>
        <w:trPr>
          <w:trHeight w:val="580"/>
        </w:trPr>
        <w:tc>
          <w:tcPr>
            <w:tcW w:w="7508" w:type="dxa"/>
            <w:hideMark/>
          </w:tcPr>
          <w:p w:rsidR="00420DFF" w:rsidRPr="00265F75" w:rsidP="00420DFF">
            <w:pPr>
              <w:rPr>
                <w:rFonts w:ascii="Verdana" w:eastAsia="Aptos" w:hAnsi="Verdana" w:cstheme="minorHAnsi"/>
              </w:rPr>
            </w:pPr>
            <w:r w:rsidRPr="00265F75">
              <w:rPr>
                <w:rFonts w:ascii="Verdana" w:eastAsia="Aptos" w:hAnsi="Verdana" w:cstheme="minorHAnsi"/>
              </w:rPr>
              <w:t>No alignment, where the UK pursues a completely independent regulatory framework</w:t>
            </w:r>
          </w:p>
        </w:tc>
        <w:tc>
          <w:tcPr>
            <w:tcW w:w="788" w:type="dxa"/>
            <w:noWrap/>
            <w:hideMark/>
          </w:tcPr>
          <w:p w:rsidR="00420DFF" w:rsidRPr="00265F75" w:rsidP="00420DFF">
            <w:pPr>
              <w:rPr>
                <w:rFonts w:ascii="Verdana" w:eastAsia="Aptos" w:hAnsi="Verdana" w:cstheme="minorHAnsi"/>
              </w:rPr>
            </w:pPr>
            <w:r w:rsidRPr="00265F75">
              <w:rPr>
                <w:rFonts w:ascii="Verdana" w:eastAsia="Aptos" w:hAnsi="Verdana" w:cstheme="minorHAnsi"/>
              </w:rPr>
              <w:t>8.6%</w:t>
            </w:r>
          </w:p>
        </w:tc>
      </w:tr>
      <w:tr w:rsidTr="00420DFF">
        <w:tblPrEx>
          <w:tblW w:w="0" w:type="auto"/>
          <w:tblLook w:val="04A0"/>
        </w:tblPrEx>
        <w:trPr>
          <w:trHeight w:val="357"/>
        </w:trPr>
        <w:tc>
          <w:tcPr>
            <w:tcW w:w="7508" w:type="dxa"/>
          </w:tcPr>
          <w:p w:rsidR="00420DFF" w:rsidRPr="00265F75" w:rsidP="00420DFF">
            <w:pPr>
              <w:rPr>
                <w:rFonts w:ascii="Verdana" w:eastAsia="Aptos" w:hAnsi="Verdana" w:cstheme="minorHAnsi"/>
              </w:rPr>
            </w:pPr>
            <w:r w:rsidRPr="00265F75">
              <w:rPr>
                <w:rFonts w:ascii="Verdana" w:eastAsia="Aptos" w:hAnsi="Verdana" w:cstheme="minorHAnsi"/>
              </w:rPr>
              <w:t>Other</w:t>
            </w:r>
          </w:p>
        </w:tc>
        <w:tc>
          <w:tcPr>
            <w:tcW w:w="788" w:type="dxa"/>
            <w:noWrap/>
          </w:tcPr>
          <w:p w:rsidR="00420DFF" w:rsidRPr="00265F75" w:rsidP="00420DFF">
            <w:pPr>
              <w:rPr>
                <w:rFonts w:ascii="Verdana" w:eastAsia="Aptos" w:hAnsi="Verdana" w:cstheme="minorHAnsi"/>
              </w:rPr>
            </w:pPr>
            <w:r w:rsidRPr="00265F75">
              <w:rPr>
                <w:rFonts w:ascii="Verdana" w:eastAsia="Aptos" w:hAnsi="Verdana" w:cstheme="minorHAnsi"/>
              </w:rPr>
              <w:t>3.1%</w:t>
            </w:r>
          </w:p>
        </w:tc>
      </w:tr>
      <w:tr w:rsidTr="00420DFF">
        <w:tblPrEx>
          <w:tblW w:w="0" w:type="auto"/>
          <w:tblLook w:val="04A0"/>
        </w:tblPrEx>
        <w:trPr>
          <w:trHeight w:val="290"/>
        </w:trPr>
        <w:tc>
          <w:tcPr>
            <w:tcW w:w="7508" w:type="dxa"/>
            <w:hideMark/>
          </w:tcPr>
          <w:p w:rsidR="00420DFF" w:rsidRPr="00265F75" w:rsidP="00420DFF">
            <w:pPr>
              <w:rPr>
                <w:rFonts w:ascii="Verdana" w:eastAsia="Aptos" w:hAnsi="Verdana" w:cstheme="minorHAnsi"/>
              </w:rPr>
            </w:pPr>
            <w:r w:rsidRPr="00265F75">
              <w:rPr>
                <w:rFonts w:ascii="Verdana" w:eastAsia="Aptos" w:hAnsi="Verdana" w:cstheme="minorHAnsi"/>
              </w:rPr>
              <w:t>Don't know</w:t>
            </w:r>
          </w:p>
        </w:tc>
        <w:tc>
          <w:tcPr>
            <w:tcW w:w="788" w:type="dxa"/>
            <w:noWrap/>
            <w:hideMark/>
          </w:tcPr>
          <w:p w:rsidR="00420DFF" w:rsidRPr="00265F75" w:rsidP="00420DFF">
            <w:pPr>
              <w:rPr>
                <w:rFonts w:ascii="Verdana" w:eastAsia="Aptos" w:hAnsi="Verdana" w:cstheme="minorHAnsi"/>
              </w:rPr>
            </w:pPr>
            <w:r w:rsidRPr="00265F75">
              <w:rPr>
                <w:rFonts w:ascii="Verdana" w:eastAsia="Aptos" w:hAnsi="Verdana" w:cstheme="minorHAnsi"/>
              </w:rPr>
              <w:t>2.3%</w:t>
            </w:r>
          </w:p>
        </w:tc>
      </w:tr>
    </w:tbl>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kern w:val="2"/>
        </w:rPr>
        <w:t xml:space="preserve">Of the pipeline of EU regulatory developments either already implemented or upcoming, IoD members feel they are or will be most impacted by those relating to corporate reporting and data governance. </w:t>
      </w:r>
    </w:p>
    <w:p w:rsidR="00420DFF" w:rsidRPr="00265F75" w:rsidP="00420DFF">
      <w:pPr>
        <w:spacing w:line="278" w:lineRule="auto"/>
        <w:rPr>
          <w:rFonts w:ascii="Verdana" w:eastAsia="Aptos" w:hAnsi="Verdana" w:cstheme="minorHAnsi"/>
          <w:b/>
          <w:bCs/>
          <w:kern w:val="2"/>
        </w:rPr>
      </w:pPr>
      <w:r w:rsidRPr="00265F75">
        <w:rPr>
          <w:rFonts w:ascii="Verdana" w:eastAsia="Aptos" w:hAnsi="Verdana" w:cstheme="minorHAnsi"/>
          <w:b/>
          <w:bCs/>
          <w:kern w:val="2"/>
        </w:rPr>
        <w:t>Has your organisation been impacted by any of the following EU regulatory initiatives? Please select all that apply.</w:t>
      </w:r>
    </w:p>
    <w:p w:rsidR="00420DFF" w:rsidRPr="00265F75" w:rsidP="00AD5B45">
      <w:pPr>
        <w:pStyle w:val="IoDBodyText"/>
        <w:rPr>
          <w:rFonts w:ascii="Verdana" w:hAnsi="Verdana"/>
          <w:sz w:val="24"/>
          <w:szCs w:val="24"/>
        </w:rPr>
      </w:pPr>
    </w:p>
    <w:tbl>
      <w:tblPr>
        <w:tblStyle w:val="TableGrid5"/>
        <w:tblW w:w="0" w:type="auto"/>
        <w:tblLook w:val="04A0"/>
      </w:tblPr>
      <w:tblGrid>
        <w:gridCol w:w="6400"/>
        <w:gridCol w:w="1920"/>
      </w:tblGrid>
      <w:tr w:rsidTr="00491F3C">
        <w:tblPrEx>
          <w:tblW w:w="0" w:type="auto"/>
          <w:tblLook w:val="04A0"/>
        </w:tblPrEx>
        <w:trPr>
          <w:trHeight w:val="290"/>
        </w:trPr>
        <w:tc>
          <w:tcPr>
            <w:tcW w:w="6400" w:type="dxa"/>
            <w:noWrap/>
            <w:hideMark/>
          </w:tcPr>
          <w:p w:rsidR="00420DFF" w:rsidRPr="00265F75" w:rsidP="00420DFF">
            <w:pPr>
              <w:rPr>
                <w:rFonts w:ascii="Verdana" w:eastAsia="Aptos" w:hAnsi="Verdana" w:cstheme="minorHAnsi"/>
              </w:rPr>
            </w:pPr>
            <w:r w:rsidRPr="00265F75">
              <w:rPr>
                <w:rFonts w:ascii="Verdana" w:eastAsia="Aptos" w:hAnsi="Verdana" w:cstheme="minorHAnsi"/>
              </w:rPr>
              <w:t>None</w:t>
            </w:r>
          </w:p>
        </w:tc>
        <w:tc>
          <w:tcPr>
            <w:tcW w:w="1920" w:type="dxa"/>
            <w:noWrap/>
            <w:hideMark/>
          </w:tcPr>
          <w:p w:rsidR="00420DFF" w:rsidRPr="00265F75" w:rsidP="00420DFF">
            <w:pPr>
              <w:rPr>
                <w:rFonts w:ascii="Verdana" w:eastAsia="Aptos" w:hAnsi="Verdana" w:cstheme="minorHAnsi"/>
              </w:rPr>
            </w:pPr>
            <w:r w:rsidRPr="00265F75">
              <w:rPr>
                <w:rFonts w:ascii="Verdana" w:eastAsia="Aptos" w:hAnsi="Verdana" w:cstheme="minorHAnsi"/>
              </w:rPr>
              <w:t>50.6%</w:t>
            </w:r>
          </w:p>
        </w:tc>
      </w:tr>
      <w:tr w:rsidTr="00491F3C">
        <w:tblPrEx>
          <w:tblW w:w="0" w:type="auto"/>
          <w:tblLook w:val="04A0"/>
        </w:tblPrEx>
        <w:trPr>
          <w:trHeight w:val="290"/>
        </w:trPr>
        <w:tc>
          <w:tcPr>
            <w:tcW w:w="6400" w:type="dxa"/>
            <w:noWrap/>
            <w:hideMark/>
          </w:tcPr>
          <w:p w:rsidR="00420DFF" w:rsidRPr="00265F75" w:rsidP="00420DFF">
            <w:pPr>
              <w:rPr>
                <w:rFonts w:ascii="Verdana" w:eastAsia="Aptos" w:hAnsi="Verdana" w:cstheme="minorHAnsi"/>
              </w:rPr>
            </w:pPr>
            <w:r w:rsidRPr="00265F75">
              <w:rPr>
                <w:rFonts w:ascii="Verdana" w:eastAsia="Aptos" w:hAnsi="Verdana" w:cstheme="minorHAnsi"/>
              </w:rPr>
              <w:t>Don't know</w:t>
            </w:r>
          </w:p>
        </w:tc>
        <w:tc>
          <w:tcPr>
            <w:tcW w:w="1920" w:type="dxa"/>
            <w:noWrap/>
            <w:hideMark/>
          </w:tcPr>
          <w:p w:rsidR="00420DFF" w:rsidRPr="00265F75" w:rsidP="00420DFF">
            <w:pPr>
              <w:rPr>
                <w:rFonts w:ascii="Verdana" w:eastAsia="Aptos" w:hAnsi="Verdana" w:cstheme="minorHAnsi"/>
              </w:rPr>
            </w:pPr>
            <w:r w:rsidRPr="00265F75">
              <w:rPr>
                <w:rFonts w:ascii="Verdana" w:eastAsia="Aptos" w:hAnsi="Verdana" w:cstheme="minorHAnsi"/>
              </w:rPr>
              <w:t>19.2%</w:t>
            </w:r>
          </w:p>
        </w:tc>
      </w:tr>
      <w:tr w:rsidTr="00491F3C">
        <w:tblPrEx>
          <w:tblW w:w="0" w:type="auto"/>
          <w:tblLook w:val="04A0"/>
        </w:tblPrEx>
        <w:trPr>
          <w:trHeight w:val="290"/>
        </w:trPr>
        <w:tc>
          <w:tcPr>
            <w:tcW w:w="6400" w:type="dxa"/>
            <w:noWrap/>
            <w:hideMark/>
          </w:tcPr>
          <w:p w:rsidR="00420DFF" w:rsidRPr="00265F75" w:rsidP="00420DFF">
            <w:pPr>
              <w:rPr>
                <w:rFonts w:ascii="Verdana" w:eastAsia="Aptos" w:hAnsi="Verdana" w:cstheme="minorHAnsi"/>
              </w:rPr>
            </w:pPr>
            <w:r w:rsidRPr="00265F75">
              <w:rPr>
                <w:rFonts w:ascii="Verdana" w:eastAsia="Aptos" w:hAnsi="Verdana" w:cstheme="minorHAnsi"/>
              </w:rPr>
              <w:t>Corporate Sustainability Reporting Directive</w:t>
            </w:r>
          </w:p>
        </w:tc>
        <w:tc>
          <w:tcPr>
            <w:tcW w:w="1920" w:type="dxa"/>
            <w:noWrap/>
            <w:hideMark/>
          </w:tcPr>
          <w:p w:rsidR="00420DFF" w:rsidRPr="00265F75" w:rsidP="00420DFF">
            <w:pPr>
              <w:rPr>
                <w:rFonts w:ascii="Verdana" w:eastAsia="Aptos" w:hAnsi="Verdana" w:cstheme="minorHAnsi"/>
              </w:rPr>
            </w:pPr>
            <w:r w:rsidRPr="00265F75">
              <w:rPr>
                <w:rFonts w:ascii="Verdana" w:eastAsia="Aptos" w:hAnsi="Verdana" w:cstheme="minorHAnsi"/>
              </w:rPr>
              <w:t>11.1%</w:t>
            </w:r>
          </w:p>
        </w:tc>
      </w:tr>
      <w:tr w:rsidTr="00491F3C">
        <w:tblPrEx>
          <w:tblW w:w="0" w:type="auto"/>
          <w:tblLook w:val="04A0"/>
        </w:tblPrEx>
        <w:trPr>
          <w:trHeight w:val="290"/>
        </w:trPr>
        <w:tc>
          <w:tcPr>
            <w:tcW w:w="6400" w:type="dxa"/>
            <w:noWrap/>
            <w:hideMark/>
          </w:tcPr>
          <w:p w:rsidR="00420DFF" w:rsidRPr="00265F75" w:rsidP="00420DFF">
            <w:pPr>
              <w:rPr>
                <w:rFonts w:ascii="Verdana" w:eastAsia="Aptos" w:hAnsi="Verdana" w:cstheme="minorHAnsi"/>
              </w:rPr>
            </w:pPr>
            <w:r w:rsidRPr="00265F75">
              <w:rPr>
                <w:rFonts w:ascii="Verdana" w:eastAsia="Aptos" w:hAnsi="Verdana" w:cstheme="minorHAnsi"/>
              </w:rPr>
              <w:t>General Product Safety Regulation</w:t>
            </w:r>
          </w:p>
        </w:tc>
        <w:tc>
          <w:tcPr>
            <w:tcW w:w="1920" w:type="dxa"/>
            <w:noWrap/>
            <w:hideMark/>
          </w:tcPr>
          <w:p w:rsidR="00420DFF" w:rsidRPr="00265F75" w:rsidP="00420DFF">
            <w:pPr>
              <w:rPr>
                <w:rFonts w:ascii="Verdana" w:eastAsia="Aptos" w:hAnsi="Verdana" w:cstheme="minorHAnsi"/>
              </w:rPr>
            </w:pPr>
            <w:r w:rsidRPr="00265F75">
              <w:rPr>
                <w:rFonts w:ascii="Verdana" w:eastAsia="Aptos" w:hAnsi="Verdana" w:cstheme="minorHAnsi"/>
              </w:rPr>
              <w:t>10.2%</w:t>
            </w:r>
          </w:p>
        </w:tc>
      </w:tr>
      <w:tr w:rsidTr="00491F3C">
        <w:tblPrEx>
          <w:tblW w:w="0" w:type="auto"/>
          <w:tblLook w:val="04A0"/>
        </w:tblPrEx>
        <w:trPr>
          <w:trHeight w:val="290"/>
        </w:trPr>
        <w:tc>
          <w:tcPr>
            <w:tcW w:w="6400" w:type="dxa"/>
            <w:noWrap/>
            <w:hideMark/>
          </w:tcPr>
          <w:p w:rsidR="00420DFF" w:rsidRPr="00265F75" w:rsidP="00420DFF">
            <w:pPr>
              <w:rPr>
                <w:rFonts w:ascii="Verdana" w:eastAsia="Aptos" w:hAnsi="Verdana" w:cstheme="minorHAnsi"/>
              </w:rPr>
            </w:pPr>
            <w:r w:rsidRPr="00265F75">
              <w:rPr>
                <w:rFonts w:ascii="Verdana" w:eastAsia="Aptos" w:hAnsi="Verdana" w:cstheme="minorHAnsi"/>
              </w:rPr>
              <w:t>EU REACH</w:t>
            </w:r>
          </w:p>
        </w:tc>
        <w:tc>
          <w:tcPr>
            <w:tcW w:w="1920" w:type="dxa"/>
            <w:noWrap/>
            <w:hideMark/>
          </w:tcPr>
          <w:p w:rsidR="00420DFF" w:rsidRPr="00265F75" w:rsidP="00420DFF">
            <w:pPr>
              <w:rPr>
                <w:rFonts w:ascii="Verdana" w:eastAsia="Aptos" w:hAnsi="Verdana" w:cstheme="minorHAnsi"/>
              </w:rPr>
            </w:pPr>
            <w:r w:rsidRPr="00265F75">
              <w:rPr>
                <w:rFonts w:ascii="Verdana" w:eastAsia="Aptos" w:hAnsi="Verdana" w:cstheme="minorHAnsi"/>
              </w:rPr>
              <w:t>7.6%</w:t>
            </w:r>
          </w:p>
        </w:tc>
      </w:tr>
      <w:tr w:rsidTr="00491F3C">
        <w:tblPrEx>
          <w:tblW w:w="0" w:type="auto"/>
          <w:tblLook w:val="04A0"/>
        </w:tblPrEx>
        <w:trPr>
          <w:trHeight w:val="290"/>
        </w:trPr>
        <w:tc>
          <w:tcPr>
            <w:tcW w:w="6400" w:type="dxa"/>
            <w:noWrap/>
            <w:hideMark/>
          </w:tcPr>
          <w:p w:rsidR="00420DFF" w:rsidRPr="00265F75" w:rsidP="00420DFF">
            <w:pPr>
              <w:rPr>
                <w:rFonts w:ascii="Verdana" w:eastAsia="Aptos" w:hAnsi="Verdana" w:cstheme="minorHAnsi"/>
              </w:rPr>
            </w:pPr>
            <w:r w:rsidRPr="00265F75">
              <w:rPr>
                <w:rFonts w:ascii="Verdana" w:eastAsia="Aptos" w:hAnsi="Verdana" w:cstheme="minorHAnsi"/>
              </w:rPr>
              <w:t>EU Cyber Resilience Act</w:t>
            </w:r>
          </w:p>
        </w:tc>
        <w:tc>
          <w:tcPr>
            <w:tcW w:w="1920" w:type="dxa"/>
            <w:noWrap/>
            <w:hideMark/>
          </w:tcPr>
          <w:p w:rsidR="00420DFF" w:rsidRPr="00265F75" w:rsidP="00420DFF">
            <w:pPr>
              <w:rPr>
                <w:rFonts w:ascii="Verdana" w:eastAsia="Aptos" w:hAnsi="Verdana" w:cstheme="minorHAnsi"/>
              </w:rPr>
            </w:pPr>
            <w:r w:rsidRPr="00265F75">
              <w:rPr>
                <w:rFonts w:ascii="Verdana" w:eastAsia="Aptos" w:hAnsi="Verdana" w:cstheme="minorHAnsi"/>
              </w:rPr>
              <w:t>9.0%</w:t>
            </w:r>
          </w:p>
        </w:tc>
      </w:tr>
      <w:tr w:rsidTr="00491F3C">
        <w:tblPrEx>
          <w:tblW w:w="0" w:type="auto"/>
          <w:tblLook w:val="04A0"/>
        </w:tblPrEx>
        <w:trPr>
          <w:trHeight w:val="290"/>
        </w:trPr>
        <w:tc>
          <w:tcPr>
            <w:tcW w:w="6400" w:type="dxa"/>
            <w:noWrap/>
            <w:hideMark/>
          </w:tcPr>
          <w:p w:rsidR="00420DFF" w:rsidRPr="00265F75" w:rsidP="00420DFF">
            <w:pPr>
              <w:rPr>
                <w:rFonts w:ascii="Verdana" w:eastAsia="Aptos" w:hAnsi="Verdana" w:cstheme="minorHAnsi"/>
              </w:rPr>
            </w:pPr>
            <w:r w:rsidRPr="00265F75">
              <w:rPr>
                <w:rFonts w:ascii="Verdana" w:eastAsia="Aptos" w:hAnsi="Verdana" w:cstheme="minorHAnsi"/>
              </w:rPr>
              <w:t>The EU Emissions Trading System Directive</w:t>
            </w:r>
          </w:p>
        </w:tc>
        <w:tc>
          <w:tcPr>
            <w:tcW w:w="1920" w:type="dxa"/>
            <w:noWrap/>
            <w:hideMark/>
          </w:tcPr>
          <w:p w:rsidR="00420DFF" w:rsidRPr="00265F75" w:rsidP="00420DFF">
            <w:pPr>
              <w:rPr>
                <w:rFonts w:ascii="Verdana" w:eastAsia="Aptos" w:hAnsi="Verdana" w:cstheme="minorHAnsi"/>
              </w:rPr>
            </w:pPr>
            <w:r w:rsidRPr="00265F75">
              <w:rPr>
                <w:rFonts w:ascii="Verdana" w:eastAsia="Aptos" w:hAnsi="Verdana" w:cstheme="minorHAnsi"/>
              </w:rPr>
              <w:t>5.8%</w:t>
            </w:r>
          </w:p>
        </w:tc>
      </w:tr>
      <w:tr w:rsidTr="00491F3C">
        <w:tblPrEx>
          <w:tblW w:w="0" w:type="auto"/>
          <w:tblLook w:val="04A0"/>
        </w:tblPrEx>
        <w:trPr>
          <w:trHeight w:val="290"/>
        </w:trPr>
        <w:tc>
          <w:tcPr>
            <w:tcW w:w="6400" w:type="dxa"/>
            <w:noWrap/>
            <w:hideMark/>
          </w:tcPr>
          <w:p w:rsidR="00420DFF" w:rsidRPr="00265F75" w:rsidP="00420DFF">
            <w:pPr>
              <w:rPr>
                <w:rFonts w:ascii="Verdana" w:eastAsia="Aptos" w:hAnsi="Verdana" w:cstheme="minorHAnsi"/>
              </w:rPr>
            </w:pPr>
            <w:r w:rsidRPr="00265F75">
              <w:rPr>
                <w:rFonts w:ascii="Verdana" w:eastAsia="Aptos" w:hAnsi="Verdana" w:cstheme="minorHAnsi"/>
              </w:rPr>
              <w:t>EU Foreign Subsidies Regulation</w:t>
            </w:r>
          </w:p>
        </w:tc>
        <w:tc>
          <w:tcPr>
            <w:tcW w:w="1920" w:type="dxa"/>
            <w:noWrap/>
            <w:hideMark/>
          </w:tcPr>
          <w:p w:rsidR="00420DFF" w:rsidRPr="00265F75" w:rsidP="00420DFF">
            <w:pPr>
              <w:rPr>
                <w:rFonts w:ascii="Verdana" w:eastAsia="Aptos" w:hAnsi="Verdana" w:cstheme="minorHAnsi"/>
              </w:rPr>
            </w:pPr>
            <w:r w:rsidRPr="00265F75">
              <w:rPr>
                <w:rFonts w:ascii="Verdana" w:eastAsia="Aptos" w:hAnsi="Verdana" w:cstheme="minorHAnsi"/>
              </w:rPr>
              <w:t>4.8%</w:t>
            </w:r>
          </w:p>
        </w:tc>
      </w:tr>
      <w:tr w:rsidTr="00491F3C">
        <w:tblPrEx>
          <w:tblW w:w="0" w:type="auto"/>
          <w:tblLook w:val="04A0"/>
        </w:tblPrEx>
        <w:trPr>
          <w:trHeight w:val="290"/>
        </w:trPr>
        <w:tc>
          <w:tcPr>
            <w:tcW w:w="6400" w:type="dxa"/>
            <w:noWrap/>
            <w:hideMark/>
          </w:tcPr>
          <w:p w:rsidR="00420DFF" w:rsidRPr="00265F75" w:rsidP="00420DFF">
            <w:pPr>
              <w:rPr>
                <w:rFonts w:ascii="Verdana" w:eastAsia="Aptos" w:hAnsi="Verdana" w:cstheme="minorHAnsi"/>
              </w:rPr>
            </w:pPr>
            <w:r w:rsidRPr="00265F75">
              <w:rPr>
                <w:rFonts w:ascii="Verdana" w:eastAsia="Aptos" w:hAnsi="Verdana" w:cstheme="minorHAnsi"/>
              </w:rPr>
              <w:t>EU Critical Raw Minerals Act</w:t>
            </w:r>
          </w:p>
        </w:tc>
        <w:tc>
          <w:tcPr>
            <w:tcW w:w="1920" w:type="dxa"/>
            <w:noWrap/>
            <w:hideMark/>
          </w:tcPr>
          <w:p w:rsidR="00420DFF" w:rsidRPr="00265F75" w:rsidP="00420DFF">
            <w:pPr>
              <w:rPr>
                <w:rFonts w:ascii="Verdana" w:eastAsia="Aptos" w:hAnsi="Verdana" w:cstheme="minorHAnsi"/>
              </w:rPr>
            </w:pPr>
            <w:r w:rsidRPr="00265F75">
              <w:rPr>
                <w:rFonts w:ascii="Verdana" w:eastAsia="Aptos" w:hAnsi="Verdana" w:cstheme="minorHAnsi"/>
              </w:rPr>
              <w:t>2.1%</w:t>
            </w:r>
          </w:p>
        </w:tc>
      </w:tr>
      <w:tr w:rsidTr="00491F3C">
        <w:tblPrEx>
          <w:tblW w:w="0" w:type="auto"/>
          <w:tblLook w:val="04A0"/>
        </w:tblPrEx>
        <w:trPr>
          <w:trHeight w:val="290"/>
        </w:trPr>
        <w:tc>
          <w:tcPr>
            <w:tcW w:w="6400" w:type="dxa"/>
            <w:noWrap/>
          </w:tcPr>
          <w:p w:rsidR="00420DFF" w:rsidRPr="00265F75" w:rsidP="00420DFF">
            <w:pPr>
              <w:rPr>
                <w:rFonts w:ascii="Verdana" w:eastAsia="Aptos" w:hAnsi="Verdana" w:cstheme="minorHAnsi"/>
              </w:rPr>
            </w:pPr>
            <w:r w:rsidRPr="00265F75">
              <w:rPr>
                <w:rFonts w:ascii="Verdana" w:eastAsia="Aptos" w:hAnsi="Verdana" w:cstheme="minorHAnsi"/>
              </w:rPr>
              <w:t>Other</w:t>
            </w:r>
          </w:p>
        </w:tc>
        <w:tc>
          <w:tcPr>
            <w:tcW w:w="1920" w:type="dxa"/>
            <w:noWrap/>
          </w:tcPr>
          <w:p w:rsidR="00420DFF" w:rsidRPr="00265F75" w:rsidP="00420DFF">
            <w:pPr>
              <w:rPr>
                <w:rFonts w:ascii="Verdana" w:eastAsia="Aptos" w:hAnsi="Verdana" w:cstheme="minorHAnsi"/>
              </w:rPr>
            </w:pPr>
            <w:r w:rsidRPr="00265F75">
              <w:rPr>
                <w:rFonts w:ascii="Verdana" w:eastAsia="Aptos" w:hAnsi="Verdana" w:cstheme="minorHAnsi"/>
              </w:rPr>
              <w:t>6.9%</w:t>
            </w:r>
          </w:p>
        </w:tc>
      </w:tr>
    </w:tbl>
    <w:p w:rsidR="00420DFF" w:rsidRPr="00265F75" w:rsidP="00AD5B45">
      <w:pPr>
        <w:pStyle w:val="IoDBodyText"/>
        <w:rPr>
          <w:rFonts w:ascii="Verdana" w:hAnsi="Verdana"/>
          <w:b/>
          <w:bCs/>
          <w:sz w:val="24"/>
          <w:szCs w:val="24"/>
        </w:rPr>
      </w:pPr>
    </w:p>
    <w:p w:rsidR="00420DFF" w:rsidRPr="00265F75" w:rsidP="00420DFF">
      <w:pPr>
        <w:spacing w:line="278" w:lineRule="auto"/>
        <w:rPr>
          <w:rFonts w:ascii="Verdana" w:eastAsia="Aptos" w:hAnsi="Verdana" w:cstheme="minorHAnsi"/>
          <w:b/>
          <w:bCs/>
          <w:kern w:val="2"/>
        </w:rPr>
      </w:pPr>
      <w:r w:rsidRPr="00265F75">
        <w:rPr>
          <w:rFonts w:ascii="Verdana" w:eastAsia="Aptos" w:hAnsi="Verdana" w:cstheme="minorHAnsi"/>
          <w:b/>
          <w:bCs/>
          <w:kern w:val="2"/>
        </w:rPr>
        <w:t>Will your organisation be impacted by any of the following upcoming EU regulatory initiatives? Please select all that apply.</w:t>
      </w:r>
    </w:p>
    <w:p w:rsidR="00420DFF" w:rsidRPr="00265F75" w:rsidP="00420DFF">
      <w:pPr>
        <w:spacing w:line="278" w:lineRule="auto"/>
        <w:rPr>
          <w:rFonts w:ascii="Verdana" w:eastAsia="Aptos" w:hAnsi="Verdana" w:cstheme="minorHAnsi"/>
          <w:b/>
          <w:bCs/>
          <w:kern w:val="2"/>
        </w:rPr>
      </w:pPr>
    </w:p>
    <w:tbl>
      <w:tblPr>
        <w:tblStyle w:val="TableGrid6"/>
        <w:tblW w:w="0" w:type="auto"/>
        <w:tblLook w:val="04A0"/>
      </w:tblPr>
      <w:tblGrid>
        <w:gridCol w:w="7778"/>
        <w:gridCol w:w="1238"/>
      </w:tblGrid>
      <w:tr w:rsidTr="00491F3C">
        <w:tblPrEx>
          <w:tblW w:w="0" w:type="auto"/>
          <w:tblLook w:val="04A0"/>
        </w:tblPrEx>
        <w:trPr>
          <w:trHeight w:val="290"/>
        </w:trPr>
        <w:tc>
          <w:tcPr>
            <w:tcW w:w="12820" w:type="dxa"/>
            <w:noWrap/>
            <w:hideMark/>
          </w:tcPr>
          <w:p w:rsidR="00420DFF" w:rsidRPr="00265F75" w:rsidP="00420DFF">
            <w:pPr>
              <w:rPr>
                <w:rFonts w:ascii="Verdana" w:eastAsia="Aptos" w:hAnsi="Verdana" w:cstheme="minorHAnsi"/>
              </w:rPr>
            </w:pPr>
            <w:r w:rsidRPr="00265F75">
              <w:rPr>
                <w:rFonts w:ascii="Verdana" w:eastAsia="Aptos" w:hAnsi="Verdana" w:cstheme="minorHAnsi"/>
              </w:rPr>
              <w:t>Don't know</w:t>
            </w:r>
          </w:p>
        </w:tc>
        <w:tc>
          <w:tcPr>
            <w:tcW w:w="1920" w:type="dxa"/>
            <w:noWrap/>
            <w:hideMark/>
          </w:tcPr>
          <w:p w:rsidR="00420DFF" w:rsidRPr="00265F75" w:rsidP="00420DFF">
            <w:pPr>
              <w:rPr>
                <w:rFonts w:ascii="Verdana" w:eastAsia="Aptos" w:hAnsi="Verdana" w:cstheme="minorHAnsi"/>
              </w:rPr>
            </w:pPr>
            <w:r w:rsidRPr="00265F75">
              <w:rPr>
                <w:rFonts w:ascii="Verdana" w:eastAsia="Aptos" w:hAnsi="Verdana" w:cstheme="minorHAnsi"/>
              </w:rPr>
              <w:t>32.4%</w:t>
            </w:r>
          </w:p>
        </w:tc>
      </w:tr>
      <w:tr w:rsidTr="00491F3C">
        <w:tblPrEx>
          <w:tblW w:w="0" w:type="auto"/>
          <w:tblLook w:val="04A0"/>
        </w:tblPrEx>
        <w:trPr>
          <w:trHeight w:val="290"/>
        </w:trPr>
        <w:tc>
          <w:tcPr>
            <w:tcW w:w="12820" w:type="dxa"/>
            <w:noWrap/>
            <w:hideMark/>
          </w:tcPr>
          <w:p w:rsidR="00420DFF" w:rsidRPr="00265F75" w:rsidP="00420DFF">
            <w:pPr>
              <w:rPr>
                <w:rFonts w:ascii="Verdana" w:eastAsia="Aptos" w:hAnsi="Verdana" w:cstheme="minorHAnsi"/>
              </w:rPr>
            </w:pPr>
            <w:r w:rsidRPr="00265F75">
              <w:rPr>
                <w:rFonts w:ascii="Verdana" w:eastAsia="Aptos" w:hAnsi="Verdana" w:cstheme="minorHAnsi"/>
              </w:rPr>
              <w:t>The EU Data Governance Act and EU Data Act</w:t>
            </w:r>
          </w:p>
        </w:tc>
        <w:tc>
          <w:tcPr>
            <w:tcW w:w="1920" w:type="dxa"/>
            <w:noWrap/>
            <w:hideMark/>
          </w:tcPr>
          <w:p w:rsidR="00420DFF" w:rsidRPr="00265F75" w:rsidP="00420DFF">
            <w:pPr>
              <w:rPr>
                <w:rFonts w:ascii="Verdana" w:eastAsia="Aptos" w:hAnsi="Verdana" w:cstheme="minorHAnsi"/>
              </w:rPr>
            </w:pPr>
            <w:r w:rsidRPr="00265F75">
              <w:rPr>
                <w:rFonts w:ascii="Verdana" w:eastAsia="Aptos" w:hAnsi="Verdana" w:cstheme="minorHAnsi"/>
              </w:rPr>
              <w:t>28.4%</w:t>
            </w:r>
          </w:p>
        </w:tc>
      </w:tr>
      <w:tr w:rsidTr="00491F3C">
        <w:tblPrEx>
          <w:tblW w:w="0" w:type="auto"/>
          <w:tblLook w:val="04A0"/>
        </w:tblPrEx>
        <w:trPr>
          <w:trHeight w:val="290"/>
        </w:trPr>
        <w:tc>
          <w:tcPr>
            <w:tcW w:w="12820" w:type="dxa"/>
            <w:noWrap/>
            <w:hideMark/>
          </w:tcPr>
          <w:p w:rsidR="00420DFF" w:rsidRPr="00265F75" w:rsidP="00420DFF">
            <w:pPr>
              <w:rPr>
                <w:rFonts w:ascii="Verdana" w:eastAsia="Aptos" w:hAnsi="Verdana" w:cstheme="minorHAnsi"/>
              </w:rPr>
            </w:pPr>
            <w:r w:rsidRPr="00265F75">
              <w:rPr>
                <w:rFonts w:ascii="Verdana" w:eastAsia="Aptos" w:hAnsi="Verdana" w:cstheme="minorHAnsi"/>
              </w:rPr>
              <w:t>None</w:t>
            </w:r>
          </w:p>
        </w:tc>
        <w:tc>
          <w:tcPr>
            <w:tcW w:w="1920" w:type="dxa"/>
            <w:noWrap/>
            <w:hideMark/>
          </w:tcPr>
          <w:p w:rsidR="00420DFF" w:rsidRPr="00265F75" w:rsidP="00420DFF">
            <w:pPr>
              <w:rPr>
                <w:rFonts w:ascii="Verdana" w:eastAsia="Aptos" w:hAnsi="Verdana" w:cstheme="minorHAnsi"/>
              </w:rPr>
            </w:pPr>
            <w:r w:rsidRPr="00265F75">
              <w:rPr>
                <w:rFonts w:ascii="Verdana" w:eastAsia="Aptos" w:hAnsi="Verdana" w:cstheme="minorHAnsi"/>
              </w:rPr>
              <w:t>21.7%</w:t>
            </w:r>
          </w:p>
        </w:tc>
      </w:tr>
      <w:tr w:rsidTr="00491F3C">
        <w:tblPrEx>
          <w:tblW w:w="0" w:type="auto"/>
          <w:tblLook w:val="04A0"/>
        </w:tblPrEx>
        <w:trPr>
          <w:trHeight w:val="290"/>
        </w:trPr>
        <w:tc>
          <w:tcPr>
            <w:tcW w:w="12820" w:type="dxa"/>
            <w:noWrap/>
            <w:hideMark/>
          </w:tcPr>
          <w:p w:rsidR="00420DFF" w:rsidRPr="00265F75" w:rsidP="00420DFF">
            <w:pPr>
              <w:rPr>
                <w:rFonts w:ascii="Verdana" w:eastAsia="Aptos" w:hAnsi="Verdana" w:cstheme="minorHAnsi"/>
              </w:rPr>
            </w:pPr>
            <w:r w:rsidRPr="00265F75">
              <w:rPr>
                <w:rFonts w:ascii="Verdana" w:eastAsia="Aptos" w:hAnsi="Verdana" w:cstheme="minorHAnsi"/>
              </w:rPr>
              <w:t>EU AI Act</w:t>
            </w:r>
          </w:p>
        </w:tc>
        <w:tc>
          <w:tcPr>
            <w:tcW w:w="1920" w:type="dxa"/>
            <w:noWrap/>
            <w:hideMark/>
          </w:tcPr>
          <w:p w:rsidR="00420DFF" w:rsidRPr="00265F75" w:rsidP="00420DFF">
            <w:pPr>
              <w:rPr>
                <w:rFonts w:ascii="Verdana" w:eastAsia="Aptos" w:hAnsi="Verdana" w:cstheme="minorHAnsi"/>
              </w:rPr>
            </w:pPr>
            <w:r w:rsidRPr="00265F75">
              <w:rPr>
                <w:rFonts w:ascii="Verdana" w:eastAsia="Aptos" w:hAnsi="Verdana" w:cstheme="minorHAnsi"/>
              </w:rPr>
              <w:t>17.0%</w:t>
            </w:r>
          </w:p>
        </w:tc>
      </w:tr>
      <w:tr w:rsidTr="00491F3C">
        <w:tblPrEx>
          <w:tblW w:w="0" w:type="auto"/>
          <w:tblLook w:val="04A0"/>
        </w:tblPrEx>
        <w:trPr>
          <w:trHeight w:val="290"/>
        </w:trPr>
        <w:tc>
          <w:tcPr>
            <w:tcW w:w="12820" w:type="dxa"/>
            <w:noWrap/>
            <w:hideMark/>
          </w:tcPr>
          <w:p w:rsidR="00420DFF" w:rsidRPr="00265F75" w:rsidP="00420DFF">
            <w:pPr>
              <w:rPr>
                <w:rFonts w:ascii="Verdana" w:eastAsia="Aptos" w:hAnsi="Verdana" w:cstheme="minorHAnsi"/>
              </w:rPr>
            </w:pPr>
            <w:r w:rsidRPr="00265F75">
              <w:rPr>
                <w:rFonts w:ascii="Verdana" w:eastAsia="Aptos" w:hAnsi="Verdana" w:cstheme="minorHAnsi"/>
              </w:rPr>
              <w:t>Corporate Sustainability and Due Diligence Directive</w:t>
            </w:r>
          </w:p>
        </w:tc>
        <w:tc>
          <w:tcPr>
            <w:tcW w:w="1920" w:type="dxa"/>
            <w:noWrap/>
            <w:hideMark/>
          </w:tcPr>
          <w:p w:rsidR="00420DFF" w:rsidRPr="00265F75" w:rsidP="00420DFF">
            <w:pPr>
              <w:rPr>
                <w:rFonts w:ascii="Verdana" w:eastAsia="Aptos" w:hAnsi="Verdana" w:cstheme="minorHAnsi"/>
              </w:rPr>
            </w:pPr>
            <w:r w:rsidRPr="00265F75">
              <w:rPr>
                <w:rFonts w:ascii="Verdana" w:eastAsia="Aptos" w:hAnsi="Verdana" w:cstheme="minorHAnsi"/>
              </w:rPr>
              <w:t>17.5%</w:t>
            </w:r>
          </w:p>
        </w:tc>
      </w:tr>
      <w:tr w:rsidTr="00491F3C">
        <w:tblPrEx>
          <w:tblW w:w="0" w:type="auto"/>
          <w:tblLook w:val="04A0"/>
        </w:tblPrEx>
        <w:trPr>
          <w:trHeight w:val="290"/>
        </w:trPr>
        <w:tc>
          <w:tcPr>
            <w:tcW w:w="12820" w:type="dxa"/>
            <w:noWrap/>
            <w:hideMark/>
          </w:tcPr>
          <w:p w:rsidR="00420DFF" w:rsidRPr="00265F75" w:rsidP="00420DFF">
            <w:pPr>
              <w:rPr>
                <w:rFonts w:ascii="Verdana" w:eastAsia="Aptos" w:hAnsi="Verdana" w:cstheme="minorHAnsi"/>
              </w:rPr>
            </w:pPr>
            <w:r w:rsidRPr="00265F75">
              <w:rPr>
                <w:rFonts w:ascii="Verdana" w:eastAsia="Aptos" w:hAnsi="Verdana" w:cstheme="minorHAnsi"/>
              </w:rPr>
              <w:t>Green Deal Industrial Plan</w:t>
            </w:r>
          </w:p>
        </w:tc>
        <w:tc>
          <w:tcPr>
            <w:tcW w:w="1920" w:type="dxa"/>
            <w:noWrap/>
            <w:hideMark/>
          </w:tcPr>
          <w:p w:rsidR="00420DFF" w:rsidRPr="00265F75" w:rsidP="00420DFF">
            <w:pPr>
              <w:rPr>
                <w:rFonts w:ascii="Verdana" w:eastAsia="Aptos" w:hAnsi="Verdana" w:cstheme="minorHAnsi"/>
              </w:rPr>
            </w:pPr>
            <w:r w:rsidRPr="00265F75">
              <w:rPr>
                <w:rFonts w:ascii="Verdana" w:eastAsia="Aptos" w:hAnsi="Verdana" w:cstheme="minorHAnsi"/>
              </w:rPr>
              <w:t>10.6%</w:t>
            </w:r>
          </w:p>
        </w:tc>
      </w:tr>
      <w:tr w:rsidTr="00491F3C">
        <w:tblPrEx>
          <w:tblW w:w="0" w:type="auto"/>
          <w:tblLook w:val="04A0"/>
        </w:tblPrEx>
        <w:trPr>
          <w:trHeight w:val="290"/>
        </w:trPr>
        <w:tc>
          <w:tcPr>
            <w:tcW w:w="12820" w:type="dxa"/>
            <w:noWrap/>
            <w:hideMark/>
          </w:tcPr>
          <w:p w:rsidR="00420DFF" w:rsidRPr="00265F75" w:rsidP="00420DFF">
            <w:pPr>
              <w:rPr>
                <w:rFonts w:ascii="Verdana" w:eastAsia="Aptos" w:hAnsi="Verdana" w:cstheme="minorHAnsi"/>
              </w:rPr>
            </w:pPr>
            <w:r w:rsidRPr="00265F75">
              <w:rPr>
                <w:rFonts w:ascii="Verdana" w:eastAsia="Aptos" w:hAnsi="Verdana" w:cstheme="minorHAnsi"/>
              </w:rPr>
              <w:t>Customs Duty Exemption</w:t>
            </w:r>
          </w:p>
        </w:tc>
        <w:tc>
          <w:tcPr>
            <w:tcW w:w="1920" w:type="dxa"/>
            <w:noWrap/>
            <w:hideMark/>
          </w:tcPr>
          <w:p w:rsidR="00420DFF" w:rsidRPr="00265F75" w:rsidP="00420DFF">
            <w:pPr>
              <w:rPr>
                <w:rFonts w:ascii="Verdana" w:eastAsia="Aptos" w:hAnsi="Verdana" w:cstheme="minorHAnsi"/>
              </w:rPr>
            </w:pPr>
            <w:r w:rsidRPr="00265F75">
              <w:rPr>
                <w:rFonts w:ascii="Verdana" w:eastAsia="Aptos" w:hAnsi="Verdana" w:cstheme="minorHAnsi"/>
              </w:rPr>
              <w:t>11.6%</w:t>
            </w:r>
          </w:p>
        </w:tc>
      </w:tr>
      <w:tr w:rsidTr="00491F3C">
        <w:tblPrEx>
          <w:tblW w:w="0" w:type="auto"/>
          <w:tblLook w:val="04A0"/>
        </w:tblPrEx>
        <w:trPr>
          <w:trHeight w:val="290"/>
        </w:trPr>
        <w:tc>
          <w:tcPr>
            <w:tcW w:w="12820" w:type="dxa"/>
            <w:noWrap/>
            <w:hideMark/>
          </w:tcPr>
          <w:p w:rsidR="00420DFF" w:rsidRPr="00265F75" w:rsidP="00420DFF">
            <w:pPr>
              <w:rPr>
                <w:rFonts w:ascii="Verdana" w:eastAsia="Aptos" w:hAnsi="Verdana" w:cstheme="minorHAnsi"/>
              </w:rPr>
            </w:pPr>
            <w:r w:rsidRPr="00265F75">
              <w:rPr>
                <w:rFonts w:ascii="Verdana" w:eastAsia="Aptos" w:hAnsi="Verdana" w:cstheme="minorHAnsi"/>
              </w:rPr>
              <w:t>EU Carbon Border Adjustment Mechanism</w:t>
            </w:r>
          </w:p>
        </w:tc>
        <w:tc>
          <w:tcPr>
            <w:tcW w:w="1920" w:type="dxa"/>
            <w:noWrap/>
            <w:hideMark/>
          </w:tcPr>
          <w:p w:rsidR="00420DFF" w:rsidRPr="00265F75" w:rsidP="00420DFF">
            <w:pPr>
              <w:rPr>
                <w:rFonts w:ascii="Verdana" w:eastAsia="Aptos" w:hAnsi="Verdana" w:cstheme="minorHAnsi"/>
              </w:rPr>
            </w:pPr>
            <w:r w:rsidRPr="00265F75">
              <w:rPr>
                <w:rFonts w:ascii="Verdana" w:eastAsia="Aptos" w:hAnsi="Verdana" w:cstheme="minorHAnsi"/>
              </w:rPr>
              <w:t>10.1%</w:t>
            </w:r>
          </w:p>
        </w:tc>
      </w:tr>
      <w:tr w:rsidTr="00491F3C">
        <w:tblPrEx>
          <w:tblW w:w="0" w:type="auto"/>
          <w:tblLook w:val="04A0"/>
        </w:tblPrEx>
        <w:trPr>
          <w:trHeight w:val="290"/>
        </w:trPr>
        <w:tc>
          <w:tcPr>
            <w:tcW w:w="12820" w:type="dxa"/>
            <w:noWrap/>
            <w:hideMark/>
          </w:tcPr>
          <w:p w:rsidR="00420DFF" w:rsidRPr="00265F75" w:rsidP="00420DFF">
            <w:pPr>
              <w:rPr>
                <w:rFonts w:ascii="Verdana" w:eastAsia="Aptos" w:hAnsi="Verdana" w:cstheme="minorHAnsi"/>
              </w:rPr>
            </w:pPr>
            <w:r w:rsidRPr="00265F75">
              <w:rPr>
                <w:rFonts w:ascii="Verdana" w:eastAsia="Aptos" w:hAnsi="Verdana" w:cstheme="minorHAnsi"/>
              </w:rPr>
              <w:t>European Defence Industrial Strategy</w:t>
            </w:r>
          </w:p>
        </w:tc>
        <w:tc>
          <w:tcPr>
            <w:tcW w:w="1920" w:type="dxa"/>
            <w:noWrap/>
            <w:hideMark/>
          </w:tcPr>
          <w:p w:rsidR="00420DFF" w:rsidRPr="00265F75" w:rsidP="00420DFF">
            <w:pPr>
              <w:rPr>
                <w:rFonts w:ascii="Verdana" w:eastAsia="Aptos" w:hAnsi="Verdana" w:cstheme="minorHAnsi"/>
              </w:rPr>
            </w:pPr>
            <w:r w:rsidRPr="00265F75">
              <w:rPr>
                <w:rFonts w:ascii="Verdana" w:eastAsia="Aptos" w:hAnsi="Verdana" w:cstheme="minorHAnsi"/>
              </w:rPr>
              <w:t>6.1%</w:t>
            </w:r>
          </w:p>
        </w:tc>
      </w:tr>
      <w:tr w:rsidTr="00491F3C">
        <w:tblPrEx>
          <w:tblW w:w="0" w:type="auto"/>
          <w:tblLook w:val="04A0"/>
        </w:tblPrEx>
        <w:trPr>
          <w:trHeight w:val="290"/>
        </w:trPr>
        <w:tc>
          <w:tcPr>
            <w:tcW w:w="12820" w:type="dxa"/>
            <w:noWrap/>
          </w:tcPr>
          <w:p w:rsidR="00420DFF" w:rsidRPr="00265F75" w:rsidP="00420DFF">
            <w:pPr>
              <w:rPr>
                <w:rFonts w:ascii="Verdana" w:eastAsia="Aptos" w:hAnsi="Verdana" w:cstheme="minorHAnsi"/>
              </w:rPr>
            </w:pPr>
            <w:r w:rsidRPr="00265F75">
              <w:rPr>
                <w:rFonts w:ascii="Verdana" w:eastAsia="Aptos" w:hAnsi="Verdana" w:cstheme="minorHAnsi"/>
              </w:rPr>
              <w:t>Other</w:t>
            </w:r>
          </w:p>
        </w:tc>
        <w:tc>
          <w:tcPr>
            <w:tcW w:w="1920" w:type="dxa"/>
            <w:noWrap/>
          </w:tcPr>
          <w:p w:rsidR="00420DFF" w:rsidRPr="00265F75" w:rsidP="00420DFF">
            <w:pPr>
              <w:rPr>
                <w:rFonts w:ascii="Verdana" w:eastAsia="Aptos" w:hAnsi="Verdana" w:cstheme="minorHAnsi"/>
              </w:rPr>
            </w:pPr>
            <w:r w:rsidRPr="00265F75">
              <w:rPr>
                <w:rFonts w:ascii="Verdana" w:eastAsia="Aptos" w:hAnsi="Verdana" w:cstheme="minorHAnsi"/>
              </w:rPr>
              <w:t>2%</w:t>
            </w:r>
          </w:p>
        </w:tc>
      </w:tr>
    </w:tbl>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kern w:val="2"/>
        </w:rPr>
        <w:t xml:space="preserve">The anecdotal evidence shows concern about the extent of the regulatory burden, and as a result there is a necessity to keep the cost of this down to ensure businesses can stay competitive and productive. At the same time, it is recognised that the UK should take advantage of its ability to selectively adopt regulation and standards where it best suits UK business. </w:t>
      </w: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i/>
          <w:iCs/>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i/>
          <w:iCs/>
          <w:kern w:val="2"/>
        </w:rPr>
        <w:t xml:space="preserve">“The UK previously had its own independent regulatory framework. It should be free to set a framework that suits the UK and its needs. When it merged frameworks previously, they tended to go to the lowest standard across Europe, without considering whether this was appropriate. It would be helpful if there was mutual recognition and this could, perhaps, be industry specific.” </w:t>
      </w:r>
      <w:r w:rsidRPr="00265F75">
        <w:rPr>
          <w:rFonts w:ascii="Verdana" w:eastAsia="Aptos" w:hAnsi="Verdana" w:cstheme="minorHAnsi"/>
          <w:kern w:val="2"/>
        </w:rPr>
        <w:t xml:space="preserve">(East Midlands, Financial Services, 10-49 employees) </w:t>
      </w: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i/>
          <w:iCs/>
          <w:kern w:val="2"/>
        </w:rPr>
        <w:t>“Every country has a different operating procedure. We should respect and recognise that. Most businesses are solutions driven or they go out of business. Mutual recognition is the solution - all different - but together in the collective aims and objectives.”</w:t>
      </w:r>
      <w:r w:rsidRPr="00265F75">
        <w:rPr>
          <w:rFonts w:ascii="Verdana" w:eastAsia="Aptos" w:hAnsi="Verdana" w:cstheme="minorHAnsi"/>
          <w:kern w:val="2"/>
        </w:rPr>
        <w:t xml:space="preserve"> (</w:t>
      </w:r>
      <w:r w:rsidRPr="00265F75">
        <w:rPr>
          <w:rFonts w:ascii="Verdana" w:eastAsia="Aptos" w:hAnsi="Verdana" w:cstheme="minorHAnsi"/>
          <w:kern w:val="2"/>
        </w:rPr>
        <w:t>South West</w:t>
      </w:r>
      <w:r w:rsidRPr="00265F75">
        <w:rPr>
          <w:rFonts w:ascii="Verdana" w:eastAsia="Aptos" w:hAnsi="Verdana" w:cstheme="minorHAnsi"/>
          <w:kern w:val="2"/>
        </w:rPr>
        <w:t xml:space="preserve"> England, Transportation and Storage, 100-249 employees) </w:t>
      </w: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i/>
          <w:iCs/>
          <w:kern w:val="2"/>
        </w:rPr>
        <w:t>“Crucial to strike a balance between facilitating trade, ensuring consumer protection and encouraging innovation.”</w:t>
      </w:r>
      <w:r w:rsidRPr="00265F75">
        <w:rPr>
          <w:rFonts w:ascii="Verdana" w:eastAsia="Aptos" w:hAnsi="Verdana" w:cstheme="minorHAnsi"/>
          <w:kern w:val="2"/>
        </w:rPr>
        <w:t xml:space="preserve"> (</w:t>
      </w:r>
      <w:r w:rsidRPr="00265F75">
        <w:rPr>
          <w:rFonts w:ascii="Verdana" w:eastAsia="Aptos" w:hAnsi="Verdana" w:cstheme="minorHAnsi"/>
          <w:kern w:val="2"/>
        </w:rPr>
        <w:t>South East</w:t>
      </w:r>
      <w:r w:rsidRPr="00265F75">
        <w:rPr>
          <w:rFonts w:ascii="Verdana" w:eastAsia="Aptos" w:hAnsi="Verdana" w:cstheme="minorHAnsi"/>
          <w:kern w:val="2"/>
        </w:rPr>
        <w:t xml:space="preserve"> England, Wholesale and retail trade (including motor repair), 10-49 employees) </w:t>
      </w: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kern w:val="2"/>
        </w:rPr>
        <w:t xml:space="preserve">For example, in cases such as the Carbon Border Adjustment Mechanism (CBAM), which will apply a carbon tax or import duty on carbon intensive </w:t>
      </w:r>
      <w:r w:rsidRPr="00265F75">
        <w:rPr>
          <w:rFonts w:ascii="Verdana" w:eastAsia="Aptos" w:hAnsi="Verdana" w:cstheme="minorHAnsi"/>
          <w:kern w:val="2"/>
        </w:rPr>
        <w:t xml:space="preserve">goods based on the embedded greenhouse gas emissions of imported goods, it is the </w:t>
      </w:r>
      <w:r w:rsidRPr="00265F75">
        <w:rPr>
          <w:rFonts w:ascii="Verdana" w:eastAsia="Aptos" w:hAnsi="Verdana" w:cstheme="minorHAnsi"/>
          <w:kern w:val="2"/>
        </w:rPr>
        <w:t>IoD’s</w:t>
      </w:r>
      <w:r w:rsidRPr="00265F75">
        <w:rPr>
          <w:rFonts w:ascii="Verdana" w:eastAsia="Aptos" w:hAnsi="Verdana" w:cstheme="minorHAnsi"/>
          <w:kern w:val="2"/>
        </w:rPr>
        <w:t xml:space="preserve"> view that maximising regulatory alignment with the EU CBAM will be critical for facilitating the smooth flow of trade and minimising the administrative impact on business.</w:t>
      </w:r>
      <w:r>
        <w:rPr>
          <w:rFonts w:ascii="Verdana" w:eastAsia="Aptos" w:hAnsi="Verdana" w:cstheme="minorHAnsi"/>
          <w:kern w:val="2"/>
          <w:vertAlign w:val="superscript"/>
        </w:rPr>
        <w:footnoteReference w:id="8"/>
      </w: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kern w:val="2"/>
        </w:rPr>
        <w:t xml:space="preserve">However, elsewhere, some feel there are areas where EU regulation </w:t>
      </w:r>
      <w:r w:rsidRPr="00265F75">
        <w:rPr>
          <w:rFonts w:ascii="Verdana" w:eastAsia="Aptos" w:hAnsi="Verdana" w:cstheme="minorHAnsi"/>
          <w:kern w:val="2"/>
        </w:rPr>
        <w:t>actually stifles</w:t>
      </w:r>
      <w:r w:rsidRPr="00265F75">
        <w:rPr>
          <w:rFonts w:ascii="Verdana" w:eastAsia="Aptos" w:hAnsi="Verdana" w:cstheme="minorHAnsi"/>
          <w:kern w:val="2"/>
        </w:rPr>
        <w:t xml:space="preserve"> competition and innovation, meaning it would be more harmful for business to align. This is particularly felt in relation to AI and tech, that whilst there is a strong imperative for closer alignment on AI research and governance, and AI research is primarily dominated by the US and China, there is concern that the EU AI Act is too restrictive to be beneficial for business. </w:t>
      </w:r>
    </w:p>
    <w:p w:rsidR="00420DFF" w:rsidRPr="00265F75" w:rsidP="00420DFF">
      <w:pPr>
        <w:pStyle w:val="IoDBodyText"/>
        <w:spacing w:after="0"/>
        <w:rPr>
          <w:rFonts w:ascii="Verdana" w:hAnsi="Verdana"/>
          <w:sz w:val="24"/>
          <w:szCs w:val="24"/>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i/>
          <w:iCs/>
          <w:kern w:val="2"/>
        </w:rPr>
        <w:t xml:space="preserve">“The biggest problem of aligning with EU on regulation is that the EU is rules based and the UK is principles based as is our legal system. EU regulations being rules that must be agreed by 27 members are far too slow to react to a </w:t>
      </w:r>
      <w:r w:rsidRPr="00265F75">
        <w:rPr>
          <w:rFonts w:ascii="Verdana" w:eastAsia="Aptos" w:hAnsi="Verdana" w:cstheme="minorHAnsi"/>
          <w:i/>
          <w:iCs/>
          <w:kern w:val="2"/>
        </w:rPr>
        <w:t>fast evolving</w:t>
      </w:r>
      <w:r w:rsidRPr="00265F75">
        <w:rPr>
          <w:rFonts w:ascii="Verdana" w:eastAsia="Aptos" w:hAnsi="Verdana" w:cstheme="minorHAnsi"/>
          <w:i/>
          <w:iCs/>
          <w:kern w:val="2"/>
        </w:rPr>
        <w:t xml:space="preserve"> digital landscape, especially AI.”</w:t>
      </w:r>
      <w:r w:rsidRPr="00265F75">
        <w:rPr>
          <w:rFonts w:ascii="Verdana" w:eastAsia="Aptos" w:hAnsi="Verdana" w:cstheme="minorHAnsi"/>
          <w:kern w:val="2"/>
        </w:rPr>
        <w:t xml:space="preserve"> (London, Professional, Scientific and Technical activities, 2-9 employees)</w:t>
      </w: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i/>
          <w:iCs/>
          <w:kern w:val="2"/>
        </w:rPr>
        <w:t>“We do not want alignment with EU regulation as it's harmful to business in many areas and restricts competition and innovation. So, we are missing the potential competitive advantage that freedom from EU regulatory frameworks would give us. If we align with anyone, it would be far better to align with the US - particularly in the fields of AI/technology.”</w:t>
      </w:r>
      <w:r w:rsidRPr="00265F75">
        <w:rPr>
          <w:rFonts w:ascii="Verdana" w:eastAsia="Aptos" w:hAnsi="Verdana" w:cstheme="minorHAnsi"/>
          <w:kern w:val="2"/>
        </w:rPr>
        <w:t xml:space="preserve"> (East Midlands, Other services, 10-49 employees) </w:t>
      </w: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kern w:val="2"/>
        </w:rPr>
        <w:t xml:space="preserve">The IoD is also calling on the government to negotiate a Youth Mobility Scheme with the EU. Such a scheme could allow </w:t>
      </w:r>
      <w:r w:rsidRPr="00265F75">
        <w:rPr>
          <w:rFonts w:ascii="Verdana" w:eastAsia="Aptos" w:hAnsi="Verdana" w:cstheme="minorHAnsi"/>
          <w:kern w:val="2"/>
        </w:rPr>
        <w:t>18-30 year olds</w:t>
      </w:r>
      <w:r w:rsidRPr="00265F75">
        <w:rPr>
          <w:rFonts w:ascii="Verdana" w:eastAsia="Aptos" w:hAnsi="Verdana" w:cstheme="minorHAnsi"/>
          <w:kern w:val="2"/>
        </w:rPr>
        <w:t xml:space="preserve"> to work and travel freely between each jurisdiction for up to 2 years. Member survey data from May 2024 shows that half of business leaders think that a UK-EU Youth Mobility Scheme would benefit their organisation, compared to just 2% who think it would be a disadvantage.</w:t>
      </w:r>
      <w:r>
        <w:rPr>
          <w:rFonts w:ascii="Verdana" w:eastAsia="Aptos" w:hAnsi="Verdana" w:cstheme="minorHAnsi"/>
          <w:kern w:val="2"/>
          <w:vertAlign w:val="superscript"/>
        </w:rPr>
        <w:footnoteReference w:id="9"/>
      </w: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kern w:val="2"/>
        </w:rPr>
        <w:t xml:space="preserve">Potential reciprocal elements of an agreement that members most agree with are mobility for research, internships, study and travel (89%), </w:t>
      </w:r>
      <w:r w:rsidRPr="00265F75">
        <w:rPr>
          <w:rFonts w:ascii="Verdana" w:eastAsia="Aptos" w:hAnsi="Verdana" w:cstheme="minorHAnsi"/>
          <w:kern w:val="2"/>
        </w:rPr>
        <w:t>student exchange (86%), and the mobility of citizens for work/traineeships/volunteering (84%).</w:t>
      </w: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kern w:val="2"/>
        </w:rPr>
        <w:t xml:space="preserve">Business leaders support closer cross-border collaboration with the EU in general, for instance through valuable schemes such as the Erasmus programme, as a way of gaining cultural and language experience. Greater transfer of ideas through research and exchange of workers could help support innovation and </w:t>
      </w:r>
      <w:r w:rsidRPr="00265F75">
        <w:rPr>
          <w:rFonts w:ascii="Verdana" w:eastAsia="Aptos" w:hAnsi="Verdana" w:cstheme="minorHAnsi"/>
          <w:kern w:val="2"/>
        </w:rPr>
        <w:t>productivity, and</w:t>
      </w:r>
      <w:r w:rsidRPr="00265F75">
        <w:rPr>
          <w:rFonts w:ascii="Verdana" w:eastAsia="Aptos" w:hAnsi="Verdana" w:cstheme="minorHAnsi"/>
          <w:kern w:val="2"/>
        </w:rPr>
        <w:t xml:space="preserve"> build deeper ties with our international partners.</w:t>
      </w: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kern w:val="2"/>
        </w:rPr>
        <w:t xml:space="preserve">It is important to note that Youth Mobility does not cross the government’s red line of a return of freedom of movement, since those eligible still </w:t>
      </w:r>
      <w:r w:rsidRPr="00265F75">
        <w:rPr>
          <w:rFonts w:ascii="Verdana" w:eastAsia="Aptos" w:hAnsi="Verdana" w:cstheme="minorHAnsi"/>
          <w:kern w:val="2"/>
        </w:rPr>
        <w:t>have to</w:t>
      </w:r>
      <w:r w:rsidRPr="00265F75">
        <w:rPr>
          <w:rFonts w:ascii="Verdana" w:eastAsia="Aptos" w:hAnsi="Verdana" w:cstheme="minorHAnsi"/>
          <w:kern w:val="2"/>
        </w:rPr>
        <w:t xml:space="preserve"> secure a visa, which comes with a cost, and there is an associated time limit to the scheme. </w:t>
      </w: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kern w:val="2"/>
        </w:rPr>
        <w:t>Ultimately, since the EU has expressed its enthusiasm for youth mobility, the UK should grasp the opportunity, allowing businesses to benefit, whilst also unlocking negotiations and potentially securing further wins down the line.</w:t>
      </w: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kern w:val="2"/>
        </w:rPr>
        <w:t xml:space="preserve">Domestically, the UK should endeavour to reduce the customs burden as far as possible, which would not just support UK firms, but EU companies exporting to and importing from the UK. Removing red tape from the border would go a long way to removing trade barriers that both UK and EU companies face at the border, and which currently serve as a disincentive to firms trading between the two jurisdictions. </w:t>
      </w: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kern w:val="2"/>
        </w:rPr>
        <w:t>For example, it was frustrating to see the Government’s decision to halt the development of the Single Trade Window due to financial constraints following the Autumn Budget, particularly given extensive industry engagement and the project’s proximity to completion. </w:t>
      </w: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kern w:val="2"/>
        </w:rPr>
        <w:t>The Single Trade Window, designed to streamline border processes through a unified platform, has the potential to significantly ease this administrative burden on firms, making importing and exporting more efficient. Additionally, it could enhance data collection to better monitor and understand UK trade flows. </w:t>
      </w:r>
    </w:p>
    <w:p w:rsidR="00420DFF" w:rsidRPr="00265F75" w:rsidP="00420DFF">
      <w:pPr>
        <w:spacing w:line="278" w:lineRule="auto"/>
        <w:rPr>
          <w:rFonts w:ascii="Verdana" w:eastAsia="Aptos" w:hAnsi="Verdana" w:cstheme="minorHAnsi"/>
          <w:kern w:val="2"/>
        </w:rPr>
      </w:pPr>
    </w:p>
    <w:p w:rsidR="00420DFF" w:rsidRPr="00265F75" w:rsidP="00420DFF">
      <w:pPr>
        <w:spacing w:line="278" w:lineRule="auto"/>
        <w:rPr>
          <w:rFonts w:ascii="Verdana" w:eastAsia="Aptos" w:hAnsi="Verdana" w:cstheme="minorHAnsi"/>
          <w:kern w:val="2"/>
        </w:rPr>
      </w:pPr>
      <w:r w:rsidRPr="00265F75">
        <w:rPr>
          <w:rFonts w:ascii="Verdana" w:eastAsia="Aptos" w:hAnsi="Verdana" w:cstheme="minorHAnsi"/>
          <w:kern w:val="2"/>
        </w:rPr>
        <w:t xml:space="preserve">The IoD is calling on the government to reinstate the Single Trade Window to make it easier for businesses, both EU and UK, to export across the border, facilitate data sharing with interoperable trade windows, and to ensure the UK does not lose out competitively to those </w:t>
      </w:r>
      <w:r w:rsidRPr="00265F75">
        <w:rPr>
          <w:rFonts w:ascii="Verdana" w:eastAsia="Aptos" w:hAnsi="Verdana" w:cstheme="minorHAnsi"/>
          <w:kern w:val="2"/>
        </w:rPr>
        <w:t>nations which have already developed similar technology, such as Singapore and the EU.  </w:t>
      </w:r>
    </w:p>
    <w:p w:rsidR="00420DFF" w:rsidRPr="00265F75" w:rsidP="00420DFF">
      <w:pPr>
        <w:spacing w:after="160" w:line="278" w:lineRule="auto"/>
        <w:rPr>
          <w:rFonts w:ascii="Verdana" w:eastAsia="Aptos" w:hAnsi="Verdana"/>
          <w:kern w:val="2"/>
        </w:rPr>
      </w:pPr>
    </w:p>
    <w:p w:rsidR="00420DFF" w:rsidRPr="00265F75" w:rsidP="00420DFF">
      <w:pPr>
        <w:pStyle w:val="IoDBodyText"/>
        <w:spacing w:after="0"/>
        <w:rPr>
          <w:rFonts w:ascii="Verdana" w:hAnsi="Verdana"/>
          <w:sz w:val="24"/>
          <w:szCs w:val="24"/>
        </w:rPr>
      </w:pPr>
      <w:r w:rsidRPr="00265F75">
        <w:rPr>
          <w:rFonts w:ascii="Verdana" w:hAnsi="Verdana"/>
          <w:sz w:val="24"/>
          <w:szCs w:val="24"/>
        </w:rPr>
        <w:t>Received 2 April 2025</w:t>
      </w:r>
    </w:p>
    <w:sectPr w:rsidSect="00265F75">
      <w:headerReference w:type="default" r:id="rId9"/>
      <w:footerReference w:type="default" r:id="rId10"/>
      <w:pgSz w:w="11906" w:h="16838"/>
      <w:pgMar w:top="1440" w:right="1440" w:bottom="1440" w:left="1440" w:header="0"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otham Book">
    <w:altName w:val="Calibri"/>
    <w:panose1 w:val="00000000000000000000"/>
    <w:charset w:val="00"/>
    <w:family w:val="modern"/>
    <w:notTrueType/>
    <w:pitch w:val="variable"/>
    <w:sig w:usb0="A10000FF" w:usb1="4000005B"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93427145"/>
      <w:docPartObj>
        <w:docPartGallery w:val="Page Numbers (Bottom of Page)"/>
        <w:docPartUnique/>
      </w:docPartObj>
    </w:sdtPr>
    <w:sdtContent>
      <w:sdt>
        <w:sdtPr>
          <w:id w:val="-1769616900"/>
          <w:docPartObj>
            <w:docPartGallery w:val="Page Numbers (Top of Page)"/>
            <w:docPartUnique/>
          </w:docPartObj>
        </w:sdtPr>
        <w:sdtContent>
          <w:p w:rsidR="004012FE">
            <w:pPr>
              <w:pStyle w:val="Footer"/>
              <w:jc w:val="right"/>
            </w:pPr>
            <w:r w:rsidRPr="004012FE">
              <w:rPr>
                <w:rFonts w:asciiTheme="minorHAnsi" w:hAnsiTheme="minorHAnsi" w:cstheme="minorHAnsi"/>
                <w:sz w:val="20"/>
                <w:szCs w:val="20"/>
              </w:rPr>
              <w:t xml:space="preserve">Page </w:t>
            </w:r>
            <w:r w:rsidRPr="004012FE">
              <w:rPr>
                <w:rFonts w:asciiTheme="minorHAnsi" w:hAnsiTheme="minorHAnsi" w:cstheme="minorHAnsi"/>
                <w:b/>
                <w:bCs/>
                <w:sz w:val="20"/>
                <w:szCs w:val="20"/>
              </w:rPr>
              <w:fldChar w:fldCharType="begin"/>
            </w:r>
            <w:r w:rsidRPr="004012FE">
              <w:rPr>
                <w:rFonts w:asciiTheme="minorHAnsi" w:hAnsiTheme="minorHAnsi" w:cstheme="minorHAnsi"/>
                <w:b/>
                <w:bCs/>
                <w:sz w:val="20"/>
                <w:szCs w:val="20"/>
              </w:rPr>
              <w:instrText xml:space="preserve"> PAGE </w:instrText>
            </w:r>
            <w:r w:rsidRPr="004012FE">
              <w:rPr>
                <w:rFonts w:asciiTheme="minorHAnsi" w:hAnsiTheme="minorHAnsi" w:cstheme="minorHAnsi"/>
                <w:b/>
                <w:bCs/>
                <w:sz w:val="20"/>
                <w:szCs w:val="20"/>
              </w:rPr>
              <w:fldChar w:fldCharType="separate"/>
            </w:r>
            <w:r w:rsidRPr="004012FE">
              <w:rPr>
                <w:rFonts w:asciiTheme="minorHAnsi" w:hAnsiTheme="minorHAnsi" w:cstheme="minorHAnsi"/>
                <w:b/>
                <w:bCs/>
                <w:noProof/>
                <w:sz w:val="20"/>
                <w:szCs w:val="20"/>
              </w:rPr>
              <w:t>2</w:t>
            </w:r>
            <w:r w:rsidRPr="004012FE">
              <w:rPr>
                <w:rFonts w:asciiTheme="minorHAnsi" w:hAnsiTheme="minorHAnsi" w:cstheme="minorHAnsi"/>
                <w:b/>
                <w:bCs/>
                <w:sz w:val="20"/>
                <w:szCs w:val="20"/>
              </w:rPr>
              <w:fldChar w:fldCharType="end"/>
            </w:r>
            <w:r w:rsidRPr="004012FE">
              <w:rPr>
                <w:rFonts w:asciiTheme="minorHAnsi" w:hAnsiTheme="minorHAnsi" w:cstheme="minorHAnsi"/>
                <w:sz w:val="20"/>
                <w:szCs w:val="20"/>
              </w:rPr>
              <w:t xml:space="preserve"> of </w:t>
            </w:r>
            <w:r w:rsidRPr="004012FE">
              <w:rPr>
                <w:rFonts w:asciiTheme="minorHAnsi" w:hAnsiTheme="minorHAnsi" w:cstheme="minorHAnsi"/>
                <w:b/>
                <w:bCs/>
                <w:sz w:val="20"/>
                <w:szCs w:val="20"/>
              </w:rPr>
              <w:fldChar w:fldCharType="begin"/>
            </w:r>
            <w:r w:rsidRPr="004012FE">
              <w:rPr>
                <w:rFonts w:asciiTheme="minorHAnsi" w:hAnsiTheme="minorHAnsi" w:cstheme="minorHAnsi"/>
                <w:b/>
                <w:bCs/>
                <w:sz w:val="20"/>
                <w:szCs w:val="20"/>
              </w:rPr>
              <w:instrText xml:space="preserve"> NUMPAGES  </w:instrText>
            </w:r>
            <w:r w:rsidRPr="004012FE">
              <w:rPr>
                <w:rFonts w:asciiTheme="minorHAnsi" w:hAnsiTheme="minorHAnsi" w:cstheme="minorHAnsi"/>
                <w:b/>
                <w:bCs/>
                <w:sz w:val="20"/>
                <w:szCs w:val="20"/>
              </w:rPr>
              <w:fldChar w:fldCharType="separate"/>
            </w:r>
            <w:r w:rsidRPr="004012FE">
              <w:rPr>
                <w:rFonts w:asciiTheme="minorHAnsi" w:hAnsiTheme="minorHAnsi" w:cstheme="minorHAnsi"/>
                <w:b/>
                <w:bCs/>
                <w:noProof/>
                <w:sz w:val="20"/>
                <w:szCs w:val="20"/>
              </w:rPr>
              <w:t>2</w:t>
            </w:r>
            <w:r w:rsidRPr="004012FE">
              <w:rPr>
                <w:rFonts w:asciiTheme="minorHAnsi" w:hAnsiTheme="minorHAnsi" w:cstheme="minorHAnsi"/>
                <w:b/>
                <w:bCs/>
                <w:sz w:val="20"/>
                <w:szCs w:val="20"/>
              </w:rPr>
              <w:fldChar w:fldCharType="end"/>
            </w:r>
          </w:p>
        </w:sdtContent>
      </w:sdt>
    </w:sdtContent>
  </w:sdt>
  <w:p w:rsidR="00CF5CC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02AC3" w:rsidP="00675FF0">
      <w:r>
        <w:separator/>
      </w:r>
    </w:p>
  </w:footnote>
  <w:footnote w:type="continuationSeparator" w:id="1">
    <w:p w:rsidR="00802AC3" w:rsidP="00675FF0">
      <w:r>
        <w:continuationSeparator/>
      </w:r>
    </w:p>
  </w:footnote>
  <w:footnote w:id="2">
    <w:p w:rsidR="003C1432" w:rsidRPr="004012FE" w:rsidP="003C1432">
      <w:pPr>
        <w:pStyle w:val="FootnoteText"/>
        <w:rPr>
          <w:rFonts w:asciiTheme="majorHAnsi" w:hAnsiTheme="majorHAnsi" w:cstheme="majorHAnsi"/>
        </w:rPr>
      </w:pPr>
      <w:r w:rsidRPr="004012FE">
        <w:rPr>
          <w:rStyle w:val="FootnoteReference"/>
          <w:rFonts w:asciiTheme="majorHAnsi" w:hAnsiTheme="majorHAnsi" w:cstheme="majorHAnsi"/>
        </w:rPr>
        <w:footnoteRef/>
      </w:r>
      <w:r w:rsidRPr="004012FE">
        <w:rPr>
          <w:rFonts w:asciiTheme="majorHAnsi" w:hAnsiTheme="majorHAnsi" w:cstheme="majorHAnsi"/>
        </w:rPr>
        <w:t xml:space="preserve"> IoD Policy Voice July 2024, ‘What is your organisation’s experience of the UK’s trading relationship with the EU?’ N=571</w:t>
      </w:r>
    </w:p>
  </w:footnote>
  <w:footnote w:id="3">
    <w:p w:rsidR="003C1432" w:rsidP="003C1432">
      <w:pPr>
        <w:pStyle w:val="FootnoteText"/>
      </w:pPr>
      <w:r w:rsidRPr="004012FE">
        <w:rPr>
          <w:rStyle w:val="FootnoteReference"/>
          <w:rFonts w:asciiTheme="majorHAnsi" w:hAnsiTheme="majorHAnsi" w:cstheme="majorHAnsi"/>
        </w:rPr>
        <w:footnoteRef/>
      </w:r>
      <w:r w:rsidRPr="004012FE">
        <w:rPr>
          <w:rFonts w:asciiTheme="majorHAnsi" w:hAnsiTheme="majorHAnsi" w:cstheme="majorHAnsi"/>
        </w:rPr>
        <w:t xml:space="preserve"> IoD Policy Voice July 2024, ‘You said you were finding the UK’s trading relationship with the EU challenging. Of the following, which is the MOST challenging to your business?’ N=</w:t>
      </w:r>
    </w:p>
  </w:footnote>
  <w:footnote w:id="4">
    <w:p w:rsidR="00420DFF" w:rsidRPr="004012FE" w:rsidP="00420DFF">
      <w:pPr>
        <w:pStyle w:val="FootnoteText"/>
        <w:rPr>
          <w:rFonts w:asciiTheme="majorHAnsi" w:hAnsiTheme="majorHAnsi" w:cstheme="majorHAnsi"/>
        </w:rPr>
      </w:pPr>
      <w:r w:rsidRPr="004012FE">
        <w:rPr>
          <w:rStyle w:val="FootnoteReference"/>
          <w:rFonts w:asciiTheme="majorHAnsi" w:hAnsiTheme="majorHAnsi" w:cstheme="majorHAnsi"/>
        </w:rPr>
        <w:footnoteRef/>
      </w:r>
      <w:r w:rsidRPr="004012FE">
        <w:rPr>
          <w:rFonts w:asciiTheme="majorHAnsi" w:hAnsiTheme="majorHAnsi" w:cstheme="majorHAnsi"/>
        </w:rPr>
        <w:t xml:space="preserve"> </w:t>
      </w:r>
      <w:r>
        <w:fldChar w:fldCharType="begin"/>
      </w:r>
      <w:r>
        <w:instrText xml:space="preserve"> HYPERLINK "https://www.cer.eu/insights/brexit-four-years-answers-two-trade-paradoxes" \l ":~:text=In%20other%20words%2C%20if%20the,a%20direct%20consequence%20of%20Brexit" </w:instrText>
      </w:r>
      <w:r>
        <w:fldChar w:fldCharType="separate"/>
      </w:r>
      <w:r w:rsidRPr="004012FE">
        <w:rPr>
          <w:rStyle w:val="Hyperlink1"/>
          <w:rFonts w:asciiTheme="majorHAnsi" w:hAnsiTheme="majorHAnsi" w:cstheme="majorHAnsi"/>
          <w:color w:val="auto"/>
        </w:rPr>
        <w:t>https://www.cer.eu/insights/brexit-four-years-answers-two-trade-paradoxes#:~:text=In%20other%20words%2C%20if%20the,a%20direct%20consequence%20of%20Brexit</w:t>
      </w:r>
      <w:r>
        <w:fldChar w:fldCharType="end"/>
      </w:r>
      <w:r w:rsidRPr="004012FE">
        <w:rPr>
          <w:rFonts w:asciiTheme="majorHAnsi" w:hAnsiTheme="majorHAnsi" w:cstheme="majorHAnsi"/>
        </w:rPr>
        <w:t xml:space="preserve">. </w:t>
      </w:r>
    </w:p>
  </w:footnote>
  <w:footnote w:id="5">
    <w:p w:rsidR="00420DFF" w:rsidRPr="004012FE" w:rsidP="00420DFF">
      <w:pPr>
        <w:pStyle w:val="FootnoteText"/>
        <w:rPr>
          <w:rFonts w:asciiTheme="majorHAnsi" w:hAnsiTheme="majorHAnsi" w:cstheme="majorHAnsi"/>
        </w:rPr>
      </w:pPr>
      <w:r w:rsidRPr="004012FE">
        <w:rPr>
          <w:rStyle w:val="FootnoteReference"/>
          <w:rFonts w:asciiTheme="majorHAnsi" w:hAnsiTheme="majorHAnsi" w:cstheme="majorHAnsi"/>
        </w:rPr>
        <w:footnoteRef/>
      </w:r>
      <w:r w:rsidRPr="004012FE">
        <w:rPr>
          <w:rFonts w:asciiTheme="majorHAnsi" w:hAnsiTheme="majorHAnsi" w:cstheme="majorHAnsi"/>
        </w:rPr>
        <w:t xml:space="preserve"> </w:t>
      </w:r>
      <w:r>
        <w:fldChar w:fldCharType="begin"/>
      </w:r>
      <w:r>
        <w:instrText xml:space="preserve"> HYPERLINK "https://www.niesr.ac.uk/wp-content/uploads/2023/11/JC760-NIESR-Outlook-Autumn-2023-Global-Topical-Feature-v2.pdf?ver=Z519XpT8tcyC4puWlqEp" </w:instrText>
      </w:r>
      <w:r>
        <w:fldChar w:fldCharType="separate"/>
      </w:r>
      <w:r w:rsidRPr="004012FE">
        <w:rPr>
          <w:rStyle w:val="Hyperlink1"/>
          <w:rFonts w:asciiTheme="majorHAnsi" w:hAnsiTheme="majorHAnsi" w:cstheme="majorHAnsi"/>
          <w:color w:val="auto"/>
        </w:rPr>
        <w:t>https://www.niesr.ac.uk/wp-content/uploads/2023/11/JC760-NIESR-Outlook-Autumn-2023-Global-Topical-Feature-v2.pdf?ver=Z519XpT8tcyC4puWlqEp</w:t>
      </w:r>
      <w:r>
        <w:fldChar w:fldCharType="end"/>
      </w:r>
      <w:r w:rsidRPr="004012FE">
        <w:rPr>
          <w:rFonts w:asciiTheme="majorHAnsi" w:hAnsiTheme="majorHAnsi" w:cstheme="majorHAnsi"/>
        </w:rPr>
        <w:t xml:space="preserve"> </w:t>
      </w:r>
    </w:p>
  </w:footnote>
  <w:footnote w:id="6">
    <w:p w:rsidR="00420DFF" w:rsidP="00420DFF">
      <w:pPr>
        <w:pStyle w:val="FootnoteText"/>
      </w:pPr>
      <w:r w:rsidRPr="004012FE">
        <w:rPr>
          <w:rStyle w:val="FootnoteReference"/>
          <w:rFonts w:asciiTheme="majorHAnsi" w:hAnsiTheme="majorHAnsi" w:cstheme="majorHAnsi"/>
        </w:rPr>
        <w:footnoteRef/>
      </w:r>
      <w:r w:rsidRPr="004012FE">
        <w:rPr>
          <w:rFonts w:asciiTheme="majorHAnsi" w:hAnsiTheme="majorHAnsi" w:cstheme="majorHAnsi"/>
        </w:rPr>
        <w:t xml:space="preserve"> </w:t>
      </w:r>
      <w:r>
        <w:fldChar w:fldCharType="begin"/>
      </w:r>
      <w:r>
        <w:instrText xml:space="preserve"> HYPERLINK "https://labour.org.uk/change/britain-reconnected/" </w:instrText>
      </w:r>
      <w:r>
        <w:fldChar w:fldCharType="separate"/>
      </w:r>
      <w:r w:rsidRPr="004012FE">
        <w:rPr>
          <w:rStyle w:val="Hyperlink1"/>
          <w:rFonts w:asciiTheme="majorHAnsi" w:hAnsiTheme="majorHAnsi" w:cstheme="majorHAnsi"/>
          <w:color w:val="auto"/>
        </w:rPr>
        <w:t>https://labour.org.uk/change/britain-reconnected/</w:t>
      </w:r>
      <w:r>
        <w:fldChar w:fldCharType="end"/>
      </w:r>
      <w:r w:rsidRPr="00420DFF">
        <w:t xml:space="preserve"> </w:t>
      </w:r>
    </w:p>
  </w:footnote>
  <w:footnote w:id="7">
    <w:p w:rsidR="00420DFF" w:rsidRPr="004012FE" w:rsidP="00420DFF">
      <w:pPr>
        <w:pStyle w:val="FootnoteText"/>
        <w:rPr>
          <w:rFonts w:asciiTheme="majorHAnsi" w:hAnsiTheme="majorHAnsi" w:cstheme="majorHAnsi"/>
        </w:rPr>
      </w:pPr>
      <w:r w:rsidRPr="004012FE">
        <w:rPr>
          <w:rStyle w:val="FootnoteReference"/>
          <w:rFonts w:asciiTheme="majorHAnsi" w:hAnsiTheme="majorHAnsi" w:cstheme="majorHAnsi"/>
        </w:rPr>
        <w:footnoteRef/>
      </w:r>
      <w:r w:rsidRPr="004012FE">
        <w:rPr>
          <w:rFonts w:asciiTheme="majorHAnsi" w:hAnsiTheme="majorHAnsi" w:cstheme="majorHAnsi"/>
        </w:rPr>
        <w:t xml:space="preserve"> IoD Policy Voice, March 2025, ‘Which approach to UK-EU regulatory alignment do you think would be the most beneficial to your organisation?’ N=605</w:t>
      </w:r>
    </w:p>
  </w:footnote>
  <w:footnote w:id="8">
    <w:p w:rsidR="00420DFF" w:rsidRPr="004012FE" w:rsidP="00420DFF">
      <w:pPr>
        <w:pStyle w:val="FootnoteText"/>
        <w:rPr>
          <w:rFonts w:asciiTheme="majorHAnsi" w:hAnsiTheme="majorHAnsi" w:cstheme="majorHAnsi"/>
        </w:rPr>
      </w:pPr>
      <w:r w:rsidRPr="004012FE">
        <w:rPr>
          <w:rStyle w:val="FootnoteReference"/>
          <w:rFonts w:asciiTheme="majorHAnsi" w:hAnsiTheme="majorHAnsi" w:cstheme="majorHAnsi"/>
        </w:rPr>
        <w:footnoteRef/>
      </w:r>
      <w:r w:rsidRPr="004012FE">
        <w:rPr>
          <w:rFonts w:asciiTheme="majorHAnsi" w:hAnsiTheme="majorHAnsi" w:cstheme="majorHAnsi"/>
        </w:rPr>
        <w:t xml:space="preserve"> IoD Response to HM Treasury and Department for Energy Security and Net Zero Consultation, ‘Addressing Carbon Leakage Risk to Support Decarbonisation’, June 2022, chrome-extension://efaidnbmnnnibpcajpcglclefindmkaj/https://www.iod.com/app/uploads/2023/07/IoD-Addressing-carbon-leakage-risk-to-support-decarbonisation-response-1-f0d9bb98689d8c1df4c5b0eaaa40eb8e.pdf </w:t>
      </w:r>
    </w:p>
  </w:footnote>
  <w:footnote w:id="9">
    <w:p w:rsidR="00420DFF" w:rsidRPr="004012FE" w:rsidP="00420DFF">
      <w:pPr>
        <w:pStyle w:val="FootnoteText"/>
        <w:rPr>
          <w:rFonts w:asciiTheme="majorHAnsi" w:hAnsiTheme="majorHAnsi" w:cstheme="majorHAnsi"/>
        </w:rPr>
      </w:pPr>
      <w:r w:rsidRPr="004012FE">
        <w:rPr>
          <w:rStyle w:val="FootnoteReference"/>
          <w:rFonts w:asciiTheme="majorHAnsi" w:hAnsiTheme="majorHAnsi" w:cstheme="majorHAnsi"/>
          <w:color w:val="24272A" w:themeColor="text1"/>
        </w:rPr>
        <w:footnoteRef/>
      </w:r>
      <w:r w:rsidRPr="004012FE">
        <w:rPr>
          <w:rFonts w:asciiTheme="majorHAnsi" w:hAnsiTheme="majorHAnsi" w:cstheme="majorHAnsi"/>
          <w:color w:val="24272A" w:themeColor="text1"/>
        </w:rPr>
        <w:t xml:space="preserve"> IoD Policy Voice, May 2024, ‘To what extent do you feel a Youth Mobility Scheme would benefit or disadvantage your organisation?’ N=418, </w:t>
      </w:r>
      <w:r>
        <w:fldChar w:fldCharType="begin"/>
      </w:r>
      <w:r>
        <w:instrText xml:space="preserve"> HYPERLINK "https://www.iod.com/app/uploads/2024/07/Policy-Voice-report-May-2024-79a7af44546e311dcee0eb50e6dcb8c8.pdf" </w:instrText>
      </w:r>
      <w:r>
        <w:fldChar w:fldCharType="separate"/>
      </w:r>
      <w:r w:rsidRPr="004012FE">
        <w:rPr>
          <w:rStyle w:val="Hyperlink"/>
          <w:rFonts w:asciiTheme="majorHAnsi" w:hAnsiTheme="majorHAnsi" w:cstheme="majorHAnsi"/>
          <w:color w:val="24272A" w:themeColor="text1"/>
        </w:rPr>
        <w:t>https://www.iod.com/app/uploads/2024/07/Policy-Voice-report-May-2024-79a7af44546e311dcee0eb50e6dcb8c8.pdf</w:t>
      </w:r>
      <w:r>
        <w:fldChar w:fldCharType="end"/>
      </w:r>
      <w:r w:rsidRPr="004012FE">
        <w:rPr>
          <w:rFonts w:asciiTheme="majorHAnsi" w:hAnsiTheme="majorHAnsi" w:cstheme="majorHAnsi"/>
          <w:color w:val="24272A" w:themeColor="text1"/>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D9A" w:rsidRPr="0025606C" w:rsidP="0025606C">
    <w:pPr>
      <w:pStyle w:val="Header"/>
      <w:ind w:hanging="18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B4B3129"/>
    <w:multiLevelType w:val="hybridMultilevel"/>
    <w:tmpl w:val="B8D66B98"/>
    <w:lvl w:ilvl="0">
      <w:start w:val="1"/>
      <w:numFmt w:val="decimal"/>
      <w:pStyle w:val="IoDNumberedBullet"/>
      <w:lvlText w:val="%1."/>
      <w:lvlJc w:val="left"/>
      <w:pPr>
        <w:ind w:left="284" w:hanging="284"/>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C0806BB"/>
    <w:multiLevelType w:val="hybridMultilevel"/>
    <w:tmpl w:val="F93AEA06"/>
    <w:lvl w:ilvl="0">
      <w:start w:val="1"/>
      <w:numFmt w:val="lowerLetter"/>
      <w:pStyle w:val="IoDBullet3"/>
      <w:lvlText w:val="%1)"/>
      <w:lvlJc w:val="left"/>
      <w:pPr>
        <w:ind w:left="284" w:hanging="284"/>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DA6202B"/>
    <w:multiLevelType w:val="hybridMultilevel"/>
    <w:tmpl w:val="5C92DFB6"/>
    <w:lvl w:ilvl="0">
      <w:start w:val="1"/>
      <w:numFmt w:val="bullet"/>
      <w:pStyle w:val="bulletlast"/>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24260FF2"/>
    <w:multiLevelType w:val="hybridMultilevel"/>
    <w:tmpl w:val="B840FDA6"/>
    <w:lvl w:ilvl="0">
      <w:start w:val="1"/>
      <w:numFmt w:val="bullet"/>
      <w:pStyle w:val="IoDBullet1-indented"/>
      <w:lvlText w:val=""/>
      <w:lvlJc w:val="left"/>
      <w:pPr>
        <w:ind w:left="567" w:hanging="283"/>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BB33878"/>
    <w:multiLevelType w:val="hybridMultilevel"/>
    <w:tmpl w:val="F3524C42"/>
    <w:lvl w:ilvl="0">
      <w:start w:val="1"/>
      <w:numFmt w:val="bullet"/>
      <w:pStyle w:val="IoDBullet1"/>
      <w:lvlText w:val=""/>
      <w:lvlJc w:val="left"/>
      <w:pPr>
        <w:ind w:left="284" w:hanging="284"/>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D111FA9"/>
    <w:multiLevelType w:val="hybridMultilevel"/>
    <w:tmpl w:val="80387D3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7BA60D6"/>
    <w:multiLevelType w:val="hybridMultilevel"/>
    <w:tmpl w:val="BC126E5C"/>
    <w:lvl w:ilvl="0">
      <w:start w:val="1"/>
      <w:numFmt w:val="lowerLetter"/>
      <w:pStyle w:val="IoDBullet3-indent"/>
      <w:lvlText w:val="%1)"/>
      <w:lvlJc w:val="left"/>
      <w:pPr>
        <w:ind w:left="567" w:hanging="283"/>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A3A5FDF"/>
    <w:multiLevelType w:val="hybridMultilevel"/>
    <w:tmpl w:val="5EC87A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6E14F6A"/>
    <w:multiLevelType w:val="hybridMultilevel"/>
    <w:tmpl w:val="4DAE5BE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3474E2C"/>
    <w:multiLevelType w:val="hybridMultilevel"/>
    <w:tmpl w:val="1594576A"/>
    <w:lvl w:ilvl="0">
      <w:start w:val="0"/>
      <w:numFmt w:val="bullet"/>
      <w:pStyle w:val="IoDBullet2"/>
      <w:lvlText w:val="–"/>
      <w:lvlJc w:val="left"/>
      <w:pPr>
        <w:ind w:left="284" w:hanging="284"/>
      </w:pPr>
      <w:rPr>
        <w:rFonts w:ascii="Gotham Book" w:eastAsia="Gotham Book" w:hAnsi="Gotham Book" w:cs="Gotham Book" w:hint="default"/>
        <w:color w:val="424F57"/>
        <w:spacing w:val="-8"/>
        <w:w w:val="100"/>
        <w:sz w:val="18"/>
        <w:szCs w:val="18"/>
        <w:lang w:val="en-GB" w:eastAsia="en-GB" w:bidi="en-G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6F035E3"/>
    <w:multiLevelType w:val="hybridMultilevel"/>
    <w:tmpl w:val="4880AE76"/>
    <w:lvl w:ilvl="0">
      <w:start w:val="0"/>
      <w:numFmt w:val="bullet"/>
      <w:pStyle w:val="IoDBullet2-indented"/>
      <w:lvlText w:val="–"/>
      <w:lvlJc w:val="left"/>
      <w:pPr>
        <w:ind w:left="567" w:hanging="283"/>
      </w:pPr>
      <w:rPr>
        <w:rFonts w:ascii="Gotham Book" w:eastAsia="Gotham Book" w:hAnsi="Gotham Book" w:cs="Gotham Book" w:hint="default"/>
        <w:color w:val="424F57"/>
        <w:spacing w:val="-8"/>
        <w:w w:val="100"/>
        <w:sz w:val="18"/>
        <w:szCs w:val="18"/>
        <w:lang w:val="en-GB" w:eastAsia="en-GB" w:bidi="en-G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FD56ABC"/>
    <w:multiLevelType w:val="hybridMultilevel"/>
    <w:tmpl w:val="DC7AD6F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0"/>
  </w:num>
  <w:num w:numId="5">
    <w:abstractNumId w:val="4"/>
  </w:num>
  <w:num w:numId="6">
    <w:abstractNumId w:val="1"/>
  </w:num>
  <w:num w:numId="7">
    <w:abstractNumId w:val="9"/>
  </w:num>
  <w:num w:numId="8">
    <w:abstractNumId w:val="6"/>
  </w:num>
  <w:num w:numId="9">
    <w:abstractNumId w:val="5"/>
  </w:num>
  <w:num w:numId="10">
    <w:abstractNumId w:val="8"/>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revisionView w:comments="1" w:formatting="1" w:inkAnnotations="0" w:insDel="1" w:markup="1"/>
  <w:doNotTrackMoves/>
  <w:documentProtection w:edit="readOnly" w:enforcement="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AA133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rsid w:val="00AA133A"/>
    <w:pPr>
      <w:keepNext/>
      <w:autoSpaceDE w:val="0"/>
      <w:autoSpaceDN w:val="0"/>
      <w:jc w:val="center"/>
      <w:outlineLvl w:val="0"/>
    </w:pPr>
    <w:rPr>
      <w:rFonts w:ascii="Arial" w:hAnsi="Arial"/>
      <w:b/>
      <w:sz w:val="32"/>
      <w:szCs w:val="32"/>
    </w:rPr>
  </w:style>
  <w:style w:type="paragraph" w:styleId="Heading2">
    <w:name w:val="heading 2"/>
    <w:basedOn w:val="Normal"/>
    <w:next w:val="Normal"/>
    <w:link w:val="Heading2Char"/>
    <w:uiPriority w:val="9"/>
    <w:semiHidden/>
    <w:unhideWhenUsed/>
    <w:rsid w:val="00AA133A"/>
    <w:pPr>
      <w:keepNext/>
      <w:keepLines/>
      <w:spacing w:before="200"/>
      <w:outlineLvl w:val="1"/>
    </w:pPr>
    <w:rPr>
      <w:rFonts w:asciiTheme="majorHAnsi" w:eastAsiaTheme="majorEastAsia" w:hAnsiTheme="majorHAnsi" w:cstheme="majorBidi"/>
      <w:b/>
      <w:bCs/>
      <w:color w:val="FF3282"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133A"/>
    <w:rPr>
      <w:rFonts w:ascii="Arial" w:eastAsia="Times New Roman" w:hAnsi="Arial" w:cs="Times New Roman"/>
      <w:b/>
      <w:sz w:val="32"/>
      <w:szCs w:val="32"/>
    </w:rPr>
  </w:style>
  <w:style w:type="paragraph" w:customStyle="1" w:styleId="IoDMainHeading">
    <w:name w:val="IoD Main Heading"/>
    <w:basedOn w:val="Normal"/>
    <w:link w:val="IoDMainHeadingChar"/>
    <w:qFormat/>
    <w:rsid w:val="00153723"/>
    <w:pPr>
      <w:spacing w:after="520" w:line="600" w:lineRule="exact"/>
    </w:pPr>
    <w:rPr>
      <w:rFonts w:ascii="Calibri Light" w:hAnsi="Calibri Light"/>
      <w:color w:val="828287"/>
      <w:sz w:val="52"/>
      <w:szCs w:val="52"/>
    </w:rPr>
  </w:style>
  <w:style w:type="paragraph" w:styleId="ListParagraph">
    <w:name w:val="List Paragraph"/>
    <w:basedOn w:val="Normal"/>
    <w:link w:val="ListParagraphChar"/>
    <w:uiPriority w:val="34"/>
    <w:rsid w:val="001668A8"/>
    <w:pPr>
      <w:ind w:left="720"/>
      <w:contextualSpacing/>
    </w:pPr>
  </w:style>
  <w:style w:type="paragraph" w:customStyle="1" w:styleId="bulletlast">
    <w:name w:val="bullet last"/>
    <w:basedOn w:val="Normal"/>
    <w:next w:val="Normal"/>
    <w:rsid w:val="00744752"/>
    <w:pPr>
      <w:numPr>
        <w:numId w:val="1"/>
      </w:numPr>
      <w:tabs>
        <w:tab w:val="clear" w:pos="357"/>
        <w:tab w:val="num" w:pos="360"/>
      </w:tabs>
      <w:spacing w:after="240"/>
      <w:jc w:val="both"/>
    </w:pPr>
    <w:rPr>
      <w:rFonts w:ascii="Helvetica" w:hAnsi="Helvetica"/>
      <w:sz w:val="20"/>
      <w:szCs w:val="20"/>
      <w:lang w:eastAsia="en-GB"/>
    </w:rPr>
  </w:style>
  <w:style w:type="character" w:customStyle="1" w:styleId="IoDMainHeadingChar">
    <w:name w:val="IoD Main Heading Char"/>
    <w:basedOn w:val="DefaultParagraphFont"/>
    <w:link w:val="IoDMainHeading"/>
    <w:rsid w:val="00153723"/>
    <w:rPr>
      <w:rFonts w:ascii="Calibri Light" w:eastAsia="Times New Roman" w:hAnsi="Calibri Light" w:cs="Times New Roman"/>
      <w:color w:val="828287"/>
      <w:sz w:val="52"/>
      <w:szCs w:val="52"/>
    </w:rPr>
  </w:style>
  <w:style w:type="paragraph" w:customStyle="1" w:styleId="IoDNumberedBullet">
    <w:name w:val="IoD Numbered Bullet"/>
    <w:basedOn w:val="ListParagraph"/>
    <w:link w:val="IoDNumberedBulletChar"/>
    <w:qFormat/>
    <w:rsid w:val="00153723"/>
    <w:pPr>
      <w:numPr>
        <w:numId w:val="2"/>
      </w:numPr>
      <w:spacing w:before="520" w:line="260" w:lineRule="exact"/>
    </w:pPr>
    <w:rPr>
      <w:rFonts w:ascii="Calibri Light" w:hAnsi="Calibri Light" w:cstheme="minorHAnsi"/>
      <w:b/>
      <w:color w:val="FF3282"/>
      <w:sz w:val="20"/>
      <w:szCs w:val="20"/>
    </w:rPr>
  </w:style>
  <w:style w:type="paragraph" w:customStyle="1" w:styleId="IoDBodyText">
    <w:name w:val="IoD Body Text"/>
    <w:basedOn w:val="Normal"/>
    <w:link w:val="IoDBodyTextChar"/>
    <w:qFormat/>
    <w:rsid w:val="00153723"/>
    <w:pPr>
      <w:spacing w:after="130" w:line="260" w:lineRule="exact"/>
    </w:pPr>
    <w:rPr>
      <w:rFonts w:ascii="Calibri Light" w:hAnsi="Calibri Light" w:cstheme="minorHAnsi"/>
      <w:sz w:val="20"/>
      <w:szCs w:val="20"/>
    </w:rPr>
  </w:style>
  <w:style w:type="character" w:customStyle="1" w:styleId="ListParagraphChar">
    <w:name w:val="List Paragraph Char"/>
    <w:basedOn w:val="DefaultParagraphFont"/>
    <w:link w:val="ListParagraph"/>
    <w:uiPriority w:val="34"/>
    <w:rsid w:val="001668A8"/>
    <w:rPr>
      <w:rFonts w:ascii="Times New Roman" w:eastAsia="Times New Roman" w:hAnsi="Times New Roman" w:cs="Times New Roman"/>
      <w:sz w:val="24"/>
      <w:szCs w:val="24"/>
    </w:rPr>
  </w:style>
  <w:style w:type="character" w:customStyle="1" w:styleId="IoDNumberedBulletChar">
    <w:name w:val="IoD Numbered Bullet Char"/>
    <w:basedOn w:val="ListParagraphChar"/>
    <w:link w:val="IoDNumberedBullet"/>
    <w:rsid w:val="00153723"/>
    <w:rPr>
      <w:rFonts w:ascii="Calibri Light" w:eastAsia="Times New Roman" w:hAnsi="Calibri Light" w:cstheme="minorHAnsi"/>
      <w:b/>
      <w:color w:val="FF3282"/>
      <w:sz w:val="20"/>
      <w:szCs w:val="20"/>
    </w:rPr>
  </w:style>
  <w:style w:type="paragraph" w:customStyle="1" w:styleId="IoDBullet1">
    <w:name w:val="IoD Bullet 1"/>
    <w:basedOn w:val="IoDBodyText"/>
    <w:link w:val="IoDBullet1Char"/>
    <w:qFormat/>
    <w:rsid w:val="000376A8"/>
    <w:pPr>
      <w:numPr>
        <w:numId w:val="5"/>
      </w:numPr>
    </w:pPr>
  </w:style>
  <w:style w:type="character" w:customStyle="1" w:styleId="IoDBodyTextChar">
    <w:name w:val="IoD Body Text Char"/>
    <w:basedOn w:val="DefaultParagraphFont"/>
    <w:link w:val="IoDBodyText"/>
    <w:rsid w:val="00153723"/>
    <w:rPr>
      <w:rFonts w:ascii="Calibri Light" w:eastAsia="Times New Roman" w:hAnsi="Calibri Light" w:cstheme="minorHAnsi"/>
      <w:sz w:val="20"/>
      <w:szCs w:val="20"/>
    </w:rPr>
  </w:style>
  <w:style w:type="paragraph" w:styleId="Footer">
    <w:name w:val="footer"/>
    <w:basedOn w:val="Normal"/>
    <w:link w:val="FooterChar"/>
    <w:uiPriority w:val="99"/>
    <w:unhideWhenUsed/>
    <w:rsid w:val="00EA3867"/>
    <w:pPr>
      <w:tabs>
        <w:tab w:val="center" w:pos="4513"/>
        <w:tab w:val="right" w:pos="9026"/>
      </w:tabs>
    </w:pPr>
  </w:style>
  <w:style w:type="character" w:styleId="PageNumber">
    <w:name w:val="page number"/>
    <w:basedOn w:val="DefaultParagraphFont"/>
    <w:semiHidden/>
    <w:rsid w:val="00AA133A"/>
  </w:style>
  <w:style w:type="paragraph" w:styleId="Header">
    <w:name w:val="header"/>
    <w:basedOn w:val="Normal"/>
    <w:link w:val="HeaderChar"/>
    <w:semiHidden/>
    <w:rsid w:val="00AA133A"/>
    <w:pPr>
      <w:tabs>
        <w:tab w:val="center" w:pos="4153"/>
        <w:tab w:val="right" w:pos="8306"/>
      </w:tabs>
    </w:pPr>
  </w:style>
  <w:style w:type="character" w:customStyle="1" w:styleId="HeaderChar">
    <w:name w:val="Header Char"/>
    <w:basedOn w:val="DefaultParagraphFont"/>
    <w:link w:val="Header"/>
    <w:semiHidden/>
    <w:rsid w:val="00AA133A"/>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AA133A"/>
    <w:rPr>
      <w:rFonts w:asciiTheme="majorHAnsi" w:eastAsiaTheme="majorEastAsia" w:hAnsiTheme="majorHAnsi" w:cstheme="majorBidi"/>
      <w:b/>
      <w:bCs/>
      <w:color w:val="FF3282" w:themeColor="accent1"/>
      <w:sz w:val="26"/>
      <w:szCs w:val="26"/>
    </w:rPr>
  </w:style>
  <w:style w:type="paragraph" w:customStyle="1" w:styleId="policyspacebottom">
    <w:name w:val="policy space bottom"/>
    <w:basedOn w:val="Normal"/>
    <w:rsid w:val="002F526D"/>
    <w:pPr>
      <w:shd w:val="clear" w:color="auto" w:fill="E6E6E6"/>
    </w:pPr>
    <w:rPr>
      <w:rFonts w:ascii="Arial" w:hAnsi="Arial"/>
      <w:sz w:val="20"/>
      <w:szCs w:val="20"/>
      <w:lang w:eastAsia="en-GB"/>
    </w:rPr>
  </w:style>
  <w:style w:type="character" w:styleId="BookTitle">
    <w:name w:val="Book Title"/>
    <w:basedOn w:val="DefaultParagraphFont"/>
    <w:uiPriority w:val="33"/>
    <w:rsid w:val="00744752"/>
    <w:rPr>
      <w:b/>
      <w:bCs/>
      <w:i/>
      <w:iCs/>
      <w:spacing w:val="5"/>
    </w:rPr>
  </w:style>
  <w:style w:type="character" w:customStyle="1" w:styleId="IoDBullet1Char">
    <w:name w:val="IoD Bullet 1 Char"/>
    <w:basedOn w:val="IoDBodyTextChar"/>
    <w:link w:val="IoDBullet1"/>
    <w:rsid w:val="000376A8"/>
    <w:rPr>
      <w:rFonts w:ascii="Arial" w:eastAsia="Times New Roman" w:hAnsi="Arial" w:cstheme="minorHAnsi"/>
      <w:sz w:val="20"/>
      <w:szCs w:val="20"/>
    </w:rPr>
  </w:style>
  <w:style w:type="character" w:customStyle="1" w:styleId="FooterChar">
    <w:name w:val="Footer Char"/>
    <w:basedOn w:val="DefaultParagraphFont"/>
    <w:link w:val="Footer"/>
    <w:uiPriority w:val="99"/>
    <w:rsid w:val="00EA386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97D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D7F"/>
    <w:rPr>
      <w:rFonts w:ascii="Segoe UI" w:eastAsia="Times New Roman" w:hAnsi="Segoe UI" w:cs="Segoe UI"/>
      <w:sz w:val="18"/>
      <w:szCs w:val="18"/>
    </w:rPr>
  </w:style>
  <w:style w:type="character" w:styleId="FootnoteReference">
    <w:name w:val="footnote reference"/>
    <w:uiPriority w:val="99"/>
    <w:semiHidden/>
    <w:rsid w:val="00504F07"/>
    <w:rPr>
      <w:vertAlign w:val="superscript"/>
    </w:rPr>
  </w:style>
  <w:style w:type="paragraph" w:styleId="FootnoteText">
    <w:name w:val="footnote text"/>
    <w:basedOn w:val="Normal"/>
    <w:link w:val="FootnoteTextChar"/>
    <w:uiPriority w:val="99"/>
    <w:semiHidden/>
    <w:unhideWhenUsed/>
    <w:rsid w:val="00D94F6F"/>
    <w:rPr>
      <w:sz w:val="20"/>
      <w:szCs w:val="20"/>
    </w:rPr>
  </w:style>
  <w:style w:type="character" w:customStyle="1" w:styleId="FootnoteTextChar">
    <w:name w:val="Footnote Text Char"/>
    <w:basedOn w:val="DefaultParagraphFont"/>
    <w:link w:val="FootnoteText"/>
    <w:uiPriority w:val="99"/>
    <w:semiHidden/>
    <w:rsid w:val="00D94F6F"/>
    <w:rPr>
      <w:rFonts w:ascii="Times New Roman" w:eastAsia="Times New Roman" w:hAnsi="Times New Roman" w:cs="Times New Roman"/>
      <w:sz w:val="20"/>
      <w:szCs w:val="20"/>
    </w:rPr>
  </w:style>
  <w:style w:type="paragraph" w:styleId="NormalWeb">
    <w:name w:val="Normal (Web)"/>
    <w:basedOn w:val="Normal"/>
    <w:uiPriority w:val="99"/>
    <w:semiHidden/>
    <w:unhideWhenUsed/>
    <w:rsid w:val="006C093E"/>
    <w:pPr>
      <w:spacing w:before="100" w:beforeAutospacing="1" w:after="100" w:afterAutospacing="1"/>
    </w:pPr>
    <w:rPr>
      <w:lang w:eastAsia="en-GB"/>
    </w:rPr>
  </w:style>
  <w:style w:type="paragraph" w:customStyle="1" w:styleId="IoDBullet2">
    <w:name w:val="IoD Bullet 2"/>
    <w:basedOn w:val="IoDBullet1"/>
    <w:link w:val="IoDBullet2Char"/>
    <w:qFormat/>
    <w:rsid w:val="008E5F03"/>
    <w:pPr>
      <w:numPr>
        <w:numId w:val="7"/>
      </w:numPr>
    </w:pPr>
  </w:style>
  <w:style w:type="paragraph" w:customStyle="1" w:styleId="IoDBullet1-indented">
    <w:name w:val="IoD Bullet 1 - indented"/>
    <w:basedOn w:val="IoDBullet1"/>
    <w:link w:val="IoDBullet1-indentedChar"/>
    <w:qFormat/>
    <w:rsid w:val="000D7043"/>
    <w:pPr>
      <w:numPr>
        <w:numId w:val="3"/>
      </w:numPr>
    </w:pPr>
  </w:style>
  <w:style w:type="character" w:customStyle="1" w:styleId="IoDBullet2Char">
    <w:name w:val="IoD Bullet 2 Char"/>
    <w:basedOn w:val="IoDBullet1Char"/>
    <w:link w:val="IoDBullet2"/>
    <w:rsid w:val="008E5F03"/>
    <w:rPr>
      <w:rFonts w:ascii="Arial" w:eastAsia="Times New Roman" w:hAnsi="Arial" w:cstheme="minorHAnsi"/>
      <w:sz w:val="20"/>
      <w:szCs w:val="20"/>
    </w:rPr>
  </w:style>
  <w:style w:type="paragraph" w:customStyle="1" w:styleId="IoDBullet2-indented">
    <w:name w:val="IoD Bullet 2 - indented"/>
    <w:basedOn w:val="IoDBullet2"/>
    <w:link w:val="IoDBullet2-indentedChar"/>
    <w:qFormat/>
    <w:rsid w:val="000D7043"/>
    <w:pPr>
      <w:numPr>
        <w:numId w:val="4"/>
      </w:numPr>
    </w:pPr>
  </w:style>
  <w:style w:type="character" w:customStyle="1" w:styleId="IoDBullet1-indentedChar">
    <w:name w:val="IoD Bullet 1 - indented Char"/>
    <w:basedOn w:val="IoDBullet1Char"/>
    <w:link w:val="IoDBullet1-indented"/>
    <w:rsid w:val="000D7043"/>
    <w:rPr>
      <w:rFonts w:ascii="Arial" w:eastAsia="Times New Roman" w:hAnsi="Arial" w:cstheme="minorHAnsi"/>
      <w:sz w:val="20"/>
      <w:szCs w:val="20"/>
    </w:rPr>
  </w:style>
  <w:style w:type="paragraph" w:customStyle="1" w:styleId="IoDBullet3">
    <w:name w:val="IoD Bullet 3"/>
    <w:basedOn w:val="IoDBullet1"/>
    <w:link w:val="IoDBullet3Char"/>
    <w:qFormat/>
    <w:rsid w:val="008E5F03"/>
    <w:pPr>
      <w:numPr>
        <w:numId w:val="6"/>
      </w:numPr>
    </w:pPr>
  </w:style>
  <w:style w:type="character" w:customStyle="1" w:styleId="IoDBullet2-indentedChar">
    <w:name w:val="IoD Bullet 2 - indented Char"/>
    <w:basedOn w:val="IoDBullet2Char"/>
    <w:link w:val="IoDBullet2-indented"/>
    <w:rsid w:val="000D7043"/>
    <w:rPr>
      <w:rFonts w:ascii="Arial" w:eastAsia="Times New Roman" w:hAnsi="Arial" w:cstheme="minorHAnsi"/>
      <w:sz w:val="20"/>
      <w:szCs w:val="20"/>
    </w:rPr>
  </w:style>
  <w:style w:type="paragraph" w:customStyle="1" w:styleId="IoDBullet3-indented">
    <w:name w:val="IoD Bullet 3 - indented"/>
    <w:basedOn w:val="IoDBullet3"/>
    <w:link w:val="IoDBullet3-indentedChar"/>
    <w:rsid w:val="008E5F03"/>
  </w:style>
  <w:style w:type="character" w:customStyle="1" w:styleId="IoDBullet3Char">
    <w:name w:val="IoD Bullet 3 Char"/>
    <w:basedOn w:val="IoDBullet1Char"/>
    <w:link w:val="IoDBullet3"/>
    <w:rsid w:val="008E5F03"/>
    <w:rPr>
      <w:rFonts w:ascii="Arial" w:eastAsia="Times New Roman" w:hAnsi="Arial" w:cstheme="minorHAnsi"/>
      <w:sz w:val="20"/>
      <w:szCs w:val="20"/>
    </w:rPr>
  </w:style>
  <w:style w:type="paragraph" w:customStyle="1" w:styleId="IoDBullet3-indent">
    <w:name w:val="IoD Bullet 3 - indent"/>
    <w:basedOn w:val="ListParagraph"/>
    <w:link w:val="IoDBullet3-indentChar"/>
    <w:qFormat/>
    <w:rsid w:val="00153723"/>
    <w:pPr>
      <w:numPr>
        <w:numId w:val="8"/>
      </w:numPr>
      <w:spacing w:after="130" w:line="260" w:lineRule="exact"/>
      <w:ind w:left="568" w:hanging="284"/>
      <w:contextualSpacing w:val="0"/>
    </w:pPr>
    <w:rPr>
      <w:rFonts w:ascii="Calibri Light" w:hAnsi="Calibri Light" w:cstheme="minorHAnsi"/>
      <w:sz w:val="20"/>
      <w:szCs w:val="20"/>
    </w:rPr>
  </w:style>
  <w:style w:type="character" w:customStyle="1" w:styleId="IoDBullet3-indentedChar">
    <w:name w:val="IoD Bullet 3 - indented Char"/>
    <w:basedOn w:val="IoDBullet3Char"/>
    <w:link w:val="IoDBullet3-indented"/>
    <w:rsid w:val="008E5F03"/>
    <w:rPr>
      <w:rFonts w:ascii="Arial" w:eastAsia="Times New Roman" w:hAnsi="Arial" w:cstheme="minorHAnsi"/>
      <w:sz w:val="20"/>
      <w:szCs w:val="20"/>
    </w:rPr>
  </w:style>
  <w:style w:type="character" w:customStyle="1" w:styleId="IoDBullet3-indentChar">
    <w:name w:val="IoD Bullet 3 - indent Char"/>
    <w:basedOn w:val="ListParagraphChar"/>
    <w:link w:val="IoDBullet3-indent"/>
    <w:rsid w:val="00153723"/>
    <w:rPr>
      <w:rFonts w:ascii="Calibri Light" w:eastAsia="Times New Roman" w:hAnsi="Calibri Light" w:cstheme="minorHAnsi"/>
      <w:sz w:val="20"/>
      <w:szCs w:val="20"/>
    </w:rPr>
  </w:style>
  <w:style w:type="paragraph" w:customStyle="1" w:styleId="Subheads">
    <w:name w:val="Subheads"/>
    <w:basedOn w:val="IoDBodyText"/>
    <w:link w:val="SubheadsChar"/>
    <w:rsid w:val="00A53126"/>
    <w:rPr>
      <w:b/>
      <w:color w:val="357D7F"/>
      <w:sz w:val="24"/>
    </w:rPr>
  </w:style>
  <w:style w:type="paragraph" w:customStyle="1" w:styleId="IoDSubheads">
    <w:name w:val="IoD Subheads"/>
    <w:basedOn w:val="Subheads"/>
    <w:link w:val="IoDSubheadsChar"/>
    <w:qFormat/>
    <w:rsid w:val="00153723"/>
    <w:pPr>
      <w:spacing w:before="520"/>
    </w:pPr>
    <w:rPr>
      <w:color w:val="FF3282"/>
    </w:rPr>
  </w:style>
  <w:style w:type="character" w:customStyle="1" w:styleId="SubheadsChar">
    <w:name w:val="Subheads Char"/>
    <w:basedOn w:val="IoDNumberedBulletChar"/>
    <w:link w:val="Subheads"/>
    <w:rsid w:val="00A53126"/>
    <w:rPr>
      <w:rFonts w:ascii="Times New Roman" w:eastAsia="Times New Roman" w:hAnsi="Times New Roman" w:cstheme="minorHAnsi"/>
      <w:b/>
      <w:color w:val="357D7F"/>
      <w:sz w:val="24"/>
      <w:szCs w:val="20"/>
    </w:rPr>
  </w:style>
  <w:style w:type="character" w:customStyle="1" w:styleId="IoDSubheadsChar">
    <w:name w:val="IoD Subheads Char"/>
    <w:basedOn w:val="SubheadsChar"/>
    <w:link w:val="IoDSubheads"/>
    <w:rsid w:val="00153723"/>
    <w:rPr>
      <w:rFonts w:ascii="Calibri Light" w:eastAsia="Times New Roman" w:hAnsi="Calibri Light" w:cstheme="minorHAnsi"/>
      <w:b/>
      <w:color w:val="FF3282"/>
      <w:sz w:val="24"/>
      <w:szCs w:val="20"/>
    </w:rPr>
  </w:style>
  <w:style w:type="paragraph" w:styleId="NoSpacing">
    <w:name w:val="No Spacing"/>
    <w:link w:val="NoSpacingChar"/>
    <w:uiPriority w:val="1"/>
    <w:qFormat/>
    <w:rsid w:val="00153723"/>
    <w:pPr>
      <w:spacing w:after="0" w:line="240" w:lineRule="auto"/>
    </w:pPr>
    <w:rPr>
      <w:rFonts w:ascii="Calibri Light" w:eastAsia="Times New Roman" w:hAnsi="Calibri Light" w:cs="Times New Roman"/>
      <w:sz w:val="23"/>
      <w:szCs w:val="20"/>
      <w:lang w:eastAsia="en-GB"/>
    </w:rPr>
  </w:style>
  <w:style w:type="character" w:customStyle="1" w:styleId="NoSpacingChar">
    <w:name w:val="No Spacing Char"/>
    <w:link w:val="NoSpacing"/>
    <w:uiPriority w:val="1"/>
    <w:rsid w:val="00153723"/>
    <w:rPr>
      <w:rFonts w:ascii="Calibri Light" w:eastAsia="Times New Roman" w:hAnsi="Calibri Light" w:cs="Times New Roman"/>
      <w:sz w:val="23"/>
      <w:szCs w:val="20"/>
      <w:lang w:eastAsia="en-GB"/>
    </w:rPr>
  </w:style>
  <w:style w:type="paragraph" w:customStyle="1" w:styleId="IoDBodyText-bold">
    <w:name w:val="IoD Body Text - bold"/>
    <w:basedOn w:val="IoDBodyText"/>
    <w:link w:val="IoDBodyText-boldChar"/>
    <w:qFormat/>
    <w:rsid w:val="00153723"/>
    <w:rPr>
      <w:b/>
    </w:rPr>
  </w:style>
  <w:style w:type="paragraph" w:customStyle="1" w:styleId="Appendixheading">
    <w:name w:val="Appendix heading"/>
    <w:basedOn w:val="IoDMainHeading"/>
    <w:link w:val="AppendixheadingChar"/>
    <w:qFormat/>
    <w:rsid w:val="00153723"/>
    <w:pPr>
      <w:spacing w:after="360" w:line="440" w:lineRule="exact"/>
    </w:pPr>
    <w:rPr>
      <w:sz w:val="36"/>
      <w:szCs w:val="36"/>
    </w:rPr>
  </w:style>
  <w:style w:type="character" w:customStyle="1" w:styleId="IoDBodyText-boldChar">
    <w:name w:val="IoD Body Text - bold Char"/>
    <w:basedOn w:val="IoDBodyTextChar"/>
    <w:link w:val="IoDBodyText-bold"/>
    <w:rsid w:val="00153723"/>
    <w:rPr>
      <w:rFonts w:ascii="Calibri Light" w:eastAsia="Times New Roman" w:hAnsi="Calibri Light" w:cstheme="minorHAnsi"/>
      <w:b/>
      <w:sz w:val="20"/>
      <w:szCs w:val="20"/>
    </w:rPr>
  </w:style>
  <w:style w:type="paragraph" w:customStyle="1" w:styleId="IoDAppendix-subheadings">
    <w:name w:val="IoD Appendix - subheadings"/>
    <w:basedOn w:val="IoDSubheads"/>
    <w:link w:val="IoDAppendix-subheadingsChar"/>
    <w:qFormat/>
    <w:rsid w:val="006C1987"/>
    <w:rPr>
      <w:caps/>
    </w:rPr>
  </w:style>
  <w:style w:type="character" w:customStyle="1" w:styleId="AppendixheadingChar">
    <w:name w:val="Appendix heading Char"/>
    <w:basedOn w:val="IoDMainHeadingChar"/>
    <w:link w:val="Appendixheading"/>
    <w:rsid w:val="00153723"/>
    <w:rPr>
      <w:rFonts w:ascii="Calibri Light" w:eastAsia="Times New Roman" w:hAnsi="Calibri Light" w:cs="Times New Roman"/>
      <w:color w:val="828287"/>
      <w:sz w:val="36"/>
      <w:szCs w:val="36"/>
    </w:rPr>
  </w:style>
  <w:style w:type="paragraph" w:customStyle="1" w:styleId="IoDForms">
    <w:name w:val="IoD Forms"/>
    <w:basedOn w:val="IoDBodyText"/>
    <w:link w:val="IoDFormsChar"/>
    <w:autoRedefine/>
    <w:qFormat/>
    <w:rsid w:val="0079677E"/>
    <w:pPr>
      <w:pBdr>
        <w:bottom w:val="dotted" w:sz="4" w:space="2" w:color="auto"/>
        <w:between w:val="dotted" w:sz="4" w:space="1" w:color="auto"/>
      </w:pBdr>
      <w:spacing w:before="260"/>
    </w:pPr>
  </w:style>
  <w:style w:type="character" w:customStyle="1" w:styleId="IoDAppendix-subheadingsChar">
    <w:name w:val="IoD Appendix - subheadings Char"/>
    <w:basedOn w:val="IoDSubheadsChar"/>
    <w:link w:val="IoDAppendix-subheadings"/>
    <w:rsid w:val="006C1987"/>
    <w:rPr>
      <w:rFonts w:ascii="Times New Roman" w:eastAsia="Times New Roman" w:hAnsi="Times New Roman" w:cstheme="minorHAnsi"/>
      <w:b/>
      <w:caps/>
      <w:color w:val="357D7F"/>
      <w:sz w:val="24"/>
      <w:szCs w:val="20"/>
    </w:rPr>
  </w:style>
  <w:style w:type="character" w:customStyle="1" w:styleId="IoDFormsChar">
    <w:name w:val="IoD Forms Char"/>
    <w:basedOn w:val="IoDBodyTextChar"/>
    <w:link w:val="IoDForms"/>
    <w:rsid w:val="0079677E"/>
    <w:rPr>
      <w:rFonts w:ascii="Arial" w:eastAsia="Times New Roman" w:hAnsi="Arial" w:cstheme="minorHAnsi"/>
      <w:sz w:val="20"/>
      <w:szCs w:val="20"/>
    </w:rPr>
  </w:style>
  <w:style w:type="paragraph" w:customStyle="1" w:styleId="IoDBodyText-Italic">
    <w:name w:val="IoD Body Text - Italic"/>
    <w:basedOn w:val="IoDBodyText"/>
    <w:link w:val="IoDBodyText-ItalicChar"/>
    <w:qFormat/>
    <w:rsid w:val="00A87625"/>
    <w:rPr>
      <w:i/>
    </w:rPr>
  </w:style>
  <w:style w:type="character" w:customStyle="1" w:styleId="IoDBodyText-ItalicChar">
    <w:name w:val="IoD Body Text - Italic Char"/>
    <w:basedOn w:val="IoDBodyTextChar"/>
    <w:link w:val="IoDBodyText-Italic"/>
    <w:rsid w:val="00A87625"/>
    <w:rPr>
      <w:rFonts w:ascii="Arial" w:eastAsia="Times New Roman" w:hAnsi="Arial" w:cstheme="minorHAnsi"/>
      <w:i/>
      <w:sz w:val="20"/>
      <w:szCs w:val="20"/>
    </w:rPr>
  </w:style>
  <w:style w:type="table" w:customStyle="1" w:styleId="TableGrid1">
    <w:name w:val="Table Grid1"/>
    <w:basedOn w:val="TableNormal"/>
    <w:next w:val="TableGrid"/>
    <w:uiPriority w:val="39"/>
    <w:rsid w:val="003C1432"/>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C14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420DFF"/>
    <w:rPr>
      <w:color w:val="467886"/>
      <w:u w:val="single"/>
    </w:rPr>
  </w:style>
  <w:style w:type="table" w:customStyle="1" w:styleId="TableGrid2">
    <w:name w:val="Table Grid2"/>
    <w:basedOn w:val="TableNormal"/>
    <w:next w:val="TableGrid"/>
    <w:uiPriority w:val="39"/>
    <w:rsid w:val="00420DFF"/>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0DFF"/>
    <w:rPr>
      <w:color w:val="FF3282" w:themeColor="hyperlink"/>
      <w:u w:val="single"/>
    </w:rPr>
  </w:style>
  <w:style w:type="table" w:customStyle="1" w:styleId="TableGrid3">
    <w:name w:val="Table Grid3"/>
    <w:basedOn w:val="TableNormal"/>
    <w:next w:val="TableGrid"/>
    <w:uiPriority w:val="39"/>
    <w:rsid w:val="00420DFF"/>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20DFF"/>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20DFF"/>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20DFF"/>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asha.trapani\OneDrive%20-%20Institute%20of%20Directors\Desktop\Templates\IoD%20WORD%20TEMPLATE%202022.dotx" TargetMode="External" /></Relationships>
</file>

<file path=word/theme/theme1.xml><?xml version="1.0" encoding="utf-8"?>
<a:theme xmlns:a="http://schemas.openxmlformats.org/drawingml/2006/main" name="IoD Word theme">
  <a:themeElements>
    <a:clrScheme name="IoD palette">
      <a:dk1>
        <a:srgbClr val="24272A"/>
      </a:dk1>
      <a:lt1>
        <a:sysClr val="window" lastClr="FFFFFF"/>
      </a:lt1>
      <a:dk2>
        <a:srgbClr val="24272A"/>
      </a:dk2>
      <a:lt2>
        <a:srgbClr val="FFFFFF"/>
      </a:lt2>
      <a:accent1>
        <a:srgbClr val="FF3282"/>
      </a:accent1>
      <a:accent2>
        <a:srgbClr val="96001E"/>
      </a:accent2>
      <a:accent3>
        <a:srgbClr val="F0001E"/>
      </a:accent3>
      <a:accent4>
        <a:srgbClr val="FF6EB4"/>
      </a:accent4>
      <a:accent5>
        <a:srgbClr val="828287"/>
      </a:accent5>
      <a:accent6>
        <a:srgbClr val="B1B1B1"/>
      </a:accent6>
      <a:hlink>
        <a:srgbClr val="FF3282"/>
      </a:hlink>
      <a:folHlink>
        <a:srgbClr val="B1B1B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71DC4FFB1FB7429CC6DF0D91FE0134" ma:contentTypeVersion="16" ma:contentTypeDescription="Create a new document." ma:contentTypeScope="" ma:versionID="87261806bd476feb0bfce343eeb484f9">
  <xsd:schema xmlns:xsd="http://www.w3.org/2001/XMLSchema" xmlns:xs="http://www.w3.org/2001/XMLSchema" xmlns:p="http://schemas.microsoft.com/office/2006/metadata/properties" xmlns:ns2="7209139b-6007-4583-bc01-59d13c8d1f05" xmlns:ns3="dc1f9ac1-e8df-4498-b5c7-5ad355e8e339" targetNamespace="http://schemas.microsoft.com/office/2006/metadata/properties" ma:root="true" ma:fieldsID="e729d6ce6650c140d2fbe17ca221fbe9" ns2:_="" ns3:_="">
    <xsd:import namespace="7209139b-6007-4583-bc01-59d13c8d1f05"/>
    <xsd:import namespace="dc1f9ac1-e8df-4498-b5c7-5ad355e8e3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9139b-6007-4583-bc01-59d13c8d1f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597791-2093-4ed3-bc41-3fb00dcb032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c1f9ac1-e8df-4498-b5c7-5ad355e8e33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7a85f31-4c14-4138-b098-0b20ba1d5ce1}" ma:internalName="TaxCatchAll" ma:showField="CatchAllData" ma:web="dc1f9ac1-e8df-4498-b5c7-5ad355e8e3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c1f9ac1-e8df-4498-b5c7-5ad355e8e339">
      <UserInfo>
        <DisplayName/>
        <AccountId xsi:nil="true"/>
        <AccountType/>
      </UserInfo>
    </SharedWithUsers>
    <MediaLengthInSeconds xmlns="7209139b-6007-4583-bc01-59d13c8d1f05" xsi:nil="true"/>
    <TaxCatchAll xmlns="dc1f9ac1-e8df-4498-b5c7-5ad355e8e339" xsi:nil="true"/>
    <lcf76f155ced4ddcb4097134ff3c332f xmlns="7209139b-6007-4583-bc01-59d13c8d1f0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0D36D-CF41-4757-9F41-7CA245050AC6}">
  <ds:schemaRefs>
    <ds:schemaRef ds:uri="http://schemas.microsoft.com/sharepoint/v3/contenttype/forms"/>
  </ds:schemaRefs>
</ds:datastoreItem>
</file>

<file path=customXml/itemProps2.xml><?xml version="1.0" encoding="utf-8"?>
<ds:datastoreItem xmlns:ds="http://schemas.openxmlformats.org/officeDocument/2006/customXml" ds:itemID="{CFFA9C13-0986-4F68-A9A5-6034AF178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9139b-6007-4583-bc01-59d13c8d1f05"/>
    <ds:schemaRef ds:uri="dc1f9ac1-e8df-4498-b5c7-5ad355e8e3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EDDDA7-33FB-4C6F-89D3-0B50FE2957B9}">
  <ds:schemaRefs>
    <ds:schemaRef ds:uri="http://schemas.microsoft.com/office/2006/metadata/properties"/>
    <ds:schemaRef ds:uri="http://schemas.microsoft.com/office/infopath/2007/PartnerControls"/>
    <ds:schemaRef ds:uri="dc1f9ac1-e8df-4498-b5c7-5ad355e8e339"/>
    <ds:schemaRef ds:uri="7209139b-6007-4583-bc01-59d13c8d1f05"/>
  </ds:schemaRefs>
</ds:datastoreItem>
</file>

<file path=customXml/itemProps4.xml><?xml version="1.0" encoding="utf-8"?>
<ds:datastoreItem xmlns:ds="http://schemas.openxmlformats.org/officeDocument/2006/customXml" ds:itemID="{92BBF1F5-57F8-4D60-819C-F1C79DB6E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