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3CE1" w:rsidRPr="003A3EF4" w:rsidP="00A13CE1">
      <w:pPr>
        <w:shd w:val="clear" w:color="auto" w:fill="FFFFFF"/>
        <w:spacing w:after="200"/>
        <w:rPr>
          <w:rFonts w:ascii="Verdana" w:hAnsi="Verdana"/>
          <w:b/>
          <w:bCs/>
          <w:sz w:val="28"/>
          <w:szCs w:val="28"/>
        </w:rPr>
      </w:pPr>
      <w:r>
        <w:rPr>
          <w:rFonts w:ascii="Verdana" w:hAnsi="Verdana"/>
          <w:b/>
          <w:bCs/>
          <w:sz w:val="28"/>
          <w:szCs w:val="28"/>
        </w:rPr>
        <w:t>San Francisco Symphony</w:t>
      </w:r>
      <w:r w:rsidRPr="004B5B3A">
        <w:rPr>
          <w:rFonts w:ascii="Verdana" w:hAnsi="Verdana"/>
          <w:b/>
          <w:bCs/>
          <w:sz w:val="28"/>
          <w:szCs w:val="28"/>
        </w:rPr>
        <w:t xml:space="preserve"> </w:t>
      </w:r>
      <w:r w:rsidRPr="00146BEA">
        <w:rPr>
          <w:rFonts w:ascii="Verdana" w:hAnsi="Verdana"/>
          <w:b/>
          <w:bCs/>
          <w:sz w:val="28"/>
          <w:szCs w:val="28"/>
        </w:rPr>
        <w:t>– Written Evidence (RES00</w:t>
      </w:r>
      <w:r>
        <w:rPr>
          <w:rFonts w:ascii="Verdana" w:hAnsi="Verdana"/>
          <w:b/>
          <w:bCs/>
          <w:sz w:val="28"/>
          <w:szCs w:val="28"/>
        </w:rPr>
        <w:t>61</w:t>
      </w:r>
      <w:r w:rsidRPr="00146BEA">
        <w:rPr>
          <w:rFonts w:ascii="Verdana" w:hAnsi="Verdana"/>
          <w:b/>
          <w:bCs/>
          <w:sz w:val="28"/>
          <w:szCs w:val="28"/>
        </w:rPr>
        <w:t>)</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House of Lords European Affairs Committee</w:t>
      </w:r>
    </w:p>
    <w:p w:rsidR="00A13CE1" w:rsidRPr="00A13CE1" w:rsidP="00A2425C">
      <w:pPr>
        <w:ind w:right="1800"/>
        <w:rPr>
          <w:rFonts w:ascii="Verdana" w:eastAsia="Times New Roman" w:hAnsi="Verdana"/>
          <w:color w:val="211D1E"/>
        </w:rPr>
      </w:pPr>
    </w:p>
    <w:p w:rsidR="00A13CE1" w:rsidRPr="00A13CE1" w:rsidP="00A13CE1">
      <w:pPr>
        <w:tabs>
          <w:tab w:val="right" w:pos="7560"/>
        </w:tabs>
        <w:ind w:right="1800"/>
        <w:rPr>
          <w:rFonts w:ascii="Verdana" w:eastAsia="Times New Roman" w:hAnsi="Verdana"/>
          <w:color w:val="211D1E"/>
        </w:rPr>
      </w:pPr>
      <w:r w:rsidRPr="00A13CE1">
        <w:rPr>
          <w:rFonts w:ascii="Verdana" w:eastAsia="Times New Roman" w:hAnsi="Verdana"/>
          <w:color w:val="211D1E"/>
        </w:rPr>
        <w:t>Re: UK – EU relations reset</w:t>
      </w:r>
      <w:r>
        <w:rPr>
          <w:rFonts w:ascii="Verdana" w:eastAsia="Times New Roman" w:hAnsi="Verdana"/>
          <w:color w:val="211D1E"/>
        </w:rPr>
        <w:tab/>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TO WHOM IT MAY CONCERN:</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The San Francisco Symphony strongly supports a reset of UK – EU relations</w:t>
      </w:r>
      <w:r w:rsidRPr="00A13CE1">
        <w:rPr>
          <w:rFonts w:ascii="Verdana" w:eastAsia="Times New Roman" w:hAnsi="Verdana"/>
          <w:color w:val="211D1E"/>
        </w:rPr>
        <w:t>,</w:t>
      </w:r>
      <w:r w:rsidRPr="00A13CE1">
        <w:rPr>
          <w:rFonts w:ascii="Verdana" w:eastAsia="Times New Roman" w:hAnsi="Verdana"/>
          <w:color w:val="211D1E"/>
        </w:rPr>
        <w:t xml:space="preserve"> specifically</w:t>
      </w:r>
      <w:r w:rsidRPr="00A13CE1">
        <w:rPr>
          <w:rFonts w:ascii="Verdana" w:eastAsia="Times New Roman" w:hAnsi="Verdana"/>
          <w:color w:val="211D1E"/>
        </w:rPr>
        <w:t xml:space="preserve"> </w:t>
      </w:r>
      <w:r w:rsidRPr="00A13CE1">
        <w:rPr>
          <w:rFonts w:ascii="Verdana" w:eastAsia="Times New Roman" w:hAnsi="Verdana"/>
          <w:color w:val="211D1E"/>
        </w:rPr>
        <w:t>the issues around touring artists being acknowledged as one of the primary issues to be addressed. We ask that the committee, when considering the impact that the Trade and Cooperation Agreement (TCA) has on touring artists, to also consider the logistical and specialist haulage element which underpins the ability of artists to tour. Transportation of specialist equipment in the EU by UK companies has been negatively affected by EU cabotage rules that limit the number of stops that can be made in EU. This i</w:t>
      </w:r>
      <w:r w:rsidRPr="00A13CE1">
        <w:rPr>
          <w:rFonts w:ascii="Verdana" w:eastAsia="Times New Roman" w:hAnsi="Verdana"/>
          <w:color w:val="211D1E"/>
        </w:rPr>
        <w:t>s contrary to the reciprocal arrangements for EU carriers operating in the UK.</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 xml:space="preserve">Under the TCA, UK road </w:t>
      </w:r>
      <w:r w:rsidRPr="00A13CE1">
        <w:rPr>
          <w:rFonts w:ascii="Verdana" w:eastAsia="Times New Roman" w:hAnsi="Verdana"/>
          <w:color w:val="211D1E"/>
        </w:rPr>
        <w:t>haulers</w:t>
      </w:r>
      <w:r w:rsidRPr="00A13CE1">
        <w:rPr>
          <w:rFonts w:ascii="Verdana" w:eastAsia="Times New Roman" w:hAnsi="Verdana"/>
          <w:color w:val="211D1E"/>
        </w:rPr>
        <w:t xml:space="preserve"> are entitled to undertake up to two additional cabotage movements when operating in Europe. Only one of the jobs can be cabotage. </w:t>
      </w:r>
    </w:p>
    <w:p w:rsidR="00A13CE1" w:rsidRPr="00A13CE1" w:rsidP="00E472FD">
      <w:pPr>
        <w:ind w:right="1800" w:firstLine="720"/>
        <w:rPr>
          <w:rFonts w:ascii="Verdana" w:eastAsia="Times New Roman" w:hAnsi="Verdana"/>
          <w:color w:val="211D1E"/>
        </w:rPr>
      </w:pPr>
      <w:r w:rsidRPr="00A13CE1">
        <w:rPr>
          <w:rFonts w:ascii="Verdana" w:eastAsia="Times New Roman" w:hAnsi="Verdana"/>
          <w:color w:val="211D1E"/>
        </w:rPr>
        <w:t xml:space="preserve">You must complete the cabotage job: </w:t>
      </w:r>
    </w:p>
    <w:p w:rsidR="00A13CE1" w:rsidRPr="00A13CE1" w:rsidP="00F34BAB">
      <w:pPr>
        <w:ind w:right="1800" w:firstLine="720"/>
        <w:rPr>
          <w:rFonts w:ascii="Verdana" w:eastAsia="Times New Roman" w:hAnsi="Verdana"/>
          <w:color w:val="211D1E"/>
        </w:rPr>
      </w:pPr>
      <w:r w:rsidRPr="00A13CE1">
        <w:rPr>
          <w:rFonts w:ascii="Symbol" w:eastAsia="Times New Roman" w:hAnsi="Symbol"/>
          <w:color w:val="211D1E"/>
        </w:rPr>
        <w:sym w:font="Symbol" w:char="F0B7"/>
      </w:r>
      <w:r w:rsidRPr="00A13CE1">
        <w:rPr>
          <w:rFonts w:ascii="Verdana" w:eastAsia="Times New Roman" w:hAnsi="Verdana"/>
          <w:color w:val="211D1E"/>
        </w:rPr>
        <w:t xml:space="preserve"> within 7 days of dropping off the goods you brought from the UK </w:t>
      </w:r>
    </w:p>
    <w:p w:rsidR="00A13CE1" w:rsidRPr="00A13CE1" w:rsidP="00F34BAB">
      <w:pPr>
        <w:ind w:left="720" w:right="1800"/>
        <w:rPr>
          <w:rFonts w:ascii="Verdana" w:eastAsia="Times New Roman" w:hAnsi="Verdana"/>
          <w:color w:val="211D1E"/>
        </w:rPr>
      </w:pPr>
      <w:r w:rsidRPr="00A13CE1">
        <w:rPr>
          <w:rFonts w:ascii="Symbol" w:eastAsia="Times New Roman" w:hAnsi="Symbol"/>
          <w:color w:val="211D1E"/>
        </w:rPr>
        <w:sym w:font="Symbol" w:char="F0B7"/>
      </w:r>
      <w:r w:rsidRPr="00A13CE1">
        <w:rPr>
          <w:rFonts w:ascii="Verdana" w:eastAsia="Times New Roman" w:hAnsi="Verdana"/>
          <w:color w:val="211D1E"/>
        </w:rPr>
        <w:t xml:space="preserve"> in the same EU country where you dropped off the goods from the UK</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 xml:space="preserve">Clearly, such rules inhibit a touring project for an orchestra such as the San Francisco Symphony as there will be multiple stops in several countries to load and unload equipment. While we understand there are exceptions in place for so-called ‘splitter vans’ </w:t>
      </w:r>
      <w:r w:rsidRPr="00A13CE1">
        <w:rPr>
          <w:rFonts w:ascii="Verdana" w:eastAsia="Times New Roman" w:hAnsi="Verdana"/>
          <w:color w:val="211D1E"/>
        </w:rPr>
        <w:t>(</w:t>
      </w:r>
      <w:r w:rsidRPr="00A13CE1">
        <w:rPr>
          <w:rFonts w:ascii="Verdana" w:eastAsia="Times New Roman" w:hAnsi="Verdana"/>
          <w:color w:val="211D1E"/>
        </w:rPr>
        <w:t>i.e. vans transporting both good and people</w:t>
      </w:r>
      <w:r w:rsidRPr="00A13CE1">
        <w:rPr>
          <w:rFonts w:ascii="Verdana" w:eastAsia="Times New Roman" w:hAnsi="Verdana"/>
          <w:color w:val="211D1E"/>
        </w:rPr>
        <w:t>),</w:t>
      </w:r>
      <w:r w:rsidRPr="00A13CE1">
        <w:rPr>
          <w:rFonts w:ascii="Verdana" w:eastAsia="Times New Roman" w:hAnsi="Verdana"/>
          <w:color w:val="211D1E"/>
        </w:rPr>
        <w:t xml:space="preserve"> such rules would not cover haulage trucks dedicated to moving goods during a tour.</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The San Francisco Symphony has worked with the British hauling company Pulleyn Transport Ltd (Reading, Berkshire) for decades, trusting them with historic and valuable musical instruments and relying on their demonstrated logistics skills and personnel to successfully tour the UK and EU; we are unable to do so with the current cabotage rules.</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 xml:space="preserve">We recognize your government has identified the impact of cabotage rules on UK haulage industry by consulting on the </w:t>
      </w:r>
      <w:r w:rsidRPr="00A13CE1">
        <w:rPr>
          <w:rFonts w:ascii="Verdana" w:eastAsia="Times New Roman" w:hAnsi="Verdana"/>
          <w:color w:val="211D1E"/>
        </w:rPr>
        <w:t xml:space="preserve">issue. As result of the consultation, the government in July 2022 introduced a dual registration measure for specialist events haulers. These new rules have allowed companies with operating bases in both Great Britain and another international location to switch vehicles between the respective operator licenses and make use of the </w:t>
      </w:r>
      <w:r w:rsidRPr="00A13CE1">
        <w:rPr>
          <w:rFonts w:ascii="Verdana" w:eastAsia="Times New Roman" w:hAnsi="Verdana"/>
          <w:color w:val="211D1E"/>
        </w:rPr>
        <w:t>internal movements permitted within each territory. However, UK operators need to establish themselves as a road transport operator in the EU and obtain an EU Community License to</w:t>
      </w:r>
      <w:r w:rsidRPr="00A13CE1">
        <w:rPr>
          <w:rFonts w:ascii="Verdana" w:eastAsia="Times New Roman" w:hAnsi="Verdana"/>
          <w:color w:val="211D1E"/>
        </w:rPr>
        <w:t xml:space="preserve"> benefit from the new rules. To do that, an operator must comply with several obligations which we understand to be expensive and overly burdensome.</w:t>
      </w:r>
    </w:p>
    <w:p w:rsidR="00A13CE1" w:rsidRPr="00A13CE1" w:rsidP="00A2425C">
      <w:pPr>
        <w:ind w:right="1800"/>
        <w:rPr>
          <w:rFonts w:ascii="Verdana" w:eastAsia="Times New Roman" w:hAnsi="Verdana"/>
          <w:color w:val="211D1E"/>
        </w:rPr>
      </w:pPr>
    </w:p>
    <w:p w:rsidR="00A13CE1" w:rsidRPr="00A13CE1" w:rsidP="00A81EF1">
      <w:pPr>
        <w:ind w:right="1800"/>
        <w:rPr>
          <w:rFonts w:ascii="Verdana" w:hAnsi="Verdana"/>
        </w:rPr>
      </w:pPr>
      <w:r w:rsidRPr="00A13CE1">
        <w:rPr>
          <w:rFonts w:ascii="Verdana" w:eastAsia="Times New Roman" w:hAnsi="Verdana"/>
          <w:color w:val="211D1E"/>
        </w:rPr>
        <w:t>We understand these issues were discussed in detail during the Brexit negotiations but that an agreement could not be reached with the EU to allow a more flexible approach to cabotage rules for cultural and touring events. We hope that the UK – EU reset discussions will provide the opportunity to revisit these issues. We ask that the Committee investigate the issue of cabotage within the TCA considering the developments since the TCA was negotiated.</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Respectfully,</w:t>
      </w: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p>
    <w:p w:rsidR="00A13CE1" w:rsidRPr="00A13CE1" w:rsidP="00A2425C">
      <w:pPr>
        <w:ind w:right="1800"/>
        <w:rPr>
          <w:rFonts w:ascii="Verdana" w:eastAsia="Times New Roman" w:hAnsi="Verdana"/>
          <w:color w:val="211D1E"/>
        </w:rPr>
      </w:pPr>
      <w:r>
        <w:rPr>
          <w:rFonts w:ascii="Verdana" w:eastAsia="Times New Roman" w:hAnsi="Verdana"/>
          <w:color w:val="211D1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73pt;width:127pt">
            <v:imagedata r:id="rId7" o:title="Dubowski 001"/>
          </v:shape>
        </w:pict>
      </w:r>
    </w:p>
    <w:p w:rsidR="00A13CE1" w:rsidRPr="00A13CE1" w:rsidP="00A2425C">
      <w:pPr>
        <w:ind w:right="1800"/>
        <w:rPr>
          <w:rFonts w:ascii="Verdana" w:eastAsia="Times New Roman" w:hAnsi="Verdana"/>
          <w:color w:val="211D1E"/>
        </w:rPr>
      </w:pPr>
      <w:r w:rsidRPr="00A13CE1">
        <w:rPr>
          <w:rFonts w:ascii="Verdana" w:eastAsia="Times New Roman" w:hAnsi="Verdana"/>
          <w:color w:val="211D1E"/>
        </w:rPr>
        <w:t>___________________________________</w:t>
      </w:r>
    </w:p>
    <w:p w:rsidR="00A13CE1" w:rsidRPr="00A13CE1" w:rsidP="00A2425C">
      <w:pPr>
        <w:ind w:right="1800"/>
        <w:rPr>
          <w:rFonts w:ascii="Verdana" w:hAnsi="Verdana"/>
        </w:rPr>
      </w:pPr>
      <w:r w:rsidRPr="00A13CE1">
        <w:rPr>
          <w:rFonts w:ascii="Verdana" w:hAnsi="Verdana"/>
        </w:rPr>
        <w:t>Andrew Dubowski</w:t>
      </w:r>
    </w:p>
    <w:p w:rsidR="00A13CE1" w:rsidRPr="00A13CE1" w:rsidP="00A2425C">
      <w:pPr>
        <w:ind w:right="1800"/>
        <w:rPr>
          <w:rFonts w:ascii="Verdana" w:hAnsi="Verdana"/>
        </w:rPr>
      </w:pPr>
      <w:r w:rsidRPr="00A13CE1">
        <w:rPr>
          <w:rFonts w:ascii="Verdana" w:hAnsi="Verdana"/>
        </w:rPr>
        <w:t>Senior Director of Operations</w:t>
      </w:r>
    </w:p>
    <w:p w:rsidR="00A13CE1" w:rsidRPr="00A13CE1" w:rsidP="00A2425C">
      <w:pPr>
        <w:ind w:right="1800"/>
        <w:rPr>
          <w:rFonts w:ascii="Verdana" w:hAnsi="Verdana"/>
        </w:rPr>
      </w:pPr>
    </w:p>
    <w:p w:rsidR="00A13CE1" w:rsidRPr="00A13CE1" w:rsidP="00A2425C">
      <w:pPr>
        <w:ind w:right="1800"/>
        <w:rPr>
          <w:rFonts w:ascii="Verdana" w:hAnsi="Verdana"/>
        </w:rPr>
      </w:pPr>
    </w:p>
    <w:p w:rsidR="00A13CE1" w:rsidRPr="00A13CE1" w:rsidP="00A2425C">
      <w:pPr>
        <w:ind w:right="1800"/>
        <w:rPr>
          <w:rFonts w:ascii="Verdana" w:hAnsi="Verdana"/>
        </w:rPr>
      </w:pPr>
      <w:r w:rsidRPr="00A13CE1">
        <w:rPr>
          <w:rFonts w:ascii="Verdana" w:hAnsi="Verdana"/>
        </w:rPr>
        <w:t xml:space="preserve">cc </w:t>
      </w:r>
      <w:r w:rsidRPr="00A13CE1">
        <w:rPr>
          <w:rFonts w:ascii="Verdana" w:hAnsi="Verdana"/>
        </w:rPr>
        <w:tab/>
        <w:t>Pulleyn Transport Ltd</w:t>
      </w:r>
    </w:p>
    <w:p w:rsidR="00A13CE1" w:rsidRPr="00A13CE1" w:rsidP="00A2425C">
      <w:pPr>
        <w:ind w:right="1800"/>
        <w:rPr>
          <w:rFonts w:ascii="Verdana" w:hAnsi="Verdana"/>
        </w:rPr>
      </w:pPr>
      <w:r w:rsidRPr="00A13CE1">
        <w:rPr>
          <w:rFonts w:ascii="Verdana" w:hAnsi="Verdana"/>
        </w:rPr>
        <w:tab/>
        <w:t xml:space="preserve">Tim Carless, </w:t>
      </w:r>
      <w:r w:rsidRPr="00A13CE1">
        <w:rPr>
          <w:rFonts w:ascii="Verdana" w:hAnsi="Verdana"/>
        </w:rPr>
        <w:t>Production Manager (SFS)</w:t>
      </w:r>
    </w:p>
    <w:p w:rsidR="00A13CE1" w:rsidP="00A2425C">
      <w:pPr>
        <w:ind w:right="1800"/>
        <w:rPr>
          <w:rFonts w:ascii="Verdana" w:hAnsi="Verdana"/>
        </w:rPr>
      </w:pPr>
    </w:p>
    <w:p w:rsidR="00A13CE1" w:rsidRPr="00A13CE1" w:rsidP="00A2425C">
      <w:pPr>
        <w:ind w:right="1800"/>
        <w:rPr>
          <w:rFonts w:ascii="Verdana" w:hAnsi="Verdana"/>
          <w:b/>
          <w:bCs/>
        </w:rPr>
      </w:pPr>
      <w:r w:rsidRPr="00A13CE1">
        <w:rPr>
          <w:rFonts w:ascii="Verdana" w:hAnsi="Verdana"/>
          <w:b/>
          <w:bCs/>
        </w:rPr>
        <w:t>Received 1 April 2025</w:t>
      </w:r>
    </w:p>
    <w:sectPr w:rsidSect="002337F1">
      <w:footerReference w:type="default" r:id="rId8"/>
      <w:pgSz w:w="12240" w:h="15840"/>
      <w:pgMar w:top="1440" w:right="1440" w:bottom="1440" w:left="1440" w:header="2448"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BC Symphony Text">
    <w:altName w:val="Calibri"/>
    <w:charset w:val="00"/>
    <w:family w:val="auto"/>
    <w:pitch w:val="variable"/>
    <w:sig w:usb0="800000EF" w:usb1="5000205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CE1" w:rsidRPr="002337F1" w:rsidP="002337F1">
    <w:pPr>
      <w:pStyle w:val="Footer"/>
      <w:jc w:val="center"/>
      <w:rPr>
        <w:rFonts w:ascii="ABC Symphony Text" w:hAnsi="ABC Symphony Text"/>
        <w:sz w:val="19"/>
        <w:szCs w:val="19"/>
      </w:rPr>
    </w:pPr>
    <w:r w:rsidRPr="00F95AEB">
      <w:rPr>
        <w:rFonts w:ascii="ABC Symphony Text" w:hAnsi="ABC Symphony Text"/>
        <w:sz w:val="19"/>
        <w:szCs w:val="19"/>
      </w:rPr>
      <w:t>Davies Symphony Hall · San Francisco, CA 94102 · 415.552.8000 · 415.431.6857 fax · sfsymphony.org</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7F1"/>
    <w:pPr>
      <w:tabs>
        <w:tab w:val="center" w:pos="4680"/>
        <w:tab w:val="right" w:pos="9360"/>
      </w:tabs>
    </w:pPr>
  </w:style>
  <w:style w:type="character" w:customStyle="1" w:styleId="HeaderChar">
    <w:name w:val="Header Char"/>
    <w:basedOn w:val="DefaultParagraphFont"/>
    <w:link w:val="Header"/>
    <w:uiPriority w:val="99"/>
    <w:rsid w:val="002337F1"/>
  </w:style>
  <w:style w:type="paragraph" w:styleId="Footer">
    <w:name w:val="footer"/>
    <w:basedOn w:val="Normal"/>
    <w:link w:val="FooterChar"/>
    <w:uiPriority w:val="99"/>
    <w:unhideWhenUsed/>
    <w:rsid w:val="002337F1"/>
    <w:pPr>
      <w:tabs>
        <w:tab w:val="center" w:pos="4680"/>
        <w:tab w:val="right" w:pos="9360"/>
      </w:tabs>
    </w:pPr>
  </w:style>
  <w:style w:type="character" w:customStyle="1" w:styleId="FooterChar">
    <w:name w:val="Footer Char"/>
    <w:basedOn w:val="DefaultParagraphFont"/>
    <w:link w:val="Footer"/>
    <w:uiPriority w:val="99"/>
    <w:rsid w:val="002337F1"/>
  </w:style>
  <w:style w:type="paragraph" w:styleId="NormalWeb">
    <w:name w:val="Normal (Web)"/>
    <w:basedOn w:val="Normal"/>
    <w:uiPriority w:val="99"/>
    <w:unhideWhenUsed/>
    <w:rsid w:val="002337F1"/>
    <w:pPr>
      <w:spacing w:before="100" w:beforeAutospacing="1" w:after="100" w:afterAutospacing="1"/>
    </w:pPr>
    <w:rPr>
      <w:rFonts w:ascii="Times New Roman" w:eastAsia="Times New Roman" w:hAnsi="Times New Roman"/>
    </w:rPr>
  </w:style>
  <w:style w:type="paragraph" w:customStyle="1" w:styleId="SFSbodycopy">
    <w:name w:val="SFS_body_copy"/>
    <w:basedOn w:val="Normal"/>
    <w:rsid w:val="00805034"/>
    <w:pPr>
      <w:widowControl w:val="0"/>
      <w:autoSpaceDE w:val="0"/>
      <w:autoSpaceDN w:val="0"/>
      <w:adjustRightInd w:val="0"/>
      <w:spacing w:line="24" w:lineRule="atLeast"/>
    </w:pPr>
    <w:rPr>
      <w:rFonts w:ascii="Times" w:eastAsia="Times New Roman" w:hAnsi="Times"/>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2549ca-647c-4c64-8f33-ce0499823a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847C17ED340D4FA116D2B5590A45D1" ma:contentTypeVersion="18" ma:contentTypeDescription="Create a new document." ma:contentTypeScope="" ma:versionID="fdbd2ca8dbaf41822f72a3058f532936">
  <xsd:schema xmlns:xsd="http://www.w3.org/2001/XMLSchema" xmlns:xs="http://www.w3.org/2001/XMLSchema" xmlns:p="http://schemas.microsoft.com/office/2006/metadata/properties" xmlns:ns3="c82549ca-647c-4c64-8f33-ce0499823ab6" xmlns:ns4="db6617d9-c194-420c-8ea5-b2c7fd2a6402" targetNamespace="http://schemas.microsoft.com/office/2006/metadata/properties" ma:root="true" ma:fieldsID="27ecdd1254ce29810c4bceb0fb309c40" ns3:_="" ns4:_="">
    <xsd:import namespace="c82549ca-647c-4c64-8f33-ce0499823ab6"/>
    <xsd:import namespace="db6617d9-c194-420c-8ea5-b2c7fd2a640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549ca-647c-4c64-8f33-ce0499823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6617d9-c194-420c-8ea5-b2c7fd2a640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E894B-8A84-4A5F-A466-6F93F4F281E7}">
  <ds:schemaRefs>
    <ds:schemaRef ds:uri="http://schemas.microsoft.com/office/2006/metadata/properties"/>
    <ds:schemaRef ds:uri="http://schemas.microsoft.com/office/infopath/2007/PartnerControls"/>
    <ds:schemaRef ds:uri="c82549ca-647c-4c64-8f33-ce0499823ab6"/>
  </ds:schemaRefs>
</ds:datastoreItem>
</file>

<file path=customXml/itemProps2.xml><?xml version="1.0" encoding="utf-8"?>
<ds:datastoreItem xmlns:ds="http://schemas.openxmlformats.org/officeDocument/2006/customXml" ds:itemID="{CDF3C17B-1069-418D-9E5C-6073C07B5812}">
  <ds:schemaRefs>
    <ds:schemaRef ds:uri="http://schemas.microsoft.com/sharepoint/v3/contenttype/forms"/>
  </ds:schemaRefs>
</ds:datastoreItem>
</file>

<file path=customXml/itemProps3.xml><?xml version="1.0" encoding="utf-8"?>
<ds:datastoreItem xmlns:ds="http://schemas.openxmlformats.org/officeDocument/2006/customXml" ds:itemID="{A303724D-C39B-4214-B33E-004A2D2C2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549ca-647c-4c64-8f33-ce0499823ab6"/>
    <ds:schemaRef ds:uri="db6617d9-c194-420c-8ea5-b2c7fd2a6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