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5FB3" w:rsidRPr="00135FB3" w:rsidP="0062054A">
      <w:pPr>
        <w:rPr>
          <w:rFonts w:ascii="Verdana" w:hAnsi="Verdana"/>
          <w:b/>
          <w:bCs/>
          <w:sz w:val="24"/>
          <w:szCs w:val="24"/>
          <w:u w:val="single"/>
        </w:rPr>
      </w:pPr>
    </w:p>
    <w:p w:rsidR="00135FB3" w:rsidRPr="00640031" w:rsidP="00640031">
      <w:pPr>
        <w:shd w:val="clear" w:color="auto" w:fill="FFFFFF"/>
        <w:spacing w:after="200"/>
        <w:rPr>
          <w:rFonts w:ascii="Verdana" w:hAnsi="Verdana"/>
          <w:b/>
          <w:bCs/>
          <w:sz w:val="28"/>
          <w:szCs w:val="28"/>
        </w:rPr>
      </w:pPr>
      <w:r>
        <w:rPr>
          <w:rFonts w:ascii="Verdana" w:hAnsi="Verdana"/>
          <w:b/>
          <w:bCs/>
          <w:sz w:val="28"/>
          <w:szCs w:val="28"/>
        </w:rPr>
        <w:t>Getlink</w:t>
      </w:r>
      <w:r w:rsidRPr="004B5B3A">
        <w:rPr>
          <w:rFonts w:ascii="Verdana" w:hAnsi="Verdana"/>
          <w:b/>
          <w:bCs/>
          <w:sz w:val="28"/>
          <w:szCs w:val="28"/>
        </w:rPr>
        <w:t xml:space="preserve"> </w:t>
      </w:r>
      <w:r w:rsidRPr="00146BEA">
        <w:rPr>
          <w:rFonts w:ascii="Verdana" w:hAnsi="Verdana"/>
          <w:b/>
          <w:bCs/>
          <w:sz w:val="28"/>
          <w:szCs w:val="28"/>
        </w:rPr>
        <w:t>– Written Evidence (RES00</w:t>
      </w:r>
      <w:r>
        <w:rPr>
          <w:rFonts w:ascii="Verdana" w:hAnsi="Verdana"/>
          <w:b/>
          <w:bCs/>
          <w:sz w:val="28"/>
          <w:szCs w:val="28"/>
        </w:rPr>
        <w:t>60</w:t>
      </w:r>
      <w:r w:rsidRPr="00146BEA">
        <w:rPr>
          <w:rFonts w:ascii="Verdana" w:hAnsi="Verdana"/>
          <w:b/>
          <w:bCs/>
          <w:sz w:val="28"/>
          <w:szCs w:val="28"/>
        </w:rPr>
        <w:t>)</w:t>
      </w:r>
    </w:p>
    <w:p w:rsidR="0062054A" w:rsidRPr="00135FB3" w:rsidP="0062054A">
      <w:pPr>
        <w:rPr>
          <w:rFonts w:ascii="Verdana" w:hAnsi="Verdana"/>
          <w:b/>
          <w:bCs/>
          <w:sz w:val="24"/>
          <w:szCs w:val="24"/>
          <w:u w:val="single"/>
        </w:rPr>
      </w:pPr>
      <w:r w:rsidRPr="00135FB3">
        <w:rPr>
          <w:rFonts w:ascii="Verdana" w:hAnsi="Verdana"/>
          <w:b/>
          <w:bCs/>
          <w:sz w:val="24"/>
          <w:szCs w:val="24"/>
          <w:u w:val="single"/>
        </w:rPr>
        <w:t xml:space="preserve">About Getlink </w:t>
      </w:r>
    </w:p>
    <w:p w:rsidR="0062054A" w:rsidRPr="00135FB3" w:rsidP="0062054A">
      <w:pPr>
        <w:rPr>
          <w:rFonts w:ascii="Verdana" w:hAnsi="Verdana"/>
          <w:sz w:val="24"/>
          <w:szCs w:val="24"/>
        </w:rPr>
      </w:pPr>
      <w:r w:rsidRPr="00135FB3">
        <w:rPr>
          <w:rFonts w:ascii="Verdana" w:hAnsi="Verdana"/>
          <w:sz w:val="24"/>
          <w:szCs w:val="24"/>
        </w:rPr>
        <w:t xml:space="preserve">Getlink owns Eurotunnel, which manages and operates the infrastructure of the Channel Tunnel between Folkestone and Calais, including the LeShuttle train service for cars, coaches and goods vehicles. Eurotunnel also provides access for rail freight trains and high-speed passenger services. Our services are used by ten million passengers in 2.2 million cars, and 1.2 million trucks each year. We carry 26% of all UK/EU trade, at a value of £144 billion. </w:t>
      </w:r>
    </w:p>
    <w:p w:rsidR="0062054A" w:rsidRPr="00135FB3" w:rsidP="0062054A">
      <w:pPr>
        <w:rPr>
          <w:rFonts w:ascii="Verdana" w:hAnsi="Verdana"/>
          <w:sz w:val="24"/>
          <w:szCs w:val="24"/>
        </w:rPr>
      </w:pPr>
      <w:r w:rsidRPr="00135FB3">
        <w:rPr>
          <w:rFonts w:ascii="Verdana" w:hAnsi="Verdana"/>
          <w:sz w:val="24"/>
          <w:szCs w:val="24"/>
        </w:rPr>
        <w:t>This includes a significant proportion of the UK’s just-in-time supply chain, including high value and perishable goods. We also give passage to nearly two thousand rail freight trains through the Channel Tunnel every year, carrying a variety of essential goods to and from the UK, including everything from galvanised steel to fresh flowers.</w:t>
      </w:r>
    </w:p>
    <w:p w:rsidR="0062054A" w:rsidRPr="00135FB3" w:rsidP="0062054A">
      <w:pPr>
        <w:rPr>
          <w:rFonts w:ascii="Verdana" w:hAnsi="Verdana"/>
          <w:sz w:val="24"/>
          <w:szCs w:val="24"/>
        </w:rPr>
      </w:pPr>
      <w:r w:rsidRPr="00135FB3">
        <w:rPr>
          <w:rFonts w:ascii="Verdana" w:hAnsi="Verdana"/>
          <w:sz w:val="24"/>
          <w:szCs w:val="24"/>
        </w:rPr>
        <w:t>Getlink Group also owns ElecLink, a unique interconnector between the UK and France housed inside the Channel Tunnel. This makes the 1GW connection both secure and environmentally friendly whilst playing a crucial role in providing affordable, clean energy to UK consumers. During a time of increased subsea cable strikes across Europe, ElecLink provides a secure and diverse interconnection option owing to its location within the Channel Tunnel - one of the most monitored and protected infrastructure assets in Europe.</w:t>
      </w:r>
    </w:p>
    <w:p w:rsidR="0062054A" w:rsidRPr="00135FB3" w:rsidP="0062054A">
      <w:pPr>
        <w:pBdr>
          <w:bottom w:val="single" w:sz="6" w:space="1" w:color="000000"/>
        </w:pBdr>
        <w:rPr>
          <w:rFonts w:ascii="Verdana" w:hAnsi="Verdana"/>
          <w:sz w:val="24"/>
          <w:szCs w:val="24"/>
        </w:rPr>
      </w:pPr>
      <w:r w:rsidRPr="00135FB3">
        <w:rPr>
          <w:rFonts w:ascii="Verdana" w:hAnsi="Verdana"/>
          <w:sz w:val="24"/>
          <w:szCs w:val="24"/>
        </w:rPr>
        <w:t xml:space="preserve">Building on the success of ElecLink, Getlink Group is actively developing a second interconnector – ‘ElecLink 2’ between the UK and France, which will provide a further 1GW of bi-directional transmission capacity. </w:t>
      </w:r>
    </w:p>
    <w:p w:rsidR="0062054A" w:rsidRPr="00135FB3" w:rsidP="0062054A">
      <w:pPr>
        <w:pBdr>
          <w:bottom w:val="single" w:sz="6" w:space="1" w:color="000000"/>
        </w:pBdr>
        <w:rPr>
          <w:rFonts w:ascii="Verdana" w:hAnsi="Verdana"/>
          <w:sz w:val="24"/>
          <w:szCs w:val="24"/>
        </w:rPr>
      </w:pPr>
    </w:p>
    <w:p w:rsidR="0062054A" w:rsidRPr="00135FB3" w:rsidP="0062054A">
      <w:pPr>
        <w:rPr>
          <w:rFonts w:ascii="Verdana" w:hAnsi="Verdana"/>
          <w:b/>
          <w:bCs/>
          <w:sz w:val="24"/>
          <w:szCs w:val="24"/>
          <w:u w:val="single"/>
        </w:rPr>
      </w:pPr>
      <w:r w:rsidRPr="00135FB3">
        <w:rPr>
          <w:rFonts w:ascii="Verdana" w:hAnsi="Verdana"/>
          <w:b/>
          <w:bCs/>
          <w:sz w:val="24"/>
          <w:szCs w:val="24"/>
          <w:u w:val="single"/>
        </w:rPr>
        <w:t>Key recommendations:</w:t>
      </w:r>
    </w:p>
    <w:p w:rsidR="0062054A" w:rsidRPr="00135FB3" w:rsidP="0062054A">
      <w:pPr>
        <w:numPr>
          <w:ilvl w:val="0"/>
          <w:numId w:val="1"/>
        </w:numPr>
        <w:rPr>
          <w:rFonts w:ascii="Verdana" w:hAnsi="Verdana"/>
          <w:sz w:val="24"/>
          <w:szCs w:val="24"/>
        </w:rPr>
      </w:pPr>
      <w:r w:rsidRPr="00135FB3">
        <w:rPr>
          <w:rFonts w:ascii="Verdana" w:hAnsi="Verdana"/>
          <w:b/>
          <w:bCs/>
          <w:sz w:val="24"/>
          <w:szCs w:val="24"/>
        </w:rPr>
        <w:t>Border processes:</w:t>
      </w:r>
      <w:r w:rsidRPr="00135FB3">
        <w:rPr>
          <w:rFonts w:ascii="Verdana" w:hAnsi="Verdana"/>
          <w:sz w:val="24"/>
          <w:szCs w:val="24"/>
        </w:rPr>
        <w:t xml:space="preserve"> The Government should continue to drive efficiency in border processes, improve communications between departments and border agencies, and where possible remove barriers and costs to trade.</w:t>
      </w:r>
    </w:p>
    <w:p w:rsidR="0062054A" w:rsidRPr="00135FB3" w:rsidP="0062054A">
      <w:pPr>
        <w:numPr>
          <w:ilvl w:val="0"/>
          <w:numId w:val="1"/>
        </w:numPr>
        <w:rPr>
          <w:rFonts w:ascii="Verdana" w:hAnsi="Verdana"/>
          <w:sz w:val="24"/>
          <w:szCs w:val="24"/>
        </w:rPr>
      </w:pPr>
      <w:r w:rsidRPr="00135FB3">
        <w:rPr>
          <w:rFonts w:ascii="Verdana" w:hAnsi="Verdana"/>
          <w:b/>
          <w:bCs/>
          <w:sz w:val="24"/>
          <w:szCs w:val="24"/>
        </w:rPr>
        <w:t xml:space="preserve">Veterinary agreement: </w:t>
      </w:r>
      <w:r w:rsidRPr="00135FB3">
        <w:rPr>
          <w:rFonts w:ascii="Verdana" w:hAnsi="Verdana"/>
          <w:sz w:val="24"/>
          <w:szCs w:val="24"/>
        </w:rPr>
        <w:t>We strongly support Government’s commitment to pursuing a veterinary agreement and would like to see it implemented swiftly. The Committee should seek evidence on how such an agreement could be reached and the benefits to industry and consumers.</w:t>
      </w:r>
    </w:p>
    <w:p w:rsidR="0062054A" w:rsidRPr="00135FB3" w:rsidP="0062054A">
      <w:pPr>
        <w:numPr>
          <w:ilvl w:val="0"/>
          <w:numId w:val="1"/>
        </w:numPr>
        <w:pBdr>
          <w:bottom w:val="single" w:sz="6" w:space="1" w:color="000000"/>
        </w:pBdr>
        <w:rPr>
          <w:rFonts w:ascii="Verdana" w:hAnsi="Verdana"/>
          <w:sz w:val="24"/>
          <w:szCs w:val="24"/>
        </w:rPr>
      </w:pPr>
      <w:r w:rsidRPr="00135FB3">
        <w:rPr>
          <w:rFonts w:ascii="Verdana" w:hAnsi="Verdana"/>
          <w:b/>
          <w:bCs/>
          <w:sz w:val="24"/>
          <w:szCs w:val="24"/>
        </w:rPr>
        <w:t xml:space="preserve">Security of energy supply: </w:t>
      </w:r>
      <w:r w:rsidRPr="00135FB3">
        <w:rPr>
          <w:rFonts w:ascii="Verdana" w:hAnsi="Verdana"/>
          <w:sz w:val="24"/>
          <w:szCs w:val="24"/>
        </w:rPr>
        <w:t>We urge respective Governments and regulators to recognise the need for viable, secure interconnection projects that provide diverse, resilient energy transmission options in case of attacks on more vulnerable infrastructure. This should include distinct recognition and support for projects that are built inside protected infrastructure.</w:t>
      </w:r>
    </w:p>
    <w:p w:rsidR="0062054A" w:rsidRPr="00135FB3" w:rsidP="0062054A">
      <w:pPr>
        <w:rPr>
          <w:rFonts w:ascii="Verdana" w:hAnsi="Verdana"/>
          <w:b/>
          <w:bCs/>
          <w:i/>
          <w:iCs/>
          <w:sz w:val="24"/>
          <w:szCs w:val="24"/>
          <w:u w:val="single"/>
        </w:rPr>
      </w:pPr>
    </w:p>
    <w:p w:rsidR="0062054A" w:rsidRPr="00135FB3" w:rsidP="0062054A">
      <w:pPr>
        <w:rPr>
          <w:rFonts w:ascii="Verdana" w:hAnsi="Verdana"/>
          <w:b/>
          <w:bCs/>
          <w:i/>
          <w:iCs/>
          <w:sz w:val="24"/>
          <w:szCs w:val="24"/>
          <w:u w:val="single"/>
        </w:rPr>
      </w:pPr>
      <w:r w:rsidRPr="00135FB3">
        <w:rPr>
          <w:rFonts w:ascii="Verdana" w:hAnsi="Verdana"/>
          <w:b/>
          <w:bCs/>
          <w:i/>
          <w:iCs/>
          <w:sz w:val="24"/>
          <w:szCs w:val="24"/>
          <w:u w:val="single"/>
        </w:rPr>
        <w:t>The substance of the reset</w:t>
      </w:r>
    </w:p>
    <w:p w:rsidR="0062054A" w:rsidRPr="00135FB3" w:rsidP="0062054A">
      <w:pPr>
        <w:numPr>
          <w:ilvl w:val="0"/>
          <w:numId w:val="2"/>
        </w:numPr>
        <w:rPr>
          <w:rFonts w:ascii="Verdana" w:hAnsi="Verdana"/>
          <w:b/>
          <w:bCs/>
          <w:sz w:val="24"/>
          <w:szCs w:val="24"/>
        </w:rPr>
      </w:pPr>
      <w:r w:rsidRPr="00135FB3">
        <w:rPr>
          <w:rFonts w:ascii="Verdana" w:hAnsi="Verdana"/>
          <w:b/>
          <w:bCs/>
          <w:sz w:val="24"/>
          <w:szCs w:val="24"/>
        </w:rPr>
        <w:t>What should the reset seek to achieve in order to serve the British national interest? What would a successful reset of UK-EU relations look like?</w:t>
      </w:r>
    </w:p>
    <w:p w:rsidR="0062054A" w:rsidRPr="00135FB3" w:rsidP="0062054A">
      <w:pPr>
        <w:rPr>
          <w:rFonts w:ascii="Verdana" w:hAnsi="Verdana"/>
          <w:sz w:val="24"/>
          <w:szCs w:val="24"/>
        </w:rPr>
      </w:pPr>
      <w:r w:rsidRPr="00135FB3">
        <w:rPr>
          <w:rFonts w:ascii="Verdana" w:hAnsi="Verdana"/>
          <w:sz w:val="24"/>
          <w:szCs w:val="24"/>
        </w:rPr>
        <w:t>The UK’s relationship with the European Union is a key concern for us, and we believe it is hugely important to the UK economy to maintain trade with our closest geographical partners. As the only fixed link with the EU and running a juxtaposed border between the two, the Channel Tunnel has been uniquely impacted by the changes following the UK’s withdrawal from the bloc.</w:t>
      </w:r>
    </w:p>
    <w:p w:rsidR="0062054A" w:rsidRPr="00135FB3" w:rsidP="0062054A">
      <w:pPr>
        <w:rPr>
          <w:rFonts w:ascii="Verdana" w:hAnsi="Verdana"/>
          <w:sz w:val="24"/>
          <w:szCs w:val="24"/>
        </w:rPr>
      </w:pPr>
    </w:p>
    <w:p w:rsidR="0062054A" w:rsidRPr="00135FB3" w:rsidP="0062054A">
      <w:pPr>
        <w:rPr>
          <w:rFonts w:ascii="Verdana" w:hAnsi="Verdana"/>
          <w:sz w:val="24"/>
          <w:szCs w:val="24"/>
        </w:rPr>
      </w:pPr>
      <w:r w:rsidRPr="00135FB3">
        <w:rPr>
          <w:rFonts w:ascii="Verdana" w:hAnsi="Verdana"/>
          <w:sz w:val="24"/>
          <w:szCs w:val="24"/>
        </w:rPr>
        <w:t>We therefore welcome closer cooperation with our EU partners to facilitate greater trade and travel that benefits both parties.</w:t>
      </w:r>
    </w:p>
    <w:p w:rsidR="0062054A" w:rsidRPr="00135FB3" w:rsidP="0062054A">
      <w:pPr>
        <w:rPr>
          <w:rFonts w:ascii="Verdana" w:hAnsi="Verdana"/>
          <w:sz w:val="24"/>
          <w:szCs w:val="24"/>
        </w:rPr>
      </w:pPr>
      <w:r w:rsidRPr="00135FB3">
        <w:rPr>
          <w:rFonts w:ascii="Verdana" w:hAnsi="Verdana"/>
          <w:sz w:val="24"/>
          <w:szCs w:val="24"/>
        </w:rPr>
        <w:t>For Getlink, a successful reset of UK-EU relations would include consideration of the following areas:</w:t>
      </w:r>
    </w:p>
    <w:p w:rsidR="0062054A" w:rsidRPr="00135FB3" w:rsidP="0062054A">
      <w:pPr>
        <w:rPr>
          <w:rFonts w:ascii="Verdana" w:hAnsi="Verdana"/>
          <w:b/>
          <w:bCs/>
          <w:sz w:val="24"/>
          <w:szCs w:val="24"/>
        </w:rPr>
      </w:pPr>
      <w:r w:rsidRPr="00135FB3">
        <w:rPr>
          <w:rFonts w:ascii="Verdana" w:hAnsi="Verdana"/>
          <w:b/>
          <w:bCs/>
          <w:sz w:val="24"/>
          <w:szCs w:val="24"/>
        </w:rPr>
        <w:t>Border Processes</w:t>
      </w:r>
    </w:p>
    <w:p w:rsidR="0062054A" w:rsidRPr="00135FB3" w:rsidP="0062054A">
      <w:pPr>
        <w:rPr>
          <w:rFonts w:ascii="Verdana" w:hAnsi="Verdana"/>
          <w:sz w:val="24"/>
          <w:szCs w:val="24"/>
        </w:rPr>
      </w:pPr>
      <w:r w:rsidRPr="00135FB3">
        <w:rPr>
          <w:rFonts w:ascii="Verdana" w:hAnsi="Verdana"/>
          <w:sz w:val="24"/>
          <w:szCs w:val="24"/>
        </w:rPr>
        <w:t xml:space="preserve">In the 2025 UK Border Strategy (published in 2020), the UK Government stated that a key measure of improving border efficiency would be to </w:t>
      </w:r>
      <w:r w:rsidRPr="00135FB3">
        <w:rPr>
          <w:rFonts w:ascii="Verdana" w:hAnsi="Verdana"/>
          <w:i/>
          <w:iCs/>
          <w:sz w:val="24"/>
          <w:szCs w:val="24"/>
        </w:rPr>
        <w:t>“minimise the average time for all required documentary and physical checks to be conducted on legitimate goods and for them to be cleared”.</w:t>
      </w:r>
      <w:r w:rsidRPr="00135FB3">
        <w:rPr>
          <w:rFonts w:ascii="Verdana" w:hAnsi="Verdana"/>
          <w:sz w:val="24"/>
          <w:szCs w:val="24"/>
        </w:rPr>
        <w:t xml:space="preserve"> However, in the last five years, we have seen increased checks and burdens on traders between the UK and EU. Today, many businesses facing delays and higher costs transporting items such as fruit and vegetables into the country. </w:t>
      </w:r>
    </w:p>
    <w:p w:rsidR="0062054A" w:rsidRPr="00135FB3" w:rsidP="0062054A">
      <w:pPr>
        <w:rPr>
          <w:rFonts w:ascii="Verdana" w:hAnsi="Verdana"/>
          <w:sz w:val="24"/>
          <w:szCs w:val="24"/>
        </w:rPr>
      </w:pPr>
      <w:r w:rsidRPr="00135FB3">
        <w:rPr>
          <w:rFonts w:ascii="Verdana" w:hAnsi="Verdana"/>
          <w:sz w:val="24"/>
          <w:szCs w:val="24"/>
        </w:rPr>
        <w:t>On 30</w:t>
      </w:r>
      <w:r w:rsidRPr="00135FB3">
        <w:rPr>
          <w:rFonts w:ascii="Verdana" w:hAnsi="Verdana"/>
          <w:sz w:val="24"/>
          <w:szCs w:val="24"/>
          <w:vertAlign w:val="superscript"/>
        </w:rPr>
        <w:t>th</w:t>
      </w:r>
      <w:r w:rsidRPr="00135FB3">
        <w:rPr>
          <w:rFonts w:ascii="Verdana" w:hAnsi="Verdana"/>
          <w:sz w:val="24"/>
          <w:szCs w:val="24"/>
        </w:rPr>
        <w:t xml:space="preserve"> April 2024, the UK Government introduced checks on SPS imports entering the UK from the EU, </w:t>
      </w:r>
      <w:r w:rsidRPr="00135FB3">
        <w:rPr>
          <w:rFonts w:ascii="Verdana" w:hAnsi="Verdana"/>
          <w:sz w:val="24"/>
          <w:szCs w:val="24"/>
          <w:lang w:val="en-US"/>
        </w:rPr>
        <w:t xml:space="preserve">as confirmed by the Government’s Border TOM. These checks are conducted at government-built inland border facilities. For the Channel Tunnel this is at Sevington – a purpose-built multi-agency facility for processing cross-Channel trade. SPS checks conducted by </w:t>
      </w:r>
      <w:r w:rsidRPr="00135FB3">
        <w:rPr>
          <w:rFonts w:ascii="Verdana" w:hAnsi="Verdana"/>
          <w:sz w:val="24"/>
          <w:szCs w:val="24"/>
          <w:lang w:val="en-US"/>
        </w:rPr>
        <w:t xml:space="preserve">DEFRA for imports of certain products have caused delays and added costs to traders, notably in the horticultural industry (flower and plant trade). </w:t>
      </w:r>
    </w:p>
    <w:p w:rsidR="0062054A" w:rsidRPr="00135FB3" w:rsidP="0062054A">
      <w:pPr>
        <w:rPr>
          <w:rFonts w:ascii="Verdana" w:hAnsi="Verdana"/>
          <w:sz w:val="24"/>
          <w:szCs w:val="24"/>
        </w:rPr>
      </w:pPr>
      <w:r w:rsidRPr="00135FB3">
        <w:rPr>
          <w:rFonts w:ascii="Verdana" w:hAnsi="Verdana"/>
          <w:sz w:val="24"/>
          <w:szCs w:val="24"/>
        </w:rPr>
        <w:t>The unpredictability of inspections has introduced a significant risk for trade between the UK and the EU, with just-in-time supply chains and short-shelf-life products particularly vulnerable to frequent and often lengthy delays. Improved communication between government departments and their systems is required to deliver smooth operations.</w:t>
      </w:r>
    </w:p>
    <w:p w:rsidR="0062054A" w:rsidRPr="00135FB3" w:rsidP="0062054A">
      <w:pPr>
        <w:numPr>
          <w:ilvl w:val="0"/>
          <w:numId w:val="3"/>
        </w:numPr>
        <w:rPr>
          <w:rFonts w:ascii="Verdana" w:hAnsi="Verdana"/>
          <w:sz w:val="24"/>
          <w:szCs w:val="24"/>
        </w:rPr>
      </w:pPr>
      <w:bookmarkStart w:id="0" w:name="_Hlk188458098"/>
      <w:r w:rsidRPr="00135FB3">
        <w:rPr>
          <w:rFonts w:ascii="Verdana" w:hAnsi="Verdana"/>
          <w:b/>
          <w:bCs/>
          <w:sz w:val="24"/>
          <w:szCs w:val="24"/>
        </w:rPr>
        <w:t>Recommendation:</w:t>
      </w:r>
      <w:r w:rsidRPr="00135FB3">
        <w:rPr>
          <w:rFonts w:ascii="Verdana" w:hAnsi="Verdana"/>
          <w:sz w:val="24"/>
          <w:szCs w:val="24"/>
        </w:rPr>
        <w:t xml:space="preserve"> The Government should continue to drive efficiency in border processes, improve communications between departments and border agencies, and where possible remove barriers and costs to trade. </w:t>
      </w:r>
    </w:p>
    <w:p w:rsidR="0062054A" w:rsidRPr="00135FB3" w:rsidP="0062054A">
      <w:pPr>
        <w:rPr>
          <w:rFonts w:ascii="Verdana" w:hAnsi="Verdana"/>
          <w:b/>
          <w:bCs/>
          <w:sz w:val="24"/>
          <w:szCs w:val="24"/>
        </w:rPr>
      </w:pPr>
      <w:r w:rsidRPr="00135FB3">
        <w:rPr>
          <w:rFonts w:ascii="Verdana" w:hAnsi="Verdana"/>
          <w:b/>
          <w:bCs/>
          <w:sz w:val="24"/>
          <w:szCs w:val="24"/>
        </w:rPr>
        <w:t>Veterinary agreement</w:t>
      </w:r>
    </w:p>
    <w:p w:rsidR="0062054A" w:rsidRPr="00135FB3" w:rsidP="0062054A">
      <w:pPr>
        <w:rPr>
          <w:rFonts w:ascii="Verdana" w:hAnsi="Verdana"/>
          <w:sz w:val="24"/>
          <w:szCs w:val="24"/>
        </w:rPr>
      </w:pPr>
      <w:r w:rsidRPr="00135FB3">
        <w:rPr>
          <w:rFonts w:ascii="Verdana" w:hAnsi="Verdana"/>
          <w:sz w:val="24"/>
          <w:szCs w:val="24"/>
        </w:rPr>
        <w:t xml:space="preserve">The Government has stated its ambition to secure a veterinary/SPS agreement with the EU. This would be a vital pro-business and pro-growth policy. It would reduce food price inflation, enhance food supply chains and security, and support businesses by reducing the administrative and logistical costs to traders. </w:t>
      </w:r>
    </w:p>
    <w:p w:rsidR="0062054A" w:rsidRPr="00135FB3" w:rsidP="0062054A">
      <w:pPr>
        <w:numPr>
          <w:ilvl w:val="0"/>
          <w:numId w:val="3"/>
        </w:numPr>
        <w:rPr>
          <w:rFonts w:ascii="Verdana" w:hAnsi="Verdana"/>
          <w:sz w:val="24"/>
          <w:szCs w:val="24"/>
        </w:rPr>
      </w:pPr>
      <w:r w:rsidRPr="00135FB3">
        <w:rPr>
          <w:rFonts w:ascii="Verdana" w:hAnsi="Verdana"/>
          <w:b/>
          <w:bCs/>
          <w:sz w:val="24"/>
          <w:szCs w:val="24"/>
        </w:rPr>
        <w:t>Recommendation:</w:t>
      </w:r>
      <w:r w:rsidRPr="00135FB3">
        <w:rPr>
          <w:rFonts w:ascii="Verdana" w:hAnsi="Verdana"/>
          <w:sz w:val="24"/>
          <w:szCs w:val="24"/>
        </w:rPr>
        <w:t xml:space="preserve"> We strongly support this commitment and would like to see it implemented swiftly. The Committee should seek evidence on how such an agreement could be reached and the benefits to industry and consumers.</w:t>
      </w:r>
    </w:p>
    <w:p w:rsidR="0062054A" w:rsidRPr="00135FB3" w:rsidP="0062054A">
      <w:pPr>
        <w:rPr>
          <w:rFonts w:ascii="Verdana" w:hAnsi="Verdana"/>
          <w:b/>
          <w:bCs/>
          <w:sz w:val="24"/>
          <w:szCs w:val="24"/>
        </w:rPr>
      </w:pPr>
      <w:r w:rsidRPr="00135FB3">
        <w:rPr>
          <w:rFonts w:ascii="Verdana" w:hAnsi="Verdana"/>
          <w:b/>
          <w:bCs/>
          <w:sz w:val="24"/>
          <w:szCs w:val="24"/>
        </w:rPr>
        <w:t xml:space="preserve">Youth mobility scheme / visa-free travel </w:t>
      </w:r>
    </w:p>
    <w:p w:rsidR="0062054A" w:rsidRPr="00135FB3" w:rsidP="0062054A">
      <w:pPr>
        <w:rPr>
          <w:rFonts w:ascii="Verdana" w:hAnsi="Verdana"/>
          <w:sz w:val="24"/>
          <w:szCs w:val="24"/>
        </w:rPr>
      </w:pPr>
      <w:r w:rsidRPr="00135FB3">
        <w:rPr>
          <w:rFonts w:ascii="Verdana" w:hAnsi="Verdana"/>
          <w:sz w:val="24"/>
          <w:szCs w:val="24"/>
        </w:rPr>
        <w:t xml:space="preserve">We are pleased to see proposals for a Youth Mobility Scheme remain on the table during bilateral conversations between the UK and the EU. Such proposals would benefit social, cultural and educational exchanges to further strength relationships between the UK and EU member states. The UK already operates a number of youth mobility schemes with other global partners, for example with Australia and Canada, on which this could be modelled. </w:t>
      </w:r>
    </w:p>
    <w:p w:rsidR="0062054A" w:rsidRPr="00135FB3" w:rsidP="0062054A">
      <w:pPr>
        <w:rPr>
          <w:rFonts w:ascii="Verdana" w:hAnsi="Verdana"/>
          <w:sz w:val="24"/>
          <w:szCs w:val="24"/>
        </w:rPr>
      </w:pPr>
      <w:r w:rsidRPr="00135FB3">
        <w:rPr>
          <w:rFonts w:ascii="Verdana" w:hAnsi="Verdana"/>
          <w:sz w:val="24"/>
          <w:szCs w:val="24"/>
        </w:rPr>
        <w:t xml:space="preserve">We also welcome recent reports that the UK opening talks to allow passport- and visa-free travel for children on organized trips from German schools to Britain. We hope to see the Government secure similar agreements with other key EU countries, such as France, Netherlands and Belgium. </w:t>
      </w:r>
    </w:p>
    <w:p w:rsidR="0062054A" w:rsidRPr="00135FB3" w:rsidP="0062054A">
      <w:pPr>
        <w:rPr>
          <w:rFonts w:ascii="Verdana" w:hAnsi="Verdana"/>
          <w:b/>
          <w:bCs/>
          <w:sz w:val="24"/>
          <w:szCs w:val="24"/>
        </w:rPr>
      </w:pPr>
      <w:r w:rsidRPr="00135FB3">
        <w:rPr>
          <w:rFonts w:ascii="Verdana" w:hAnsi="Verdana"/>
          <w:b/>
          <w:bCs/>
          <w:sz w:val="24"/>
          <w:szCs w:val="24"/>
        </w:rPr>
        <w:t xml:space="preserve">EES / ETA </w:t>
      </w:r>
    </w:p>
    <w:p w:rsidR="0062054A" w:rsidRPr="00135FB3" w:rsidP="0062054A">
      <w:pPr>
        <w:rPr>
          <w:rFonts w:ascii="Verdana" w:hAnsi="Verdana"/>
          <w:sz w:val="24"/>
          <w:szCs w:val="24"/>
        </w:rPr>
      </w:pPr>
      <w:r w:rsidRPr="00135FB3">
        <w:rPr>
          <w:rFonts w:ascii="Verdana" w:hAnsi="Verdana"/>
          <w:sz w:val="24"/>
          <w:szCs w:val="24"/>
        </w:rPr>
        <w:t xml:space="preserve">We are working hard to prepare for the expected implementation of the EU’s Entry/Exit System (EES), the new EU immigration control system in 2025. </w:t>
      </w:r>
      <w:r w:rsidRPr="00135FB3">
        <w:rPr>
          <w:rFonts w:ascii="Verdana" w:hAnsi="Verdana"/>
          <w:sz w:val="24"/>
          <w:szCs w:val="24"/>
        </w:rPr>
        <w:t xml:space="preserve">Getlink has invested significantly to ensure we are ready for its introduction, investing over €80 million, as well as preparing for further changes due to come into force for the UK’s own Electronic Travel Authorisation (ETA) scheme. </w:t>
      </w:r>
    </w:p>
    <w:p w:rsidR="0062054A" w:rsidRPr="00135FB3" w:rsidP="0062054A">
      <w:pPr>
        <w:rPr>
          <w:rFonts w:ascii="Verdana" w:hAnsi="Verdana"/>
          <w:sz w:val="24"/>
          <w:szCs w:val="24"/>
        </w:rPr>
      </w:pPr>
      <w:r w:rsidRPr="00135FB3">
        <w:rPr>
          <w:rFonts w:ascii="Verdana" w:hAnsi="Verdana"/>
          <w:sz w:val="24"/>
          <w:szCs w:val="24"/>
        </w:rPr>
        <w:t xml:space="preserve">We are confident that we will not see delays or disruption at Eurotunnel and would be delighted to showcase our preparations in further detail. </w:t>
      </w:r>
    </w:p>
    <w:p w:rsidR="0062054A" w:rsidRPr="00135FB3" w:rsidP="0062054A">
      <w:pPr>
        <w:numPr>
          <w:ilvl w:val="0"/>
          <w:numId w:val="4"/>
        </w:numPr>
        <w:rPr>
          <w:rFonts w:ascii="Verdana" w:hAnsi="Verdana"/>
          <w:sz w:val="24"/>
          <w:szCs w:val="24"/>
        </w:rPr>
      </w:pPr>
      <w:r w:rsidRPr="00135FB3">
        <w:rPr>
          <w:rFonts w:ascii="Verdana" w:hAnsi="Verdana"/>
          <w:b/>
          <w:bCs/>
          <w:sz w:val="24"/>
          <w:szCs w:val="24"/>
        </w:rPr>
        <w:t>Recommendation</w:t>
      </w:r>
      <w:r w:rsidRPr="00135FB3">
        <w:rPr>
          <w:rFonts w:ascii="Verdana" w:hAnsi="Verdana"/>
          <w:sz w:val="24"/>
          <w:szCs w:val="24"/>
        </w:rPr>
        <w:t>: It is essential that the UK Government works closely with French and European leaders to ensure the implementation does not cause any major disruption on journeys across the Channel, and we would be eager to work closely the Government to achieve this.</w:t>
      </w:r>
    </w:p>
    <w:p w:rsidR="0062054A" w:rsidRPr="00135FB3" w:rsidP="0062054A">
      <w:pPr>
        <w:rPr>
          <w:rFonts w:ascii="Verdana" w:hAnsi="Verdana"/>
          <w:b/>
          <w:bCs/>
          <w:sz w:val="24"/>
          <w:szCs w:val="24"/>
        </w:rPr>
      </w:pPr>
      <w:r w:rsidRPr="00135FB3">
        <w:rPr>
          <w:rFonts w:ascii="Verdana" w:hAnsi="Verdana"/>
          <w:b/>
          <w:bCs/>
          <w:sz w:val="24"/>
          <w:szCs w:val="24"/>
        </w:rPr>
        <w:t>International rail travel</w:t>
      </w:r>
    </w:p>
    <w:p w:rsidR="0062054A" w:rsidRPr="00135FB3" w:rsidP="0062054A">
      <w:pPr>
        <w:rPr>
          <w:rFonts w:ascii="Verdana" w:hAnsi="Verdana"/>
          <w:sz w:val="24"/>
          <w:szCs w:val="24"/>
        </w:rPr>
      </w:pPr>
      <w:r w:rsidRPr="00135FB3">
        <w:rPr>
          <w:rFonts w:ascii="Verdana" w:hAnsi="Verdana"/>
          <w:sz w:val="24"/>
          <w:szCs w:val="24"/>
        </w:rPr>
        <w:t xml:space="preserve">We are looking to double the number of direct, high-speed, cross-Channel rail connections within ten years, working with potential new entrants to connect London to several new European destinations. This would offer a greater choice for passengers and a green alternative to flying to destinations such as Cologne, Frankfurt, Geneva or Zurich.  </w:t>
      </w:r>
    </w:p>
    <w:p w:rsidR="0062054A" w:rsidRPr="00135FB3" w:rsidP="0062054A">
      <w:pPr>
        <w:rPr>
          <w:rFonts w:ascii="Verdana" w:hAnsi="Verdana"/>
          <w:sz w:val="24"/>
          <w:szCs w:val="24"/>
        </w:rPr>
      </w:pPr>
      <w:r w:rsidRPr="00135FB3">
        <w:rPr>
          <w:rFonts w:ascii="Verdana" w:hAnsi="Verdana"/>
          <w:sz w:val="24"/>
          <w:szCs w:val="24"/>
        </w:rPr>
        <w:t xml:space="preserve">We are at a turning point on new international rail routes, with multiple potential new operators exploring services. Evolyn and Virgin Trains have both publicly announced proposals for cross-Channel trains. </w:t>
      </w:r>
    </w:p>
    <w:p w:rsidR="0062054A" w:rsidRPr="00135FB3" w:rsidP="0062054A">
      <w:pPr>
        <w:rPr>
          <w:rFonts w:ascii="Verdana" w:hAnsi="Verdana"/>
          <w:sz w:val="24"/>
          <w:szCs w:val="24"/>
        </w:rPr>
      </w:pPr>
      <w:r w:rsidRPr="00135FB3">
        <w:rPr>
          <w:rFonts w:ascii="Verdana" w:hAnsi="Verdana"/>
          <w:sz w:val="24"/>
          <w:szCs w:val="24"/>
        </w:rPr>
        <w:t xml:space="preserve">However, any new operator faces several major challenges, which will require joint action from Government, Network Rail, the Office of Rail &amp; Road (ORR) and industry to overcome. </w:t>
      </w:r>
    </w:p>
    <w:p w:rsidR="0062054A" w:rsidRPr="00135FB3" w:rsidP="0062054A">
      <w:pPr>
        <w:rPr>
          <w:rFonts w:ascii="Verdana" w:hAnsi="Verdana"/>
          <w:sz w:val="24"/>
          <w:szCs w:val="24"/>
        </w:rPr>
      </w:pPr>
      <w:r w:rsidRPr="00135FB3">
        <w:rPr>
          <w:rFonts w:ascii="Verdana" w:hAnsi="Verdana"/>
          <w:sz w:val="24"/>
          <w:szCs w:val="24"/>
        </w:rPr>
        <w:t xml:space="preserve">The key barriers to entry include: </w:t>
      </w:r>
      <w:r w:rsidRPr="00135FB3">
        <w:rPr>
          <w:rFonts w:ascii="Verdana" w:hAnsi="Verdana"/>
          <w:sz w:val="24"/>
          <w:szCs w:val="24"/>
        </w:rPr>
        <w:tab/>
      </w:r>
    </w:p>
    <w:p w:rsidR="0062054A" w:rsidRPr="00135FB3" w:rsidP="0062054A">
      <w:pPr>
        <w:numPr>
          <w:ilvl w:val="0"/>
          <w:numId w:val="5"/>
        </w:numPr>
        <w:rPr>
          <w:rFonts w:ascii="Verdana" w:hAnsi="Verdana"/>
          <w:sz w:val="24"/>
          <w:szCs w:val="24"/>
        </w:rPr>
      </w:pPr>
      <w:r w:rsidRPr="00135FB3">
        <w:rPr>
          <w:rFonts w:ascii="Verdana" w:hAnsi="Verdana"/>
          <w:sz w:val="24"/>
          <w:szCs w:val="24"/>
        </w:rPr>
        <w:t>Ensuring access to Temple Mills train depot to maintain and store rolling stock fleets. The ORR has the authority to instruct its current manager, Eurostar, to provide access to new operators;</w:t>
      </w:r>
    </w:p>
    <w:p w:rsidR="0062054A" w:rsidRPr="00135FB3" w:rsidP="0062054A">
      <w:pPr>
        <w:numPr>
          <w:ilvl w:val="0"/>
          <w:numId w:val="5"/>
        </w:numPr>
        <w:rPr>
          <w:rFonts w:ascii="Verdana" w:hAnsi="Verdana"/>
          <w:sz w:val="24"/>
          <w:szCs w:val="24"/>
        </w:rPr>
      </w:pPr>
      <w:r w:rsidRPr="00135FB3">
        <w:rPr>
          <w:rFonts w:ascii="Verdana" w:hAnsi="Verdana"/>
          <w:sz w:val="24"/>
          <w:szCs w:val="24"/>
        </w:rPr>
        <w:t xml:space="preserve">Working with industry to expand capacity at St Pancras International Station for additional services, from 1800 passengers per hour currently. This will be essential ahead of the introduction of new border measures by the UK and EU, and will require close cooperation with French and Dutch border officials and the European Commission; </w:t>
      </w:r>
    </w:p>
    <w:p w:rsidR="0062054A" w:rsidRPr="00135FB3" w:rsidP="0062054A">
      <w:pPr>
        <w:numPr>
          <w:ilvl w:val="0"/>
          <w:numId w:val="5"/>
        </w:numPr>
        <w:rPr>
          <w:rFonts w:ascii="Verdana" w:hAnsi="Verdana"/>
          <w:sz w:val="24"/>
          <w:szCs w:val="24"/>
        </w:rPr>
      </w:pPr>
      <w:r w:rsidRPr="00135FB3">
        <w:rPr>
          <w:rFonts w:ascii="Verdana" w:hAnsi="Verdana"/>
          <w:sz w:val="24"/>
          <w:szCs w:val="24"/>
        </w:rPr>
        <w:t xml:space="preserve">Providing certainty on the UK Government’s position regarding the European Railway Traffic Management System (ERTMS). We would like to see the Government follow its European counterparts in providing </w:t>
      </w:r>
      <w:r w:rsidRPr="00135FB3">
        <w:rPr>
          <w:rFonts w:ascii="Verdana" w:hAnsi="Verdana"/>
          <w:sz w:val="24"/>
          <w:szCs w:val="24"/>
        </w:rPr>
        <w:t xml:space="preserve">grant support for passenger operators to invest in ERTMS, helping overcome a major cost implication on new rolling stock orders. </w:t>
      </w:r>
    </w:p>
    <w:p w:rsidR="0062054A" w:rsidRPr="00135FB3" w:rsidP="0062054A">
      <w:pPr>
        <w:rPr>
          <w:rFonts w:ascii="Verdana" w:hAnsi="Verdana"/>
          <w:sz w:val="24"/>
          <w:szCs w:val="24"/>
        </w:rPr>
      </w:pPr>
      <w:r w:rsidRPr="00135FB3">
        <w:rPr>
          <w:rFonts w:ascii="Verdana" w:hAnsi="Verdana"/>
          <w:sz w:val="24"/>
          <w:szCs w:val="24"/>
        </w:rPr>
        <w:t xml:space="preserve">We would greatly welcome the Government’s support to accelerate the long and complex process that entrants face to launch passenger services between the UK and France, which has halted previous attempts and risks deterring new operators. </w:t>
      </w:r>
    </w:p>
    <w:p w:rsidR="0062054A" w:rsidRPr="00135FB3" w:rsidP="0062054A">
      <w:pPr>
        <w:numPr>
          <w:ilvl w:val="0"/>
          <w:numId w:val="2"/>
        </w:numPr>
        <w:rPr>
          <w:rFonts w:ascii="Verdana" w:hAnsi="Verdana"/>
          <w:b/>
          <w:bCs/>
          <w:sz w:val="24"/>
          <w:szCs w:val="24"/>
        </w:rPr>
      </w:pPr>
      <w:bookmarkEnd w:id="0"/>
      <w:r w:rsidRPr="00135FB3">
        <w:rPr>
          <w:rFonts w:ascii="Verdana" w:hAnsi="Verdana"/>
          <w:b/>
          <w:bCs/>
          <w:sz w:val="24"/>
          <w:szCs w:val="24"/>
        </w:rPr>
        <w:t>What impact are the priorities and domestic politics of individual EU Member States likely to have on the UK-EU reset?</w:t>
      </w:r>
    </w:p>
    <w:p w:rsidR="0062054A" w:rsidRPr="00135FB3" w:rsidP="0062054A">
      <w:pPr>
        <w:rPr>
          <w:rFonts w:ascii="Verdana" w:hAnsi="Verdana"/>
          <w:sz w:val="24"/>
          <w:szCs w:val="24"/>
        </w:rPr>
      </w:pPr>
      <w:r w:rsidRPr="00135FB3">
        <w:rPr>
          <w:rFonts w:ascii="Verdana" w:hAnsi="Verdana"/>
          <w:sz w:val="24"/>
          <w:szCs w:val="24"/>
        </w:rPr>
        <w:t>As a business operating across both sides of the Channel, we are impacted by policy decisions in the UK Parliament, EU Commission and the French Parliament – we maintain good relations with all three institutions to ensure the Channel Tunnel remains the fastest, most efficient way of crossing the Short Straits.</w:t>
      </w:r>
    </w:p>
    <w:p w:rsidR="0062054A" w:rsidRPr="00135FB3" w:rsidP="0062054A">
      <w:pPr>
        <w:rPr>
          <w:rFonts w:ascii="Verdana" w:hAnsi="Verdana"/>
          <w:sz w:val="24"/>
          <w:szCs w:val="24"/>
        </w:rPr>
      </w:pPr>
      <w:r w:rsidRPr="00135FB3">
        <w:rPr>
          <w:rFonts w:ascii="Verdana" w:hAnsi="Verdana"/>
          <w:sz w:val="24"/>
          <w:szCs w:val="24"/>
        </w:rPr>
        <w:t xml:space="preserve">The Channel Tunnel is the only fixed link between the UK and the EU and so the state of these relationships is of vital importance to Getlink. </w:t>
      </w:r>
    </w:p>
    <w:p w:rsidR="0062054A" w:rsidRPr="00135FB3" w:rsidP="0062054A">
      <w:pPr>
        <w:rPr>
          <w:rFonts w:ascii="Verdana" w:hAnsi="Verdana"/>
          <w:sz w:val="24"/>
          <w:szCs w:val="24"/>
        </w:rPr>
      </w:pPr>
      <w:r w:rsidRPr="00135FB3">
        <w:rPr>
          <w:rFonts w:ascii="Verdana" w:hAnsi="Verdana"/>
          <w:sz w:val="24"/>
          <w:szCs w:val="24"/>
        </w:rPr>
        <w:t xml:space="preserve">Since the UK left the EU, Getlink has been obliged to spend over £140 million to manage the introduction of new processes and controls on trade, including the Goods Vehicles Movement Scheme (GVMS), checks on UK imports to the EU and EES. Through this investment, we have ensured that total journey times for goods and passenger crossings can remain the same as pre-Brexit. </w:t>
      </w:r>
    </w:p>
    <w:p w:rsidR="0062054A" w:rsidRPr="00135FB3" w:rsidP="0062054A">
      <w:pPr>
        <w:rPr>
          <w:rFonts w:ascii="Verdana" w:hAnsi="Verdana"/>
          <w:sz w:val="24"/>
          <w:szCs w:val="24"/>
        </w:rPr>
      </w:pPr>
      <w:r w:rsidRPr="00135FB3">
        <w:rPr>
          <w:rFonts w:ascii="Verdana" w:hAnsi="Verdana"/>
          <w:sz w:val="24"/>
          <w:szCs w:val="24"/>
        </w:rPr>
        <w:t>The formal review of the Trade and Cooperation Agreement (TCA) concluding by May 2026 will be important to ensure its application can facilitate smoother UK-EU trade. We urge each respective administration to support the ambition for smoother trade and travel between the UK and EU.</w:t>
      </w:r>
    </w:p>
    <w:p w:rsidR="0062054A" w:rsidRPr="00135FB3" w:rsidP="0062054A">
      <w:pPr>
        <w:numPr>
          <w:ilvl w:val="0"/>
          <w:numId w:val="2"/>
        </w:numPr>
        <w:rPr>
          <w:rFonts w:ascii="Verdana" w:hAnsi="Verdana"/>
          <w:b/>
          <w:bCs/>
          <w:sz w:val="24"/>
          <w:szCs w:val="24"/>
        </w:rPr>
      </w:pPr>
      <w:r w:rsidRPr="00135FB3">
        <w:rPr>
          <w:rFonts w:ascii="Verdana" w:hAnsi="Verdana"/>
          <w:b/>
          <w:bCs/>
          <w:sz w:val="24"/>
          <w:szCs w:val="24"/>
        </w:rPr>
        <w:t>How are the policies of the new US Administration likely to affect the UK-EU reset?</w:t>
      </w:r>
    </w:p>
    <w:p w:rsidR="0062054A" w:rsidRPr="00135FB3" w:rsidP="0062054A">
      <w:pPr>
        <w:rPr>
          <w:rFonts w:ascii="Verdana" w:hAnsi="Verdana"/>
          <w:sz w:val="24"/>
          <w:szCs w:val="24"/>
        </w:rPr>
      </w:pPr>
      <w:r w:rsidRPr="00135FB3">
        <w:rPr>
          <w:rFonts w:ascii="Verdana" w:hAnsi="Verdana"/>
          <w:sz w:val="24"/>
          <w:szCs w:val="24"/>
        </w:rPr>
        <w:t>NA</w:t>
      </w:r>
    </w:p>
    <w:p w:rsidR="0062054A" w:rsidRPr="00135FB3" w:rsidP="0062054A">
      <w:pPr>
        <w:numPr>
          <w:ilvl w:val="0"/>
          <w:numId w:val="2"/>
        </w:numPr>
        <w:rPr>
          <w:rFonts w:ascii="Verdana" w:hAnsi="Verdana"/>
          <w:b/>
          <w:bCs/>
          <w:sz w:val="24"/>
          <w:szCs w:val="24"/>
        </w:rPr>
      </w:pPr>
      <w:r w:rsidRPr="00135FB3">
        <w:rPr>
          <w:rFonts w:ascii="Verdana" w:hAnsi="Verdana"/>
          <w:b/>
          <w:bCs/>
          <w:sz w:val="24"/>
          <w:szCs w:val="24"/>
        </w:rPr>
        <w:t>What should be the scope and priorities for the UK-EU security pact that the Government is seeking?</w:t>
      </w:r>
    </w:p>
    <w:p w:rsidR="0062054A" w:rsidRPr="00135FB3" w:rsidP="0062054A">
      <w:pPr>
        <w:rPr>
          <w:rFonts w:ascii="Verdana" w:hAnsi="Verdana"/>
          <w:sz w:val="24"/>
          <w:szCs w:val="24"/>
        </w:rPr>
      </w:pPr>
      <w:r w:rsidRPr="00135FB3">
        <w:rPr>
          <w:rFonts w:ascii="Verdana" w:hAnsi="Verdana"/>
          <w:sz w:val="24"/>
          <w:szCs w:val="24"/>
        </w:rPr>
        <w:t>The security of energy supply should be a priority area during any future security talks between the UK, EU and individual member states. A series of recent alleged attacks (</w:t>
      </w:r>
      <w:r>
        <w:fldChar w:fldCharType="begin"/>
      </w:r>
      <w:r>
        <w:instrText xml:space="preserve"> HYPERLINK "https://www.bbc.co.uk/news/articles/c1elq7lx9qdo" </w:instrText>
      </w:r>
      <w:r>
        <w:fldChar w:fldCharType="separate"/>
      </w:r>
      <w:r w:rsidRPr="00135FB3">
        <w:rPr>
          <w:rStyle w:val="Hyperlink"/>
          <w:rFonts w:ascii="Verdana" w:hAnsi="Verdana"/>
          <w:sz w:val="24"/>
          <w:szCs w:val="24"/>
        </w:rPr>
        <w:t>EstLink 2</w:t>
      </w:r>
      <w:r>
        <w:fldChar w:fldCharType="end"/>
      </w:r>
      <w:r w:rsidRPr="00135FB3">
        <w:rPr>
          <w:rFonts w:ascii="Verdana" w:hAnsi="Verdana"/>
          <w:sz w:val="24"/>
          <w:szCs w:val="24"/>
        </w:rPr>
        <w:t xml:space="preserve"> interconnector between Sweden and Finland; </w:t>
      </w:r>
      <w:r>
        <w:fldChar w:fldCharType="begin"/>
      </w:r>
      <w:r>
        <w:instrText xml:space="preserve"> HYPERLINK "https://www.bbc.co.uk/news/articles/c1elq7lx9qdo" </w:instrText>
      </w:r>
      <w:r>
        <w:fldChar w:fldCharType="separate"/>
      </w:r>
      <w:r w:rsidRPr="00135FB3">
        <w:rPr>
          <w:rStyle w:val="Hyperlink"/>
          <w:rFonts w:ascii="Verdana" w:hAnsi="Verdana"/>
          <w:sz w:val="24"/>
          <w:szCs w:val="24"/>
        </w:rPr>
        <w:t>data cable</w:t>
      </w:r>
      <w:r>
        <w:fldChar w:fldCharType="end"/>
      </w:r>
      <w:r w:rsidRPr="00135FB3">
        <w:rPr>
          <w:rFonts w:ascii="Verdana" w:hAnsi="Verdana"/>
          <w:sz w:val="24"/>
          <w:szCs w:val="24"/>
        </w:rPr>
        <w:t xml:space="preserve"> between Sweden and Latvia) of malicious intent on subsea data, gas and electricity cables endanger both our energy and national security.</w:t>
      </w:r>
    </w:p>
    <w:p w:rsidR="0062054A" w:rsidRPr="00135FB3" w:rsidP="0062054A">
      <w:pPr>
        <w:rPr>
          <w:rFonts w:ascii="Verdana" w:hAnsi="Verdana"/>
          <w:sz w:val="24"/>
          <w:szCs w:val="24"/>
        </w:rPr>
      </w:pPr>
      <w:r w:rsidRPr="00135FB3">
        <w:rPr>
          <w:rFonts w:ascii="Verdana" w:hAnsi="Verdana"/>
          <w:sz w:val="24"/>
          <w:szCs w:val="24"/>
        </w:rPr>
        <w:t>Further UK interconnection with Europe is needed - as per the Government’s Clean Power 2030 Action Plan -  but it will in turn increase the threat of malicious acts. This is why it is essential for the UK to have diversity within its interconnector infrastructure - with a combination of seabed and non-seabed interconnectors required to effectively mitigate risk.</w:t>
      </w:r>
    </w:p>
    <w:p w:rsidR="0062054A" w:rsidRPr="00135FB3" w:rsidP="0062054A">
      <w:pPr>
        <w:rPr>
          <w:rFonts w:ascii="Verdana" w:hAnsi="Verdana"/>
          <w:sz w:val="24"/>
          <w:szCs w:val="24"/>
        </w:rPr>
      </w:pPr>
      <w:r w:rsidRPr="00135FB3">
        <w:rPr>
          <w:rFonts w:ascii="Verdana" w:hAnsi="Verdana"/>
          <w:sz w:val="24"/>
          <w:szCs w:val="24"/>
        </w:rPr>
        <w:t xml:space="preserve">Getlink Group’s proposed second interconnector, ElecLink 2, can offer this diversification of assets, providing a secure, non-seabed interconnection option between the UK and France. Due to its high level of security, Channel Tunnel infrastructure is significantly less vulnerable to external threats and impossible to target utilising the same ‘plausible deniability’ attacks currently being used on seabed cables. </w:t>
      </w:r>
    </w:p>
    <w:p w:rsidR="0062054A" w:rsidRPr="00135FB3" w:rsidP="0062054A">
      <w:pPr>
        <w:rPr>
          <w:rFonts w:ascii="Verdana" w:hAnsi="Verdana"/>
          <w:sz w:val="24"/>
          <w:szCs w:val="24"/>
        </w:rPr>
      </w:pPr>
      <w:r w:rsidRPr="00135FB3">
        <w:rPr>
          <w:rFonts w:ascii="Verdana" w:hAnsi="Verdana"/>
          <w:sz w:val="24"/>
          <w:szCs w:val="24"/>
        </w:rPr>
        <w:t xml:space="preserve">ElecLink 2 will also reduce other risks associated with seabed assets, including shipping or fishing anchor drag, adverse weather and construction risks from seabed installation.  </w:t>
      </w:r>
    </w:p>
    <w:p w:rsidR="0062054A" w:rsidRPr="00135FB3" w:rsidP="0062054A">
      <w:pPr>
        <w:numPr>
          <w:ilvl w:val="0"/>
          <w:numId w:val="6"/>
        </w:numPr>
        <w:rPr>
          <w:rFonts w:ascii="Verdana" w:hAnsi="Verdana"/>
          <w:sz w:val="24"/>
          <w:szCs w:val="24"/>
        </w:rPr>
      </w:pPr>
      <w:bookmarkStart w:id="1" w:name="_Hlk194319669"/>
      <w:r w:rsidRPr="00135FB3">
        <w:rPr>
          <w:rFonts w:ascii="Verdana" w:hAnsi="Verdana"/>
          <w:b/>
          <w:bCs/>
          <w:sz w:val="24"/>
          <w:szCs w:val="24"/>
        </w:rPr>
        <w:t>Recommendation:</w:t>
      </w:r>
      <w:r w:rsidRPr="00135FB3">
        <w:rPr>
          <w:rFonts w:ascii="Verdana" w:hAnsi="Verdana"/>
          <w:sz w:val="24"/>
          <w:szCs w:val="24"/>
        </w:rPr>
        <w:t xml:space="preserve"> We urge respective Governments and regulators to recognise the need for viable, secure projects that provide diverse, resilient interconnection options in case of attacks on more vulnerable infrastructure. This should include distinct recognition and support for projects that are built inside protected infrastructure.</w:t>
      </w:r>
    </w:p>
    <w:p w:rsidR="0062054A" w:rsidRPr="00135FB3" w:rsidP="0062054A">
      <w:pPr>
        <w:numPr>
          <w:ilvl w:val="0"/>
          <w:numId w:val="2"/>
        </w:numPr>
        <w:rPr>
          <w:rFonts w:ascii="Verdana" w:hAnsi="Verdana"/>
          <w:b/>
          <w:bCs/>
          <w:sz w:val="24"/>
          <w:szCs w:val="24"/>
        </w:rPr>
      </w:pPr>
      <w:bookmarkEnd w:id="1"/>
      <w:r w:rsidRPr="00135FB3">
        <w:rPr>
          <w:rFonts w:ascii="Verdana" w:hAnsi="Verdana"/>
          <w:b/>
          <w:bCs/>
          <w:sz w:val="24"/>
          <w:szCs w:val="24"/>
        </w:rPr>
        <w:t>In the area of trade and mobility of people, the Government has identified three priorities for negotiation with the EU: a veterinary/SPS agreement; mutual recognition of professional qualifications (MRPQs); and easier access for UK touring artists in the EU. Are these the right priorities? Are they achievable? Are there other sectors which the Government should be including in the reset—for example, in the field of financial services?</w:t>
      </w:r>
    </w:p>
    <w:p w:rsidR="0062054A" w:rsidRPr="00135FB3" w:rsidP="0062054A">
      <w:pPr>
        <w:rPr>
          <w:rFonts w:ascii="Verdana" w:hAnsi="Verdana"/>
          <w:sz w:val="24"/>
          <w:szCs w:val="24"/>
        </w:rPr>
      </w:pPr>
      <w:r w:rsidRPr="00135FB3">
        <w:rPr>
          <w:rFonts w:ascii="Verdana" w:hAnsi="Verdana"/>
          <w:sz w:val="24"/>
          <w:szCs w:val="24"/>
        </w:rPr>
        <w:t xml:space="preserve">We agree with the above priorities, in particular a veterinary and SPS agreement. We strongly believe such an agreement is achievable, as it is in the clear mutual interest for businesses and consumers in both the UK and EU. </w:t>
      </w:r>
    </w:p>
    <w:p w:rsidR="0062054A" w:rsidRPr="00135FB3" w:rsidP="0062054A">
      <w:pPr>
        <w:numPr>
          <w:ilvl w:val="0"/>
          <w:numId w:val="2"/>
        </w:numPr>
        <w:rPr>
          <w:rFonts w:ascii="Verdana" w:hAnsi="Verdana"/>
          <w:b/>
          <w:bCs/>
          <w:sz w:val="24"/>
          <w:szCs w:val="24"/>
        </w:rPr>
      </w:pPr>
      <w:r w:rsidRPr="00135FB3">
        <w:rPr>
          <w:rFonts w:ascii="Verdana" w:hAnsi="Verdana"/>
          <w:b/>
          <w:bCs/>
          <w:sz w:val="24"/>
          <w:szCs w:val="24"/>
        </w:rPr>
        <w:t>In trade, what is—or could be—the relationship between the UK-EU reset and the UK’s current or potential relationships beyond Europe?</w:t>
      </w:r>
    </w:p>
    <w:p w:rsidR="0062054A" w:rsidRPr="00135FB3" w:rsidP="0062054A">
      <w:pPr>
        <w:rPr>
          <w:rFonts w:ascii="Verdana" w:hAnsi="Verdana"/>
          <w:sz w:val="24"/>
          <w:szCs w:val="24"/>
        </w:rPr>
      </w:pPr>
      <w:r w:rsidRPr="00135FB3">
        <w:rPr>
          <w:rFonts w:ascii="Verdana" w:hAnsi="Verdana"/>
          <w:sz w:val="24"/>
          <w:szCs w:val="24"/>
        </w:rPr>
        <w:t>NA</w:t>
      </w:r>
    </w:p>
    <w:p w:rsidR="0062054A" w:rsidRPr="00135FB3" w:rsidP="0062054A">
      <w:pPr>
        <w:numPr>
          <w:ilvl w:val="0"/>
          <w:numId w:val="2"/>
        </w:numPr>
        <w:rPr>
          <w:rFonts w:ascii="Verdana" w:hAnsi="Verdana"/>
          <w:b/>
          <w:bCs/>
          <w:sz w:val="24"/>
          <w:szCs w:val="24"/>
        </w:rPr>
      </w:pPr>
      <w:r w:rsidRPr="00135FB3">
        <w:rPr>
          <w:rFonts w:ascii="Verdana" w:hAnsi="Verdana"/>
          <w:b/>
          <w:bCs/>
          <w:sz w:val="24"/>
          <w:szCs w:val="24"/>
        </w:rPr>
        <w:t>As part of its reset plans, how should the Government deal with the expiry in 2026 of TCA provisions on fisheries and energy?</w:t>
      </w:r>
    </w:p>
    <w:p w:rsidR="0062054A" w:rsidRPr="00135FB3" w:rsidP="0062054A">
      <w:pPr>
        <w:rPr>
          <w:rFonts w:ascii="Verdana" w:hAnsi="Verdana"/>
          <w:sz w:val="24"/>
          <w:szCs w:val="24"/>
        </w:rPr>
      </w:pPr>
      <w:r w:rsidRPr="00135FB3">
        <w:rPr>
          <w:rFonts w:ascii="Verdana" w:hAnsi="Verdana"/>
          <w:sz w:val="24"/>
          <w:szCs w:val="24"/>
        </w:rPr>
        <w:t>An agreement on the provision of energy, and more specifically the security of energy supply, should form a key part of the agreement. Building on the current energy provisions, future provisions should include:</w:t>
      </w:r>
    </w:p>
    <w:p w:rsidR="0062054A" w:rsidRPr="00135FB3" w:rsidP="0062054A">
      <w:pPr>
        <w:numPr>
          <w:ilvl w:val="0"/>
          <w:numId w:val="6"/>
        </w:numPr>
        <w:rPr>
          <w:rFonts w:ascii="Verdana" w:hAnsi="Verdana"/>
          <w:sz w:val="24"/>
          <w:szCs w:val="24"/>
        </w:rPr>
      </w:pPr>
      <w:r w:rsidRPr="00135FB3">
        <w:rPr>
          <w:rFonts w:ascii="Verdana" w:hAnsi="Verdana"/>
          <w:b/>
          <w:bCs/>
          <w:sz w:val="24"/>
          <w:szCs w:val="24"/>
        </w:rPr>
        <w:t>Security of energy supply</w:t>
      </w:r>
      <w:r w:rsidRPr="00135FB3">
        <w:rPr>
          <w:rFonts w:ascii="Verdana" w:hAnsi="Verdana"/>
          <w:sz w:val="24"/>
          <w:szCs w:val="24"/>
        </w:rPr>
        <w:t>: Recognition of the benefits of protected assets (interconnectors, data cables and gas transfer) in delivering energy and national security between the UK and EU. This will ensure each jurisdiction has a diverse portfolio of both seabed and non-seabed assets, which will reduce reliance upon easily-targeted seabed-assets.</w:t>
      </w:r>
    </w:p>
    <w:p w:rsidR="0062054A" w:rsidRPr="00135FB3" w:rsidP="0062054A">
      <w:pPr>
        <w:rPr>
          <w:rFonts w:ascii="Verdana" w:hAnsi="Verdana"/>
          <w:b/>
          <w:bCs/>
          <w:i/>
          <w:iCs/>
          <w:sz w:val="24"/>
          <w:szCs w:val="24"/>
          <w:u w:val="single"/>
        </w:rPr>
      </w:pPr>
      <w:r w:rsidRPr="00135FB3">
        <w:rPr>
          <w:rFonts w:ascii="Verdana" w:hAnsi="Verdana"/>
          <w:b/>
          <w:bCs/>
          <w:i/>
          <w:iCs/>
          <w:sz w:val="24"/>
          <w:szCs w:val="24"/>
          <w:u w:val="single"/>
        </w:rPr>
        <w:t>The reset process</w:t>
      </w:r>
    </w:p>
    <w:p w:rsidR="0062054A" w:rsidRPr="00135FB3" w:rsidP="0062054A">
      <w:pPr>
        <w:numPr>
          <w:ilvl w:val="0"/>
          <w:numId w:val="2"/>
        </w:numPr>
        <w:rPr>
          <w:rFonts w:ascii="Verdana" w:hAnsi="Verdana"/>
          <w:sz w:val="24"/>
          <w:szCs w:val="24"/>
        </w:rPr>
      </w:pPr>
      <w:r w:rsidRPr="00135FB3">
        <w:rPr>
          <w:rFonts w:ascii="Verdana" w:hAnsi="Verdana"/>
          <w:b/>
          <w:bCs/>
          <w:sz w:val="24"/>
          <w:szCs w:val="24"/>
        </w:rPr>
        <w:t>In the context of the overall reset, how should the Government approach the scheduled review of the TCA?</w:t>
      </w:r>
    </w:p>
    <w:p w:rsidR="0062054A" w:rsidRPr="00135FB3" w:rsidP="0062054A">
      <w:pPr>
        <w:rPr>
          <w:rFonts w:ascii="Verdana" w:hAnsi="Verdana"/>
          <w:sz w:val="24"/>
          <w:szCs w:val="24"/>
        </w:rPr>
      </w:pPr>
      <w:r w:rsidRPr="00135FB3">
        <w:rPr>
          <w:rFonts w:ascii="Verdana" w:hAnsi="Verdana"/>
          <w:sz w:val="24"/>
          <w:szCs w:val="24"/>
        </w:rPr>
        <w:t xml:space="preserve">The Government should approach the reset with the ambition to pursue deeper ties with the EU on trade and travel, and  cement the EU’s position as the UK’s most important trading partner. Based on an ecosystem of trust, this must begin with a pragmatic approach to border security. Our relationship with the EU is essential for a huge proportion of our food imports, critical components for UK manufacturing and over 40% of our exports. This reset should also be seen as an economic growth lever, opening up new opportunities for UK businesses.  </w:t>
      </w:r>
    </w:p>
    <w:p w:rsidR="0062054A" w:rsidRPr="00135FB3" w:rsidP="0062054A">
      <w:pPr>
        <w:rPr>
          <w:rFonts w:ascii="Verdana" w:hAnsi="Verdana"/>
          <w:sz w:val="24"/>
          <w:szCs w:val="24"/>
        </w:rPr>
      </w:pPr>
      <w:r w:rsidRPr="00135FB3">
        <w:rPr>
          <w:rFonts w:ascii="Verdana" w:hAnsi="Verdana"/>
          <w:sz w:val="24"/>
          <w:szCs w:val="24"/>
          <w:lang w:val="en-US"/>
        </w:rPr>
        <w:t xml:space="preserve">As outlined in the 2025 UK Border Strategy, a key transformation identified by the Government to establish the “world’s most effective border” is the need to </w:t>
      </w:r>
      <w:r w:rsidRPr="00135FB3">
        <w:rPr>
          <w:rFonts w:ascii="Verdana" w:hAnsi="Verdana"/>
          <w:i/>
          <w:iCs/>
          <w:sz w:val="24"/>
          <w:szCs w:val="24"/>
          <w:lang w:val="en-US"/>
        </w:rPr>
        <w:t>“shape the future development of borders worldwide, to promote the UK’s interests and facilitate end-to-end trade and travel”.</w:t>
      </w:r>
      <w:r w:rsidRPr="00135FB3">
        <w:rPr>
          <w:rFonts w:ascii="Verdana" w:hAnsi="Verdana"/>
          <w:sz w:val="24"/>
          <w:szCs w:val="24"/>
          <w:lang w:val="en-US"/>
        </w:rPr>
        <w:t xml:space="preserve"> </w:t>
      </w:r>
    </w:p>
    <w:p w:rsidR="0062054A" w:rsidRPr="00135FB3" w:rsidP="0062054A">
      <w:pPr>
        <w:rPr>
          <w:rFonts w:ascii="Verdana" w:hAnsi="Verdana"/>
          <w:sz w:val="24"/>
          <w:szCs w:val="24"/>
          <w:lang w:val="en-US"/>
        </w:rPr>
      </w:pPr>
      <w:r w:rsidRPr="00135FB3">
        <w:rPr>
          <w:rFonts w:ascii="Verdana" w:hAnsi="Verdana"/>
          <w:sz w:val="24"/>
          <w:szCs w:val="24"/>
          <w:lang w:val="en-US"/>
        </w:rPr>
        <w:t xml:space="preserve">In order to achieve the above, it is important for the UK Government to continue its engagement with its French and EU counterparts in ensuring the smooth flow of goods between the Great Britain and continental Europe and preparing for the introduction of EES. </w:t>
      </w:r>
    </w:p>
    <w:p w:rsidR="0062054A" w:rsidRPr="00135FB3" w:rsidP="0062054A">
      <w:pPr>
        <w:numPr>
          <w:ilvl w:val="0"/>
          <w:numId w:val="2"/>
        </w:numPr>
        <w:rPr>
          <w:rFonts w:ascii="Verdana" w:hAnsi="Verdana"/>
          <w:b/>
          <w:bCs/>
          <w:sz w:val="24"/>
          <w:szCs w:val="24"/>
        </w:rPr>
      </w:pPr>
      <w:r w:rsidRPr="00135FB3">
        <w:rPr>
          <w:rFonts w:ascii="Verdana" w:hAnsi="Verdana"/>
          <w:b/>
          <w:bCs/>
          <w:sz w:val="24"/>
          <w:szCs w:val="24"/>
        </w:rPr>
        <w:t>As it pursues its reset objectives, how can the Government influence the EU most effectively—including through the role of bilateral relations with European countries and the UK’s position in other European multilateral organisations?</w:t>
      </w:r>
    </w:p>
    <w:p w:rsidR="0062054A" w:rsidRPr="00135FB3" w:rsidP="0062054A">
      <w:pPr>
        <w:rPr>
          <w:rFonts w:ascii="Verdana" w:hAnsi="Verdana"/>
          <w:sz w:val="24"/>
          <w:szCs w:val="24"/>
        </w:rPr>
      </w:pPr>
      <w:r w:rsidRPr="00135FB3">
        <w:rPr>
          <w:rFonts w:ascii="Verdana" w:hAnsi="Verdana"/>
          <w:sz w:val="24"/>
          <w:szCs w:val="24"/>
        </w:rPr>
        <w:t>NA</w:t>
      </w:r>
    </w:p>
    <w:p w:rsidR="0062054A" w:rsidRPr="00135FB3" w:rsidP="0062054A">
      <w:pPr>
        <w:numPr>
          <w:ilvl w:val="0"/>
          <w:numId w:val="2"/>
        </w:numPr>
        <w:rPr>
          <w:rFonts w:ascii="Verdana" w:hAnsi="Verdana"/>
          <w:b/>
          <w:bCs/>
          <w:sz w:val="24"/>
          <w:szCs w:val="24"/>
        </w:rPr>
      </w:pPr>
      <w:r w:rsidRPr="00135FB3">
        <w:rPr>
          <w:rFonts w:ascii="Verdana" w:hAnsi="Verdana"/>
          <w:b/>
          <w:bCs/>
          <w:sz w:val="24"/>
          <w:szCs w:val="24"/>
        </w:rPr>
        <w:t>As it pursues the reset, are there lessons that the Government could usefully learn from other non-EU countries—such as Switzerland, Norway or Canada?</w:t>
      </w:r>
    </w:p>
    <w:p w:rsidR="0062054A" w:rsidRPr="00135FB3" w:rsidP="0062054A">
      <w:pPr>
        <w:rPr>
          <w:rFonts w:ascii="Verdana" w:hAnsi="Verdana"/>
          <w:sz w:val="24"/>
          <w:szCs w:val="24"/>
        </w:rPr>
      </w:pPr>
      <w:r w:rsidRPr="00135FB3">
        <w:rPr>
          <w:rFonts w:ascii="Verdana" w:hAnsi="Verdana"/>
          <w:sz w:val="24"/>
          <w:szCs w:val="24"/>
        </w:rPr>
        <w:t>NA</w:t>
      </w:r>
    </w:p>
    <w:p w:rsidR="0062054A" w:rsidRPr="00135FB3" w:rsidP="0062054A">
      <w:pPr>
        <w:numPr>
          <w:ilvl w:val="0"/>
          <w:numId w:val="2"/>
        </w:numPr>
        <w:rPr>
          <w:rFonts w:ascii="Verdana" w:hAnsi="Verdana"/>
          <w:b/>
          <w:bCs/>
          <w:sz w:val="24"/>
          <w:szCs w:val="24"/>
        </w:rPr>
      </w:pPr>
      <w:r w:rsidRPr="00135FB3">
        <w:rPr>
          <w:rFonts w:ascii="Verdana" w:hAnsi="Verdana"/>
          <w:b/>
          <w:bCs/>
          <w:sz w:val="24"/>
          <w:szCs w:val="24"/>
        </w:rPr>
        <w:t>Will the UK’s new machinery-of-government arrangements enable the Government to be as effective as possible in its engagement with the EU? If not, what further modifications would you advise?</w:t>
      </w:r>
    </w:p>
    <w:p w:rsidR="0062054A" w:rsidRPr="00135FB3" w:rsidP="0062054A">
      <w:pPr>
        <w:rPr>
          <w:rFonts w:ascii="Verdana" w:hAnsi="Verdana"/>
          <w:sz w:val="24"/>
          <w:szCs w:val="24"/>
        </w:rPr>
      </w:pPr>
      <w:r w:rsidRPr="00135FB3">
        <w:rPr>
          <w:rFonts w:ascii="Verdana" w:hAnsi="Verdana"/>
          <w:sz w:val="24"/>
          <w:szCs w:val="24"/>
        </w:rPr>
        <w:t>NA</w:t>
      </w:r>
    </w:p>
    <w:p w:rsidR="0062054A" w:rsidRPr="00135FB3" w:rsidP="0062054A">
      <w:pPr>
        <w:numPr>
          <w:ilvl w:val="0"/>
          <w:numId w:val="2"/>
        </w:numPr>
        <w:rPr>
          <w:rFonts w:ascii="Verdana" w:hAnsi="Verdana"/>
          <w:b/>
          <w:bCs/>
          <w:sz w:val="24"/>
          <w:szCs w:val="24"/>
        </w:rPr>
      </w:pPr>
      <w:r w:rsidRPr="00135FB3">
        <w:rPr>
          <w:rFonts w:ascii="Verdana" w:hAnsi="Verdana"/>
          <w:b/>
          <w:bCs/>
          <w:sz w:val="24"/>
          <w:szCs w:val="24"/>
        </w:rPr>
        <w:t>How can the Government most effectively engage with and inform the devolved Administrations and legislatures, the public, parliamentarians and business and other domestic stakeholders with respect to the reset process? Are there lessons that the Government could learn from the UK’s negotiation of post-Brexit trade agreements with partners other than the EU?</w:t>
      </w:r>
    </w:p>
    <w:p w:rsidR="0062054A" w:rsidRPr="00135FB3" w:rsidP="0062054A">
      <w:pPr>
        <w:rPr>
          <w:rFonts w:ascii="Verdana" w:hAnsi="Verdana"/>
          <w:sz w:val="24"/>
          <w:szCs w:val="24"/>
        </w:rPr>
      </w:pPr>
      <w:r w:rsidRPr="00135FB3">
        <w:rPr>
          <w:rFonts w:ascii="Verdana" w:hAnsi="Verdana"/>
          <w:sz w:val="24"/>
          <w:szCs w:val="24"/>
        </w:rPr>
        <w:t xml:space="preserve">UK traders have been obliged to follow a huge range of new border measures since the UK’s withdrawal from the EU. These policies have often been delayed at short notice, changed significantly or dropped altogether. This has had a huge impact on business confidence and forced some traders to explore alternative markets or trading routes, or reduce exports. </w:t>
      </w:r>
    </w:p>
    <w:p w:rsidR="0062054A" w:rsidRPr="00135FB3" w:rsidP="0062054A">
      <w:pPr>
        <w:rPr>
          <w:rFonts w:ascii="Verdana" w:hAnsi="Verdana"/>
          <w:sz w:val="24"/>
          <w:szCs w:val="24"/>
        </w:rPr>
      </w:pPr>
      <w:r w:rsidRPr="00135FB3">
        <w:rPr>
          <w:rFonts w:ascii="Verdana" w:hAnsi="Verdana"/>
          <w:sz w:val="24"/>
          <w:szCs w:val="24"/>
        </w:rPr>
        <w:t xml:space="preserve">So, it is absolutely essential that the Government engages meaningfully with businesses, trade associations and third parties about their priority areas for renegotiation of the TCA, to provide confidence and certainty over future policy direction. Corralling views at Government level will provide a 360-degree of priorities across sectors, ensuring there are no gaps in the Government’s knowledge. </w:t>
      </w:r>
    </w:p>
    <w:p w:rsidR="0062054A" w:rsidRPr="00135FB3" w:rsidP="0062054A">
      <w:pPr>
        <w:rPr>
          <w:rFonts w:ascii="Verdana" w:hAnsi="Verdana"/>
          <w:sz w:val="24"/>
          <w:szCs w:val="24"/>
        </w:rPr>
      </w:pPr>
      <w:r w:rsidRPr="00135FB3">
        <w:rPr>
          <w:rFonts w:ascii="Verdana" w:hAnsi="Verdana"/>
          <w:sz w:val="24"/>
          <w:szCs w:val="24"/>
        </w:rPr>
        <w:t>This would most effectively be achieved through close dialogue with trade bodies and European embassies in the UK, sectoral working groups, and a public consultation process.</w:t>
      </w:r>
    </w:p>
    <w:p w:rsidR="0062054A" w:rsidRPr="00135FB3" w:rsidP="0062054A">
      <w:pPr>
        <w:numPr>
          <w:ilvl w:val="0"/>
          <w:numId w:val="2"/>
        </w:numPr>
        <w:rPr>
          <w:rFonts w:ascii="Verdana" w:hAnsi="Verdana"/>
          <w:b/>
          <w:bCs/>
          <w:sz w:val="24"/>
          <w:szCs w:val="24"/>
        </w:rPr>
      </w:pPr>
      <w:r w:rsidRPr="00135FB3">
        <w:rPr>
          <w:rFonts w:ascii="Verdana" w:hAnsi="Verdana"/>
          <w:b/>
          <w:bCs/>
          <w:sz w:val="24"/>
          <w:szCs w:val="24"/>
        </w:rPr>
        <w:t>Is it necessary or desirable for the results of any UK-EU reset to take legally binding form? If so, what legal form should be taken by any new UK-EU agreements, and what would be the implications for parliamentary scrutiny?</w:t>
      </w:r>
    </w:p>
    <w:p w:rsidR="0062054A" w:rsidRPr="00135FB3" w:rsidP="0062054A">
      <w:pPr>
        <w:rPr>
          <w:rFonts w:ascii="Verdana" w:hAnsi="Verdana"/>
          <w:sz w:val="24"/>
          <w:szCs w:val="24"/>
        </w:rPr>
      </w:pPr>
      <w:r w:rsidRPr="00135FB3">
        <w:rPr>
          <w:rFonts w:ascii="Verdana" w:hAnsi="Verdana"/>
          <w:sz w:val="24"/>
          <w:szCs w:val="24"/>
        </w:rPr>
        <w:t>NA</w:t>
      </w:r>
    </w:p>
    <w:p w:rsidR="0062054A" w:rsidRPr="00135FB3" w:rsidP="0062054A">
      <w:pPr>
        <w:rPr>
          <w:rFonts w:ascii="Verdana" w:hAnsi="Verdana"/>
          <w:sz w:val="24"/>
          <w:szCs w:val="24"/>
        </w:rPr>
      </w:pPr>
    </w:p>
    <w:p w:rsidR="002F6376" w:rsidRPr="004C7A7F">
      <w:pPr>
        <w:rPr>
          <w:rFonts w:ascii="Verdana" w:hAnsi="Verdana"/>
          <w:b/>
          <w:bCs/>
          <w:sz w:val="24"/>
          <w:szCs w:val="24"/>
        </w:rPr>
      </w:pPr>
      <w:r w:rsidRPr="004C7A7F">
        <w:rPr>
          <w:rFonts w:ascii="Verdana" w:hAnsi="Verdana"/>
          <w:b/>
          <w:bCs/>
          <w:sz w:val="24"/>
          <w:szCs w:val="24"/>
        </w:rPr>
        <w:t>Received 1 April 2025</w:t>
      </w:r>
    </w:p>
    <w:sectPr w:rsidSect="0062054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7E597F"/>
    <w:multiLevelType w:val="multilevel"/>
    <w:tmpl w:val="3594FAE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nsid w:val="118D7DA8"/>
    <w:multiLevelType w:val="multilevel"/>
    <w:tmpl w:val="BA5858C6"/>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2">
    <w:nsid w:val="1DA0310B"/>
    <w:multiLevelType w:val="multilevel"/>
    <w:tmpl w:val="85BE6DBC"/>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3">
    <w:nsid w:val="6A2972DA"/>
    <w:multiLevelType w:val="multilevel"/>
    <w:tmpl w:val="B64C1EFC"/>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4">
    <w:nsid w:val="748E3DD1"/>
    <w:multiLevelType w:val="multilevel"/>
    <w:tmpl w:val="92F07B4E"/>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5">
    <w:nsid w:val="7D270B67"/>
    <w:multiLevelType w:val="multilevel"/>
    <w:tmpl w:val="2B4C86C8"/>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1" w:formatting="1" w:inkAnnotations="0" w:insDel="1" w:markup="1"/>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054A"/>
    <w:pPr>
      <w:suppressAutoHyphens/>
      <w:autoSpaceDN w:val="0"/>
      <w:spacing w:line="256" w:lineRule="auto"/>
    </w:pPr>
    <w:rPr>
      <w:rFonts w:ascii="Aptos" w:eastAsia="Aptos" w:hAnsi="Aptos" w:cs="Times New Roman"/>
      <w:kern w:val="3"/>
    </w:rPr>
  </w:style>
  <w:style w:type="paragraph" w:styleId="Heading1">
    <w:name w:val="heading 1"/>
    <w:basedOn w:val="Normal"/>
    <w:next w:val="Normal"/>
    <w:link w:val="Heading1Char"/>
    <w:uiPriority w:val="9"/>
    <w:qFormat/>
    <w:rsid w:val="00620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0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05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0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0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05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5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5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5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54A"/>
    <w:rPr>
      <w:rFonts w:eastAsiaTheme="majorEastAsia" w:cstheme="majorBidi"/>
      <w:color w:val="272727" w:themeColor="text1" w:themeTint="D8"/>
    </w:rPr>
  </w:style>
  <w:style w:type="paragraph" w:styleId="Title">
    <w:name w:val="Title"/>
    <w:basedOn w:val="Normal"/>
    <w:next w:val="Normal"/>
    <w:link w:val="TitleChar"/>
    <w:uiPriority w:val="10"/>
    <w:qFormat/>
    <w:rsid w:val="00620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5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54A"/>
    <w:pPr>
      <w:spacing w:before="160"/>
      <w:jc w:val="center"/>
    </w:pPr>
    <w:rPr>
      <w:i/>
      <w:iCs/>
      <w:color w:val="404040" w:themeColor="text1" w:themeTint="BF"/>
    </w:rPr>
  </w:style>
  <w:style w:type="character" w:customStyle="1" w:styleId="QuoteChar">
    <w:name w:val="Quote Char"/>
    <w:basedOn w:val="DefaultParagraphFont"/>
    <w:link w:val="Quote"/>
    <w:uiPriority w:val="29"/>
    <w:rsid w:val="0062054A"/>
    <w:rPr>
      <w:i/>
      <w:iCs/>
      <w:color w:val="404040" w:themeColor="text1" w:themeTint="BF"/>
    </w:rPr>
  </w:style>
  <w:style w:type="paragraph" w:styleId="ListParagraph">
    <w:name w:val="List Paragraph"/>
    <w:basedOn w:val="Normal"/>
    <w:uiPriority w:val="34"/>
    <w:qFormat/>
    <w:rsid w:val="0062054A"/>
    <w:pPr>
      <w:ind w:left="720"/>
      <w:contextualSpacing/>
    </w:pPr>
  </w:style>
  <w:style w:type="character" w:styleId="IntenseEmphasis">
    <w:name w:val="Intense Emphasis"/>
    <w:basedOn w:val="DefaultParagraphFont"/>
    <w:uiPriority w:val="21"/>
    <w:qFormat/>
    <w:rsid w:val="0062054A"/>
    <w:rPr>
      <w:i/>
      <w:iCs/>
      <w:color w:val="0F4761" w:themeColor="accent1" w:themeShade="BF"/>
    </w:rPr>
  </w:style>
  <w:style w:type="paragraph" w:styleId="IntenseQuote">
    <w:name w:val="Intense Quote"/>
    <w:basedOn w:val="Normal"/>
    <w:next w:val="Normal"/>
    <w:link w:val="IntenseQuoteChar"/>
    <w:uiPriority w:val="30"/>
    <w:qFormat/>
    <w:rsid w:val="00620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054A"/>
    <w:rPr>
      <w:i/>
      <w:iCs/>
      <w:color w:val="0F4761" w:themeColor="accent1" w:themeShade="BF"/>
    </w:rPr>
  </w:style>
  <w:style w:type="character" w:styleId="IntenseReference">
    <w:name w:val="Intense Reference"/>
    <w:basedOn w:val="DefaultParagraphFont"/>
    <w:uiPriority w:val="32"/>
    <w:qFormat/>
    <w:rsid w:val="0062054A"/>
    <w:rPr>
      <w:b/>
      <w:bCs/>
      <w:smallCaps/>
      <w:color w:val="0F4761" w:themeColor="accent1" w:themeShade="BF"/>
      <w:spacing w:val="5"/>
    </w:rPr>
  </w:style>
  <w:style w:type="paragraph" w:styleId="Header">
    <w:name w:val="header"/>
    <w:basedOn w:val="Normal"/>
    <w:link w:val="HeaderChar"/>
    <w:rsid w:val="0062054A"/>
    <w:pPr>
      <w:tabs>
        <w:tab w:val="center" w:pos="4680"/>
        <w:tab w:val="right" w:pos="9360"/>
      </w:tabs>
      <w:spacing w:after="0" w:line="240" w:lineRule="auto"/>
    </w:pPr>
  </w:style>
  <w:style w:type="character" w:customStyle="1" w:styleId="HeaderChar">
    <w:name w:val="Header Char"/>
    <w:basedOn w:val="DefaultParagraphFont"/>
    <w:link w:val="Header"/>
    <w:rsid w:val="0062054A"/>
    <w:rPr>
      <w:rFonts w:ascii="Aptos" w:eastAsia="Aptos" w:hAnsi="Aptos" w:cs="Times New Roman"/>
      <w:kern w:val="3"/>
    </w:rPr>
  </w:style>
  <w:style w:type="character" w:styleId="Hyperlink">
    <w:name w:val="Hyperlink"/>
    <w:basedOn w:val="DefaultParagraphFont"/>
    <w:rsid w:val="0062054A"/>
    <w:rPr>
      <w:color w:val="467886"/>
      <w:u w:val="single"/>
    </w:rPr>
  </w:style>
  <w:style w:type="paragraph" w:styleId="Footer">
    <w:name w:val="footer"/>
    <w:basedOn w:val="Normal"/>
    <w:link w:val="FooterChar"/>
    <w:uiPriority w:val="99"/>
    <w:unhideWhenUsed/>
    <w:rsid w:val="00135F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FB3"/>
    <w:rPr>
      <w:rFonts w:ascii="Aptos" w:eastAsia="Aptos" w:hAnsi="Aptos"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