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456A9" w:rsidRPr="00C456A9" w:rsidP="00C456A9">
      <w:pPr>
        <w:spacing w:after="0" w:line="240" w:lineRule="auto"/>
        <w:rPr>
          <w:rFonts w:ascii="Verdana" w:hAnsi="Verdana" w:cs="Times New Roman"/>
          <w:b/>
          <w:bCs/>
          <w:sz w:val="28"/>
          <w:szCs w:val="28"/>
        </w:rPr>
      </w:pPr>
      <w:r w:rsidRPr="00C456A9">
        <w:rPr>
          <w:rFonts w:ascii="Verdana" w:hAnsi="Verdana" w:cs="Times New Roman"/>
          <w:b/>
          <w:bCs/>
          <w:sz w:val="28"/>
          <w:szCs w:val="28"/>
        </w:rPr>
        <w:t xml:space="preserve">Benjamin </w:t>
      </w:r>
      <w:r w:rsidRPr="00C456A9">
        <w:rPr>
          <w:rFonts w:ascii="Verdana" w:hAnsi="Verdana" w:cs="Times New Roman"/>
          <w:b/>
          <w:bCs/>
          <w:sz w:val="28"/>
          <w:szCs w:val="28"/>
        </w:rPr>
        <w:t>Martill</w:t>
      </w:r>
      <w:r w:rsidRPr="00C456A9">
        <w:rPr>
          <w:rFonts w:ascii="Verdana" w:hAnsi="Verdana" w:cs="Times New Roman"/>
          <w:b/>
          <w:bCs/>
          <w:sz w:val="28"/>
          <w:szCs w:val="28"/>
        </w:rPr>
        <w:t xml:space="preserve"> and Monika Sus - </w:t>
      </w:r>
      <w:r w:rsidRPr="00C456A9">
        <w:rPr>
          <w:rFonts w:ascii="Verdana" w:hAnsi="Verdana"/>
          <w:b/>
          <w:bCs/>
          <w:sz w:val="28"/>
          <w:szCs w:val="28"/>
        </w:rPr>
        <w:t>Written Evidence (RES00</w:t>
      </w:r>
      <w:r w:rsidRPr="00C456A9">
        <w:rPr>
          <w:rFonts w:ascii="Verdana" w:hAnsi="Verdana"/>
          <w:b/>
          <w:bCs/>
          <w:sz w:val="28"/>
          <w:szCs w:val="28"/>
        </w:rPr>
        <w:t>5</w:t>
      </w:r>
      <w:r w:rsidRPr="00C456A9">
        <w:rPr>
          <w:rFonts w:ascii="Verdana" w:hAnsi="Verdana"/>
          <w:b/>
          <w:bCs/>
          <w:sz w:val="28"/>
          <w:szCs w:val="28"/>
        </w:rPr>
        <w:t>9)</w:t>
      </w:r>
    </w:p>
    <w:p w:rsidR="00C456A9" w:rsidRPr="00C456A9" w:rsidP="00042314">
      <w:pPr>
        <w:spacing w:after="0" w:line="240" w:lineRule="auto"/>
        <w:jc w:val="center"/>
        <w:rPr>
          <w:rFonts w:ascii="Verdana" w:hAnsi="Verdana" w:cs="Times New Roman"/>
          <w:b/>
          <w:bCs/>
          <w:u w:val="single"/>
        </w:rPr>
      </w:pPr>
    </w:p>
    <w:p w:rsidR="00C456A9" w:rsidRPr="00C456A9" w:rsidP="00042314">
      <w:pPr>
        <w:spacing w:after="0" w:line="240" w:lineRule="auto"/>
        <w:jc w:val="center"/>
        <w:rPr>
          <w:rFonts w:ascii="Verdana" w:hAnsi="Verdana" w:cs="Times New Roman"/>
          <w:b/>
          <w:bCs/>
          <w:u w:val="single"/>
        </w:rPr>
      </w:pPr>
      <w:r w:rsidRPr="00C456A9">
        <w:rPr>
          <w:rFonts w:ascii="Verdana" w:hAnsi="Verdana" w:cs="Times New Roman"/>
          <w:b/>
          <w:bCs/>
          <w:u w:val="single"/>
        </w:rPr>
        <w:t>Evidence Submission – The UK-EU Reset</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p>
    <w:p w:rsidR="00C456A9" w:rsidRPr="00C456A9" w:rsidP="00C75FA1">
      <w:pPr>
        <w:spacing w:after="0" w:line="240" w:lineRule="auto"/>
        <w:jc w:val="center"/>
        <w:rPr>
          <w:rFonts w:ascii="Verdana" w:hAnsi="Verdana" w:cs="Times New Roman"/>
          <w:b/>
          <w:bCs/>
        </w:rPr>
      </w:pPr>
      <w:r w:rsidRPr="00C456A9">
        <w:rPr>
          <w:rFonts w:ascii="Verdana" w:hAnsi="Verdana" w:cs="Times New Roman"/>
          <w:b/>
          <w:bCs/>
        </w:rPr>
        <w:t>Benjamin Martill</w:t>
      </w:r>
    </w:p>
    <w:p w:rsidR="00C456A9" w:rsidRPr="00C456A9" w:rsidP="00C75FA1">
      <w:pPr>
        <w:spacing w:after="0" w:line="240" w:lineRule="auto"/>
        <w:jc w:val="center"/>
        <w:rPr>
          <w:rFonts w:ascii="Verdana" w:hAnsi="Verdana" w:cs="Times New Roman"/>
        </w:rPr>
      </w:pPr>
      <w:r w:rsidRPr="00C456A9">
        <w:rPr>
          <w:rFonts w:ascii="Verdana" w:hAnsi="Verdana" w:cs="Times New Roman"/>
        </w:rPr>
        <w:t>University of Edinburgh</w:t>
      </w:r>
      <w:r w:rsidRPr="00C456A9">
        <w:rPr>
          <w:rFonts w:ascii="Verdana" w:hAnsi="Verdana" w:cs="Times New Roman"/>
        </w:rPr>
        <w:t xml:space="preserve"> &amp; Independent Commission on UK-EU Relations</w:t>
      </w:r>
    </w:p>
    <w:p w:rsidR="00C456A9" w:rsidRPr="00C456A9" w:rsidP="00C75FA1">
      <w:pPr>
        <w:spacing w:after="0" w:line="240" w:lineRule="auto"/>
        <w:jc w:val="center"/>
        <w:rPr>
          <w:rFonts w:ascii="Verdana" w:hAnsi="Verdana" w:cs="Times New Roman"/>
        </w:rPr>
      </w:pPr>
    </w:p>
    <w:p w:rsidR="00C456A9" w:rsidRPr="00C456A9" w:rsidP="00C75FA1">
      <w:pPr>
        <w:spacing w:after="0" w:line="240" w:lineRule="auto"/>
        <w:jc w:val="center"/>
        <w:rPr>
          <w:rFonts w:ascii="Verdana" w:hAnsi="Verdana" w:cs="Times New Roman"/>
          <w:b/>
          <w:bCs/>
        </w:rPr>
      </w:pPr>
      <w:r w:rsidRPr="00C456A9">
        <w:rPr>
          <w:rFonts w:ascii="Verdana" w:hAnsi="Verdana" w:cs="Times New Roman"/>
          <w:b/>
          <w:bCs/>
        </w:rPr>
        <w:t>Monika Sus</w:t>
      </w:r>
    </w:p>
    <w:p w:rsidR="00C456A9" w:rsidRPr="00C456A9" w:rsidP="00C75FA1">
      <w:pPr>
        <w:spacing w:after="0" w:line="240" w:lineRule="auto"/>
        <w:jc w:val="center"/>
        <w:rPr>
          <w:rFonts w:ascii="Verdana" w:hAnsi="Verdana" w:cs="Times New Roman"/>
          <w:lang w:val="en-US"/>
        </w:rPr>
      </w:pPr>
      <w:r w:rsidRPr="00C456A9">
        <w:rPr>
          <w:rFonts w:ascii="Verdana" w:hAnsi="Verdana" w:cs="Times New Roman"/>
        </w:rPr>
        <w:t>Polish Academy of Sciences</w:t>
      </w:r>
      <w:r w:rsidRPr="00C456A9">
        <w:rPr>
          <w:rFonts w:ascii="Verdana" w:hAnsi="Verdana" w:cs="Times New Roman"/>
        </w:rPr>
        <w:t xml:space="preserve"> &amp; Hertie School</w:t>
      </w:r>
    </w:p>
    <w:p w:rsidR="00C456A9" w:rsidRPr="00C456A9" w:rsidP="00EE2D7F">
      <w:pPr>
        <w:spacing w:after="0" w:line="240" w:lineRule="auto"/>
        <w:rPr>
          <w:rFonts w:ascii="Verdana" w:hAnsi="Verdana" w:cs="Times New Roman"/>
          <w:b/>
          <w:bCs/>
        </w:rPr>
      </w:pPr>
    </w:p>
    <w:p w:rsidR="00C456A9" w:rsidRPr="00C456A9" w:rsidP="00EE2D7F">
      <w:pPr>
        <w:spacing w:after="0" w:line="240" w:lineRule="auto"/>
        <w:rPr>
          <w:rFonts w:ascii="Verdana" w:hAnsi="Verdana" w:cs="Times New Roman"/>
          <w:b/>
          <w:bCs/>
        </w:rPr>
      </w:pPr>
    </w:p>
    <w:p w:rsidR="00C456A9" w:rsidRPr="00C456A9" w:rsidP="00573AC1">
      <w:pPr>
        <w:spacing w:after="0" w:line="240" w:lineRule="auto"/>
        <w:jc w:val="both"/>
        <w:rPr>
          <w:rFonts w:ascii="Verdana" w:hAnsi="Verdana" w:cs="Times New Roman"/>
          <w:i/>
          <w:iCs/>
        </w:rPr>
      </w:pPr>
      <w:r w:rsidRPr="00C456A9">
        <w:rPr>
          <w:rFonts w:ascii="Verdana" w:hAnsi="Verdana" w:cs="Times New Roman"/>
          <w:b/>
          <w:bCs/>
        </w:rPr>
        <w:t xml:space="preserve">Note on the authors: </w:t>
      </w:r>
      <w:r w:rsidRPr="00C456A9">
        <w:rPr>
          <w:rFonts w:ascii="Verdana" w:hAnsi="Verdana" w:cs="Times New Roman"/>
          <w:i/>
          <w:iCs/>
        </w:rPr>
        <w:t xml:space="preserve">This evidence submission builds on the </w:t>
      </w:r>
      <w:r w:rsidRPr="00C456A9">
        <w:rPr>
          <w:rFonts w:ascii="Verdana" w:hAnsi="Verdana" w:cs="Times New Roman"/>
          <w:i/>
          <w:iCs/>
        </w:rPr>
        <w:t>authors’ extensive research on the Brexit negotiations and the UK-EU security relationship as it has evolved post-Brexit</w:t>
      </w:r>
      <w:r w:rsidRPr="00C456A9">
        <w:rPr>
          <w:rFonts w:ascii="Verdana" w:hAnsi="Verdana" w:cs="Times New Roman"/>
          <w:i/>
          <w:iCs/>
        </w:rPr>
        <w:t xml:space="preserve">. The insights reflect conversations with scholars and policymakers, workshops organised by the authors, and the findings from interview- and documentary-based research projects. Further details of more detailed outputs and reports can be found on the authors’ respective institutional profiles. </w:t>
      </w:r>
    </w:p>
    <w:p w:rsidR="00C456A9" w:rsidRPr="00C456A9" w:rsidP="00EE2D7F">
      <w:pPr>
        <w:spacing w:after="0" w:line="240" w:lineRule="auto"/>
        <w:rPr>
          <w:rFonts w:ascii="Verdana" w:hAnsi="Verdana" w:cs="Times New Roman"/>
          <w:b/>
          <w:bCs/>
        </w:rPr>
      </w:pPr>
    </w:p>
    <w:p w:rsidR="00C456A9" w:rsidRPr="00C456A9" w:rsidP="00EE2D7F">
      <w:pPr>
        <w:spacing w:after="0" w:line="240" w:lineRule="auto"/>
        <w:rPr>
          <w:rFonts w:ascii="Verdana" w:hAnsi="Verdana" w:cs="Times New Roman"/>
          <w:b/>
          <w:bCs/>
        </w:rPr>
      </w:pPr>
    </w:p>
    <w:p w:rsidR="00C456A9" w:rsidRPr="00C456A9" w:rsidP="00EE2D7F">
      <w:pPr>
        <w:spacing w:after="0" w:line="240" w:lineRule="auto"/>
        <w:rPr>
          <w:rFonts w:ascii="Verdana" w:hAnsi="Verdana" w:cs="Times New Roman"/>
          <w:b/>
          <w:bCs/>
        </w:rPr>
      </w:pPr>
      <w:r w:rsidRPr="00C456A9">
        <w:rPr>
          <w:rFonts w:ascii="Verdana" w:hAnsi="Verdana" w:cs="Times New Roman"/>
          <w:b/>
          <w:bCs/>
        </w:rPr>
        <w:t xml:space="preserve">1. What should the reset seek to achieve </w:t>
      </w:r>
      <w:r w:rsidRPr="00C456A9">
        <w:rPr>
          <w:rFonts w:ascii="Verdana" w:hAnsi="Verdana" w:cs="Times New Roman"/>
          <w:b/>
          <w:bCs/>
        </w:rPr>
        <w:t>in order to</w:t>
      </w:r>
      <w:r w:rsidRPr="00C456A9">
        <w:rPr>
          <w:rFonts w:ascii="Verdana" w:hAnsi="Verdana" w:cs="Times New Roman"/>
          <w:b/>
          <w:bCs/>
        </w:rPr>
        <w:t xml:space="preserve"> serve the British national </w:t>
      </w:r>
      <w:r w:rsidRPr="00C456A9">
        <w:rPr>
          <w:rFonts w:ascii="Verdana" w:hAnsi="Verdana" w:cs="Times New Roman"/>
          <w:b/>
          <w:bCs/>
        </w:rPr>
        <w:t>interest? What would a successful reset of UK-EU relations look like?</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 xml:space="preserve">A successful reset of UK-EU relations should prioritize structured, institutionalized security cooperation to address pressing geopolitical challenges effectively. This requires establishing permanent mechanisms beyond ad-hoc formats, ensuring predictable and reliable collaboration. </w:t>
      </w:r>
      <w:r w:rsidRPr="00C456A9">
        <w:rPr>
          <w:rFonts w:ascii="Verdana" w:hAnsi="Verdana" w:cs="Times New Roman"/>
        </w:rPr>
        <w:t xml:space="preserve">Regular high-level dialogues, including ministerial meetings, should be established to align priorities on European security and to foster the informal contacts that have proven effective. </w:t>
      </w:r>
      <w:r w:rsidRPr="00C456A9">
        <w:rPr>
          <w:rFonts w:ascii="Verdana" w:hAnsi="Verdana" w:cs="Times New Roman"/>
        </w:rPr>
        <w:t>Furthermore, enabling the British defense industry to cooperate with EU-based companies on capability development, with access to EU budgetary incentives, would strengthen shared security and defense objectives while fostering industrial collaboration.</w:t>
      </w:r>
    </w:p>
    <w:p w:rsidR="00C456A9" w:rsidRPr="00C456A9" w:rsidP="00EE2D7F">
      <w:pPr>
        <w:spacing w:after="0" w:line="240" w:lineRule="auto"/>
        <w:jc w:val="both"/>
        <w:rPr>
          <w:rFonts w:ascii="Verdana" w:hAnsi="Verdana" w:cs="Times New Roman"/>
        </w:rPr>
      </w:pPr>
      <w:r w:rsidRPr="00C456A9">
        <w:rPr>
          <w:rFonts w:ascii="Verdana" w:hAnsi="Verdana" w:cs="Times New Roman"/>
        </w:rPr>
        <w:t xml:space="preserve"> </w:t>
      </w:r>
    </w:p>
    <w:p w:rsidR="00C456A9" w:rsidRPr="00C456A9" w:rsidP="003A7437">
      <w:pPr>
        <w:spacing w:after="0" w:line="240" w:lineRule="auto"/>
        <w:jc w:val="both"/>
        <w:rPr>
          <w:rFonts w:ascii="Verdana" w:hAnsi="Verdana" w:cs="Times New Roman"/>
          <w:lang w:val="en-US"/>
        </w:rPr>
      </w:pPr>
      <w:r w:rsidRPr="00C456A9">
        <w:rPr>
          <w:rFonts w:ascii="Verdana" w:hAnsi="Verdana" w:cs="Times New Roman"/>
        </w:rPr>
        <w:t xml:space="preserve">Against the backdrop of </w:t>
      </w:r>
      <w:r w:rsidRPr="00C456A9">
        <w:rPr>
          <w:rFonts w:ascii="Verdana" w:hAnsi="Verdana" w:cs="Times New Roman"/>
        </w:rPr>
        <w:t xml:space="preserve">the </w:t>
      </w:r>
      <w:r w:rsidRPr="00C456A9">
        <w:rPr>
          <w:rFonts w:ascii="Verdana" w:hAnsi="Verdana" w:cs="Times New Roman"/>
        </w:rPr>
        <w:t>Trump administration</w:t>
      </w:r>
      <w:r w:rsidRPr="00C456A9">
        <w:rPr>
          <w:rFonts w:ascii="Verdana" w:hAnsi="Verdana" w:cs="Times New Roman"/>
        </w:rPr>
        <w:t>’s</w:t>
      </w:r>
      <w:r w:rsidRPr="00C456A9">
        <w:rPr>
          <w:rFonts w:ascii="Verdana" w:hAnsi="Verdana" w:cs="Times New Roman"/>
        </w:rPr>
        <w:t xml:space="preserve"> shifting priorities and the geopolitical challenges facing the European continent, the question of timing became essential. </w:t>
      </w:r>
      <w:r w:rsidRPr="00C456A9">
        <w:rPr>
          <w:rFonts w:ascii="Verdana" w:hAnsi="Verdana" w:cs="Times New Roman"/>
        </w:rPr>
        <w:t xml:space="preserve">Because the </w:t>
      </w:r>
      <w:r w:rsidRPr="00C456A9">
        <w:rPr>
          <w:rFonts w:ascii="Verdana" w:hAnsi="Verdana" w:cs="Times New Roman"/>
        </w:rPr>
        <w:t xml:space="preserve">UK-EU security </w:t>
      </w:r>
      <w:r w:rsidRPr="00C456A9">
        <w:rPr>
          <w:rFonts w:ascii="Verdana" w:hAnsi="Verdana" w:cs="Times New Roman"/>
        </w:rPr>
        <w:t xml:space="preserve">relationship is </w:t>
      </w:r>
      <w:r w:rsidRPr="00C456A9">
        <w:rPr>
          <w:rFonts w:ascii="Verdana" w:hAnsi="Verdana" w:cs="Times New Roman"/>
        </w:rPr>
        <w:t>currently</w:t>
      </w:r>
      <w:r w:rsidRPr="00C456A9">
        <w:rPr>
          <w:rFonts w:ascii="Verdana" w:hAnsi="Verdana" w:cs="Times New Roman"/>
        </w:rPr>
        <w:t xml:space="preserve"> unstructured, much can be achieved </w:t>
      </w:r>
      <w:r w:rsidRPr="00C456A9">
        <w:rPr>
          <w:rFonts w:ascii="Verdana" w:hAnsi="Verdana" w:cs="Times New Roman"/>
        </w:rPr>
        <w:t>through</w:t>
      </w:r>
      <w:r w:rsidRPr="00C456A9">
        <w:rPr>
          <w:rFonts w:ascii="Verdana" w:hAnsi="Verdana" w:cs="Times New Roman"/>
        </w:rPr>
        <w:t xml:space="preserve"> </w:t>
      </w:r>
      <w:r w:rsidRPr="00C456A9">
        <w:rPr>
          <w:rFonts w:ascii="Verdana" w:hAnsi="Verdana" w:cs="Times New Roman"/>
        </w:rPr>
        <w:t>minimal</w:t>
      </w:r>
      <w:r w:rsidRPr="00C456A9">
        <w:rPr>
          <w:rFonts w:ascii="Verdana" w:hAnsi="Verdana" w:cs="Times New Roman"/>
        </w:rPr>
        <w:t xml:space="preserve"> institutional coordination, for which a joint declaration or Memorandum of Understanding may </w:t>
      </w:r>
      <w:r w:rsidRPr="00C456A9">
        <w:rPr>
          <w:rFonts w:ascii="Verdana" w:hAnsi="Verdana" w:cs="Times New Roman"/>
        </w:rPr>
        <w:t>suffice</w:t>
      </w:r>
      <w:r w:rsidRPr="00C456A9">
        <w:rPr>
          <w:rFonts w:ascii="Verdana" w:hAnsi="Verdana" w:cs="Times New Roman"/>
        </w:rPr>
        <w:t xml:space="preserve">. This could be negotiated quickly and would </w:t>
      </w:r>
      <w:r w:rsidRPr="00C456A9">
        <w:rPr>
          <w:rFonts w:ascii="Verdana" w:hAnsi="Verdana" w:cs="Times New Roman"/>
        </w:rPr>
        <w:t>prevent</w:t>
      </w:r>
      <w:r w:rsidRPr="00C456A9">
        <w:rPr>
          <w:rFonts w:ascii="Verdana" w:hAnsi="Verdana" w:cs="Times New Roman"/>
        </w:rPr>
        <w:t xml:space="preserve"> the UK </w:t>
      </w:r>
      <w:r w:rsidRPr="00C456A9">
        <w:rPr>
          <w:rFonts w:ascii="Verdana" w:hAnsi="Verdana" w:cs="Times New Roman"/>
        </w:rPr>
        <w:t xml:space="preserve">from </w:t>
      </w:r>
      <w:r w:rsidRPr="00C456A9">
        <w:rPr>
          <w:rFonts w:ascii="Verdana" w:hAnsi="Verdana" w:cs="Times New Roman"/>
        </w:rPr>
        <w:t xml:space="preserve">getting bogged down in potentially </w:t>
      </w:r>
      <w:r w:rsidRPr="00C456A9">
        <w:rPr>
          <w:rFonts w:ascii="Verdana" w:hAnsi="Verdana" w:cs="Times New Roman"/>
        </w:rPr>
        <w:t>content</w:t>
      </w:r>
      <w:r w:rsidRPr="00C456A9">
        <w:rPr>
          <w:rFonts w:ascii="Verdana" w:hAnsi="Verdana" w:cs="Times New Roman"/>
        </w:rPr>
        <w:t>ious negotiations</w:t>
      </w:r>
      <w:r w:rsidRPr="00C456A9">
        <w:rPr>
          <w:rFonts w:ascii="Verdana" w:hAnsi="Verdana" w:cs="Times New Roman"/>
        </w:rPr>
        <w:t xml:space="preserve">. </w:t>
      </w:r>
      <w:r w:rsidRPr="00C456A9">
        <w:rPr>
          <w:rFonts w:ascii="Verdana" w:hAnsi="Verdana" w:cs="Times New Roman"/>
        </w:rPr>
        <w:t>An alternative would be a secur</w:t>
      </w:r>
      <w:r w:rsidRPr="00C456A9">
        <w:rPr>
          <w:rFonts w:ascii="Verdana" w:hAnsi="Verdana" w:cs="Times New Roman"/>
        </w:rPr>
        <w:t xml:space="preserve">ity pact, which, while offering the benefits of a wider and more long-term framework, also carries the risk of a prolonged negotiation process. This is due to the involvement of all 27 EU member states and the European Commission, each with its own interests and priorities in security and defense cooperation. While a comprehensive pact could provide stability and institutionalized collaboration, the complexity of reaching </w:t>
      </w:r>
      <w:r w:rsidRPr="00C456A9">
        <w:rPr>
          <w:rFonts w:ascii="Verdana" w:hAnsi="Verdana" w:cs="Times New Roman"/>
        </w:rPr>
        <w:t xml:space="preserve">a </w:t>
      </w:r>
      <w:r w:rsidRPr="00C456A9">
        <w:rPr>
          <w:rFonts w:ascii="Verdana" w:hAnsi="Verdana" w:cs="Times New Roman"/>
        </w:rPr>
        <w:t>consensus among multiple stakeholders may delay its implementation. Therefore, the U</w:t>
      </w:r>
      <w:r w:rsidRPr="00C456A9">
        <w:rPr>
          <w:rFonts w:ascii="Verdana" w:hAnsi="Verdana" w:cs="Times New Roman"/>
        </w:rPr>
        <w:t xml:space="preserve">K </w:t>
      </w:r>
      <w:r w:rsidRPr="00C456A9">
        <w:rPr>
          <w:rFonts w:ascii="Verdana" w:hAnsi="Verdana" w:cs="Times New Roman"/>
        </w:rPr>
        <w:t>government should</w:t>
      </w:r>
      <w:r w:rsidRPr="00C456A9">
        <w:rPr>
          <w:rFonts w:ascii="Verdana" w:hAnsi="Verdana" w:cs="Times New Roman"/>
        </w:rPr>
        <w:t xml:space="preserve"> weigh the advantages of a broad agreement against the need for more immediate, targeted cooperation through existing mechanisms.</w:t>
      </w:r>
    </w:p>
    <w:p w:rsidR="00C456A9" w:rsidRPr="00C456A9" w:rsidP="003A7437">
      <w:pPr>
        <w:spacing w:after="0" w:line="240" w:lineRule="auto"/>
        <w:jc w:val="both"/>
        <w:rPr>
          <w:rFonts w:ascii="Verdana" w:hAnsi="Verdana" w:cs="Times New Roman"/>
        </w:rPr>
      </w:pPr>
    </w:p>
    <w:p w:rsidR="00C456A9" w:rsidRPr="00C456A9" w:rsidP="003A7437">
      <w:pPr>
        <w:spacing w:after="0" w:line="240" w:lineRule="auto"/>
        <w:jc w:val="both"/>
        <w:rPr>
          <w:rFonts w:ascii="Verdana" w:hAnsi="Verdana" w:cs="Times New Roman"/>
        </w:rPr>
      </w:pPr>
    </w:p>
    <w:p w:rsidR="00C456A9" w:rsidRPr="00C456A9" w:rsidP="003A7437">
      <w:pPr>
        <w:spacing w:after="0" w:line="240" w:lineRule="auto"/>
        <w:jc w:val="both"/>
        <w:rPr>
          <w:rFonts w:ascii="Verdana" w:hAnsi="Verdana" w:cs="Times New Roman"/>
          <w:b/>
          <w:bCs/>
        </w:rPr>
      </w:pPr>
      <w:r w:rsidRPr="00C456A9">
        <w:rPr>
          <w:rFonts w:ascii="Verdana" w:hAnsi="Verdana" w:cs="Times New Roman"/>
          <w:b/>
          <w:bCs/>
        </w:rPr>
        <w:t xml:space="preserve">a) What is your assessment of the </w:t>
      </w:r>
      <w:r w:rsidRPr="00C456A9">
        <w:rPr>
          <w:rFonts w:ascii="Verdana" w:hAnsi="Verdana" w:cs="Times New Roman"/>
          <w:b/>
          <w:bCs/>
        </w:rPr>
        <w:t>Government’s aims and approach to the reset? Is the Government being too ambitious, or not ambitious enough?</w:t>
      </w:r>
    </w:p>
    <w:p w:rsidR="00C456A9" w:rsidRPr="00C456A9" w:rsidP="003A7437">
      <w:pPr>
        <w:spacing w:after="0" w:line="240" w:lineRule="auto"/>
        <w:jc w:val="both"/>
        <w:rPr>
          <w:rFonts w:ascii="Verdana" w:hAnsi="Verdana" w:cs="Times New Roman"/>
          <w:highlight w:val="yellow"/>
        </w:rPr>
      </w:pPr>
    </w:p>
    <w:p w:rsidR="00C456A9" w:rsidRPr="00C456A9" w:rsidP="003A7437">
      <w:pPr>
        <w:spacing w:after="0" w:line="240" w:lineRule="auto"/>
        <w:jc w:val="both"/>
        <w:rPr>
          <w:rFonts w:ascii="Verdana" w:hAnsi="Verdana" w:cs="Times New Roman"/>
        </w:rPr>
      </w:pPr>
      <w:r w:rsidRPr="00C456A9">
        <w:rPr>
          <w:rFonts w:ascii="Verdana" w:hAnsi="Verdana" w:cs="Times New Roman"/>
        </w:rPr>
        <w:t>The government</w:t>
      </w:r>
      <w:r w:rsidRPr="00C456A9">
        <w:rPr>
          <w:rFonts w:ascii="Verdana" w:hAnsi="Verdana" w:cs="Times New Roman"/>
        </w:rPr>
        <w:t xml:space="preserve"> has the level of ambition broadly right. There is a clear desire on both sides to avoid big ticket items that would involve a fundamental renegotiation of the Brexit outcome, </w:t>
      </w:r>
      <w:r w:rsidRPr="00C456A9">
        <w:rPr>
          <w:rFonts w:ascii="Verdana" w:hAnsi="Verdana" w:cs="Times New Roman"/>
        </w:rPr>
        <w:t>and also</w:t>
      </w:r>
      <w:r w:rsidRPr="00C456A9">
        <w:rPr>
          <w:rFonts w:ascii="Verdana" w:hAnsi="Verdana" w:cs="Times New Roman"/>
        </w:rPr>
        <w:t xml:space="preserve"> interest on both sides to do something more ambitious on security while addressing areas </w:t>
      </w:r>
      <w:r w:rsidRPr="00C456A9">
        <w:rPr>
          <w:rFonts w:ascii="Verdana" w:hAnsi="Verdana" w:cs="Times New Roman"/>
        </w:rPr>
        <w:t>left out of the TCA that could have been easily included (e.g. recognition of qualifications).</w:t>
      </w:r>
    </w:p>
    <w:p w:rsidR="00C456A9" w:rsidRPr="00C456A9" w:rsidP="003A7437">
      <w:pPr>
        <w:spacing w:after="0" w:line="240" w:lineRule="auto"/>
        <w:jc w:val="both"/>
        <w:rPr>
          <w:rFonts w:ascii="Verdana" w:hAnsi="Verdana" w:cs="Times New Roman"/>
        </w:rPr>
      </w:pPr>
    </w:p>
    <w:p w:rsidR="00C456A9" w:rsidRPr="00C456A9" w:rsidP="003A7437">
      <w:pPr>
        <w:spacing w:after="0" w:line="240" w:lineRule="auto"/>
        <w:jc w:val="both"/>
        <w:rPr>
          <w:rFonts w:ascii="Verdana" w:hAnsi="Verdana" w:cs="Times New Roman"/>
        </w:rPr>
      </w:pPr>
      <w:r w:rsidRPr="00C456A9">
        <w:rPr>
          <w:rFonts w:ascii="Verdana" w:hAnsi="Verdana" w:cs="Times New Roman"/>
        </w:rPr>
        <w:t xml:space="preserve">The only exception to this might be the recently floated proposal for a Customs’ Union, which would be a more significant move (and imply the loss of trade policy autonomy) but which has been proposed by the EU via suggestions the UK accede to the Pan-Mediterranean arrangements. During the Brexit negotiations there was a variant of a customs’ union in Theresa May’s Chequers Plan and at a time a majority in Parliament for such an arrangement, though it may be the government considers this too radical a step </w:t>
      </w:r>
      <w:r w:rsidRPr="00C456A9">
        <w:rPr>
          <w:rFonts w:ascii="Verdana" w:hAnsi="Verdana" w:cs="Times New Roman"/>
        </w:rPr>
        <w:t>at present.</w:t>
      </w:r>
    </w:p>
    <w:p w:rsidR="00C456A9" w:rsidRPr="00C456A9" w:rsidP="003A7437">
      <w:pPr>
        <w:spacing w:after="0" w:line="240" w:lineRule="auto"/>
        <w:jc w:val="both"/>
        <w:rPr>
          <w:rFonts w:ascii="Verdana" w:hAnsi="Verdana" w:cs="Times New Roman"/>
        </w:rPr>
      </w:pPr>
    </w:p>
    <w:p w:rsidR="00C456A9" w:rsidRPr="00C456A9" w:rsidP="003A7437">
      <w:pPr>
        <w:spacing w:after="0" w:line="240" w:lineRule="auto"/>
        <w:jc w:val="both"/>
        <w:rPr>
          <w:rFonts w:ascii="Verdana" w:hAnsi="Verdana" w:cs="Times New Roman"/>
        </w:rPr>
      </w:pPr>
      <w:r w:rsidRPr="00C456A9">
        <w:rPr>
          <w:rFonts w:ascii="Verdana" w:hAnsi="Verdana" w:cs="Times New Roman"/>
        </w:rPr>
        <w:t>In terms of what the ask should be, the UK will need to tread a careful line; asking for more than what is available in terms of off-the-shelf arrangements while avoiding the impression it is seeking to disrupt the balance of rights and obligations. This is easiest in the security domain where the logics of integration are different to the Single Market, and where there is much the UK can contribute without establishing potentially damaging precedents. In this domain, the UK should not be afraid to make rea</w:t>
      </w:r>
      <w:r w:rsidRPr="00C456A9">
        <w:rPr>
          <w:rFonts w:ascii="Verdana" w:hAnsi="Verdana" w:cs="Times New Roman"/>
        </w:rPr>
        <w:t>sonable demands on the EU which depart from existing models and precedents, where they are in the interests of both sides.</w:t>
      </w:r>
    </w:p>
    <w:p w:rsidR="00C456A9" w:rsidRPr="00C456A9" w:rsidP="003A7437">
      <w:pPr>
        <w:spacing w:after="0" w:line="240" w:lineRule="auto"/>
        <w:jc w:val="both"/>
        <w:rPr>
          <w:rFonts w:ascii="Verdana" w:hAnsi="Verdana" w:cs="Times New Roman"/>
          <w:highlight w:val="yellow"/>
        </w:rPr>
      </w:pPr>
    </w:p>
    <w:p w:rsidR="00C456A9" w:rsidRPr="00C456A9" w:rsidP="003A7437">
      <w:pPr>
        <w:spacing w:after="0" w:line="240" w:lineRule="auto"/>
        <w:jc w:val="both"/>
        <w:rPr>
          <w:rFonts w:ascii="Verdana" w:hAnsi="Verdana" w:cs="Times New Roman"/>
        </w:rPr>
      </w:pPr>
    </w:p>
    <w:p w:rsidR="00C456A9" w:rsidRPr="00C456A9" w:rsidP="003A7437">
      <w:pPr>
        <w:spacing w:after="0" w:line="240" w:lineRule="auto"/>
        <w:jc w:val="both"/>
        <w:rPr>
          <w:rFonts w:ascii="Verdana" w:hAnsi="Verdana" w:cs="Times New Roman"/>
          <w:b/>
          <w:bCs/>
        </w:rPr>
      </w:pPr>
      <w:r w:rsidRPr="00C456A9">
        <w:rPr>
          <w:rFonts w:ascii="Verdana" w:hAnsi="Verdana" w:cs="Times New Roman"/>
          <w:b/>
          <w:bCs/>
        </w:rPr>
        <w:t>b) Should the Government have any ‘red lines’ for the UK-EU reset?</w:t>
      </w:r>
    </w:p>
    <w:p w:rsidR="00C456A9" w:rsidRPr="00C456A9" w:rsidP="003A7437">
      <w:pPr>
        <w:spacing w:after="0" w:line="240" w:lineRule="auto"/>
        <w:jc w:val="both"/>
        <w:rPr>
          <w:rFonts w:ascii="Verdana" w:hAnsi="Verdana" w:cs="Times New Roman"/>
          <w:highlight w:val="yellow"/>
        </w:rPr>
      </w:pPr>
    </w:p>
    <w:p w:rsidR="00C456A9" w:rsidRPr="00C456A9" w:rsidP="003A7437">
      <w:pPr>
        <w:spacing w:after="0" w:line="240" w:lineRule="auto"/>
        <w:jc w:val="both"/>
        <w:rPr>
          <w:rFonts w:ascii="Verdana" w:hAnsi="Verdana" w:cs="Times New Roman"/>
        </w:rPr>
      </w:pPr>
      <w:r w:rsidRPr="00C456A9">
        <w:rPr>
          <w:rFonts w:ascii="Verdana" w:hAnsi="Verdana" w:cs="Times New Roman"/>
        </w:rPr>
        <w:t>When it comes to security and defence issues, the UK will need to be able to shape decisions on areas it contributes to in some form or another, and the absence of mechanisms for consultation would constitute an important red line. Some of the existing UK red lines established during the Brexit process – e.g. the unwillingness to accept free movement – are not likely to be violated during the reset negotiations given the scope. But the UK’s aversion to payments into the EU budget and accepting a role for th</w:t>
      </w:r>
      <w:r w:rsidRPr="00C456A9">
        <w:rPr>
          <w:rFonts w:ascii="Verdana" w:hAnsi="Verdana" w:cs="Times New Roman"/>
        </w:rPr>
        <w:t>e Court of Justice of the EU in some areas may be areas where some compromise is required. It is worth recognising that the more distant relationship the UK ended up in post-Brexit was in large part a direct consequence of inflexible red lines set out by the May government which precluded anything but a free trade agreement and caused deleterious political problems for that government. The lesson would be that approaching the talks with too many red lines will result either in no room for manoeuvre or the r</w:t>
      </w:r>
      <w:r w:rsidRPr="00C456A9">
        <w:rPr>
          <w:rFonts w:ascii="Verdana" w:hAnsi="Verdana" w:cs="Times New Roman"/>
        </w:rPr>
        <w:t xml:space="preserve">isk of politically damaging climbdowns. </w:t>
      </w:r>
    </w:p>
    <w:p w:rsidR="00C456A9" w:rsidRPr="00C456A9" w:rsidP="00EE2D7F">
      <w:pPr>
        <w:spacing w:after="0" w:line="240" w:lineRule="auto"/>
        <w:rPr>
          <w:rFonts w:ascii="Verdana" w:hAnsi="Verdana" w:cs="Times New Roman"/>
        </w:rPr>
      </w:pPr>
    </w:p>
    <w:p w:rsidR="00C456A9" w:rsidRPr="00C456A9" w:rsidP="00EE2D7F">
      <w:pPr>
        <w:spacing w:after="0" w:line="240" w:lineRule="auto"/>
        <w:rPr>
          <w:rFonts w:ascii="Verdana" w:hAnsi="Verdana" w:cs="Times New Roman"/>
          <w:b/>
          <w:bCs/>
        </w:rPr>
      </w:pPr>
      <w:r w:rsidRPr="00C456A9">
        <w:rPr>
          <w:rFonts w:ascii="Verdana" w:hAnsi="Verdana" w:cs="Times New Roman"/>
          <w:b/>
          <w:bCs/>
        </w:rPr>
        <w:t xml:space="preserve">c) To what extent are the EU’s existing arrangements for cooperating with </w:t>
      </w:r>
      <w:r w:rsidRPr="00C456A9">
        <w:rPr>
          <w:rFonts w:ascii="Verdana" w:hAnsi="Verdana" w:cs="Times New Roman"/>
          <w:b/>
          <w:bCs/>
        </w:rPr>
        <w:t>non Member</w:t>
      </w:r>
      <w:r w:rsidRPr="00C456A9">
        <w:rPr>
          <w:rFonts w:ascii="Verdana" w:hAnsi="Verdana" w:cs="Times New Roman"/>
          <w:b/>
          <w:bCs/>
        </w:rPr>
        <w:t xml:space="preserve"> States an obstacle to the reset? Should the Government seek to negotiate new forms of cooperation in some areas?</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The</w:t>
      </w:r>
      <w:r w:rsidRPr="00C456A9">
        <w:rPr>
          <w:rFonts w:ascii="Verdana" w:hAnsi="Verdana" w:cs="Times New Roman"/>
        </w:rPr>
        <w:t xml:space="preserve"> exceptional nature of third-country participation in PESCO projects and the stringent conditions for involvement in the EDF may limit the UK's ability to engage comprehensively across all desired defense initiatives. </w:t>
      </w:r>
      <w:r w:rsidRPr="00C456A9">
        <w:rPr>
          <w:rFonts w:ascii="Verdana" w:hAnsi="Verdana" w:cs="Times New Roman"/>
        </w:rPr>
        <w:t>To enhance UK-EU defense cooperation, the UK Government should consider negotiating new forms of collaboration that address these constraints:</w:t>
      </w:r>
    </w:p>
    <w:p w:rsidR="00C456A9" w:rsidRPr="00C456A9" w:rsidP="00EE2D7F">
      <w:pPr>
        <w:spacing w:after="0" w:line="240" w:lineRule="auto"/>
        <w:jc w:val="both"/>
        <w:rPr>
          <w:rFonts w:ascii="Verdana" w:hAnsi="Verdana" w:cs="Times New Roman"/>
        </w:rPr>
      </w:pPr>
    </w:p>
    <w:p w:rsidR="00C456A9" w:rsidRPr="00C456A9" w:rsidP="00EE2D7F">
      <w:pPr>
        <w:pStyle w:val="NormalWeb"/>
        <w:spacing w:before="0" w:beforeAutospacing="0" w:after="0" w:afterAutospacing="0"/>
        <w:jc w:val="both"/>
        <w:rPr>
          <w:rFonts w:ascii="Verdana" w:hAnsi="Verdana"/>
        </w:rPr>
      </w:pPr>
      <w:r w:rsidRPr="00C456A9">
        <w:rPr>
          <w:rStyle w:val="Strong"/>
          <w:rFonts w:ascii="Verdana" w:hAnsi="Verdana" w:eastAsiaTheme="majorEastAsia"/>
          <w:b w:val="0"/>
          <w:bCs w:val="0"/>
        </w:rPr>
        <w:t xml:space="preserve">-Broaden PESCO </w:t>
      </w:r>
      <w:r w:rsidRPr="00C456A9">
        <w:rPr>
          <w:rStyle w:val="Strong"/>
          <w:rFonts w:ascii="Verdana" w:hAnsi="Verdana" w:eastAsiaTheme="majorEastAsia"/>
          <w:b w:val="0"/>
          <w:bCs w:val="0"/>
        </w:rPr>
        <w:t>e</w:t>
      </w:r>
      <w:r w:rsidRPr="00C456A9">
        <w:rPr>
          <w:rStyle w:val="Strong"/>
          <w:rFonts w:ascii="Verdana" w:hAnsi="Verdana" w:eastAsiaTheme="majorEastAsia"/>
          <w:b w:val="0"/>
          <w:bCs w:val="0"/>
        </w:rPr>
        <w:t>ngagement:</w:t>
      </w:r>
      <w:r w:rsidRPr="00C456A9">
        <w:rPr>
          <w:rFonts w:ascii="Verdana" w:hAnsi="Verdana"/>
        </w:rPr>
        <w:t xml:space="preserve"> Seek more consistent and extensive participation in PESCO projects beyond the current exceptional invitations, aiming for a more institutionalized role.</w:t>
      </w:r>
    </w:p>
    <w:p w:rsidR="00C456A9" w:rsidRPr="00C456A9" w:rsidP="00EE2D7F">
      <w:pPr>
        <w:pStyle w:val="NormalWeb"/>
        <w:spacing w:before="0" w:beforeAutospacing="0" w:after="0" w:afterAutospacing="0"/>
        <w:jc w:val="both"/>
        <w:rPr>
          <w:rStyle w:val="Strong"/>
          <w:rFonts w:ascii="Verdana" w:hAnsi="Verdana" w:eastAsiaTheme="majorEastAsia"/>
          <w:b w:val="0"/>
          <w:bCs w:val="0"/>
        </w:rPr>
      </w:pPr>
    </w:p>
    <w:p w:rsidR="00C456A9" w:rsidRPr="00C456A9" w:rsidP="00EE2D7F">
      <w:pPr>
        <w:pStyle w:val="NormalWeb"/>
        <w:spacing w:before="0" w:beforeAutospacing="0" w:after="0" w:afterAutospacing="0"/>
        <w:jc w:val="both"/>
        <w:rPr>
          <w:rFonts w:ascii="Verdana" w:hAnsi="Verdana"/>
        </w:rPr>
      </w:pPr>
      <w:r w:rsidRPr="00C456A9">
        <w:rPr>
          <w:rStyle w:val="Strong"/>
          <w:rFonts w:ascii="Verdana" w:hAnsi="Verdana" w:eastAsiaTheme="majorEastAsia"/>
          <w:b w:val="0"/>
          <w:bCs w:val="0"/>
        </w:rPr>
        <w:t xml:space="preserve">-Facilitate </w:t>
      </w:r>
      <w:r w:rsidRPr="00C456A9">
        <w:rPr>
          <w:rStyle w:val="Strong"/>
          <w:rFonts w:ascii="Verdana" w:hAnsi="Verdana" w:eastAsiaTheme="majorEastAsia"/>
          <w:b w:val="0"/>
          <w:bCs w:val="0"/>
        </w:rPr>
        <w:t xml:space="preserve">collaboration with the European Defence Agency (EDA): </w:t>
      </w:r>
      <w:r w:rsidRPr="00C456A9">
        <w:rPr>
          <w:rFonts w:ascii="Verdana" w:hAnsi="Verdana"/>
        </w:rPr>
        <w:t xml:space="preserve">Negotiate terms </w:t>
      </w:r>
      <w:r w:rsidRPr="00C456A9">
        <w:rPr>
          <w:rFonts w:ascii="Verdana" w:hAnsi="Verdana"/>
        </w:rPr>
        <w:t>allowing</w:t>
      </w:r>
      <w:r w:rsidRPr="00C456A9">
        <w:rPr>
          <w:rFonts w:ascii="Verdana" w:hAnsi="Verdana"/>
        </w:rPr>
        <w:t xml:space="preserve"> UK entities to participate in E</w:t>
      </w:r>
      <w:r w:rsidRPr="00C456A9">
        <w:rPr>
          <w:rFonts w:ascii="Verdana" w:hAnsi="Verdana"/>
        </w:rPr>
        <w:t>DA</w:t>
      </w:r>
      <w:r w:rsidRPr="00C456A9">
        <w:rPr>
          <w:rFonts w:ascii="Verdana" w:hAnsi="Verdana"/>
        </w:rPr>
        <w:t>-</w:t>
      </w:r>
      <w:r w:rsidRPr="00C456A9">
        <w:rPr>
          <w:rFonts w:ascii="Verdana" w:hAnsi="Verdana"/>
        </w:rPr>
        <w:t>led European Defense Fund</w:t>
      </w:r>
      <w:r w:rsidRPr="00C456A9">
        <w:rPr>
          <w:rFonts w:ascii="Verdana" w:hAnsi="Verdana"/>
        </w:rPr>
        <w:t xml:space="preserve"> projects without restrictive conditions, ensuring mutual benefits in de</w:t>
      </w:r>
      <w:r w:rsidRPr="00C456A9">
        <w:rPr>
          <w:rFonts w:ascii="Verdana" w:hAnsi="Verdana"/>
        </w:rPr>
        <w:t>velopment of defense capabilities</w:t>
      </w:r>
      <w:r w:rsidRPr="00C456A9">
        <w:rPr>
          <w:rFonts w:ascii="Verdana" w:hAnsi="Verdana"/>
        </w:rPr>
        <w:t>.</w:t>
      </w:r>
      <w:r w:rsidRPr="00C456A9">
        <w:rPr>
          <w:rFonts w:ascii="Verdana" w:hAnsi="Verdana"/>
        </w:rPr>
        <w:t xml:space="preserve"> Therefore, an Administrative Arrangement with the European Defence Agency would have to be signed (the U.S., Ukraine, Switzerland, Norway, and Serbia already have such agreements in place). </w:t>
      </w:r>
    </w:p>
    <w:p w:rsidR="00C456A9" w:rsidRPr="00C456A9" w:rsidP="00EE2D7F">
      <w:pPr>
        <w:pStyle w:val="NormalWeb"/>
        <w:spacing w:before="0" w:beforeAutospacing="0" w:after="0" w:afterAutospacing="0"/>
        <w:jc w:val="both"/>
        <w:rPr>
          <w:rFonts w:ascii="Verdana" w:hAnsi="Verdana"/>
        </w:rPr>
      </w:pPr>
    </w:p>
    <w:p w:rsidR="00C456A9" w:rsidRPr="00C456A9" w:rsidP="00EE2D7F">
      <w:pPr>
        <w:spacing w:after="0" w:line="240" w:lineRule="auto"/>
        <w:rPr>
          <w:rFonts w:ascii="Verdana" w:hAnsi="Verdana" w:cs="Times New Roman"/>
          <w:b/>
          <w:bCs/>
        </w:rPr>
      </w:pPr>
      <w:r w:rsidRPr="00C456A9">
        <w:rPr>
          <w:rFonts w:ascii="Verdana" w:hAnsi="Verdana" w:cs="Times New Roman"/>
        </w:rPr>
        <w:t xml:space="preserve">2. </w:t>
      </w:r>
      <w:r w:rsidRPr="00C456A9">
        <w:rPr>
          <w:rFonts w:ascii="Verdana" w:hAnsi="Verdana" w:cs="Times New Roman"/>
          <w:b/>
          <w:bCs/>
        </w:rPr>
        <w:t>What impact are the priorities and domestic politics of individual EU Member States likely to have on the UK-EU reset? &amp; 3. How are the policies of the new US Administration likely to affect the UK-EU reset?</w:t>
      </w:r>
    </w:p>
    <w:p w:rsidR="00C456A9" w:rsidRPr="00C456A9" w:rsidP="00EE2D7F">
      <w:pPr>
        <w:spacing w:after="0" w:line="240" w:lineRule="auto"/>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 xml:space="preserve">There is a tendency in the UK to misunderstand how the EU perceives UK capabilities and closeness. From the EU’s perspective, the UK’s size makes it both a significant asset and a potential threat, </w:t>
      </w:r>
      <w:r w:rsidRPr="00C456A9">
        <w:rPr>
          <w:rFonts w:ascii="Verdana" w:hAnsi="Verdana" w:cs="Times New Roman"/>
        </w:rPr>
        <w:t xml:space="preserve">meaning any British contribution </w:t>
      </w:r>
      <w:r w:rsidRPr="00C456A9">
        <w:rPr>
          <w:rFonts w:ascii="Verdana" w:hAnsi="Verdana" w:cs="Times New Roman"/>
        </w:rPr>
        <w:t>has to</w:t>
      </w:r>
      <w:r w:rsidRPr="00C456A9">
        <w:rPr>
          <w:rFonts w:ascii="Verdana" w:hAnsi="Verdana" w:cs="Times New Roman"/>
        </w:rPr>
        <w:t xml:space="preserve"> be carefully framed. Nor does the closeness of UK and EU rules post-Brexit do much to help Britain, since the EU is adamant that these present competitive risks in the absence of shared institutional frameworks.</w:t>
      </w:r>
      <w:r w:rsidRPr="00C456A9">
        <w:rPr>
          <w:rFonts w:ascii="Verdana" w:hAnsi="Verdana" w:cs="Times New Roman"/>
        </w:rPr>
        <w:t xml:space="preserve"> </w:t>
      </w:r>
      <w:r w:rsidRPr="00C456A9">
        <w:rPr>
          <w:rFonts w:ascii="Verdana" w:hAnsi="Verdana" w:cs="Times New Roman"/>
        </w:rPr>
        <w:t>While some Member States have historically resisted a more institutionalized UK role in EU-led defense industrial initiatives—preferring to keep EU funds within the bloc’s industrial base—the geopolitical landscape is shifting. The Trump administration’s stanc</w:t>
      </w:r>
      <w:r w:rsidRPr="00C456A9">
        <w:rPr>
          <w:rFonts w:ascii="Verdana" w:hAnsi="Verdana" w:cs="Times New Roman"/>
        </w:rPr>
        <w:t xml:space="preserve">e on European defense and the broader urgency of strengthening European capabilities, including those of the UK, Norway, Iceland, and Ukraine, have weakened the argument for market protectionism. </w:t>
      </w:r>
      <w:r w:rsidRPr="00C456A9">
        <w:rPr>
          <w:rFonts w:ascii="Verdana" w:hAnsi="Verdana" w:cs="Times New Roman"/>
        </w:rPr>
        <w:t xml:space="preserve">The argument of </w:t>
      </w:r>
      <w:r w:rsidRPr="00C456A9">
        <w:rPr>
          <w:rFonts w:ascii="Verdana" w:hAnsi="Verdana" w:cs="Times New Roman"/>
        </w:rPr>
        <w:t>Anglo-American ‘Trojan horse’ gaining access to European defence industrial initiatives</w:t>
      </w:r>
      <w:r w:rsidRPr="00C456A9">
        <w:rPr>
          <w:rFonts w:ascii="Verdana" w:hAnsi="Verdana" w:cs="Times New Roman"/>
        </w:rPr>
        <w:t xml:space="preserve"> seems to be losing traction. </w:t>
      </w:r>
      <w:r w:rsidRPr="00C456A9">
        <w:rPr>
          <w:rFonts w:ascii="Verdana" w:hAnsi="Verdana" w:cs="Times New Roman"/>
        </w:rPr>
        <w:t xml:space="preserve">As a result, </w:t>
      </w:r>
      <w:r w:rsidRPr="00C456A9">
        <w:rPr>
          <w:rFonts w:ascii="Verdana" w:hAnsi="Verdana" w:cs="Times New Roman"/>
        </w:rPr>
        <w:t xml:space="preserve">and considering value added of having the UK defense industry, </w:t>
      </w:r>
      <w:r w:rsidRPr="00C456A9">
        <w:rPr>
          <w:rFonts w:ascii="Verdana" w:hAnsi="Verdana" w:cs="Times New Roman"/>
        </w:rPr>
        <w:t xml:space="preserve">there </w:t>
      </w:r>
      <w:r w:rsidRPr="00C456A9">
        <w:rPr>
          <w:rFonts w:ascii="Verdana" w:hAnsi="Verdana" w:cs="Times New Roman"/>
        </w:rPr>
        <w:t>seems to be a</w:t>
      </w:r>
      <w:r w:rsidRPr="00C456A9">
        <w:rPr>
          <w:rFonts w:ascii="Verdana" w:hAnsi="Verdana" w:cs="Times New Roman"/>
        </w:rPr>
        <w:t xml:space="preserve"> growing recognition</w:t>
      </w:r>
      <w:r w:rsidRPr="00C456A9">
        <w:rPr>
          <w:rFonts w:ascii="Verdana" w:hAnsi="Verdana" w:cs="Times New Roman"/>
        </w:rPr>
        <w:t>,</w:t>
      </w:r>
      <w:r w:rsidRPr="00C456A9">
        <w:rPr>
          <w:rFonts w:ascii="Verdana" w:hAnsi="Verdana" w:cs="Times New Roman"/>
        </w:rPr>
        <w:t xml:space="preserve"> </w:t>
      </w:r>
      <w:r w:rsidRPr="00C456A9">
        <w:rPr>
          <w:rFonts w:ascii="Verdana" w:hAnsi="Verdana" w:cs="Times New Roman"/>
        </w:rPr>
        <w:t xml:space="preserve">even in </w:t>
      </w:r>
      <w:r w:rsidRPr="00C456A9">
        <w:rPr>
          <w:rFonts w:ascii="Verdana" w:hAnsi="Verdana" w:cs="Times New Roman"/>
        </w:rPr>
        <w:t>hesitant member states</w:t>
      </w:r>
      <w:r w:rsidRPr="00C456A9">
        <w:rPr>
          <w:rFonts w:ascii="Verdana" w:hAnsi="Verdana" w:cs="Times New Roman"/>
        </w:rPr>
        <w:t xml:space="preserve">, </w:t>
      </w:r>
      <w:r w:rsidRPr="00C456A9">
        <w:rPr>
          <w:rFonts w:ascii="Verdana" w:hAnsi="Verdana" w:cs="Times New Roman"/>
        </w:rPr>
        <w:t xml:space="preserve">that effective defense </w:t>
      </w:r>
      <w:r w:rsidRPr="00C456A9">
        <w:rPr>
          <w:rFonts w:ascii="Verdana" w:hAnsi="Verdana" w:cs="Times New Roman"/>
        </w:rPr>
        <w:t>cooperation must take precedence over industrial competition, creating an opening for deeper UK-EU collaboration.</w:t>
      </w:r>
    </w:p>
    <w:p w:rsidR="00C456A9" w:rsidRPr="00C456A9" w:rsidP="00EE2D7F">
      <w:pPr>
        <w:spacing w:after="0" w:line="240" w:lineRule="auto"/>
        <w:rPr>
          <w:rFonts w:ascii="Verdana" w:hAnsi="Verdana" w:cs="Times New Roman"/>
          <w:lang w:val="en-US"/>
        </w:rPr>
      </w:pPr>
    </w:p>
    <w:p w:rsidR="00C456A9" w:rsidRPr="00C456A9" w:rsidP="00EE2D7F">
      <w:pPr>
        <w:spacing w:after="0" w:line="240" w:lineRule="auto"/>
        <w:rPr>
          <w:rFonts w:ascii="Verdana" w:hAnsi="Verdana" w:cs="Times New Roman"/>
          <w:b/>
          <w:bCs/>
        </w:rPr>
      </w:pPr>
      <w:r w:rsidRPr="00C456A9">
        <w:rPr>
          <w:rFonts w:ascii="Verdana" w:hAnsi="Verdana" w:cs="Times New Roman"/>
          <w:b/>
          <w:bCs/>
        </w:rPr>
        <w:t>4. What should be the scope and priorities for the UK-EU security pact that the Government is seeking?</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T</w:t>
      </w:r>
      <w:r w:rsidRPr="00C456A9">
        <w:rPr>
          <w:rFonts w:ascii="Verdana" w:hAnsi="Verdana" w:cs="Times New Roman"/>
        </w:rPr>
        <w:t xml:space="preserve">he UK-EU security pact should focus on key areas of mutual interest. </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First, it should foster a s</w:t>
      </w:r>
      <w:r w:rsidRPr="00C456A9">
        <w:rPr>
          <w:rFonts w:ascii="Verdana" w:hAnsi="Verdana" w:cs="Times New Roman"/>
        </w:rPr>
        <w:t xml:space="preserve">tructured </w:t>
      </w:r>
      <w:r w:rsidRPr="00C456A9">
        <w:rPr>
          <w:rFonts w:ascii="Verdana" w:hAnsi="Verdana" w:cs="Times New Roman"/>
        </w:rPr>
        <w:t>s</w:t>
      </w:r>
      <w:r w:rsidRPr="00C456A9">
        <w:rPr>
          <w:rFonts w:ascii="Verdana" w:hAnsi="Verdana" w:cs="Times New Roman"/>
        </w:rPr>
        <w:t xml:space="preserve">ecurity and </w:t>
      </w:r>
      <w:r w:rsidRPr="00C456A9">
        <w:rPr>
          <w:rFonts w:ascii="Verdana" w:hAnsi="Verdana" w:cs="Times New Roman"/>
        </w:rPr>
        <w:t>d</w:t>
      </w:r>
      <w:r w:rsidRPr="00C456A9">
        <w:rPr>
          <w:rFonts w:ascii="Verdana" w:hAnsi="Verdana" w:cs="Times New Roman"/>
        </w:rPr>
        <w:t xml:space="preserve">efense </w:t>
      </w:r>
      <w:r w:rsidRPr="00C456A9">
        <w:rPr>
          <w:rFonts w:ascii="Verdana" w:hAnsi="Verdana" w:cs="Times New Roman"/>
        </w:rPr>
        <w:t>c</w:t>
      </w:r>
      <w:r w:rsidRPr="00C456A9">
        <w:rPr>
          <w:rFonts w:ascii="Verdana" w:hAnsi="Verdana" w:cs="Times New Roman"/>
        </w:rPr>
        <w:t>ooperation</w:t>
      </w:r>
      <w:r w:rsidRPr="00C456A9">
        <w:rPr>
          <w:rFonts w:ascii="Verdana" w:hAnsi="Verdana" w:cs="Times New Roman"/>
        </w:rPr>
        <w:t xml:space="preserve"> and establish formal </w:t>
      </w:r>
      <w:r w:rsidRPr="00C456A9">
        <w:rPr>
          <w:rFonts w:ascii="Verdana" w:hAnsi="Verdana" w:cs="Times New Roman"/>
        </w:rPr>
        <w:t>mechanisms</w:t>
      </w:r>
      <w:r w:rsidRPr="00C456A9">
        <w:rPr>
          <w:rFonts w:ascii="Verdana" w:hAnsi="Verdana" w:cs="Times New Roman"/>
        </w:rPr>
        <w:t xml:space="preserve"> to facilitate</w:t>
      </w:r>
      <w:r w:rsidRPr="00C456A9">
        <w:rPr>
          <w:rFonts w:ascii="Verdana" w:hAnsi="Verdana" w:cs="Times New Roman"/>
        </w:rPr>
        <w:t xml:space="preserve"> intelligence sharing, counterterrorism collaboration, cyber defense, and hybrid threat response</w:t>
      </w:r>
      <w:r w:rsidRPr="00C456A9">
        <w:rPr>
          <w:rFonts w:ascii="Verdana" w:hAnsi="Verdana" w:cs="Times New Roman"/>
        </w:rPr>
        <w:t xml:space="preserve">. </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 xml:space="preserve">Second, it should </w:t>
      </w:r>
      <w:r w:rsidRPr="00C456A9">
        <w:rPr>
          <w:rFonts w:ascii="Verdana" w:hAnsi="Verdana" w:cs="Times New Roman"/>
        </w:rPr>
        <w:t>enable UK defense companies to regularly participate in EU defense programs such as PESCO and the European Defence Fund, ensuring interoperability and strengthening European security capabilities.</w:t>
      </w:r>
      <w:r w:rsidRPr="00C456A9">
        <w:rPr>
          <w:rFonts w:ascii="Verdana" w:hAnsi="Verdana" w:cs="Times New Roman"/>
        </w:rPr>
        <w:t xml:space="preserve"> In this context, the institutionalization of </w:t>
      </w:r>
      <w:r w:rsidRPr="00C456A9">
        <w:rPr>
          <w:rFonts w:ascii="Verdana" w:hAnsi="Verdana" w:cs="Times New Roman"/>
        </w:rPr>
        <w:t xml:space="preserve">UK participation in </w:t>
      </w:r>
      <w:r w:rsidRPr="00C456A9">
        <w:rPr>
          <w:rFonts w:ascii="Verdana" w:hAnsi="Verdana" w:cs="Times New Roman"/>
        </w:rPr>
        <w:t>CSDP</w:t>
      </w:r>
      <w:r w:rsidRPr="00C456A9">
        <w:rPr>
          <w:rFonts w:ascii="Verdana" w:hAnsi="Verdana" w:cs="Times New Roman"/>
        </w:rPr>
        <w:t xml:space="preserve"> missions and crisis management operations</w:t>
      </w:r>
      <w:r w:rsidRPr="00C456A9">
        <w:rPr>
          <w:rFonts w:ascii="Verdana" w:hAnsi="Verdana" w:cs="Times New Roman"/>
        </w:rPr>
        <w:t xml:space="preserve"> would also be desirable</w:t>
      </w:r>
      <w:r w:rsidRPr="00C456A9">
        <w:rPr>
          <w:rFonts w:ascii="Verdana" w:hAnsi="Verdana" w:cs="Times New Roman"/>
        </w:rPr>
        <w:t>, reinforcing the UK’s role in European security while complementing NATO’s efforts.</w:t>
      </w:r>
      <w:r w:rsidRPr="00C456A9">
        <w:rPr>
          <w:rFonts w:ascii="Verdana" w:hAnsi="Verdana" w:cs="Times New Roman"/>
        </w:rPr>
        <w:t xml:space="preserve"> To this end, a </w:t>
      </w:r>
      <w:r w:rsidRPr="00C456A9">
        <w:rPr>
          <w:rFonts w:ascii="Verdana" w:hAnsi="Verdana" w:cs="Times New Roman"/>
        </w:rPr>
        <w:t>Framework Participation Agreement (FPA)</w:t>
      </w:r>
      <w:r w:rsidRPr="00C456A9">
        <w:rPr>
          <w:rFonts w:ascii="Verdana" w:hAnsi="Verdana" w:cs="Times New Roman"/>
        </w:rPr>
        <w:t xml:space="preserve"> can be signed, </w:t>
      </w:r>
      <w:r w:rsidRPr="00C456A9">
        <w:rPr>
          <w:rFonts w:ascii="Verdana" w:hAnsi="Verdana" w:cs="Times New Roman"/>
        </w:rPr>
        <w:t>similar to</w:t>
      </w:r>
      <w:r w:rsidRPr="00C456A9">
        <w:rPr>
          <w:rFonts w:ascii="Verdana" w:hAnsi="Verdana" w:cs="Times New Roman"/>
        </w:rPr>
        <w:t xml:space="preserve"> the EU’s agreement with the U.S. and Canada. </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Third, it should establish a r</w:t>
      </w:r>
      <w:r w:rsidRPr="00C456A9">
        <w:rPr>
          <w:rFonts w:ascii="Verdana" w:hAnsi="Verdana" w:cs="Times New Roman"/>
        </w:rPr>
        <w:t>egular high-level dialogue</w:t>
      </w:r>
      <w:r w:rsidRPr="00C456A9">
        <w:rPr>
          <w:rFonts w:ascii="Verdana" w:hAnsi="Verdana" w:cs="Times New Roman"/>
        </w:rPr>
        <w:t xml:space="preserve"> via a</w:t>
      </w:r>
      <w:r w:rsidRPr="00C456A9">
        <w:rPr>
          <w:rFonts w:ascii="Verdana" w:hAnsi="Verdana" w:cs="Times New Roman"/>
        </w:rPr>
        <w:t xml:space="preserve"> framework for </w:t>
      </w:r>
      <w:r w:rsidRPr="00C456A9">
        <w:rPr>
          <w:rFonts w:ascii="Verdana" w:hAnsi="Verdana" w:cs="Times New Roman"/>
        </w:rPr>
        <w:t xml:space="preserve">regular </w:t>
      </w:r>
      <w:r w:rsidRPr="00C456A9">
        <w:rPr>
          <w:rFonts w:ascii="Verdana" w:hAnsi="Verdana" w:cs="Times New Roman"/>
        </w:rPr>
        <w:t>ministerial and technical-level discussions on security and defense priorities, ensuring long-term strategic alignment despite political changes.</w:t>
      </w:r>
      <w:r w:rsidRPr="00C456A9">
        <w:rPr>
          <w:rFonts w:ascii="Verdana" w:hAnsi="Verdana" w:cs="Times New Roman"/>
        </w:rPr>
        <w:t xml:space="preserve"> </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 xml:space="preserve">Fourth, and in line with NATO priorities, a UK-EU security pack should advance bilateral cooperation on </w:t>
      </w:r>
      <w:r w:rsidRPr="00C456A9">
        <w:rPr>
          <w:rFonts w:ascii="Verdana" w:hAnsi="Verdana" w:cs="Times New Roman"/>
        </w:rPr>
        <w:t xml:space="preserve">energy security, supply chain resilience, and disinformation countermeasures to strengthen Europe’s ability to respond to </w:t>
      </w:r>
      <w:r w:rsidRPr="00C456A9">
        <w:rPr>
          <w:rFonts w:ascii="Verdana" w:hAnsi="Verdana" w:cs="Times New Roman"/>
        </w:rPr>
        <w:t>the growing Russian and Chinese disinformation campaigns</w:t>
      </w:r>
      <w:r w:rsidRPr="00C456A9">
        <w:rPr>
          <w:rFonts w:ascii="Verdana" w:hAnsi="Verdana" w:cs="Times New Roman"/>
        </w:rPr>
        <w:t>.</w:t>
      </w:r>
    </w:p>
    <w:p w:rsidR="00C456A9" w:rsidRPr="00C456A9" w:rsidP="00EE2D7F">
      <w:pPr>
        <w:spacing w:after="0" w:line="240" w:lineRule="auto"/>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b/>
          <w:bCs/>
        </w:rPr>
        <w:t>5. In the area of trade and mobility of people, the Government has identified three priorities for negotiation with the EU: a veterinary/SPS agreement; mutual recognition of professional qualifications (MRPQs); and easier access for UK touring artists in the EU. Are these the right priorities? Are they achievable? Are there other sectors which the Government should be including in the reset—for example, in the field of financial services</w:t>
      </w:r>
      <w:r w:rsidRPr="00C456A9">
        <w:rPr>
          <w:rFonts w:ascii="Verdana" w:hAnsi="Verdana" w:cs="Times New Roman"/>
        </w:rPr>
        <w:t>?</w:t>
      </w:r>
    </w:p>
    <w:p w:rsidR="00C456A9" w:rsidRPr="00C456A9" w:rsidP="00EE2D7F">
      <w:pPr>
        <w:tabs>
          <w:tab w:val="left" w:pos="3544"/>
        </w:tabs>
        <w:spacing w:after="0" w:line="240" w:lineRule="auto"/>
        <w:rPr>
          <w:rFonts w:ascii="Verdana" w:hAnsi="Verdana" w:cs="Times New Roman"/>
        </w:rPr>
      </w:pPr>
    </w:p>
    <w:p w:rsidR="00C456A9" w:rsidRPr="00C456A9" w:rsidP="003A7437">
      <w:pPr>
        <w:tabs>
          <w:tab w:val="left" w:pos="3544"/>
        </w:tabs>
        <w:spacing w:after="0" w:line="240" w:lineRule="auto"/>
        <w:jc w:val="both"/>
        <w:rPr>
          <w:rFonts w:ascii="Verdana" w:hAnsi="Verdana" w:cs="Times New Roman"/>
        </w:rPr>
      </w:pPr>
      <w:r w:rsidRPr="00C456A9">
        <w:rPr>
          <w:rFonts w:ascii="Verdana" w:hAnsi="Verdana" w:cs="Times New Roman"/>
        </w:rPr>
        <w:t xml:space="preserve">It makes sense to focus on those areas where there is a clear willingness from both sides to work out more practical arrangements and where existing UK red lines are not implicated to a significant degree. Financial services will be far more difficult as it raises questions of the UK’s relationship to the Single Market and will stoke renewed fears in the Commission that the UK is seeking to disrupt the existing balance of rights and obligations </w:t>
      </w:r>
      <w:r w:rsidRPr="00C456A9">
        <w:rPr>
          <w:rFonts w:ascii="Verdana" w:hAnsi="Verdana" w:cs="Times New Roman"/>
        </w:rPr>
        <w:t>in order to</w:t>
      </w:r>
      <w:r w:rsidRPr="00C456A9">
        <w:rPr>
          <w:rFonts w:ascii="Verdana" w:hAnsi="Verdana" w:cs="Times New Roman"/>
        </w:rPr>
        <w:t xml:space="preserve"> obtain a competitive advantage.</w:t>
      </w:r>
      <w:r w:rsidRPr="00C456A9">
        <w:rPr>
          <w:rFonts w:ascii="Verdana" w:hAnsi="Verdana" w:cs="Times New Roman"/>
        </w:rPr>
        <w:t xml:space="preserve"> The difficulty for the present government when it comes to a more ambitious reset is that what is seen in the UK as pro-European engagement is viewed by the EU as incurring far greater risks. Perhaps paradoxically, it was comparatively easy to negotiate the TCA because of the distance from the EU it implied, while a closer relationship will rekindle concerns the UK is trying to ‘have its cake and eat it’.</w:t>
      </w:r>
    </w:p>
    <w:p w:rsidR="00C456A9" w:rsidRPr="00C456A9" w:rsidP="00EE2D7F">
      <w:pPr>
        <w:tabs>
          <w:tab w:val="left" w:pos="3544"/>
        </w:tabs>
        <w:spacing w:after="0" w:line="240" w:lineRule="auto"/>
        <w:rPr>
          <w:rFonts w:ascii="Verdana" w:hAnsi="Verdana" w:cs="Times New Roman"/>
        </w:rPr>
      </w:pPr>
    </w:p>
    <w:p w:rsidR="00C456A9" w:rsidRPr="00C456A9" w:rsidP="00EE2D7F">
      <w:pPr>
        <w:spacing w:after="0" w:line="240" w:lineRule="auto"/>
        <w:rPr>
          <w:rFonts w:ascii="Verdana" w:hAnsi="Verdana" w:cs="Times New Roman"/>
        </w:rPr>
      </w:pPr>
    </w:p>
    <w:p w:rsidR="00C456A9" w:rsidRPr="00C456A9" w:rsidP="00EE2D7F">
      <w:pPr>
        <w:spacing w:after="0" w:line="240" w:lineRule="auto"/>
        <w:rPr>
          <w:rFonts w:ascii="Verdana" w:hAnsi="Verdana" w:cs="Times New Roman"/>
          <w:b/>
          <w:bCs/>
        </w:rPr>
      </w:pPr>
      <w:r w:rsidRPr="00C456A9">
        <w:rPr>
          <w:rFonts w:ascii="Verdana" w:hAnsi="Verdana" w:cs="Times New Roman"/>
          <w:b/>
          <w:bCs/>
        </w:rPr>
        <w:t>7. As part of its reset plans, how should the Government deal with the expiry in 2026 of TCA provisions on fisheries and energy?</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 xml:space="preserve">Different areas entail very different forms of </w:t>
      </w:r>
      <w:r w:rsidRPr="00C456A9">
        <w:rPr>
          <w:rFonts w:ascii="Verdana" w:hAnsi="Verdana" w:cs="Times New Roman"/>
        </w:rPr>
        <w:t>cooperation, and</w:t>
      </w:r>
      <w:r w:rsidRPr="00C456A9">
        <w:rPr>
          <w:rFonts w:ascii="Verdana" w:hAnsi="Verdana" w:cs="Times New Roman"/>
        </w:rPr>
        <w:t xml:space="preserve"> would be difficult to negotiate as a combined package. Migration, climate and energy policies have distinct institutional logics to security and defence and </w:t>
      </w:r>
      <w:r w:rsidRPr="00C456A9">
        <w:rPr>
          <w:rFonts w:ascii="Verdana" w:hAnsi="Verdana" w:cs="Times New Roman"/>
        </w:rPr>
        <w:t>engagement here would not only look very different but would also be made more difficult by Britain’s distant post-Brexit relationship.</w:t>
      </w:r>
    </w:p>
    <w:p w:rsidR="00C456A9" w:rsidRPr="00C456A9" w:rsidP="00EE2D7F">
      <w:pPr>
        <w:spacing w:after="0" w:line="240" w:lineRule="auto"/>
        <w:rPr>
          <w:rFonts w:ascii="Verdana" w:hAnsi="Verdana" w:cs="Times New Roman"/>
        </w:rPr>
      </w:pPr>
    </w:p>
    <w:p w:rsidR="00C456A9" w:rsidRPr="00C456A9" w:rsidP="00EE2D7F">
      <w:pPr>
        <w:spacing w:after="0" w:line="240" w:lineRule="auto"/>
        <w:rPr>
          <w:rFonts w:ascii="Verdana" w:hAnsi="Verdana" w:cs="Times New Roman"/>
          <w:b/>
          <w:bCs/>
          <w:u w:val="single"/>
        </w:rPr>
      </w:pPr>
      <w:r w:rsidRPr="00C456A9">
        <w:rPr>
          <w:rFonts w:ascii="Verdana" w:hAnsi="Verdana" w:cs="Times New Roman"/>
          <w:b/>
          <w:bCs/>
          <w:u w:val="single"/>
        </w:rPr>
        <w:t>The reset process</w:t>
      </w:r>
    </w:p>
    <w:p w:rsidR="00C456A9" w:rsidRPr="00C456A9" w:rsidP="00EE2D7F">
      <w:pPr>
        <w:spacing w:after="0" w:line="240" w:lineRule="auto"/>
        <w:rPr>
          <w:rFonts w:ascii="Verdana" w:hAnsi="Verdana" w:cs="Times New Roman"/>
        </w:rPr>
      </w:pPr>
    </w:p>
    <w:p w:rsidR="00C456A9" w:rsidRPr="00C456A9" w:rsidP="00EE2D7F">
      <w:pPr>
        <w:spacing w:after="0" w:line="240" w:lineRule="auto"/>
        <w:jc w:val="both"/>
        <w:rPr>
          <w:rFonts w:ascii="Verdana" w:hAnsi="Verdana" w:cs="Times New Roman"/>
          <w:b/>
          <w:bCs/>
        </w:rPr>
      </w:pPr>
      <w:r w:rsidRPr="00C456A9">
        <w:rPr>
          <w:rFonts w:ascii="Verdana" w:hAnsi="Verdana" w:cs="Times New Roman"/>
          <w:b/>
          <w:bCs/>
        </w:rPr>
        <w:t xml:space="preserve">9. As it pursues its reset objectives, how can the Government influence the EU most </w:t>
      </w:r>
      <w:r w:rsidRPr="00C456A9">
        <w:rPr>
          <w:rFonts w:ascii="Verdana" w:hAnsi="Verdana" w:cs="Times New Roman"/>
          <w:b/>
          <w:bCs/>
        </w:rPr>
        <w:t>effectively—including</w:t>
      </w:r>
      <w:r w:rsidRPr="00C456A9">
        <w:rPr>
          <w:rFonts w:ascii="Verdana" w:hAnsi="Verdana" w:cs="Times New Roman"/>
          <w:b/>
          <w:bCs/>
        </w:rPr>
        <w:t xml:space="preserve"> through the role of bilateral relations with European countries and the UK’s position in other European multilateral organisations?</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 xml:space="preserve">The UK Government should adopt a multi-layered strategy. As for the bilateral relations with key EU Member States, it should deepen security and defense cooperation with France and Germany, as well as strategically important partners like Poland and the Netherlands. </w:t>
      </w:r>
      <w:r w:rsidRPr="00C456A9">
        <w:rPr>
          <w:rFonts w:ascii="Verdana" w:hAnsi="Verdana" w:cs="Times New Roman"/>
        </w:rPr>
        <w:t xml:space="preserve">Poland, as the major actor on NATO’s Northeastern flank, with a defense budget projected to reach 4.7% of its GDP in 2025, is actively seeking new defense industrial deals to enhance both its own security and that of the broader region. Given its strategic position and growing defense commitments, deeper UK-Poland cooperation could serve as a key pillar in strengthening European security. By aligning with Poland’s defense modernization efforts, the UK can reinforce its influence in European security policy </w:t>
      </w:r>
      <w:r w:rsidRPr="00C456A9">
        <w:rPr>
          <w:rFonts w:ascii="Verdana" w:hAnsi="Verdana" w:cs="Times New Roman"/>
        </w:rPr>
        <w:t>and advance its reset objectives with the EU. As for the Netherlands, its role in joint military initiatives, such as the UK-led Joint Expeditionary Force, and its strategic position in European defense supply chains make it an essential ally in strengthening regional security. In general, s</w:t>
      </w:r>
      <w:r w:rsidRPr="00C456A9">
        <w:rPr>
          <w:rFonts w:ascii="Verdana" w:hAnsi="Verdana" w:cs="Times New Roman"/>
        </w:rPr>
        <w:t>trong bilateral ties can create momentum for broader UK-EU agreements by demonstrating the UK's value as a security and defense partner.</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 xml:space="preserve">At the same time, the UK should maximize its role in </w:t>
      </w:r>
      <w:r w:rsidRPr="00C456A9">
        <w:rPr>
          <w:rFonts w:ascii="Verdana" w:hAnsi="Verdana" w:cs="Times New Roman"/>
        </w:rPr>
        <w:t xml:space="preserve">the </w:t>
      </w:r>
      <w:r w:rsidRPr="00C456A9">
        <w:rPr>
          <w:rFonts w:ascii="Verdana" w:hAnsi="Verdana" w:cs="Times New Roman"/>
        </w:rPr>
        <w:t>European Political Community and most notably</w:t>
      </w:r>
      <w:r w:rsidRPr="00C456A9">
        <w:rPr>
          <w:rFonts w:ascii="Verdana" w:hAnsi="Verdana" w:cs="Times New Roman"/>
        </w:rPr>
        <w:t>,</w:t>
      </w:r>
      <w:r w:rsidRPr="00C456A9">
        <w:rPr>
          <w:rFonts w:ascii="Verdana" w:hAnsi="Verdana" w:cs="Times New Roman"/>
        </w:rPr>
        <w:t xml:space="preserve"> in </w:t>
      </w:r>
      <w:r w:rsidRPr="00C456A9">
        <w:rPr>
          <w:rFonts w:ascii="Verdana" w:hAnsi="Verdana" w:cs="Times New Roman"/>
        </w:rPr>
        <w:t xml:space="preserve">NATO to shape discussions on European security. With U.S. </w:t>
      </w:r>
      <w:r w:rsidRPr="00C456A9">
        <w:rPr>
          <w:rFonts w:ascii="Verdana" w:hAnsi="Verdana" w:cs="Times New Roman"/>
        </w:rPr>
        <w:t>priorities shifting, the future of NATO remains uncertain. However, the Alliance remains the most effective deterrence tool available to the European continent. It is therefore in the UK's interest to demonstrate leadership and advocate for deeper cooperation among European allies, which will be crucial if a future Trump administration withdraws from transatlantic security commitments. By reinforcing NATO’s European pillar and fostering stronger defense ties within the continent, the UK can ensure its own s</w:t>
      </w:r>
      <w:r w:rsidRPr="00C456A9">
        <w:rPr>
          <w:rFonts w:ascii="Verdana" w:hAnsi="Verdana" w:cs="Times New Roman"/>
        </w:rPr>
        <w:t>ecurity while maintaining strategic influence in European defense policy.</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Overall, t</w:t>
      </w:r>
      <w:r w:rsidRPr="00C456A9">
        <w:rPr>
          <w:rFonts w:ascii="Verdana" w:hAnsi="Verdana" w:cs="Times New Roman"/>
        </w:rPr>
        <w:t>he European security landscape is littered with mini-lateral formats comprising smaller country groupings</w:t>
      </w:r>
      <w:r w:rsidRPr="00C456A9">
        <w:rPr>
          <w:rFonts w:ascii="Verdana" w:hAnsi="Verdana" w:cs="Times New Roman"/>
        </w:rPr>
        <w:t xml:space="preserve"> (</w:t>
      </w:r>
      <w:r w:rsidRPr="00C456A9">
        <w:rPr>
          <w:rFonts w:ascii="Verdana" w:hAnsi="Verdana" w:cs="Times New Roman"/>
        </w:rPr>
        <w:t xml:space="preserve">recently </w:t>
      </w:r>
      <w:r w:rsidRPr="00C456A9">
        <w:rPr>
          <w:rFonts w:ascii="Verdana" w:hAnsi="Verdana" w:cs="Times New Roman"/>
        </w:rPr>
        <w:t xml:space="preserve">increasingly </w:t>
      </w:r>
      <w:r w:rsidRPr="00C456A9">
        <w:rPr>
          <w:rFonts w:ascii="Verdana" w:hAnsi="Verdana" w:cs="Times New Roman"/>
        </w:rPr>
        <w:t>common meeting format</w:t>
      </w:r>
      <w:r w:rsidRPr="00C456A9">
        <w:rPr>
          <w:rFonts w:ascii="Verdana" w:hAnsi="Verdana" w:cs="Times New Roman"/>
        </w:rPr>
        <w:t>. the Weimar Triangle plus Spain, Italy and the UK)</w:t>
      </w:r>
      <w:r w:rsidRPr="00C456A9">
        <w:rPr>
          <w:rFonts w:ascii="Verdana" w:hAnsi="Verdana" w:cs="Times New Roman"/>
        </w:rPr>
        <w:t xml:space="preserve">, including both politico-strategic outfits, multinational consortia in defence procurement, and operational platforms (like the UK’s Joint Expeditionary Force). A UK-EU agreement would do little to alter this </w:t>
      </w:r>
      <w:r w:rsidRPr="00C456A9">
        <w:rPr>
          <w:rFonts w:ascii="Verdana" w:hAnsi="Verdana" w:cs="Times New Roman"/>
        </w:rPr>
        <w:t>landscape, but</w:t>
      </w:r>
      <w:r w:rsidRPr="00C456A9">
        <w:rPr>
          <w:rFonts w:ascii="Verdana" w:hAnsi="Verdana" w:cs="Times New Roman"/>
        </w:rPr>
        <w:t xml:space="preserve"> could bring greater overall cohesion.</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rPr>
          <w:rFonts w:ascii="Verdana" w:hAnsi="Verdana" w:cs="Times New Roman"/>
          <w:b/>
          <w:bCs/>
        </w:rPr>
      </w:pPr>
      <w:r w:rsidRPr="00C456A9">
        <w:rPr>
          <w:rFonts w:ascii="Verdana" w:hAnsi="Verdana" w:cs="Times New Roman"/>
          <w:b/>
          <w:bCs/>
        </w:rPr>
        <w:t>10. As it pursues the reset, are there lessons that the Government could usefully learn from other non-EU countries—such as Switzerland, Norway or Canada?</w:t>
      </w:r>
    </w:p>
    <w:p w:rsidR="00C456A9" w:rsidRPr="00C456A9" w:rsidP="00010E9E">
      <w:pPr>
        <w:spacing w:after="0" w:line="240" w:lineRule="auto"/>
        <w:jc w:val="both"/>
        <w:rPr>
          <w:rFonts w:ascii="Verdana" w:hAnsi="Verdana" w:cs="Times New Roman"/>
        </w:rPr>
      </w:pPr>
    </w:p>
    <w:p w:rsidR="00C456A9" w:rsidRPr="00C456A9" w:rsidP="00EE2D7F">
      <w:pPr>
        <w:pStyle w:val="ListParagraph"/>
        <w:numPr>
          <w:ilvl w:val="0"/>
          <w:numId w:val="3"/>
        </w:numPr>
        <w:spacing w:after="0" w:line="240" w:lineRule="auto"/>
        <w:jc w:val="both"/>
        <w:rPr>
          <w:rFonts w:ascii="Verdana" w:hAnsi="Verdana" w:cs="Times New Roman"/>
        </w:rPr>
      </w:pPr>
      <w:r w:rsidRPr="00C456A9">
        <w:rPr>
          <w:rFonts w:ascii="Verdana" w:hAnsi="Verdana" w:cs="Times New Roman"/>
        </w:rPr>
        <w:t xml:space="preserve">Although </w:t>
      </w:r>
      <w:r w:rsidRPr="00C456A9">
        <w:rPr>
          <w:rFonts w:ascii="Verdana" w:hAnsi="Verdana" w:cs="Times New Roman"/>
          <w:u w:val="single"/>
        </w:rPr>
        <w:t>Switzerland</w:t>
      </w:r>
      <w:r w:rsidRPr="00C456A9">
        <w:rPr>
          <w:rFonts w:ascii="Verdana" w:hAnsi="Verdana" w:cs="Times New Roman"/>
        </w:rPr>
        <w:t xml:space="preserve"> has a dense network of bilateral agreements with the EU, its lack of a comprehensive framework has resulted in ongoing tensions and legal uncertainties. The UK's reset should pursue a more stable and institutionalized arrangement to prevent constant renegotiation.</w:t>
      </w:r>
    </w:p>
    <w:p w:rsidR="00C456A9" w:rsidRPr="00C456A9" w:rsidP="00010E9E">
      <w:pPr>
        <w:spacing w:after="0" w:line="240" w:lineRule="auto"/>
        <w:jc w:val="both"/>
        <w:rPr>
          <w:rFonts w:ascii="Verdana" w:hAnsi="Verdana" w:cs="Times New Roman"/>
        </w:rPr>
      </w:pPr>
    </w:p>
    <w:p w:rsidR="00C456A9" w:rsidRPr="00C456A9" w:rsidP="00EE2D7F">
      <w:pPr>
        <w:pStyle w:val="ListParagraph"/>
        <w:numPr>
          <w:ilvl w:val="0"/>
          <w:numId w:val="3"/>
        </w:numPr>
        <w:spacing w:after="0" w:line="240" w:lineRule="auto"/>
        <w:jc w:val="both"/>
        <w:rPr>
          <w:rFonts w:ascii="Verdana" w:hAnsi="Verdana" w:cs="Times New Roman"/>
        </w:rPr>
      </w:pPr>
      <w:r w:rsidRPr="00C456A9">
        <w:rPr>
          <w:rFonts w:ascii="Verdana" w:hAnsi="Verdana" w:cs="Times New Roman"/>
        </w:rPr>
        <w:t>As a</w:t>
      </w:r>
      <w:r w:rsidRPr="00C456A9">
        <w:rPr>
          <w:rFonts w:ascii="Verdana" w:hAnsi="Verdana" w:cs="Times New Roman"/>
        </w:rPr>
        <w:t xml:space="preserve"> European Economic Area (EEA)</w:t>
      </w:r>
      <w:r w:rsidRPr="00C456A9">
        <w:rPr>
          <w:rFonts w:ascii="Verdana" w:hAnsi="Verdana" w:cs="Times New Roman"/>
        </w:rPr>
        <w:t xml:space="preserve"> member</w:t>
      </w:r>
      <w:r w:rsidRPr="00C456A9">
        <w:rPr>
          <w:rFonts w:ascii="Verdana" w:hAnsi="Verdana" w:cs="Times New Roman"/>
        </w:rPr>
        <w:t xml:space="preserve">, </w:t>
      </w:r>
      <w:r w:rsidRPr="00C456A9">
        <w:rPr>
          <w:rFonts w:ascii="Verdana" w:hAnsi="Verdana" w:cs="Times New Roman"/>
          <w:u w:val="single"/>
        </w:rPr>
        <w:t>Norway</w:t>
      </w:r>
      <w:r w:rsidRPr="00C456A9">
        <w:rPr>
          <w:rFonts w:ascii="Verdana" w:hAnsi="Verdana" w:cs="Times New Roman"/>
        </w:rPr>
        <w:t xml:space="preserve"> enjoys deep trade integration </w:t>
      </w:r>
      <w:r w:rsidRPr="00C456A9">
        <w:rPr>
          <w:rFonts w:ascii="Verdana" w:hAnsi="Verdana" w:cs="Times New Roman"/>
        </w:rPr>
        <w:t>and a security and defense partnership agreement signed in May 2024 intensifies defense-industrial cooperation</w:t>
      </w:r>
      <w:r w:rsidRPr="00C456A9">
        <w:rPr>
          <w:rFonts w:ascii="Verdana" w:hAnsi="Verdana" w:cs="Times New Roman"/>
        </w:rPr>
        <w:t xml:space="preserve">, particularly in the context of ongoing support for Ukraine. This pact focuses on enhancing </w:t>
      </w:r>
      <w:r w:rsidRPr="00C456A9">
        <w:rPr>
          <w:rFonts w:ascii="Verdana" w:hAnsi="Verdana" w:cs="Times New Roman"/>
        </w:rPr>
        <w:t>broa</w:t>
      </w:r>
      <w:r w:rsidRPr="00C456A9">
        <w:rPr>
          <w:rFonts w:ascii="Verdana" w:hAnsi="Verdana" w:cs="Times New Roman"/>
        </w:rPr>
        <w:t xml:space="preserve">der security cooperation ranging from maritime security, resilience of critical infrastructure (including underwater infrastructure) to cybersecurity, hybrid threats and </w:t>
      </w:r>
      <w:r w:rsidRPr="00C456A9">
        <w:rPr>
          <w:rFonts w:ascii="Verdana" w:hAnsi="Verdana" w:cs="Times New Roman"/>
        </w:rPr>
        <w:t>counter-terrorism</w:t>
      </w:r>
      <w:r w:rsidRPr="00C456A9">
        <w:rPr>
          <w:rFonts w:ascii="Verdana" w:hAnsi="Verdana" w:cs="Times New Roman"/>
        </w:rPr>
        <w:t>. While the UK is unlikely to pursue EEA membership and there is also no appetite at the EU for such a shift, Norway’s structured involvement in security initiatives, such as PESCO and CSDP missions, could serve as a model for UK-EU defense cooperation</w:t>
      </w:r>
      <w:r w:rsidRPr="00C456A9">
        <w:rPr>
          <w:rFonts w:ascii="Verdana" w:hAnsi="Verdana" w:cs="Times New Roman"/>
        </w:rPr>
        <w:t>.</w:t>
      </w:r>
    </w:p>
    <w:p w:rsidR="00C456A9" w:rsidRPr="00C456A9" w:rsidP="00FF3811">
      <w:pPr>
        <w:pStyle w:val="ListParagraph"/>
        <w:rPr>
          <w:rFonts w:ascii="Verdana" w:hAnsi="Verdana" w:cs="Times New Roman"/>
        </w:rPr>
      </w:pPr>
    </w:p>
    <w:p w:rsidR="00C456A9" w:rsidRPr="00C456A9" w:rsidP="00EE2D7F">
      <w:pPr>
        <w:pStyle w:val="ListParagraph"/>
        <w:numPr>
          <w:ilvl w:val="0"/>
          <w:numId w:val="3"/>
        </w:numPr>
        <w:spacing w:after="0" w:line="240" w:lineRule="auto"/>
        <w:jc w:val="both"/>
        <w:rPr>
          <w:rFonts w:ascii="Verdana" w:hAnsi="Verdana" w:cs="Times New Roman"/>
        </w:rPr>
      </w:pPr>
      <w:r w:rsidRPr="00C456A9">
        <w:rPr>
          <w:rFonts w:ascii="Verdana" w:hAnsi="Verdana" w:cs="Times New Roman"/>
        </w:rPr>
        <w:t>The UK needs to be cautious when citing EU precedent for establishing bespoke models. While agreements are tailored to different countries, they reflect the same balance of rights and obligations and are shaped by resulting perceptions of risk. While the UK has expected a more generous arrangements than Norway because of its size, the reality is that in some areas the size of the UK economy presents more of a risk. Moreover, Norway’s close relationship in many areas is enabled by its EEA membership, while t</w:t>
      </w:r>
      <w:r w:rsidRPr="00C456A9">
        <w:rPr>
          <w:rFonts w:ascii="Verdana" w:hAnsi="Verdana" w:cs="Times New Roman"/>
        </w:rPr>
        <w:t>he UK has opted for more distant arrangements.</w:t>
      </w:r>
    </w:p>
    <w:p w:rsidR="00C456A9" w:rsidRPr="00C456A9" w:rsidP="00010E9E">
      <w:pPr>
        <w:spacing w:after="0" w:line="240" w:lineRule="auto"/>
        <w:jc w:val="both"/>
        <w:rPr>
          <w:rFonts w:ascii="Verdana" w:hAnsi="Verdana" w:cs="Times New Roman"/>
        </w:rPr>
      </w:pPr>
    </w:p>
    <w:p w:rsidR="00C456A9" w:rsidRPr="00C456A9" w:rsidP="00EE2D7F">
      <w:pPr>
        <w:pStyle w:val="ListParagraph"/>
        <w:numPr>
          <w:ilvl w:val="0"/>
          <w:numId w:val="3"/>
        </w:numPr>
        <w:spacing w:after="0" w:line="240" w:lineRule="auto"/>
        <w:jc w:val="both"/>
        <w:rPr>
          <w:rFonts w:ascii="Verdana" w:hAnsi="Verdana" w:cs="Times New Roman"/>
        </w:rPr>
      </w:pPr>
      <w:r w:rsidRPr="00C456A9">
        <w:rPr>
          <w:rFonts w:ascii="Verdana" w:hAnsi="Verdana" w:cs="Times New Roman"/>
          <w:u w:val="single"/>
        </w:rPr>
        <w:t>Canada</w:t>
      </w:r>
      <w:r w:rsidRPr="00C456A9">
        <w:rPr>
          <w:rFonts w:ascii="Verdana" w:hAnsi="Verdana" w:cs="Times New Roman"/>
        </w:rPr>
        <w:t xml:space="preserve"> and the EU have established a robust security and defense cooperation framework alongside their trade relationship under CETA. The 2005 Framework Participation Agreement (FPA) allows Canada to take part in EU crisis management operations, providing a structured basis for collaboration. </w:t>
      </w:r>
      <w:r w:rsidRPr="00C456A9">
        <w:rPr>
          <w:rFonts w:ascii="Verdana" w:hAnsi="Verdana" w:cs="Times New Roman"/>
        </w:rPr>
        <w:t xml:space="preserve">In 2021 Canada joined PESCO and the first non-EU country. </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A successful UK-EU reset should balance these models</w:t>
      </w:r>
      <w:r w:rsidRPr="00C456A9">
        <w:rPr>
          <w:rFonts w:ascii="Verdana" w:hAnsi="Verdana" w:cs="Times New Roman"/>
        </w:rPr>
        <w:t>,</w:t>
      </w:r>
      <w:r w:rsidRPr="00C456A9">
        <w:rPr>
          <w:rFonts w:ascii="Verdana" w:hAnsi="Verdana" w:cs="Times New Roman"/>
        </w:rPr>
        <w:t xml:space="preserve"> securing institutionalized security cooperation akin to Norway’s engagement while maintaining a flexible but stable trade framework that avoids the complexities of the Swiss approach.</w:t>
      </w:r>
    </w:p>
    <w:p w:rsidR="00C456A9" w:rsidRPr="00C456A9" w:rsidP="00EE2D7F">
      <w:pPr>
        <w:spacing w:after="0" w:line="240" w:lineRule="auto"/>
        <w:rPr>
          <w:rFonts w:ascii="Verdana" w:hAnsi="Verdana" w:cs="Times New Roman"/>
        </w:rPr>
      </w:pPr>
    </w:p>
    <w:p w:rsidR="00C456A9" w:rsidRPr="00C456A9" w:rsidP="00EE2D7F">
      <w:pPr>
        <w:spacing w:after="0" w:line="240" w:lineRule="auto"/>
        <w:rPr>
          <w:rFonts w:ascii="Verdana" w:hAnsi="Verdana" w:cs="Times New Roman"/>
          <w:b/>
          <w:bCs/>
        </w:rPr>
      </w:pPr>
      <w:r w:rsidRPr="00C456A9">
        <w:rPr>
          <w:rFonts w:ascii="Verdana" w:hAnsi="Verdana" w:cs="Times New Roman"/>
          <w:b/>
          <w:bCs/>
        </w:rPr>
        <w:t>12. How can the Government most effectively engage with and inform the devolved Administrations and legislatures, the public, parliamentarians and business and other domestic stakeholders with respect to the reset process? Are there lessons that the Government could learn from the UK’s negotiation of post-Brexit trade agreements with partners other than the EU?</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Engaging and informing the public remains crucial as</w:t>
      </w:r>
      <w:r w:rsidRPr="00C456A9">
        <w:rPr>
          <w:rFonts w:ascii="Verdana" w:hAnsi="Verdana" w:cs="Times New Roman"/>
        </w:rPr>
        <w:t xml:space="preserve"> </w:t>
      </w:r>
      <w:r w:rsidRPr="00C456A9">
        <w:rPr>
          <w:rFonts w:ascii="Verdana" w:hAnsi="Verdana" w:cs="Times New Roman"/>
        </w:rPr>
        <w:t xml:space="preserve">it </w:t>
      </w:r>
      <w:r w:rsidRPr="00C456A9">
        <w:rPr>
          <w:rFonts w:ascii="Verdana" w:hAnsi="Verdana" w:cs="Times New Roman"/>
        </w:rPr>
        <w:t xml:space="preserve">is unclear how </w:t>
      </w:r>
      <w:r w:rsidRPr="00C456A9">
        <w:rPr>
          <w:rFonts w:ascii="Verdana" w:hAnsi="Verdana" w:cs="Times New Roman"/>
        </w:rPr>
        <w:t xml:space="preserve">a resent and potentially a new </w:t>
      </w:r>
      <w:r w:rsidRPr="00C456A9">
        <w:rPr>
          <w:rFonts w:ascii="Verdana" w:hAnsi="Verdana" w:cs="Times New Roman"/>
        </w:rPr>
        <w:t xml:space="preserve">agreement </w:t>
      </w:r>
      <w:r w:rsidRPr="00C456A9">
        <w:rPr>
          <w:rFonts w:ascii="Verdana" w:hAnsi="Verdana" w:cs="Times New Roman"/>
        </w:rPr>
        <w:t xml:space="preserve">with the EU </w:t>
      </w:r>
      <w:r w:rsidRPr="00C456A9">
        <w:rPr>
          <w:rFonts w:ascii="Verdana" w:hAnsi="Verdana" w:cs="Times New Roman"/>
        </w:rPr>
        <w:t>would be received domestically. Security issues and support for Ukraine are</w:t>
      </w:r>
      <w:r w:rsidRPr="00C456A9">
        <w:rPr>
          <w:rFonts w:ascii="Verdana" w:hAnsi="Verdana" w:cs="Times New Roman"/>
        </w:rPr>
        <w:t xml:space="preserve"> so far</w:t>
      </w:r>
      <w:r w:rsidRPr="00C456A9">
        <w:rPr>
          <w:rFonts w:ascii="Verdana" w:hAnsi="Verdana" w:cs="Times New Roman"/>
        </w:rPr>
        <w:t xml:space="preserve"> not politicised</w:t>
      </w:r>
      <w:r w:rsidRPr="00C456A9">
        <w:rPr>
          <w:rFonts w:ascii="Verdana" w:hAnsi="Verdana" w:cs="Times New Roman"/>
        </w:rPr>
        <w:t xml:space="preserve"> in Britain</w:t>
      </w:r>
      <w:r w:rsidRPr="00C456A9">
        <w:rPr>
          <w:rFonts w:ascii="Verdana" w:hAnsi="Verdana" w:cs="Times New Roman"/>
        </w:rPr>
        <w:t>, but the experience of countries like Slovakia, Italy and the Netherlands suggest they easily could be. Reversing Brexit might be an easier charge for the Conservatives or Reform, and much depends on what line the party takes in opposition.</w:t>
      </w:r>
    </w:p>
    <w:p w:rsidR="00C456A9" w:rsidRPr="00C456A9" w:rsidP="00EE2D7F">
      <w:pPr>
        <w:spacing w:after="0" w:line="240" w:lineRule="auto"/>
        <w:rPr>
          <w:rFonts w:ascii="Verdana" w:hAnsi="Verdana" w:cs="Times New Roman"/>
        </w:rPr>
      </w:pPr>
    </w:p>
    <w:p w:rsidR="00C456A9" w:rsidRPr="00C456A9" w:rsidP="00EE2D7F">
      <w:pPr>
        <w:spacing w:after="0" w:line="240" w:lineRule="auto"/>
        <w:rPr>
          <w:rFonts w:ascii="Verdana" w:hAnsi="Verdana" w:cs="Times New Roman"/>
          <w:b/>
          <w:bCs/>
        </w:rPr>
      </w:pPr>
      <w:r w:rsidRPr="00C456A9">
        <w:rPr>
          <w:rFonts w:ascii="Verdana" w:hAnsi="Verdana" w:cs="Times New Roman"/>
          <w:b/>
          <w:bCs/>
        </w:rPr>
        <w:t>13. Is it necessary or desirable for the results of any UK-EU reset to take legally binding form? If so, what legal form should be taken by any new UK-EU agreements, and what would be the implications for parliamentary scrutiny?</w:t>
      </w:r>
    </w:p>
    <w:p w:rsidR="00C456A9" w:rsidRPr="00C456A9" w:rsidP="00EE2D7F">
      <w:pPr>
        <w:pStyle w:val="NormalWeb"/>
        <w:spacing w:before="0" w:beforeAutospacing="0" w:after="0" w:afterAutospacing="0"/>
        <w:jc w:val="both"/>
        <w:rPr>
          <w:rFonts w:ascii="Verdana" w:hAnsi="Verdana"/>
        </w:rPr>
      </w:pPr>
    </w:p>
    <w:p w:rsidR="00C456A9" w:rsidRPr="00C456A9" w:rsidP="00EE2D7F">
      <w:pPr>
        <w:pStyle w:val="NormalWeb"/>
        <w:spacing w:before="0" w:beforeAutospacing="0" w:after="0" w:afterAutospacing="0"/>
        <w:jc w:val="both"/>
        <w:rPr>
          <w:rFonts w:ascii="Verdana" w:hAnsi="Verdana"/>
        </w:rPr>
      </w:pPr>
      <w:r w:rsidRPr="00C456A9">
        <w:rPr>
          <w:rFonts w:ascii="Verdana" w:hAnsi="Verdana"/>
        </w:rPr>
        <w:t>To ensure predictability and accountability, a legally binding framework for the UK-EU reset would be desirable in key areas such as security, defense, and industrial cooperation. A formal agreement, such as a treaty or a structured partnership agreement, would institutionalize cooperation mechanisms beyond informal or ad-hoc arrangements</w:t>
      </w:r>
      <w:r w:rsidRPr="00C456A9">
        <w:rPr>
          <w:rFonts w:ascii="Verdana" w:hAnsi="Verdana"/>
        </w:rPr>
        <w:t>, opening a door for regular and structured meetings within a formal agreement, potentially with a dedicated staff and decision-rules</w:t>
      </w:r>
      <w:r w:rsidRPr="00C456A9">
        <w:rPr>
          <w:rFonts w:ascii="Verdana" w:hAnsi="Verdana"/>
        </w:rPr>
        <w:t>.</w:t>
      </w:r>
      <w:r w:rsidRPr="00C456A9">
        <w:rPr>
          <w:rFonts w:ascii="Verdana" w:hAnsi="Verdana"/>
        </w:rPr>
        <w:t xml:space="preserve"> </w:t>
      </w:r>
    </w:p>
    <w:p w:rsidR="00C456A9" w:rsidRPr="00C456A9" w:rsidP="00EE2D7F">
      <w:pPr>
        <w:pStyle w:val="NormalWeb"/>
        <w:spacing w:before="0" w:beforeAutospacing="0" w:after="0" w:afterAutospacing="0"/>
        <w:jc w:val="both"/>
        <w:rPr>
          <w:rFonts w:ascii="Verdana" w:hAnsi="Verdana"/>
        </w:rPr>
      </w:pPr>
    </w:p>
    <w:p w:rsidR="00C456A9" w:rsidRPr="00C456A9" w:rsidP="00EE2D7F">
      <w:pPr>
        <w:pStyle w:val="NormalWeb"/>
        <w:spacing w:before="0" w:beforeAutospacing="0" w:after="0" w:afterAutospacing="0"/>
        <w:jc w:val="both"/>
        <w:rPr>
          <w:rFonts w:ascii="Verdana" w:hAnsi="Verdana"/>
        </w:rPr>
      </w:pPr>
      <w:r w:rsidRPr="00C456A9">
        <w:rPr>
          <w:rFonts w:ascii="Verdana" w:hAnsi="Verdana"/>
        </w:rPr>
        <w:t>Making the results of the UK-EU reset legally binding would insulate cooperation from internal political changes, both within the EU and its Member States, as well as in the UK. Given the decade-long trend of rising support for populist parties in Europe, such an arrangement would enhance the resilience of UK-EU cooperation, ensuring its long-term stability</w:t>
      </w:r>
      <w:r w:rsidRPr="00C456A9">
        <w:rPr>
          <w:rFonts w:ascii="Verdana" w:hAnsi="Verdana"/>
        </w:rPr>
        <w:t xml:space="preserve">. </w:t>
      </w:r>
      <w:r w:rsidRPr="00C456A9">
        <w:rPr>
          <w:rFonts w:ascii="Verdana" w:hAnsi="Verdana"/>
        </w:rPr>
        <w:t>It would ring-fence relationships from future political disputes and ensure that cooperation is not dependent upon the political mood music of the time</w:t>
      </w:r>
      <w:r w:rsidRPr="00C456A9">
        <w:rPr>
          <w:rFonts w:ascii="Verdana" w:hAnsi="Verdana"/>
        </w:rPr>
        <w:t xml:space="preserve">, also facilitating cooperation on wider and longer-term issues which may be lurking behind immediate crises. </w:t>
      </w:r>
    </w:p>
    <w:p w:rsidR="00C456A9" w:rsidRPr="00C456A9" w:rsidP="00EE2D7F">
      <w:pPr>
        <w:pStyle w:val="NormalWeb"/>
        <w:spacing w:before="0" w:beforeAutospacing="0" w:after="0" w:afterAutospacing="0"/>
        <w:jc w:val="both"/>
        <w:rPr>
          <w:rFonts w:ascii="Verdana" w:hAnsi="Verdana"/>
        </w:rPr>
      </w:pPr>
    </w:p>
    <w:p w:rsidR="00C456A9" w:rsidRPr="00C456A9" w:rsidP="00EE2D7F">
      <w:pPr>
        <w:pStyle w:val="NormalWeb"/>
        <w:spacing w:before="0" w:beforeAutospacing="0" w:after="0" w:afterAutospacing="0"/>
        <w:jc w:val="both"/>
        <w:rPr>
          <w:rFonts w:ascii="Verdana" w:hAnsi="Verdana"/>
        </w:rPr>
      </w:pPr>
      <w:r w:rsidRPr="00C456A9">
        <w:rPr>
          <w:rFonts w:ascii="Verdana" w:hAnsi="Verdana"/>
        </w:rPr>
        <w:t xml:space="preserve">An agreement of this kind would not be at the expense of existing bilateral ties but would help to structure and reinforce them. So, too, would the regularisation of political contacts further enable the kind of informal contacts that have proven fruitful in recent months. And coordination would do much to enable EU-NATO coordination whilst contributing to EU initiatives </w:t>
      </w:r>
      <w:r w:rsidRPr="00C456A9">
        <w:rPr>
          <w:rFonts w:ascii="Verdana" w:hAnsi="Verdana"/>
        </w:rPr>
        <w:t>that are welcomed to improve</w:t>
      </w:r>
      <w:r w:rsidRPr="00C456A9">
        <w:rPr>
          <w:rFonts w:ascii="Verdana" w:hAnsi="Verdana"/>
        </w:rPr>
        <w:t xml:space="preserve"> the overall European contribution to NATO.</w:t>
      </w:r>
    </w:p>
    <w:p w:rsidR="00C456A9" w:rsidRPr="00C456A9" w:rsidP="00EE2D7F">
      <w:pPr>
        <w:pStyle w:val="NormalWeb"/>
        <w:spacing w:before="0" w:beforeAutospacing="0" w:after="0" w:afterAutospacing="0"/>
        <w:jc w:val="both"/>
        <w:rPr>
          <w:rFonts w:ascii="Verdana" w:hAnsi="Verdana"/>
        </w:rPr>
      </w:pPr>
    </w:p>
    <w:p w:rsidR="00C456A9" w:rsidRPr="00C456A9" w:rsidP="00EE2D7F">
      <w:pPr>
        <w:pStyle w:val="NormalWeb"/>
        <w:spacing w:before="0" w:beforeAutospacing="0" w:after="0" w:afterAutospacing="0"/>
        <w:jc w:val="both"/>
        <w:rPr>
          <w:rFonts w:ascii="Verdana" w:hAnsi="Verdana"/>
        </w:rPr>
      </w:pPr>
      <w:r w:rsidRPr="00C456A9">
        <w:rPr>
          <w:rFonts w:ascii="Verdana" w:hAnsi="Verdana"/>
        </w:rPr>
        <w:t>The implications for parliamentary scrutiny would depend on the legal form. A treaty would require ratification by Parliament, allowing for full debate and oversight, while a less formal arrangement, such as a Memorandum of Understanding, might offer flexibility but with weaker parliamentary scrutiny. To balance democratic accountability with efficiency, a hybrid approach</w:t>
      </w:r>
      <w:r w:rsidRPr="00C456A9">
        <w:rPr>
          <w:rFonts w:ascii="Verdana" w:hAnsi="Verdana"/>
        </w:rPr>
        <w:t xml:space="preserve"> </w:t>
      </w:r>
      <w:r w:rsidRPr="00C456A9">
        <w:rPr>
          <w:rFonts w:ascii="Verdana" w:hAnsi="Verdana"/>
        </w:rPr>
        <w:t>–</w:t>
      </w:r>
      <w:r w:rsidRPr="00C456A9">
        <w:rPr>
          <w:rFonts w:ascii="Verdana" w:hAnsi="Verdana"/>
        </w:rPr>
        <w:t xml:space="preserve"> </w:t>
      </w:r>
      <w:r w:rsidRPr="00C456A9">
        <w:rPr>
          <w:rFonts w:ascii="Verdana" w:hAnsi="Verdana"/>
        </w:rPr>
        <w:t xml:space="preserve">where core defense and security commitments </w:t>
      </w:r>
      <w:r w:rsidRPr="00C456A9">
        <w:rPr>
          <w:rFonts w:ascii="Verdana" w:hAnsi="Verdana"/>
        </w:rPr>
        <w:t>would be</w:t>
      </w:r>
      <w:r w:rsidRPr="00C456A9">
        <w:rPr>
          <w:rFonts w:ascii="Verdana" w:hAnsi="Verdana"/>
        </w:rPr>
        <w:t xml:space="preserve"> treaty-based while technical or operational agreements remain more flexible</w:t>
      </w:r>
      <w:r w:rsidRPr="00C456A9">
        <w:rPr>
          <w:rFonts w:ascii="Verdana" w:hAnsi="Verdana"/>
        </w:rPr>
        <w:t xml:space="preserve"> </w:t>
      </w:r>
      <w:r w:rsidRPr="00C456A9">
        <w:rPr>
          <w:rFonts w:ascii="Verdana" w:hAnsi="Verdana"/>
        </w:rPr>
        <w:t>–</w:t>
      </w:r>
      <w:r w:rsidRPr="00C456A9">
        <w:rPr>
          <w:rFonts w:ascii="Verdana" w:hAnsi="Verdana"/>
        </w:rPr>
        <w:t xml:space="preserve"> </w:t>
      </w:r>
      <w:r w:rsidRPr="00C456A9">
        <w:rPr>
          <w:rFonts w:ascii="Verdana" w:hAnsi="Verdana"/>
        </w:rPr>
        <w:t>could be a pragmatic solution</w:t>
      </w:r>
      <w:r w:rsidRPr="00C456A9">
        <w:rPr>
          <w:rFonts w:ascii="Verdana" w:hAnsi="Verdana"/>
        </w:rPr>
        <w:t>.</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rPr>
      </w:pPr>
      <w:r w:rsidRPr="00C456A9">
        <w:rPr>
          <w:rFonts w:ascii="Verdana" w:hAnsi="Verdana" w:cs="Times New Roman"/>
        </w:rPr>
        <w:t xml:space="preserve">Overall, </w:t>
      </w:r>
      <w:r w:rsidRPr="00C456A9">
        <w:rPr>
          <w:rFonts w:ascii="Verdana" w:hAnsi="Verdana" w:cs="Times New Roman"/>
        </w:rPr>
        <w:t xml:space="preserve">the reset should aim at </w:t>
      </w:r>
      <w:r w:rsidRPr="00C456A9">
        <w:rPr>
          <w:rFonts w:ascii="Verdana" w:hAnsi="Verdana" w:cs="Times New Roman"/>
        </w:rPr>
        <w:t xml:space="preserve">providing an institutional framework on which future </w:t>
      </w:r>
      <w:r w:rsidRPr="00C456A9">
        <w:rPr>
          <w:rFonts w:ascii="Verdana" w:hAnsi="Verdana" w:cs="Times New Roman"/>
        </w:rPr>
        <w:t>developments can be constructed, including deeper forms of cooperation or extensions into related policy domains.</w:t>
      </w:r>
    </w:p>
    <w:p w:rsidR="00C456A9" w:rsidRPr="00C456A9" w:rsidP="00EE2D7F">
      <w:pPr>
        <w:spacing w:after="0" w:line="240" w:lineRule="auto"/>
        <w:jc w:val="both"/>
        <w:rPr>
          <w:rFonts w:ascii="Verdana" w:hAnsi="Verdana" w:cs="Times New Roman"/>
        </w:rPr>
      </w:pPr>
    </w:p>
    <w:p w:rsidR="00C456A9" w:rsidRPr="00C456A9" w:rsidP="00EE2D7F">
      <w:pPr>
        <w:spacing w:after="0" w:line="240" w:lineRule="auto"/>
        <w:jc w:val="both"/>
        <w:rPr>
          <w:rFonts w:ascii="Verdana" w:hAnsi="Verdana" w:cs="Times New Roman"/>
          <w:b/>
          <w:bCs/>
        </w:rPr>
      </w:pPr>
      <w:r w:rsidRPr="00C456A9">
        <w:rPr>
          <w:rFonts w:ascii="Verdana" w:hAnsi="Verdana" w:cs="Times New Roman"/>
          <w:b/>
          <w:bCs/>
        </w:rPr>
        <w:t>Received 1 April 2025</w:t>
      </w:r>
    </w:p>
    <w:sectPr>
      <w:footerReference w:type="even" r:id="rId4"/>
      <w:footerReference w:type="defaul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916481812"/>
      <w:docPartObj>
        <w:docPartGallery w:val="Page Numbers (Bottom of Page)"/>
        <w:docPartUnique/>
      </w:docPartObj>
    </w:sdtPr>
    <w:sdtEndPr>
      <w:rPr>
        <w:rStyle w:val="PageNumber"/>
      </w:rPr>
    </w:sdtEndPr>
    <w:sdtContent>
      <w:p w:rsidR="00C456A9" w:rsidP="00443B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C456A9" w:rsidP="00443B2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2072690137"/>
      <w:docPartObj>
        <w:docPartGallery w:val="Page Numbers (Bottom of Page)"/>
        <w:docPartUnique/>
      </w:docPartObj>
    </w:sdtPr>
    <w:sdtEndPr>
      <w:rPr>
        <w:rStyle w:val="PageNumber"/>
        <w:rFonts w:ascii="Times New Roman" w:hAnsi="Times New Roman" w:cs="Times New Roman"/>
      </w:rPr>
    </w:sdtEndPr>
    <w:sdtContent>
      <w:p w:rsidR="00C456A9" w:rsidRPr="00443B25" w:rsidP="00443B25">
        <w:pPr>
          <w:pStyle w:val="Footer"/>
          <w:framePr w:wrap="none" w:vAnchor="text" w:hAnchor="margin" w:xAlign="right" w:y="1"/>
          <w:rPr>
            <w:rStyle w:val="PageNumber"/>
            <w:rFonts w:ascii="Times New Roman" w:hAnsi="Times New Roman" w:cs="Times New Roman"/>
          </w:rPr>
        </w:pPr>
        <w:r w:rsidRPr="00443B25">
          <w:rPr>
            <w:rStyle w:val="PageNumber"/>
            <w:rFonts w:ascii="Times New Roman" w:hAnsi="Times New Roman" w:cs="Times New Roman"/>
          </w:rPr>
          <w:fldChar w:fldCharType="begin"/>
        </w:r>
        <w:r w:rsidRPr="00443B25">
          <w:rPr>
            <w:rStyle w:val="PageNumber"/>
            <w:rFonts w:ascii="Times New Roman" w:hAnsi="Times New Roman" w:cs="Times New Roman"/>
          </w:rPr>
          <w:instrText xml:space="preserve"> PAGE </w:instrText>
        </w:r>
        <w:r w:rsidRPr="00443B25">
          <w:rPr>
            <w:rStyle w:val="PageNumber"/>
            <w:rFonts w:ascii="Times New Roman" w:hAnsi="Times New Roman" w:cs="Times New Roman"/>
          </w:rPr>
          <w:fldChar w:fldCharType="separate"/>
        </w:r>
        <w:r w:rsidRPr="00443B25">
          <w:rPr>
            <w:rStyle w:val="PageNumber"/>
            <w:rFonts w:ascii="Times New Roman" w:hAnsi="Times New Roman" w:cs="Times New Roman"/>
            <w:noProof/>
          </w:rPr>
          <w:t>1</w:t>
        </w:r>
        <w:r w:rsidRPr="00443B25">
          <w:rPr>
            <w:rStyle w:val="PageNumber"/>
            <w:rFonts w:ascii="Times New Roman" w:hAnsi="Times New Roman" w:cs="Times New Roman"/>
          </w:rPr>
          <w:fldChar w:fldCharType="end"/>
        </w:r>
      </w:p>
    </w:sdtContent>
  </w:sdt>
  <w:p w:rsidR="00C456A9" w:rsidRPr="00443B25" w:rsidP="00443B25">
    <w:pPr>
      <w:pStyle w:val="Footer"/>
      <w:ind w:right="360"/>
      <w:rPr>
        <w:rFonts w:ascii="Times New Roman" w:hAnsi="Times New Roman" w:cs="Times New Roma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66767FB"/>
    <w:multiLevelType w:val="multilevel"/>
    <w:tmpl w:val="AB6CC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B310D19"/>
    <w:multiLevelType w:val="hybridMultilevel"/>
    <w:tmpl w:val="5BE4B5EA"/>
    <w:lvl w:ilvl="0">
      <w:start w:val="1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
    <w:nsid w:val="5391223C"/>
    <w:multiLevelType w:val="hybridMultilevel"/>
    <w:tmpl w:val="B3CC2940"/>
    <w:lvl w:ilvl="0">
      <w:start w:val="1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B40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40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40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40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40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40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0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0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0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0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40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40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40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0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0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0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0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08F"/>
    <w:rPr>
      <w:rFonts w:eastAsiaTheme="majorEastAsia" w:cstheme="majorBidi"/>
      <w:color w:val="272727" w:themeColor="text1" w:themeTint="D8"/>
    </w:rPr>
  </w:style>
  <w:style w:type="paragraph" w:styleId="Title">
    <w:name w:val="Title"/>
    <w:basedOn w:val="Normal"/>
    <w:next w:val="Normal"/>
    <w:link w:val="TitleChar"/>
    <w:uiPriority w:val="10"/>
    <w:qFormat/>
    <w:rsid w:val="004B40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0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0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0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08F"/>
    <w:pPr>
      <w:spacing w:before="160"/>
      <w:jc w:val="center"/>
    </w:pPr>
    <w:rPr>
      <w:i/>
      <w:iCs/>
      <w:color w:val="404040" w:themeColor="text1" w:themeTint="BF"/>
    </w:rPr>
  </w:style>
  <w:style w:type="character" w:customStyle="1" w:styleId="QuoteChar">
    <w:name w:val="Quote Char"/>
    <w:basedOn w:val="DefaultParagraphFont"/>
    <w:link w:val="Quote"/>
    <w:uiPriority w:val="29"/>
    <w:rsid w:val="004B408F"/>
    <w:rPr>
      <w:i/>
      <w:iCs/>
      <w:color w:val="404040" w:themeColor="text1" w:themeTint="BF"/>
    </w:rPr>
  </w:style>
  <w:style w:type="paragraph" w:styleId="ListParagraph">
    <w:name w:val="List Paragraph"/>
    <w:basedOn w:val="Normal"/>
    <w:uiPriority w:val="34"/>
    <w:qFormat/>
    <w:rsid w:val="004B408F"/>
    <w:pPr>
      <w:ind w:left="720"/>
      <w:contextualSpacing/>
    </w:pPr>
  </w:style>
  <w:style w:type="character" w:styleId="IntenseEmphasis">
    <w:name w:val="Intense Emphasis"/>
    <w:basedOn w:val="DefaultParagraphFont"/>
    <w:uiPriority w:val="21"/>
    <w:qFormat/>
    <w:rsid w:val="004B408F"/>
    <w:rPr>
      <w:i/>
      <w:iCs/>
      <w:color w:val="0F4761" w:themeColor="accent1" w:themeShade="BF"/>
    </w:rPr>
  </w:style>
  <w:style w:type="paragraph" w:styleId="IntenseQuote">
    <w:name w:val="Intense Quote"/>
    <w:basedOn w:val="Normal"/>
    <w:next w:val="Normal"/>
    <w:link w:val="IntenseQuoteChar"/>
    <w:uiPriority w:val="30"/>
    <w:qFormat/>
    <w:rsid w:val="004B40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08F"/>
    <w:rPr>
      <w:i/>
      <w:iCs/>
      <w:color w:val="0F4761" w:themeColor="accent1" w:themeShade="BF"/>
    </w:rPr>
  </w:style>
  <w:style w:type="character" w:styleId="IntenseReference">
    <w:name w:val="Intense Reference"/>
    <w:basedOn w:val="DefaultParagraphFont"/>
    <w:uiPriority w:val="32"/>
    <w:qFormat/>
    <w:rsid w:val="004B408F"/>
    <w:rPr>
      <w:b/>
      <w:bCs/>
      <w:smallCaps/>
      <w:color w:val="0F4761" w:themeColor="accent1" w:themeShade="BF"/>
      <w:spacing w:val="5"/>
    </w:rPr>
  </w:style>
  <w:style w:type="paragraph" w:styleId="Footer">
    <w:name w:val="footer"/>
    <w:basedOn w:val="Normal"/>
    <w:link w:val="FooterChar"/>
    <w:uiPriority w:val="99"/>
    <w:unhideWhenUsed/>
    <w:rsid w:val="00443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B25"/>
  </w:style>
  <w:style w:type="character" w:styleId="PageNumber">
    <w:name w:val="page number"/>
    <w:basedOn w:val="DefaultParagraphFont"/>
    <w:uiPriority w:val="99"/>
    <w:semiHidden/>
    <w:unhideWhenUsed/>
    <w:rsid w:val="00443B25"/>
  </w:style>
  <w:style w:type="paragraph" w:styleId="Header">
    <w:name w:val="header"/>
    <w:basedOn w:val="Normal"/>
    <w:link w:val="HeaderChar"/>
    <w:uiPriority w:val="99"/>
    <w:unhideWhenUsed/>
    <w:rsid w:val="00443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B25"/>
  </w:style>
  <w:style w:type="paragraph" w:styleId="NormalWeb">
    <w:name w:val="Normal (Web)"/>
    <w:basedOn w:val="Normal"/>
    <w:uiPriority w:val="99"/>
    <w:unhideWhenUsed/>
    <w:rsid w:val="00136F0D"/>
    <w:pPr>
      <w:spacing w:before="100" w:beforeAutospacing="1" w:after="100" w:afterAutospacing="1" w:line="240" w:lineRule="auto"/>
    </w:pPr>
    <w:rPr>
      <w:rFonts w:ascii="Times New Roman" w:eastAsia="Times New Roman" w:hAnsi="Times New Roman" w:cs="Times New Roman"/>
      <w:kern w:val="0"/>
      <w:lang w:eastAsia="en-GB"/>
    </w:rPr>
  </w:style>
  <w:style w:type="character" w:styleId="Strong">
    <w:name w:val="Strong"/>
    <w:basedOn w:val="DefaultParagraphFont"/>
    <w:uiPriority w:val="22"/>
    <w:qFormat/>
    <w:rsid w:val="00136F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