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814DD" w:rsidRPr="003814DD" w:rsidP="003814DD">
      <w:pPr>
        <w:spacing w:after="0" w:line="240" w:lineRule="auto"/>
        <w:rPr>
          <w:rFonts w:ascii="Verdana" w:hAnsi="Verdana"/>
          <w:b/>
          <w:bCs/>
          <w:sz w:val="28"/>
          <w:szCs w:val="28"/>
        </w:rPr>
      </w:pPr>
      <w:r w:rsidRPr="003814DD">
        <w:rPr>
          <w:rFonts w:ascii="Verdana" w:hAnsi="Verdana"/>
          <w:b/>
          <w:bCs/>
          <w:sz w:val="28"/>
          <w:szCs w:val="28"/>
        </w:rPr>
        <w:t>TheCityUK</w:t>
      </w:r>
      <w:r w:rsidRPr="003814DD">
        <w:rPr>
          <w:rFonts w:ascii="Verdana" w:hAnsi="Verdana"/>
          <w:b/>
          <w:bCs/>
          <w:sz w:val="28"/>
          <w:szCs w:val="28"/>
        </w:rPr>
        <w:t xml:space="preserve"> Europe Market Advisory Group and the</w:t>
      </w:r>
      <w:r w:rsidRPr="003814DD">
        <w:rPr>
          <w:rFonts w:ascii="Verdana" w:hAnsi="Verdana"/>
          <w:sz w:val="28"/>
          <w:szCs w:val="28"/>
        </w:rPr>
        <w:t xml:space="preserve"> </w:t>
      </w:r>
      <w:r w:rsidRPr="003814DD">
        <w:rPr>
          <w:rFonts w:ascii="Verdana" w:hAnsi="Verdana"/>
          <w:b/>
          <w:bCs/>
          <w:sz w:val="28"/>
          <w:szCs w:val="28"/>
        </w:rPr>
        <w:t>International Regulatory Strategy Group (IRSG) EU Regulation Committee</w:t>
      </w:r>
      <w:r w:rsidRPr="003814DD">
        <w:rPr>
          <w:rFonts w:ascii="Verdana" w:hAnsi="Verdana"/>
          <w:b/>
          <w:bCs/>
          <w:sz w:val="28"/>
          <w:szCs w:val="28"/>
        </w:rPr>
        <w:t xml:space="preserve"> </w:t>
      </w:r>
      <w:r w:rsidRPr="003814DD">
        <w:rPr>
          <w:rFonts w:ascii="Verdana" w:hAnsi="Verdana"/>
          <w:b/>
          <w:bCs/>
          <w:sz w:val="28"/>
          <w:szCs w:val="28"/>
        </w:rPr>
        <w:t>– Written Evidence (RES00</w:t>
      </w:r>
      <w:r w:rsidRPr="003814DD">
        <w:rPr>
          <w:rFonts w:ascii="Verdana" w:hAnsi="Verdana"/>
          <w:b/>
          <w:bCs/>
          <w:sz w:val="28"/>
          <w:szCs w:val="28"/>
        </w:rPr>
        <w:t>56</w:t>
      </w:r>
      <w:r w:rsidRPr="003814DD">
        <w:rPr>
          <w:rFonts w:ascii="Verdana" w:hAnsi="Verdana"/>
          <w:b/>
          <w:bCs/>
          <w:sz w:val="28"/>
          <w:szCs w:val="28"/>
        </w:rPr>
        <w:t>)</w:t>
      </w:r>
    </w:p>
    <w:p w:rsidR="003814DD" w:rsidRPr="003814DD" w:rsidP="00FA0962">
      <w:pPr>
        <w:spacing w:after="0" w:line="240" w:lineRule="auto"/>
        <w:jc w:val="center"/>
        <w:rPr>
          <w:rFonts w:ascii="Verdana" w:hAnsi="Verdana"/>
          <w:b/>
          <w:bCs/>
          <w:sz w:val="24"/>
          <w:szCs w:val="24"/>
        </w:rPr>
      </w:pPr>
    </w:p>
    <w:p w:rsidR="003814DD" w:rsidRPr="003814DD" w:rsidP="00FA0962">
      <w:pPr>
        <w:spacing w:after="0" w:line="240" w:lineRule="auto"/>
        <w:jc w:val="center"/>
        <w:rPr>
          <w:rFonts w:ascii="Verdana" w:hAnsi="Verdana"/>
          <w:b/>
          <w:bCs/>
          <w:sz w:val="24"/>
          <w:szCs w:val="24"/>
        </w:rPr>
      </w:pPr>
      <w:r w:rsidRPr="003814DD">
        <w:rPr>
          <w:rFonts w:ascii="Verdana" w:hAnsi="Verdana"/>
          <w:b/>
          <w:bCs/>
          <w:sz w:val="24"/>
          <w:szCs w:val="24"/>
        </w:rPr>
        <w:t>H</w:t>
      </w:r>
      <w:r w:rsidRPr="003814DD">
        <w:rPr>
          <w:rFonts w:ascii="Verdana" w:hAnsi="Verdana"/>
          <w:b/>
          <w:bCs/>
          <w:sz w:val="24"/>
          <w:szCs w:val="24"/>
        </w:rPr>
        <w:t>ouse of Lords</w:t>
      </w:r>
      <w:r w:rsidRPr="003814DD">
        <w:rPr>
          <w:rFonts w:ascii="Verdana" w:hAnsi="Verdana"/>
          <w:b/>
          <w:bCs/>
          <w:sz w:val="24"/>
          <w:szCs w:val="24"/>
        </w:rPr>
        <w:t xml:space="preserve"> European Affairs Committee inquiry into the </w:t>
      </w:r>
      <w:r w:rsidRPr="003814DD">
        <w:rPr>
          <w:rFonts w:ascii="Verdana" w:hAnsi="Verdana"/>
          <w:b/>
          <w:bCs/>
          <w:sz w:val="24"/>
          <w:szCs w:val="24"/>
        </w:rPr>
        <w:t>“R</w:t>
      </w:r>
      <w:r w:rsidRPr="003814DD">
        <w:rPr>
          <w:rFonts w:ascii="Verdana" w:hAnsi="Verdana"/>
          <w:b/>
          <w:bCs/>
          <w:sz w:val="24"/>
          <w:szCs w:val="24"/>
        </w:rPr>
        <w:t>eset</w:t>
      </w:r>
      <w:r w:rsidRPr="003814DD">
        <w:rPr>
          <w:rFonts w:ascii="Verdana" w:hAnsi="Verdana"/>
          <w:b/>
          <w:bCs/>
          <w:sz w:val="24"/>
          <w:szCs w:val="24"/>
        </w:rPr>
        <w:t>”</w:t>
      </w:r>
      <w:r w:rsidRPr="003814DD">
        <w:rPr>
          <w:rFonts w:ascii="Verdana" w:hAnsi="Verdana"/>
          <w:b/>
          <w:bCs/>
          <w:sz w:val="24"/>
          <w:szCs w:val="24"/>
        </w:rPr>
        <w:t xml:space="preserve"> of UK-EU relations</w:t>
      </w:r>
    </w:p>
    <w:p w:rsidR="003814DD" w:rsidRPr="003814DD" w:rsidP="00FA0962">
      <w:pPr>
        <w:spacing w:after="0" w:line="240" w:lineRule="auto"/>
        <w:rPr>
          <w:rFonts w:ascii="Verdana" w:hAnsi="Verdana"/>
          <w:b/>
          <w:bCs/>
          <w:sz w:val="24"/>
          <w:szCs w:val="24"/>
        </w:rPr>
      </w:pPr>
    </w:p>
    <w:p w:rsidR="003814DD" w:rsidRPr="003814DD" w:rsidP="00FA0962">
      <w:pPr>
        <w:spacing w:after="0" w:line="240" w:lineRule="auto"/>
        <w:rPr>
          <w:rFonts w:ascii="Verdana" w:hAnsi="Verdana"/>
          <w:b/>
          <w:bCs/>
          <w:sz w:val="24"/>
          <w:szCs w:val="24"/>
        </w:rPr>
      </w:pPr>
      <w:r w:rsidRPr="003814DD">
        <w:rPr>
          <w:rFonts w:ascii="Verdana" w:hAnsi="Verdana"/>
          <w:b/>
          <w:bCs/>
          <w:sz w:val="24"/>
          <w:szCs w:val="24"/>
        </w:rPr>
        <w:t xml:space="preserve">Joint </w:t>
      </w:r>
      <w:r w:rsidRPr="003814DD">
        <w:rPr>
          <w:rFonts w:ascii="Verdana" w:hAnsi="Verdana"/>
          <w:b/>
          <w:bCs/>
          <w:sz w:val="24"/>
          <w:szCs w:val="24"/>
        </w:rPr>
        <w:t>evidence</w:t>
      </w:r>
      <w:r w:rsidRPr="003814DD">
        <w:rPr>
          <w:rFonts w:ascii="Verdana" w:hAnsi="Verdana"/>
          <w:b/>
          <w:bCs/>
          <w:sz w:val="24"/>
          <w:szCs w:val="24"/>
        </w:rPr>
        <w:t xml:space="preserve"> of TheCityUK Europe Market Advisory Group and the</w:t>
      </w:r>
      <w:r w:rsidRPr="003814DD">
        <w:rPr>
          <w:rFonts w:ascii="Verdana" w:hAnsi="Verdana"/>
          <w:sz w:val="24"/>
          <w:szCs w:val="24"/>
        </w:rPr>
        <w:t xml:space="preserve"> </w:t>
      </w:r>
      <w:r w:rsidRPr="003814DD">
        <w:rPr>
          <w:rFonts w:ascii="Verdana" w:hAnsi="Verdana"/>
          <w:b/>
          <w:bCs/>
          <w:sz w:val="24"/>
          <w:szCs w:val="24"/>
        </w:rPr>
        <w:t xml:space="preserve">International Regulatory Strategy Group </w:t>
      </w:r>
      <w:r w:rsidRPr="003814DD">
        <w:rPr>
          <w:rFonts w:ascii="Verdana" w:hAnsi="Verdana"/>
          <w:b/>
          <w:bCs/>
          <w:sz w:val="24"/>
          <w:szCs w:val="24"/>
        </w:rPr>
        <w:t xml:space="preserve">(IRSG) </w:t>
      </w:r>
      <w:r w:rsidRPr="003814DD">
        <w:rPr>
          <w:rFonts w:ascii="Verdana" w:hAnsi="Verdana"/>
          <w:b/>
          <w:bCs/>
          <w:sz w:val="24"/>
          <w:szCs w:val="24"/>
        </w:rPr>
        <w:t>EU Regulation Committee</w:t>
      </w:r>
    </w:p>
    <w:p w:rsidR="003814DD" w:rsidRPr="003814DD" w:rsidP="00FA0962">
      <w:pPr>
        <w:spacing w:after="0" w:line="240" w:lineRule="auto"/>
        <w:rPr>
          <w:rFonts w:ascii="Verdana" w:hAnsi="Verdana"/>
          <w:b/>
          <w:bCs/>
          <w:sz w:val="24"/>
          <w:szCs w:val="24"/>
        </w:rPr>
      </w:pPr>
    </w:p>
    <w:p w:rsidR="003814DD" w:rsidRPr="003814DD" w:rsidP="00FA0962">
      <w:pPr>
        <w:spacing w:after="0" w:line="240" w:lineRule="auto"/>
        <w:rPr>
          <w:rFonts w:ascii="Verdana" w:hAnsi="Verdana"/>
          <w:b/>
          <w:bCs/>
          <w:sz w:val="24"/>
          <w:szCs w:val="24"/>
        </w:rPr>
      </w:pPr>
      <w:r w:rsidRPr="003814DD">
        <w:rPr>
          <w:rFonts w:ascii="Verdana" w:hAnsi="Verdana"/>
          <w:b/>
          <w:bCs/>
          <w:sz w:val="24"/>
          <w:szCs w:val="24"/>
        </w:rPr>
        <w:t>Introduction and summary</w:t>
      </w:r>
    </w:p>
    <w:p w:rsidR="003814DD" w:rsidRPr="003814DD" w:rsidP="00B21006">
      <w:pPr>
        <w:spacing w:after="0" w:line="240" w:lineRule="auto"/>
        <w:rPr>
          <w:rFonts w:ascii="Verdana" w:hAnsi="Verdana"/>
          <w:sz w:val="24"/>
          <w:szCs w:val="24"/>
        </w:rPr>
      </w:pPr>
    </w:p>
    <w:p w:rsidR="003814DD" w:rsidRPr="003814DD" w:rsidP="00B21006">
      <w:pPr>
        <w:spacing w:after="0" w:line="240" w:lineRule="auto"/>
        <w:rPr>
          <w:rFonts w:ascii="Verdana" w:hAnsi="Verdana"/>
          <w:sz w:val="24"/>
          <w:szCs w:val="24"/>
        </w:rPr>
      </w:pPr>
      <w:r w:rsidRPr="003814DD">
        <w:rPr>
          <w:rFonts w:ascii="Verdana" w:hAnsi="Verdana"/>
          <w:sz w:val="24"/>
          <w:szCs w:val="24"/>
        </w:rPr>
        <w:t xml:space="preserve">TheCityUK </w:t>
      </w:r>
      <w:r w:rsidRPr="003814DD">
        <w:rPr>
          <w:rFonts w:ascii="Verdana" w:hAnsi="Verdana"/>
          <w:sz w:val="24"/>
          <w:szCs w:val="24"/>
        </w:rPr>
        <w:t>Europe Market Advisory Group and the IRSG EU Regulation Committee are</w:t>
      </w:r>
      <w:r w:rsidRPr="003814DD">
        <w:rPr>
          <w:rFonts w:ascii="Verdana" w:hAnsi="Verdana"/>
          <w:sz w:val="24"/>
          <w:szCs w:val="24"/>
        </w:rPr>
        <w:t xml:space="preserve"> pleased to contribute to</w:t>
      </w:r>
      <w:r w:rsidRPr="003814DD">
        <w:rPr>
          <w:rFonts w:ascii="Verdana" w:hAnsi="Verdana"/>
          <w:sz w:val="24"/>
          <w:szCs w:val="24"/>
        </w:rPr>
        <w:t xml:space="preserve"> The House of Lords</w:t>
      </w:r>
      <w:r w:rsidRPr="003814DD">
        <w:rPr>
          <w:rFonts w:ascii="Verdana" w:hAnsi="Verdana"/>
          <w:sz w:val="24"/>
          <w:szCs w:val="24"/>
        </w:rPr>
        <w:t xml:space="preserve"> </w:t>
      </w:r>
      <w:r w:rsidRPr="003814DD">
        <w:rPr>
          <w:rFonts w:ascii="Verdana" w:hAnsi="Verdana"/>
          <w:sz w:val="24"/>
          <w:szCs w:val="24"/>
        </w:rPr>
        <w:t>European Affairs</w:t>
      </w:r>
      <w:r w:rsidRPr="003814DD">
        <w:rPr>
          <w:rFonts w:ascii="Verdana" w:hAnsi="Verdana"/>
          <w:sz w:val="24"/>
          <w:szCs w:val="24"/>
        </w:rPr>
        <w:t xml:space="preserve"> </w:t>
      </w:r>
      <w:r w:rsidRPr="003814DD">
        <w:rPr>
          <w:rFonts w:ascii="Verdana" w:hAnsi="Verdana"/>
          <w:sz w:val="24"/>
          <w:szCs w:val="24"/>
        </w:rPr>
        <w:t xml:space="preserve">Committee inquiry into the </w:t>
      </w:r>
      <w:r w:rsidRPr="003814DD">
        <w:rPr>
          <w:rFonts w:ascii="Verdana" w:hAnsi="Verdana"/>
          <w:sz w:val="24"/>
          <w:szCs w:val="24"/>
        </w:rPr>
        <w:t>“</w:t>
      </w:r>
      <w:r w:rsidRPr="003814DD">
        <w:rPr>
          <w:rFonts w:ascii="Verdana" w:hAnsi="Verdana"/>
          <w:sz w:val="24"/>
          <w:szCs w:val="24"/>
        </w:rPr>
        <w:t>R</w:t>
      </w:r>
      <w:r w:rsidRPr="003814DD">
        <w:rPr>
          <w:rFonts w:ascii="Verdana" w:hAnsi="Verdana"/>
          <w:sz w:val="24"/>
          <w:szCs w:val="24"/>
        </w:rPr>
        <w:t>eset</w:t>
      </w:r>
      <w:r w:rsidRPr="003814DD">
        <w:rPr>
          <w:rFonts w:ascii="Verdana" w:hAnsi="Verdana"/>
          <w:sz w:val="24"/>
          <w:szCs w:val="24"/>
        </w:rPr>
        <w:t>”</w:t>
      </w:r>
      <w:r w:rsidRPr="003814DD">
        <w:rPr>
          <w:rFonts w:ascii="Verdana" w:hAnsi="Verdana"/>
          <w:sz w:val="24"/>
          <w:szCs w:val="24"/>
        </w:rPr>
        <w:t xml:space="preserve"> of UK-EU relations that the Government is pursuing</w:t>
      </w:r>
      <w:r w:rsidRPr="003814DD">
        <w:rPr>
          <w:rFonts w:ascii="Verdana" w:hAnsi="Verdana"/>
          <w:sz w:val="24"/>
          <w:szCs w:val="24"/>
        </w:rPr>
        <w:t>.</w:t>
      </w:r>
    </w:p>
    <w:p w:rsidR="003814DD" w:rsidRPr="003814DD" w:rsidP="00B21006">
      <w:pPr>
        <w:spacing w:after="0" w:line="240" w:lineRule="auto"/>
        <w:rPr>
          <w:rFonts w:ascii="Verdana" w:hAnsi="Verdana"/>
          <w:sz w:val="24"/>
          <w:szCs w:val="24"/>
        </w:rPr>
      </w:pPr>
    </w:p>
    <w:p w:rsidR="003814DD" w:rsidRPr="003814DD" w:rsidP="00B21006">
      <w:pPr>
        <w:spacing w:after="0" w:line="240" w:lineRule="auto"/>
        <w:rPr>
          <w:rFonts w:ascii="Verdana" w:hAnsi="Verdana"/>
          <w:sz w:val="24"/>
          <w:szCs w:val="24"/>
        </w:rPr>
      </w:pPr>
      <w:r w:rsidRPr="003814DD">
        <w:rPr>
          <w:rFonts w:ascii="Verdana" w:hAnsi="Verdana"/>
          <w:sz w:val="24"/>
          <w:szCs w:val="24"/>
        </w:rPr>
        <w:t xml:space="preserve">This paper provides an in-depth analysis of the current state of UK-EU relations </w:t>
      </w:r>
      <w:r w:rsidRPr="003814DD">
        <w:rPr>
          <w:rFonts w:ascii="Verdana" w:hAnsi="Verdana"/>
          <w:sz w:val="24"/>
          <w:szCs w:val="24"/>
        </w:rPr>
        <w:t>for</w:t>
      </w:r>
      <w:r w:rsidRPr="003814DD">
        <w:rPr>
          <w:rFonts w:ascii="Verdana" w:hAnsi="Verdana"/>
          <w:sz w:val="24"/>
          <w:szCs w:val="24"/>
        </w:rPr>
        <w:t xml:space="preserve"> the financial and related professional services (FRPS) </w:t>
      </w:r>
      <w:r w:rsidRPr="003814DD">
        <w:rPr>
          <w:rFonts w:ascii="Verdana" w:hAnsi="Verdana"/>
          <w:sz w:val="24"/>
          <w:szCs w:val="24"/>
        </w:rPr>
        <w:t>industry</w:t>
      </w:r>
      <w:r w:rsidRPr="003814DD">
        <w:rPr>
          <w:rFonts w:ascii="Verdana" w:hAnsi="Verdana"/>
          <w:sz w:val="24"/>
          <w:szCs w:val="24"/>
        </w:rPr>
        <w:t xml:space="preserve">, highlighting the importance of this relationship for both economies. It discusses the impact of </w:t>
      </w:r>
      <w:r w:rsidRPr="003814DD">
        <w:rPr>
          <w:rFonts w:ascii="Verdana" w:hAnsi="Verdana"/>
          <w:sz w:val="24"/>
          <w:szCs w:val="24"/>
        </w:rPr>
        <w:t>post-</w:t>
      </w:r>
      <w:r w:rsidRPr="003814DD">
        <w:rPr>
          <w:rFonts w:ascii="Verdana" w:hAnsi="Verdana"/>
          <w:sz w:val="24"/>
          <w:szCs w:val="24"/>
        </w:rPr>
        <w:t>UK withdrawal</w:t>
      </w:r>
      <w:r w:rsidRPr="003814DD">
        <w:rPr>
          <w:rFonts w:ascii="Verdana" w:hAnsi="Verdana"/>
          <w:sz w:val="24"/>
          <w:szCs w:val="24"/>
        </w:rPr>
        <w:t xml:space="preserve"> trading</w:t>
      </w:r>
      <w:r w:rsidRPr="003814DD">
        <w:rPr>
          <w:rFonts w:ascii="Verdana" w:hAnsi="Verdana"/>
          <w:sz w:val="24"/>
          <w:szCs w:val="24"/>
        </w:rPr>
        <w:t xml:space="preserve"> </w:t>
      </w:r>
      <w:r w:rsidRPr="003814DD">
        <w:rPr>
          <w:rFonts w:ascii="Verdana" w:hAnsi="Verdana"/>
          <w:sz w:val="24"/>
          <w:szCs w:val="24"/>
        </w:rPr>
        <w:t>arrangements</w:t>
      </w:r>
      <w:r w:rsidRPr="003814DD">
        <w:rPr>
          <w:rFonts w:ascii="Verdana" w:hAnsi="Verdana"/>
          <w:sz w:val="24"/>
          <w:szCs w:val="24"/>
        </w:rPr>
        <w:t xml:space="preserve"> on the industry</w:t>
      </w:r>
      <w:r w:rsidRPr="003814DD">
        <w:rPr>
          <w:rFonts w:ascii="Verdana" w:hAnsi="Verdana"/>
          <w:sz w:val="24"/>
          <w:szCs w:val="24"/>
        </w:rPr>
        <w:t>,</w:t>
      </w:r>
      <w:r w:rsidRPr="003814DD">
        <w:rPr>
          <w:rFonts w:ascii="Verdana" w:hAnsi="Verdana"/>
          <w:sz w:val="24"/>
          <w:szCs w:val="24"/>
        </w:rPr>
        <w:t xml:space="preserve"> including</w:t>
      </w:r>
      <w:r w:rsidRPr="003814DD">
        <w:rPr>
          <w:rFonts w:ascii="Verdana" w:hAnsi="Verdana"/>
          <w:sz w:val="24"/>
          <w:szCs w:val="24"/>
        </w:rPr>
        <w:t xml:space="preserve"> that of </w:t>
      </w:r>
      <w:r w:rsidRPr="003814DD">
        <w:rPr>
          <w:rFonts w:ascii="Verdana" w:hAnsi="Verdana"/>
          <w:sz w:val="24"/>
          <w:szCs w:val="24"/>
        </w:rPr>
        <w:t xml:space="preserve">the Trade and Cooperation Agreement (TCA), the challenges and opportunities presented by the proposed "reset," and the key priorities for the FRPS industry in strengthening UK-EU ties. The paper also explores the </w:t>
      </w:r>
      <w:r w:rsidRPr="003814DD">
        <w:rPr>
          <w:rFonts w:ascii="Verdana" w:hAnsi="Verdana"/>
          <w:sz w:val="24"/>
          <w:szCs w:val="24"/>
        </w:rPr>
        <w:t>importance</w:t>
      </w:r>
      <w:r w:rsidRPr="003814DD">
        <w:rPr>
          <w:rFonts w:ascii="Verdana" w:hAnsi="Verdana"/>
          <w:sz w:val="24"/>
          <w:szCs w:val="24"/>
        </w:rPr>
        <w:t xml:space="preserve"> of</w:t>
      </w:r>
      <w:r w:rsidRPr="003814DD">
        <w:rPr>
          <w:rFonts w:ascii="Verdana" w:hAnsi="Verdana"/>
          <w:sz w:val="24"/>
          <w:szCs w:val="24"/>
        </w:rPr>
        <w:t xml:space="preserve"> </w:t>
      </w:r>
      <w:r w:rsidRPr="003814DD">
        <w:rPr>
          <w:rFonts w:ascii="Verdana" w:hAnsi="Verdana"/>
          <w:sz w:val="24"/>
          <w:szCs w:val="24"/>
        </w:rPr>
        <w:t>regulatory cooperation, data adequacy, mobili</w:t>
      </w:r>
      <w:r w:rsidRPr="003814DD">
        <w:rPr>
          <w:rFonts w:ascii="Verdana" w:hAnsi="Verdana"/>
          <w:sz w:val="24"/>
          <w:szCs w:val="24"/>
        </w:rPr>
        <w:t xml:space="preserve">ty, and </w:t>
      </w:r>
      <w:r w:rsidRPr="003814DD">
        <w:rPr>
          <w:rFonts w:ascii="Verdana" w:hAnsi="Verdana"/>
          <w:sz w:val="24"/>
          <w:szCs w:val="24"/>
        </w:rPr>
        <w:t xml:space="preserve">the </w:t>
      </w:r>
      <w:r w:rsidRPr="003814DD">
        <w:rPr>
          <w:rFonts w:ascii="Verdana" w:hAnsi="Verdana"/>
          <w:sz w:val="24"/>
          <w:szCs w:val="24"/>
        </w:rPr>
        <w:t>mutual recognition of professional qualifications in fostering a more dynamic and mutually beneficial partnership between the UK and the EU.</w:t>
      </w:r>
    </w:p>
    <w:p w:rsidR="003814DD" w:rsidRPr="003814DD" w:rsidP="00B21006">
      <w:pPr>
        <w:spacing w:after="0" w:line="240" w:lineRule="auto"/>
        <w:rPr>
          <w:rFonts w:ascii="Verdana" w:hAnsi="Verdana"/>
          <w:sz w:val="24"/>
          <w:szCs w:val="24"/>
        </w:rPr>
      </w:pPr>
    </w:p>
    <w:p w:rsidR="003814DD" w:rsidRPr="003814DD" w:rsidP="00763378">
      <w:pPr>
        <w:spacing w:after="0" w:line="240" w:lineRule="auto"/>
        <w:rPr>
          <w:rFonts w:ascii="Verdana" w:hAnsi="Verdana"/>
          <w:b/>
          <w:bCs/>
          <w:sz w:val="24"/>
          <w:szCs w:val="24"/>
        </w:rPr>
      </w:pPr>
      <w:r w:rsidRPr="003814DD">
        <w:rPr>
          <w:rFonts w:ascii="Verdana" w:hAnsi="Verdana"/>
          <w:b/>
          <w:bCs/>
          <w:sz w:val="24"/>
          <w:szCs w:val="24"/>
        </w:rPr>
        <w:t>Overview of TheCityUK and the</w:t>
      </w:r>
      <w:r w:rsidRPr="003814DD">
        <w:rPr>
          <w:rFonts w:ascii="Verdana" w:hAnsi="Verdana"/>
          <w:sz w:val="24"/>
          <w:szCs w:val="24"/>
        </w:rPr>
        <w:t xml:space="preserve"> </w:t>
      </w:r>
      <w:r w:rsidRPr="003814DD">
        <w:rPr>
          <w:rFonts w:ascii="Verdana" w:hAnsi="Verdana"/>
          <w:b/>
          <w:bCs/>
          <w:sz w:val="24"/>
          <w:szCs w:val="24"/>
        </w:rPr>
        <w:t>IRSG</w:t>
      </w:r>
    </w:p>
    <w:p w:rsidR="003814DD" w:rsidRPr="003814DD" w:rsidP="00B21006">
      <w:pPr>
        <w:spacing w:after="0" w:line="240" w:lineRule="auto"/>
        <w:rPr>
          <w:rFonts w:ascii="Verdana" w:hAnsi="Verdana"/>
          <w:sz w:val="24"/>
          <w:szCs w:val="24"/>
        </w:rPr>
      </w:pPr>
    </w:p>
    <w:p w:rsidR="003814DD" w:rsidRPr="003814DD" w:rsidP="00D632C3">
      <w:pPr>
        <w:spacing w:after="0" w:line="240" w:lineRule="auto"/>
        <w:rPr>
          <w:rFonts w:ascii="Verdana" w:hAnsi="Verdana"/>
          <w:sz w:val="24"/>
          <w:szCs w:val="24"/>
        </w:rPr>
      </w:pPr>
      <w:r w:rsidRPr="003814DD">
        <w:rPr>
          <w:rFonts w:ascii="Verdana" w:hAnsi="Verdana"/>
          <w:sz w:val="24"/>
          <w:szCs w:val="24"/>
        </w:rPr>
        <w:t>TheCityUK is the industry-led body representing</w:t>
      </w:r>
      <w:r w:rsidRPr="003814DD">
        <w:rPr>
          <w:rFonts w:ascii="Verdana" w:hAnsi="Verdana"/>
          <w:sz w:val="24"/>
          <w:szCs w:val="24"/>
        </w:rPr>
        <w:t xml:space="preserve"> the</w:t>
      </w:r>
      <w:r w:rsidRPr="003814DD">
        <w:rPr>
          <w:rFonts w:ascii="Verdana" w:hAnsi="Verdana"/>
          <w:sz w:val="24"/>
          <w:szCs w:val="24"/>
        </w:rPr>
        <w:t xml:space="preserve"> UK-based </w:t>
      </w:r>
      <w:r w:rsidRPr="003814DD">
        <w:rPr>
          <w:rFonts w:ascii="Verdana" w:hAnsi="Verdana"/>
          <w:sz w:val="24"/>
          <w:szCs w:val="24"/>
        </w:rPr>
        <w:t>FRPS industry.</w:t>
      </w:r>
      <w:r w:rsidRPr="003814DD">
        <w:rPr>
          <w:rFonts w:ascii="Verdana" w:hAnsi="Verdana"/>
          <w:sz w:val="24"/>
          <w:szCs w:val="24"/>
        </w:rPr>
        <w:t xml:space="preserve"> We champion and support the success of the ecosystem, and thereby our members, promoting policies in the UK and internationally that drive competitiveness, support job creation and ensure long-term economic growth. The industry contributes over 12% of the UK’s total economic output and employs nearly 2.5 million people, with two thirds of these jobs outside London, across the country’s regions and nations. </w:t>
      </w:r>
      <w:r w:rsidRPr="003814DD">
        <w:rPr>
          <w:rFonts w:ascii="Verdana" w:hAnsi="Verdana"/>
          <w:sz w:val="24"/>
          <w:szCs w:val="24"/>
        </w:rPr>
        <w:t>It pays more corporation tax than any other sector and is the largest net</w:t>
      </w:r>
      <w:r w:rsidRPr="003814DD">
        <w:rPr>
          <w:rFonts w:ascii="Verdana" w:hAnsi="Verdana"/>
          <w:sz w:val="24"/>
          <w:szCs w:val="24"/>
        </w:rPr>
        <w:t xml:space="preserve"> exporting industry. The industry plays an important role in enabling the transition to net zero and driving economic growth across the wider economy through its provision of capital, investment, professional </w:t>
      </w:r>
      <w:r w:rsidRPr="003814DD">
        <w:rPr>
          <w:rFonts w:ascii="Verdana" w:hAnsi="Verdana"/>
          <w:sz w:val="24"/>
          <w:szCs w:val="24"/>
        </w:rPr>
        <w:t>advice,</w:t>
      </w:r>
      <w:r w:rsidRPr="003814DD">
        <w:rPr>
          <w:rFonts w:ascii="Verdana" w:hAnsi="Verdana"/>
          <w:sz w:val="24"/>
          <w:szCs w:val="24"/>
        </w:rPr>
        <w:t xml:space="preserve"> and insurance. It also makes a real difference to people in their daily lives, helping them save for the future, buy a home, invest in a </w:t>
      </w:r>
      <w:r w:rsidRPr="003814DD">
        <w:rPr>
          <w:rFonts w:ascii="Verdana" w:hAnsi="Verdana"/>
          <w:sz w:val="24"/>
          <w:szCs w:val="24"/>
        </w:rPr>
        <w:t>business,</w:t>
      </w:r>
      <w:r w:rsidRPr="003814DD">
        <w:rPr>
          <w:rFonts w:ascii="Verdana" w:hAnsi="Verdana"/>
          <w:sz w:val="24"/>
          <w:szCs w:val="24"/>
        </w:rPr>
        <w:t xml:space="preserve"> and manage risk.</w:t>
      </w:r>
    </w:p>
    <w:p w:rsidR="003814DD" w:rsidRPr="003814DD" w:rsidP="00B21006">
      <w:pPr>
        <w:spacing w:after="0" w:line="240" w:lineRule="auto"/>
        <w:rPr>
          <w:rFonts w:ascii="Verdana" w:hAnsi="Verdana"/>
          <w:sz w:val="24"/>
          <w:szCs w:val="24"/>
        </w:rPr>
      </w:pPr>
    </w:p>
    <w:p w:rsidR="003814DD" w:rsidRPr="003814DD" w:rsidP="004977CD">
      <w:pPr>
        <w:spacing w:after="0" w:line="240" w:lineRule="auto"/>
        <w:rPr>
          <w:rFonts w:ascii="Verdana" w:hAnsi="Verdana"/>
          <w:sz w:val="24"/>
          <w:szCs w:val="24"/>
        </w:rPr>
      </w:pPr>
      <w:r w:rsidRPr="003814DD">
        <w:rPr>
          <w:rFonts w:ascii="Verdana" w:hAnsi="Verdana"/>
          <w:sz w:val="24"/>
          <w:szCs w:val="24"/>
        </w:rPr>
        <w:t xml:space="preserve">The </w:t>
      </w:r>
      <w:r w:rsidRPr="003814DD">
        <w:rPr>
          <w:rFonts w:ascii="Verdana" w:hAnsi="Verdana"/>
          <w:sz w:val="24"/>
          <w:szCs w:val="24"/>
        </w:rPr>
        <w:t xml:space="preserve">International Regulatory Strategy Group (IRSG) </w:t>
      </w:r>
      <w:r w:rsidRPr="003814DD">
        <w:rPr>
          <w:rFonts w:ascii="Verdana" w:hAnsi="Verdana"/>
          <w:sz w:val="24"/>
          <w:szCs w:val="24"/>
        </w:rPr>
        <w:t>is a joint venture between TheCityUK and the City of London Corporation. Its remit is to provide a cross-sectoral voice to shape the development of a globally coherent regulatory framework that will facilitate open and competitive cross-border financial services.</w:t>
      </w:r>
      <w:r w:rsidRPr="003814DD">
        <w:rPr>
          <w:rFonts w:ascii="Verdana" w:hAnsi="Verdana"/>
          <w:sz w:val="24"/>
          <w:szCs w:val="24"/>
        </w:rPr>
        <w:t xml:space="preserve"> </w:t>
      </w:r>
      <w:r w:rsidRPr="003814DD">
        <w:rPr>
          <w:rFonts w:ascii="Verdana" w:hAnsi="Verdana"/>
          <w:sz w:val="24"/>
          <w:szCs w:val="24"/>
        </w:rPr>
        <w:t xml:space="preserve">It </w:t>
      </w:r>
      <w:r w:rsidRPr="003814DD">
        <w:rPr>
          <w:rFonts w:ascii="Verdana" w:hAnsi="Verdana"/>
          <w:sz w:val="24"/>
          <w:szCs w:val="24"/>
        </w:rPr>
        <w:t>comprises</w:t>
      </w:r>
      <w:r w:rsidRPr="003814DD">
        <w:rPr>
          <w:rFonts w:ascii="Verdana" w:hAnsi="Verdana"/>
          <w:sz w:val="24"/>
          <w:szCs w:val="24"/>
        </w:rPr>
        <w:t xml:space="preserve"> TheCityUK members</w:t>
      </w:r>
      <w:r w:rsidRPr="003814DD">
        <w:rPr>
          <w:rFonts w:ascii="Verdana" w:hAnsi="Verdana"/>
          <w:sz w:val="24"/>
          <w:szCs w:val="24"/>
        </w:rPr>
        <w:t xml:space="preserve"> from the UK-based financial and related professional services industry who provide policy expertise and thought leadership across a broad range of regulatory issues.</w:t>
      </w:r>
    </w:p>
    <w:p w:rsidR="003814DD" w:rsidRPr="003814DD" w:rsidP="004977CD">
      <w:pPr>
        <w:spacing w:after="0" w:line="240" w:lineRule="auto"/>
        <w:rPr>
          <w:rFonts w:ascii="Verdana" w:hAnsi="Verdana"/>
          <w:sz w:val="24"/>
          <w:szCs w:val="24"/>
        </w:rPr>
      </w:pPr>
    </w:p>
    <w:p w:rsidR="003814DD" w:rsidRPr="003814DD" w:rsidP="004977CD">
      <w:pPr>
        <w:spacing w:after="0" w:line="240" w:lineRule="auto"/>
        <w:rPr>
          <w:rFonts w:ascii="Verdana" w:hAnsi="Verdana"/>
          <w:sz w:val="24"/>
          <w:szCs w:val="24"/>
        </w:rPr>
      </w:pPr>
      <w:r w:rsidRPr="003814DD">
        <w:rPr>
          <w:rFonts w:ascii="Verdana" w:hAnsi="Verdana"/>
          <w:sz w:val="24"/>
          <w:szCs w:val="24"/>
        </w:rPr>
        <w:t xml:space="preserve">The membership of </w:t>
      </w:r>
      <w:r w:rsidRPr="003814DD">
        <w:rPr>
          <w:rFonts w:ascii="Verdana" w:hAnsi="Verdana"/>
          <w:sz w:val="24"/>
          <w:szCs w:val="24"/>
        </w:rPr>
        <w:t>TheCityUK</w:t>
      </w:r>
      <w:r w:rsidRPr="003814DD">
        <w:rPr>
          <w:rFonts w:ascii="Verdana" w:hAnsi="Verdana"/>
          <w:sz w:val="24"/>
          <w:szCs w:val="24"/>
        </w:rPr>
        <w:t>’s</w:t>
      </w:r>
      <w:r w:rsidRPr="003814DD">
        <w:rPr>
          <w:rFonts w:ascii="Verdana" w:hAnsi="Verdana"/>
          <w:sz w:val="24"/>
          <w:szCs w:val="24"/>
        </w:rPr>
        <w:t xml:space="preserve"> Europe Market Advisory Group and the IRSG</w:t>
      </w:r>
      <w:r w:rsidRPr="003814DD">
        <w:rPr>
          <w:rFonts w:ascii="Verdana" w:hAnsi="Verdana"/>
          <w:sz w:val="24"/>
          <w:szCs w:val="24"/>
        </w:rPr>
        <w:t>’s</w:t>
      </w:r>
      <w:r w:rsidRPr="003814DD">
        <w:rPr>
          <w:rFonts w:ascii="Verdana" w:hAnsi="Verdana"/>
          <w:sz w:val="24"/>
          <w:szCs w:val="24"/>
        </w:rPr>
        <w:t xml:space="preserve"> EU Regulation Committee</w:t>
      </w:r>
      <w:r w:rsidRPr="003814DD">
        <w:rPr>
          <w:rFonts w:ascii="Verdana" w:hAnsi="Verdana"/>
          <w:sz w:val="24"/>
          <w:szCs w:val="24"/>
        </w:rPr>
        <w:t xml:space="preserve"> comprises firms</w:t>
      </w:r>
      <w:r w:rsidRPr="003814DD">
        <w:rPr>
          <w:rFonts w:ascii="Verdana" w:hAnsi="Verdana"/>
          <w:sz w:val="24"/>
          <w:szCs w:val="24"/>
        </w:rPr>
        <w:t xml:space="preserve"> and </w:t>
      </w:r>
      <w:r w:rsidRPr="003814DD">
        <w:rPr>
          <w:rFonts w:ascii="Verdana" w:hAnsi="Verdana"/>
          <w:sz w:val="24"/>
          <w:szCs w:val="24"/>
        </w:rPr>
        <w:t xml:space="preserve">sector </w:t>
      </w:r>
      <w:r w:rsidRPr="003814DD">
        <w:rPr>
          <w:rFonts w:ascii="Verdana" w:hAnsi="Verdana"/>
          <w:sz w:val="24"/>
          <w:szCs w:val="24"/>
        </w:rPr>
        <w:t xml:space="preserve">representative </w:t>
      </w:r>
      <w:r w:rsidRPr="003814DD">
        <w:rPr>
          <w:rFonts w:ascii="Verdana" w:hAnsi="Verdana"/>
          <w:sz w:val="24"/>
          <w:szCs w:val="24"/>
        </w:rPr>
        <w:t>bodies</w:t>
      </w:r>
      <w:r w:rsidRPr="003814DD">
        <w:rPr>
          <w:rFonts w:ascii="Verdana" w:hAnsi="Verdana"/>
          <w:sz w:val="24"/>
          <w:szCs w:val="24"/>
        </w:rPr>
        <w:t xml:space="preserve"> </w:t>
      </w:r>
      <w:r w:rsidRPr="003814DD">
        <w:rPr>
          <w:rFonts w:ascii="Verdana" w:hAnsi="Verdana"/>
          <w:sz w:val="24"/>
          <w:szCs w:val="24"/>
        </w:rPr>
        <w:t xml:space="preserve">from </w:t>
      </w:r>
      <w:r w:rsidRPr="003814DD">
        <w:rPr>
          <w:rFonts w:ascii="Verdana" w:hAnsi="Verdana"/>
          <w:sz w:val="24"/>
          <w:szCs w:val="24"/>
        </w:rPr>
        <w:t xml:space="preserve">across the banking, asset management, insurance, </w:t>
      </w:r>
      <w:r w:rsidRPr="003814DD">
        <w:rPr>
          <w:rFonts w:ascii="Verdana" w:hAnsi="Verdana"/>
          <w:sz w:val="24"/>
          <w:szCs w:val="24"/>
        </w:rPr>
        <w:t>market infrastructure, legal services, accountancy</w:t>
      </w:r>
      <w:r w:rsidRPr="003814DD">
        <w:rPr>
          <w:rFonts w:ascii="Verdana" w:hAnsi="Verdana"/>
          <w:sz w:val="24"/>
          <w:szCs w:val="24"/>
        </w:rPr>
        <w:t xml:space="preserve">, </w:t>
      </w:r>
      <w:r w:rsidRPr="003814DD">
        <w:rPr>
          <w:rFonts w:ascii="Verdana" w:hAnsi="Verdana"/>
          <w:sz w:val="24"/>
          <w:szCs w:val="24"/>
        </w:rPr>
        <w:t xml:space="preserve">and </w:t>
      </w:r>
      <w:r w:rsidRPr="003814DD">
        <w:rPr>
          <w:rFonts w:ascii="Verdana" w:hAnsi="Verdana"/>
          <w:sz w:val="24"/>
          <w:szCs w:val="24"/>
        </w:rPr>
        <w:t xml:space="preserve">consultancy </w:t>
      </w:r>
      <w:r w:rsidRPr="003814DD">
        <w:rPr>
          <w:rFonts w:ascii="Verdana" w:hAnsi="Verdana"/>
          <w:sz w:val="24"/>
          <w:szCs w:val="24"/>
        </w:rPr>
        <w:t xml:space="preserve">sectors. </w:t>
      </w:r>
      <w:r w:rsidRPr="003814DD">
        <w:rPr>
          <w:rFonts w:ascii="Verdana" w:hAnsi="Verdana"/>
          <w:sz w:val="24"/>
          <w:szCs w:val="24"/>
        </w:rPr>
        <w:t xml:space="preserve">All these </w:t>
      </w:r>
      <w:r w:rsidRPr="003814DD">
        <w:rPr>
          <w:rFonts w:ascii="Verdana" w:hAnsi="Verdana"/>
          <w:sz w:val="24"/>
          <w:szCs w:val="24"/>
        </w:rPr>
        <w:t xml:space="preserve">entities have </w:t>
      </w:r>
      <w:r w:rsidRPr="003814DD">
        <w:rPr>
          <w:rFonts w:ascii="Verdana" w:hAnsi="Verdana"/>
          <w:sz w:val="24"/>
          <w:szCs w:val="24"/>
        </w:rPr>
        <w:t xml:space="preserve">significant </w:t>
      </w:r>
      <w:r w:rsidRPr="003814DD">
        <w:rPr>
          <w:rFonts w:ascii="Verdana" w:hAnsi="Verdana"/>
          <w:sz w:val="24"/>
          <w:szCs w:val="24"/>
        </w:rPr>
        <w:t xml:space="preserve">operations in the UK, but many are headquartered </w:t>
      </w:r>
      <w:r w:rsidRPr="003814DD">
        <w:rPr>
          <w:rFonts w:ascii="Verdana" w:hAnsi="Verdana"/>
          <w:sz w:val="24"/>
          <w:szCs w:val="24"/>
        </w:rPr>
        <w:t>overseas</w:t>
      </w:r>
      <w:r w:rsidRPr="003814DD">
        <w:rPr>
          <w:rFonts w:ascii="Verdana" w:hAnsi="Verdana"/>
          <w:sz w:val="24"/>
          <w:szCs w:val="24"/>
        </w:rPr>
        <w:t xml:space="preserve">, including </w:t>
      </w:r>
      <w:r w:rsidRPr="003814DD">
        <w:rPr>
          <w:rFonts w:ascii="Verdana" w:hAnsi="Verdana"/>
          <w:sz w:val="24"/>
          <w:szCs w:val="24"/>
        </w:rPr>
        <w:t xml:space="preserve">a number </w:t>
      </w:r>
      <w:r w:rsidRPr="003814DD">
        <w:rPr>
          <w:rFonts w:ascii="Verdana" w:hAnsi="Verdana"/>
          <w:sz w:val="24"/>
          <w:szCs w:val="24"/>
        </w:rPr>
        <w:t xml:space="preserve">that </w:t>
      </w:r>
      <w:r w:rsidRPr="003814DD">
        <w:rPr>
          <w:rFonts w:ascii="Verdana" w:hAnsi="Verdana"/>
          <w:sz w:val="24"/>
          <w:szCs w:val="24"/>
        </w:rPr>
        <w:t>are headquartered in the EU.</w:t>
      </w:r>
    </w:p>
    <w:p w:rsidR="003814DD" w:rsidRPr="003814DD" w:rsidP="004977CD">
      <w:pPr>
        <w:spacing w:after="0" w:line="240" w:lineRule="auto"/>
        <w:rPr>
          <w:rFonts w:ascii="Verdana" w:hAnsi="Verdana"/>
          <w:sz w:val="24"/>
          <w:szCs w:val="24"/>
        </w:rPr>
      </w:pPr>
    </w:p>
    <w:p w:rsidR="003814DD" w:rsidRPr="003814DD" w:rsidP="004977CD">
      <w:pPr>
        <w:spacing w:after="0" w:line="240" w:lineRule="auto"/>
        <w:rPr>
          <w:rFonts w:ascii="Verdana" w:hAnsi="Verdana"/>
          <w:sz w:val="24"/>
          <w:szCs w:val="24"/>
        </w:rPr>
      </w:pPr>
      <w:r w:rsidRPr="003814DD">
        <w:rPr>
          <w:rFonts w:ascii="Verdana" w:hAnsi="Verdana"/>
          <w:sz w:val="24"/>
          <w:szCs w:val="24"/>
        </w:rPr>
        <w:t xml:space="preserve">We welcome the opportunity to share our reflections on the </w:t>
      </w:r>
      <w:r w:rsidRPr="003814DD">
        <w:rPr>
          <w:rFonts w:ascii="Verdana" w:hAnsi="Verdana"/>
          <w:sz w:val="24"/>
          <w:szCs w:val="24"/>
        </w:rPr>
        <w:t>proposed “R</w:t>
      </w:r>
      <w:r w:rsidRPr="003814DD">
        <w:rPr>
          <w:rFonts w:ascii="Verdana" w:hAnsi="Verdana"/>
          <w:sz w:val="24"/>
          <w:szCs w:val="24"/>
        </w:rPr>
        <w:t>eset</w:t>
      </w:r>
      <w:r w:rsidRPr="003814DD">
        <w:rPr>
          <w:rFonts w:ascii="Verdana" w:hAnsi="Verdana"/>
          <w:sz w:val="24"/>
          <w:szCs w:val="24"/>
        </w:rPr>
        <w:t>”</w:t>
      </w:r>
      <w:r w:rsidRPr="003814DD">
        <w:rPr>
          <w:rFonts w:ascii="Verdana" w:hAnsi="Verdana"/>
          <w:sz w:val="24"/>
          <w:szCs w:val="24"/>
        </w:rPr>
        <w:t xml:space="preserve"> of relations with the EU </w:t>
      </w:r>
      <w:r w:rsidRPr="003814DD">
        <w:rPr>
          <w:rFonts w:ascii="Verdana" w:hAnsi="Verdana"/>
          <w:sz w:val="24"/>
          <w:szCs w:val="24"/>
        </w:rPr>
        <w:t xml:space="preserve">(the Reset) </w:t>
      </w:r>
      <w:r w:rsidRPr="003814DD">
        <w:rPr>
          <w:rFonts w:ascii="Verdana" w:hAnsi="Verdana"/>
          <w:sz w:val="24"/>
          <w:szCs w:val="24"/>
        </w:rPr>
        <w:t xml:space="preserve">announced by the UK government following the general election in July 2024. </w:t>
      </w:r>
      <w:r w:rsidRPr="003814DD">
        <w:rPr>
          <w:rFonts w:ascii="Verdana" w:hAnsi="Verdana"/>
          <w:sz w:val="24"/>
          <w:szCs w:val="24"/>
        </w:rPr>
        <w:t xml:space="preserve">Our members </w:t>
      </w:r>
      <w:r w:rsidRPr="003814DD">
        <w:rPr>
          <w:rFonts w:ascii="Verdana" w:hAnsi="Verdana"/>
          <w:sz w:val="24"/>
          <w:szCs w:val="24"/>
        </w:rPr>
        <w:t>strongly believe that t</w:t>
      </w:r>
      <w:r w:rsidRPr="003814DD">
        <w:rPr>
          <w:rFonts w:ascii="Verdana" w:hAnsi="Verdana"/>
          <w:sz w:val="24"/>
          <w:szCs w:val="24"/>
        </w:rPr>
        <w:t xml:space="preserve">he </w:t>
      </w:r>
      <w:r w:rsidRPr="003814DD">
        <w:rPr>
          <w:rFonts w:ascii="Verdana" w:hAnsi="Verdana"/>
          <w:sz w:val="24"/>
          <w:szCs w:val="24"/>
        </w:rPr>
        <w:t>R</w:t>
      </w:r>
      <w:r w:rsidRPr="003814DD">
        <w:rPr>
          <w:rFonts w:ascii="Verdana" w:hAnsi="Verdana"/>
          <w:sz w:val="24"/>
          <w:szCs w:val="24"/>
        </w:rPr>
        <w:t xml:space="preserve">eset provides an important opportunity to rethink the </w:t>
      </w:r>
      <w:r w:rsidRPr="003814DD">
        <w:rPr>
          <w:rFonts w:ascii="Verdana" w:hAnsi="Verdana"/>
          <w:sz w:val="24"/>
          <w:szCs w:val="24"/>
        </w:rPr>
        <w:t xml:space="preserve">relations between the EU and the UK and explore where stronger cooperation </w:t>
      </w:r>
      <w:r w:rsidRPr="003814DD">
        <w:rPr>
          <w:rFonts w:ascii="Verdana" w:hAnsi="Verdana"/>
          <w:sz w:val="24"/>
          <w:szCs w:val="24"/>
        </w:rPr>
        <w:t>would benefit</w:t>
      </w:r>
      <w:r w:rsidRPr="003814DD">
        <w:rPr>
          <w:rFonts w:ascii="Verdana" w:hAnsi="Verdana"/>
          <w:sz w:val="24"/>
          <w:szCs w:val="24"/>
        </w:rPr>
        <w:t xml:space="preserve"> both sides.</w:t>
      </w:r>
      <w:r w:rsidRPr="003814DD">
        <w:rPr>
          <w:rFonts w:ascii="Verdana" w:hAnsi="Verdana"/>
          <w:sz w:val="24"/>
          <w:szCs w:val="24"/>
        </w:rPr>
        <w:t xml:space="preserve"> </w:t>
      </w:r>
    </w:p>
    <w:p w:rsidR="003814DD" w:rsidRPr="003814DD" w:rsidP="00B21006">
      <w:pPr>
        <w:spacing w:after="0" w:line="240" w:lineRule="auto"/>
        <w:rPr>
          <w:rFonts w:ascii="Verdana" w:hAnsi="Verdana"/>
          <w:b/>
          <w:bCs/>
          <w:sz w:val="24"/>
          <w:szCs w:val="24"/>
        </w:rPr>
      </w:pPr>
    </w:p>
    <w:p w:rsidR="003814DD" w:rsidRPr="003814DD" w:rsidP="00B21006">
      <w:pPr>
        <w:spacing w:after="0" w:line="240" w:lineRule="auto"/>
        <w:rPr>
          <w:rFonts w:ascii="Verdana" w:hAnsi="Verdana"/>
          <w:b/>
          <w:bCs/>
          <w:sz w:val="24"/>
          <w:szCs w:val="24"/>
        </w:rPr>
      </w:pPr>
      <w:r w:rsidRPr="003814DD">
        <w:rPr>
          <w:rFonts w:ascii="Verdana" w:hAnsi="Verdana"/>
          <w:b/>
          <w:bCs/>
          <w:sz w:val="24"/>
          <w:szCs w:val="24"/>
        </w:rPr>
        <w:t xml:space="preserve">The EU-UK relationship </w:t>
      </w:r>
      <w:r w:rsidRPr="003814DD">
        <w:rPr>
          <w:rFonts w:ascii="Verdana" w:hAnsi="Verdana"/>
          <w:b/>
          <w:bCs/>
          <w:sz w:val="24"/>
          <w:szCs w:val="24"/>
        </w:rPr>
        <w:t>in</w:t>
      </w:r>
      <w:r w:rsidRPr="003814DD">
        <w:rPr>
          <w:rFonts w:ascii="Verdana" w:hAnsi="Verdana"/>
          <w:b/>
          <w:bCs/>
          <w:sz w:val="24"/>
          <w:szCs w:val="24"/>
        </w:rPr>
        <w:t xml:space="preserve"> FRPS</w:t>
      </w:r>
    </w:p>
    <w:p w:rsidR="003814DD" w:rsidRPr="003814DD" w:rsidP="00B21006">
      <w:pPr>
        <w:spacing w:after="0" w:line="240" w:lineRule="auto"/>
        <w:rPr>
          <w:rFonts w:ascii="Verdana" w:hAnsi="Verdana"/>
          <w:sz w:val="24"/>
          <w:szCs w:val="24"/>
        </w:rPr>
      </w:pPr>
    </w:p>
    <w:p w:rsidR="003814DD" w:rsidRPr="003814DD" w:rsidP="00B21006">
      <w:pPr>
        <w:spacing w:after="0" w:line="240" w:lineRule="auto"/>
        <w:rPr>
          <w:rFonts w:ascii="Verdana" w:hAnsi="Verdana"/>
          <w:sz w:val="24"/>
          <w:szCs w:val="24"/>
        </w:rPr>
      </w:pPr>
      <w:r w:rsidRPr="003814DD">
        <w:rPr>
          <w:rFonts w:ascii="Verdana" w:hAnsi="Verdana"/>
          <w:sz w:val="24"/>
          <w:szCs w:val="24"/>
        </w:rPr>
        <w:t>The EU is the second largest export market for the FRPS</w:t>
      </w:r>
      <w:r w:rsidRPr="003814DD">
        <w:rPr>
          <w:rFonts w:ascii="Verdana" w:hAnsi="Verdana"/>
          <w:sz w:val="24"/>
          <w:szCs w:val="24"/>
        </w:rPr>
        <w:t xml:space="preserve"> industry</w:t>
      </w:r>
      <w:r w:rsidRPr="003814DD">
        <w:rPr>
          <w:rFonts w:ascii="Verdana" w:hAnsi="Verdana"/>
          <w:sz w:val="24"/>
          <w:szCs w:val="24"/>
        </w:rPr>
        <w:t>, accounting for 34% of</w:t>
      </w:r>
      <w:r w:rsidRPr="003814DD">
        <w:rPr>
          <w:rFonts w:ascii="Verdana" w:hAnsi="Verdana"/>
          <w:sz w:val="24"/>
          <w:szCs w:val="24"/>
        </w:rPr>
        <w:t xml:space="preserve"> UK financial services</w:t>
      </w:r>
      <w:r w:rsidRPr="003814DD">
        <w:rPr>
          <w:rFonts w:ascii="Verdana" w:hAnsi="Verdana"/>
          <w:sz w:val="24"/>
          <w:szCs w:val="24"/>
        </w:rPr>
        <w:t xml:space="preserve"> exports</w:t>
      </w:r>
      <w:r w:rsidRPr="003814DD">
        <w:rPr>
          <w:rFonts w:ascii="Verdana" w:hAnsi="Verdana"/>
          <w:sz w:val="24"/>
          <w:szCs w:val="24"/>
        </w:rPr>
        <w:t>, which were valued</w:t>
      </w:r>
      <w:r w:rsidRPr="003814DD">
        <w:rPr>
          <w:rFonts w:ascii="Verdana" w:hAnsi="Verdana"/>
          <w:sz w:val="24"/>
          <w:szCs w:val="24"/>
        </w:rPr>
        <w:t xml:space="preserve"> at £33.6 billion in 2023.</w:t>
      </w:r>
      <w:r w:rsidRPr="003814DD">
        <w:rPr>
          <w:rFonts w:ascii="Verdana" w:hAnsi="Verdana"/>
          <w:sz w:val="24"/>
          <w:szCs w:val="24"/>
        </w:rPr>
        <w:t xml:space="preserve"> Additionally, </w:t>
      </w:r>
      <w:r w:rsidRPr="003814DD">
        <w:rPr>
          <w:rFonts w:ascii="Verdana" w:hAnsi="Verdana"/>
          <w:sz w:val="24"/>
          <w:szCs w:val="24"/>
        </w:rPr>
        <w:t>in 2023, the United Kingdom was one of the largest destinations for EU services</w:t>
      </w:r>
      <w:r w:rsidRPr="003814DD">
        <w:rPr>
          <w:rFonts w:ascii="Verdana" w:hAnsi="Verdana"/>
          <w:sz w:val="24"/>
          <w:szCs w:val="24"/>
        </w:rPr>
        <w:t xml:space="preserve"> exports</w:t>
      </w:r>
      <w:r w:rsidRPr="003814DD">
        <w:rPr>
          <w:rFonts w:ascii="Verdana" w:hAnsi="Verdana"/>
          <w:sz w:val="24"/>
          <w:szCs w:val="24"/>
        </w:rPr>
        <w:t>, with trade valued at €280 billion</w:t>
      </w:r>
      <w:r w:rsidRPr="003814DD">
        <w:rPr>
          <w:rFonts w:ascii="Verdana" w:hAnsi="Verdana"/>
          <w:sz w:val="24"/>
          <w:szCs w:val="24"/>
        </w:rPr>
        <w:t xml:space="preserve">, </w:t>
      </w:r>
      <w:r w:rsidRPr="003814DD">
        <w:rPr>
          <w:rFonts w:ascii="Verdana" w:hAnsi="Verdana"/>
          <w:sz w:val="24"/>
          <w:szCs w:val="24"/>
        </w:rPr>
        <w:t>r</w:t>
      </w:r>
      <w:r w:rsidRPr="003814DD">
        <w:rPr>
          <w:rFonts w:ascii="Verdana" w:hAnsi="Verdana"/>
          <w:sz w:val="24"/>
          <w:szCs w:val="24"/>
        </w:rPr>
        <w:t xml:space="preserve">epresenting 19.6% of all </w:t>
      </w:r>
      <w:r w:rsidRPr="003814DD">
        <w:rPr>
          <w:rFonts w:ascii="Verdana" w:hAnsi="Verdana"/>
          <w:sz w:val="24"/>
          <w:szCs w:val="24"/>
        </w:rPr>
        <w:t xml:space="preserve">EU services </w:t>
      </w:r>
      <w:r w:rsidRPr="003814DD">
        <w:rPr>
          <w:rFonts w:ascii="Verdana" w:hAnsi="Verdana"/>
          <w:sz w:val="24"/>
          <w:szCs w:val="24"/>
        </w:rPr>
        <w:t>exports to non-member countries.</w:t>
      </w:r>
    </w:p>
    <w:p w:rsidR="003814DD" w:rsidRPr="003814DD" w:rsidP="00B21006">
      <w:pPr>
        <w:spacing w:after="0" w:line="240" w:lineRule="auto"/>
        <w:rPr>
          <w:rFonts w:ascii="Verdana" w:hAnsi="Verdana"/>
          <w:sz w:val="24"/>
          <w:szCs w:val="24"/>
        </w:rPr>
      </w:pPr>
    </w:p>
    <w:p w:rsidR="003814DD" w:rsidRPr="003814DD" w:rsidP="00B21006">
      <w:pPr>
        <w:spacing w:after="0" w:line="240" w:lineRule="auto"/>
        <w:rPr>
          <w:rFonts w:ascii="Verdana" w:hAnsi="Verdana"/>
          <w:sz w:val="24"/>
          <w:szCs w:val="24"/>
        </w:rPr>
      </w:pPr>
      <w:r w:rsidRPr="003814DD">
        <w:rPr>
          <w:rFonts w:ascii="Verdana" w:hAnsi="Verdana"/>
          <w:sz w:val="24"/>
          <w:szCs w:val="24"/>
        </w:rPr>
        <w:t>The relationship remains key for our members</w:t>
      </w:r>
      <w:r w:rsidRPr="003814DD">
        <w:rPr>
          <w:rFonts w:ascii="Verdana" w:hAnsi="Verdana"/>
          <w:sz w:val="24"/>
          <w:szCs w:val="24"/>
        </w:rPr>
        <w:t>, and</w:t>
      </w:r>
      <w:r w:rsidRPr="003814DD">
        <w:rPr>
          <w:rFonts w:ascii="Verdana" w:hAnsi="Verdana"/>
          <w:sz w:val="24"/>
          <w:szCs w:val="24"/>
        </w:rPr>
        <w:t xml:space="preserve"> </w:t>
      </w:r>
      <w:r w:rsidRPr="003814DD">
        <w:rPr>
          <w:rFonts w:ascii="Verdana" w:hAnsi="Verdana"/>
          <w:sz w:val="24"/>
          <w:szCs w:val="24"/>
        </w:rPr>
        <w:t>for their operations</w:t>
      </w:r>
      <w:r w:rsidRPr="003814DD">
        <w:rPr>
          <w:rFonts w:ascii="Verdana" w:hAnsi="Verdana"/>
          <w:sz w:val="24"/>
          <w:szCs w:val="24"/>
        </w:rPr>
        <w:t xml:space="preserve"> </w:t>
      </w:r>
      <w:r w:rsidRPr="003814DD">
        <w:rPr>
          <w:rFonts w:ascii="Verdana" w:hAnsi="Verdana"/>
          <w:sz w:val="24"/>
          <w:szCs w:val="24"/>
        </w:rPr>
        <w:t xml:space="preserve">on both sides of the channel, and they </w:t>
      </w:r>
      <w:r w:rsidRPr="003814DD">
        <w:rPr>
          <w:rFonts w:ascii="Verdana" w:hAnsi="Verdana"/>
          <w:sz w:val="24"/>
          <w:szCs w:val="24"/>
        </w:rPr>
        <w:t>welcome our work to ensure as much interoperability and, where appropriate, alignment in regulations and policies as possible</w:t>
      </w:r>
      <w:r w:rsidRPr="003814DD">
        <w:rPr>
          <w:rFonts w:ascii="Verdana" w:hAnsi="Verdana"/>
          <w:sz w:val="24"/>
          <w:szCs w:val="24"/>
        </w:rPr>
        <w:t>.</w:t>
      </w:r>
      <w:r w:rsidRPr="003814DD">
        <w:rPr>
          <w:rFonts w:ascii="Verdana" w:hAnsi="Verdana"/>
          <w:sz w:val="24"/>
          <w:szCs w:val="24"/>
        </w:rPr>
        <w:t xml:space="preserve"> </w:t>
      </w:r>
    </w:p>
    <w:p w:rsidR="003814DD" w:rsidRPr="003814DD" w:rsidP="00B21006">
      <w:pPr>
        <w:spacing w:after="0" w:line="240" w:lineRule="auto"/>
        <w:rPr>
          <w:rFonts w:ascii="Verdana" w:hAnsi="Verdana"/>
          <w:sz w:val="24"/>
          <w:szCs w:val="24"/>
        </w:rPr>
      </w:pPr>
    </w:p>
    <w:p w:rsidR="003814DD" w:rsidRPr="003814DD" w:rsidP="00B21006">
      <w:pPr>
        <w:spacing w:after="0" w:line="240" w:lineRule="auto"/>
        <w:rPr>
          <w:rFonts w:ascii="Verdana" w:hAnsi="Verdana"/>
          <w:sz w:val="24"/>
          <w:szCs w:val="24"/>
        </w:rPr>
      </w:pPr>
      <w:r w:rsidRPr="003814DD">
        <w:rPr>
          <w:rFonts w:ascii="Verdana" w:hAnsi="Verdana"/>
          <w:sz w:val="24"/>
          <w:szCs w:val="24"/>
        </w:rPr>
        <w:t xml:space="preserve">The below statistics </w:t>
      </w:r>
      <w:r w:rsidRPr="003814DD">
        <w:rPr>
          <w:rFonts w:ascii="Verdana" w:hAnsi="Verdana"/>
          <w:sz w:val="24"/>
          <w:szCs w:val="24"/>
        </w:rPr>
        <w:t>further illustrate the importance of the relationship</w:t>
      </w:r>
      <w:r w:rsidRPr="003814DD">
        <w:rPr>
          <w:rFonts w:ascii="Verdana" w:hAnsi="Verdana"/>
          <w:sz w:val="24"/>
          <w:szCs w:val="24"/>
        </w:rPr>
        <w:t>:</w:t>
      </w:r>
    </w:p>
    <w:p w:rsidR="003814DD" w:rsidRPr="003814DD" w:rsidP="00B21006">
      <w:pPr>
        <w:spacing w:after="0" w:line="240" w:lineRule="auto"/>
        <w:rPr>
          <w:rFonts w:ascii="Verdana" w:hAnsi="Verdana"/>
          <w:sz w:val="24"/>
          <w:szCs w:val="24"/>
        </w:rPr>
      </w:pPr>
    </w:p>
    <w:p w:rsidR="003814DD" w:rsidRPr="003814DD" w:rsidP="002660DF">
      <w:pPr>
        <w:numPr>
          <w:ilvl w:val="0"/>
          <w:numId w:val="7"/>
        </w:numPr>
        <w:spacing w:after="0" w:line="240" w:lineRule="auto"/>
        <w:rPr>
          <w:rFonts w:ascii="Verdana" w:hAnsi="Verdana"/>
          <w:sz w:val="24"/>
          <w:szCs w:val="24"/>
        </w:rPr>
      </w:pPr>
      <w:r w:rsidRPr="003814DD">
        <w:rPr>
          <w:rFonts w:ascii="Verdana" w:hAnsi="Verdana"/>
          <w:sz w:val="24"/>
          <w:szCs w:val="24"/>
        </w:rPr>
        <w:t>In 2023, the EU was the UK’s second-largest financial services trading partner (exports + imports), after the US, accounting for 31.6% of total UK financial services trade, according to TheCityUK calculations based on ONS data.</w:t>
      </w:r>
    </w:p>
    <w:p w:rsidR="003814DD" w:rsidRPr="003814DD" w:rsidP="007D3F59">
      <w:pPr>
        <w:numPr>
          <w:ilvl w:val="0"/>
          <w:numId w:val="7"/>
        </w:numPr>
        <w:spacing w:after="0" w:line="240" w:lineRule="auto"/>
        <w:rPr>
          <w:rFonts w:ascii="Verdana" w:hAnsi="Verdana"/>
          <w:sz w:val="24"/>
          <w:szCs w:val="24"/>
        </w:rPr>
      </w:pPr>
      <w:r w:rsidRPr="003814DD">
        <w:rPr>
          <w:rFonts w:ascii="Verdana" w:hAnsi="Verdana"/>
          <w:sz w:val="24"/>
          <w:szCs w:val="24"/>
        </w:rPr>
        <w:t xml:space="preserve">In 2023, </w:t>
      </w:r>
      <w:r w:rsidRPr="003814DD">
        <w:rPr>
          <w:rFonts w:ascii="Verdana" w:hAnsi="Verdana"/>
          <w:sz w:val="24"/>
          <w:szCs w:val="24"/>
        </w:rPr>
        <w:t>the UK represented 34% of total EU financial services exports</w:t>
      </w:r>
      <w:r w:rsidRPr="003814DD">
        <w:rPr>
          <w:rFonts w:ascii="Verdana" w:hAnsi="Verdana"/>
          <w:sz w:val="24"/>
          <w:szCs w:val="24"/>
        </w:rPr>
        <w:t>, according to TheCityUK calculations based on Eurostat data.</w:t>
      </w:r>
    </w:p>
    <w:p w:rsidR="003814DD" w:rsidRPr="003814DD" w:rsidP="00F7618E">
      <w:pPr>
        <w:numPr>
          <w:ilvl w:val="0"/>
          <w:numId w:val="7"/>
        </w:numPr>
        <w:spacing w:after="0" w:line="240" w:lineRule="auto"/>
        <w:rPr>
          <w:rFonts w:ascii="Verdana" w:hAnsi="Verdana"/>
          <w:sz w:val="24"/>
          <w:szCs w:val="24"/>
        </w:rPr>
      </w:pPr>
      <w:r w:rsidRPr="003814DD">
        <w:rPr>
          <w:rFonts w:ascii="Verdana" w:hAnsi="Verdana"/>
          <w:sz w:val="24"/>
          <w:szCs w:val="24"/>
        </w:rPr>
        <w:t xml:space="preserve">According to the ONS, UK financial exports to the EU totalled £33.6bn in 2023, while UK financial imports from the EU totalled £9.3bn, generating a surplus of £24.3bn. When the estimated trade surplus for related professional services (£5.4bn) – legal, accounting and management consulting services – is also </w:t>
      </w:r>
      <w:r w:rsidRPr="003814DD">
        <w:rPr>
          <w:rFonts w:ascii="Verdana" w:hAnsi="Verdana"/>
          <w:sz w:val="24"/>
          <w:szCs w:val="24"/>
        </w:rPr>
        <w:t>taken into account</w:t>
      </w:r>
      <w:r w:rsidRPr="003814DD">
        <w:rPr>
          <w:rFonts w:ascii="Verdana" w:hAnsi="Verdana"/>
          <w:sz w:val="24"/>
          <w:szCs w:val="24"/>
        </w:rPr>
        <w:t>, the total financial and related professional services figure climbs to around £29.7bn.</w:t>
      </w:r>
    </w:p>
    <w:p w:rsidR="003814DD" w:rsidRPr="003814DD" w:rsidP="002660DF">
      <w:pPr>
        <w:numPr>
          <w:ilvl w:val="0"/>
          <w:numId w:val="7"/>
        </w:numPr>
        <w:spacing w:after="0" w:line="240" w:lineRule="auto"/>
        <w:rPr>
          <w:rFonts w:ascii="Verdana" w:hAnsi="Verdana"/>
          <w:sz w:val="24"/>
          <w:szCs w:val="24"/>
        </w:rPr>
      </w:pPr>
      <w:r w:rsidRPr="003814DD">
        <w:rPr>
          <w:rFonts w:ascii="Verdana" w:hAnsi="Verdana"/>
          <w:sz w:val="24"/>
          <w:szCs w:val="24"/>
        </w:rPr>
        <w:t>Over the last five years, FRPS exports to the EU increased at an annual average growth rate of 6%, from £35.2bn in 2019 to £44.1bn in 2023, according to TheCityUK estimates based on ONS data.</w:t>
      </w:r>
    </w:p>
    <w:p w:rsidR="003814DD" w:rsidRPr="003814DD" w:rsidP="002660DF">
      <w:pPr>
        <w:numPr>
          <w:ilvl w:val="0"/>
          <w:numId w:val="7"/>
        </w:numPr>
        <w:spacing w:after="0" w:line="240" w:lineRule="auto"/>
        <w:rPr>
          <w:rFonts w:ascii="Verdana" w:hAnsi="Verdana"/>
          <w:sz w:val="24"/>
          <w:szCs w:val="24"/>
        </w:rPr>
      </w:pPr>
      <w:r w:rsidRPr="003814DD">
        <w:rPr>
          <w:rFonts w:ascii="Verdana" w:hAnsi="Verdana"/>
          <w:sz w:val="24"/>
          <w:szCs w:val="24"/>
        </w:rPr>
        <w:t>According to the latest available data, in 2023, the outward stock of FDI in the financial services industry from the UK in the EU was £173bn, accounting for 22% of the total UK outward FDI stock in the financial services industry. The inward stock of FDI in the financial services industry from the EU was £149.5bn, accounting for 23% of the total UK inward FDI stock in the financial services industry.</w:t>
      </w:r>
    </w:p>
    <w:p w:rsidR="003814DD" w:rsidRPr="003814DD" w:rsidP="00B21006">
      <w:pPr>
        <w:spacing w:after="0" w:line="240" w:lineRule="auto"/>
        <w:rPr>
          <w:rFonts w:ascii="Verdana" w:hAnsi="Verdana"/>
          <w:sz w:val="24"/>
          <w:szCs w:val="24"/>
        </w:rPr>
      </w:pPr>
    </w:p>
    <w:p w:rsidR="003814DD" w:rsidRPr="003814DD" w:rsidP="00B21006">
      <w:pPr>
        <w:spacing w:after="0" w:line="240" w:lineRule="auto"/>
        <w:rPr>
          <w:rFonts w:ascii="Verdana" w:hAnsi="Verdana"/>
          <w:sz w:val="24"/>
          <w:szCs w:val="24"/>
        </w:rPr>
      </w:pPr>
      <w:r w:rsidRPr="003814DD">
        <w:rPr>
          <w:rFonts w:ascii="Verdana" w:hAnsi="Verdana"/>
          <w:sz w:val="24"/>
          <w:szCs w:val="24"/>
        </w:rPr>
        <w:t xml:space="preserve">We welcomed the fact that the UK and EU agreed </w:t>
      </w:r>
      <w:r w:rsidRPr="003814DD">
        <w:rPr>
          <w:rFonts w:ascii="Verdana" w:hAnsi="Verdana"/>
          <w:sz w:val="24"/>
          <w:szCs w:val="24"/>
        </w:rPr>
        <w:t>the Trade and Cooperation Agreement (TCA)</w:t>
      </w:r>
      <w:r w:rsidRPr="003814DD">
        <w:rPr>
          <w:rFonts w:ascii="Verdana" w:hAnsi="Verdana"/>
          <w:sz w:val="24"/>
          <w:szCs w:val="24"/>
        </w:rPr>
        <w:t xml:space="preserve"> in 2020. However, the TCA prioritised trade in goods, not trade in services. UK-based FRPS businesses are now trading with the EU on significantly different terms, and this is having a considerable impact on UK-EU trade in services.</w:t>
      </w:r>
      <w:r w:rsidRPr="003814DD">
        <w:rPr>
          <w:rFonts w:ascii="Verdana" w:hAnsi="Verdana"/>
          <w:sz w:val="24"/>
          <w:szCs w:val="24"/>
        </w:rPr>
        <w:t xml:space="preserve"> </w:t>
      </w:r>
      <w:bookmarkStart w:id="0" w:name="_Hlk191033494"/>
    </w:p>
    <w:p w:rsidR="003814DD" w:rsidRPr="003814DD" w:rsidP="00B21006">
      <w:pPr>
        <w:spacing w:after="0" w:line="240" w:lineRule="auto"/>
        <w:rPr>
          <w:rFonts w:ascii="Verdana" w:hAnsi="Verdana"/>
          <w:sz w:val="24"/>
          <w:szCs w:val="24"/>
        </w:rPr>
      </w:pPr>
    </w:p>
    <w:p w:rsidR="003814DD" w:rsidRPr="003814DD" w:rsidP="00B21006">
      <w:pPr>
        <w:spacing w:after="0" w:line="240" w:lineRule="auto"/>
        <w:rPr>
          <w:rFonts w:ascii="Verdana" w:hAnsi="Verdana"/>
          <w:sz w:val="24"/>
          <w:szCs w:val="24"/>
        </w:rPr>
      </w:pPr>
      <w:r w:rsidRPr="003814DD">
        <w:rPr>
          <w:rFonts w:ascii="Verdana" w:hAnsi="Verdana"/>
          <w:sz w:val="24"/>
          <w:szCs w:val="24"/>
        </w:rPr>
        <w:t>O</w:t>
      </w:r>
      <w:r w:rsidRPr="003814DD">
        <w:rPr>
          <w:rFonts w:ascii="Verdana" w:hAnsi="Verdana"/>
          <w:sz w:val="24"/>
          <w:szCs w:val="24"/>
        </w:rPr>
        <w:t xml:space="preserve">ffice for </w:t>
      </w:r>
      <w:r w:rsidRPr="003814DD">
        <w:rPr>
          <w:rFonts w:ascii="Verdana" w:hAnsi="Verdana"/>
          <w:sz w:val="24"/>
          <w:szCs w:val="24"/>
        </w:rPr>
        <w:t>B</w:t>
      </w:r>
      <w:r w:rsidRPr="003814DD">
        <w:rPr>
          <w:rFonts w:ascii="Verdana" w:hAnsi="Verdana"/>
          <w:sz w:val="24"/>
          <w:szCs w:val="24"/>
        </w:rPr>
        <w:t xml:space="preserve">udget </w:t>
      </w:r>
      <w:r w:rsidRPr="003814DD">
        <w:rPr>
          <w:rFonts w:ascii="Verdana" w:hAnsi="Verdana"/>
          <w:sz w:val="24"/>
          <w:szCs w:val="24"/>
        </w:rPr>
        <w:t>R</w:t>
      </w:r>
      <w:r w:rsidRPr="003814DD">
        <w:rPr>
          <w:rFonts w:ascii="Verdana" w:hAnsi="Verdana"/>
          <w:sz w:val="24"/>
          <w:szCs w:val="24"/>
        </w:rPr>
        <w:t>esponsibility</w:t>
      </w:r>
      <w:r w:rsidRPr="003814DD">
        <w:rPr>
          <w:rFonts w:ascii="Verdana" w:hAnsi="Verdana"/>
          <w:sz w:val="24"/>
          <w:szCs w:val="24"/>
        </w:rPr>
        <w:t xml:space="preserve"> </w:t>
      </w:r>
      <w:bookmarkEnd w:id="0"/>
      <w:r w:rsidRPr="003814DD">
        <w:rPr>
          <w:rFonts w:ascii="Verdana" w:hAnsi="Verdana"/>
          <w:sz w:val="24"/>
          <w:szCs w:val="24"/>
        </w:rPr>
        <w:t>analysis</w:t>
      </w:r>
      <w:r w:rsidRPr="003814DD">
        <w:rPr>
          <w:rFonts w:ascii="Verdana" w:hAnsi="Verdana"/>
          <w:sz w:val="24"/>
          <w:szCs w:val="24"/>
        </w:rPr>
        <w:t xml:space="preserve"> concludes that </w:t>
      </w:r>
      <w:r w:rsidRPr="003814DD">
        <w:rPr>
          <w:rFonts w:ascii="Verdana" w:hAnsi="Verdana"/>
          <w:sz w:val="24"/>
          <w:szCs w:val="24"/>
        </w:rPr>
        <w:t>UK services trade has continued to grow strongly</w:t>
      </w:r>
      <w:r w:rsidRPr="003814DD">
        <w:rPr>
          <w:rFonts w:ascii="Verdana" w:hAnsi="Verdana"/>
          <w:sz w:val="24"/>
          <w:szCs w:val="24"/>
        </w:rPr>
        <w:t xml:space="preserve"> since 2019</w:t>
      </w:r>
      <w:r w:rsidRPr="003814DD">
        <w:rPr>
          <w:rFonts w:ascii="Verdana" w:hAnsi="Verdana"/>
          <w:sz w:val="24"/>
          <w:szCs w:val="24"/>
        </w:rPr>
        <w:t>, including</w:t>
      </w:r>
      <w:r w:rsidRPr="003814DD">
        <w:rPr>
          <w:rFonts w:ascii="Verdana" w:hAnsi="Verdana"/>
          <w:sz w:val="24"/>
          <w:szCs w:val="24"/>
        </w:rPr>
        <w:t xml:space="preserve"> with the EU</w:t>
      </w:r>
      <w:r w:rsidRPr="003814DD">
        <w:rPr>
          <w:rFonts w:ascii="Verdana" w:hAnsi="Verdana"/>
          <w:sz w:val="24"/>
          <w:szCs w:val="24"/>
        </w:rPr>
        <w:t>,</w:t>
      </w:r>
      <w:r w:rsidRPr="003814DD">
        <w:rPr>
          <w:rFonts w:ascii="Verdana" w:hAnsi="Verdana"/>
          <w:sz w:val="24"/>
          <w:szCs w:val="24"/>
        </w:rPr>
        <w:t xml:space="preserve"> despite the increase in trade barriers post-Brexit</w:t>
      </w:r>
      <w:r w:rsidRPr="003814DD">
        <w:rPr>
          <w:rFonts w:ascii="Verdana" w:hAnsi="Verdana"/>
          <w:sz w:val="24"/>
          <w:szCs w:val="24"/>
        </w:rPr>
        <w:t>. However</w:t>
      </w:r>
      <w:r w:rsidRPr="003814DD">
        <w:rPr>
          <w:rFonts w:ascii="Verdana" w:hAnsi="Verdana"/>
          <w:sz w:val="24"/>
          <w:szCs w:val="24"/>
        </w:rPr>
        <w:t>,</w:t>
      </w:r>
      <w:r w:rsidRPr="003814DD">
        <w:rPr>
          <w:rFonts w:ascii="Verdana" w:hAnsi="Verdana"/>
          <w:sz w:val="24"/>
          <w:szCs w:val="24"/>
        </w:rPr>
        <w:t xml:space="preserve"> this has been </w:t>
      </w:r>
      <w:r w:rsidRPr="003814DD">
        <w:rPr>
          <w:rFonts w:ascii="Verdana" w:hAnsi="Verdana"/>
          <w:sz w:val="24"/>
          <w:szCs w:val="24"/>
        </w:rPr>
        <w:t>driven</w:t>
      </w:r>
      <w:r w:rsidRPr="003814DD">
        <w:rPr>
          <w:rFonts w:ascii="Verdana" w:hAnsi="Verdana"/>
          <w:sz w:val="24"/>
          <w:szCs w:val="24"/>
        </w:rPr>
        <w:t xml:space="preserve"> by</w:t>
      </w:r>
      <w:r w:rsidRPr="003814DD">
        <w:rPr>
          <w:rFonts w:ascii="Verdana" w:hAnsi="Verdana"/>
          <w:sz w:val="24"/>
          <w:szCs w:val="24"/>
        </w:rPr>
        <w:t xml:space="preserve"> </w:t>
      </w:r>
      <w:r w:rsidRPr="003814DD">
        <w:rPr>
          <w:rFonts w:ascii="Verdana" w:hAnsi="Verdana"/>
          <w:sz w:val="24"/>
          <w:szCs w:val="24"/>
        </w:rPr>
        <w:t xml:space="preserve">growth in </w:t>
      </w:r>
      <w:r w:rsidRPr="003814DD">
        <w:rPr>
          <w:rFonts w:ascii="Verdana" w:hAnsi="Verdana"/>
          <w:sz w:val="24"/>
          <w:szCs w:val="24"/>
        </w:rPr>
        <w:t>the ‘other business services’ sector, which includes management consulting, research &amp; development, and advertising</w:t>
      </w:r>
      <w:r w:rsidRPr="003814DD">
        <w:rPr>
          <w:rFonts w:ascii="Verdana" w:hAnsi="Verdana"/>
          <w:sz w:val="24"/>
          <w:szCs w:val="24"/>
        </w:rPr>
        <w:t>. E</w:t>
      </w:r>
      <w:r w:rsidRPr="003814DD">
        <w:rPr>
          <w:rFonts w:ascii="Verdana" w:hAnsi="Verdana"/>
          <w:sz w:val="24"/>
          <w:szCs w:val="24"/>
        </w:rPr>
        <w:t xml:space="preserve">xports of financial services </w:t>
      </w:r>
      <w:r w:rsidRPr="003814DD">
        <w:rPr>
          <w:rFonts w:ascii="Verdana" w:hAnsi="Verdana"/>
          <w:sz w:val="24"/>
          <w:szCs w:val="24"/>
        </w:rPr>
        <w:t>ha</w:t>
      </w:r>
      <w:r w:rsidRPr="003814DD">
        <w:rPr>
          <w:rFonts w:ascii="Verdana" w:hAnsi="Verdana"/>
          <w:sz w:val="24"/>
          <w:szCs w:val="24"/>
        </w:rPr>
        <w:t>ve</w:t>
      </w:r>
      <w:r w:rsidRPr="003814DD">
        <w:rPr>
          <w:rFonts w:ascii="Verdana" w:hAnsi="Verdana"/>
          <w:sz w:val="24"/>
          <w:szCs w:val="24"/>
        </w:rPr>
        <w:t xml:space="preserve"> declined 5.9 per cent </w:t>
      </w:r>
      <w:r w:rsidRPr="003814DD">
        <w:rPr>
          <w:rFonts w:ascii="Verdana" w:hAnsi="Verdana"/>
          <w:sz w:val="24"/>
          <w:szCs w:val="24"/>
        </w:rPr>
        <w:t>during the same period</w:t>
      </w:r>
      <w:r w:rsidRPr="003814DD">
        <w:rPr>
          <w:rFonts w:ascii="Verdana" w:hAnsi="Verdana"/>
          <w:sz w:val="24"/>
          <w:szCs w:val="24"/>
        </w:rPr>
        <w:t>, likely at least in</w:t>
      </w:r>
      <w:r w:rsidRPr="003814DD">
        <w:rPr>
          <w:rFonts w:ascii="Verdana" w:hAnsi="Verdana"/>
          <w:sz w:val="24"/>
          <w:szCs w:val="24"/>
        </w:rPr>
        <w:t xml:space="preserve"> </w:t>
      </w:r>
      <w:r w:rsidRPr="003814DD">
        <w:rPr>
          <w:rFonts w:ascii="Verdana" w:hAnsi="Verdana"/>
          <w:sz w:val="24"/>
          <w:szCs w:val="24"/>
        </w:rPr>
        <w:t>part</w:t>
      </w:r>
      <w:r w:rsidRPr="003814DD">
        <w:rPr>
          <w:rFonts w:ascii="Verdana" w:hAnsi="Verdana"/>
          <w:sz w:val="24"/>
          <w:szCs w:val="24"/>
        </w:rPr>
        <w:t xml:space="preserve"> due to </w:t>
      </w:r>
      <w:r w:rsidRPr="003814DD">
        <w:rPr>
          <w:rFonts w:ascii="Verdana" w:hAnsi="Verdana"/>
          <w:sz w:val="24"/>
          <w:szCs w:val="24"/>
        </w:rPr>
        <w:t>the</w:t>
      </w:r>
      <w:r w:rsidRPr="003814DD">
        <w:rPr>
          <w:rFonts w:ascii="Verdana" w:hAnsi="Verdana"/>
          <w:sz w:val="24"/>
          <w:szCs w:val="24"/>
        </w:rPr>
        <w:t xml:space="preserve"> impact </w:t>
      </w:r>
      <w:r w:rsidRPr="003814DD">
        <w:rPr>
          <w:rFonts w:ascii="Verdana" w:hAnsi="Verdana"/>
          <w:sz w:val="24"/>
          <w:szCs w:val="24"/>
        </w:rPr>
        <w:t xml:space="preserve">of </w:t>
      </w:r>
      <w:r w:rsidRPr="003814DD">
        <w:rPr>
          <w:rFonts w:ascii="Verdana" w:hAnsi="Verdana"/>
          <w:sz w:val="24"/>
          <w:szCs w:val="24"/>
        </w:rPr>
        <w:t>Brexit frictions</w:t>
      </w:r>
      <w:r>
        <w:rPr>
          <w:rStyle w:val="FootnoteReference"/>
          <w:rFonts w:ascii="Verdana" w:hAnsi="Verdana"/>
          <w:sz w:val="24"/>
          <w:szCs w:val="24"/>
        </w:rPr>
        <w:footnoteReference w:id="2"/>
      </w:r>
      <w:r w:rsidRPr="003814DD">
        <w:rPr>
          <w:rFonts w:ascii="Verdana" w:hAnsi="Verdana"/>
          <w:sz w:val="24"/>
          <w:szCs w:val="24"/>
        </w:rPr>
        <w:t>.</w:t>
      </w:r>
    </w:p>
    <w:p w:rsidR="003814DD" w:rsidRPr="003814DD" w:rsidP="00B21006">
      <w:pPr>
        <w:spacing w:after="0" w:line="240" w:lineRule="auto"/>
        <w:rPr>
          <w:rFonts w:ascii="Verdana" w:hAnsi="Verdana"/>
          <w:sz w:val="24"/>
          <w:szCs w:val="24"/>
        </w:rPr>
      </w:pPr>
    </w:p>
    <w:p w:rsidR="003814DD" w:rsidRPr="003814DD" w:rsidP="00B21006">
      <w:pPr>
        <w:spacing w:after="0" w:line="240" w:lineRule="auto"/>
        <w:rPr>
          <w:rFonts w:ascii="Verdana" w:hAnsi="Verdana"/>
          <w:sz w:val="24"/>
          <w:szCs w:val="24"/>
        </w:rPr>
      </w:pPr>
      <w:r w:rsidRPr="003814DD">
        <w:rPr>
          <w:rFonts w:ascii="Verdana" w:hAnsi="Verdana"/>
          <w:sz w:val="24"/>
          <w:szCs w:val="24"/>
        </w:rPr>
        <w:t xml:space="preserve">We are continuing to explore how the implementation of the TCA impacts business throughout the UK, including </w:t>
      </w:r>
      <w:r w:rsidRPr="003814DD">
        <w:rPr>
          <w:rFonts w:ascii="Verdana" w:hAnsi="Verdana"/>
          <w:sz w:val="24"/>
          <w:szCs w:val="24"/>
        </w:rPr>
        <w:t xml:space="preserve">the impact </w:t>
      </w:r>
      <w:r w:rsidRPr="003814DD">
        <w:rPr>
          <w:rFonts w:ascii="Verdana" w:hAnsi="Verdana"/>
          <w:sz w:val="24"/>
          <w:szCs w:val="24"/>
        </w:rPr>
        <w:t xml:space="preserve">on services trade. </w:t>
      </w:r>
    </w:p>
    <w:p w:rsidR="003814DD" w:rsidRPr="003814DD" w:rsidP="00B21006">
      <w:pPr>
        <w:spacing w:after="0" w:line="240" w:lineRule="auto"/>
        <w:rPr>
          <w:rFonts w:ascii="Verdana" w:hAnsi="Verdana"/>
          <w:b/>
          <w:bCs/>
          <w:sz w:val="24"/>
          <w:szCs w:val="24"/>
        </w:rPr>
      </w:pPr>
    </w:p>
    <w:p w:rsidR="003814DD" w:rsidRPr="003814DD" w:rsidP="00B21006">
      <w:pPr>
        <w:spacing w:after="0" w:line="240" w:lineRule="auto"/>
        <w:rPr>
          <w:rFonts w:ascii="Verdana" w:hAnsi="Verdana"/>
          <w:b/>
          <w:bCs/>
          <w:sz w:val="24"/>
          <w:szCs w:val="24"/>
        </w:rPr>
      </w:pPr>
      <w:r w:rsidRPr="003814DD">
        <w:rPr>
          <w:rFonts w:ascii="Verdana" w:hAnsi="Verdana"/>
          <w:b/>
          <w:bCs/>
          <w:sz w:val="24"/>
          <w:szCs w:val="24"/>
        </w:rPr>
        <w:t xml:space="preserve">The UK </w:t>
      </w:r>
      <w:r w:rsidRPr="003814DD">
        <w:rPr>
          <w:rFonts w:ascii="Verdana" w:hAnsi="Verdana"/>
          <w:b/>
          <w:bCs/>
          <w:sz w:val="24"/>
          <w:szCs w:val="24"/>
        </w:rPr>
        <w:t>Government’s  proposed</w:t>
      </w:r>
      <w:r w:rsidRPr="003814DD">
        <w:rPr>
          <w:rFonts w:ascii="Verdana" w:hAnsi="Verdana"/>
          <w:b/>
          <w:bCs/>
          <w:sz w:val="24"/>
          <w:szCs w:val="24"/>
        </w:rPr>
        <w:t xml:space="preserve"> “Reset”</w:t>
      </w:r>
      <w:r w:rsidRPr="003814DD">
        <w:rPr>
          <w:rFonts w:ascii="Verdana" w:hAnsi="Verdana"/>
          <w:b/>
          <w:bCs/>
          <w:sz w:val="24"/>
          <w:szCs w:val="24"/>
        </w:rPr>
        <w:t xml:space="preserve"> and FRPS</w:t>
      </w:r>
    </w:p>
    <w:p w:rsidR="003814DD" w:rsidRPr="003814DD" w:rsidP="00C10C46">
      <w:pPr>
        <w:pStyle w:val="NoSpacing"/>
        <w:rPr>
          <w:rFonts w:ascii="Verdana" w:hAnsi="Verdana"/>
          <w:sz w:val="24"/>
          <w:szCs w:val="24"/>
        </w:rPr>
      </w:pPr>
    </w:p>
    <w:p w:rsidR="003814DD" w:rsidRPr="003814DD" w:rsidP="00C10C46">
      <w:pPr>
        <w:pStyle w:val="NoSpacing"/>
        <w:rPr>
          <w:rFonts w:ascii="Verdana" w:hAnsi="Verdana"/>
          <w:sz w:val="24"/>
          <w:szCs w:val="24"/>
        </w:rPr>
      </w:pPr>
      <w:r w:rsidRPr="003814DD">
        <w:rPr>
          <w:rFonts w:ascii="Verdana" w:hAnsi="Verdana"/>
          <w:sz w:val="24"/>
          <w:szCs w:val="24"/>
        </w:rPr>
        <w:t>Strengthening the EU-UK business relationship remains a top priority for the UK-based FRPS industry. We therefore warmly welcome the improved political climate and the efforts of the UK government to “</w:t>
      </w:r>
      <w:r w:rsidRPr="003814DD">
        <w:rPr>
          <w:rFonts w:ascii="Verdana" w:hAnsi="Verdana"/>
          <w:sz w:val="24"/>
          <w:szCs w:val="24"/>
        </w:rPr>
        <w:t>r</w:t>
      </w:r>
      <w:r w:rsidRPr="003814DD">
        <w:rPr>
          <w:rFonts w:ascii="Verdana" w:hAnsi="Verdana"/>
          <w:sz w:val="24"/>
          <w:szCs w:val="24"/>
        </w:rPr>
        <w:t>eset” and enhance relations with the EU.</w:t>
      </w:r>
    </w:p>
    <w:p w:rsidR="003814DD" w:rsidRPr="003814DD" w:rsidP="00C10C46">
      <w:pPr>
        <w:pStyle w:val="NoSpacing"/>
        <w:rPr>
          <w:rFonts w:ascii="Verdana" w:hAnsi="Verdana"/>
          <w:sz w:val="24"/>
          <w:szCs w:val="24"/>
        </w:rPr>
      </w:pPr>
    </w:p>
    <w:p w:rsidR="003814DD" w:rsidRPr="003814DD" w:rsidP="00C10C46">
      <w:pPr>
        <w:pStyle w:val="NoSpacing"/>
        <w:rPr>
          <w:rFonts w:ascii="Verdana" w:hAnsi="Verdana"/>
          <w:sz w:val="24"/>
          <w:szCs w:val="24"/>
        </w:rPr>
      </w:pPr>
      <w:r w:rsidRPr="003814DD">
        <w:rPr>
          <w:rFonts w:ascii="Verdana" w:hAnsi="Verdana"/>
          <w:sz w:val="24"/>
          <w:szCs w:val="24"/>
        </w:rPr>
        <w:t>Following</w:t>
      </w:r>
      <w:r w:rsidRPr="003814DD">
        <w:rPr>
          <w:rFonts w:ascii="Verdana" w:hAnsi="Verdana"/>
          <w:sz w:val="24"/>
          <w:szCs w:val="24"/>
        </w:rPr>
        <w:t xml:space="preserve"> the Joint Statement of 2 October </w:t>
      </w:r>
      <w:r w:rsidRPr="003814DD">
        <w:rPr>
          <w:rFonts w:ascii="Verdana" w:hAnsi="Verdana"/>
          <w:sz w:val="24"/>
          <w:szCs w:val="24"/>
        </w:rPr>
        <w:t xml:space="preserve">2024 </w:t>
      </w:r>
      <w:r w:rsidRPr="003814DD">
        <w:rPr>
          <w:rFonts w:ascii="Verdana" w:hAnsi="Verdana"/>
          <w:sz w:val="24"/>
          <w:szCs w:val="24"/>
        </w:rPr>
        <w:t xml:space="preserve">by the President of the </w:t>
      </w:r>
      <w:r w:rsidRPr="003814DD">
        <w:rPr>
          <w:rFonts w:ascii="Verdana" w:hAnsi="Verdana"/>
          <w:sz w:val="24"/>
          <w:szCs w:val="24"/>
        </w:rPr>
        <w:t>Commission and the UK Prime Minister on enhancing strategic cooperation</w:t>
      </w:r>
      <w:r>
        <w:rPr>
          <w:rFonts w:ascii="Verdana" w:hAnsi="Verdana"/>
          <w:sz w:val="24"/>
          <w:szCs w:val="24"/>
          <w:vertAlign w:val="superscript"/>
        </w:rPr>
        <w:footnoteReference w:id="3"/>
      </w:r>
      <w:r w:rsidRPr="003814DD">
        <w:rPr>
          <w:rFonts w:ascii="Verdana" w:hAnsi="Verdana"/>
          <w:sz w:val="24"/>
          <w:szCs w:val="24"/>
        </w:rPr>
        <w:t>,</w:t>
      </w:r>
      <w:r w:rsidRPr="003814DD">
        <w:rPr>
          <w:rFonts w:ascii="Verdana" w:hAnsi="Verdana"/>
          <w:sz w:val="24"/>
          <w:szCs w:val="24"/>
        </w:rPr>
        <w:t xml:space="preserve"> including a commitment to hold annual EU-UK Summits at leader-level</w:t>
      </w:r>
      <w:r w:rsidRPr="003814DD">
        <w:rPr>
          <w:rFonts w:ascii="Verdana" w:hAnsi="Verdana"/>
          <w:sz w:val="24"/>
          <w:szCs w:val="24"/>
        </w:rPr>
        <w:t xml:space="preserve">, we were pleased to see the date of the first </w:t>
      </w:r>
      <w:r w:rsidRPr="003814DD">
        <w:rPr>
          <w:rFonts w:ascii="Verdana" w:hAnsi="Verdana"/>
          <w:sz w:val="24"/>
          <w:szCs w:val="24"/>
        </w:rPr>
        <w:t xml:space="preserve">Leaders’ Summit </w:t>
      </w:r>
      <w:r w:rsidRPr="003814DD">
        <w:rPr>
          <w:rFonts w:ascii="Verdana" w:hAnsi="Verdana"/>
          <w:sz w:val="24"/>
          <w:szCs w:val="24"/>
        </w:rPr>
        <w:t xml:space="preserve">meeting </w:t>
      </w:r>
      <w:r w:rsidRPr="003814DD">
        <w:rPr>
          <w:rFonts w:ascii="Verdana" w:hAnsi="Verdana"/>
          <w:sz w:val="24"/>
          <w:szCs w:val="24"/>
        </w:rPr>
        <w:t>confirmed for 1</w:t>
      </w:r>
      <w:r w:rsidRPr="003814DD">
        <w:rPr>
          <w:rFonts w:ascii="Verdana" w:hAnsi="Verdana"/>
          <w:sz w:val="24"/>
          <w:szCs w:val="24"/>
        </w:rPr>
        <w:t>9</w:t>
      </w:r>
      <w:r w:rsidRPr="003814DD">
        <w:rPr>
          <w:rFonts w:ascii="Verdana" w:hAnsi="Verdana"/>
          <w:sz w:val="24"/>
          <w:szCs w:val="24"/>
          <w:vertAlign w:val="superscript"/>
        </w:rPr>
        <w:t>th</w:t>
      </w:r>
      <w:r w:rsidRPr="003814DD">
        <w:rPr>
          <w:rFonts w:ascii="Verdana" w:hAnsi="Verdana"/>
          <w:sz w:val="24"/>
          <w:szCs w:val="24"/>
        </w:rPr>
        <w:t xml:space="preserve"> </w:t>
      </w:r>
      <w:r w:rsidRPr="003814DD">
        <w:rPr>
          <w:rFonts w:ascii="Verdana" w:hAnsi="Verdana"/>
          <w:sz w:val="24"/>
          <w:szCs w:val="24"/>
        </w:rPr>
        <w:t>May</w:t>
      </w:r>
      <w:r w:rsidRPr="003814DD">
        <w:rPr>
          <w:rFonts w:ascii="Verdana" w:hAnsi="Verdana"/>
          <w:sz w:val="24"/>
          <w:szCs w:val="24"/>
        </w:rPr>
        <w:t xml:space="preserve"> 2025</w:t>
      </w:r>
      <w:r w:rsidRPr="003814DD">
        <w:rPr>
          <w:rFonts w:ascii="Verdana" w:hAnsi="Verdana"/>
          <w:sz w:val="24"/>
          <w:szCs w:val="24"/>
        </w:rPr>
        <w:t xml:space="preserve">. </w:t>
      </w:r>
      <w:r w:rsidRPr="003814DD">
        <w:rPr>
          <w:rFonts w:ascii="Verdana" w:hAnsi="Verdana"/>
          <w:sz w:val="24"/>
          <w:szCs w:val="24"/>
        </w:rPr>
        <w:t xml:space="preserve">We </w:t>
      </w:r>
      <w:r w:rsidRPr="003814DD">
        <w:rPr>
          <w:rFonts w:ascii="Verdana" w:hAnsi="Verdana"/>
          <w:sz w:val="24"/>
          <w:szCs w:val="24"/>
        </w:rPr>
        <w:t>see this as a positive development which should provide a platform to advance the relationship further</w:t>
      </w:r>
      <w:r w:rsidRPr="003814DD">
        <w:rPr>
          <w:rFonts w:ascii="Verdana" w:hAnsi="Verdana"/>
          <w:sz w:val="24"/>
          <w:szCs w:val="24"/>
        </w:rPr>
        <w:t>.</w:t>
      </w:r>
    </w:p>
    <w:p w:rsidR="003814DD" w:rsidRPr="003814DD" w:rsidP="00C10C46">
      <w:pPr>
        <w:pStyle w:val="NoSpacing"/>
        <w:rPr>
          <w:rFonts w:ascii="Verdana" w:hAnsi="Verdana"/>
          <w:sz w:val="24"/>
          <w:szCs w:val="24"/>
        </w:rPr>
      </w:pPr>
    </w:p>
    <w:p w:rsidR="003814DD" w:rsidRPr="003814DD" w:rsidP="00C10C46">
      <w:pPr>
        <w:pStyle w:val="NoSpacing"/>
        <w:rPr>
          <w:rFonts w:ascii="Verdana" w:hAnsi="Verdana"/>
          <w:sz w:val="24"/>
          <w:szCs w:val="24"/>
        </w:rPr>
      </w:pPr>
      <w:r w:rsidRPr="003814DD">
        <w:rPr>
          <w:rFonts w:ascii="Verdana" w:hAnsi="Verdana"/>
          <w:sz w:val="24"/>
          <w:szCs w:val="24"/>
        </w:rPr>
        <w:t xml:space="preserve">TheCityUK and the </w:t>
      </w:r>
      <w:r w:rsidRPr="003814DD">
        <w:rPr>
          <w:rFonts w:ascii="Verdana" w:hAnsi="Verdana"/>
          <w:sz w:val="24"/>
          <w:szCs w:val="24"/>
        </w:rPr>
        <w:t>IRSG</w:t>
      </w:r>
      <w:r w:rsidRPr="003814DD">
        <w:rPr>
          <w:rFonts w:ascii="Verdana" w:hAnsi="Verdana"/>
          <w:sz w:val="24"/>
          <w:szCs w:val="24"/>
        </w:rPr>
        <w:t xml:space="preserve"> support the government’s initiative to foster closer UK-EU ties through shared challenges and a security-focused approach. </w:t>
      </w:r>
      <w:r w:rsidRPr="003814DD">
        <w:rPr>
          <w:rFonts w:ascii="Verdana" w:hAnsi="Verdana"/>
          <w:sz w:val="24"/>
          <w:szCs w:val="24"/>
        </w:rPr>
        <w:t xml:space="preserve">As trust in the relationship is rebuilt, the challenge will be to move from the transactional post-Brexit environment towards a more dynamic partnership, </w:t>
      </w:r>
      <w:r w:rsidRPr="003814DD">
        <w:rPr>
          <w:rFonts w:ascii="Verdana" w:hAnsi="Verdana"/>
          <w:sz w:val="24"/>
          <w:szCs w:val="24"/>
        </w:rPr>
        <w:t>reflecting the</w:t>
      </w:r>
      <w:r w:rsidRPr="003814DD">
        <w:rPr>
          <w:rFonts w:ascii="Verdana" w:hAnsi="Verdana"/>
          <w:sz w:val="24"/>
          <w:szCs w:val="24"/>
        </w:rPr>
        <w:t xml:space="preserve"> commercial and strategic value of the relationship, the challenging global environment, and the UK’s new role within Europe but outside the EU.</w:t>
      </w:r>
    </w:p>
    <w:p w:rsidR="003814DD" w:rsidRPr="003814DD" w:rsidP="00C10C46">
      <w:pPr>
        <w:pStyle w:val="NoSpacing"/>
        <w:rPr>
          <w:rFonts w:ascii="Verdana" w:hAnsi="Verdana"/>
          <w:sz w:val="24"/>
          <w:szCs w:val="24"/>
        </w:rPr>
      </w:pPr>
    </w:p>
    <w:p w:rsidR="003814DD" w:rsidRPr="003814DD" w:rsidP="00C10C46">
      <w:pPr>
        <w:pStyle w:val="NoSpacing"/>
        <w:rPr>
          <w:rFonts w:ascii="Verdana" w:hAnsi="Verdana"/>
          <w:sz w:val="24"/>
          <w:szCs w:val="24"/>
        </w:rPr>
      </w:pPr>
      <w:r w:rsidRPr="003814DD">
        <w:rPr>
          <w:rFonts w:ascii="Verdana" w:hAnsi="Verdana"/>
          <w:sz w:val="24"/>
          <w:szCs w:val="24"/>
        </w:rPr>
        <w:t xml:space="preserve">Events over </w:t>
      </w:r>
      <w:r w:rsidRPr="003814DD">
        <w:rPr>
          <w:rFonts w:ascii="Verdana" w:hAnsi="Verdana"/>
          <w:sz w:val="24"/>
          <w:szCs w:val="24"/>
        </w:rPr>
        <w:t xml:space="preserve">recent </w:t>
      </w:r>
      <w:r w:rsidRPr="003814DD">
        <w:rPr>
          <w:rFonts w:ascii="Verdana" w:hAnsi="Verdana"/>
          <w:sz w:val="24"/>
          <w:szCs w:val="24"/>
        </w:rPr>
        <w:t>weeks</w:t>
      </w:r>
      <w:r w:rsidRPr="003814DD">
        <w:rPr>
          <w:rFonts w:ascii="Verdana" w:hAnsi="Verdana"/>
          <w:sz w:val="24"/>
          <w:szCs w:val="24"/>
        </w:rPr>
        <w:t xml:space="preserve"> have served to further reinforce that t</w:t>
      </w:r>
      <w:r w:rsidRPr="003814DD">
        <w:rPr>
          <w:rFonts w:ascii="Verdana" w:hAnsi="Verdana"/>
          <w:sz w:val="24"/>
          <w:szCs w:val="24"/>
        </w:rPr>
        <w:t xml:space="preserve">he UK and the EU will need to work together to address the big challenges of the coming decades – </w:t>
      </w:r>
      <w:r w:rsidRPr="003814DD">
        <w:rPr>
          <w:rFonts w:ascii="Verdana" w:hAnsi="Verdana"/>
          <w:sz w:val="24"/>
          <w:szCs w:val="24"/>
        </w:rPr>
        <w:t>ongoing conflicts (and the result</w:t>
      </w:r>
      <w:r w:rsidRPr="003814DD">
        <w:rPr>
          <w:rFonts w:ascii="Verdana" w:hAnsi="Verdana"/>
          <w:sz w:val="24"/>
          <w:szCs w:val="24"/>
        </w:rPr>
        <w:t xml:space="preserve">ing </w:t>
      </w:r>
      <w:r w:rsidRPr="003814DD">
        <w:rPr>
          <w:rFonts w:ascii="Verdana" w:hAnsi="Verdana"/>
          <w:sz w:val="24"/>
          <w:szCs w:val="24"/>
        </w:rPr>
        <w:t>increased defence procurement and funding needs</w:t>
      </w:r>
      <w:r w:rsidRPr="003814DD">
        <w:rPr>
          <w:rFonts w:ascii="Verdana" w:hAnsi="Verdana"/>
          <w:sz w:val="24"/>
          <w:szCs w:val="24"/>
        </w:rPr>
        <w:t xml:space="preserve"> in the UK and across Europe gen</w:t>
      </w:r>
      <w:r w:rsidRPr="003814DD">
        <w:rPr>
          <w:rFonts w:ascii="Verdana" w:hAnsi="Verdana"/>
          <w:sz w:val="24"/>
          <w:szCs w:val="24"/>
        </w:rPr>
        <w:t>e</w:t>
      </w:r>
      <w:r w:rsidRPr="003814DD">
        <w:rPr>
          <w:rFonts w:ascii="Verdana" w:hAnsi="Verdana"/>
          <w:sz w:val="24"/>
          <w:szCs w:val="24"/>
        </w:rPr>
        <w:t>rally</w:t>
      </w:r>
      <w:r w:rsidRPr="003814DD">
        <w:rPr>
          <w:rFonts w:ascii="Verdana" w:hAnsi="Verdana"/>
          <w:sz w:val="24"/>
          <w:szCs w:val="24"/>
        </w:rPr>
        <w:t>)</w:t>
      </w:r>
      <w:r w:rsidRPr="003814DD">
        <w:rPr>
          <w:rFonts w:ascii="Verdana" w:hAnsi="Verdana"/>
          <w:sz w:val="24"/>
          <w:szCs w:val="24"/>
        </w:rPr>
        <w:t xml:space="preserve">, </w:t>
      </w:r>
      <w:r w:rsidRPr="003814DD">
        <w:rPr>
          <w:rFonts w:ascii="Verdana" w:hAnsi="Verdana"/>
          <w:sz w:val="24"/>
          <w:szCs w:val="24"/>
        </w:rPr>
        <w:t xml:space="preserve">demographic shifts, energy transition, </w:t>
      </w:r>
      <w:r w:rsidRPr="003814DD">
        <w:rPr>
          <w:rFonts w:ascii="Verdana" w:hAnsi="Verdana"/>
          <w:sz w:val="24"/>
          <w:szCs w:val="24"/>
        </w:rPr>
        <w:t>the challenge to</w:t>
      </w:r>
      <w:r w:rsidRPr="003814DD">
        <w:rPr>
          <w:rFonts w:ascii="Verdana" w:hAnsi="Verdana"/>
          <w:sz w:val="24"/>
          <w:szCs w:val="24"/>
        </w:rPr>
        <w:t xml:space="preserve"> </w:t>
      </w:r>
      <w:r w:rsidRPr="003814DD">
        <w:rPr>
          <w:rFonts w:ascii="Verdana" w:hAnsi="Verdana"/>
          <w:sz w:val="24"/>
          <w:szCs w:val="24"/>
        </w:rPr>
        <w:t xml:space="preserve">Europe’s innovative </w:t>
      </w:r>
      <w:r w:rsidRPr="003814DD">
        <w:rPr>
          <w:rFonts w:ascii="Verdana" w:hAnsi="Verdana"/>
          <w:sz w:val="24"/>
          <w:szCs w:val="24"/>
        </w:rPr>
        <w:t>businesses</w:t>
      </w:r>
      <w:r w:rsidRPr="003814DD">
        <w:rPr>
          <w:rFonts w:ascii="Verdana" w:hAnsi="Verdana"/>
          <w:sz w:val="24"/>
          <w:szCs w:val="24"/>
        </w:rPr>
        <w:t xml:space="preserve"> </w:t>
      </w:r>
      <w:r w:rsidRPr="003814DD">
        <w:rPr>
          <w:rFonts w:ascii="Verdana" w:hAnsi="Verdana"/>
          <w:sz w:val="24"/>
          <w:szCs w:val="24"/>
        </w:rPr>
        <w:t>to scale up, and the increasing geopolitical competition and regionalisation of global trade</w:t>
      </w:r>
      <w:r w:rsidRPr="003814DD">
        <w:rPr>
          <w:rFonts w:ascii="Verdana" w:hAnsi="Verdana"/>
          <w:sz w:val="24"/>
          <w:szCs w:val="24"/>
        </w:rPr>
        <w:t xml:space="preserve">. </w:t>
      </w:r>
      <w:r w:rsidRPr="003814DD">
        <w:rPr>
          <w:rFonts w:ascii="Verdana" w:hAnsi="Verdana"/>
          <w:sz w:val="24"/>
          <w:szCs w:val="24"/>
        </w:rPr>
        <w:t xml:space="preserve"> </w:t>
      </w:r>
      <w:r w:rsidRPr="003814DD">
        <w:rPr>
          <w:rFonts w:ascii="Verdana" w:hAnsi="Verdana"/>
          <w:sz w:val="24"/>
          <w:szCs w:val="24"/>
        </w:rPr>
        <w:t>T</w:t>
      </w:r>
      <w:r w:rsidRPr="003814DD">
        <w:rPr>
          <w:rFonts w:ascii="Verdana" w:hAnsi="Verdana"/>
          <w:sz w:val="24"/>
          <w:szCs w:val="24"/>
        </w:rPr>
        <w:t xml:space="preserve">he </w:t>
      </w:r>
      <w:r w:rsidRPr="003814DD">
        <w:rPr>
          <w:rFonts w:ascii="Verdana" w:hAnsi="Verdana"/>
          <w:sz w:val="24"/>
          <w:szCs w:val="24"/>
        </w:rPr>
        <w:t>enabling role</w:t>
      </w:r>
      <w:r w:rsidRPr="003814DD">
        <w:rPr>
          <w:rFonts w:ascii="Verdana" w:hAnsi="Verdana"/>
          <w:sz w:val="24"/>
          <w:szCs w:val="24"/>
        </w:rPr>
        <w:t xml:space="preserve"> of </w:t>
      </w:r>
      <w:r w:rsidRPr="003814DD">
        <w:rPr>
          <w:rFonts w:ascii="Verdana" w:hAnsi="Verdana"/>
          <w:sz w:val="24"/>
          <w:szCs w:val="24"/>
        </w:rPr>
        <w:t xml:space="preserve">the </w:t>
      </w:r>
      <w:r w:rsidRPr="003814DD">
        <w:rPr>
          <w:rFonts w:ascii="Verdana" w:hAnsi="Verdana"/>
          <w:sz w:val="24"/>
          <w:szCs w:val="24"/>
        </w:rPr>
        <w:t>FRPS</w:t>
      </w:r>
      <w:r w:rsidRPr="003814DD">
        <w:rPr>
          <w:rFonts w:ascii="Verdana" w:hAnsi="Verdana"/>
          <w:sz w:val="24"/>
          <w:szCs w:val="24"/>
        </w:rPr>
        <w:t xml:space="preserve"> industry</w:t>
      </w:r>
      <w:r w:rsidRPr="003814DD">
        <w:rPr>
          <w:rFonts w:ascii="Verdana" w:hAnsi="Verdana"/>
          <w:sz w:val="24"/>
          <w:szCs w:val="24"/>
        </w:rPr>
        <w:t xml:space="preserve"> on both sides</w:t>
      </w:r>
      <w:r w:rsidRPr="003814DD">
        <w:rPr>
          <w:rFonts w:ascii="Verdana" w:hAnsi="Verdana"/>
          <w:sz w:val="24"/>
          <w:szCs w:val="24"/>
        </w:rPr>
        <w:t xml:space="preserve"> wi</w:t>
      </w:r>
      <w:r w:rsidRPr="003814DD">
        <w:rPr>
          <w:rFonts w:ascii="Verdana" w:hAnsi="Verdana"/>
          <w:sz w:val="24"/>
          <w:szCs w:val="24"/>
        </w:rPr>
        <w:t xml:space="preserve">ll be crucial </w:t>
      </w:r>
      <w:r w:rsidRPr="003814DD">
        <w:rPr>
          <w:rFonts w:ascii="Verdana" w:hAnsi="Verdana"/>
          <w:sz w:val="24"/>
          <w:szCs w:val="24"/>
        </w:rPr>
        <w:t>to tackl</w:t>
      </w:r>
      <w:r w:rsidRPr="003814DD">
        <w:rPr>
          <w:rFonts w:ascii="Verdana" w:hAnsi="Verdana"/>
          <w:sz w:val="24"/>
          <w:szCs w:val="24"/>
        </w:rPr>
        <w:t>ing</w:t>
      </w:r>
      <w:r w:rsidRPr="003814DD">
        <w:rPr>
          <w:rFonts w:ascii="Verdana" w:hAnsi="Verdana"/>
          <w:sz w:val="24"/>
          <w:szCs w:val="24"/>
        </w:rPr>
        <w:t xml:space="preserve"> these transformative challenges and driv</w:t>
      </w:r>
      <w:r w:rsidRPr="003814DD">
        <w:rPr>
          <w:rFonts w:ascii="Verdana" w:hAnsi="Verdana"/>
          <w:sz w:val="24"/>
          <w:szCs w:val="24"/>
        </w:rPr>
        <w:t>ing</w:t>
      </w:r>
      <w:r w:rsidRPr="003814DD">
        <w:rPr>
          <w:rFonts w:ascii="Verdana" w:hAnsi="Verdana"/>
          <w:sz w:val="24"/>
          <w:szCs w:val="24"/>
        </w:rPr>
        <w:t xml:space="preserve"> economic growth throughout</w:t>
      </w:r>
      <w:r w:rsidRPr="003814DD">
        <w:rPr>
          <w:rFonts w:ascii="Verdana" w:hAnsi="Verdana"/>
          <w:sz w:val="24"/>
          <w:szCs w:val="24"/>
        </w:rPr>
        <w:t>.</w:t>
      </w:r>
      <w:r w:rsidRPr="003814DD">
        <w:rPr>
          <w:rFonts w:ascii="Verdana" w:hAnsi="Verdana"/>
          <w:sz w:val="24"/>
          <w:szCs w:val="24"/>
        </w:rPr>
        <w:t xml:space="preserve"> </w:t>
      </w:r>
    </w:p>
    <w:p w:rsidR="003814DD" w:rsidRPr="003814DD" w:rsidP="00C10C46">
      <w:pPr>
        <w:pStyle w:val="NoSpacing"/>
        <w:rPr>
          <w:rFonts w:ascii="Verdana" w:hAnsi="Verdana"/>
          <w:sz w:val="24"/>
          <w:szCs w:val="24"/>
        </w:rPr>
      </w:pPr>
    </w:p>
    <w:p w:rsidR="003814DD" w:rsidRPr="003814DD" w:rsidP="00C10C46">
      <w:pPr>
        <w:pStyle w:val="NoSpacing"/>
        <w:rPr>
          <w:rFonts w:ascii="Verdana" w:hAnsi="Verdana"/>
          <w:sz w:val="24"/>
          <w:szCs w:val="24"/>
        </w:rPr>
      </w:pPr>
      <w:r w:rsidRPr="003814DD">
        <w:rPr>
          <w:rFonts w:ascii="Verdana" w:hAnsi="Verdana"/>
          <w:sz w:val="24"/>
          <w:szCs w:val="24"/>
        </w:rPr>
        <w:t>The FRPS industry</w:t>
      </w:r>
      <w:r w:rsidRPr="003814DD">
        <w:rPr>
          <w:rFonts w:ascii="Verdana" w:hAnsi="Verdana"/>
          <w:sz w:val="24"/>
          <w:szCs w:val="24"/>
        </w:rPr>
        <w:t xml:space="preserve"> should therefore </w:t>
      </w:r>
      <w:r w:rsidRPr="003814DD">
        <w:rPr>
          <w:rFonts w:ascii="Verdana" w:hAnsi="Verdana"/>
          <w:sz w:val="24"/>
          <w:szCs w:val="24"/>
        </w:rPr>
        <w:t>be a key item</w:t>
      </w:r>
      <w:r w:rsidRPr="003814DD">
        <w:rPr>
          <w:rFonts w:ascii="Verdana" w:hAnsi="Verdana"/>
          <w:sz w:val="24"/>
          <w:szCs w:val="24"/>
        </w:rPr>
        <w:t xml:space="preserve"> in the discussions of the </w:t>
      </w:r>
      <w:r w:rsidRPr="003814DD">
        <w:rPr>
          <w:rFonts w:ascii="Verdana" w:hAnsi="Verdana"/>
          <w:sz w:val="24"/>
          <w:szCs w:val="24"/>
        </w:rPr>
        <w:t>R</w:t>
      </w:r>
      <w:r w:rsidRPr="003814DD">
        <w:rPr>
          <w:rFonts w:ascii="Verdana" w:hAnsi="Verdana"/>
          <w:sz w:val="24"/>
          <w:szCs w:val="24"/>
        </w:rPr>
        <w:t xml:space="preserve">eset </w:t>
      </w:r>
      <w:r w:rsidRPr="003814DD">
        <w:rPr>
          <w:rFonts w:ascii="Verdana" w:hAnsi="Verdana"/>
          <w:sz w:val="24"/>
          <w:szCs w:val="24"/>
        </w:rPr>
        <w:t>at and after</w:t>
      </w:r>
      <w:r w:rsidRPr="003814DD">
        <w:rPr>
          <w:rFonts w:ascii="Verdana" w:hAnsi="Verdana"/>
          <w:sz w:val="24"/>
          <w:szCs w:val="24"/>
        </w:rPr>
        <w:t xml:space="preserve"> the first </w:t>
      </w:r>
      <w:r w:rsidRPr="003814DD">
        <w:rPr>
          <w:rFonts w:ascii="Verdana" w:hAnsi="Verdana"/>
          <w:sz w:val="24"/>
          <w:szCs w:val="24"/>
        </w:rPr>
        <w:t>L</w:t>
      </w:r>
      <w:r w:rsidRPr="003814DD">
        <w:rPr>
          <w:rFonts w:ascii="Verdana" w:hAnsi="Verdana"/>
          <w:sz w:val="24"/>
          <w:szCs w:val="24"/>
        </w:rPr>
        <w:t>eaders’</w:t>
      </w:r>
      <w:r w:rsidRPr="003814DD">
        <w:rPr>
          <w:rFonts w:ascii="Verdana" w:hAnsi="Verdana"/>
          <w:sz w:val="24"/>
          <w:szCs w:val="24"/>
        </w:rPr>
        <w:t xml:space="preserve"> </w:t>
      </w:r>
      <w:r w:rsidRPr="003814DD">
        <w:rPr>
          <w:rFonts w:ascii="Verdana" w:hAnsi="Verdana"/>
          <w:sz w:val="24"/>
          <w:szCs w:val="24"/>
        </w:rPr>
        <w:t>S</w:t>
      </w:r>
      <w:r w:rsidRPr="003814DD">
        <w:rPr>
          <w:rFonts w:ascii="Verdana" w:hAnsi="Verdana"/>
          <w:sz w:val="24"/>
          <w:szCs w:val="24"/>
        </w:rPr>
        <w:t>ummit on 19</w:t>
      </w:r>
      <w:r w:rsidRPr="003814DD">
        <w:rPr>
          <w:rFonts w:ascii="Verdana" w:hAnsi="Verdana"/>
          <w:sz w:val="24"/>
          <w:szCs w:val="24"/>
          <w:vertAlign w:val="superscript"/>
        </w:rPr>
        <w:t>th</w:t>
      </w:r>
      <w:r w:rsidRPr="003814DD">
        <w:rPr>
          <w:rFonts w:ascii="Verdana" w:hAnsi="Verdana"/>
          <w:sz w:val="24"/>
          <w:szCs w:val="24"/>
        </w:rPr>
        <w:t xml:space="preserve"> May</w:t>
      </w:r>
      <w:r w:rsidRPr="003814DD">
        <w:rPr>
          <w:rFonts w:ascii="Verdana" w:hAnsi="Verdana"/>
          <w:sz w:val="24"/>
          <w:szCs w:val="24"/>
        </w:rPr>
        <w:t xml:space="preserve">, with </w:t>
      </w:r>
      <w:r w:rsidRPr="003814DD">
        <w:rPr>
          <w:rFonts w:ascii="Verdana" w:hAnsi="Verdana"/>
          <w:sz w:val="24"/>
          <w:szCs w:val="24"/>
        </w:rPr>
        <w:t xml:space="preserve">a </w:t>
      </w:r>
      <w:r w:rsidRPr="003814DD">
        <w:rPr>
          <w:rFonts w:ascii="Verdana" w:hAnsi="Verdana"/>
          <w:sz w:val="24"/>
          <w:szCs w:val="24"/>
        </w:rPr>
        <w:t xml:space="preserve">view to achieving a </w:t>
      </w:r>
      <w:r w:rsidRPr="003814DD">
        <w:rPr>
          <w:rFonts w:ascii="Verdana" w:hAnsi="Verdana"/>
          <w:sz w:val="24"/>
          <w:szCs w:val="24"/>
        </w:rPr>
        <w:t xml:space="preserve">mutual European understanding that boosting competitiveness and growth in Europe </w:t>
      </w:r>
      <w:r w:rsidRPr="003814DD">
        <w:rPr>
          <w:rFonts w:ascii="Verdana" w:hAnsi="Verdana"/>
          <w:sz w:val="24"/>
          <w:szCs w:val="24"/>
        </w:rPr>
        <w:t xml:space="preserve">will bring positive results for all and </w:t>
      </w:r>
      <w:r w:rsidRPr="003814DD">
        <w:rPr>
          <w:rFonts w:ascii="Verdana" w:hAnsi="Verdana"/>
          <w:sz w:val="24"/>
          <w:szCs w:val="24"/>
        </w:rPr>
        <w:t xml:space="preserve">is not a zero-sum game between the EU and the UK. Closer collaboration on financial and related professional services will </w:t>
      </w:r>
      <w:r w:rsidRPr="003814DD">
        <w:rPr>
          <w:rFonts w:ascii="Verdana" w:hAnsi="Verdana"/>
          <w:sz w:val="24"/>
          <w:szCs w:val="24"/>
        </w:rPr>
        <w:t xml:space="preserve">bring </w:t>
      </w:r>
      <w:r w:rsidRPr="003814DD">
        <w:rPr>
          <w:rFonts w:ascii="Verdana" w:hAnsi="Verdana"/>
          <w:sz w:val="24"/>
          <w:szCs w:val="24"/>
        </w:rPr>
        <w:t>many benefits</w:t>
      </w:r>
      <w:r w:rsidRPr="003814DD">
        <w:rPr>
          <w:rFonts w:ascii="Verdana" w:hAnsi="Verdana"/>
          <w:sz w:val="24"/>
          <w:szCs w:val="24"/>
        </w:rPr>
        <w:t xml:space="preserve"> including</w:t>
      </w:r>
      <w:r w:rsidRPr="003814DD">
        <w:rPr>
          <w:rFonts w:ascii="Verdana" w:hAnsi="Verdana"/>
          <w:sz w:val="24"/>
          <w:szCs w:val="24"/>
        </w:rPr>
        <w:t xml:space="preserve"> </w:t>
      </w:r>
      <w:r w:rsidRPr="003814DD">
        <w:rPr>
          <w:rFonts w:ascii="Verdana" w:hAnsi="Verdana"/>
          <w:sz w:val="24"/>
          <w:szCs w:val="24"/>
        </w:rPr>
        <w:t>lower</w:t>
      </w:r>
      <w:r w:rsidRPr="003814DD">
        <w:rPr>
          <w:rFonts w:ascii="Verdana" w:hAnsi="Verdana"/>
          <w:sz w:val="24"/>
          <w:szCs w:val="24"/>
        </w:rPr>
        <w:t>ing</w:t>
      </w:r>
      <w:r w:rsidRPr="003814DD">
        <w:rPr>
          <w:rFonts w:ascii="Verdana" w:hAnsi="Verdana"/>
          <w:sz w:val="24"/>
          <w:szCs w:val="24"/>
        </w:rPr>
        <w:t xml:space="preserve"> the cost of capital and serv</w:t>
      </w:r>
      <w:r w:rsidRPr="003814DD">
        <w:rPr>
          <w:rFonts w:ascii="Verdana" w:hAnsi="Verdana"/>
          <w:sz w:val="24"/>
          <w:szCs w:val="24"/>
        </w:rPr>
        <w:t>ing</w:t>
      </w:r>
      <w:r w:rsidRPr="003814DD">
        <w:rPr>
          <w:rFonts w:ascii="Verdana" w:hAnsi="Verdana"/>
          <w:sz w:val="24"/>
          <w:szCs w:val="24"/>
        </w:rPr>
        <w:t xml:space="preserve"> to enhance</w:t>
      </w:r>
      <w:r w:rsidRPr="003814DD">
        <w:rPr>
          <w:rFonts w:ascii="Verdana" w:hAnsi="Verdana"/>
          <w:sz w:val="24"/>
          <w:szCs w:val="24"/>
        </w:rPr>
        <w:t xml:space="preserve"> growth,</w:t>
      </w:r>
      <w:r w:rsidRPr="003814DD">
        <w:rPr>
          <w:rFonts w:ascii="Verdana" w:hAnsi="Verdana"/>
          <w:sz w:val="24"/>
          <w:szCs w:val="24"/>
        </w:rPr>
        <w:t xml:space="preserve"> </w:t>
      </w:r>
      <w:r w:rsidRPr="003814DD">
        <w:rPr>
          <w:rFonts w:ascii="Verdana" w:hAnsi="Verdana"/>
          <w:sz w:val="24"/>
          <w:szCs w:val="24"/>
        </w:rPr>
        <w:t xml:space="preserve">competitiveness, economic </w:t>
      </w:r>
      <w:r w:rsidRPr="003814DD">
        <w:rPr>
          <w:rFonts w:ascii="Verdana" w:hAnsi="Verdana"/>
          <w:sz w:val="24"/>
          <w:szCs w:val="24"/>
        </w:rPr>
        <w:t>security,</w:t>
      </w:r>
      <w:r w:rsidRPr="003814DD">
        <w:rPr>
          <w:rFonts w:ascii="Verdana" w:hAnsi="Verdana"/>
          <w:sz w:val="24"/>
          <w:szCs w:val="24"/>
        </w:rPr>
        <w:t xml:space="preserve"> and resilience across Europe.</w:t>
      </w:r>
    </w:p>
    <w:p w:rsidR="003814DD" w:rsidRPr="003814DD" w:rsidP="00C10C46">
      <w:pPr>
        <w:pStyle w:val="NoSpacing"/>
        <w:rPr>
          <w:rFonts w:ascii="Verdana" w:hAnsi="Verdana"/>
          <w:sz w:val="24"/>
          <w:szCs w:val="24"/>
        </w:rPr>
      </w:pPr>
    </w:p>
    <w:p w:rsidR="003814DD" w:rsidRPr="003814DD" w:rsidP="00C10C46">
      <w:pPr>
        <w:pStyle w:val="NoSpacing"/>
        <w:rPr>
          <w:rFonts w:ascii="Verdana" w:hAnsi="Verdana"/>
          <w:sz w:val="24"/>
          <w:szCs w:val="24"/>
        </w:rPr>
      </w:pPr>
      <w:r w:rsidRPr="003814DD">
        <w:rPr>
          <w:rFonts w:ascii="Verdana" w:hAnsi="Verdana"/>
          <w:sz w:val="24"/>
          <w:szCs w:val="24"/>
        </w:rPr>
        <w:t xml:space="preserve">Industry and government, when engaging </w:t>
      </w:r>
      <w:r w:rsidRPr="003814DD">
        <w:rPr>
          <w:rFonts w:ascii="Verdana" w:hAnsi="Verdana"/>
          <w:sz w:val="24"/>
          <w:szCs w:val="24"/>
        </w:rPr>
        <w:t xml:space="preserve">with European capitals and </w:t>
      </w:r>
      <w:r w:rsidRPr="003814DD">
        <w:rPr>
          <w:rFonts w:ascii="Verdana" w:hAnsi="Verdana"/>
          <w:sz w:val="24"/>
          <w:szCs w:val="24"/>
        </w:rPr>
        <w:t xml:space="preserve">the EU institutions, </w:t>
      </w:r>
      <w:r w:rsidRPr="003814DD">
        <w:rPr>
          <w:rFonts w:ascii="Verdana" w:hAnsi="Verdana"/>
          <w:sz w:val="24"/>
          <w:szCs w:val="24"/>
        </w:rPr>
        <w:t xml:space="preserve">therefore </w:t>
      </w:r>
      <w:r w:rsidRPr="003814DD">
        <w:rPr>
          <w:rFonts w:ascii="Verdana" w:hAnsi="Verdana"/>
          <w:sz w:val="24"/>
          <w:szCs w:val="24"/>
        </w:rPr>
        <w:t xml:space="preserve">need </w:t>
      </w:r>
      <w:r w:rsidRPr="003814DD">
        <w:rPr>
          <w:rFonts w:ascii="Verdana" w:hAnsi="Verdana"/>
          <w:sz w:val="24"/>
          <w:szCs w:val="24"/>
        </w:rPr>
        <w:t xml:space="preserve">to </w:t>
      </w:r>
      <w:r w:rsidRPr="003814DD">
        <w:rPr>
          <w:rFonts w:ascii="Verdana" w:hAnsi="Verdana"/>
          <w:sz w:val="24"/>
          <w:szCs w:val="24"/>
        </w:rPr>
        <w:t xml:space="preserve">continue to </w:t>
      </w:r>
      <w:r w:rsidRPr="003814DD">
        <w:rPr>
          <w:rFonts w:ascii="Verdana" w:hAnsi="Verdana"/>
          <w:sz w:val="24"/>
          <w:szCs w:val="24"/>
        </w:rPr>
        <w:t>underline that further fragmentation of European financial services markets and capabilities is lose-</w:t>
      </w:r>
      <w:r w:rsidRPr="003814DD">
        <w:rPr>
          <w:rFonts w:ascii="Verdana" w:hAnsi="Verdana"/>
          <w:sz w:val="24"/>
          <w:szCs w:val="24"/>
        </w:rPr>
        <w:t>lose</w:t>
      </w:r>
      <w:r w:rsidRPr="003814DD">
        <w:rPr>
          <w:rFonts w:ascii="Verdana" w:hAnsi="Verdana"/>
          <w:sz w:val="24"/>
          <w:szCs w:val="24"/>
        </w:rPr>
        <w:t xml:space="preserve">. </w:t>
      </w:r>
      <w:r w:rsidRPr="003814DD">
        <w:rPr>
          <w:rFonts w:ascii="Verdana" w:hAnsi="Verdana"/>
          <w:sz w:val="24"/>
          <w:szCs w:val="24"/>
        </w:rPr>
        <w:t xml:space="preserve">As documented </w:t>
      </w:r>
      <w:r w:rsidRPr="003814DD">
        <w:rPr>
          <w:rFonts w:ascii="Verdana" w:hAnsi="Verdana"/>
          <w:sz w:val="24"/>
          <w:szCs w:val="24"/>
        </w:rPr>
        <w:t xml:space="preserve">in relation to the EU </w:t>
      </w:r>
      <w:r w:rsidRPr="003814DD">
        <w:rPr>
          <w:rFonts w:ascii="Verdana" w:hAnsi="Verdana"/>
          <w:sz w:val="24"/>
          <w:szCs w:val="24"/>
        </w:rPr>
        <w:t xml:space="preserve">in the </w:t>
      </w:r>
      <w:r w:rsidRPr="003814DD">
        <w:rPr>
          <w:rFonts w:ascii="Verdana" w:hAnsi="Verdana"/>
          <w:sz w:val="24"/>
          <w:szCs w:val="24"/>
        </w:rPr>
        <w:t>D</w:t>
      </w:r>
      <w:r w:rsidRPr="003814DD">
        <w:rPr>
          <w:rFonts w:ascii="Verdana" w:hAnsi="Verdana"/>
          <w:sz w:val="24"/>
          <w:szCs w:val="24"/>
        </w:rPr>
        <w:t>r</w:t>
      </w:r>
      <w:r w:rsidRPr="003814DD">
        <w:rPr>
          <w:rFonts w:ascii="Verdana" w:hAnsi="Verdana"/>
          <w:sz w:val="24"/>
          <w:szCs w:val="24"/>
        </w:rPr>
        <w:t xml:space="preserve">aghi </w:t>
      </w:r>
      <w:r w:rsidRPr="003814DD">
        <w:rPr>
          <w:rFonts w:ascii="Verdana" w:hAnsi="Verdana"/>
          <w:sz w:val="24"/>
          <w:szCs w:val="24"/>
        </w:rPr>
        <w:t>R</w:t>
      </w:r>
      <w:r w:rsidRPr="003814DD">
        <w:rPr>
          <w:rFonts w:ascii="Verdana" w:hAnsi="Verdana"/>
          <w:sz w:val="24"/>
          <w:szCs w:val="24"/>
        </w:rPr>
        <w:t xml:space="preserve">eport on the </w:t>
      </w:r>
      <w:r w:rsidRPr="003814DD">
        <w:rPr>
          <w:rFonts w:ascii="Verdana" w:hAnsi="Verdana"/>
          <w:sz w:val="24"/>
          <w:szCs w:val="24"/>
        </w:rPr>
        <w:t>F</w:t>
      </w:r>
      <w:r w:rsidRPr="003814DD">
        <w:rPr>
          <w:rFonts w:ascii="Verdana" w:hAnsi="Verdana"/>
          <w:sz w:val="24"/>
          <w:szCs w:val="24"/>
        </w:rPr>
        <w:t xml:space="preserve">uture of European </w:t>
      </w:r>
      <w:r w:rsidRPr="003814DD">
        <w:rPr>
          <w:rFonts w:ascii="Verdana" w:hAnsi="Verdana"/>
          <w:sz w:val="24"/>
          <w:szCs w:val="24"/>
        </w:rPr>
        <w:t>C</w:t>
      </w:r>
      <w:r w:rsidRPr="003814DD">
        <w:rPr>
          <w:rFonts w:ascii="Verdana" w:hAnsi="Verdana"/>
          <w:sz w:val="24"/>
          <w:szCs w:val="24"/>
        </w:rPr>
        <w:t>ompetitivenes</w:t>
      </w:r>
      <w:r w:rsidRPr="003814DD">
        <w:rPr>
          <w:rFonts w:ascii="Verdana" w:hAnsi="Verdana"/>
          <w:sz w:val="24"/>
          <w:szCs w:val="24"/>
        </w:rPr>
        <w:t xml:space="preserve">s, and </w:t>
      </w:r>
      <w:r w:rsidRPr="003814DD">
        <w:rPr>
          <w:rFonts w:ascii="Verdana" w:hAnsi="Verdana"/>
          <w:sz w:val="24"/>
          <w:szCs w:val="24"/>
        </w:rPr>
        <w:t xml:space="preserve">the </w:t>
      </w:r>
      <w:r w:rsidRPr="003814DD">
        <w:rPr>
          <w:rFonts w:ascii="Verdana" w:hAnsi="Verdana"/>
          <w:sz w:val="24"/>
          <w:szCs w:val="24"/>
        </w:rPr>
        <w:t>Letta Report on the Future of the Single Market</w:t>
      </w:r>
      <w:r w:rsidRPr="003814DD">
        <w:rPr>
          <w:rFonts w:ascii="Verdana" w:hAnsi="Verdana"/>
          <w:sz w:val="24"/>
          <w:szCs w:val="24"/>
        </w:rPr>
        <w:t>,</w:t>
      </w:r>
      <w:r w:rsidRPr="003814DD">
        <w:rPr>
          <w:rFonts w:ascii="Verdana" w:hAnsi="Verdana"/>
          <w:sz w:val="24"/>
          <w:szCs w:val="24"/>
        </w:rPr>
        <w:t xml:space="preserve"> </w:t>
      </w:r>
      <w:r w:rsidRPr="003814DD">
        <w:rPr>
          <w:rFonts w:ascii="Verdana" w:hAnsi="Verdana"/>
          <w:sz w:val="24"/>
          <w:szCs w:val="24"/>
        </w:rPr>
        <w:t xml:space="preserve">the </w:t>
      </w:r>
      <w:r w:rsidRPr="003814DD">
        <w:rPr>
          <w:rFonts w:ascii="Verdana" w:hAnsi="Verdana"/>
          <w:sz w:val="24"/>
          <w:szCs w:val="24"/>
        </w:rPr>
        <w:t xml:space="preserve">UK and the EU have already lost ground to the US in many areas and face similar </w:t>
      </w:r>
      <w:r w:rsidRPr="003814DD">
        <w:rPr>
          <w:rFonts w:ascii="Verdana" w:hAnsi="Verdana"/>
          <w:sz w:val="24"/>
          <w:szCs w:val="24"/>
        </w:rPr>
        <w:t xml:space="preserve">challenges </w:t>
      </w:r>
      <w:r w:rsidRPr="003814DD">
        <w:rPr>
          <w:rFonts w:ascii="Verdana" w:hAnsi="Verdana"/>
          <w:sz w:val="24"/>
          <w:szCs w:val="24"/>
        </w:rPr>
        <w:t xml:space="preserve">with their capital markets, with European </w:t>
      </w:r>
      <w:r w:rsidRPr="003814DD">
        <w:rPr>
          <w:rFonts w:ascii="Verdana" w:hAnsi="Verdana"/>
          <w:sz w:val="24"/>
          <w:szCs w:val="24"/>
        </w:rPr>
        <w:t>businesses</w:t>
      </w:r>
      <w:r w:rsidRPr="003814DD">
        <w:rPr>
          <w:rFonts w:ascii="Verdana" w:hAnsi="Verdana"/>
          <w:sz w:val="24"/>
          <w:szCs w:val="24"/>
        </w:rPr>
        <w:t xml:space="preserve"> often opting to list i</w:t>
      </w:r>
      <w:r w:rsidRPr="003814DD">
        <w:rPr>
          <w:rFonts w:ascii="Verdana" w:hAnsi="Verdana"/>
          <w:sz w:val="24"/>
          <w:szCs w:val="24"/>
        </w:rPr>
        <w:t xml:space="preserve">n New York </w:t>
      </w:r>
      <w:r w:rsidRPr="003814DD">
        <w:rPr>
          <w:rFonts w:ascii="Verdana" w:hAnsi="Verdana"/>
          <w:sz w:val="24"/>
          <w:szCs w:val="24"/>
        </w:rPr>
        <w:t xml:space="preserve">rather than </w:t>
      </w:r>
      <w:r w:rsidRPr="003814DD">
        <w:rPr>
          <w:rFonts w:ascii="Verdana" w:hAnsi="Verdana"/>
          <w:sz w:val="24"/>
          <w:szCs w:val="24"/>
        </w:rPr>
        <w:t xml:space="preserve">capital markets in EU member states or in the </w:t>
      </w:r>
      <w:r w:rsidRPr="003814DD">
        <w:rPr>
          <w:rFonts w:ascii="Verdana" w:hAnsi="Verdana"/>
          <w:sz w:val="24"/>
          <w:szCs w:val="24"/>
        </w:rPr>
        <w:t>UK.</w:t>
      </w:r>
    </w:p>
    <w:p w:rsidR="003814DD" w:rsidRPr="003814DD" w:rsidP="00C10C46">
      <w:pPr>
        <w:pStyle w:val="NoSpacing"/>
        <w:rPr>
          <w:rFonts w:ascii="Verdana" w:hAnsi="Verdana"/>
          <w:sz w:val="24"/>
          <w:szCs w:val="24"/>
        </w:rPr>
      </w:pPr>
    </w:p>
    <w:p w:rsidR="003814DD" w:rsidRPr="003814DD" w:rsidP="00C10C46">
      <w:pPr>
        <w:pStyle w:val="NoSpacing"/>
        <w:rPr>
          <w:rFonts w:ascii="Verdana" w:hAnsi="Verdana"/>
          <w:sz w:val="24"/>
          <w:szCs w:val="24"/>
        </w:rPr>
      </w:pPr>
      <w:r w:rsidRPr="003814DD">
        <w:rPr>
          <w:rFonts w:ascii="Verdana" w:hAnsi="Verdana"/>
          <w:sz w:val="24"/>
          <w:szCs w:val="24"/>
        </w:rPr>
        <w:t>TheCityUK</w:t>
      </w:r>
      <w:r w:rsidRPr="003814DD">
        <w:rPr>
          <w:rFonts w:ascii="Verdana" w:hAnsi="Verdana"/>
          <w:sz w:val="24"/>
          <w:szCs w:val="24"/>
        </w:rPr>
        <w:t xml:space="preserve"> and the </w:t>
      </w:r>
      <w:r w:rsidRPr="003814DD">
        <w:rPr>
          <w:rFonts w:ascii="Verdana" w:hAnsi="Verdana"/>
          <w:sz w:val="24"/>
          <w:szCs w:val="24"/>
        </w:rPr>
        <w:t>IRSG</w:t>
      </w:r>
      <w:r w:rsidRPr="003814DD">
        <w:rPr>
          <w:rFonts w:ascii="Verdana" w:hAnsi="Verdana"/>
          <w:sz w:val="24"/>
          <w:szCs w:val="24"/>
        </w:rPr>
        <w:t xml:space="preserve"> will continue to deliver this message in </w:t>
      </w:r>
      <w:r w:rsidRPr="003814DD">
        <w:rPr>
          <w:rFonts w:ascii="Verdana" w:hAnsi="Verdana"/>
          <w:sz w:val="24"/>
          <w:szCs w:val="24"/>
        </w:rPr>
        <w:t>their</w:t>
      </w:r>
      <w:r w:rsidRPr="003814DD">
        <w:rPr>
          <w:rFonts w:ascii="Verdana" w:hAnsi="Verdana"/>
          <w:sz w:val="24"/>
          <w:szCs w:val="24"/>
        </w:rPr>
        <w:t xml:space="preserve"> engagement with stakeholders across EU member states and </w:t>
      </w:r>
      <w:r w:rsidRPr="003814DD">
        <w:rPr>
          <w:rFonts w:ascii="Verdana" w:hAnsi="Verdana"/>
          <w:sz w:val="24"/>
          <w:szCs w:val="24"/>
        </w:rPr>
        <w:t>to the EU institutions</w:t>
      </w:r>
      <w:r w:rsidRPr="003814DD">
        <w:rPr>
          <w:rFonts w:ascii="Verdana" w:hAnsi="Verdana"/>
          <w:sz w:val="24"/>
          <w:szCs w:val="24"/>
        </w:rPr>
        <w:t xml:space="preserve">, including with industry, policymakers, </w:t>
      </w:r>
      <w:r w:rsidRPr="003814DD">
        <w:rPr>
          <w:rFonts w:ascii="Verdana" w:hAnsi="Verdana"/>
          <w:sz w:val="24"/>
          <w:szCs w:val="24"/>
        </w:rPr>
        <w:t>regulators,</w:t>
      </w:r>
      <w:r w:rsidRPr="003814DD">
        <w:rPr>
          <w:rFonts w:ascii="Verdana" w:hAnsi="Verdana"/>
          <w:sz w:val="24"/>
          <w:szCs w:val="24"/>
        </w:rPr>
        <w:t xml:space="preserve"> and other relevant stakeholders. </w:t>
      </w:r>
    </w:p>
    <w:p w:rsidR="003814DD" w:rsidRPr="003814DD" w:rsidP="00C10C46">
      <w:pPr>
        <w:pStyle w:val="NoSpacing"/>
        <w:rPr>
          <w:rFonts w:ascii="Verdana" w:hAnsi="Verdana"/>
          <w:sz w:val="24"/>
          <w:szCs w:val="24"/>
        </w:rPr>
      </w:pPr>
    </w:p>
    <w:p w:rsidR="003814DD" w:rsidRPr="003814DD" w:rsidP="00381831">
      <w:pPr>
        <w:pStyle w:val="NoSpacing"/>
        <w:rPr>
          <w:rFonts w:ascii="Verdana" w:hAnsi="Verdana"/>
          <w:sz w:val="24"/>
          <w:szCs w:val="24"/>
        </w:rPr>
      </w:pPr>
      <w:r w:rsidRPr="003814DD">
        <w:rPr>
          <w:rFonts w:ascii="Verdana" w:hAnsi="Verdana"/>
          <w:sz w:val="24"/>
          <w:szCs w:val="24"/>
        </w:rPr>
        <w:t xml:space="preserve">The </w:t>
      </w:r>
      <w:r w:rsidRPr="003814DD">
        <w:rPr>
          <w:rFonts w:ascii="Verdana" w:hAnsi="Verdana"/>
          <w:sz w:val="24"/>
          <w:szCs w:val="24"/>
        </w:rPr>
        <w:t xml:space="preserve">UK </w:t>
      </w:r>
      <w:r w:rsidRPr="003814DD">
        <w:rPr>
          <w:rFonts w:ascii="Verdana" w:hAnsi="Verdana"/>
          <w:sz w:val="24"/>
          <w:szCs w:val="24"/>
        </w:rPr>
        <w:t xml:space="preserve">government correctly highlights </w:t>
      </w:r>
      <w:r w:rsidRPr="003814DD">
        <w:rPr>
          <w:rFonts w:ascii="Verdana" w:hAnsi="Verdana"/>
          <w:sz w:val="24"/>
          <w:szCs w:val="24"/>
        </w:rPr>
        <w:t xml:space="preserve">the </w:t>
      </w:r>
      <w:r w:rsidRPr="003814DD">
        <w:rPr>
          <w:rFonts w:ascii="Verdana" w:hAnsi="Verdana"/>
          <w:sz w:val="24"/>
          <w:szCs w:val="24"/>
        </w:rPr>
        <w:t>UK’s financial and related professional services industry’s “unique, core role … in delivering growth across the whole economy” in its recently published Industrial Strategy</w:t>
      </w:r>
      <w:r w:rsidRPr="003814DD">
        <w:rPr>
          <w:rFonts w:ascii="Verdana" w:hAnsi="Verdana"/>
          <w:sz w:val="24"/>
          <w:szCs w:val="24"/>
        </w:rPr>
        <w:t xml:space="preserve"> </w:t>
      </w:r>
      <w:r w:rsidRPr="003814DD">
        <w:rPr>
          <w:rFonts w:ascii="Verdana" w:hAnsi="Verdana"/>
          <w:sz w:val="24"/>
          <w:szCs w:val="24"/>
        </w:rPr>
        <w:t>G</w:t>
      </w:r>
      <w:r w:rsidRPr="003814DD">
        <w:rPr>
          <w:rFonts w:ascii="Verdana" w:hAnsi="Verdana"/>
          <w:sz w:val="24"/>
          <w:szCs w:val="24"/>
        </w:rPr>
        <w:t xml:space="preserve">reen </w:t>
      </w:r>
      <w:r w:rsidRPr="003814DD">
        <w:rPr>
          <w:rFonts w:ascii="Verdana" w:hAnsi="Verdana"/>
          <w:sz w:val="24"/>
          <w:szCs w:val="24"/>
        </w:rPr>
        <w:t>P</w:t>
      </w:r>
      <w:r w:rsidRPr="003814DD">
        <w:rPr>
          <w:rFonts w:ascii="Verdana" w:hAnsi="Verdana"/>
          <w:sz w:val="24"/>
          <w:szCs w:val="24"/>
        </w:rPr>
        <w:t>aper</w:t>
      </w:r>
      <w:r>
        <w:rPr>
          <w:rFonts w:ascii="Verdana" w:hAnsi="Verdana"/>
          <w:sz w:val="24"/>
          <w:szCs w:val="24"/>
          <w:vertAlign w:val="superscript"/>
        </w:rPr>
        <w:footnoteReference w:id="4"/>
      </w:r>
      <w:r w:rsidRPr="003814DD">
        <w:rPr>
          <w:rFonts w:ascii="Verdana" w:hAnsi="Verdana"/>
          <w:sz w:val="24"/>
          <w:szCs w:val="24"/>
        </w:rPr>
        <w:t xml:space="preserve">. </w:t>
      </w:r>
      <w:r w:rsidRPr="003814DD">
        <w:rPr>
          <w:rFonts w:ascii="Verdana" w:hAnsi="Verdana"/>
          <w:sz w:val="24"/>
          <w:szCs w:val="24"/>
        </w:rPr>
        <w:t>Equally significant</w:t>
      </w:r>
      <w:r w:rsidRPr="003814DD">
        <w:rPr>
          <w:rFonts w:ascii="Verdana" w:hAnsi="Verdana"/>
          <w:sz w:val="24"/>
          <w:szCs w:val="24"/>
        </w:rPr>
        <w:t xml:space="preserve"> is</w:t>
      </w:r>
      <w:r w:rsidRPr="003814DD">
        <w:rPr>
          <w:rFonts w:ascii="Verdana" w:hAnsi="Verdana"/>
          <w:sz w:val="24"/>
          <w:szCs w:val="24"/>
        </w:rPr>
        <w:t xml:space="preserve"> the UK-based FRPS industry's ability to </w:t>
      </w:r>
      <w:r w:rsidRPr="003814DD">
        <w:rPr>
          <w:rFonts w:ascii="Verdana" w:hAnsi="Verdana"/>
          <w:sz w:val="24"/>
          <w:szCs w:val="24"/>
        </w:rPr>
        <w:t xml:space="preserve">contribute to growth </w:t>
      </w:r>
      <w:r w:rsidRPr="003814DD">
        <w:rPr>
          <w:rFonts w:ascii="Verdana" w:hAnsi="Verdana"/>
          <w:sz w:val="24"/>
          <w:szCs w:val="24"/>
        </w:rPr>
        <w:t xml:space="preserve">within the EU and </w:t>
      </w:r>
      <w:r w:rsidRPr="003814DD">
        <w:rPr>
          <w:rFonts w:ascii="Verdana" w:hAnsi="Verdana"/>
          <w:sz w:val="24"/>
          <w:szCs w:val="24"/>
        </w:rPr>
        <w:t xml:space="preserve">to </w:t>
      </w:r>
      <w:r w:rsidRPr="003814DD">
        <w:rPr>
          <w:rFonts w:ascii="Verdana" w:hAnsi="Verdana"/>
          <w:sz w:val="24"/>
          <w:szCs w:val="24"/>
        </w:rPr>
        <w:t xml:space="preserve">addressing common European challenges as </w:t>
      </w:r>
      <w:r w:rsidRPr="003814DD">
        <w:rPr>
          <w:rFonts w:ascii="Verdana" w:hAnsi="Verdana"/>
          <w:sz w:val="24"/>
          <w:szCs w:val="24"/>
        </w:rPr>
        <w:t>the</w:t>
      </w:r>
      <w:r w:rsidRPr="003814DD">
        <w:rPr>
          <w:rFonts w:ascii="Verdana" w:hAnsi="Verdana"/>
          <w:sz w:val="24"/>
          <w:szCs w:val="24"/>
        </w:rPr>
        <w:t xml:space="preserve"> "</w:t>
      </w:r>
      <w:r w:rsidRPr="003814DD">
        <w:rPr>
          <w:rFonts w:ascii="Verdana" w:hAnsi="Verdana"/>
          <w:sz w:val="24"/>
          <w:szCs w:val="24"/>
        </w:rPr>
        <w:t>R</w:t>
      </w:r>
      <w:r w:rsidRPr="003814DD">
        <w:rPr>
          <w:rFonts w:ascii="Verdana" w:hAnsi="Verdana"/>
          <w:sz w:val="24"/>
          <w:szCs w:val="24"/>
        </w:rPr>
        <w:t xml:space="preserve">eset" agenda </w:t>
      </w:r>
      <w:r w:rsidRPr="003814DD">
        <w:rPr>
          <w:rFonts w:ascii="Verdana" w:hAnsi="Verdana"/>
          <w:sz w:val="24"/>
          <w:szCs w:val="24"/>
        </w:rPr>
        <w:t>develops</w:t>
      </w:r>
      <w:r w:rsidRPr="003814DD">
        <w:rPr>
          <w:rFonts w:ascii="Verdana" w:hAnsi="Verdana"/>
          <w:sz w:val="24"/>
          <w:szCs w:val="24"/>
        </w:rPr>
        <w:t>.</w:t>
      </w:r>
    </w:p>
    <w:p w:rsidR="003814DD" w:rsidRPr="003814DD" w:rsidP="00B21006">
      <w:pPr>
        <w:pStyle w:val="NoSpacing"/>
        <w:rPr>
          <w:rFonts w:ascii="Verdana" w:hAnsi="Verdana"/>
          <w:b/>
          <w:sz w:val="24"/>
          <w:szCs w:val="24"/>
        </w:rPr>
      </w:pPr>
    </w:p>
    <w:p w:rsidR="003814DD" w:rsidRPr="003814DD" w:rsidP="00B21006">
      <w:pPr>
        <w:pStyle w:val="NoSpacing"/>
        <w:rPr>
          <w:rFonts w:ascii="Verdana" w:hAnsi="Verdana"/>
          <w:b/>
          <w:sz w:val="24"/>
          <w:szCs w:val="24"/>
        </w:rPr>
      </w:pPr>
      <w:r w:rsidRPr="003814DD">
        <w:rPr>
          <w:rFonts w:ascii="Verdana" w:hAnsi="Verdana"/>
          <w:b/>
          <w:sz w:val="24"/>
          <w:szCs w:val="24"/>
        </w:rPr>
        <w:t xml:space="preserve">UK-EU “Reset” </w:t>
      </w:r>
      <w:r w:rsidRPr="003814DD">
        <w:rPr>
          <w:rFonts w:ascii="Verdana" w:hAnsi="Verdana"/>
          <w:b/>
          <w:sz w:val="24"/>
          <w:szCs w:val="24"/>
        </w:rPr>
        <w:t>–</w:t>
      </w:r>
      <w:r w:rsidRPr="003814DD">
        <w:rPr>
          <w:rFonts w:ascii="Verdana" w:hAnsi="Verdana"/>
          <w:b/>
          <w:sz w:val="24"/>
          <w:szCs w:val="24"/>
        </w:rPr>
        <w:t xml:space="preserve"> </w:t>
      </w:r>
      <w:r w:rsidRPr="003814DD">
        <w:rPr>
          <w:rFonts w:ascii="Verdana" w:hAnsi="Verdana"/>
          <w:b/>
          <w:sz w:val="24"/>
          <w:szCs w:val="24"/>
        </w:rPr>
        <w:t xml:space="preserve">Looking beyond HMG’s </w:t>
      </w:r>
      <w:r w:rsidRPr="003814DD">
        <w:rPr>
          <w:rFonts w:ascii="Verdana" w:hAnsi="Verdana"/>
          <w:b/>
          <w:sz w:val="24"/>
          <w:szCs w:val="24"/>
        </w:rPr>
        <w:t>manifesto commitments</w:t>
      </w:r>
      <w:r w:rsidRPr="003814DD">
        <w:rPr>
          <w:rFonts w:ascii="Verdana" w:hAnsi="Verdana"/>
          <w:b/>
          <w:sz w:val="24"/>
          <w:szCs w:val="24"/>
        </w:rPr>
        <w:t xml:space="preserve"> - </w:t>
      </w:r>
      <w:r w:rsidRPr="003814DD">
        <w:rPr>
          <w:rFonts w:ascii="Verdana" w:hAnsi="Verdana"/>
          <w:b/>
          <w:sz w:val="24"/>
          <w:szCs w:val="24"/>
        </w:rPr>
        <w:t>FRPS</w:t>
      </w:r>
      <w:r w:rsidRPr="003814DD">
        <w:rPr>
          <w:rFonts w:ascii="Verdana" w:hAnsi="Verdana"/>
          <w:b/>
          <w:sz w:val="24"/>
          <w:szCs w:val="24"/>
        </w:rPr>
        <w:t xml:space="preserve"> industry priorities</w:t>
      </w:r>
    </w:p>
    <w:p w:rsidR="003814DD" w:rsidRPr="003814DD" w:rsidP="00B21006">
      <w:pPr>
        <w:pStyle w:val="NoSpacing"/>
        <w:rPr>
          <w:rFonts w:ascii="Verdana" w:hAnsi="Verdana"/>
          <w:bCs/>
          <w:sz w:val="24"/>
          <w:szCs w:val="24"/>
        </w:rPr>
      </w:pPr>
    </w:p>
    <w:p w:rsidR="003814DD" w:rsidRPr="003814DD" w:rsidP="00873BEC">
      <w:pPr>
        <w:pStyle w:val="NoSpacing"/>
        <w:rPr>
          <w:rFonts w:ascii="Verdana" w:hAnsi="Verdana"/>
          <w:b/>
          <w:bCs/>
          <w:sz w:val="24"/>
          <w:szCs w:val="24"/>
        </w:rPr>
      </w:pPr>
      <w:r w:rsidRPr="003814DD">
        <w:rPr>
          <w:rFonts w:ascii="Verdana" w:hAnsi="Verdana"/>
          <w:b/>
          <w:bCs/>
          <w:sz w:val="24"/>
          <w:szCs w:val="24"/>
        </w:rPr>
        <w:t>Mobility</w:t>
      </w:r>
      <w:r w:rsidRPr="003814DD">
        <w:rPr>
          <w:rFonts w:ascii="Verdana" w:hAnsi="Verdana"/>
          <w:b/>
          <w:bCs/>
          <w:sz w:val="24"/>
          <w:szCs w:val="24"/>
        </w:rPr>
        <w:t xml:space="preserve"> - Overview</w:t>
      </w:r>
    </w:p>
    <w:p w:rsidR="003814DD" w:rsidRPr="003814DD" w:rsidP="003E55A3">
      <w:pPr>
        <w:pStyle w:val="NoSpacing"/>
        <w:rPr>
          <w:rFonts w:ascii="Verdana" w:hAnsi="Verdana"/>
          <w:sz w:val="24"/>
          <w:szCs w:val="24"/>
        </w:rPr>
      </w:pPr>
      <w:r w:rsidRPr="003814DD">
        <w:rPr>
          <w:rFonts w:ascii="Verdana" w:hAnsi="Verdana"/>
          <w:sz w:val="24"/>
          <w:szCs w:val="24"/>
        </w:rPr>
        <w:t xml:space="preserve">Our industry is </w:t>
      </w:r>
      <w:r w:rsidRPr="003814DD">
        <w:rPr>
          <w:rFonts w:ascii="Verdana" w:hAnsi="Verdana"/>
          <w:sz w:val="24"/>
          <w:szCs w:val="24"/>
        </w:rPr>
        <w:t xml:space="preserve">already </w:t>
      </w:r>
      <w:r w:rsidRPr="003814DD">
        <w:rPr>
          <w:rFonts w:ascii="Verdana" w:hAnsi="Verdana"/>
          <w:sz w:val="24"/>
          <w:szCs w:val="24"/>
        </w:rPr>
        <w:t xml:space="preserve">renowned for </w:t>
      </w:r>
      <w:r w:rsidRPr="003814DD">
        <w:rPr>
          <w:rFonts w:ascii="Verdana" w:hAnsi="Verdana"/>
          <w:sz w:val="24"/>
          <w:szCs w:val="24"/>
        </w:rPr>
        <w:t xml:space="preserve">its </w:t>
      </w:r>
      <w:r w:rsidRPr="003814DD">
        <w:rPr>
          <w:rFonts w:ascii="Verdana" w:hAnsi="Verdana"/>
          <w:sz w:val="24"/>
          <w:szCs w:val="24"/>
        </w:rPr>
        <w:t xml:space="preserve">work </w:t>
      </w:r>
      <w:r w:rsidRPr="003814DD">
        <w:rPr>
          <w:rFonts w:ascii="Verdana" w:hAnsi="Verdana"/>
          <w:sz w:val="24"/>
          <w:szCs w:val="24"/>
        </w:rPr>
        <w:t xml:space="preserve">in training and developing </w:t>
      </w:r>
      <w:r w:rsidRPr="003814DD">
        <w:rPr>
          <w:rFonts w:ascii="Verdana" w:hAnsi="Verdana"/>
          <w:sz w:val="24"/>
          <w:szCs w:val="24"/>
        </w:rPr>
        <w:t>local talent. But restrictive short-term business mobility rules are limiting organisations’ ability to leverage their global talent networks to support export and innovation. Recent changes to UK business visitor rules (effective January 2024 and applying to EU nationals) provide greater flexibility for UK-based businesses to bring in overseas talent for short-term projects and were welcomed by TheCityUK. However, there is more that could be done bil</w:t>
      </w:r>
      <w:r w:rsidRPr="003814DD">
        <w:rPr>
          <w:rFonts w:ascii="Verdana" w:hAnsi="Verdana"/>
          <w:sz w:val="24"/>
          <w:szCs w:val="24"/>
        </w:rPr>
        <w:t xml:space="preserve">aterally in the mobility space to increase the ability of organisations to </w:t>
      </w:r>
      <w:r w:rsidRPr="003814DD">
        <w:rPr>
          <w:rFonts w:ascii="Verdana" w:hAnsi="Verdana"/>
          <w:sz w:val="24"/>
          <w:szCs w:val="24"/>
        </w:rPr>
        <w:t>d</w:t>
      </w:r>
      <w:r w:rsidRPr="003814DD">
        <w:rPr>
          <w:rFonts w:ascii="Verdana" w:hAnsi="Verdana"/>
          <w:sz w:val="24"/>
          <w:szCs w:val="24"/>
        </w:rPr>
        <w:t>e</w:t>
      </w:r>
      <w:r w:rsidRPr="003814DD">
        <w:rPr>
          <w:rFonts w:ascii="Verdana" w:hAnsi="Verdana"/>
          <w:sz w:val="24"/>
          <w:szCs w:val="24"/>
        </w:rPr>
        <w:t>ploy</w:t>
      </w:r>
      <w:r w:rsidRPr="003814DD">
        <w:rPr>
          <w:rFonts w:ascii="Verdana" w:hAnsi="Verdana"/>
          <w:sz w:val="24"/>
          <w:szCs w:val="24"/>
        </w:rPr>
        <w:t xml:space="preserve"> their international workforce effectively, positively impacting growth, export opportunities, and the UK’s attractiveness as a hub for international investment. </w:t>
      </w:r>
    </w:p>
    <w:p w:rsidR="003814DD" w:rsidRPr="003814DD" w:rsidP="003E55A3">
      <w:pPr>
        <w:pStyle w:val="NoSpacing"/>
        <w:rPr>
          <w:rFonts w:ascii="Verdana" w:hAnsi="Verdana"/>
          <w:sz w:val="24"/>
          <w:szCs w:val="24"/>
        </w:rPr>
      </w:pPr>
    </w:p>
    <w:p w:rsidR="003814DD" w:rsidRPr="003814DD" w:rsidP="00873BEC">
      <w:pPr>
        <w:pStyle w:val="NoSpacing"/>
        <w:rPr>
          <w:rFonts w:ascii="Verdana" w:hAnsi="Verdana"/>
          <w:b/>
          <w:bCs/>
          <w:sz w:val="24"/>
          <w:szCs w:val="24"/>
        </w:rPr>
      </w:pPr>
      <w:r w:rsidRPr="003814DD">
        <w:rPr>
          <w:rFonts w:ascii="Verdana" w:hAnsi="Verdana"/>
          <w:sz w:val="24"/>
          <w:szCs w:val="24"/>
        </w:rPr>
        <w:t xml:space="preserve">An ambitious </w:t>
      </w:r>
      <w:r w:rsidRPr="003814DD">
        <w:rPr>
          <w:rFonts w:ascii="Verdana" w:hAnsi="Verdana"/>
          <w:sz w:val="24"/>
          <w:szCs w:val="24"/>
        </w:rPr>
        <w:t>Reset</w:t>
      </w:r>
      <w:r w:rsidRPr="003814DD">
        <w:rPr>
          <w:rFonts w:ascii="Verdana" w:hAnsi="Verdana"/>
          <w:sz w:val="24"/>
          <w:szCs w:val="24"/>
        </w:rPr>
        <w:t xml:space="preserve"> could provide an opportunity to identify a mutually beneficial package of commitments that would facilitate the mobility of professionals. This might include an agreed cap on visa processing times in situations where </w:t>
      </w:r>
      <w:r w:rsidRPr="003814DD">
        <w:rPr>
          <w:rFonts w:ascii="Verdana" w:hAnsi="Verdana"/>
          <w:sz w:val="24"/>
          <w:szCs w:val="24"/>
        </w:rPr>
        <w:t xml:space="preserve">business professionals </w:t>
      </w:r>
      <w:r w:rsidRPr="003814DD">
        <w:rPr>
          <w:rFonts w:ascii="Verdana" w:hAnsi="Verdana"/>
          <w:sz w:val="24"/>
          <w:szCs w:val="24"/>
        </w:rPr>
        <w:t xml:space="preserve">from </w:t>
      </w:r>
      <w:r w:rsidRPr="003814DD">
        <w:rPr>
          <w:rFonts w:ascii="Verdana" w:hAnsi="Verdana"/>
          <w:sz w:val="24"/>
          <w:szCs w:val="24"/>
        </w:rPr>
        <w:t xml:space="preserve">EU Member States or the UK require a visa/work permit. The UK could also seek to negotiate with the EU a broader range of </w:t>
      </w:r>
      <w:r w:rsidRPr="003814DD">
        <w:rPr>
          <w:rFonts w:ascii="Verdana" w:hAnsi="Verdana"/>
          <w:sz w:val="24"/>
          <w:szCs w:val="24"/>
        </w:rPr>
        <w:t xml:space="preserve">permitted </w:t>
      </w:r>
      <w:r w:rsidRPr="003814DD">
        <w:rPr>
          <w:rFonts w:ascii="Verdana" w:hAnsi="Verdana"/>
          <w:sz w:val="24"/>
          <w:szCs w:val="24"/>
        </w:rPr>
        <w:t xml:space="preserve">activities for short-term business visitors and allow work (including work paid by the client in the host state) on a short-term </w:t>
      </w:r>
      <w:r w:rsidRPr="003814DD">
        <w:rPr>
          <w:rFonts w:ascii="Verdana" w:hAnsi="Verdana"/>
          <w:sz w:val="24"/>
          <w:szCs w:val="24"/>
        </w:rPr>
        <w:t>basis without the need for a work permit or economic needs test or indeed the need for a visa.</w:t>
      </w:r>
      <w:r w:rsidRPr="003814DD">
        <w:rPr>
          <w:rFonts w:ascii="Verdana" w:hAnsi="Verdana"/>
          <w:sz w:val="24"/>
          <w:szCs w:val="24"/>
        </w:rPr>
        <w:t xml:space="preserve"> This could be done in addition to the expanding the visa-free activity list, for the most ambitious possible outcome, or as a standalone measure to make sure that t</w:t>
      </w:r>
      <w:r w:rsidRPr="003814DD">
        <w:rPr>
          <w:rFonts w:ascii="Verdana" w:hAnsi="Verdana"/>
          <w:sz w:val="24"/>
          <w:szCs w:val="24"/>
        </w:rPr>
        <w:t>i</w:t>
      </w:r>
      <w:r w:rsidRPr="003814DD">
        <w:rPr>
          <w:rFonts w:ascii="Verdana" w:hAnsi="Verdana"/>
          <w:sz w:val="24"/>
          <w:szCs w:val="24"/>
        </w:rPr>
        <w:t>me</w:t>
      </w:r>
      <w:r w:rsidRPr="003814DD">
        <w:rPr>
          <w:rFonts w:ascii="Verdana" w:hAnsi="Verdana"/>
          <w:sz w:val="24"/>
          <w:szCs w:val="24"/>
        </w:rPr>
        <w:t xml:space="preserve"> </w:t>
      </w:r>
      <w:r w:rsidRPr="003814DD">
        <w:rPr>
          <w:rFonts w:ascii="Verdana" w:hAnsi="Verdana"/>
          <w:sz w:val="24"/>
          <w:szCs w:val="24"/>
        </w:rPr>
        <w:t>- and cost-</w:t>
      </w:r>
      <w:r w:rsidRPr="003814DD">
        <w:rPr>
          <w:rFonts w:ascii="Verdana" w:hAnsi="Verdana"/>
          <w:sz w:val="24"/>
          <w:szCs w:val="24"/>
        </w:rPr>
        <w:t xml:space="preserve"> </w:t>
      </w:r>
      <w:r w:rsidRPr="003814DD">
        <w:rPr>
          <w:rFonts w:ascii="Verdana" w:hAnsi="Verdana"/>
          <w:sz w:val="24"/>
          <w:szCs w:val="24"/>
        </w:rPr>
        <w:t>constraints do not prevent services providers from taking up opportunities for short-term contract work between the EU and UK.</w:t>
      </w:r>
    </w:p>
    <w:p w:rsidR="003814DD" w:rsidRPr="003814DD" w:rsidP="00B21006">
      <w:pPr>
        <w:spacing w:after="0" w:line="240" w:lineRule="auto"/>
        <w:rPr>
          <w:rFonts w:ascii="Verdana" w:hAnsi="Verdana"/>
          <w:b/>
          <w:bCs/>
          <w:sz w:val="24"/>
          <w:szCs w:val="24"/>
        </w:rPr>
      </w:pPr>
    </w:p>
    <w:p w:rsidR="003814DD" w:rsidRPr="003814DD" w:rsidP="00B21006">
      <w:pPr>
        <w:spacing w:after="0" w:line="240" w:lineRule="auto"/>
        <w:rPr>
          <w:rFonts w:ascii="Verdana" w:hAnsi="Verdana"/>
          <w:b/>
          <w:bCs/>
          <w:sz w:val="24"/>
          <w:szCs w:val="24"/>
        </w:rPr>
      </w:pPr>
      <w:r w:rsidRPr="003814DD">
        <w:rPr>
          <w:rFonts w:ascii="Verdana" w:hAnsi="Verdana"/>
          <w:b/>
          <w:bCs/>
          <w:sz w:val="24"/>
          <w:szCs w:val="24"/>
        </w:rPr>
        <w:t>Mobility -</w:t>
      </w:r>
      <w:r w:rsidRPr="003814DD">
        <w:rPr>
          <w:rFonts w:ascii="Verdana" w:hAnsi="Verdana"/>
          <w:b/>
          <w:bCs/>
          <w:sz w:val="24"/>
          <w:szCs w:val="24"/>
        </w:rPr>
        <w:t xml:space="preserve"> </w:t>
      </w:r>
      <w:r w:rsidRPr="003814DD">
        <w:rPr>
          <w:rFonts w:ascii="Verdana" w:hAnsi="Verdana"/>
          <w:b/>
          <w:bCs/>
          <w:sz w:val="24"/>
          <w:szCs w:val="24"/>
        </w:rPr>
        <w:t>Article 126</w:t>
      </w:r>
      <w:r w:rsidRPr="003814DD">
        <w:rPr>
          <w:rFonts w:ascii="Verdana" w:hAnsi="Verdana"/>
          <w:b/>
          <w:bCs/>
          <w:sz w:val="24"/>
          <w:szCs w:val="24"/>
        </w:rPr>
        <w:t xml:space="preserve"> of the</w:t>
      </w:r>
      <w:r w:rsidRPr="003814DD">
        <w:rPr>
          <w:rFonts w:ascii="Verdana" w:hAnsi="Verdana"/>
          <w:b/>
          <w:bCs/>
          <w:sz w:val="24"/>
          <w:szCs w:val="24"/>
        </w:rPr>
        <w:t xml:space="preserve"> </w:t>
      </w:r>
      <w:r w:rsidRPr="003814DD">
        <w:rPr>
          <w:rFonts w:ascii="Verdana" w:hAnsi="Verdana"/>
          <w:b/>
          <w:bCs/>
          <w:sz w:val="24"/>
          <w:szCs w:val="24"/>
        </w:rPr>
        <w:t xml:space="preserve">TCA </w:t>
      </w:r>
      <w:r w:rsidRPr="003814DD">
        <w:rPr>
          <w:rFonts w:ascii="Verdana" w:hAnsi="Verdana"/>
          <w:b/>
          <w:bCs/>
          <w:sz w:val="24"/>
          <w:szCs w:val="24"/>
        </w:rPr>
        <w:t xml:space="preserve">- </w:t>
      </w:r>
      <w:r w:rsidRPr="003814DD">
        <w:rPr>
          <w:rFonts w:ascii="Verdana" w:hAnsi="Verdana"/>
          <w:b/>
          <w:bCs/>
          <w:sz w:val="24"/>
          <w:szCs w:val="24"/>
        </w:rPr>
        <w:t>Short-term</w:t>
      </w:r>
      <w:r w:rsidRPr="003814DD">
        <w:rPr>
          <w:rFonts w:ascii="Verdana" w:hAnsi="Verdana"/>
          <w:b/>
          <w:bCs/>
          <w:sz w:val="24"/>
          <w:szCs w:val="24"/>
        </w:rPr>
        <w:t xml:space="preserve"> business visitors </w:t>
      </w:r>
      <w:r w:rsidRPr="003814DD">
        <w:rPr>
          <w:rFonts w:ascii="Verdana" w:hAnsi="Verdana"/>
          <w:b/>
          <w:bCs/>
          <w:sz w:val="24"/>
          <w:szCs w:val="24"/>
        </w:rPr>
        <w:t>(</w:t>
      </w:r>
      <w:r w:rsidRPr="003814DD">
        <w:rPr>
          <w:rFonts w:ascii="Verdana" w:hAnsi="Verdana"/>
          <w:b/>
          <w:bCs/>
          <w:sz w:val="24"/>
          <w:szCs w:val="24"/>
        </w:rPr>
        <w:t>under</w:t>
      </w:r>
      <w:r w:rsidRPr="003814DD">
        <w:rPr>
          <w:rFonts w:ascii="Verdana" w:hAnsi="Verdana"/>
          <w:b/>
          <w:bCs/>
          <w:sz w:val="24"/>
          <w:szCs w:val="24"/>
        </w:rPr>
        <w:t xml:space="preserve"> the</w:t>
      </w:r>
      <w:r w:rsidRPr="003814DD">
        <w:rPr>
          <w:rFonts w:ascii="Verdana" w:hAnsi="Verdana"/>
          <w:b/>
          <w:bCs/>
          <w:sz w:val="24"/>
          <w:szCs w:val="24"/>
        </w:rPr>
        <w:t xml:space="preserve"> </w:t>
      </w:r>
      <w:r w:rsidRPr="003814DD">
        <w:rPr>
          <w:rFonts w:ascii="Verdana" w:hAnsi="Verdana"/>
          <w:b/>
          <w:bCs/>
          <w:sz w:val="24"/>
          <w:szCs w:val="24"/>
        </w:rPr>
        <w:t xml:space="preserve">TCA </w:t>
      </w:r>
      <w:r w:rsidRPr="003814DD">
        <w:rPr>
          <w:rFonts w:ascii="Verdana" w:hAnsi="Verdana"/>
          <w:b/>
          <w:bCs/>
          <w:sz w:val="24"/>
          <w:szCs w:val="24"/>
        </w:rPr>
        <w:t>Review</w:t>
      </w:r>
      <w:r w:rsidRPr="003814DD">
        <w:rPr>
          <w:rFonts w:ascii="Verdana" w:hAnsi="Verdana"/>
          <w:b/>
          <w:bCs/>
          <w:sz w:val="24"/>
          <w:szCs w:val="24"/>
        </w:rPr>
        <w:t>)</w:t>
      </w:r>
    </w:p>
    <w:p w:rsidR="003814DD" w:rsidRPr="003814DD" w:rsidP="00B21006">
      <w:pPr>
        <w:spacing w:after="0" w:line="240" w:lineRule="auto"/>
        <w:rPr>
          <w:rFonts w:ascii="Verdana" w:hAnsi="Verdana"/>
          <w:sz w:val="24"/>
          <w:szCs w:val="24"/>
        </w:rPr>
      </w:pPr>
      <w:r w:rsidRPr="003814DD">
        <w:rPr>
          <w:rFonts w:ascii="Verdana" w:hAnsi="Verdana"/>
          <w:sz w:val="24"/>
          <w:szCs w:val="24"/>
        </w:rPr>
        <w:t xml:space="preserve">Article 126 of the TCA requires the parties to the TCA Review to seek improvements in the trade in services and investment provisions; a review of the related non-conforming measures and reservations; and a review of the permitted activities for </w:t>
      </w:r>
      <w:r w:rsidRPr="003814DD">
        <w:rPr>
          <w:rFonts w:ascii="Verdana" w:hAnsi="Verdana"/>
          <w:sz w:val="24"/>
          <w:szCs w:val="24"/>
        </w:rPr>
        <w:t>short-term</w:t>
      </w:r>
      <w:r w:rsidRPr="003814DD">
        <w:rPr>
          <w:rFonts w:ascii="Verdana" w:hAnsi="Verdana"/>
          <w:sz w:val="24"/>
          <w:szCs w:val="24"/>
        </w:rPr>
        <w:t xml:space="preserve"> business visitors “with a view to agreeing to possible improvements in their mutual interest”. Whilst acknowledging that Article 126 </w:t>
      </w:r>
      <w:r w:rsidRPr="003814DD">
        <w:rPr>
          <w:rFonts w:ascii="Verdana" w:hAnsi="Verdana"/>
          <w:sz w:val="24"/>
          <w:szCs w:val="24"/>
        </w:rPr>
        <w:t>does not apply to</w:t>
      </w:r>
      <w:r w:rsidRPr="003814DD">
        <w:rPr>
          <w:rFonts w:ascii="Verdana" w:hAnsi="Verdana"/>
          <w:sz w:val="24"/>
          <w:szCs w:val="24"/>
        </w:rPr>
        <w:t xml:space="preserve"> financial services, we would expect </w:t>
      </w:r>
      <w:r w:rsidRPr="003814DD">
        <w:rPr>
          <w:rFonts w:ascii="Verdana" w:hAnsi="Verdana"/>
          <w:sz w:val="24"/>
          <w:szCs w:val="24"/>
        </w:rPr>
        <w:t>the Review to cover all mobility issues within the scope of the Article</w:t>
      </w:r>
      <w:r w:rsidRPr="003814DD">
        <w:rPr>
          <w:rFonts w:ascii="Verdana" w:hAnsi="Verdana"/>
          <w:sz w:val="24"/>
          <w:szCs w:val="24"/>
        </w:rPr>
        <w:t xml:space="preserve">. </w:t>
      </w:r>
      <w:r w:rsidRPr="003814DD">
        <w:rPr>
          <w:rFonts w:ascii="Verdana" w:hAnsi="Verdana"/>
          <w:sz w:val="24"/>
          <w:szCs w:val="24"/>
        </w:rPr>
        <w:t xml:space="preserve">It may well be that some of the Review’s findings on mobility issues in services other than financial services (i.e. services covered by the Article) could prove to be equally relevant to financial services, despite the Article not applying </w:t>
      </w:r>
      <w:r w:rsidRPr="003814DD">
        <w:rPr>
          <w:rFonts w:ascii="Verdana" w:hAnsi="Verdana"/>
          <w:sz w:val="24"/>
          <w:szCs w:val="24"/>
        </w:rPr>
        <w:t>to thema</w:t>
      </w:r>
      <w:r w:rsidRPr="003814DD">
        <w:rPr>
          <w:rFonts w:ascii="Verdana" w:hAnsi="Verdana"/>
          <w:sz w:val="24"/>
          <w:szCs w:val="24"/>
        </w:rPr>
        <w:t>.</w:t>
      </w:r>
    </w:p>
    <w:p w:rsidR="003814DD" w:rsidRPr="003814DD" w:rsidP="00B21006">
      <w:pPr>
        <w:spacing w:after="0" w:line="240" w:lineRule="auto"/>
        <w:rPr>
          <w:rFonts w:ascii="Verdana" w:hAnsi="Verdana"/>
          <w:sz w:val="24"/>
          <w:szCs w:val="24"/>
        </w:rPr>
      </w:pPr>
    </w:p>
    <w:p w:rsidR="003814DD" w:rsidRPr="003814DD" w:rsidP="00B21006">
      <w:pPr>
        <w:spacing w:after="0" w:line="240" w:lineRule="auto"/>
        <w:rPr>
          <w:rFonts w:ascii="Verdana" w:hAnsi="Verdana"/>
          <w:sz w:val="24"/>
          <w:szCs w:val="24"/>
        </w:rPr>
      </w:pPr>
      <w:r w:rsidRPr="003814DD">
        <w:rPr>
          <w:rFonts w:ascii="Verdana" w:hAnsi="Verdana"/>
          <w:sz w:val="24"/>
          <w:szCs w:val="24"/>
        </w:rPr>
        <w:t xml:space="preserve">The review of the </w:t>
      </w:r>
      <w:r w:rsidRPr="003814DD">
        <w:rPr>
          <w:rFonts w:ascii="Verdana" w:hAnsi="Verdana"/>
          <w:sz w:val="24"/>
          <w:szCs w:val="24"/>
        </w:rPr>
        <w:t xml:space="preserve">list of </w:t>
      </w:r>
      <w:r w:rsidRPr="003814DD">
        <w:rPr>
          <w:rFonts w:ascii="Verdana" w:hAnsi="Verdana"/>
          <w:sz w:val="24"/>
          <w:szCs w:val="24"/>
        </w:rPr>
        <w:t xml:space="preserve">permitted activities for </w:t>
      </w:r>
      <w:r w:rsidRPr="003814DD">
        <w:rPr>
          <w:rFonts w:ascii="Verdana" w:hAnsi="Verdana"/>
          <w:sz w:val="24"/>
          <w:szCs w:val="24"/>
        </w:rPr>
        <w:t>STBVs</w:t>
      </w:r>
      <w:r w:rsidRPr="003814DD">
        <w:rPr>
          <w:rFonts w:ascii="Verdana" w:hAnsi="Verdana"/>
          <w:sz w:val="24"/>
          <w:szCs w:val="24"/>
        </w:rPr>
        <w:t xml:space="preserve"> should be a particular focus. </w:t>
      </w:r>
      <w:r w:rsidRPr="003814DD">
        <w:rPr>
          <w:rFonts w:ascii="Verdana" w:hAnsi="Verdana"/>
          <w:sz w:val="24"/>
          <w:szCs w:val="24"/>
        </w:rPr>
        <w:t xml:space="preserve">STBVs from the UK and EU may visit each other's territories visa-free (for 90/180 days in the EU and for up to 6 months in the UK). </w:t>
      </w:r>
      <w:r w:rsidRPr="003814DD">
        <w:rPr>
          <w:rFonts w:ascii="Verdana" w:hAnsi="Verdana"/>
          <w:sz w:val="24"/>
          <w:szCs w:val="24"/>
        </w:rPr>
        <w:t xml:space="preserve">Adding to this list to broaden the permitted activities would be positive, </w:t>
      </w:r>
    </w:p>
    <w:p w:rsidR="003814DD" w:rsidRPr="003814DD" w:rsidP="00B21006">
      <w:pPr>
        <w:spacing w:after="0" w:line="240" w:lineRule="auto"/>
        <w:rPr>
          <w:rFonts w:ascii="Verdana" w:hAnsi="Verdana"/>
          <w:sz w:val="24"/>
          <w:szCs w:val="24"/>
        </w:rPr>
      </w:pPr>
      <w:r w:rsidRPr="003814DD">
        <w:rPr>
          <w:rFonts w:ascii="Verdana" w:hAnsi="Verdana"/>
          <w:sz w:val="24"/>
          <w:szCs w:val="24"/>
        </w:rPr>
        <w:t xml:space="preserve">particularly to allow for work (including some work paid by the client in the host state) on a short-term basis without the need for a work permit or economic needs test. It would also be helpful to review and where possible remove EU </w:t>
      </w:r>
      <w:r w:rsidRPr="003814DD">
        <w:rPr>
          <w:rFonts w:ascii="Verdana" w:hAnsi="Verdana"/>
          <w:sz w:val="24"/>
          <w:szCs w:val="24"/>
        </w:rPr>
        <w:t>member state reservations under Annex 21 for STBVs</w:t>
      </w:r>
      <w:r w:rsidRPr="003814DD">
        <w:rPr>
          <w:rFonts w:ascii="Verdana" w:hAnsi="Verdana"/>
          <w:sz w:val="24"/>
          <w:szCs w:val="24"/>
        </w:rPr>
        <w:t>.</w:t>
      </w:r>
      <w:r w:rsidRPr="003814DD">
        <w:rPr>
          <w:rFonts w:ascii="Verdana" w:hAnsi="Verdana"/>
          <w:sz w:val="24"/>
          <w:szCs w:val="24"/>
        </w:rPr>
        <w:t xml:space="preserve"> This would strengthen UK and EU competitiveness, without compromising any goals and objectives </w:t>
      </w:r>
      <w:r w:rsidRPr="003814DD">
        <w:rPr>
          <w:rFonts w:ascii="Verdana" w:hAnsi="Verdana"/>
          <w:sz w:val="24"/>
          <w:szCs w:val="24"/>
        </w:rPr>
        <w:t xml:space="preserve">of </w:t>
      </w:r>
      <w:r w:rsidRPr="003814DD">
        <w:rPr>
          <w:rFonts w:ascii="Verdana" w:hAnsi="Verdana"/>
          <w:sz w:val="24"/>
          <w:szCs w:val="24"/>
        </w:rPr>
        <w:t>immigration</w:t>
      </w:r>
      <w:r w:rsidRPr="003814DD">
        <w:rPr>
          <w:rFonts w:ascii="Verdana" w:hAnsi="Verdana"/>
          <w:sz w:val="24"/>
          <w:szCs w:val="24"/>
        </w:rPr>
        <w:t xml:space="preserve"> policy</w:t>
      </w:r>
      <w:r w:rsidRPr="003814DD">
        <w:rPr>
          <w:rFonts w:ascii="Verdana" w:hAnsi="Verdana"/>
          <w:sz w:val="24"/>
          <w:szCs w:val="24"/>
        </w:rPr>
        <w:t xml:space="preserve"> on either side</w:t>
      </w:r>
      <w:r w:rsidRPr="003814DD">
        <w:rPr>
          <w:rFonts w:ascii="Verdana" w:hAnsi="Verdana"/>
          <w:sz w:val="24"/>
          <w:szCs w:val="24"/>
        </w:rPr>
        <w:t>.</w:t>
      </w:r>
    </w:p>
    <w:p w:rsidR="003814DD" w:rsidRPr="003814DD" w:rsidP="00B21006">
      <w:pPr>
        <w:pStyle w:val="NoSpacing"/>
        <w:rPr>
          <w:rFonts w:ascii="Verdana" w:hAnsi="Verdana"/>
          <w:b/>
          <w:bCs/>
          <w:sz w:val="24"/>
          <w:szCs w:val="24"/>
        </w:rPr>
      </w:pPr>
    </w:p>
    <w:p w:rsidR="003814DD" w:rsidRPr="003814DD" w:rsidP="00B21006">
      <w:pPr>
        <w:pStyle w:val="NoSpacing"/>
        <w:rPr>
          <w:rFonts w:ascii="Verdana" w:hAnsi="Verdana"/>
          <w:b/>
          <w:bCs/>
          <w:sz w:val="24"/>
          <w:szCs w:val="24"/>
        </w:rPr>
      </w:pPr>
      <w:r w:rsidRPr="003814DD">
        <w:rPr>
          <w:rFonts w:ascii="Verdana" w:hAnsi="Verdana"/>
          <w:b/>
          <w:bCs/>
          <w:sz w:val="24"/>
          <w:szCs w:val="24"/>
        </w:rPr>
        <w:t>Mobility - Youth Mobility</w:t>
      </w:r>
    </w:p>
    <w:p w:rsidR="003814DD" w:rsidRPr="003814DD" w:rsidP="00B21006">
      <w:pPr>
        <w:pStyle w:val="NoSpacing"/>
        <w:rPr>
          <w:rFonts w:ascii="Verdana" w:hAnsi="Verdana"/>
          <w:sz w:val="24"/>
          <w:szCs w:val="24"/>
        </w:rPr>
      </w:pPr>
      <w:r w:rsidRPr="003814DD">
        <w:rPr>
          <w:rFonts w:ascii="Verdana" w:hAnsi="Verdana"/>
          <w:sz w:val="24"/>
          <w:szCs w:val="24"/>
        </w:rPr>
        <w:t>TheCityUK has been a long-time supporter in principle of the value of reciprocal youth mobility schemes. The UK’s Youth Mobility Scheme works well and provides a convenient self-sponsored route that gives employers some relief from reliance on the sponsored worker system. But to date the UK has not agreed reciprocal youth mobility arrangements with the EU</w:t>
      </w:r>
      <w:r w:rsidRPr="003814DD">
        <w:rPr>
          <w:rFonts w:ascii="Verdana" w:hAnsi="Verdana"/>
          <w:sz w:val="24"/>
          <w:szCs w:val="24"/>
        </w:rPr>
        <w:t xml:space="preserve">, </w:t>
      </w:r>
      <w:r w:rsidRPr="003814DD">
        <w:rPr>
          <w:rFonts w:ascii="Verdana" w:hAnsi="Verdana"/>
          <w:sz w:val="24"/>
          <w:szCs w:val="24"/>
        </w:rPr>
        <w:t xml:space="preserve">and without such arrangements in place, reliance on the UK’s sponsored worker system with its associated administrative burden and costs has </w:t>
      </w:r>
      <w:r w:rsidRPr="003814DD">
        <w:rPr>
          <w:rFonts w:ascii="Verdana" w:hAnsi="Verdana"/>
          <w:sz w:val="24"/>
          <w:szCs w:val="24"/>
        </w:rPr>
        <w:t>created</w:t>
      </w:r>
      <w:r w:rsidRPr="003814DD">
        <w:rPr>
          <w:rFonts w:ascii="Verdana" w:hAnsi="Verdana"/>
          <w:sz w:val="24"/>
          <w:szCs w:val="24"/>
        </w:rPr>
        <w:t xml:space="preserve"> difficulties for </w:t>
      </w:r>
      <w:r w:rsidRPr="003814DD">
        <w:rPr>
          <w:rFonts w:ascii="Verdana" w:hAnsi="Verdana"/>
          <w:sz w:val="24"/>
          <w:szCs w:val="24"/>
        </w:rPr>
        <w:t>businesses</w:t>
      </w:r>
      <w:r w:rsidRPr="003814DD">
        <w:rPr>
          <w:rFonts w:ascii="Verdana" w:hAnsi="Verdana"/>
          <w:sz w:val="24"/>
          <w:szCs w:val="24"/>
        </w:rPr>
        <w:t>. Reciprocal youth mobility arrangements would enable EU youth mobility visa holders to proactively move to the UK, and widening the scope of the route would help support a significant pool of UK-based international talent, reducing the current reliance on sponsored worker systems.</w:t>
      </w:r>
      <w:r w:rsidRPr="003814DD">
        <w:rPr>
          <w:rFonts w:ascii="Verdana" w:hAnsi="Verdana"/>
          <w:sz w:val="24"/>
          <w:szCs w:val="24"/>
        </w:rPr>
        <w:t xml:space="preserve"> Such a</w:t>
      </w:r>
      <w:r w:rsidRPr="003814DD">
        <w:rPr>
          <w:rFonts w:ascii="Verdana" w:hAnsi="Verdana"/>
          <w:sz w:val="24"/>
          <w:szCs w:val="24"/>
        </w:rPr>
        <w:t>rrangements</w:t>
      </w:r>
      <w:r w:rsidRPr="003814DD">
        <w:rPr>
          <w:rFonts w:ascii="Verdana" w:hAnsi="Verdana"/>
          <w:sz w:val="24"/>
          <w:szCs w:val="24"/>
        </w:rPr>
        <w:t xml:space="preserve"> </w:t>
      </w:r>
      <w:r w:rsidRPr="003814DD">
        <w:rPr>
          <w:rFonts w:ascii="Verdana" w:hAnsi="Verdana"/>
          <w:sz w:val="24"/>
          <w:szCs w:val="24"/>
        </w:rPr>
        <w:t xml:space="preserve">would also aid the </w:t>
      </w:r>
      <w:r w:rsidRPr="003814DD">
        <w:rPr>
          <w:rFonts w:ascii="Verdana" w:hAnsi="Verdana"/>
          <w:sz w:val="24"/>
          <w:szCs w:val="24"/>
        </w:rPr>
        <w:t>international mo</w:t>
      </w:r>
      <w:r w:rsidRPr="003814DD">
        <w:rPr>
          <w:rFonts w:ascii="Verdana" w:hAnsi="Verdana"/>
          <w:sz w:val="24"/>
          <w:szCs w:val="24"/>
        </w:rPr>
        <w:t xml:space="preserve">bility </w:t>
      </w:r>
      <w:r w:rsidRPr="003814DD">
        <w:rPr>
          <w:rFonts w:ascii="Verdana" w:hAnsi="Verdana"/>
          <w:sz w:val="24"/>
          <w:szCs w:val="24"/>
        </w:rPr>
        <w:t>for vocational education and training learners, including apprentices.</w:t>
      </w:r>
    </w:p>
    <w:p w:rsidR="003814DD" w:rsidRPr="003814DD" w:rsidP="00B21006">
      <w:pPr>
        <w:pStyle w:val="NoSpacing"/>
        <w:rPr>
          <w:rFonts w:ascii="Verdana" w:hAnsi="Verdana"/>
          <w:sz w:val="24"/>
          <w:szCs w:val="24"/>
        </w:rPr>
      </w:pPr>
    </w:p>
    <w:p w:rsidR="003814DD" w:rsidRPr="003814DD" w:rsidP="004A6AE4">
      <w:pPr>
        <w:pStyle w:val="NoSpacing"/>
        <w:rPr>
          <w:rFonts w:ascii="Verdana" w:hAnsi="Verdana"/>
          <w:b/>
          <w:bCs/>
          <w:sz w:val="24"/>
          <w:szCs w:val="24"/>
        </w:rPr>
      </w:pPr>
      <w:r w:rsidRPr="003814DD">
        <w:rPr>
          <w:rFonts w:ascii="Verdana" w:hAnsi="Verdana"/>
          <w:b/>
          <w:bCs/>
          <w:sz w:val="24"/>
          <w:szCs w:val="24"/>
        </w:rPr>
        <w:t>Mobility - A</w:t>
      </w:r>
      <w:r w:rsidRPr="003814DD">
        <w:rPr>
          <w:rFonts w:ascii="Verdana" w:hAnsi="Verdana"/>
          <w:b/>
          <w:bCs/>
          <w:sz w:val="24"/>
          <w:szCs w:val="24"/>
        </w:rPr>
        <w:t>ccess to EU border e-gates</w:t>
      </w:r>
    </w:p>
    <w:p w:rsidR="003814DD" w:rsidRPr="003814DD" w:rsidP="00B21006">
      <w:pPr>
        <w:pStyle w:val="NoSpacing"/>
        <w:rPr>
          <w:rFonts w:ascii="Verdana" w:hAnsi="Verdana"/>
          <w:sz w:val="24"/>
          <w:szCs w:val="24"/>
        </w:rPr>
      </w:pPr>
      <w:r w:rsidRPr="003814DD">
        <w:rPr>
          <w:rFonts w:ascii="Verdana" w:hAnsi="Verdana"/>
          <w:sz w:val="24"/>
          <w:szCs w:val="24"/>
        </w:rPr>
        <w:t>Reinstating UK citizens’ uniform access to EU border e-gates is</w:t>
      </w:r>
      <w:r w:rsidRPr="003814DD">
        <w:rPr>
          <w:rFonts w:ascii="Verdana" w:hAnsi="Verdana"/>
          <w:sz w:val="24"/>
          <w:szCs w:val="24"/>
        </w:rPr>
        <w:t xml:space="preserve"> an example of a </w:t>
      </w:r>
      <w:r w:rsidRPr="003814DD">
        <w:rPr>
          <w:rFonts w:ascii="Verdana" w:hAnsi="Verdana"/>
          <w:sz w:val="24"/>
          <w:szCs w:val="24"/>
        </w:rPr>
        <w:t xml:space="preserve">mobility </w:t>
      </w:r>
      <w:r w:rsidRPr="003814DD">
        <w:rPr>
          <w:rFonts w:ascii="Verdana" w:hAnsi="Verdana"/>
          <w:sz w:val="24"/>
          <w:szCs w:val="24"/>
        </w:rPr>
        <w:t>measure that could have a significant impact on the ease of doing business in the EU.</w:t>
      </w:r>
      <w:r w:rsidRPr="003814DD">
        <w:rPr>
          <w:rFonts w:ascii="Verdana" w:hAnsi="Verdana"/>
          <w:sz w:val="24"/>
          <w:szCs w:val="24"/>
        </w:rPr>
        <w:t xml:space="preserve"> While </w:t>
      </w:r>
      <w:r w:rsidRPr="003814DD">
        <w:rPr>
          <w:rFonts w:ascii="Verdana" w:hAnsi="Verdana"/>
          <w:sz w:val="24"/>
          <w:szCs w:val="24"/>
        </w:rPr>
        <w:t xml:space="preserve">it is claimed that </w:t>
      </w:r>
      <w:r w:rsidRPr="003814DD">
        <w:rPr>
          <w:rFonts w:ascii="Verdana" w:hAnsi="Verdana"/>
          <w:sz w:val="24"/>
          <w:szCs w:val="24"/>
        </w:rPr>
        <w:t xml:space="preserve">the </w:t>
      </w:r>
      <w:r w:rsidRPr="003814DD">
        <w:rPr>
          <w:rFonts w:ascii="Verdana" w:hAnsi="Verdana"/>
          <w:sz w:val="24"/>
          <w:szCs w:val="24"/>
        </w:rPr>
        <w:t>EU’s soon to be launched Entry/Exit System (EES)</w:t>
      </w:r>
      <w:r w:rsidRPr="003814DD">
        <w:rPr>
          <w:rFonts w:ascii="Verdana" w:hAnsi="Verdana"/>
          <w:sz w:val="24"/>
          <w:szCs w:val="24"/>
        </w:rPr>
        <w:t xml:space="preserve"> will allow a wider use of automated border control checks and self-service systems</w:t>
      </w:r>
      <w:r w:rsidRPr="003814DD">
        <w:rPr>
          <w:rFonts w:ascii="Verdana" w:hAnsi="Verdana"/>
          <w:sz w:val="24"/>
          <w:szCs w:val="24"/>
        </w:rPr>
        <w:t xml:space="preserve">, this </w:t>
      </w:r>
      <w:r w:rsidRPr="003814DD">
        <w:rPr>
          <w:rFonts w:ascii="Verdana" w:hAnsi="Verdana"/>
          <w:sz w:val="24"/>
          <w:szCs w:val="24"/>
        </w:rPr>
        <w:t xml:space="preserve">falls </w:t>
      </w:r>
      <w:r w:rsidRPr="003814DD">
        <w:rPr>
          <w:rFonts w:ascii="Verdana" w:hAnsi="Verdana"/>
          <w:sz w:val="24"/>
          <w:szCs w:val="24"/>
        </w:rPr>
        <w:t>short of</w:t>
      </w:r>
      <w:r w:rsidRPr="003814DD">
        <w:rPr>
          <w:rFonts w:ascii="Verdana" w:hAnsi="Verdana"/>
          <w:sz w:val="24"/>
          <w:szCs w:val="24"/>
        </w:rPr>
        <w:t xml:space="preserve"> </w:t>
      </w:r>
      <w:r w:rsidRPr="003814DD">
        <w:rPr>
          <w:rFonts w:ascii="Verdana" w:hAnsi="Verdana"/>
          <w:sz w:val="24"/>
          <w:szCs w:val="24"/>
        </w:rPr>
        <w:t xml:space="preserve">guarantee </w:t>
      </w:r>
      <w:r w:rsidRPr="003814DD">
        <w:rPr>
          <w:rFonts w:ascii="Verdana" w:hAnsi="Verdana"/>
          <w:sz w:val="24"/>
          <w:szCs w:val="24"/>
        </w:rPr>
        <w:t xml:space="preserve">that </w:t>
      </w:r>
      <w:r w:rsidRPr="003814DD">
        <w:rPr>
          <w:rFonts w:ascii="Verdana" w:hAnsi="Verdana"/>
          <w:sz w:val="24"/>
          <w:szCs w:val="24"/>
        </w:rPr>
        <w:t>automated</w:t>
      </w:r>
      <w:r w:rsidRPr="003814DD">
        <w:rPr>
          <w:rFonts w:ascii="Verdana" w:hAnsi="Verdana"/>
          <w:sz w:val="24"/>
          <w:szCs w:val="24"/>
        </w:rPr>
        <w:t xml:space="preserve"> systems will be made available in a </w:t>
      </w:r>
      <w:r w:rsidRPr="003814DD">
        <w:rPr>
          <w:rFonts w:ascii="Verdana" w:hAnsi="Verdana"/>
          <w:sz w:val="24"/>
          <w:szCs w:val="24"/>
        </w:rPr>
        <w:t xml:space="preserve">uniform </w:t>
      </w:r>
      <w:r w:rsidRPr="003814DD">
        <w:rPr>
          <w:rFonts w:ascii="Verdana" w:hAnsi="Verdana"/>
          <w:sz w:val="24"/>
          <w:szCs w:val="24"/>
        </w:rPr>
        <w:t>manner</w:t>
      </w:r>
      <w:r w:rsidRPr="003814DD">
        <w:rPr>
          <w:rFonts w:ascii="Verdana" w:hAnsi="Verdana"/>
          <w:sz w:val="24"/>
          <w:szCs w:val="24"/>
        </w:rPr>
        <w:t>.</w:t>
      </w:r>
      <w:r w:rsidRPr="003814DD">
        <w:rPr>
          <w:rFonts w:ascii="Verdana" w:hAnsi="Verdana"/>
          <w:sz w:val="24"/>
          <w:szCs w:val="24"/>
        </w:rPr>
        <w:t xml:space="preserve"> </w:t>
      </w:r>
      <w:r w:rsidRPr="003814DD">
        <w:rPr>
          <w:rFonts w:ascii="Verdana" w:hAnsi="Verdana"/>
          <w:sz w:val="24"/>
          <w:szCs w:val="24"/>
        </w:rPr>
        <w:t xml:space="preserve">The UK has never withdrawn </w:t>
      </w:r>
      <w:r w:rsidRPr="003814DD">
        <w:rPr>
          <w:rFonts w:ascii="Verdana" w:hAnsi="Verdana"/>
          <w:sz w:val="24"/>
          <w:szCs w:val="24"/>
        </w:rPr>
        <w:t xml:space="preserve">access to border e-gates </w:t>
      </w:r>
      <w:r w:rsidRPr="003814DD">
        <w:rPr>
          <w:rFonts w:ascii="Verdana" w:hAnsi="Verdana"/>
          <w:sz w:val="24"/>
          <w:szCs w:val="24"/>
        </w:rPr>
        <w:t xml:space="preserve">for EU passport-holders, and it </w:t>
      </w:r>
      <w:r w:rsidRPr="003814DD">
        <w:rPr>
          <w:rFonts w:ascii="Verdana" w:hAnsi="Verdana"/>
          <w:sz w:val="24"/>
          <w:szCs w:val="24"/>
        </w:rPr>
        <w:t xml:space="preserve">ought to </w:t>
      </w:r>
      <w:r w:rsidRPr="003814DD">
        <w:rPr>
          <w:rFonts w:ascii="Verdana" w:hAnsi="Verdana"/>
          <w:sz w:val="24"/>
          <w:szCs w:val="24"/>
        </w:rPr>
        <w:t>be relatively easy</w:t>
      </w:r>
      <w:r w:rsidRPr="003814DD">
        <w:rPr>
          <w:rFonts w:ascii="Verdana" w:hAnsi="Verdana"/>
          <w:sz w:val="24"/>
          <w:szCs w:val="24"/>
        </w:rPr>
        <w:t xml:space="preserve"> </w:t>
      </w:r>
      <w:r w:rsidRPr="003814DD">
        <w:rPr>
          <w:rFonts w:ascii="Verdana" w:hAnsi="Verdana"/>
          <w:sz w:val="24"/>
          <w:szCs w:val="24"/>
        </w:rPr>
        <w:t>for all EU member-states to r</w:t>
      </w:r>
      <w:r w:rsidRPr="003814DD">
        <w:rPr>
          <w:rFonts w:ascii="Verdana" w:hAnsi="Verdana"/>
          <w:sz w:val="24"/>
          <w:szCs w:val="24"/>
        </w:rPr>
        <w:t>estore it for UK passport-holders. The reinstatement of uniform reciprocity in this space would both make a positive impact on the efficiency of FRPS service delivery and help to set a positive tone for the future relationship.</w:t>
      </w:r>
    </w:p>
    <w:p w:rsidR="003814DD" w:rsidRPr="003814DD" w:rsidP="00B21006">
      <w:pPr>
        <w:pStyle w:val="NoSpacing"/>
        <w:rPr>
          <w:rFonts w:ascii="Verdana" w:hAnsi="Verdana"/>
          <w:sz w:val="24"/>
          <w:szCs w:val="24"/>
        </w:rPr>
      </w:pPr>
    </w:p>
    <w:p w:rsidR="003814DD" w:rsidRPr="003814DD" w:rsidP="00B21006">
      <w:pPr>
        <w:pStyle w:val="NoSpacing"/>
        <w:rPr>
          <w:rFonts w:ascii="Verdana" w:hAnsi="Verdana"/>
          <w:b/>
          <w:bCs/>
          <w:sz w:val="24"/>
          <w:szCs w:val="24"/>
        </w:rPr>
      </w:pPr>
      <w:r w:rsidRPr="003814DD">
        <w:rPr>
          <w:rFonts w:ascii="Verdana" w:hAnsi="Verdana"/>
          <w:b/>
          <w:bCs/>
          <w:sz w:val="24"/>
          <w:szCs w:val="24"/>
        </w:rPr>
        <w:t xml:space="preserve">Data Adequacy </w:t>
      </w:r>
      <w:r w:rsidRPr="003814DD">
        <w:rPr>
          <w:rFonts w:ascii="Verdana" w:hAnsi="Verdana"/>
          <w:b/>
          <w:bCs/>
          <w:sz w:val="24"/>
          <w:szCs w:val="24"/>
        </w:rPr>
        <w:t>–</w:t>
      </w:r>
      <w:r w:rsidRPr="003814DD">
        <w:rPr>
          <w:rFonts w:ascii="Verdana" w:hAnsi="Verdana"/>
          <w:b/>
          <w:bCs/>
          <w:sz w:val="24"/>
          <w:szCs w:val="24"/>
        </w:rPr>
        <w:t xml:space="preserve"> </w:t>
      </w:r>
      <w:r w:rsidRPr="003814DD">
        <w:rPr>
          <w:rFonts w:ascii="Verdana" w:hAnsi="Verdana"/>
          <w:b/>
          <w:bCs/>
          <w:sz w:val="24"/>
          <w:szCs w:val="24"/>
        </w:rPr>
        <w:t>Renewal of EU</w:t>
      </w:r>
      <w:r w:rsidRPr="003814DD">
        <w:rPr>
          <w:rFonts w:ascii="Verdana" w:hAnsi="Verdana"/>
          <w:b/>
          <w:bCs/>
          <w:sz w:val="24"/>
          <w:szCs w:val="24"/>
        </w:rPr>
        <w:t xml:space="preserve"> adequacy</w:t>
      </w:r>
      <w:r w:rsidRPr="003814DD">
        <w:rPr>
          <w:rFonts w:ascii="Verdana" w:hAnsi="Verdana"/>
          <w:b/>
          <w:bCs/>
          <w:sz w:val="24"/>
          <w:szCs w:val="24"/>
        </w:rPr>
        <w:t xml:space="preserve"> decision </w:t>
      </w:r>
      <w:r w:rsidRPr="003814DD">
        <w:rPr>
          <w:rFonts w:ascii="Verdana" w:hAnsi="Verdana"/>
          <w:b/>
          <w:bCs/>
          <w:sz w:val="24"/>
          <w:szCs w:val="24"/>
        </w:rPr>
        <w:t>with a long-term solution</w:t>
      </w:r>
    </w:p>
    <w:p w:rsidR="003814DD" w:rsidRPr="003814DD" w:rsidP="00D27C22">
      <w:pPr>
        <w:pStyle w:val="NoSpacing"/>
        <w:rPr>
          <w:rFonts w:ascii="Verdana" w:hAnsi="Verdana"/>
          <w:sz w:val="24"/>
          <w:szCs w:val="24"/>
        </w:rPr>
      </w:pPr>
      <w:r w:rsidRPr="003814DD">
        <w:rPr>
          <w:rFonts w:ascii="Verdana" w:hAnsi="Verdana"/>
          <w:sz w:val="24"/>
          <w:szCs w:val="24"/>
        </w:rPr>
        <w:t xml:space="preserve">The free flow of data is crucial to the competitiveness of the financial and </w:t>
      </w:r>
      <w:r w:rsidRPr="003814DD">
        <w:rPr>
          <w:rFonts w:ascii="Verdana" w:hAnsi="Verdana"/>
          <w:sz w:val="24"/>
          <w:szCs w:val="24"/>
        </w:rPr>
        <w:t>rela</w:t>
      </w:r>
      <w:r w:rsidRPr="003814DD">
        <w:rPr>
          <w:rFonts w:ascii="Verdana" w:hAnsi="Verdana"/>
          <w:sz w:val="24"/>
          <w:szCs w:val="24"/>
        </w:rPr>
        <w:t xml:space="preserve">ted </w:t>
      </w:r>
      <w:r w:rsidRPr="003814DD">
        <w:rPr>
          <w:rFonts w:ascii="Verdana" w:hAnsi="Verdana"/>
          <w:sz w:val="24"/>
          <w:szCs w:val="24"/>
        </w:rPr>
        <w:t xml:space="preserve">professional services </w:t>
      </w:r>
      <w:r w:rsidRPr="003814DD">
        <w:rPr>
          <w:rFonts w:ascii="Verdana" w:hAnsi="Verdana"/>
          <w:sz w:val="24"/>
          <w:szCs w:val="24"/>
        </w:rPr>
        <w:t>industry.</w:t>
      </w:r>
      <w:r w:rsidRPr="003814DD">
        <w:rPr>
          <w:rFonts w:ascii="Verdana" w:hAnsi="Verdana"/>
          <w:sz w:val="24"/>
          <w:szCs w:val="24"/>
        </w:rPr>
        <w:t xml:space="preserve"> Financial services</w:t>
      </w:r>
      <w:r w:rsidRPr="003814DD">
        <w:rPr>
          <w:rFonts w:ascii="Verdana" w:hAnsi="Verdana"/>
          <w:sz w:val="24"/>
          <w:szCs w:val="24"/>
        </w:rPr>
        <w:t>, in particular,</w:t>
      </w:r>
      <w:r w:rsidRPr="003814DD">
        <w:rPr>
          <w:rFonts w:ascii="Verdana" w:hAnsi="Verdana"/>
          <w:sz w:val="24"/>
          <w:szCs w:val="24"/>
        </w:rPr>
        <w:t xml:space="preserve"> is</w:t>
      </w:r>
      <w:r w:rsidRPr="003814DD">
        <w:rPr>
          <w:rFonts w:ascii="Verdana" w:hAnsi="Verdana"/>
          <w:sz w:val="24"/>
          <w:szCs w:val="24"/>
        </w:rPr>
        <w:t xml:space="preserve"> one of the most digitalised, globalised, and regulated sectors. </w:t>
      </w:r>
      <w:r w:rsidRPr="003814DD">
        <w:rPr>
          <w:rFonts w:ascii="Verdana" w:hAnsi="Verdana"/>
          <w:sz w:val="24"/>
          <w:szCs w:val="24"/>
        </w:rPr>
        <w:t>TheCityUK</w:t>
      </w:r>
      <w:r w:rsidRPr="003814DD">
        <w:rPr>
          <w:rFonts w:ascii="Verdana" w:hAnsi="Verdana"/>
          <w:sz w:val="24"/>
          <w:szCs w:val="24"/>
        </w:rPr>
        <w:t xml:space="preserve"> estimate</w:t>
      </w:r>
      <w:r w:rsidRPr="003814DD">
        <w:rPr>
          <w:rFonts w:ascii="Verdana" w:hAnsi="Verdana"/>
          <w:sz w:val="24"/>
          <w:szCs w:val="24"/>
        </w:rPr>
        <w:t>s</w:t>
      </w:r>
      <w:r w:rsidRPr="003814DD">
        <w:rPr>
          <w:rFonts w:ascii="Verdana" w:hAnsi="Verdana"/>
          <w:sz w:val="24"/>
          <w:szCs w:val="24"/>
        </w:rPr>
        <w:t xml:space="preserve"> that in 2023, 96% of UK financial exports were digitally delivered</w:t>
      </w:r>
      <w:r>
        <w:rPr>
          <w:rStyle w:val="FootnoteReference"/>
          <w:rFonts w:ascii="Verdana" w:hAnsi="Verdana"/>
          <w:sz w:val="24"/>
          <w:szCs w:val="24"/>
        </w:rPr>
        <w:footnoteReference w:id="5"/>
      </w:r>
      <w:r w:rsidRPr="003814DD">
        <w:rPr>
          <w:rFonts w:ascii="Verdana" w:hAnsi="Verdana"/>
          <w:sz w:val="24"/>
          <w:szCs w:val="24"/>
        </w:rPr>
        <w:t>.</w:t>
      </w:r>
    </w:p>
    <w:p w:rsidR="003814DD" w:rsidRPr="003814DD" w:rsidP="00D27C22">
      <w:pPr>
        <w:pStyle w:val="NoSpacing"/>
        <w:rPr>
          <w:rFonts w:ascii="Verdana" w:hAnsi="Verdana"/>
          <w:sz w:val="24"/>
          <w:szCs w:val="24"/>
        </w:rPr>
      </w:pPr>
    </w:p>
    <w:p w:rsidR="003814DD" w:rsidRPr="003814DD" w:rsidP="00C354F9">
      <w:pPr>
        <w:pStyle w:val="NoSpacing"/>
        <w:rPr>
          <w:rFonts w:ascii="Verdana" w:hAnsi="Verdana"/>
          <w:sz w:val="24"/>
          <w:szCs w:val="24"/>
        </w:rPr>
      </w:pPr>
      <w:r w:rsidRPr="003814DD">
        <w:rPr>
          <w:rFonts w:ascii="Verdana" w:hAnsi="Verdana"/>
          <w:sz w:val="24"/>
          <w:szCs w:val="24"/>
        </w:rPr>
        <w:t>T</w:t>
      </w:r>
      <w:r w:rsidRPr="003814DD">
        <w:rPr>
          <w:rFonts w:ascii="Verdana" w:hAnsi="Verdana"/>
          <w:sz w:val="24"/>
          <w:szCs w:val="24"/>
        </w:rPr>
        <w:t>he IRSG responded to the enquiry by the House of Lords European Affairs Committee on data adequacy in May 2024, highlighting the importance of the free flow of data between the EU and the UK for our industry.</w:t>
      </w:r>
      <w:r>
        <w:rPr>
          <w:rFonts w:ascii="Verdana" w:hAnsi="Verdana"/>
          <w:sz w:val="24"/>
          <w:szCs w:val="24"/>
          <w:vertAlign w:val="superscript"/>
        </w:rPr>
        <w:footnoteReference w:id="6"/>
      </w:r>
    </w:p>
    <w:p w:rsidR="003814DD" w:rsidRPr="003814DD" w:rsidP="00C354F9">
      <w:pPr>
        <w:pStyle w:val="NoSpacing"/>
        <w:rPr>
          <w:rFonts w:ascii="Verdana" w:hAnsi="Verdana"/>
          <w:sz w:val="24"/>
          <w:szCs w:val="24"/>
        </w:rPr>
      </w:pPr>
    </w:p>
    <w:p w:rsidR="003814DD" w:rsidRPr="003814DD" w:rsidP="00D27C22">
      <w:pPr>
        <w:pStyle w:val="NoSpacing"/>
        <w:rPr>
          <w:rFonts w:ascii="Verdana" w:hAnsi="Verdana"/>
          <w:sz w:val="24"/>
          <w:szCs w:val="24"/>
        </w:rPr>
      </w:pPr>
      <w:r w:rsidRPr="003814DD">
        <w:rPr>
          <w:rFonts w:ascii="Verdana" w:hAnsi="Verdana"/>
          <w:sz w:val="24"/>
          <w:szCs w:val="24"/>
        </w:rPr>
        <w:t>The EU's current adequacy decision for the UK’s data protection framework and the UK's reciprocal adequacy for the EU’s framework are designed to ensure that consumers' personal data is treated safely and responsibly in both jurisdictions. The European Commission’s June 2021 decision to grant UK data adequacy allowed the continued free flow of personal data across the Channel and provided much-needed legal certainty for businesses. This decision was and remains hugely beneficial to EU-based firms in our ind</w:t>
      </w:r>
      <w:r w:rsidRPr="003814DD">
        <w:rPr>
          <w:rFonts w:ascii="Verdana" w:hAnsi="Verdana"/>
          <w:sz w:val="24"/>
          <w:szCs w:val="24"/>
        </w:rPr>
        <w:t xml:space="preserve">ustry </w:t>
      </w:r>
      <w:r w:rsidRPr="003814DD">
        <w:rPr>
          <w:rFonts w:ascii="Verdana" w:hAnsi="Verdana"/>
          <w:sz w:val="24"/>
          <w:szCs w:val="24"/>
        </w:rPr>
        <w:t>and</w:t>
      </w:r>
      <w:r w:rsidRPr="003814DD">
        <w:rPr>
          <w:rFonts w:ascii="Verdana" w:hAnsi="Verdana"/>
          <w:sz w:val="24"/>
          <w:szCs w:val="24"/>
        </w:rPr>
        <w:t xml:space="preserve"> the UK-based ones we represent.</w:t>
      </w:r>
      <w:r w:rsidRPr="003814DD">
        <w:rPr>
          <w:rFonts w:ascii="Verdana" w:hAnsi="Verdana"/>
          <w:sz w:val="24"/>
          <w:szCs w:val="24"/>
        </w:rPr>
        <w:t xml:space="preserve"> </w:t>
      </w:r>
      <w:r w:rsidRPr="003814DD">
        <w:rPr>
          <w:rFonts w:ascii="Verdana" w:hAnsi="Verdana"/>
          <w:sz w:val="24"/>
          <w:szCs w:val="24"/>
        </w:rPr>
        <w:t xml:space="preserve">A disrupted or </w:t>
      </w:r>
      <w:r w:rsidRPr="003814DD">
        <w:rPr>
          <w:rFonts w:ascii="Verdana" w:hAnsi="Verdana"/>
          <w:sz w:val="24"/>
          <w:szCs w:val="24"/>
        </w:rPr>
        <w:t>non-</w:t>
      </w:r>
      <w:r w:rsidRPr="003814DD">
        <w:rPr>
          <w:rFonts w:ascii="Verdana" w:hAnsi="Verdana"/>
          <w:sz w:val="24"/>
          <w:szCs w:val="24"/>
        </w:rPr>
        <w:t xml:space="preserve">adequacy </w:t>
      </w:r>
      <w:r w:rsidRPr="003814DD">
        <w:rPr>
          <w:rFonts w:ascii="Verdana" w:hAnsi="Verdana"/>
          <w:sz w:val="24"/>
          <w:szCs w:val="24"/>
        </w:rPr>
        <w:t xml:space="preserve">scenario would have a considerable negative impact on the financial and professional services sector, whether based in the UK, </w:t>
      </w:r>
      <w:r w:rsidRPr="003814DD">
        <w:rPr>
          <w:rFonts w:ascii="Verdana" w:hAnsi="Verdana"/>
          <w:sz w:val="24"/>
          <w:szCs w:val="24"/>
        </w:rPr>
        <w:t xml:space="preserve">or </w:t>
      </w:r>
      <w:r w:rsidRPr="003814DD">
        <w:rPr>
          <w:rFonts w:ascii="Verdana" w:hAnsi="Verdana"/>
          <w:sz w:val="24"/>
          <w:szCs w:val="24"/>
        </w:rPr>
        <w:t xml:space="preserve">the EU, or as is often the case among </w:t>
      </w:r>
      <w:r w:rsidRPr="003814DD">
        <w:rPr>
          <w:rFonts w:ascii="Verdana" w:hAnsi="Verdana"/>
          <w:sz w:val="24"/>
          <w:szCs w:val="24"/>
        </w:rPr>
        <w:t>TheCityUK’s</w:t>
      </w:r>
      <w:r w:rsidRPr="003814DD">
        <w:rPr>
          <w:rFonts w:ascii="Verdana" w:hAnsi="Verdana"/>
          <w:sz w:val="24"/>
          <w:szCs w:val="24"/>
        </w:rPr>
        <w:t xml:space="preserve"> membership, both.</w:t>
      </w:r>
    </w:p>
    <w:p w:rsidR="003814DD" w:rsidRPr="003814DD" w:rsidP="00D27C22">
      <w:pPr>
        <w:pStyle w:val="NoSpacing"/>
        <w:rPr>
          <w:rFonts w:ascii="Verdana" w:hAnsi="Verdana"/>
          <w:sz w:val="24"/>
          <w:szCs w:val="24"/>
        </w:rPr>
      </w:pPr>
    </w:p>
    <w:p w:rsidR="003814DD" w:rsidRPr="003814DD" w:rsidP="00D27C22">
      <w:pPr>
        <w:pStyle w:val="NoSpacing"/>
        <w:rPr>
          <w:rFonts w:ascii="Verdana" w:hAnsi="Verdana"/>
          <w:sz w:val="24"/>
          <w:szCs w:val="24"/>
        </w:rPr>
      </w:pPr>
      <w:r w:rsidRPr="003814DD">
        <w:rPr>
          <w:rFonts w:ascii="Verdana" w:hAnsi="Verdana"/>
          <w:sz w:val="24"/>
          <w:szCs w:val="24"/>
        </w:rPr>
        <w:t xml:space="preserve">While we welcome the recent announcement </w:t>
      </w:r>
      <w:r w:rsidRPr="003814DD">
        <w:rPr>
          <w:rFonts w:ascii="Verdana" w:hAnsi="Verdana"/>
          <w:sz w:val="24"/>
          <w:szCs w:val="24"/>
        </w:rPr>
        <w:t xml:space="preserve">of a six-month extension </w:t>
      </w:r>
      <w:r w:rsidRPr="003814DD">
        <w:rPr>
          <w:rFonts w:ascii="Verdana" w:hAnsi="Verdana"/>
          <w:sz w:val="24"/>
          <w:szCs w:val="24"/>
        </w:rPr>
        <w:t>to the</w:t>
      </w:r>
      <w:r w:rsidRPr="003814DD">
        <w:rPr>
          <w:rFonts w:ascii="Verdana" w:hAnsi="Verdana"/>
          <w:sz w:val="24"/>
          <w:szCs w:val="24"/>
        </w:rPr>
        <w:t xml:space="preserve"> current </w:t>
      </w:r>
      <w:r w:rsidRPr="003814DD">
        <w:rPr>
          <w:rFonts w:ascii="Verdana" w:hAnsi="Verdana"/>
          <w:sz w:val="24"/>
          <w:szCs w:val="24"/>
        </w:rPr>
        <w:t>adequacy decisions,</w:t>
      </w:r>
      <w:r w:rsidRPr="003814DD">
        <w:rPr>
          <w:rFonts w:ascii="Verdana" w:hAnsi="Verdana"/>
          <w:sz w:val="24"/>
          <w:szCs w:val="24"/>
        </w:rPr>
        <w:t xml:space="preserve"> </w:t>
      </w:r>
      <w:r w:rsidRPr="003814DD">
        <w:rPr>
          <w:rFonts w:ascii="Verdana" w:hAnsi="Verdana"/>
          <w:sz w:val="24"/>
          <w:szCs w:val="24"/>
        </w:rPr>
        <w:t>b</w:t>
      </w:r>
      <w:r w:rsidRPr="003814DD">
        <w:rPr>
          <w:rFonts w:ascii="Verdana" w:hAnsi="Verdana"/>
          <w:sz w:val="24"/>
          <w:szCs w:val="24"/>
        </w:rPr>
        <w:t>oth</w:t>
      </w:r>
      <w:r w:rsidRPr="003814DD">
        <w:rPr>
          <w:rFonts w:ascii="Verdana" w:hAnsi="Verdana"/>
          <w:sz w:val="24"/>
          <w:szCs w:val="24"/>
        </w:rPr>
        <w:t xml:space="preserve"> the UK and EU-based financial services industries </w:t>
      </w:r>
      <w:r w:rsidRPr="003814DD">
        <w:rPr>
          <w:rFonts w:ascii="Verdana" w:hAnsi="Verdana"/>
          <w:sz w:val="24"/>
          <w:szCs w:val="24"/>
        </w:rPr>
        <w:t xml:space="preserve">still </w:t>
      </w:r>
      <w:r w:rsidRPr="003814DD">
        <w:rPr>
          <w:rFonts w:ascii="Verdana" w:hAnsi="Verdana"/>
          <w:sz w:val="24"/>
          <w:szCs w:val="24"/>
        </w:rPr>
        <w:t xml:space="preserve">require urgent clarity in relation to the UK’s continued data adequacy status, with </w:t>
      </w:r>
      <w:r w:rsidRPr="003814DD">
        <w:rPr>
          <w:rFonts w:ascii="Verdana" w:hAnsi="Verdana"/>
          <w:sz w:val="24"/>
          <w:szCs w:val="24"/>
        </w:rPr>
        <w:t>both of the UK’s</w:t>
      </w:r>
      <w:r w:rsidRPr="003814DD">
        <w:rPr>
          <w:rFonts w:ascii="Verdana" w:hAnsi="Verdana"/>
          <w:sz w:val="24"/>
          <w:szCs w:val="24"/>
        </w:rPr>
        <w:t xml:space="preserve"> current adequacy decisions</w:t>
      </w:r>
      <w:r w:rsidRPr="003814DD">
        <w:rPr>
          <w:rFonts w:ascii="Verdana" w:hAnsi="Verdana"/>
          <w:sz w:val="24"/>
          <w:szCs w:val="24"/>
        </w:rPr>
        <w:t xml:space="preserve"> now</w:t>
      </w:r>
      <w:r w:rsidRPr="003814DD">
        <w:rPr>
          <w:rFonts w:ascii="Verdana" w:hAnsi="Verdana"/>
          <w:sz w:val="24"/>
          <w:szCs w:val="24"/>
        </w:rPr>
        <w:t xml:space="preserve"> due to expire on 27 </w:t>
      </w:r>
      <w:r w:rsidRPr="003814DD">
        <w:rPr>
          <w:rFonts w:ascii="Verdana" w:hAnsi="Verdana"/>
          <w:sz w:val="24"/>
          <w:szCs w:val="24"/>
        </w:rPr>
        <w:t>December</w:t>
      </w:r>
      <w:r w:rsidRPr="003814DD">
        <w:rPr>
          <w:rFonts w:ascii="Verdana" w:hAnsi="Verdana"/>
          <w:sz w:val="24"/>
          <w:szCs w:val="24"/>
        </w:rPr>
        <w:t xml:space="preserve"> </w:t>
      </w:r>
      <w:r w:rsidRPr="003814DD">
        <w:rPr>
          <w:rFonts w:ascii="Verdana" w:hAnsi="Verdana"/>
          <w:sz w:val="24"/>
          <w:szCs w:val="24"/>
        </w:rPr>
        <w:t>2025.</w:t>
      </w:r>
      <w:r w:rsidRPr="003814DD">
        <w:rPr>
          <w:rFonts w:ascii="Verdana" w:hAnsi="Verdana"/>
          <w:sz w:val="24"/>
          <w:szCs w:val="24"/>
        </w:rPr>
        <w:t xml:space="preserve"> </w:t>
      </w:r>
      <w:r w:rsidRPr="003814DD">
        <w:rPr>
          <w:rFonts w:ascii="Verdana" w:hAnsi="Verdana"/>
          <w:sz w:val="24"/>
          <w:szCs w:val="24"/>
        </w:rPr>
        <w:t>I</w:t>
      </w:r>
      <w:r w:rsidRPr="003814DD">
        <w:rPr>
          <w:rFonts w:ascii="Verdana" w:hAnsi="Verdana"/>
          <w:sz w:val="24"/>
          <w:szCs w:val="24"/>
        </w:rPr>
        <w:t xml:space="preserve">ndustry needs a decision to be taken as soon as is possible and well ahead of the deadline, avoiding a costly cliff-edge situation. </w:t>
      </w:r>
    </w:p>
    <w:p w:rsidR="003814DD" w:rsidRPr="003814DD" w:rsidP="00D27C22">
      <w:pPr>
        <w:pStyle w:val="NoSpacing"/>
        <w:rPr>
          <w:rFonts w:ascii="Verdana" w:hAnsi="Verdana"/>
          <w:sz w:val="24"/>
          <w:szCs w:val="24"/>
        </w:rPr>
      </w:pPr>
    </w:p>
    <w:p w:rsidR="003814DD" w:rsidRPr="003814DD" w:rsidP="00D27C22">
      <w:pPr>
        <w:pStyle w:val="NoSpacing"/>
        <w:rPr>
          <w:rFonts w:ascii="Verdana" w:hAnsi="Verdana"/>
          <w:sz w:val="24"/>
          <w:szCs w:val="24"/>
        </w:rPr>
      </w:pPr>
      <w:r w:rsidRPr="003814DD">
        <w:rPr>
          <w:rFonts w:ascii="Verdana" w:hAnsi="Verdana"/>
          <w:sz w:val="24"/>
          <w:szCs w:val="24"/>
        </w:rPr>
        <w:t>The UK’s current situation represents the only instance that any EU data adequacy decision has been granted subject to a sunset clause. We understand that the EU undertakes a process of periodic review of its data adequacy determinations</w:t>
      </w:r>
      <w:r w:rsidRPr="003814DD">
        <w:rPr>
          <w:rFonts w:ascii="Verdana" w:hAnsi="Verdana"/>
          <w:sz w:val="24"/>
          <w:szCs w:val="24"/>
        </w:rPr>
        <w:t>. Even so</w:t>
      </w:r>
      <w:r w:rsidRPr="003814DD">
        <w:rPr>
          <w:rFonts w:ascii="Verdana" w:hAnsi="Verdana"/>
          <w:sz w:val="24"/>
          <w:szCs w:val="24"/>
        </w:rPr>
        <w:t xml:space="preserve">, the </w:t>
      </w:r>
      <w:r w:rsidRPr="003814DD">
        <w:rPr>
          <w:rFonts w:ascii="Verdana" w:hAnsi="Verdana"/>
          <w:sz w:val="24"/>
          <w:szCs w:val="24"/>
        </w:rPr>
        <w:t xml:space="preserve">UK is unique in being the only partner to which </w:t>
      </w:r>
      <w:r w:rsidRPr="003814DD">
        <w:rPr>
          <w:rFonts w:ascii="Verdana" w:hAnsi="Verdana"/>
          <w:sz w:val="24"/>
          <w:szCs w:val="24"/>
        </w:rPr>
        <w:t xml:space="preserve">the EU has applied a </w:t>
      </w:r>
      <w:r w:rsidRPr="003814DD">
        <w:rPr>
          <w:rFonts w:ascii="Verdana" w:hAnsi="Verdana"/>
          <w:sz w:val="24"/>
          <w:szCs w:val="24"/>
        </w:rPr>
        <w:t xml:space="preserve">sunset clause. </w:t>
      </w:r>
      <w:r w:rsidRPr="003814DD">
        <w:rPr>
          <w:rFonts w:ascii="Verdana" w:hAnsi="Verdana"/>
          <w:sz w:val="24"/>
          <w:szCs w:val="24"/>
        </w:rPr>
        <w:t xml:space="preserve">The </w:t>
      </w:r>
      <w:r w:rsidRPr="003814DD">
        <w:rPr>
          <w:rFonts w:ascii="Verdana" w:hAnsi="Verdana"/>
          <w:sz w:val="24"/>
          <w:szCs w:val="24"/>
        </w:rPr>
        <w:t>R</w:t>
      </w:r>
      <w:r w:rsidRPr="003814DD">
        <w:rPr>
          <w:rFonts w:ascii="Verdana" w:hAnsi="Verdana"/>
          <w:sz w:val="24"/>
          <w:szCs w:val="24"/>
        </w:rPr>
        <w:t>eset should</w:t>
      </w:r>
      <w:r w:rsidRPr="003814DD">
        <w:rPr>
          <w:rFonts w:ascii="Verdana" w:hAnsi="Verdana"/>
          <w:sz w:val="24"/>
          <w:szCs w:val="24"/>
        </w:rPr>
        <w:t xml:space="preserve"> provide the impetus for the EU to take a more </w:t>
      </w:r>
      <w:r w:rsidRPr="003814DD">
        <w:rPr>
          <w:rFonts w:ascii="Verdana" w:hAnsi="Verdana"/>
          <w:sz w:val="24"/>
          <w:szCs w:val="24"/>
        </w:rPr>
        <w:t>consistent</w:t>
      </w:r>
      <w:r w:rsidRPr="003814DD">
        <w:rPr>
          <w:rFonts w:ascii="Verdana" w:hAnsi="Verdana"/>
          <w:sz w:val="24"/>
          <w:szCs w:val="24"/>
        </w:rPr>
        <w:t xml:space="preserve"> approach to the UK’s data adequacy determination in future,</w:t>
      </w:r>
      <w:r w:rsidRPr="003814DD">
        <w:rPr>
          <w:rFonts w:ascii="Verdana" w:hAnsi="Verdana"/>
          <w:sz w:val="24"/>
          <w:szCs w:val="24"/>
        </w:rPr>
        <w:t xml:space="preserve"> namely without the inclusion of </w:t>
      </w:r>
      <w:r w:rsidRPr="003814DD">
        <w:rPr>
          <w:rFonts w:ascii="Verdana" w:hAnsi="Verdana"/>
          <w:sz w:val="24"/>
          <w:szCs w:val="24"/>
        </w:rPr>
        <w:t>such</w:t>
      </w:r>
      <w:r w:rsidRPr="003814DD">
        <w:rPr>
          <w:rFonts w:ascii="Verdana" w:hAnsi="Verdana"/>
          <w:sz w:val="24"/>
          <w:szCs w:val="24"/>
        </w:rPr>
        <w:t xml:space="preserve"> arbitrary</w:t>
      </w:r>
      <w:r w:rsidRPr="003814DD">
        <w:rPr>
          <w:rFonts w:ascii="Verdana" w:hAnsi="Verdana"/>
          <w:sz w:val="24"/>
          <w:szCs w:val="24"/>
        </w:rPr>
        <w:t xml:space="preserve"> sunset clauses.</w:t>
      </w:r>
    </w:p>
    <w:p w:rsidR="003814DD" w:rsidRPr="003814DD" w:rsidP="00D27C22">
      <w:pPr>
        <w:pStyle w:val="NoSpacing"/>
        <w:rPr>
          <w:rFonts w:ascii="Verdana" w:hAnsi="Verdana"/>
          <w:sz w:val="24"/>
          <w:szCs w:val="24"/>
        </w:rPr>
      </w:pPr>
    </w:p>
    <w:p w:rsidR="003814DD" w:rsidRPr="003814DD" w:rsidP="00D27C22">
      <w:pPr>
        <w:pStyle w:val="NoSpacing"/>
        <w:rPr>
          <w:rFonts w:ascii="Verdana" w:hAnsi="Verdana"/>
          <w:b/>
          <w:bCs/>
          <w:sz w:val="24"/>
          <w:szCs w:val="24"/>
        </w:rPr>
      </w:pPr>
      <w:r w:rsidRPr="003814DD">
        <w:rPr>
          <w:rFonts w:ascii="Verdana" w:hAnsi="Verdana"/>
          <w:b/>
          <w:bCs/>
          <w:sz w:val="24"/>
          <w:szCs w:val="24"/>
        </w:rPr>
        <w:t>Other specific trade and regulatory issues</w:t>
      </w:r>
    </w:p>
    <w:p w:rsidR="003814DD" w:rsidRPr="003814DD" w:rsidP="00D27C22">
      <w:pPr>
        <w:pStyle w:val="NoSpacing"/>
        <w:rPr>
          <w:rFonts w:ascii="Verdana" w:hAnsi="Verdana"/>
          <w:sz w:val="24"/>
          <w:szCs w:val="24"/>
        </w:rPr>
      </w:pPr>
      <w:r w:rsidRPr="003814DD">
        <w:rPr>
          <w:rFonts w:ascii="Verdana" w:hAnsi="Verdana"/>
          <w:sz w:val="24"/>
          <w:szCs w:val="24"/>
        </w:rPr>
        <w:t>The UK and the EU are bound together not only by the Withdraw</w:t>
      </w:r>
      <w:r w:rsidRPr="003814DD">
        <w:rPr>
          <w:rFonts w:ascii="Verdana" w:hAnsi="Verdana"/>
          <w:sz w:val="24"/>
          <w:szCs w:val="24"/>
        </w:rPr>
        <w:t>al</w:t>
      </w:r>
      <w:r w:rsidRPr="003814DD">
        <w:rPr>
          <w:rFonts w:ascii="Verdana" w:hAnsi="Verdana"/>
          <w:sz w:val="24"/>
          <w:szCs w:val="24"/>
        </w:rPr>
        <w:t xml:space="preserve"> Agreement and the TC</w:t>
      </w:r>
      <w:r w:rsidRPr="003814DD">
        <w:rPr>
          <w:rFonts w:ascii="Verdana" w:hAnsi="Verdana"/>
          <w:sz w:val="24"/>
          <w:szCs w:val="24"/>
        </w:rPr>
        <w:t>A</w:t>
      </w:r>
      <w:r w:rsidRPr="003814DD">
        <w:rPr>
          <w:rFonts w:ascii="Verdana" w:hAnsi="Verdana"/>
          <w:sz w:val="24"/>
          <w:szCs w:val="24"/>
        </w:rPr>
        <w:t xml:space="preserve"> but </w:t>
      </w:r>
      <w:r w:rsidRPr="003814DD">
        <w:rPr>
          <w:rFonts w:ascii="Verdana" w:hAnsi="Verdana"/>
          <w:sz w:val="24"/>
          <w:szCs w:val="24"/>
        </w:rPr>
        <w:t>also</w:t>
      </w:r>
      <w:r w:rsidRPr="003814DD">
        <w:rPr>
          <w:rFonts w:ascii="Verdana" w:hAnsi="Verdana"/>
          <w:sz w:val="24"/>
          <w:szCs w:val="24"/>
        </w:rPr>
        <w:t xml:space="preserve"> by </w:t>
      </w:r>
      <w:r w:rsidRPr="003814DD">
        <w:rPr>
          <w:rFonts w:ascii="Verdana" w:hAnsi="Verdana"/>
          <w:sz w:val="24"/>
          <w:szCs w:val="24"/>
        </w:rPr>
        <w:t>commitments made to each other under the WTO Agreements including the General Agreement on Trade</w:t>
      </w:r>
      <w:r w:rsidRPr="003814DD">
        <w:rPr>
          <w:rFonts w:ascii="Verdana" w:hAnsi="Verdana"/>
          <w:sz w:val="24"/>
          <w:szCs w:val="24"/>
        </w:rPr>
        <w:t xml:space="preserve"> </w:t>
      </w:r>
      <w:r w:rsidRPr="003814DD">
        <w:rPr>
          <w:rFonts w:ascii="Verdana" w:hAnsi="Verdana"/>
          <w:sz w:val="24"/>
          <w:szCs w:val="24"/>
        </w:rPr>
        <w:t>in Services (GATS)</w:t>
      </w:r>
      <w:r w:rsidRPr="003814DD">
        <w:rPr>
          <w:rFonts w:ascii="Verdana" w:hAnsi="Verdana"/>
          <w:sz w:val="24"/>
          <w:szCs w:val="24"/>
        </w:rPr>
        <w:t xml:space="preserve">. </w:t>
      </w:r>
      <w:r w:rsidRPr="003814DD">
        <w:rPr>
          <w:rFonts w:ascii="Verdana" w:hAnsi="Verdana"/>
          <w:sz w:val="24"/>
          <w:szCs w:val="24"/>
        </w:rPr>
        <w:t xml:space="preserve">TheCityUK is examining whether certain trade and regulatory measures </w:t>
      </w:r>
      <w:r w:rsidRPr="003814DD">
        <w:rPr>
          <w:rFonts w:ascii="Verdana" w:hAnsi="Verdana"/>
          <w:sz w:val="24"/>
          <w:szCs w:val="24"/>
        </w:rPr>
        <w:t xml:space="preserve">for FRPS </w:t>
      </w:r>
      <w:r w:rsidRPr="003814DD">
        <w:rPr>
          <w:rFonts w:ascii="Verdana" w:hAnsi="Verdana"/>
          <w:sz w:val="24"/>
          <w:szCs w:val="24"/>
        </w:rPr>
        <w:t xml:space="preserve">introduced </w:t>
      </w:r>
      <w:r w:rsidRPr="003814DD">
        <w:rPr>
          <w:rFonts w:ascii="Verdana" w:hAnsi="Verdana"/>
          <w:sz w:val="24"/>
          <w:szCs w:val="24"/>
        </w:rPr>
        <w:t>since the UK’s departure from the EU sit well with both sides’ GATS commitments</w:t>
      </w:r>
      <w:r w:rsidRPr="003814DD">
        <w:rPr>
          <w:rFonts w:ascii="Verdana" w:hAnsi="Verdana"/>
          <w:sz w:val="24"/>
          <w:szCs w:val="24"/>
        </w:rPr>
        <w:t xml:space="preserve">. </w:t>
      </w:r>
      <w:r w:rsidRPr="003814DD">
        <w:rPr>
          <w:rFonts w:ascii="Verdana" w:hAnsi="Verdana"/>
          <w:sz w:val="24"/>
          <w:szCs w:val="24"/>
        </w:rPr>
        <w:t xml:space="preserve">The </w:t>
      </w:r>
      <w:r w:rsidRPr="003814DD">
        <w:rPr>
          <w:rFonts w:ascii="Verdana" w:hAnsi="Verdana"/>
          <w:sz w:val="24"/>
          <w:szCs w:val="24"/>
        </w:rPr>
        <w:t>R</w:t>
      </w:r>
      <w:r w:rsidRPr="003814DD">
        <w:rPr>
          <w:rFonts w:ascii="Verdana" w:hAnsi="Verdana"/>
          <w:sz w:val="24"/>
          <w:szCs w:val="24"/>
        </w:rPr>
        <w:t xml:space="preserve">eset could prove an opportunity for reconsidering </w:t>
      </w:r>
      <w:r w:rsidRPr="003814DD">
        <w:rPr>
          <w:rFonts w:ascii="Verdana" w:hAnsi="Verdana"/>
          <w:sz w:val="24"/>
          <w:szCs w:val="24"/>
        </w:rPr>
        <w:t>any measures that appear at odds with th</w:t>
      </w:r>
      <w:r w:rsidRPr="003814DD">
        <w:rPr>
          <w:rFonts w:ascii="Verdana" w:hAnsi="Verdana"/>
          <w:sz w:val="24"/>
          <w:szCs w:val="24"/>
        </w:rPr>
        <w:t>ose commitments.</w:t>
      </w:r>
    </w:p>
    <w:p w:rsidR="003814DD" w:rsidRPr="003814DD" w:rsidP="00B21006">
      <w:pPr>
        <w:pStyle w:val="NoSpacing"/>
        <w:rPr>
          <w:rFonts w:ascii="Verdana" w:hAnsi="Verdana"/>
          <w:sz w:val="24"/>
          <w:szCs w:val="24"/>
        </w:rPr>
      </w:pPr>
    </w:p>
    <w:p w:rsidR="003814DD" w:rsidRPr="003814DD" w:rsidP="00B21006">
      <w:pPr>
        <w:spacing w:after="0" w:line="240" w:lineRule="auto"/>
        <w:rPr>
          <w:rFonts w:ascii="Verdana" w:hAnsi="Verdana"/>
          <w:b/>
          <w:bCs/>
          <w:sz w:val="24"/>
          <w:szCs w:val="24"/>
        </w:rPr>
      </w:pPr>
      <w:r w:rsidRPr="003814DD">
        <w:rPr>
          <w:rFonts w:ascii="Verdana" w:hAnsi="Verdana"/>
          <w:b/>
          <w:bCs/>
          <w:sz w:val="24"/>
          <w:szCs w:val="24"/>
        </w:rPr>
        <w:t>Financial Services</w:t>
      </w:r>
      <w:r w:rsidRPr="003814DD">
        <w:rPr>
          <w:rFonts w:ascii="Verdana" w:hAnsi="Verdana"/>
          <w:b/>
          <w:bCs/>
          <w:sz w:val="24"/>
          <w:szCs w:val="24"/>
        </w:rPr>
        <w:t xml:space="preserve"> – </w:t>
      </w:r>
      <w:r w:rsidRPr="003814DD">
        <w:rPr>
          <w:rFonts w:ascii="Verdana" w:hAnsi="Verdana"/>
          <w:b/>
          <w:bCs/>
          <w:sz w:val="24"/>
          <w:szCs w:val="24"/>
        </w:rPr>
        <w:t xml:space="preserve">Seeking greater ambition and </w:t>
      </w:r>
      <w:r w:rsidRPr="003814DD">
        <w:rPr>
          <w:rFonts w:ascii="Verdana" w:hAnsi="Verdana"/>
          <w:b/>
          <w:bCs/>
          <w:sz w:val="24"/>
          <w:szCs w:val="24"/>
        </w:rPr>
        <w:t>broader</w:t>
      </w:r>
      <w:r w:rsidRPr="003814DD">
        <w:rPr>
          <w:rFonts w:ascii="Verdana" w:hAnsi="Verdana"/>
          <w:b/>
          <w:bCs/>
          <w:sz w:val="24"/>
          <w:szCs w:val="24"/>
        </w:rPr>
        <w:t xml:space="preserve"> </w:t>
      </w:r>
      <w:r w:rsidRPr="003814DD">
        <w:rPr>
          <w:rFonts w:ascii="Verdana" w:hAnsi="Verdana"/>
          <w:b/>
          <w:bCs/>
          <w:sz w:val="24"/>
          <w:szCs w:val="24"/>
        </w:rPr>
        <w:t>collaboration</w:t>
      </w:r>
      <w:r w:rsidRPr="003814DD">
        <w:rPr>
          <w:rFonts w:ascii="Verdana" w:hAnsi="Verdana"/>
          <w:b/>
          <w:bCs/>
          <w:sz w:val="24"/>
          <w:szCs w:val="24"/>
        </w:rPr>
        <w:t xml:space="preserve"> to </w:t>
      </w:r>
      <w:r w:rsidRPr="003814DD">
        <w:rPr>
          <w:rFonts w:ascii="Verdana" w:hAnsi="Verdana"/>
          <w:b/>
          <w:bCs/>
          <w:sz w:val="24"/>
          <w:szCs w:val="24"/>
        </w:rPr>
        <w:t>drive mutual growth missions</w:t>
      </w:r>
    </w:p>
    <w:p w:rsidR="003814DD" w:rsidRPr="003814DD" w:rsidP="00B21006">
      <w:pPr>
        <w:spacing w:after="0" w:line="240" w:lineRule="auto"/>
        <w:rPr>
          <w:rFonts w:ascii="Verdana" w:hAnsi="Verdana"/>
          <w:b/>
          <w:bCs/>
          <w:sz w:val="24"/>
          <w:szCs w:val="24"/>
        </w:rPr>
      </w:pPr>
    </w:p>
    <w:p w:rsidR="003814DD" w:rsidRPr="003814DD" w:rsidP="007246C2">
      <w:pPr>
        <w:spacing w:after="0" w:line="240" w:lineRule="auto"/>
        <w:rPr>
          <w:rFonts w:ascii="Verdana" w:hAnsi="Verdana"/>
          <w:bCs/>
          <w:sz w:val="24"/>
          <w:szCs w:val="24"/>
        </w:rPr>
      </w:pPr>
      <w:r w:rsidRPr="003814DD">
        <w:rPr>
          <w:rFonts w:ascii="Verdana" w:hAnsi="Verdana"/>
          <w:bCs/>
          <w:sz w:val="24"/>
          <w:szCs w:val="24"/>
        </w:rPr>
        <w:t>UK-EU trade in financial services</w:t>
      </w:r>
      <w:r w:rsidRPr="003814DD">
        <w:rPr>
          <w:rFonts w:ascii="Verdana" w:hAnsi="Verdana"/>
          <w:bCs/>
          <w:sz w:val="24"/>
          <w:szCs w:val="24"/>
        </w:rPr>
        <w:t xml:space="preserve">, in </w:t>
      </w:r>
      <w:r w:rsidRPr="003814DD">
        <w:rPr>
          <w:rFonts w:ascii="Verdana" w:hAnsi="Verdana"/>
          <w:bCs/>
          <w:sz w:val="24"/>
          <w:szCs w:val="24"/>
        </w:rPr>
        <w:t>particular, was</w:t>
      </w:r>
      <w:r w:rsidRPr="003814DD">
        <w:rPr>
          <w:rFonts w:ascii="Verdana" w:hAnsi="Verdana"/>
          <w:bCs/>
          <w:sz w:val="24"/>
          <w:szCs w:val="24"/>
        </w:rPr>
        <w:t xml:space="preserve"> </w:t>
      </w:r>
      <w:r w:rsidRPr="003814DD">
        <w:rPr>
          <w:rFonts w:ascii="Verdana" w:hAnsi="Verdana"/>
          <w:bCs/>
          <w:sz w:val="24"/>
          <w:szCs w:val="24"/>
        </w:rPr>
        <w:t xml:space="preserve">barely covered in </w:t>
      </w:r>
      <w:r w:rsidRPr="003814DD">
        <w:rPr>
          <w:rFonts w:ascii="Verdana" w:hAnsi="Verdana"/>
          <w:bCs/>
          <w:sz w:val="24"/>
          <w:szCs w:val="24"/>
        </w:rPr>
        <w:t xml:space="preserve">the TCA. The TCA’s </w:t>
      </w:r>
      <w:r w:rsidRPr="003814DD">
        <w:rPr>
          <w:rFonts w:ascii="Verdana" w:hAnsi="Verdana"/>
          <w:bCs/>
          <w:sz w:val="24"/>
          <w:szCs w:val="24"/>
        </w:rPr>
        <w:t>extremely limited</w:t>
      </w:r>
      <w:r w:rsidRPr="003814DD">
        <w:rPr>
          <w:rFonts w:ascii="Verdana" w:hAnsi="Verdana"/>
          <w:bCs/>
          <w:sz w:val="24"/>
          <w:szCs w:val="24"/>
        </w:rPr>
        <w:t xml:space="preserve"> provisions on financial services have required UK-based operators to change their delivery models to ensure they are able to continue servicing clients within the EU, notably through the sunk costs of subsidiarising within the EU jurisdiction</w:t>
      </w:r>
      <w:r w:rsidRPr="003814DD">
        <w:rPr>
          <w:rFonts w:ascii="Verdana" w:hAnsi="Verdana"/>
          <w:bCs/>
          <w:sz w:val="24"/>
          <w:szCs w:val="24"/>
        </w:rPr>
        <w:t>.</w:t>
      </w:r>
      <w:r w:rsidRPr="003814DD">
        <w:rPr>
          <w:rFonts w:ascii="Verdana" w:hAnsi="Verdana"/>
          <w:bCs/>
          <w:sz w:val="24"/>
          <w:szCs w:val="24"/>
        </w:rPr>
        <w:t xml:space="preserve"> </w:t>
      </w:r>
    </w:p>
    <w:p w:rsidR="003814DD" w:rsidRPr="003814DD" w:rsidP="007246C2">
      <w:pPr>
        <w:spacing w:after="0" w:line="240" w:lineRule="auto"/>
        <w:rPr>
          <w:rFonts w:ascii="Verdana" w:hAnsi="Verdana"/>
          <w:bCs/>
          <w:sz w:val="24"/>
          <w:szCs w:val="24"/>
        </w:rPr>
      </w:pPr>
    </w:p>
    <w:p w:rsidR="003814DD" w:rsidRPr="003814DD" w:rsidP="007246C2">
      <w:pPr>
        <w:spacing w:after="0" w:line="240" w:lineRule="auto"/>
        <w:rPr>
          <w:rFonts w:ascii="Verdana" w:hAnsi="Verdana"/>
          <w:b/>
          <w:sz w:val="24"/>
          <w:szCs w:val="24"/>
        </w:rPr>
      </w:pPr>
      <w:r w:rsidRPr="003814DD">
        <w:rPr>
          <w:rFonts w:ascii="Verdana" w:hAnsi="Verdana"/>
          <w:b/>
          <w:sz w:val="24"/>
          <w:szCs w:val="24"/>
        </w:rPr>
        <w:t>Co</w:t>
      </w:r>
      <w:r w:rsidRPr="003814DD">
        <w:rPr>
          <w:rFonts w:ascii="Verdana" w:hAnsi="Verdana"/>
          <w:b/>
          <w:sz w:val="24"/>
          <w:szCs w:val="24"/>
        </w:rPr>
        <w:t>mmon</w:t>
      </w:r>
      <w:r w:rsidRPr="003814DD">
        <w:rPr>
          <w:rFonts w:ascii="Verdana" w:hAnsi="Verdana"/>
          <w:b/>
          <w:sz w:val="24"/>
          <w:szCs w:val="24"/>
        </w:rPr>
        <w:t xml:space="preserve"> policy agendas</w:t>
      </w:r>
    </w:p>
    <w:p w:rsidR="003814DD" w:rsidRPr="003814DD" w:rsidP="007246C2">
      <w:pPr>
        <w:spacing w:after="0" w:line="240" w:lineRule="auto"/>
        <w:rPr>
          <w:rFonts w:ascii="Verdana" w:hAnsi="Verdana"/>
          <w:bCs/>
          <w:sz w:val="24"/>
          <w:szCs w:val="24"/>
        </w:rPr>
      </w:pPr>
      <w:r w:rsidRPr="003814DD">
        <w:rPr>
          <w:rFonts w:ascii="Verdana" w:hAnsi="Verdana"/>
          <w:bCs/>
          <w:sz w:val="24"/>
          <w:szCs w:val="24"/>
        </w:rPr>
        <w:t xml:space="preserve">Now that </w:t>
      </w:r>
      <w:r w:rsidRPr="003814DD">
        <w:rPr>
          <w:rFonts w:ascii="Verdana" w:hAnsi="Verdana"/>
          <w:bCs/>
          <w:sz w:val="24"/>
          <w:szCs w:val="24"/>
        </w:rPr>
        <w:t>elections in both the EU and the UK</w:t>
      </w:r>
      <w:r w:rsidRPr="003814DD">
        <w:rPr>
          <w:rFonts w:ascii="Verdana" w:hAnsi="Verdana"/>
          <w:bCs/>
          <w:sz w:val="24"/>
          <w:szCs w:val="24"/>
        </w:rPr>
        <w:t xml:space="preserve"> are long past</w:t>
      </w:r>
      <w:r w:rsidRPr="003814DD">
        <w:rPr>
          <w:rFonts w:ascii="Verdana" w:hAnsi="Verdana"/>
          <w:bCs/>
          <w:sz w:val="24"/>
          <w:szCs w:val="24"/>
        </w:rPr>
        <w:t xml:space="preserve">, and with both sides facing significant growth challenges against an increasingly complex geopolitical backdrop, the </w:t>
      </w:r>
      <w:r w:rsidRPr="003814DD">
        <w:rPr>
          <w:rFonts w:ascii="Verdana" w:hAnsi="Verdana"/>
          <w:bCs/>
          <w:sz w:val="24"/>
          <w:szCs w:val="24"/>
        </w:rPr>
        <w:t>R</w:t>
      </w:r>
      <w:r w:rsidRPr="003814DD">
        <w:rPr>
          <w:rFonts w:ascii="Verdana" w:hAnsi="Verdana"/>
          <w:bCs/>
          <w:sz w:val="24"/>
          <w:szCs w:val="24"/>
        </w:rPr>
        <w:t>eset</w:t>
      </w:r>
      <w:r w:rsidRPr="003814DD">
        <w:rPr>
          <w:rFonts w:ascii="Verdana" w:hAnsi="Verdana"/>
          <w:bCs/>
          <w:sz w:val="24"/>
          <w:szCs w:val="24"/>
        </w:rPr>
        <w:t xml:space="preserve"> is an opportunity to explore the future of these agendas (including, on the EU side, how they sit with the proposals in the Letta and Draghi Reports</w:t>
      </w:r>
      <w:r w:rsidRPr="003814DD">
        <w:rPr>
          <w:rFonts w:ascii="Verdana" w:hAnsi="Verdana"/>
          <w:bCs/>
          <w:sz w:val="24"/>
          <w:szCs w:val="24"/>
        </w:rPr>
        <w:t xml:space="preserve"> and the recently </w:t>
      </w:r>
      <w:r w:rsidRPr="003814DD">
        <w:rPr>
          <w:rFonts w:ascii="Verdana" w:hAnsi="Verdana"/>
          <w:bCs/>
          <w:sz w:val="24"/>
          <w:szCs w:val="24"/>
        </w:rPr>
        <w:t>published Commission Competitiveness Compass</w:t>
      </w:r>
      <w:r w:rsidRPr="003814DD">
        <w:rPr>
          <w:rFonts w:ascii="Verdana" w:hAnsi="Verdana"/>
          <w:bCs/>
          <w:sz w:val="24"/>
          <w:szCs w:val="24"/>
        </w:rPr>
        <w:t xml:space="preserve"> and</w:t>
      </w:r>
      <w:r w:rsidRPr="003814DD">
        <w:rPr>
          <w:rFonts w:ascii="Verdana" w:hAnsi="Verdana"/>
          <w:bCs/>
          <w:sz w:val="24"/>
          <w:szCs w:val="24"/>
        </w:rPr>
        <w:t xml:space="preserve"> </w:t>
      </w:r>
      <w:r w:rsidRPr="003814DD">
        <w:rPr>
          <w:rFonts w:ascii="Verdana" w:hAnsi="Verdana"/>
          <w:bCs/>
          <w:sz w:val="24"/>
          <w:szCs w:val="24"/>
        </w:rPr>
        <w:t>Savings and Investments Union Strategy</w:t>
      </w:r>
      <w:r w:rsidRPr="003814DD">
        <w:rPr>
          <w:rFonts w:ascii="Verdana" w:hAnsi="Verdana"/>
          <w:bCs/>
          <w:sz w:val="24"/>
          <w:szCs w:val="24"/>
        </w:rPr>
        <w:t xml:space="preserve">) and their impact on cross-border financial services, with a particular focus on the UK and EU relationship in financial services. </w:t>
      </w:r>
    </w:p>
    <w:p w:rsidR="003814DD" w:rsidRPr="003814DD" w:rsidP="007246C2">
      <w:pPr>
        <w:spacing w:after="0" w:line="240" w:lineRule="auto"/>
        <w:rPr>
          <w:rFonts w:ascii="Verdana" w:hAnsi="Verdana"/>
          <w:bCs/>
          <w:sz w:val="24"/>
          <w:szCs w:val="24"/>
        </w:rPr>
      </w:pPr>
    </w:p>
    <w:p w:rsidR="003814DD" w:rsidRPr="003814DD" w:rsidP="007246C2">
      <w:pPr>
        <w:spacing w:after="0" w:line="240" w:lineRule="auto"/>
        <w:rPr>
          <w:rFonts w:ascii="Verdana" w:hAnsi="Verdana"/>
          <w:bCs/>
          <w:sz w:val="24"/>
          <w:szCs w:val="24"/>
        </w:rPr>
      </w:pPr>
      <w:r w:rsidRPr="003814DD">
        <w:rPr>
          <w:rFonts w:ascii="Verdana" w:hAnsi="Verdana"/>
          <w:bCs/>
          <w:sz w:val="24"/>
          <w:szCs w:val="24"/>
        </w:rPr>
        <w:t xml:space="preserve">The UK has embarked on a significant programme of capital markets reform. </w:t>
      </w:r>
      <w:r w:rsidRPr="003814DD">
        <w:rPr>
          <w:rFonts w:ascii="Verdana" w:hAnsi="Verdana"/>
          <w:bCs/>
          <w:sz w:val="24"/>
          <w:szCs w:val="24"/>
        </w:rPr>
        <w:t>The upcoming publication of the</w:t>
      </w:r>
      <w:r w:rsidRPr="003814DD">
        <w:rPr>
          <w:rFonts w:ascii="Verdana" w:hAnsi="Verdana"/>
          <w:bCs/>
          <w:sz w:val="24"/>
          <w:szCs w:val="24"/>
        </w:rPr>
        <w:t xml:space="preserve"> Invest 2035</w:t>
      </w:r>
      <w:r w:rsidRPr="003814DD">
        <w:rPr>
          <w:rFonts w:ascii="Verdana" w:hAnsi="Verdana"/>
          <w:bCs/>
          <w:sz w:val="24"/>
          <w:szCs w:val="24"/>
        </w:rPr>
        <w:t xml:space="preserve"> Industrial</w:t>
      </w:r>
      <w:r w:rsidRPr="003814DD">
        <w:rPr>
          <w:rFonts w:ascii="Verdana" w:hAnsi="Verdana"/>
          <w:bCs/>
          <w:sz w:val="24"/>
          <w:szCs w:val="24"/>
        </w:rPr>
        <w:t xml:space="preserve"> Strategy and Financial Services Growth and Competitiveness Strategy </w:t>
      </w:r>
      <w:r w:rsidRPr="003814DD">
        <w:rPr>
          <w:rFonts w:ascii="Verdana" w:hAnsi="Verdana"/>
          <w:bCs/>
          <w:sz w:val="24"/>
          <w:szCs w:val="24"/>
        </w:rPr>
        <w:t xml:space="preserve">will </w:t>
      </w:r>
      <w:r w:rsidRPr="003814DD">
        <w:rPr>
          <w:rFonts w:ascii="Verdana" w:hAnsi="Verdana"/>
          <w:bCs/>
          <w:sz w:val="24"/>
          <w:szCs w:val="24"/>
        </w:rPr>
        <w:t xml:space="preserve">provide clarity on next steps. In parallel, the </w:t>
      </w:r>
      <w:r w:rsidRPr="003814DD">
        <w:rPr>
          <w:rFonts w:ascii="Verdana" w:hAnsi="Verdana"/>
          <w:bCs/>
          <w:sz w:val="24"/>
          <w:szCs w:val="24"/>
        </w:rPr>
        <w:t>E</w:t>
      </w:r>
      <w:r w:rsidRPr="003814DD">
        <w:rPr>
          <w:rFonts w:ascii="Verdana" w:hAnsi="Verdana"/>
          <w:bCs/>
          <w:sz w:val="24"/>
          <w:szCs w:val="24"/>
        </w:rPr>
        <w:t xml:space="preserve">uropean Commission has announced a strong focus on simplification </w:t>
      </w:r>
      <w:r w:rsidRPr="003814DD">
        <w:rPr>
          <w:rFonts w:ascii="Verdana" w:hAnsi="Verdana"/>
          <w:bCs/>
          <w:sz w:val="24"/>
          <w:szCs w:val="24"/>
        </w:rPr>
        <w:t xml:space="preserve">implemented through a series of Omnibus packages. These </w:t>
      </w:r>
      <w:r w:rsidRPr="003814DD">
        <w:rPr>
          <w:rFonts w:ascii="Verdana" w:hAnsi="Verdana"/>
          <w:bCs/>
          <w:sz w:val="24"/>
          <w:szCs w:val="24"/>
        </w:rPr>
        <w:t xml:space="preserve">twin initiatives should provide opportunities for deeper </w:t>
      </w:r>
      <w:r w:rsidRPr="003814DD">
        <w:rPr>
          <w:rFonts w:ascii="Verdana" w:hAnsi="Verdana"/>
          <w:bCs/>
          <w:sz w:val="24"/>
          <w:szCs w:val="24"/>
        </w:rPr>
        <w:t xml:space="preserve">collaboration </w:t>
      </w:r>
      <w:r w:rsidRPr="003814DD">
        <w:rPr>
          <w:rFonts w:ascii="Verdana" w:hAnsi="Verdana"/>
          <w:bCs/>
          <w:sz w:val="24"/>
          <w:szCs w:val="24"/>
        </w:rPr>
        <w:t xml:space="preserve">which both sides should explore </w:t>
      </w:r>
      <w:r w:rsidRPr="003814DD">
        <w:rPr>
          <w:rFonts w:ascii="Verdana" w:hAnsi="Verdana"/>
          <w:bCs/>
          <w:sz w:val="24"/>
          <w:szCs w:val="24"/>
        </w:rPr>
        <w:t>in support of twin growth ambitions.</w:t>
      </w:r>
      <w:r w:rsidRPr="003814DD">
        <w:rPr>
          <w:rFonts w:ascii="Verdana" w:hAnsi="Verdana"/>
          <w:bCs/>
          <w:sz w:val="24"/>
          <w:szCs w:val="24"/>
        </w:rPr>
        <w:t xml:space="preserve"> </w:t>
      </w:r>
    </w:p>
    <w:p w:rsidR="003814DD" w:rsidRPr="003814DD" w:rsidP="007246C2">
      <w:pPr>
        <w:spacing w:after="0" w:line="240" w:lineRule="auto"/>
        <w:rPr>
          <w:rFonts w:ascii="Verdana" w:hAnsi="Verdana"/>
          <w:bCs/>
          <w:sz w:val="24"/>
          <w:szCs w:val="24"/>
        </w:rPr>
      </w:pPr>
    </w:p>
    <w:p w:rsidR="003814DD" w:rsidRPr="003814DD" w:rsidP="002B3935">
      <w:pPr>
        <w:spacing w:after="0" w:line="240" w:lineRule="auto"/>
        <w:rPr>
          <w:rFonts w:ascii="Verdana" w:hAnsi="Verdana"/>
          <w:bCs/>
          <w:sz w:val="24"/>
          <w:szCs w:val="24"/>
        </w:rPr>
      </w:pPr>
      <w:r w:rsidRPr="003814DD">
        <w:rPr>
          <w:rFonts w:ascii="Verdana" w:hAnsi="Verdana"/>
          <w:sz w:val="24"/>
          <w:szCs w:val="24"/>
        </w:rPr>
        <w:t xml:space="preserve"> </w:t>
      </w:r>
      <w:r w:rsidRPr="003814DD">
        <w:rPr>
          <w:rFonts w:ascii="Verdana" w:hAnsi="Verdana"/>
          <w:bCs/>
          <w:sz w:val="24"/>
          <w:szCs w:val="24"/>
        </w:rPr>
        <w:t xml:space="preserve">For UK and EU securities trading, the </w:t>
      </w:r>
      <w:r w:rsidRPr="003814DD">
        <w:rPr>
          <w:rFonts w:ascii="Verdana" w:hAnsi="Verdana"/>
          <w:bCs/>
          <w:sz w:val="24"/>
          <w:szCs w:val="24"/>
        </w:rPr>
        <w:t xml:space="preserve">aligned approach on </w:t>
      </w:r>
      <w:r w:rsidRPr="003814DD">
        <w:rPr>
          <w:rFonts w:ascii="Verdana" w:hAnsi="Verdana"/>
          <w:bCs/>
          <w:sz w:val="24"/>
          <w:szCs w:val="24"/>
        </w:rPr>
        <w:t>shortening</w:t>
      </w:r>
      <w:r w:rsidRPr="003814DD">
        <w:rPr>
          <w:rFonts w:ascii="Verdana" w:hAnsi="Verdana"/>
          <w:bCs/>
          <w:sz w:val="24"/>
          <w:szCs w:val="24"/>
        </w:rPr>
        <w:t xml:space="preserve"> </w:t>
      </w:r>
      <w:r w:rsidRPr="003814DD">
        <w:rPr>
          <w:rFonts w:ascii="Verdana" w:hAnsi="Verdana"/>
          <w:bCs/>
          <w:sz w:val="24"/>
          <w:szCs w:val="24"/>
        </w:rPr>
        <w:t>the settlement cycle, referred to as T+1</w:t>
      </w:r>
      <w:r>
        <w:rPr>
          <w:rStyle w:val="FootnoteReference"/>
          <w:rFonts w:ascii="Verdana" w:hAnsi="Verdana"/>
          <w:bCs/>
          <w:sz w:val="24"/>
          <w:szCs w:val="24"/>
        </w:rPr>
        <w:footnoteReference w:id="7"/>
      </w:r>
      <w:r w:rsidRPr="003814DD">
        <w:rPr>
          <w:rFonts w:ascii="Verdana" w:hAnsi="Verdana"/>
          <w:bCs/>
          <w:sz w:val="24"/>
          <w:szCs w:val="24"/>
        </w:rPr>
        <w:t>, is a</w:t>
      </w:r>
      <w:r w:rsidRPr="003814DD">
        <w:rPr>
          <w:rFonts w:ascii="Verdana" w:hAnsi="Verdana"/>
          <w:bCs/>
          <w:sz w:val="24"/>
          <w:szCs w:val="24"/>
        </w:rPr>
        <w:t xml:space="preserve"> recent positive example o</w:t>
      </w:r>
      <w:r w:rsidRPr="003814DD">
        <w:rPr>
          <w:rFonts w:ascii="Verdana" w:hAnsi="Verdana"/>
          <w:bCs/>
          <w:sz w:val="24"/>
          <w:szCs w:val="24"/>
        </w:rPr>
        <w:t>f</w:t>
      </w:r>
      <w:r w:rsidRPr="003814DD">
        <w:rPr>
          <w:rFonts w:ascii="Verdana" w:hAnsi="Verdana"/>
          <w:bCs/>
          <w:sz w:val="24"/>
          <w:szCs w:val="24"/>
        </w:rPr>
        <w:t xml:space="preserve"> how a coordinated approach on a technical issue can </w:t>
      </w:r>
      <w:r w:rsidRPr="003814DD">
        <w:rPr>
          <w:rFonts w:ascii="Verdana" w:hAnsi="Verdana"/>
          <w:bCs/>
          <w:sz w:val="24"/>
          <w:szCs w:val="24"/>
        </w:rPr>
        <w:t>achieve</w:t>
      </w:r>
      <w:r w:rsidRPr="003814DD">
        <w:rPr>
          <w:rFonts w:ascii="Verdana" w:hAnsi="Verdana"/>
          <w:bCs/>
          <w:sz w:val="24"/>
          <w:szCs w:val="24"/>
        </w:rPr>
        <w:t xml:space="preserve"> positive results for both sides</w:t>
      </w:r>
      <w:r w:rsidRPr="003814DD">
        <w:rPr>
          <w:rFonts w:ascii="Verdana" w:hAnsi="Verdana"/>
          <w:bCs/>
          <w:sz w:val="24"/>
          <w:szCs w:val="24"/>
        </w:rPr>
        <w:t xml:space="preserve">. </w:t>
      </w:r>
      <w:r w:rsidRPr="003814DD">
        <w:rPr>
          <w:rFonts w:ascii="Verdana" w:hAnsi="Verdana"/>
          <w:bCs/>
          <w:sz w:val="24"/>
          <w:szCs w:val="24"/>
        </w:rPr>
        <w:t>A</w:t>
      </w:r>
      <w:r w:rsidRPr="003814DD">
        <w:rPr>
          <w:rFonts w:ascii="Verdana" w:hAnsi="Verdana"/>
          <w:bCs/>
          <w:sz w:val="24"/>
          <w:szCs w:val="24"/>
        </w:rPr>
        <w:t xml:space="preserve"> </w:t>
      </w:r>
      <w:r w:rsidRPr="003814DD">
        <w:rPr>
          <w:rFonts w:ascii="Verdana" w:hAnsi="Verdana"/>
          <w:bCs/>
          <w:sz w:val="24"/>
          <w:szCs w:val="24"/>
        </w:rPr>
        <w:t xml:space="preserve">coordinated move to </w:t>
      </w:r>
      <w:r w:rsidRPr="003814DD">
        <w:rPr>
          <w:rFonts w:ascii="Verdana" w:hAnsi="Verdana"/>
          <w:bCs/>
          <w:sz w:val="24"/>
          <w:szCs w:val="24"/>
        </w:rPr>
        <w:t xml:space="preserve">synchronise </w:t>
      </w:r>
      <w:r w:rsidRPr="003814DD">
        <w:rPr>
          <w:rFonts w:ascii="Verdana" w:hAnsi="Verdana"/>
          <w:bCs/>
          <w:sz w:val="24"/>
          <w:szCs w:val="24"/>
        </w:rPr>
        <w:t>the</w:t>
      </w:r>
      <w:r w:rsidRPr="003814DD">
        <w:rPr>
          <w:rFonts w:ascii="Verdana" w:hAnsi="Verdana"/>
          <w:bCs/>
          <w:sz w:val="24"/>
          <w:szCs w:val="24"/>
        </w:rPr>
        <w:t xml:space="preserve"> go-live dates introducing a</w:t>
      </w:r>
      <w:r w:rsidRPr="003814DD">
        <w:rPr>
          <w:rFonts w:ascii="Verdana" w:hAnsi="Verdana"/>
          <w:bCs/>
          <w:sz w:val="24"/>
          <w:szCs w:val="24"/>
        </w:rPr>
        <w:t xml:space="preserve"> new settlement cycle will avoid additional costs and market risks through misalignment.</w:t>
      </w:r>
      <w:r w:rsidRPr="003814DD">
        <w:rPr>
          <w:rFonts w:ascii="Verdana" w:hAnsi="Verdana"/>
          <w:bCs/>
          <w:sz w:val="24"/>
          <w:szCs w:val="24"/>
        </w:rPr>
        <w:t xml:space="preserve"> </w:t>
      </w:r>
      <w:r w:rsidRPr="003814DD">
        <w:rPr>
          <w:rFonts w:ascii="Verdana" w:hAnsi="Verdana"/>
          <w:bCs/>
          <w:sz w:val="24"/>
          <w:szCs w:val="24"/>
        </w:rPr>
        <w:t>We recommend following this best practice example in other areas and increas</w:t>
      </w:r>
      <w:r w:rsidRPr="003814DD">
        <w:rPr>
          <w:rFonts w:ascii="Verdana" w:hAnsi="Verdana"/>
          <w:bCs/>
          <w:sz w:val="24"/>
          <w:szCs w:val="24"/>
        </w:rPr>
        <w:t>ing</w:t>
      </w:r>
      <w:r w:rsidRPr="003814DD">
        <w:rPr>
          <w:rFonts w:ascii="Verdana" w:hAnsi="Verdana"/>
          <w:bCs/>
          <w:sz w:val="24"/>
          <w:szCs w:val="24"/>
        </w:rPr>
        <w:t xml:space="preserve"> coordination on future regulatory initiatives. The EU-UK </w:t>
      </w:r>
      <w:r w:rsidRPr="003814DD">
        <w:rPr>
          <w:rFonts w:ascii="Verdana" w:hAnsi="Verdana"/>
          <w:bCs/>
          <w:sz w:val="24"/>
          <w:szCs w:val="24"/>
        </w:rPr>
        <w:t>R</w:t>
      </w:r>
      <w:r w:rsidRPr="003814DD">
        <w:rPr>
          <w:rFonts w:ascii="Verdana" w:hAnsi="Verdana"/>
          <w:bCs/>
          <w:sz w:val="24"/>
          <w:szCs w:val="24"/>
        </w:rPr>
        <w:t xml:space="preserve">egulatory </w:t>
      </w:r>
      <w:r w:rsidRPr="003814DD">
        <w:rPr>
          <w:rFonts w:ascii="Verdana" w:hAnsi="Verdana"/>
          <w:bCs/>
          <w:sz w:val="24"/>
          <w:szCs w:val="24"/>
        </w:rPr>
        <w:t>F</w:t>
      </w:r>
      <w:r w:rsidRPr="003814DD">
        <w:rPr>
          <w:rFonts w:ascii="Verdana" w:hAnsi="Verdana"/>
          <w:bCs/>
          <w:sz w:val="24"/>
          <w:szCs w:val="24"/>
        </w:rPr>
        <w:t xml:space="preserve">orum can provide a platform </w:t>
      </w:r>
      <w:r w:rsidRPr="003814DD">
        <w:rPr>
          <w:rFonts w:ascii="Verdana" w:hAnsi="Verdana"/>
          <w:bCs/>
          <w:sz w:val="24"/>
          <w:szCs w:val="24"/>
        </w:rPr>
        <w:t xml:space="preserve">for exchanges </w:t>
      </w:r>
      <w:r w:rsidRPr="003814DD">
        <w:rPr>
          <w:rFonts w:ascii="Verdana" w:hAnsi="Verdana"/>
          <w:bCs/>
          <w:sz w:val="24"/>
          <w:szCs w:val="24"/>
        </w:rPr>
        <w:t xml:space="preserve">on upcoming initiatives and coordinated approaches where </w:t>
      </w:r>
      <w:r w:rsidRPr="003814DD">
        <w:rPr>
          <w:rFonts w:ascii="Verdana" w:hAnsi="Verdana"/>
          <w:bCs/>
          <w:sz w:val="24"/>
          <w:szCs w:val="24"/>
        </w:rPr>
        <w:t xml:space="preserve">these are </w:t>
      </w:r>
      <w:r w:rsidRPr="003814DD">
        <w:rPr>
          <w:rFonts w:ascii="Verdana" w:hAnsi="Verdana"/>
          <w:bCs/>
          <w:sz w:val="24"/>
          <w:szCs w:val="24"/>
        </w:rPr>
        <w:t xml:space="preserve">beneficial for both sides. </w:t>
      </w:r>
    </w:p>
    <w:p w:rsidR="003814DD" w:rsidRPr="003814DD" w:rsidP="002B3935">
      <w:pPr>
        <w:spacing w:after="0" w:line="240" w:lineRule="auto"/>
        <w:rPr>
          <w:rFonts w:ascii="Verdana" w:hAnsi="Verdana"/>
          <w:bCs/>
          <w:sz w:val="24"/>
          <w:szCs w:val="24"/>
        </w:rPr>
      </w:pPr>
    </w:p>
    <w:p w:rsidR="003814DD" w:rsidRPr="003814DD" w:rsidP="002B3935">
      <w:pPr>
        <w:spacing w:after="0" w:line="240" w:lineRule="auto"/>
        <w:rPr>
          <w:rFonts w:ascii="Verdana" w:hAnsi="Verdana"/>
          <w:bCs/>
          <w:sz w:val="24"/>
          <w:szCs w:val="24"/>
        </w:rPr>
      </w:pPr>
      <w:r w:rsidRPr="003814DD">
        <w:rPr>
          <w:rFonts w:ascii="Verdana" w:hAnsi="Verdana"/>
          <w:bCs/>
          <w:sz w:val="24"/>
          <w:szCs w:val="24"/>
        </w:rPr>
        <w:t xml:space="preserve">Furthermore, we recommend that both sides align as closely as possible with international standards and </w:t>
      </w:r>
      <w:r w:rsidRPr="003814DD">
        <w:rPr>
          <w:rFonts w:ascii="Verdana" w:hAnsi="Verdana"/>
          <w:bCs/>
          <w:sz w:val="24"/>
          <w:szCs w:val="24"/>
        </w:rPr>
        <w:t>cooperate closely in international standard-setting bodies. Both sides should coordinate wherever possible within the context of broader global governance and cooperation in financial services and promote coherent global standards, particularly</w:t>
      </w:r>
      <w:r w:rsidRPr="003814DD">
        <w:rPr>
          <w:rFonts w:ascii="Verdana" w:hAnsi="Verdana"/>
          <w:bCs/>
          <w:sz w:val="24"/>
          <w:szCs w:val="24"/>
        </w:rPr>
        <w:t xml:space="preserve"> against the backdrop of the challenging geopolitical environment.</w:t>
      </w:r>
      <w:r w:rsidRPr="003814DD">
        <w:rPr>
          <w:rFonts w:ascii="Verdana" w:hAnsi="Verdana"/>
          <w:bCs/>
          <w:sz w:val="24"/>
          <w:szCs w:val="24"/>
        </w:rPr>
        <w:t xml:space="preserve"> This should </w:t>
      </w:r>
      <w:r w:rsidRPr="003814DD">
        <w:rPr>
          <w:rFonts w:ascii="Verdana" w:hAnsi="Verdana"/>
          <w:bCs/>
          <w:sz w:val="24"/>
          <w:szCs w:val="24"/>
        </w:rPr>
        <w:t>help to</w:t>
      </w:r>
      <w:r w:rsidRPr="003814DD">
        <w:rPr>
          <w:rFonts w:ascii="Verdana" w:hAnsi="Verdana"/>
          <w:bCs/>
          <w:sz w:val="24"/>
          <w:szCs w:val="24"/>
        </w:rPr>
        <w:t xml:space="preserve"> </w:t>
      </w:r>
      <w:r w:rsidRPr="003814DD">
        <w:rPr>
          <w:rFonts w:ascii="Verdana" w:hAnsi="Verdana"/>
          <w:bCs/>
          <w:sz w:val="24"/>
          <w:szCs w:val="24"/>
        </w:rPr>
        <w:t>pave the way for closer collaboration</w:t>
      </w:r>
      <w:r w:rsidRPr="003814DD">
        <w:rPr>
          <w:rFonts w:ascii="Verdana" w:hAnsi="Verdana"/>
          <w:bCs/>
          <w:sz w:val="24"/>
          <w:szCs w:val="24"/>
        </w:rPr>
        <w:t xml:space="preserve"> </w:t>
      </w:r>
      <w:r w:rsidRPr="003814DD">
        <w:rPr>
          <w:rFonts w:ascii="Verdana" w:hAnsi="Verdana"/>
          <w:bCs/>
          <w:sz w:val="24"/>
          <w:szCs w:val="24"/>
        </w:rPr>
        <w:t xml:space="preserve">in the future. </w:t>
      </w:r>
    </w:p>
    <w:p w:rsidR="003814DD" w:rsidRPr="003814DD" w:rsidP="007246C2">
      <w:pPr>
        <w:spacing w:after="0" w:line="240" w:lineRule="auto"/>
        <w:rPr>
          <w:rFonts w:ascii="Verdana" w:hAnsi="Verdana"/>
          <w:bCs/>
          <w:sz w:val="24"/>
          <w:szCs w:val="24"/>
        </w:rPr>
      </w:pPr>
    </w:p>
    <w:p w:rsidR="003814DD" w:rsidRPr="003814DD" w:rsidP="007246C2">
      <w:pPr>
        <w:spacing w:after="0" w:line="240" w:lineRule="auto"/>
        <w:rPr>
          <w:rFonts w:ascii="Verdana" w:hAnsi="Verdana"/>
          <w:b/>
          <w:sz w:val="24"/>
          <w:szCs w:val="24"/>
        </w:rPr>
      </w:pPr>
      <w:r w:rsidRPr="003814DD">
        <w:rPr>
          <w:rFonts w:ascii="Verdana" w:hAnsi="Verdana"/>
          <w:b/>
          <w:sz w:val="24"/>
          <w:szCs w:val="24"/>
        </w:rPr>
        <w:t>Opposing restrictiveness</w:t>
      </w:r>
    </w:p>
    <w:p w:rsidR="003814DD" w:rsidRPr="003814DD" w:rsidP="007246C2">
      <w:pPr>
        <w:spacing w:after="0" w:line="240" w:lineRule="auto"/>
        <w:rPr>
          <w:rFonts w:ascii="Verdana" w:hAnsi="Verdana"/>
          <w:bCs/>
          <w:sz w:val="24"/>
          <w:szCs w:val="24"/>
        </w:rPr>
      </w:pPr>
      <w:r w:rsidRPr="003814DD">
        <w:rPr>
          <w:rFonts w:ascii="Verdana" w:hAnsi="Verdana"/>
          <w:bCs/>
          <w:sz w:val="24"/>
          <w:szCs w:val="24"/>
        </w:rPr>
        <w:t>It will be important for both the UK and the EU to reduce and remove restrictions that inhibit the growth and competitiveness of both. At present</w:t>
      </w:r>
      <w:r w:rsidRPr="003814DD">
        <w:rPr>
          <w:rFonts w:ascii="Verdana" w:hAnsi="Verdana"/>
          <w:bCs/>
          <w:sz w:val="24"/>
          <w:szCs w:val="24"/>
        </w:rPr>
        <w:t xml:space="preserve">, the </w:t>
      </w:r>
      <w:r w:rsidRPr="003814DD">
        <w:rPr>
          <w:rFonts w:ascii="Verdana" w:hAnsi="Verdana"/>
          <w:bCs/>
          <w:sz w:val="24"/>
          <w:szCs w:val="24"/>
        </w:rPr>
        <w:t xml:space="preserve">EU’s </w:t>
      </w:r>
      <w:r w:rsidRPr="003814DD">
        <w:rPr>
          <w:rFonts w:ascii="Verdana" w:hAnsi="Verdana"/>
          <w:bCs/>
          <w:sz w:val="24"/>
          <w:szCs w:val="24"/>
        </w:rPr>
        <w:t>Open Strategic Autonomy and Economic Security agendas continue to be used</w:t>
      </w:r>
      <w:r w:rsidRPr="003814DD">
        <w:rPr>
          <w:rFonts w:ascii="Verdana" w:hAnsi="Verdana"/>
          <w:bCs/>
          <w:sz w:val="24"/>
          <w:szCs w:val="24"/>
        </w:rPr>
        <w:t xml:space="preserve"> by the European institutions as a </w:t>
      </w:r>
      <w:r w:rsidRPr="003814DD">
        <w:rPr>
          <w:rFonts w:ascii="Verdana" w:hAnsi="Verdana"/>
          <w:bCs/>
          <w:sz w:val="24"/>
          <w:szCs w:val="24"/>
        </w:rPr>
        <w:t xml:space="preserve">context for adding </w:t>
      </w:r>
      <w:r w:rsidRPr="003814DD">
        <w:rPr>
          <w:rFonts w:ascii="Verdana" w:hAnsi="Verdana"/>
          <w:bCs/>
          <w:sz w:val="24"/>
          <w:szCs w:val="24"/>
        </w:rPr>
        <w:t xml:space="preserve">cumulative and burdensome regulatory constraints to the provision of financial services from the UK into the EU. This has created an imbalance of regulatory approaches between the two sides. </w:t>
      </w:r>
      <w:r w:rsidRPr="003814DD">
        <w:rPr>
          <w:rFonts w:ascii="Verdana" w:hAnsi="Verdana"/>
          <w:bCs/>
          <w:sz w:val="24"/>
          <w:szCs w:val="24"/>
        </w:rPr>
        <w:t>The</w:t>
      </w:r>
      <w:r w:rsidRPr="003814DD">
        <w:rPr>
          <w:rFonts w:ascii="Verdana" w:hAnsi="Verdana"/>
          <w:bCs/>
          <w:sz w:val="24"/>
          <w:szCs w:val="24"/>
        </w:rPr>
        <w:t xml:space="preserve"> EU has harnessed these agendas to</w:t>
      </w:r>
      <w:r w:rsidRPr="003814DD">
        <w:rPr>
          <w:rFonts w:ascii="Verdana" w:hAnsi="Verdana"/>
          <w:bCs/>
          <w:sz w:val="24"/>
          <w:szCs w:val="24"/>
        </w:rPr>
        <w:t xml:space="preserve"> try to</w:t>
      </w:r>
      <w:r w:rsidRPr="003814DD">
        <w:rPr>
          <w:rFonts w:ascii="Verdana" w:hAnsi="Verdana"/>
          <w:bCs/>
          <w:sz w:val="24"/>
          <w:szCs w:val="24"/>
        </w:rPr>
        <w:t xml:space="preserve"> force business relocation from the UK to the EU,</w:t>
      </w:r>
      <w:r w:rsidRPr="003814DD">
        <w:rPr>
          <w:rFonts w:ascii="Verdana" w:hAnsi="Verdana"/>
          <w:bCs/>
          <w:sz w:val="24"/>
          <w:szCs w:val="24"/>
        </w:rPr>
        <w:t xml:space="preserve"> for example through</w:t>
      </w:r>
      <w:r w:rsidRPr="003814DD">
        <w:rPr>
          <w:rFonts w:ascii="Verdana" w:hAnsi="Verdana"/>
          <w:bCs/>
          <w:sz w:val="24"/>
          <w:szCs w:val="24"/>
        </w:rPr>
        <w:t xml:space="preserve"> </w:t>
      </w:r>
      <w:r w:rsidRPr="003814DD">
        <w:rPr>
          <w:rFonts w:ascii="Verdana" w:hAnsi="Verdana"/>
          <w:bCs/>
          <w:sz w:val="24"/>
          <w:szCs w:val="24"/>
        </w:rPr>
        <w:t xml:space="preserve">measures </w:t>
      </w:r>
      <w:r w:rsidRPr="003814DD">
        <w:rPr>
          <w:rFonts w:ascii="Verdana" w:hAnsi="Verdana"/>
          <w:bCs/>
          <w:sz w:val="24"/>
          <w:szCs w:val="24"/>
        </w:rPr>
        <w:t xml:space="preserve">such as </w:t>
      </w:r>
      <w:r w:rsidRPr="003814DD">
        <w:rPr>
          <w:rFonts w:ascii="Verdana" w:hAnsi="Verdana"/>
          <w:bCs/>
          <w:sz w:val="24"/>
          <w:szCs w:val="24"/>
        </w:rPr>
        <w:t>Article 21</w:t>
      </w:r>
      <w:r w:rsidRPr="003814DD">
        <w:rPr>
          <w:rFonts w:ascii="Verdana" w:hAnsi="Verdana"/>
          <w:bCs/>
          <w:sz w:val="24"/>
          <w:szCs w:val="24"/>
        </w:rPr>
        <w:t>c</w:t>
      </w:r>
      <w:r w:rsidRPr="003814DD">
        <w:rPr>
          <w:rFonts w:ascii="Verdana" w:hAnsi="Verdana"/>
          <w:bCs/>
          <w:sz w:val="24"/>
          <w:szCs w:val="24"/>
        </w:rPr>
        <w:t xml:space="preserve"> of the </w:t>
      </w:r>
      <w:r w:rsidRPr="003814DD">
        <w:rPr>
          <w:rFonts w:ascii="Verdana" w:hAnsi="Verdana"/>
          <w:bCs/>
          <w:sz w:val="24"/>
          <w:szCs w:val="24"/>
        </w:rPr>
        <w:t xml:space="preserve">amended </w:t>
      </w:r>
      <w:r w:rsidRPr="003814DD">
        <w:rPr>
          <w:rFonts w:ascii="Verdana" w:hAnsi="Verdana"/>
          <w:bCs/>
          <w:sz w:val="24"/>
          <w:szCs w:val="24"/>
        </w:rPr>
        <w:t>Capital Requirements Directive (CRD</w:t>
      </w:r>
      <w:r w:rsidRPr="003814DD">
        <w:rPr>
          <w:rFonts w:ascii="Verdana" w:hAnsi="Verdana"/>
          <w:bCs/>
          <w:sz w:val="24"/>
          <w:szCs w:val="24"/>
        </w:rPr>
        <w:t>6</w:t>
      </w:r>
      <w:r w:rsidRPr="003814DD">
        <w:rPr>
          <w:rFonts w:ascii="Verdana" w:hAnsi="Verdana"/>
          <w:bCs/>
          <w:sz w:val="24"/>
          <w:szCs w:val="24"/>
        </w:rPr>
        <w:t>)</w:t>
      </w:r>
      <w:r w:rsidRPr="003814DD">
        <w:rPr>
          <w:rFonts w:ascii="Verdana" w:hAnsi="Verdana"/>
          <w:bCs/>
          <w:sz w:val="24"/>
          <w:szCs w:val="24"/>
        </w:rPr>
        <w:t>,</w:t>
      </w:r>
      <w:r w:rsidRPr="003814DD">
        <w:rPr>
          <w:rFonts w:ascii="Verdana" w:hAnsi="Verdana"/>
          <w:bCs/>
          <w:sz w:val="24"/>
          <w:szCs w:val="24"/>
        </w:rPr>
        <w:t xml:space="preserve"> </w:t>
      </w:r>
      <w:r w:rsidRPr="003814DD">
        <w:rPr>
          <w:rFonts w:ascii="Verdana" w:hAnsi="Verdana"/>
          <w:bCs/>
          <w:sz w:val="24"/>
          <w:szCs w:val="24"/>
        </w:rPr>
        <w:t>rather than prioritising market efficiency and client preferences in f</w:t>
      </w:r>
      <w:r w:rsidRPr="003814DD">
        <w:rPr>
          <w:rFonts w:ascii="Verdana" w:hAnsi="Verdana"/>
          <w:bCs/>
          <w:sz w:val="24"/>
          <w:szCs w:val="24"/>
        </w:rPr>
        <w:t>inancial services policymaking, the UK has not followed suit,</w:t>
      </w:r>
      <w:r w:rsidRPr="003814DD">
        <w:rPr>
          <w:rFonts w:ascii="Verdana" w:hAnsi="Verdana"/>
          <w:bCs/>
          <w:sz w:val="24"/>
          <w:szCs w:val="24"/>
        </w:rPr>
        <w:t xml:space="preserve"> </w:t>
      </w:r>
      <w:r w:rsidRPr="003814DD">
        <w:rPr>
          <w:rFonts w:ascii="Verdana" w:hAnsi="Verdana"/>
          <w:bCs/>
          <w:sz w:val="24"/>
          <w:szCs w:val="24"/>
        </w:rPr>
        <w:t>typically</w:t>
      </w:r>
      <w:r w:rsidRPr="003814DD">
        <w:rPr>
          <w:rFonts w:ascii="Verdana" w:hAnsi="Verdana"/>
          <w:bCs/>
          <w:sz w:val="24"/>
          <w:szCs w:val="24"/>
        </w:rPr>
        <w:t xml:space="preserve"> preferring a more open market regime.</w:t>
      </w:r>
      <w:r w:rsidRPr="003814DD">
        <w:rPr>
          <w:rFonts w:ascii="Verdana" w:hAnsi="Verdana"/>
          <w:bCs/>
          <w:sz w:val="24"/>
          <w:szCs w:val="24"/>
        </w:rPr>
        <w:t xml:space="preserve"> We </w:t>
      </w:r>
      <w:r w:rsidRPr="003814DD">
        <w:rPr>
          <w:rFonts w:ascii="Verdana" w:hAnsi="Verdana"/>
          <w:bCs/>
          <w:sz w:val="24"/>
          <w:szCs w:val="24"/>
        </w:rPr>
        <w:t>continue to</w:t>
      </w:r>
      <w:r w:rsidRPr="003814DD">
        <w:rPr>
          <w:rFonts w:ascii="Verdana" w:hAnsi="Verdana"/>
          <w:bCs/>
          <w:sz w:val="24"/>
          <w:szCs w:val="24"/>
        </w:rPr>
        <w:t xml:space="preserve"> encourage the UK government to </w:t>
      </w:r>
      <w:r w:rsidRPr="003814DD">
        <w:rPr>
          <w:rFonts w:ascii="Verdana" w:hAnsi="Verdana"/>
          <w:bCs/>
          <w:sz w:val="24"/>
          <w:szCs w:val="24"/>
        </w:rPr>
        <w:t>maintain this approach.</w:t>
      </w:r>
    </w:p>
    <w:p w:rsidR="003814DD" w:rsidRPr="003814DD" w:rsidP="007246C2">
      <w:pPr>
        <w:spacing w:after="0" w:line="240" w:lineRule="auto"/>
        <w:rPr>
          <w:rFonts w:ascii="Verdana" w:hAnsi="Verdana"/>
          <w:bCs/>
          <w:sz w:val="24"/>
          <w:szCs w:val="24"/>
        </w:rPr>
      </w:pPr>
    </w:p>
    <w:p w:rsidR="003814DD" w:rsidRPr="003814DD" w:rsidP="007246C2">
      <w:pPr>
        <w:spacing w:after="0" w:line="240" w:lineRule="auto"/>
        <w:rPr>
          <w:rFonts w:ascii="Verdana" w:hAnsi="Verdana"/>
          <w:bCs/>
          <w:sz w:val="24"/>
          <w:szCs w:val="24"/>
        </w:rPr>
      </w:pPr>
      <w:r w:rsidRPr="003814DD">
        <w:rPr>
          <w:rFonts w:ascii="Verdana" w:hAnsi="Verdana"/>
          <w:bCs/>
          <w:sz w:val="24"/>
          <w:szCs w:val="24"/>
        </w:rPr>
        <w:t>The UK should use the tools at its disposal to track</w:t>
      </w:r>
      <w:r w:rsidRPr="003814DD">
        <w:rPr>
          <w:rFonts w:ascii="Verdana" w:hAnsi="Verdana"/>
          <w:bCs/>
          <w:sz w:val="24"/>
          <w:szCs w:val="24"/>
        </w:rPr>
        <w:t xml:space="preserve"> further </w:t>
      </w:r>
      <w:r w:rsidRPr="003814DD">
        <w:rPr>
          <w:rFonts w:ascii="Verdana" w:hAnsi="Verdana"/>
          <w:bCs/>
          <w:sz w:val="24"/>
          <w:szCs w:val="24"/>
        </w:rPr>
        <w:t xml:space="preserve">EU </w:t>
      </w:r>
      <w:r w:rsidRPr="003814DD">
        <w:rPr>
          <w:rFonts w:ascii="Verdana" w:hAnsi="Verdana"/>
          <w:bCs/>
          <w:sz w:val="24"/>
          <w:szCs w:val="24"/>
        </w:rPr>
        <w:t>attempts to restrict openness</w:t>
      </w:r>
      <w:r w:rsidRPr="003814DD">
        <w:rPr>
          <w:rFonts w:ascii="Verdana" w:hAnsi="Verdana"/>
          <w:bCs/>
          <w:sz w:val="24"/>
          <w:szCs w:val="24"/>
        </w:rPr>
        <w:t>,</w:t>
      </w:r>
      <w:r w:rsidRPr="003814DD">
        <w:rPr>
          <w:rFonts w:ascii="Verdana" w:hAnsi="Verdana"/>
          <w:bCs/>
          <w:sz w:val="24"/>
          <w:szCs w:val="24"/>
        </w:rPr>
        <w:t xml:space="preserve"> highlight their negative consequences</w:t>
      </w:r>
      <w:r w:rsidRPr="003814DD">
        <w:rPr>
          <w:rFonts w:ascii="Verdana" w:hAnsi="Verdana"/>
          <w:bCs/>
          <w:sz w:val="24"/>
          <w:szCs w:val="24"/>
        </w:rPr>
        <w:t xml:space="preserve">, and advocate for more proportionate approaches. </w:t>
      </w:r>
      <w:r w:rsidRPr="003814DD">
        <w:rPr>
          <w:rFonts w:ascii="Verdana" w:hAnsi="Verdana"/>
          <w:bCs/>
          <w:sz w:val="24"/>
          <w:szCs w:val="24"/>
        </w:rPr>
        <w:t xml:space="preserve">There would be value in the UK making the case </w:t>
      </w:r>
      <w:r w:rsidRPr="003814DD">
        <w:rPr>
          <w:rFonts w:ascii="Verdana" w:hAnsi="Verdana"/>
          <w:bCs/>
          <w:sz w:val="24"/>
          <w:szCs w:val="24"/>
        </w:rPr>
        <w:t xml:space="preserve">in coordination with other </w:t>
      </w:r>
      <w:r w:rsidRPr="003814DD">
        <w:rPr>
          <w:rFonts w:ascii="Verdana" w:hAnsi="Verdana"/>
          <w:bCs/>
          <w:sz w:val="24"/>
          <w:szCs w:val="24"/>
        </w:rPr>
        <w:t xml:space="preserve">EU </w:t>
      </w:r>
      <w:r w:rsidRPr="003814DD">
        <w:rPr>
          <w:rFonts w:ascii="Verdana" w:hAnsi="Verdana"/>
          <w:bCs/>
          <w:sz w:val="24"/>
          <w:szCs w:val="24"/>
        </w:rPr>
        <w:t>“</w:t>
      </w:r>
      <w:r w:rsidRPr="003814DD">
        <w:rPr>
          <w:rFonts w:ascii="Verdana" w:hAnsi="Verdana"/>
          <w:bCs/>
          <w:sz w:val="24"/>
          <w:szCs w:val="24"/>
        </w:rPr>
        <w:t>Third Countries</w:t>
      </w:r>
      <w:r w:rsidRPr="003814DD">
        <w:rPr>
          <w:rFonts w:ascii="Verdana" w:hAnsi="Verdana"/>
          <w:bCs/>
          <w:sz w:val="24"/>
          <w:szCs w:val="24"/>
        </w:rPr>
        <w:t>.”</w:t>
      </w:r>
      <w:r w:rsidRPr="003814DD">
        <w:rPr>
          <w:rFonts w:ascii="Verdana" w:hAnsi="Verdana"/>
          <w:bCs/>
          <w:sz w:val="24"/>
          <w:szCs w:val="24"/>
        </w:rPr>
        <w:t xml:space="preserve"> </w:t>
      </w:r>
    </w:p>
    <w:p w:rsidR="003814DD" w:rsidRPr="003814DD" w:rsidP="007246C2">
      <w:pPr>
        <w:spacing w:after="0" w:line="240" w:lineRule="auto"/>
        <w:rPr>
          <w:rFonts w:ascii="Verdana" w:hAnsi="Verdana"/>
          <w:bCs/>
          <w:sz w:val="24"/>
          <w:szCs w:val="24"/>
        </w:rPr>
      </w:pPr>
    </w:p>
    <w:p w:rsidR="003814DD" w:rsidRPr="003814DD" w:rsidP="3743B27F">
      <w:pPr>
        <w:spacing w:after="0" w:line="240" w:lineRule="auto"/>
        <w:rPr>
          <w:rFonts w:ascii="Verdana" w:hAnsi="Verdana"/>
          <w:sz w:val="24"/>
          <w:szCs w:val="24"/>
        </w:rPr>
      </w:pPr>
      <w:r w:rsidRPr="003814DD">
        <w:rPr>
          <w:rFonts w:ascii="Verdana" w:hAnsi="Verdana"/>
          <w:sz w:val="24"/>
          <w:szCs w:val="24"/>
        </w:rPr>
        <w:t>In order to</w:t>
      </w:r>
      <w:r w:rsidRPr="003814DD">
        <w:rPr>
          <w:rFonts w:ascii="Verdana" w:hAnsi="Verdana"/>
          <w:sz w:val="24"/>
          <w:szCs w:val="24"/>
        </w:rPr>
        <w:t xml:space="preserve"> make significant progress</w:t>
      </w:r>
      <w:r w:rsidRPr="003814DD">
        <w:rPr>
          <w:rFonts w:ascii="Verdana" w:hAnsi="Verdana"/>
          <w:sz w:val="24"/>
          <w:szCs w:val="24"/>
        </w:rPr>
        <w:t xml:space="preserve"> on trade in FRPS between the UK and EU, </w:t>
      </w:r>
      <w:r w:rsidRPr="003814DD">
        <w:rPr>
          <w:rFonts w:ascii="Verdana" w:hAnsi="Verdana"/>
          <w:sz w:val="24"/>
          <w:szCs w:val="24"/>
        </w:rPr>
        <w:t>it would be useful to</w:t>
      </w:r>
      <w:r w:rsidRPr="003814DD">
        <w:rPr>
          <w:rFonts w:ascii="Verdana" w:hAnsi="Verdana"/>
          <w:sz w:val="24"/>
          <w:szCs w:val="24"/>
        </w:rPr>
        <w:t xml:space="preserve"> reach </w:t>
      </w:r>
      <w:r w:rsidRPr="003814DD">
        <w:rPr>
          <w:rFonts w:ascii="Verdana" w:hAnsi="Verdana"/>
          <w:sz w:val="24"/>
          <w:szCs w:val="24"/>
        </w:rPr>
        <w:t>an</w:t>
      </w:r>
      <w:r w:rsidRPr="003814DD">
        <w:rPr>
          <w:rFonts w:ascii="Verdana" w:hAnsi="Verdana"/>
          <w:sz w:val="24"/>
          <w:szCs w:val="24"/>
        </w:rPr>
        <w:t xml:space="preserve"> understanding </w:t>
      </w:r>
      <w:r w:rsidRPr="003814DD">
        <w:rPr>
          <w:rFonts w:ascii="Verdana" w:hAnsi="Verdana"/>
          <w:sz w:val="24"/>
          <w:szCs w:val="24"/>
        </w:rPr>
        <w:t xml:space="preserve">(tacit or explicit) </w:t>
      </w:r>
      <w:r w:rsidRPr="003814DD">
        <w:rPr>
          <w:rFonts w:ascii="Verdana" w:hAnsi="Verdana"/>
          <w:sz w:val="24"/>
          <w:szCs w:val="24"/>
        </w:rPr>
        <w:t xml:space="preserve">that both </w:t>
      </w:r>
      <w:r w:rsidRPr="003814DD">
        <w:rPr>
          <w:rFonts w:ascii="Verdana" w:hAnsi="Verdana"/>
          <w:sz w:val="24"/>
          <w:szCs w:val="24"/>
        </w:rPr>
        <w:t>parties</w:t>
      </w:r>
      <w:r w:rsidRPr="003814DD">
        <w:rPr>
          <w:rFonts w:ascii="Verdana" w:hAnsi="Verdana"/>
          <w:sz w:val="24"/>
          <w:szCs w:val="24"/>
        </w:rPr>
        <w:t xml:space="preserve"> would </w:t>
      </w:r>
      <w:r w:rsidRPr="003814DD">
        <w:rPr>
          <w:rFonts w:ascii="Verdana" w:hAnsi="Verdana"/>
          <w:sz w:val="24"/>
          <w:szCs w:val="24"/>
        </w:rPr>
        <w:t xml:space="preserve">have as a firm </w:t>
      </w:r>
      <w:r w:rsidRPr="003814DD">
        <w:rPr>
          <w:rFonts w:ascii="Verdana" w:hAnsi="Verdana"/>
          <w:sz w:val="24"/>
          <w:szCs w:val="24"/>
        </w:rPr>
        <w:t>purpose</w:t>
      </w:r>
      <w:r w:rsidRPr="003814DD">
        <w:rPr>
          <w:rFonts w:ascii="Verdana" w:hAnsi="Verdana"/>
          <w:sz w:val="24"/>
          <w:szCs w:val="24"/>
        </w:rPr>
        <w:t xml:space="preserve"> </w:t>
      </w:r>
      <w:r w:rsidRPr="003814DD">
        <w:rPr>
          <w:rFonts w:ascii="Verdana" w:hAnsi="Verdana"/>
          <w:sz w:val="24"/>
          <w:szCs w:val="24"/>
        </w:rPr>
        <w:t xml:space="preserve">a more compatible and balanced approach towards the provision of financial services into each other’s markets. </w:t>
      </w:r>
    </w:p>
    <w:p w:rsidR="003814DD" w:rsidRPr="003814DD" w:rsidP="3743B27F">
      <w:pPr>
        <w:spacing w:after="0" w:line="240" w:lineRule="auto"/>
        <w:rPr>
          <w:rFonts w:ascii="Verdana" w:hAnsi="Verdana"/>
          <w:sz w:val="24"/>
          <w:szCs w:val="24"/>
        </w:rPr>
      </w:pPr>
    </w:p>
    <w:p w:rsidR="003814DD" w:rsidRPr="003814DD" w:rsidP="3743B27F">
      <w:pPr>
        <w:spacing w:after="0" w:line="240" w:lineRule="auto"/>
        <w:rPr>
          <w:rFonts w:ascii="Verdana" w:hAnsi="Verdana"/>
          <w:sz w:val="24"/>
          <w:szCs w:val="24"/>
        </w:rPr>
      </w:pPr>
      <w:r w:rsidRPr="003814DD">
        <w:rPr>
          <w:rFonts w:ascii="Verdana" w:hAnsi="Verdana"/>
          <w:sz w:val="24"/>
          <w:szCs w:val="24"/>
        </w:rPr>
        <w:t>In curbing restrictions, t</w:t>
      </w:r>
      <w:r w:rsidRPr="003814DD">
        <w:rPr>
          <w:rFonts w:ascii="Verdana" w:hAnsi="Verdana"/>
          <w:sz w:val="24"/>
          <w:szCs w:val="24"/>
        </w:rPr>
        <w:t xml:space="preserve">he </w:t>
      </w:r>
      <w:r w:rsidRPr="003814DD">
        <w:rPr>
          <w:rFonts w:ascii="Verdana" w:hAnsi="Verdana"/>
          <w:sz w:val="24"/>
          <w:szCs w:val="24"/>
        </w:rPr>
        <w:t>short-term objective should be to reach a</w:t>
      </w:r>
      <w:r w:rsidRPr="003814DD">
        <w:rPr>
          <w:rFonts w:ascii="Verdana" w:hAnsi="Verdana"/>
          <w:sz w:val="24"/>
          <w:szCs w:val="24"/>
        </w:rPr>
        <w:t xml:space="preserve"> shared</w:t>
      </w:r>
      <w:r w:rsidRPr="003814DD">
        <w:rPr>
          <w:rFonts w:ascii="Verdana" w:hAnsi="Verdana"/>
          <w:sz w:val="24"/>
          <w:szCs w:val="24"/>
        </w:rPr>
        <w:t xml:space="preserve"> understanding of the 'do no harm' principle, so as not to undermine FRPS' enabling role</w:t>
      </w:r>
      <w:r w:rsidRPr="003814DD">
        <w:rPr>
          <w:rFonts w:ascii="Verdana" w:hAnsi="Verdana"/>
          <w:sz w:val="24"/>
          <w:szCs w:val="24"/>
        </w:rPr>
        <w:t xml:space="preserve"> in serving the European </w:t>
      </w:r>
      <w:r w:rsidRPr="003814DD">
        <w:rPr>
          <w:rFonts w:ascii="Verdana" w:hAnsi="Verdana"/>
          <w:sz w:val="24"/>
          <w:szCs w:val="24"/>
        </w:rPr>
        <w:t>economy as a whole</w:t>
      </w:r>
      <w:r w:rsidRPr="003814DD">
        <w:rPr>
          <w:rFonts w:ascii="Verdana" w:hAnsi="Verdana"/>
          <w:sz w:val="24"/>
          <w:szCs w:val="24"/>
        </w:rPr>
        <w:t>.</w:t>
      </w:r>
      <w:r w:rsidRPr="003814DD">
        <w:rPr>
          <w:rFonts w:ascii="Verdana" w:hAnsi="Verdana"/>
          <w:sz w:val="24"/>
          <w:szCs w:val="24"/>
        </w:rPr>
        <w:t xml:space="preserve"> At the same time, a </w:t>
      </w:r>
      <w:r w:rsidRPr="003814DD">
        <w:rPr>
          <w:rFonts w:ascii="Verdana" w:hAnsi="Verdana"/>
          <w:sz w:val="24"/>
          <w:szCs w:val="24"/>
        </w:rPr>
        <w:t>long</w:t>
      </w:r>
      <w:r w:rsidRPr="003814DD">
        <w:rPr>
          <w:rFonts w:ascii="Verdana" w:hAnsi="Verdana"/>
          <w:sz w:val="24"/>
          <w:szCs w:val="24"/>
        </w:rPr>
        <w:t>er</w:t>
      </w:r>
      <w:r w:rsidRPr="003814DD">
        <w:rPr>
          <w:rFonts w:ascii="Verdana" w:hAnsi="Verdana"/>
          <w:sz w:val="24"/>
          <w:szCs w:val="24"/>
        </w:rPr>
        <w:t xml:space="preserve">-term objective </w:t>
      </w:r>
      <w:r w:rsidRPr="003814DD">
        <w:rPr>
          <w:rFonts w:ascii="Verdana" w:hAnsi="Verdana"/>
          <w:sz w:val="24"/>
          <w:szCs w:val="24"/>
        </w:rPr>
        <w:t xml:space="preserve">should be kept in view, </w:t>
      </w:r>
      <w:r w:rsidRPr="003814DD">
        <w:rPr>
          <w:rFonts w:ascii="Verdana" w:hAnsi="Verdana"/>
          <w:sz w:val="24"/>
          <w:szCs w:val="24"/>
        </w:rPr>
        <w:t>namely,</w:t>
      </w:r>
      <w:r w:rsidRPr="003814DD">
        <w:rPr>
          <w:rFonts w:ascii="Verdana" w:hAnsi="Verdana"/>
          <w:sz w:val="24"/>
          <w:szCs w:val="24"/>
        </w:rPr>
        <w:t xml:space="preserve"> </w:t>
      </w:r>
      <w:r w:rsidRPr="003814DD">
        <w:rPr>
          <w:rFonts w:ascii="Verdana" w:hAnsi="Verdana"/>
          <w:sz w:val="24"/>
          <w:szCs w:val="24"/>
        </w:rPr>
        <w:t xml:space="preserve">to deepen </w:t>
      </w:r>
      <w:r w:rsidRPr="003814DD">
        <w:rPr>
          <w:rFonts w:ascii="Verdana" w:hAnsi="Verdana"/>
          <w:sz w:val="24"/>
          <w:szCs w:val="24"/>
        </w:rPr>
        <w:t>the</w:t>
      </w:r>
      <w:r w:rsidRPr="003814DD">
        <w:rPr>
          <w:rFonts w:ascii="Verdana" w:hAnsi="Verdana"/>
          <w:sz w:val="24"/>
          <w:szCs w:val="24"/>
        </w:rPr>
        <w:t xml:space="preserve"> understanding </w:t>
      </w:r>
      <w:r w:rsidRPr="003814DD">
        <w:rPr>
          <w:rFonts w:ascii="Verdana" w:hAnsi="Verdana"/>
          <w:sz w:val="24"/>
          <w:szCs w:val="24"/>
        </w:rPr>
        <w:t xml:space="preserve">of </w:t>
      </w:r>
      <w:r w:rsidRPr="003814DD">
        <w:rPr>
          <w:rFonts w:ascii="Verdana" w:hAnsi="Verdana"/>
          <w:sz w:val="24"/>
          <w:szCs w:val="24"/>
        </w:rPr>
        <w:t>how greater UK-EU cooperation could unlock growth potential</w:t>
      </w:r>
      <w:r w:rsidRPr="003814DD">
        <w:rPr>
          <w:rFonts w:ascii="Verdana" w:hAnsi="Verdana"/>
          <w:sz w:val="24"/>
          <w:szCs w:val="24"/>
        </w:rPr>
        <w:t xml:space="preserve"> on both sides</w:t>
      </w:r>
      <w:r w:rsidRPr="003814DD">
        <w:rPr>
          <w:rFonts w:ascii="Verdana" w:hAnsi="Verdana"/>
          <w:sz w:val="24"/>
          <w:szCs w:val="24"/>
        </w:rPr>
        <w:t>.</w:t>
      </w:r>
      <w:r w:rsidRPr="003814DD">
        <w:rPr>
          <w:rFonts w:ascii="Verdana" w:hAnsi="Verdana"/>
          <w:sz w:val="24"/>
          <w:szCs w:val="24"/>
        </w:rPr>
        <w:t xml:space="preserve"> </w:t>
      </w:r>
    </w:p>
    <w:p w:rsidR="003814DD" w:rsidRPr="003814DD" w:rsidP="3743B27F">
      <w:pPr>
        <w:spacing w:after="0" w:line="240" w:lineRule="auto"/>
        <w:rPr>
          <w:rFonts w:ascii="Verdana" w:hAnsi="Verdana"/>
          <w:sz w:val="24"/>
          <w:szCs w:val="24"/>
        </w:rPr>
      </w:pPr>
    </w:p>
    <w:p w:rsidR="003814DD" w:rsidRPr="003814DD" w:rsidP="3743B27F">
      <w:pPr>
        <w:spacing w:after="0" w:line="240" w:lineRule="auto"/>
        <w:rPr>
          <w:rFonts w:ascii="Verdana" w:hAnsi="Verdana"/>
          <w:b/>
          <w:bCs/>
          <w:sz w:val="24"/>
          <w:szCs w:val="24"/>
        </w:rPr>
      </w:pPr>
      <w:r w:rsidRPr="003814DD">
        <w:rPr>
          <w:rFonts w:ascii="Verdana" w:hAnsi="Verdana"/>
          <w:b/>
          <w:bCs/>
          <w:sz w:val="24"/>
          <w:szCs w:val="24"/>
        </w:rPr>
        <w:t>Tackling cliff</w:t>
      </w:r>
      <w:r w:rsidRPr="003814DD">
        <w:rPr>
          <w:rFonts w:ascii="Verdana" w:hAnsi="Verdana"/>
          <w:b/>
          <w:bCs/>
          <w:sz w:val="24"/>
          <w:szCs w:val="24"/>
        </w:rPr>
        <w:t>-</w:t>
      </w:r>
      <w:r w:rsidRPr="003814DD">
        <w:rPr>
          <w:rFonts w:ascii="Verdana" w:hAnsi="Verdana"/>
          <w:b/>
          <w:bCs/>
          <w:sz w:val="24"/>
          <w:szCs w:val="24"/>
        </w:rPr>
        <w:t>edge issues</w:t>
      </w:r>
      <w:r w:rsidRPr="003814DD">
        <w:rPr>
          <w:rFonts w:ascii="Verdana" w:hAnsi="Verdana"/>
          <w:b/>
          <w:bCs/>
          <w:sz w:val="24"/>
          <w:szCs w:val="24"/>
        </w:rPr>
        <w:t xml:space="preserve"> and explor</w:t>
      </w:r>
      <w:r w:rsidRPr="003814DD">
        <w:rPr>
          <w:rFonts w:ascii="Verdana" w:hAnsi="Verdana"/>
          <w:b/>
          <w:bCs/>
          <w:sz w:val="24"/>
          <w:szCs w:val="24"/>
        </w:rPr>
        <w:t xml:space="preserve">ing </w:t>
      </w:r>
      <w:r w:rsidRPr="003814DD">
        <w:rPr>
          <w:rFonts w:ascii="Verdana" w:hAnsi="Verdana"/>
          <w:b/>
          <w:bCs/>
          <w:sz w:val="24"/>
          <w:szCs w:val="24"/>
        </w:rPr>
        <w:t>new ways of cooperation</w:t>
      </w:r>
    </w:p>
    <w:p w:rsidR="003814DD" w:rsidRPr="003814DD" w:rsidP="002A48CE">
      <w:pPr>
        <w:spacing w:after="0" w:line="240" w:lineRule="auto"/>
        <w:rPr>
          <w:rFonts w:ascii="Verdana" w:hAnsi="Verdana"/>
          <w:bCs/>
          <w:sz w:val="24"/>
          <w:szCs w:val="24"/>
        </w:rPr>
      </w:pPr>
      <w:r w:rsidRPr="003814DD">
        <w:rPr>
          <w:rFonts w:ascii="Verdana" w:hAnsi="Verdana"/>
          <w:bCs/>
          <w:sz w:val="24"/>
          <w:szCs w:val="24"/>
        </w:rPr>
        <w:t>In addition to</w:t>
      </w:r>
      <w:r w:rsidRPr="003814DD">
        <w:rPr>
          <w:rFonts w:ascii="Verdana" w:hAnsi="Verdana"/>
          <w:bCs/>
          <w:sz w:val="24"/>
          <w:szCs w:val="24"/>
        </w:rPr>
        <w:t xml:space="preserve"> the importance of the </w:t>
      </w:r>
      <w:r w:rsidRPr="003814DD">
        <w:rPr>
          <w:rFonts w:ascii="Verdana" w:hAnsi="Verdana"/>
          <w:bCs/>
          <w:sz w:val="24"/>
          <w:szCs w:val="24"/>
        </w:rPr>
        <w:t xml:space="preserve">UK </w:t>
      </w:r>
      <w:r w:rsidRPr="003814DD">
        <w:rPr>
          <w:rFonts w:ascii="Verdana" w:hAnsi="Verdana"/>
          <w:bCs/>
          <w:sz w:val="24"/>
          <w:szCs w:val="24"/>
        </w:rPr>
        <w:t xml:space="preserve"> </w:t>
      </w:r>
      <w:r w:rsidRPr="003814DD">
        <w:rPr>
          <w:rFonts w:ascii="Verdana" w:hAnsi="Verdana"/>
          <w:bCs/>
          <w:sz w:val="24"/>
          <w:szCs w:val="24"/>
        </w:rPr>
        <w:t>achieving</w:t>
      </w:r>
      <w:r w:rsidRPr="003814DD">
        <w:rPr>
          <w:rFonts w:ascii="Verdana" w:hAnsi="Verdana"/>
          <w:bCs/>
          <w:sz w:val="24"/>
          <w:szCs w:val="24"/>
        </w:rPr>
        <w:t xml:space="preserve"> a longer-term solution to </w:t>
      </w:r>
      <w:r w:rsidRPr="003814DD">
        <w:rPr>
          <w:rFonts w:ascii="Verdana" w:hAnsi="Verdana"/>
          <w:bCs/>
          <w:sz w:val="24"/>
          <w:szCs w:val="24"/>
        </w:rPr>
        <w:t>maintaining data adequacy</w:t>
      </w:r>
      <w:r w:rsidRPr="003814DD">
        <w:rPr>
          <w:rFonts w:ascii="Verdana" w:hAnsi="Verdana"/>
          <w:bCs/>
          <w:sz w:val="24"/>
          <w:szCs w:val="24"/>
        </w:rPr>
        <w:t>,</w:t>
      </w:r>
      <w:r w:rsidRPr="003814DD">
        <w:rPr>
          <w:rFonts w:ascii="Verdana" w:hAnsi="Verdana"/>
          <w:bCs/>
          <w:sz w:val="24"/>
          <w:szCs w:val="24"/>
        </w:rPr>
        <w:t xml:space="preserve"> </w:t>
      </w:r>
      <w:r w:rsidRPr="003814DD">
        <w:rPr>
          <w:rFonts w:ascii="Verdana" w:hAnsi="Verdana"/>
          <w:bCs/>
          <w:sz w:val="24"/>
          <w:szCs w:val="24"/>
        </w:rPr>
        <w:t>another</w:t>
      </w:r>
      <w:r w:rsidRPr="003814DD">
        <w:rPr>
          <w:rFonts w:ascii="Verdana" w:hAnsi="Verdana"/>
          <w:bCs/>
          <w:sz w:val="24"/>
          <w:szCs w:val="24"/>
        </w:rPr>
        <w:t xml:space="preserve"> issue </w:t>
      </w:r>
      <w:r w:rsidRPr="003814DD">
        <w:rPr>
          <w:rFonts w:ascii="Verdana" w:hAnsi="Verdana"/>
          <w:bCs/>
          <w:sz w:val="24"/>
          <w:szCs w:val="24"/>
        </w:rPr>
        <w:t xml:space="preserve">which </w:t>
      </w:r>
      <w:r w:rsidRPr="003814DD">
        <w:rPr>
          <w:rFonts w:ascii="Verdana" w:hAnsi="Verdana"/>
          <w:bCs/>
          <w:sz w:val="24"/>
          <w:szCs w:val="24"/>
        </w:rPr>
        <w:t xml:space="preserve">currently </w:t>
      </w:r>
      <w:r w:rsidRPr="003814DD">
        <w:rPr>
          <w:rFonts w:ascii="Verdana" w:hAnsi="Verdana"/>
          <w:bCs/>
          <w:sz w:val="24"/>
          <w:szCs w:val="24"/>
        </w:rPr>
        <w:t>involves</w:t>
      </w:r>
      <w:r w:rsidRPr="003814DD">
        <w:rPr>
          <w:rFonts w:ascii="Verdana" w:hAnsi="Verdana"/>
          <w:bCs/>
          <w:sz w:val="24"/>
          <w:szCs w:val="24"/>
        </w:rPr>
        <w:t xml:space="preserve"> </w:t>
      </w:r>
      <w:r w:rsidRPr="003814DD">
        <w:rPr>
          <w:rFonts w:ascii="Verdana" w:hAnsi="Verdana"/>
          <w:bCs/>
          <w:sz w:val="24"/>
          <w:szCs w:val="24"/>
        </w:rPr>
        <w:t xml:space="preserve">an inherent ‘cliff edge’ </w:t>
      </w:r>
      <w:r w:rsidRPr="003814DD">
        <w:rPr>
          <w:rFonts w:ascii="Verdana" w:hAnsi="Verdana"/>
          <w:bCs/>
          <w:sz w:val="24"/>
          <w:szCs w:val="24"/>
        </w:rPr>
        <w:t xml:space="preserve">time-limit </w:t>
      </w:r>
      <w:r w:rsidRPr="003814DD">
        <w:rPr>
          <w:rFonts w:ascii="Verdana" w:hAnsi="Verdana"/>
          <w:bCs/>
          <w:sz w:val="24"/>
          <w:szCs w:val="24"/>
        </w:rPr>
        <w:t xml:space="preserve">is </w:t>
      </w:r>
      <w:r w:rsidRPr="003814DD">
        <w:rPr>
          <w:rFonts w:ascii="Verdana" w:hAnsi="Verdana"/>
          <w:bCs/>
          <w:sz w:val="24"/>
          <w:szCs w:val="24"/>
        </w:rPr>
        <w:t xml:space="preserve">the EU’s equivalence determination for UK </w:t>
      </w:r>
      <w:r w:rsidRPr="003814DD">
        <w:rPr>
          <w:rFonts w:ascii="Verdana" w:hAnsi="Verdana"/>
          <w:bCs/>
          <w:sz w:val="24"/>
          <w:szCs w:val="24"/>
        </w:rPr>
        <w:t xml:space="preserve">Central Counterparties </w:t>
      </w:r>
      <w:r w:rsidRPr="003814DD">
        <w:rPr>
          <w:rFonts w:ascii="Verdana" w:hAnsi="Verdana"/>
          <w:bCs/>
          <w:sz w:val="24"/>
          <w:szCs w:val="24"/>
        </w:rPr>
        <w:t>(</w:t>
      </w:r>
      <w:r w:rsidRPr="003814DD">
        <w:rPr>
          <w:rFonts w:ascii="Verdana" w:hAnsi="Verdana"/>
          <w:bCs/>
          <w:sz w:val="24"/>
          <w:szCs w:val="24"/>
        </w:rPr>
        <w:t>CCPs</w:t>
      </w:r>
      <w:r w:rsidRPr="003814DD">
        <w:rPr>
          <w:rFonts w:ascii="Verdana" w:hAnsi="Verdana"/>
          <w:bCs/>
          <w:sz w:val="24"/>
          <w:szCs w:val="24"/>
        </w:rPr>
        <w:t>)</w:t>
      </w:r>
      <w:r w:rsidRPr="003814DD">
        <w:rPr>
          <w:rFonts w:ascii="Verdana" w:hAnsi="Verdana"/>
          <w:bCs/>
          <w:sz w:val="24"/>
          <w:szCs w:val="24"/>
        </w:rPr>
        <w:t xml:space="preserve">. </w:t>
      </w:r>
      <w:r w:rsidRPr="003814DD">
        <w:rPr>
          <w:rFonts w:ascii="Verdana" w:hAnsi="Verdana"/>
          <w:bCs/>
          <w:sz w:val="24"/>
          <w:szCs w:val="24"/>
        </w:rPr>
        <w:t xml:space="preserve">The equivalence decision allows EU firms to continue to use the services of London based </w:t>
      </w:r>
      <w:r w:rsidRPr="003814DD">
        <w:rPr>
          <w:rFonts w:ascii="Verdana" w:hAnsi="Verdana"/>
          <w:bCs/>
          <w:sz w:val="24"/>
          <w:szCs w:val="24"/>
        </w:rPr>
        <w:t>c</w:t>
      </w:r>
      <w:r w:rsidRPr="003814DD">
        <w:rPr>
          <w:rFonts w:ascii="Verdana" w:hAnsi="Verdana"/>
          <w:bCs/>
          <w:sz w:val="24"/>
          <w:szCs w:val="24"/>
        </w:rPr>
        <w:t>leari</w:t>
      </w:r>
      <w:r w:rsidRPr="003814DD">
        <w:rPr>
          <w:rFonts w:ascii="Verdana" w:hAnsi="Verdana"/>
          <w:bCs/>
          <w:sz w:val="24"/>
          <w:szCs w:val="24"/>
        </w:rPr>
        <w:t>n</w:t>
      </w:r>
      <w:r w:rsidRPr="003814DD">
        <w:rPr>
          <w:rFonts w:ascii="Verdana" w:hAnsi="Verdana"/>
          <w:bCs/>
          <w:sz w:val="24"/>
          <w:szCs w:val="24"/>
        </w:rPr>
        <w:t>g</w:t>
      </w:r>
      <w:r w:rsidRPr="003814DD">
        <w:rPr>
          <w:rFonts w:ascii="Verdana" w:hAnsi="Verdana"/>
          <w:bCs/>
          <w:sz w:val="24"/>
          <w:szCs w:val="24"/>
        </w:rPr>
        <w:t xml:space="preserve"> </w:t>
      </w:r>
      <w:r w:rsidRPr="003814DD">
        <w:rPr>
          <w:rFonts w:ascii="Verdana" w:hAnsi="Verdana"/>
          <w:bCs/>
          <w:sz w:val="24"/>
          <w:szCs w:val="24"/>
        </w:rPr>
        <w:t>houses and give</w:t>
      </w:r>
      <w:r w:rsidRPr="003814DD">
        <w:rPr>
          <w:rFonts w:ascii="Verdana" w:hAnsi="Verdana"/>
          <w:bCs/>
          <w:sz w:val="24"/>
          <w:szCs w:val="24"/>
        </w:rPr>
        <w:t>s</w:t>
      </w:r>
      <w:r w:rsidRPr="003814DD">
        <w:rPr>
          <w:rFonts w:ascii="Verdana" w:hAnsi="Verdana"/>
          <w:bCs/>
          <w:sz w:val="24"/>
          <w:szCs w:val="24"/>
        </w:rPr>
        <w:t xml:space="preserve"> those </w:t>
      </w:r>
      <w:r w:rsidRPr="003814DD">
        <w:rPr>
          <w:rFonts w:ascii="Verdana" w:hAnsi="Verdana"/>
          <w:bCs/>
          <w:sz w:val="24"/>
          <w:szCs w:val="24"/>
        </w:rPr>
        <w:t>c</w:t>
      </w:r>
      <w:r w:rsidRPr="003814DD">
        <w:rPr>
          <w:rFonts w:ascii="Verdana" w:hAnsi="Verdana"/>
          <w:bCs/>
          <w:sz w:val="24"/>
          <w:szCs w:val="24"/>
        </w:rPr>
        <w:t>learing</w:t>
      </w:r>
      <w:r w:rsidRPr="003814DD">
        <w:rPr>
          <w:rFonts w:ascii="Verdana" w:hAnsi="Verdana"/>
          <w:bCs/>
          <w:sz w:val="24"/>
          <w:szCs w:val="24"/>
        </w:rPr>
        <w:t xml:space="preserve"> </w:t>
      </w:r>
      <w:r w:rsidRPr="003814DD">
        <w:rPr>
          <w:rFonts w:ascii="Verdana" w:hAnsi="Verdana"/>
          <w:bCs/>
          <w:sz w:val="24"/>
          <w:szCs w:val="24"/>
        </w:rPr>
        <w:t>houses full access to the EU market.</w:t>
      </w:r>
      <w:r w:rsidRPr="003814DD">
        <w:rPr>
          <w:rFonts w:ascii="Verdana" w:hAnsi="Verdana"/>
          <w:bCs/>
          <w:sz w:val="24"/>
          <w:szCs w:val="24"/>
        </w:rPr>
        <w:t xml:space="preserve"> In January 2025, the EU </w:t>
      </w:r>
      <w:r w:rsidRPr="003814DD">
        <w:rPr>
          <w:rFonts w:ascii="Verdana" w:hAnsi="Verdana"/>
          <w:bCs/>
          <w:sz w:val="24"/>
          <w:szCs w:val="24"/>
        </w:rPr>
        <w:t xml:space="preserve">extended this </w:t>
      </w:r>
      <w:r w:rsidRPr="003814DD">
        <w:rPr>
          <w:rFonts w:ascii="Verdana" w:hAnsi="Verdana"/>
          <w:bCs/>
          <w:sz w:val="24"/>
          <w:szCs w:val="24"/>
        </w:rPr>
        <w:t>de</w:t>
      </w:r>
      <w:r w:rsidRPr="003814DD">
        <w:rPr>
          <w:rFonts w:ascii="Verdana" w:hAnsi="Verdana"/>
          <w:bCs/>
          <w:sz w:val="24"/>
          <w:szCs w:val="24"/>
        </w:rPr>
        <w:t>cision</w:t>
      </w:r>
      <w:r w:rsidRPr="003814DD">
        <w:rPr>
          <w:rFonts w:ascii="Verdana" w:hAnsi="Verdana"/>
          <w:bCs/>
          <w:sz w:val="24"/>
          <w:szCs w:val="24"/>
        </w:rPr>
        <w:t>, but only</w:t>
      </w:r>
      <w:r w:rsidRPr="003814DD">
        <w:rPr>
          <w:rFonts w:ascii="Verdana" w:hAnsi="Verdana"/>
          <w:bCs/>
          <w:sz w:val="24"/>
          <w:szCs w:val="24"/>
        </w:rPr>
        <w:t xml:space="preserve"> until June 2028.</w:t>
      </w:r>
    </w:p>
    <w:p w:rsidR="003814DD" w:rsidRPr="003814DD" w:rsidP="002A48CE">
      <w:pPr>
        <w:spacing w:after="0" w:line="240" w:lineRule="auto"/>
        <w:rPr>
          <w:rFonts w:ascii="Verdana" w:hAnsi="Verdana"/>
          <w:bCs/>
          <w:sz w:val="24"/>
          <w:szCs w:val="24"/>
        </w:rPr>
      </w:pPr>
    </w:p>
    <w:p w:rsidR="003814DD" w:rsidRPr="003814DD" w:rsidP="00396E34">
      <w:pPr>
        <w:spacing w:after="0" w:line="240" w:lineRule="auto"/>
        <w:rPr>
          <w:rFonts w:ascii="Verdana" w:hAnsi="Verdana"/>
          <w:bCs/>
          <w:sz w:val="24"/>
          <w:szCs w:val="24"/>
        </w:rPr>
      </w:pPr>
      <w:r w:rsidRPr="003814DD">
        <w:rPr>
          <w:rFonts w:ascii="Verdana" w:hAnsi="Verdana"/>
          <w:bCs/>
          <w:sz w:val="24"/>
          <w:szCs w:val="24"/>
        </w:rPr>
        <w:t xml:space="preserve">In the </w:t>
      </w:r>
      <w:r w:rsidRPr="003814DD">
        <w:rPr>
          <w:rFonts w:ascii="Verdana" w:hAnsi="Verdana"/>
          <w:bCs/>
          <w:sz w:val="24"/>
          <w:szCs w:val="24"/>
        </w:rPr>
        <w:t xml:space="preserve">medium </w:t>
      </w:r>
      <w:r w:rsidRPr="003814DD">
        <w:rPr>
          <w:rFonts w:ascii="Verdana" w:hAnsi="Verdana"/>
          <w:bCs/>
          <w:sz w:val="24"/>
          <w:szCs w:val="24"/>
        </w:rPr>
        <w:t>term, we</w:t>
      </w:r>
      <w:r w:rsidRPr="003814DD">
        <w:rPr>
          <w:rFonts w:ascii="Verdana" w:hAnsi="Verdana"/>
          <w:bCs/>
          <w:sz w:val="24"/>
          <w:szCs w:val="24"/>
        </w:rPr>
        <w:t xml:space="preserve"> </w:t>
      </w:r>
      <w:r w:rsidRPr="003814DD">
        <w:rPr>
          <w:rFonts w:ascii="Verdana" w:hAnsi="Verdana"/>
          <w:bCs/>
          <w:sz w:val="24"/>
          <w:szCs w:val="24"/>
        </w:rPr>
        <w:t xml:space="preserve">would </w:t>
      </w:r>
      <w:r w:rsidRPr="003814DD">
        <w:rPr>
          <w:rFonts w:ascii="Verdana" w:hAnsi="Verdana"/>
          <w:bCs/>
          <w:sz w:val="24"/>
          <w:szCs w:val="24"/>
        </w:rPr>
        <w:t xml:space="preserve">encourage both sides to work </w:t>
      </w:r>
      <w:r w:rsidRPr="003814DD">
        <w:rPr>
          <w:rFonts w:ascii="Verdana" w:hAnsi="Verdana"/>
          <w:bCs/>
          <w:sz w:val="24"/>
          <w:szCs w:val="24"/>
        </w:rPr>
        <w:t>towards achieving</w:t>
      </w:r>
      <w:r w:rsidRPr="003814DD">
        <w:rPr>
          <w:rFonts w:ascii="Verdana" w:hAnsi="Verdana"/>
          <w:bCs/>
          <w:sz w:val="24"/>
          <w:szCs w:val="24"/>
        </w:rPr>
        <w:t xml:space="preserve"> </w:t>
      </w:r>
      <w:r w:rsidRPr="003814DD">
        <w:rPr>
          <w:rFonts w:ascii="Verdana" w:hAnsi="Verdana"/>
          <w:bCs/>
          <w:sz w:val="24"/>
          <w:szCs w:val="24"/>
        </w:rPr>
        <w:t>non-time limited</w:t>
      </w:r>
      <w:r w:rsidRPr="003814DD">
        <w:rPr>
          <w:rFonts w:ascii="Verdana" w:hAnsi="Verdana"/>
          <w:bCs/>
          <w:sz w:val="24"/>
          <w:szCs w:val="24"/>
        </w:rPr>
        <w:t xml:space="preserve"> </w:t>
      </w:r>
      <w:r w:rsidRPr="003814DD">
        <w:rPr>
          <w:rFonts w:ascii="Verdana" w:hAnsi="Verdana"/>
          <w:bCs/>
          <w:sz w:val="24"/>
          <w:szCs w:val="24"/>
        </w:rPr>
        <w:t xml:space="preserve">solutions with respect to both </w:t>
      </w:r>
      <w:r w:rsidRPr="003814DD">
        <w:rPr>
          <w:rFonts w:ascii="Verdana" w:hAnsi="Verdana"/>
          <w:bCs/>
          <w:sz w:val="24"/>
          <w:szCs w:val="24"/>
        </w:rPr>
        <w:t xml:space="preserve">future </w:t>
      </w:r>
      <w:r w:rsidRPr="003814DD">
        <w:rPr>
          <w:rFonts w:ascii="Verdana" w:hAnsi="Verdana"/>
          <w:bCs/>
          <w:sz w:val="24"/>
          <w:szCs w:val="24"/>
        </w:rPr>
        <w:t xml:space="preserve">equivalence decisions on </w:t>
      </w:r>
      <w:r w:rsidRPr="003814DD">
        <w:rPr>
          <w:rFonts w:ascii="Verdana" w:hAnsi="Verdana"/>
          <w:bCs/>
          <w:sz w:val="24"/>
          <w:szCs w:val="24"/>
        </w:rPr>
        <w:t>c</w:t>
      </w:r>
      <w:r w:rsidRPr="003814DD">
        <w:rPr>
          <w:rFonts w:ascii="Verdana" w:hAnsi="Verdana"/>
          <w:bCs/>
          <w:sz w:val="24"/>
          <w:szCs w:val="24"/>
        </w:rPr>
        <w:t xml:space="preserve">learing </w:t>
      </w:r>
      <w:r w:rsidRPr="003814DD">
        <w:rPr>
          <w:rFonts w:ascii="Verdana" w:hAnsi="Verdana"/>
          <w:bCs/>
          <w:sz w:val="24"/>
          <w:szCs w:val="24"/>
        </w:rPr>
        <w:t>and</w:t>
      </w:r>
      <w:r w:rsidRPr="003814DD">
        <w:rPr>
          <w:rFonts w:ascii="Verdana" w:hAnsi="Verdana"/>
          <w:bCs/>
          <w:sz w:val="24"/>
          <w:szCs w:val="24"/>
        </w:rPr>
        <w:t xml:space="preserve"> as explained above</w:t>
      </w:r>
      <w:r w:rsidRPr="003814DD">
        <w:rPr>
          <w:rFonts w:ascii="Verdana" w:hAnsi="Verdana"/>
          <w:bCs/>
          <w:sz w:val="24"/>
          <w:szCs w:val="24"/>
        </w:rPr>
        <w:t>,</w:t>
      </w:r>
      <w:r w:rsidRPr="003814DD">
        <w:rPr>
          <w:rFonts w:ascii="Verdana" w:hAnsi="Verdana"/>
          <w:bCs/>
          <w:sz w:val="24"/>
          <w:szCs w:val="24"/>
        </w:rPr>
        <w:t xml:space="preserve"> data adequacy</w:t>
      </w:r>
      <w:r w:rsidRPr="003814DD">
        <w:rPr>
          <w:rFonts w:ascii="Verdana" w:hAnsi="Verdana"/>
          <w:bCs/>
          <w:sz w:val="24"/>
          <w:szCs w:val="24"/>
        </w:rPr>
        <w:t xml:space="preserve"> without a sunset clause</w:t>
      </w:r>
      <w:r w:rsidRPr="003814DD">
        <w:rPr>
          <w:rFonts w:ascii="Verdana" w:hAnsi="Verdana"/>
          <w:bCs/>
          <w:sz w:val="24"/>
          <w:szCs w:val="24"/>
        </w:rPr>
        <w:t xml:space="preserve"> included</w:t>
      </w:r>
      <w:r w:rsidRPr="003814DD">
        <w:rPr>
          <w:rFonts w:ascii="Verdana" w:hAnsi="Verdana"/>
          <w:bCs/>
          <w:sz w:val="24"/>
          <w:szCs w:val="24"/>
        </w:rPr>
        <w:t>.</w:t>
      </w:r>
      <w:r w:rsidRPr="003814DD">
        <w:rPr>
          <w:rFonts w:ascii="Verdana" w:hAnsi="Verdana"/>
          <w:bCs/>
          <w:sz w:val="24"/>
          <w:szCs w:val="24"/>
        </w:rPr>
        <w:t xml:space="preserve"> Non-time-limited equivalence decisions would provide EU and UK market participants with much-needed certainty and contribute to the </w:t>
      </w:r>
      <w:r w:rsidRPr="003814DD">
        <w:rPr>
          <w:rFonts w:ascii="Verdana" w:hAnsi="Verdana"/>
          <w:bCs/>
          <w:sz w:val="24"/>
          <w:szCs w:val="24"/>
        </w:rPr>
        <w:t xml:space="preserve">financial stability, </w:t>
      </w:r>
      <w:r w:rsidRPr="003814DD">
        <w:rPr>
          <w:rFonts w:ascii="Verdana" w:hAnsi="Verdana"/>
          <w:bCs/>
          <w:sz w:val="24"/>
          <w:szCs w:val="24"/>
        </w:rPr>
        <w:t>growth,</w:t>
      </w:r>
      <w:r w:rsidRPr="003814DD">
        <w:rPr>
          <w:rFonts w:ascii="Verdana" w:hAnsi="Verdana"/>
          <w:bCs/>
          <w:sz w:val="24"/>
          <w:szCs w:val="24"/>
        </w:rPr>
        <w:t xml:space="preserve"> and competitiveness objectives in both jurisdictions.</w:t>
      </w:r>
    </w:p>
    <w:p w:rsidR="003814DD" w:rsidRPr="003814DD" w:rsidP="00396E34">
      <w:pPr>
        <w:spacing w:after="0" w:line="240" w:lineRule="auto"/>
        <w:rPr>
          <w:rFonts w:ascii="Verdana" w:hAnsi="Verdana"/>
          <w:bCs/>
          <w:sz w:val="24"/>
          <w:szCs w:val="24"/>
        </w:rPr>
      </w:pPr>
    </w:p>
    <w:p w:rsidR="003814DD" w:rsidRPr="003814DD">
      <w:pPr>
        <w:spacing w:after="0" w:line="240" w:lineRule="auto"/>
        <w:rPr>
          <w:rFonts w:ascii="Verdana" w:hAnsi="Verdana"/>
          <w:bCs/>
          <w:sz w:val="24"/>
          <w:szCs w:val="24"/>
        </w:rPr>
      </w:pPr>
      <w:r w:rsidRPr="003814DD">
        <w:rPr>
          <w:rFonts w:ascii="Verdana" w:hAnsi="Verdana"/>
          <w:bCs/>
          <w:sz w:val="24"/>
          <w:szCs w:val="24"/>
        </w:rPr>
        <w:t>In the long</w:t>
      </w:r>
      <w:r w:rsidRPr="003814DD">
        <w:rPr>
          <w:rFonts w:ascii="Verdana" w:hAnsi="Verdana"/>
          <w:bCs/>
          <w:sz w:val="24"/>
          <w:szCs w:val="24"/>
        </w:rPr>
        <w:t>er</w:t>
      </w:r>
      <w:r w:rsidRPr="003814DD">
        <w:rPr>
          <w:rFonts w:ascii="Verdana" w:hAnsi="Verdana"/>
          <w:bCs/>
          <w:sz w:val="24"/>
          <w:szCs w:val="24"/>
        </w:rPr>
        <w:t xml:space="preserve"> term, w</w:t>
      </w:r>
      <w:r w:rsidRPr="003814DD">
        <w:rPr>
          <w:rFonts w:ascii="Verdana" w:hAnsi="Verdana"/>
          <w:bCs/>
          <w:sz w:val="24"/>
          <w:szCs w:val="24"/>
        </w:rPr>
        <w:t xml:space="preserve">e encourage both sides to explore and develop new </w:t>
      </w:r>
      <w:r w:rsidRPr="003814DD">
        <w:rPr>
          <w:rFonts w:ascii="Verdana" w:hAnsi="Verdana"/>
          <w:bCs/>
          <w:sz w:val="24"/>
          <w:szCs w:val="24"/>
        </w:rPr>
        <w:t>and more amb</w:t>
      </w:r>
      <w:r w:rsidRPr="003814DD">
        <w:rPr>
          <w:rFonts w:ascii="Verdana" w:hAnsi="Verdana"/>
          <w:bCs/>
          <w:sz w:val="24"/>
          <w:szCs w:val="24"/>
        </w:rPr>
        <w:t xml:space="preserve">itious </w:t>
      </w:r>
      <w:r w:rsidRPr="003814DD">
        <w:rPr>
          <w:rFonts w:ascii="Verdana" w:hAnsi="Verdana"/>
          <w:bCs/>
          <w:sz w:val="24"/>
          <w:szCs w:val="24"/>
        </w:rPr>
        <w:t>forms of cooperation, strengthening the interconnectedness of European capital markets, unlocking the necessary funding to enable growth and innovation in both economies.</w:t>
      </w:r>
      <w:r w:rsidRPr="003814DD">
        <w:rPr>
          <w:rFonts w:ascii="Verdana" w:hAnsi="Verdana"/>
          <w:bCs/>
          <w:sz w:val="24"/>
          <w:szCs w:val="24"/>
        </w:rPr>
        <w:t xml:space="preserve"> Stronger capital markets are not a zero-sum game, but beneficial to both sides. The UK financial services sector can </w:t>
      </w:r>
      <w:r w:rsidRPr="003814DD">
        <w:rPr>
          <w:rFonts w:ascii="Verdana" w:hAnsi="Verdana"/>
          <w:bCs/>
          <w:sz w:val="24"/>
          <w:szCs w:val="24"/>
        </w:rPr>
        <w:t xml:space="preserve">be instrumental in </w:t>
      </w:r>
      <w:r w:rsidRPr="003814DD">
        <w:rPr>
          <w:rFonts w:ascii="Verdana" w:hAnsi="Verdana"/>
          <w:bCs/>
          <w:sz w:val="24"/>
          <w:szCs w:val="24"/>
        </w:rPr>
        <w:t>help</w:t>
      </w:r>
      <w:r w:rsidRPr="003814DD">
        <w:rPr>
          <w:rFonts w:ascii="Verdana" w:hAnsi="Verdana"/>
          <w:bCs/>
          <w:sz w:val="24"/>
          <w:szCs w:val="24"/>
        </w:rPr>
        <w:t>ing</w:t>
      </w:r>
      <w:r w:rsidRPr="003814DD">
        <w:rPr>
          <w:rFonts w:ascii="Verdana" w:hAnsi="Verdana"/>
          <w:bCs/>
          <w:sz w:val="24"/>
          <w:szCs w:val="24"/>
        </w:rPr>
        <w:t xml:space="preserve"> to fund the </w:t>
      </w:r>
      <w:r w:rsidRPr="003814DD">
        <w:rPr>
          <w:rFonts w:ascii="Verdana" w:hAnsi="Verdana"/>
          <w:bCs/>
          <w:sz w:val="24"/>
          <w:szCs w:val="24"/>
        </w:rPr>
        <w:t xml:space="preserve">projects that will deliver </w:t>
      </w:r>
      <w:r w:rsidRPr="003814DD">
        <w:rPr>
          <w:rFonts w:ascii="Verdana" w:hAnsi="Verdana"/>
          <w:bCs/>
          <w:sz w:val="24"/>
          <w:szCs w:val="24"/>
        </w:rPr>
        <w:t>growth that economies across the continent need. Financial services are a strat</w:t>
      </w:r>
      <w:r w:rsidRPr="003814DD">
        <w:rPr>
          <w:rFonts w:ascii="Verdana" w:hAnsi="Verdana"/>
          <w:bCs/>
          <w:sz w:val="24"/>
          <w:szCs w:val="24"/>
        </w:rPr>
        <w:t xml:space="preserve">egic sector in </w:t>
      </w:r>
      <w:r w:rsidRPr="003814DD">
        <w:rPr>
          <w:rFonts w:ascii="Verdana" w:hAnsi="Verdana"/>
          <w:bCs/>
          <w:sz w:val="24"/>
          <w:szCs w:val="24"/>
        </w:rPr>
        <w:t>tackling</w:t>
      </w:r>
      <w:r w:rsidRPr="003814DD">
        <w:rPr>
          <w:rFonts w:ascii="Verdana" w:hAnsi="Verdana"/>
          <w:bCs/>
          <w:sz w:val="24"/>
          <w:szCs w:val="24"/>
        </w:rPr>
        <w:t xml:space="preserve"> </w:t>
      </w:r>
      <w:r w:rsidRPr="003814DD">
        <w:rPr>
          <w:rFonts w:ascii="Verdana" w:hAnsi="Verdana"/>
          <w:bCs/>
          <w:sz w:val="24"/>
          <w:szCs w:val="24"/>
        </w:rPr>
        <w:t xml:space="preserve">the </w:t>
      </w:r>
      <w:r w:rsidRPr="003814DD">
        <w:rPr>
          <w:rFonts w:ascii="Verdana" w:hAnsi="Verdana"/>
          <w:bCs/>
          <w:sz w:val="24"/>
          <w:szCs w:val="24"/>
        </w:rPr>
        <w:t xml:space="preserve">many shared </w:t>
      </w:r>
      <w:r w:rsidRPr="003814DD">
        <w:rPr>
          <w:rFonts w:ascii="Verdana" w:hAnsi="Verdana"/>
          <w:bCs/>
          <w:sz w:val="24"/>
          <w:szCs w:val="24"/>
        </w:rPr>
        <w:t xml:space="preserve">challenges </w:t>
      </w:r>
      <w:r w:rsidRPr="003814DD">
        <w:rPr>
          <w:rFonts w:ascii="Verdana" w:hAnsi="Verdana"/>
          <w:bCs/>
          <w:sz w:val="24"/>
          <w:szCs w:val="24"/>
        </w:rPr>
        <w:t xml:space="preserve">that </w:t>
      </w:r>
      <w:r w:rsidRPr="003814DD">
        <w:rPr>
          <w:rFonts w:ascii="Verdana" w:hAnsi="Verdana"/>
          <w:bCs/>
          <w:sz w:val="24"/>
          <w:szCs w:val="24"/>
        </w:rPr>
        <w:t xml:space="preserve">lie </w:t>
      </w:r>
      <w:r w:rsidRPr="003814DD">
        <w:rPr>
          <w:rFonts w:ascii="Verdana" w:hAnsi="Verdana"/>
          <w:bCs/>
          <w:sz w:val="24"/>
          <w:szCs w:val="24"/>
        </w:rPr>
        <w:t xml:space="preserve">ahead </w:t>
      </w:r>
      <w:r w:rsidRPr="003814DD">
        <w:rPr>
          <w:rFonts w:ascii="Verdana" w:hAnsi="Verdana"/>
          <w:bCs/>
          <w:sz w:val="24"/>
          <w:szCs w:val="24"/>
        </w:rPr>
        <w:t>for</w:t>
      </w:r>
      <w:r w:rsidRPr="003814DD">
        <w:rPr>
          <w:rFonts w:ascii="Verdana" w:hAnsi="Verdana"/>
          <w:bCs/>
          <w:sz w:val="24"/>
          <w:szCs w:val="24"/>
        </w:rPr>
        <w:t xml:space="preserve"> </w:t>
      </w:r>
      <w:r w:rsidRPr="003814DD">
        <w:rPr>
          <w:rFonts w:ascii="Verdana" w:hAnsi="Verdana"/>
          <w:bCs/>
          <w:sz w:val="24"/>
          <w:szCs w:val="24"/>
        </w:rPr>
        <w:t>both sides.</w:t>
      </w:r>
    </w:p>
    <w:p w:rsidR="003814DD" w:rsidRPr="003814DD" w:rsidP="003D2BFE">
      <w:pPr>
        <w:spacing w:after="0" w:line="240" w:lineRule="auto"/>
        <w:rPr>
          <w:rFonts w:ascii="Verdana" w:hAnsi="Verdana"/>
          <w:bCs/>
          <w:sz w:val="24"/>
          <w:szCs w:val="24"/>
        </w:rPr>
      </w:pPr>
    </w:p>
    <w:p w:rsidR="003814DD" w:rsidRPr="003814DD" w:rsidP="003D2BFE">
      <w:pPr>
        <w:spacing w:after="0" w:line="240" w:lineRule="auto"/>
        <w:rPr>
          <w:rFonts w:ascii="Verdana" w:hAnsi="Verdana"/>
          <w:bCs/>
          <w:sz w:val="24"/>
          <w:szCs w:val="24"/>
        </w:rPr>
      </w:pPr>
      <w:r w:rsidRPr="003814DD">
        <w:rPr>
          <w:rFonts w:ascii="Verdana" w:hAnsi="Verdana"/>
          <w:bCs/>
          <w:sz w:val="24"/>
          <w:szCs w:val="24"/>
        </w:rPr>
        <w:t xml:space="preserve">TheCityUK and IRSG will continue to </w:t>
      </w:r>
      <w:r w:rsidRPr="003814DD">
        <w:rPr>
          <w:rFonts w:ascii="Verdana" w:hAnsi="Verdana"/>
          <w:bCs/>
          <w:sz w:val="24"/>
          <w:szCs w:val="24"/>
        </w:rPr>
        <w:t xml:space="preserve">engage and </w:t>
      </w:r>
      <w:r w:rsidRPr="003814DD">
        <w:rPr>
          <w:rFonts w:ascii="Verdana" w:hAnsi="Verdana"/>
          <w:bCs/>
          <w:sz w:val="24"/>
          <w:szCs w:val="24"/>
        </w:rPr>
        <w:t>work with Brussels-based organisations who are highly supportive of a close</w:t>
      </w:r>
      <w:r w:rsidRPr="003814DD">
        <w:rPr>
          <w:rFonts w:ascii="Verdana" w:hAnsi="Verdana"/>
          <w:bCs/>
          <w:sz w:val="24"/>
          <w:szCs w:val="24"/>
        </w:rPr>
        <w:t>r</w:t>
      </w:r>
      <w:r w:rsidRPr="003814DD">
        <w:rPr>
          <w:rFonts w:ascii="Verdana" w:hAnsi="Verdana"/>
          <w:bCs/>
          <w:sz w:val="24"/>
          <w:szCs w:val="24"/>
        </w:rPr>
        <w:t xml:space="preserve"> UK-EU relationship. Examples of recent though leadership papers </w:t>
      </w:r>
      <w:r w:rsidRPr="003814DD">
        <w:rPr>
          <w:rFonts w:ascii="Verdana" w:hAnsi="Verdana"/>
          <w:bCs/>
          <w:sz w:val="24"/>
          <w:szCs w:val="24"/>
        </w:rPr>
        <w:t xml:space="preserve">that </w:t>
      </w:r>
      <w:r w:rsidRPr="003814DD">
        <w:rPr>
          <w:rFonts w:ascii="Verdana" w:hAnsi="Verdana"/>
          <w:bCs/>
          <w:sz w:val="24"/>
          <w:szCs w:val="24"/>
        </w:rPr>
        <w:t>s</w:t>
      </w:r>
      <w:r w:rsidRPr="003814DD">
        <w:rPr>
          <w:rFonts w:ascii="Verdana" w:hAnsi="Verdana"/>
          <w:bCs/>
          <w:sz w:val="24"/>
          <w:szCs w:val="24"/>
        </w:rPr>
        <w:t xml:space="preserve">eek greater ambition and broader collaboration </w:t>
      </w:r>
      <w:r w:rsidRPr="003814DD">
        <w:rPr>
          <w:rFonts w:ascii="Verdana" w:hAnsi="Verdana"/>
          <w:bCs/>
          <w:sz w:val="24"/>
          <w:szCs w:val="24"/>
        </w:rPr>
        <w:t xml:space="preserve">in line with our </w:t>
      </w:r>
      <w:r w:rsidRPr="003814DD">
        <w:rPr>
          <w:rFonts w:ascii="Verdana" w:hAnsi="Verdana"/>
          <w:bCs/>
          <w:sz w:val="24"/>
          <w:szCs w:val="24"/>
        </w:rPr>
        <w:t>stated priorities in this paper</w:t>
      </w:r>
      <w:r w:rsidRPr="003814DD">
        <w:rPr>
          <w:rFonts w:ascii="Verdana" w:hAnsi="Verdana"/>
          <w:bCs/>
          <w:sz w:val="24"/>
          <w:szCs w:val="24"/>
        </w:rPr>
        <w:t xml:space="preserve"> include</w:t>
      </w:r>
      <w:r w:rsidRPr="003814DD">
        <w:rPr>
          <w:rFonts w:ascii="Verdana" w:hAnsi="Verdana"/>
          <w:bCs/>
          <w:sz w:val="24"/>
          <w:szCs w:val="24"/>
        </w:rPr>
        <w:t>:</w:t>
      </w:r>
    </w:p>
    <w:p w:rsidR="003814DD" w:rsidRPr="003814DD" w:rsidP="003D2BFE">
      <w:pPr>
        <w:spacing w:after="0" w:line="240" w:lineRule="auto"/>
        <w:rPr>
          <w:rFonts w:ascii="Verdana" w:hAnsi="Verdana"/>
          <w:bCs/>
          <w:sz w:val="24"/>
          <w:szCs w:val="24"/>
        </w:rPr>
      </w:pPr>
    </w:p>
    <w:p w:rsidR="003814DD" w:rsidRPr="003814DD" w:rsidP="003D2BFE">
      <w:pPr>
        <w:numPr>
          <w:ilvl w:val="0"/>
          <w:numId w:val="6"/>
        </w:numPr>
        <w:spacing w:after="0" w:line="240" w:lineRule="auto"/>
        <w:rPr>
          <w:rFonts w:ascii="Verdana" w:hAnsi="Verdana"/>
          <w:bCs/>
          <w:sz w:val="24"/>
          <w:szCs w:val="24"/>
        </w:rPr>
      </w:pPr>
      <w:r w:rsidRPr="003814DD">
        <w:rPr>
          <w:rFonts w:ascii="Verdana" w:hAnsi="Verdana"/>
          <w:b/>
          <w:bCs/>
          <w:sz w:val="24"/>
          <w:szCs w:val="24"/>
        </w:rPr>
        <w:t>The European Banking Federation</w:t>
      </w:r>
      <w:r w:rsidRPr="003814DD">
        <w:rPr>
          <w:rFonts w:ascii="Verdana" w:hAnsi="Verdana"/>
          <w:bCs/>
          <w:sz w:val="24"/>
          <w:szCs w:val="24"/>
        </w:rPr>
        <w:t xml:space="preserve"> have recently published a paper calling for a more nuanced approach to the Commission’s Open Strategic Autonomy agenda as it relates to financial services, an approach taking account of third countries which share many of the same values as the EU, including in their approach to financial services and its regulation, and for the EU to grant market access accordingly.</w:t>
      </w:r>
      <w:r>
        <w:rPr>
          <w:rFonts w:ascii="Verdana" w:hAnsi="Verdana"/>
          <w:bCs/>
          <w:sz w:val="24"/>
          <w:szCs w:val="24"/>
          <w:vertAlign w:val="superscript"/>
        </w:rPr>
        <w:footnoteReference w:id="8"/>
      </w:r>
    </w:p>
    <w:p w:rsidR="003814DD" w:rsidRPr="003814DD" w:rsidP="003D2BFE">
      <w:pPr>
        <w:spacing w:after="0" w:line="240" w:lineRule="auto"/>
        <w:rPr>
          <w:rFonts w:ascii="Verdana" w:hAnsi="Verdana"/>
          <w:bCs/>
          <w:sz w:val="24"/>
          <w:szCs w:val="24"/>
        </w:rPr>
      </w:pPr>
    </w:p>
    <w:p w:rsidR="003814DD" w:rsidRPr="003814DD" w:rsidP="00BE3B65">
      <w:pPr>
        <w:numPr>
          <w:ilvl w:val="0"/>
          <w:numId w:val="6"/>
        </w:numPr>
        <w:spacing w:after="0" w:line="240" w:lineRule="auto"/>
        <w:rPr>
          <w:rFonts w:ascii="Verdana" w:hAnsi="Verdana"/>
          <w:bCs/>
          <w:sz w:val="24"/>
          <w:szCs w:val="24"/>
        </w:rPr>
      </w:pPr>
      <w:r w:rsidRPr="003814DD">
        <w:rPr>
          <w:rFonts w:ascii="Verdana" w:hAnsi="Verdana"/>
          <w:b/>
          <w:bCs/>
          <w:sz w:val="24"/>
          <w:szCs w:val="24"/>
        </w:rPr>
        <w:t>ECIPE</w:t>
      </w:r>
      <w:r w:rsidRPr="003814DD">
        <w:rPr>
          <w:rFonts w:ascii="Verdana" w:hAnsi="Verdana"/>
          <w:bCs/>
          <w:sz w:val="24"/>
          <w:szCs w:val="24"/>
        </w:rPr>
        <w:t xml:space="preserve"> published a paper on UK-EU relations in September 2024 suggesting that the EU needs to be less rigid given the UK will not neatly fit into existing models, urging creativity in how to structure the relationship to deliver mutual interests as well as specific asks of both sides</w:t>
      </w:r>
      <w:r>
        <w:rPr>
          <w:rFonts w:ascii="Verdana" w:hAnsi="Verdana"/>
          <w:bCs/>
          <w:sz w:val="24"/>
          <w:szCs w:val="24"/>
          <w:vertAlign w:val="superscript"/>
        </w:rPr>
        <w:footnoteReference w:id="9"/>
      </w:r>
      <w:r w:rsidRPr="003814DD">
        <w:rPr>
          <w:rFonts w:ascii="Verdana" w:hAnsi="Verdana"/>
          <w:bCs/>
          <w:sz w:val="24"/>
          <w:szCs w:val="24"/>
        </w:rPr>
        <w:t xml:space="preserve">. This flexibility, ECIPE argues, should ultimately result in the broader use of principles-based assessments and mutual recognition. </w:t>
      </w:r>
    </w:p>
    <w:p w:rsidR="003814DD" w:rsidRPr="003814DD" w:rsidP="00BE3B65">
      <w:pPr>
        <w:spacing w:after="0" w:line="240" w:lineRule="auto"/>
        <w:ind w:left="360"/>
        <w:rPr>
          <w:rFonts w:ascii="Verdana" w:hAnsi="Verdana"/>
          <w:bCs/>
          <w:sz w:val="24"/>
          <w:szCs w:val="24"/>
        </w:rPr>
      </w:pPr>
    </w:p>
    <w:p w:rsidR="003814DD" w:rsidRPr="003814DD" w:rsidP="0074034B">
      <w:pPr>
        <w:numPr>
          <w:ilvl w:val="0"/>
          <w:numId w:val="6"/>
        </w:numPr>
        <w:spacing w:after="0" w:line="240" w:lineRule="auto"/>
        <w:rPr>
          <w:rFonts w:ascii="Verdana" w:hAnsi="Verdana"/>
          <w:bCs/>
          <w:sz w:val="24"/>
          <w:szCs w:val="24"/>
        </w:rPr>
      </w:pPr>
      <w:r w:rsidRPr="003814DD">
        <w:rPr>
          <w:rFonts w:ascii="Verdana" w:hAnsi="Verdana"/>
          <w:b/>
          <w:sz w:val="24"/>
          <w:szCs w:val="24"/>
        </w:rPr>
        <w:t>Business Europe</w:t>
      </w:r>
      <w:r w:rsidRPr="003814DD">
        <w:rPr>
          <w:rFonts w:ascii="Verdana" w:hAnsi="Verdana"/>
          <w:bCs/>
          <w:sz w:val="24"/>
          <w:szCs w:val="24"/>
        </w:rPr>
        <w:t xml:space="preserve"> </w:t>
      </w:r>
      <w:r w:rsidRPr="003814DD">
        <w:rPr>
          <w:rFonts w:ascii="Verdana" w:hAnsi="Verdana"/>
          <w:bCs/>
          <w:sz w:val="24"/>
          <w:szCs w:val="24"/>
        </w:rPr>
        <w:t xml:space="preserve">published a paper in October 2024 </w:t>
      </w:r>
      <w:r w:rsidRPr="003814DD">
        <w:rPr>
          <w:rFonts w:ascii="Verdana" w:hAnsi="Verdana"/>
          <w:bCs/>
          <w:sz w:val="24"/>
          <w:szCs w:val="24"/>
        </w:rPr>
        <w:t xml:space="preserve">noting the fact that </w:t>
      </w:r>
      <w:r w:rsidRPr="003814DD">
        <w:rPr>
          <w:rFonts w:ascii="Verdana" w:hAnsi="Verdana"/>
          <w:bCs/>
          <w:sz w:val="24"/>
          <w:szCs w:val="24"/>
        </w:rPr>
        <w:t>The UK and EU are like-minded partners facing</w:t>
      </w:r>
      <w:r w:rsidRPr="003814DD">
        <w:rPr>
          <w:rFonts w:ascii="Verdana" w:hAnsi="Verdana"/>
          <w:bCs/>
          <w:sz w:val="24"/>
          <w:szCs w:val="24"/>
        </w:rPr>
        <w:t xml:space="preserve"> </w:t>
      </w:r>
      <w:r w:rsidRPr="003814DD">
        <w:rPr>
          <w:rFonts w:ascii="Verdana" w:hAnsi="Verdana"/>
          <w:bCs/>
          <w:sz w:val="24"/>
          <w:szCs w:val="24"/>
        </w:rPr>
        <w:t>shared</w:t>
      </w:r>
      <w:r w:rsidRPr="003814DD">
        <w:rPr>
          <w:rFonts w:ascii="Verdana" w:hAnsi="Verdana"/>
          <w:bCs/>
          <w:sz w:val="24"/>
          <w:szCs w:val="24"/>
        </w:rPr>
        <w:t xml:space="preserve"> challenges ranging from the climate crisis to increased geopolitical tensions</w:t>
      </w:r>
      <w:r w:rsidRPr="003814DD">
        <w:rPr>
          <w:rFonts w:ascii="Verdana" w:hAnsi="Verdana"/>
          <w:bCs/>
          <w:sz w:val="24"/>
          <w:szCs w:val="24"/>
        </w:rPr>
        <w:t xml:space="preserve"> and</w:t>
      </w:r>
      <w:r w:rsidRPr="003814DD">
        <w:rPr>
          <w:rFonts w:ascii="Verdana" w:hAnsi="Verdana"/>
          <w:bCs/>
          <w:sz w:val="24"/>
          <w:szCs w:val="24"/>
        </w:rPr>
        <w:t xml:space="preserve"> </w:t>
      </w:r>
      <w:r w:rsidRPr="003814DD">
        <w:rPr>
          <w:rFonts w:ascii="Verdana" w:hAnsi="Verdana"/>
          <w:bCs/>
          <w:sz w:val="24"/>
          <w:szCs w:val="24"/>
        </w:rPr>
        <w:t>call</w:t>
      </w:r>
      <w:r w:rsidRPr="003814DD">
        <w:rPr>
          <w:rFonts w:ascii="Verdana" w:hAnsi="Verdana"/>
          <w:bCs/>
          <w:sz w:val="24"/>
          <w:szCs w:val="24"/>
        </w:rPr>
        <w:t>ing</w:t>
      </w:r>
      <w:r w:rsidRPr="003814DD">
        <w:rPr>
          <w:rFonts w:ascii="Verdana" w:hAnsi="Verdana"/>
          <w:bCs/>
          <w:sz w:val="24"/>
          <w:szCs w:val="24"/>
        </w:rPr>
        <w:t xml:space="preserve"> for</w:t>
      </w:r>
      <w:r w:rsidRPr="003814DD">
        <w:rPr>
          <w:rFonts w:ascii="Verdana" w:hAnsi="Verdana"/>
          <w:sz w:val="24"/>
          <w:szCs w:val="24"/>
        </w:rPr>
        <w:t xml:space="preserve"> </w:t>
      </w:r>
      <w:r w:rsidRPr="003814DD">
        <w:rPr>
          <w:rFonts w:ascii="Verdana" w:hAnsi="Verdana"/>
          <w:bCs/>
          <w:sz w:val="24"/>
          <w:szCs w:val="24"/>
        </w:rPr>
        <w:t>common</w:t>
      </w:r>
      <w:r w:rsidRPr="003814DD">
        <w:rPr>
          <w:rFonts w:ascii="Verdana" w:hAnsi="Verdana"/>
          <w:bCs/>
          <w:sz w:val="24"/>
          <w:szCs w:val="24"/>
        </w:rPr>
        <w:t xml:space="preserve"> </w:t>
      </w:r>
      <w:r w:rsidRPr="003814DD">
        <w:rPr>
          <w:rFonts w:ascii="Verdana" w:hAnsi="Verdana"/>
          <w:bCs/>
          <w:sz w:val="24"/>
          <w:szCs w:val="24"/>
        </w:rPr>
        <w:t>approaches t</w:t>
      </w:r>
      <w:r w:rsidRPr="003814DD">
        <w:rPr>
          <w:rFonts w:ascii="Verdana" w:hAnsi="Verdana"/>
          <w:bCs/>
          <w:sz w:val="24"/>
          <w:szCs w:val="24"/>
        </w:rPr>
        <w:t>o</w:t>
      </w:r>
      <w:r w:rsidRPr="003814DD">
        <w:rPr>
          <w:rFonts w:ascii="Verdana" w:hAnsi="Verdana"/>
          <w:bCs/>
          <w:sz w:val="24"/>
          <w:szCs w:val="24"/>
        </w:rPr>
        <w:t xml:space="preserve"> safeguard the trade and investment relationship</w:t>
      </w:r>
      <w:r w:rsidRPr="003814DD">
        <w:rPr>
          <w:rFonts w:ascii="Verdana" w:hAnsi="Verdana"/>
          <w:bCs/>
          <w:sz w:val="24"/>
          <w:szCs w:val="24"/>
        </w:rPr>
        <w:t xml:space="preserve">. Among their </w:t>
      </w:r>
      <w:r w:rsidRPr="003814DD">
        <w:rPr>
          <w:rFonts w:ascii="Verdana" w:hAnsi="Verdana"/>
          <w:bCs/>
          <w:sz w:val="24"/>
          <w:szCs w:val="24"/>
        </w:rPr>
        <w:t>proposals is</w:t>
      </w:r>
      <w:r w:rsidRPr="003814DD">
        <w:rPr>
          <w:rFonts w:ascii="Verdana" w:hAnsi="Verdana"/>
          <w:bCs/>
          <w:sz w:val="24"/>
          <w:szCs w:val="24"/>
        </w:rPr>
        <w:t xml:space="preserve"> the establishment of a platform for bilateral discussion between the EU and UK on the development of their respective economic security strategies</w:t>
      </w:r>
      <w:r>
        <w:rPr>
          <w:rStyle w:val="FootnoteReference"/>
          <w:rFonts w:ascii="Verdana" w:hAnsi="Verdana"/>
          <w:bCs/>
          <w:sz w:val="24"/>
          <w:szCs w:val="24"/>
        </w:rPr>
        <w:footnoteReference w:id="10"/>
      </w:r>
      <w:r w:rsidRPr="003814DD">
        <w:rPr>
          <w:rFonts w:ascii="Verdana" w:hAnsi="Verdana"/>
          <w:bCs/>
          <w:sz w:val="24"/>
          <w:szCs w:val="24"/>
        </w:rPr>
        <w:t>.</w:t>
      </w:r>
    </w:p>
    <w:p w:rsidR="003814DD" w:rsidRPr="003814DD" w:rsidP="003D2BFE">
      <w:pPr>
        <w:spacing w:after="0" w:line="240" w:lineRule="auto"/>
        <w:rPr>
          <w:rFonts w:ascii="Verdana" w:hAnsi="Verdana"/>
          <w:b/>
          <w:sz w:val="24"/>
          <w:szCs w:val="24"/>
        </w:rPr>
      </w:pPr>
    </w:p>
    <w:p w:rsidR="003814DD" w:rsidRPr="003814DD" w:rsidP="001541BB">
      <w:pPr>
        <w:spacing w:after="0" w:line="240" w:lineRule="auto"/>
        <w:rPr>
          <w:rFonts w:ascii="Verdana" w:hAnsi="Verdana"/>
          <w:b/>
          <w:sz w:val="24"/>
          <w:szCs w:val="24"/>
        </w:rPr>
      </w:pPr>
    </w:p>
    <w:p w:rsidR="003814DD" w:rsidRPr="003814DD" w:rsidP="001541BB">
      <w:pPr>
        <w:spacing w:after="0" w:line="240" w:lineRule="auto"/>
        <w:rPr>
          <w:rFonts w:ascii="Verdana" w:hAnsi="Verdana"/>
          <w:b/>
          <w:sz w:val="24"/>
          <w:szCs w:val="24"/>
        </w:rPr>
      </w:pPr>
      <w:r w:rsidRPr="003814DD">
        <w:rPr>
          <w:rFonts w:ascii="Verdana" w:hAnsi="Verdana"/>
          <w:b/>
          <w:sz w:val="24"/>
          <w:szCs w:val="24"/>
        </w:rPr>
        <w:t xml:space="preserve">Maximising the value of </w:t>
      </w:r>
      <w:r w:rsidRPr="003814DD">
        <w:rPr>
          <w:rFonts w:ascii="Verdana" w:hAnsi="Verdana"/>
          <w:b/>
          <w:sz w:val="24"/>
          <w:szCs w:val="24"/>
        </w:rPr>
        <w:t>Regulatory Dialogue - The Joint EU-UK Financial Regulatory Forum</w:t>
      </w:r>
    </w:p>
    <w:p w:rsidR="003814DD" w:rsidRPr="003814DD" w:rsidP="001541BB">
      <w:pPr>
        <w:spacing w:after="0" w:line="240" w:lineRule="auto"/>
        <w:rPr>
          <w:rFonts w:ascii="Verdana" w:hAnsi="Verdana"/>
          <w:b/>
          <w:sz w:val="24"/>
          <w:szCs w:val="24"/>
        </w:rPr>
      </w:pPr>
      <w:r w:rsidRPr="003814DD">
        <w:rPr>
          <w:rFonts w:ascii="Verdana" w:hAnsi="Verdana"/>
          <w:bCs/>
          <w:sz w:val="24"/>
          <w:szCs w:val="24"/>
        </w:rPr>
        <w:t>The Joint EU-UK Financial Regulatory Forum formed under a Memorandum of Understanding</w:t>
      </w:r>
      <w:r>
        <w:rPr>
          <w:rFonts w:ascii="Verdana" w:hAnsi="Verdana"/>
          <w:bCs/>
          <w:sz w:val="24"/>
          <w:szCs w:val="24"/>
          <w:vertAlign w:val="superscript"/>
        </w:rPr>
        <w:footnoteReference w:id="11"/>
      </w:r>
      <w:r w:rsidRPr="003814DD">
        <w:rPr>
          <w:rFonts w:ascii="Verdana" w:hAnsi="Verdana"/>
          <w:bCs/>
          <w:sz w:val="24"/>
          <w:szCs w:val="24"/>
        </w:rPr>
        <w:t xml:space="preserve"> (the MoU) established a framework for financial services regulatory cooperation between the EU and UK</w:t>
      </w:r>
      <w:r w:rsidRPr="003814DD">
        <w:rPr>
          <w:rFonts w:ascii="Verdana" w:hAnsi="Verdana"/>
          <w:bCs/>
          <w:sz w:val="24"/>
          <w:szCs w:val="24"/>
        </w:rPr>
        <w:t>. It</w:t>
      </w:r>
      <w:r w:rsidRPr="003814DD">
        <w:rPr>
          <w:rFonts w:ascii="Verdana" w:hAnsi="Verdana"/>
          <w:bCs/>
          <w:sz w:val="24"/>
          <w:szCs w:val="24"/>
        </w:rPr>
        <w:t xml:space="preserve"> is the only formal mechanism currently available to discuss bilateral regulatory cooperation </w:t>
      </w:r>
      <w:r w:rsidRPr="003814DD">
        <w:rPr>
          <w:rFonts w:ascii="Verdana" w:hAnsi="Verdana"/>
          <w:bCs/>
          <w:sz w:val="24"/>
          <w:szCs w:val="24"/>
        </w:rPr>
        <w:t>in the area of</w:t>
      </w:r>
      <w:r w:rsidRPr="003814DD">
        <w:rPr>
          <w:rFonts w:ascii="Verdana" w:hAnsi="Verdana"/>
          <w:bCs/>
          <w:sz w:val="24"/>
          <w:szCs w:val="24"/>
        </w:rPr>
        <w:t xml:space="preserve"> financial services.</w:t>
      </w:r>
    </w:p>
    <w:p w:rsidR="003814DD" w:rsidRPr="003814DD" w:rsidP="001541BB">
      <w:pPr>
        <w:spacing w:after="0" w:line="240" w:lineRule="auto"/>
        <w:rPr>
          <w:rFonts w:ascii="Verdana" w:hAnsi="Verdana"/>
          <w:bCs/>
          <w:sz w:val="24"/>
          <w:szCs w:val="24"/>
        </w:rPr>
      </w:pPr>
    </w:p>
    <w:p w:rsidR="003814DD" w:rsidRPr="003814DD" w:rsidP="001541BB">
      <w:pPr>
        <w:spacing w:after="0" w:line="240" w:lineRule="auto"/>
        <w:rPr>
          <w:rFonts w:ascii="Verdana" w:hAnsi="Verdana"/>
          <w:bCs/>
          <w:sz w:val="24"/>
          <w:szCs w:val="24"/>
        </w:rPr>
      </w:pPr>
      <w:r w:rsidRPr="003814DD">
        <w:rPr>
          <w:rFonts w:ascii="Verdana" w:hAnsi="Verdana"/>
          <w:bCs/>
          <w:sz w:val="24"/>
          <w:szCs w:val="24"/>
        </w:rPr>
        <w:t>TheCityUK E</w:t>
      </w:r>
      <w:r w:rsidRPr="003814DD">
        <w:rPr>
          <w:rFonts w:ascii="Verdana" w:hAnsi="Verdana"/>
          <w:bCs/>
          <w:sz w:val="24"/>
          <w:szCs w:val="24"/>
        </w:rPr>
        <w:t>urope</w:t>
      </w:r>
      <w:r w:rsidRPr="003814DD">
        <w:rPr>
          <w:rFonts w:ascii="Verdana" w:hAnsi="Verdana"/>
          <w:bCs/>
          <w:sz w:val="24"/>
          <w:szCs w:val="24"/>
        </w:rPr>
        <w:t xml:space="preserve"> Market Advisory Group and the IRSG EU Regulation Committee submit a joint FRPS industry-wide paper ahead of each meeting to ensure </w:t>
      </w:r>
      <w:r w:rsidRPr="003814DD">
        <w:rPr>
          <w:rFonts w:ascii="Verdana" w:hAnsi="Verdana"/>
          <w:bCs/>
          <w:sz w:val="24"/>
          <w:szCs w:val="24"/>
        </w:rPr>
        <w:t xml:space="preserve">that </w:t>
      </w:r>
      <w:r w:rsidRPr="003814DD">
        <w:rPr>
          <w:rFonts w:ascii="Verdana" w:hAnsi="Verdana"/>
          <w:bCs/>
          <w:sz w:val="24"/>
          <w:szCs w:val="24"/>
        </w:rPr>
        <w:t>HM</w:t>
      </w:r>
      <w:r w:rsidRPr="003814DD">
        <w:rPr>
          <w:rFonts w:ascii="Verdana" w:hAnsi="Verdana"/>
          <w:bCs/>
          <w:sz w:val="24"/>
          <w:szCs w:val="24"/>
        </w:rPr>
        <w:t xml:space="preserve"> </w:t>
      </w:r>
      <w:r w:rsidRPr="003814DD">
        <w:rPr>
          <w:rFonts w:ascii="Verdana" w:hAnsi="Verdana"/>
          <w:bCs/>
          <w:sz w:val="24"/>
          <w:szCs w:val="24"/>
        </w:rPr>
        <w:t>T</w:t>
      </w:r>
      <w:r w:rsidRPr="003814DD">
        <w:rPr>
          <w:rFonts w:ascii="Verdana" w:hAnsi="Verdana"/>
          <w:bCs/>
          <w:sz w:val="24"/>
          <w:szCs w:val="24"/>
        </w:rPr>
        <w:t>reasury</w:t>
      </w:r>
      <w:r w:rsidRPr="003814DD">
        <w:rPr>
          <w:rFonts w:ascii="Verdana" w:hAnsi="Verdana"/>
          <w:bCs/>
          <w:sz w:val="24"/>
          <w:szCs w:val="24"/>
        </w:rPr>
        <w:t xml:space="preserve"> understands the priorities of the UK-based industry before Forum agendas are</w:t>
      </w:r>
      <w:r w:rsidRPr="003814DD">
        <w:rPr>
          <w:rFonts w:ascii="Verdana" w:hAnsi="Verdana"/>
          <w:bCs/>
          <w:sz w:val="24"/>
          <w:szCs w:val="24"/>
        </w:rPr>
        <w:t xml:space="preserve"> set. </w:t>
      </w:r>
    </w:p>
    <w:p w:rsidR="003814DD" w:rsidRPr="003814DD" w:rsidP="001541BB">
      <w:pPr>
        <w:spacing w:after="0" w:line="240" w:lineRule="auto"/>
        <w:rPr>
          <w:rFonts w:ascii="Verdana" w:hAnsi="Verdana"/>
          <w:bCs/>
          <w:sz w:val="24"/>
          <w:szCs w:val="24"/>
        </w:rPr>
      </w:pPr>
    </w:p>
    <w:p w:rsidR="003814DD" w:rsidRPr="003814DD" w:rsidP="001541BB">
      <w:pPr>
        <w:spacing w:after="0" w:line="240" w:lineRule="auto"/>
        <w:rPr>
          <w:rFonts w:ascii="Verdana" w:hAnsi="Verdana"/>
          <w:bCs/>
          <w:sz w:val="24"/>
          <w:szCs w:val="24"/>
        </w:rPr>
      </w:pPr>
      <w:r w:rsidRPr="003814DD">
        <w:rPr>
          <w:rFonts w:ascii="Verdana" w:hAnsi="Verdana"/>
          <w:bCs/>
          <w:sz w:val="24"/>
          <w:szCs w:val="24"/>
        </w:rPr>
        <w:t>In our submissions, we have acknowledged</w:t>
      </w:r>
      <w:r w:rsidRPr="003814DD">
        <w:rPr>
          <w:rFonts w:ascii="Verdana" w:hAnsi="Verdana"/>
          <w:bCs/>
          <w:sz w:val="24"/>
          <w:szCs w:val="24"/>
        </w:rPr>
        <w:t xml:space="preserve"> that the early meetings of the Forum were particularly important for fostering relationships between key officials and building trust. However, we have also noted that as trust between Forum stakeholders builds and the political backdrop continues to improve, we would like to see increasingly forward-looking Forum agendas, with the current focus on informing each other evolving to </w:t>
      </w:r>
      <w:r w:rsidRPr="003814DD">
        <w:rPr>
          <w:rFonts w:ascii="Verdana" w:hAnsi="Verdana"/>
          <w:bCs/>
          <w:sz w:val="24"/>
          <w:szCs w:val="24"/>
        </w:rPr>
        <w:t>concentrate more</w:t>
      </w:r>
      <w:r w:rsidRPr="003814DD">
        <w:rPr>
          <w:rFonts w:ascii="Verdana" w:hAnsi="Verdana"/>
          <w:bCs/>
          <w:sz w:val="24"/>
          <w:szCs w:val="24"/>
        </w:rPr>
        <w:t xml:space="preserve"> on collaborating with each other. </w:t>
      </w:r>
    </w:p>
    <w:p w:rsidR="003814DD" w:rsidRPr="003814DD" w:rsidP="003D2BFE">
      <w:pPr>
        <w:spacing w:after="0" w:line="240" w:lineRule="auto"/>
        <w:rPr>
          <w:rFonts w:ascii="Verdana" w:hAnsi="Verdana"/>
          <w:bCs/>
          <w:sz w:val="24"/>
          <w:szCs w:val="24"/>
        </w:rPr>
      </w:pPr>
    </w:p>
    <w:p w:rsidR="003814DD" w:rsidRPr="003814DD" w:rsidP="003D2BFE">
      <w:pPr>
        <w:spacing w:after="0" w:line="240" w:lineRule="auto"/>
        <w:rPr>
          <w:rFonts w:ascii="Verdana" w:hAnsi="Verdana"/>
          <w:bCs/>
          <w:sz w:val="24"/>
          <w:szCs w:val="24"/>
        </w:rPr>
      </w:pPr>
      <w:r w:rsidRPr="003814DD">
        <w:rPr>
          <w:rFonts w:ascii="Verdana" w:hAnsi="Verdana"/>
          <w:bCs/>
          <w:sz w:val="24"/>
          <w:szCs w:val="24"/>
        </w:rPr>
        <w:t xml:space="preserve">One potential </w:t>
      </w:r>
      <w:r w:rsidRPr="003814DD">
        <w:rPr>
          <w:rFonts w:ascii="Verdana" w:hAnsi="Verdana"/>
          <w:bCs/>
          <w:sz w:val="24"/>
          <w:szCs w:val="24"/>
        </w:rPr>
        <w:t xml:space="preserve">way to </w:t>
      </w:r>
      <w:r w:rsidRPr="003814DD">
        <w:rPr>
          <w:rFonts w:ascii="Verdana" w:hAnsi="Verdana"/>
          <w:bCs/>
          <w:sz w:val="24"/>
          <w:szCs w:val="24"/>
        </w:rPr>
        <w:t>increase collaboration through the Forum</w:t>
      </w:r>
      <w:r w:rsidRPr="003814DD">
        <w:rPr>
          <w:rFonts w:ascii="Verdana" w:hAnsi="Verdana"/>
          <w:bCs/>
          <w:sz w:val="24"/>
          <w:szCs w:val="24"/>
        </w:rPr>
        <w:t xml:space="preserve"> would be for part of the agenda of future Forum meetings to be dedicated to discussing future updates in policy and regulation that could impact UK-EU trade in financial services. This forward-looking mechanism would allow each party to examine, understand and discuss potential implications of future proposals ahead of their initiation in either party’s legislative process. </w:t>
      </w:r>
      <w:r w:rsidRPr="003814DD">
        <w:rPr>
          <w:rFonts w:ascii="Verdana" w:hAnsi="Verdana"/>
          <w:bCs/>
          <w:sz w:val="24"/>
          <w:szCs w:val="24"/>
        </w:rPr>
        <w:t xml:space="preserve">This would help to reduce conflicts of law and practice that may currently constrain business access to finance. </w:t>
      </w:r>
      <w:r w:rsidRPr="003814DD">
        <w:rPr>
          <w:rFonts w:ascii="Verdana" w:hAnsi="Verdana"/>
          <w:bCs/>
          <w:sz w:val="24"/>
          <w:szCs w:val="24"/>
        </w:rPr>
        <w:t xml:space="preserve">If negative </w:t>
      </w:r>
      <w:r w:rsidRPr="003814DD">
        <w:rPr>
          <w:rFonts w:ascii="Verdana" w:hAnsi="Verdana"/>
          <w:bCs/>
          <w:sz w:val="24"/>
          <w:szCs w:val="24"/>
        </w:rPr>
        <w:t>commercia</w:t>
      </w:r>
      <w:r w:rsidRPr="003814DD">
        <w:rPr>
          <w:rFonts w:ascii="Verdana" w:hAnsi="Verdana"/>
          <w:bCs/>
          <w:sz w:val="24"/>
          <w:szCs w:val="24"/>
        </w:rPr>
        <w:t>l</w:t>
      </w:r>
      <w:r w:rsidRPr="003814DD">
        <w:rPr>
          <w:rFonts w:ascii="Verdana" w:hAnsi="Verdana"/>
          <w:bCs/>
          <w:sz w:val="24"/>
          <w:szCs w:val="24"/>
        </w:rPr>
        <w:t xml:space="preserve"> </w:t>
      </w:r>
      <w:r w:rsidRPr="003814DD">
        <w:rPr>
          <w:rFonts w:ascii="Verdana" w:hAnsi="Verdana"/>
          <w:bCs/>
          <w:sz w:val="24"/>
          <w:szCs w:val="24"/>
        </w:rPr>
        <w:t xml:space="preserve">implications cannot be </w:t>
      </w:r>
      <w:r w:rsidRPr="003814DD">
        <w:rPr>
          <w:rFonts w:ascii="Verdana" w:hAnsi="Verdana"/>
          <w:bCs/>
          <w:sz w:val="24"/>
          <w:szCs w:val="24"/>
        </w:rPr>
        <w:t xml:space="preserve">completely </w:t>
      </w:r>
      <w:r w:rsidRPr="003814DD">
        <w:rPr>
          <w:rFonts w:ascii="Verdana" w:hAnsi="Verdana"/>
          <w:bCs/>
          <w:sz w:val="24"/>
          <w:szCs w:val="24"/>
        </w:rPr>
        <w:t>eliminated</w:t>
      </w:r>
      <w:r w:rsidRPr="003814DD">
        <w:rPr>
          <w:rFonts w:ascii="Verdana" w:hAnsi="Verdana"/>
          <w:bCs/>
          <w:sz w:val="24"/>
          <w:szCs w:val="24"/>
        </w:rPr>
        <w:t>, they at least can be understood at an early stage and better prepared for. We understand that the</w:t>
      </w:r>
      <w:r w:rsidRPr="003814DD">
        <w:rPr>
          <w:rFonts w:ascii="Verdana" w:hAnsi="Verdana"/>
          <w:bCs/>
          <w:sz w:val="24"/>
          <w:szCs w:val="24"/>
        </w:rPr>
        <w:t xml:space="preserve"> agenda for the</w:t>
      </w:r>
      <w:r w:rsidRPr="003814DD">
        <w:rPr>
          <w:rFonts w:ascii="Verdana" w:hAnsi="Verdana"/>
          <w:bCs/>
          <w:sz w:val="24"/>
          <w:szCs w:val="24"/>
        </w:rPr>
        <w:t xml:space="preserve"> February 2025 Forum meeting </w:t>
      </w:r>
      <w:r w:rsidRPr="003814DD">
        <w:rPr>
          <w:rFonts w:ascii="Verdana" w:hAnsi="Verdana"/>
          <w:bCs/>
          <w:sz w:val="24"/>
          <w:szCs w:val="24"/>
        </w:rPr>
        <w:t>included</w:t>
      </w:r>
      <w:r w:rsidRPr="003814DD">
        <w:rPr>
          <w:rFonts w:ascii="Verdana" w:hAnsi="Verdana"/>
          <w:bCs/>
          <w:sz w:val="24"/>
          <w:szCs w:val="24"/>
        </w:rPr>
        <w:t xml:space="preserve"> </w:t>
      </w:r>
      <w:r w:rsidRPr="003814DD">
        <w:rPr>
          <w:rFonts w:ascii="Verdana" w:hAnsi="Verdana"/>
          <w:bCs/>
          <w:sz w:val="24"/>
          <w:szCs w:val="24"/>
        </w:rPr>
        <w:t>an item dedicated to a forward-look of each-others’ policy agenda, so the concept of discussing future updates in policy and regulation is not unprecedented.</w:t>
      </w:r>
    </w:p>
    <w:p w:rsidR="003814DD" w:rsidRPr="003814DD" w:rsidP="003D2BFE">
      <w:pPr>
        <w:spacing w:after="0" w:line="240" w:lineRule="auto"/>
        <w:rPr>
          <w:rFonts w:ascii="Verdana" w:hAnsi="Verdana"/>
          <w:bCs/>
          <w:sz w:val="24"/>
          <w:szCs w:val="24"/>
        </w:rPr>
      </w:pPr>
    </w:p>
    <w:p w:rsidR="003814DD" w:rsidRPr="003814DD" w:rsidP="003D2BFE">
      <w:pPr>
        <w:spacing w:after="0" w:line="240" w:lineRule="auto"/>
        <w:rPr>
          <w:rFonts w:ascii="Verdana" w:hAnsi="Verdana"/>
          <w:bCs/>
          <w:sz w:val="24"/>
          <w:szCs w:val="24"/>
        </w:rPr>
      </w:pPr>
      <w:r w:rsidRPr="003814DD">
        <w:rPr>
          <w:rFonts w:ascii="Verdana" w:hAnsi="Verdana"/>
          <w:bCs/>
          <w:sz w:val="24"/>
          <w:szCs w:val="24"/>
        </w:rPr>
        <w:t xml:space="preserve">The existing terms of the foundational Memorandum of Understanding (MoU) would not require amendment to refocus the objectives of the Forum, although mutual consent from both parties would clearly be necessary. </w:t>
      </w:r>
    </w:p>
    <w:p w:rsidR="003814DD" w:rsidRPr="003814DD" w:rsidP="003D2BFE">
      <w:pPr>
        <w:spacing w:after="0" w:line="240" w:lineRule="auto"/>
        <w:rPr>
          <w:rFonts w:ascii="Verdana" w:hAnsi="Verdana"/>
          <w:bCs/>
          <w:sz w:val="24"/>
          <w:szCs w:val="24"/>
        </w:rPr>
      </w:pPr>
    </w:p>
    <w:p w:rsidR="003814DD" w:rsidRPr="003814DD" w:rsidP="003D2BFE">
      <w:pPr>
        <w:numPr>
          <w:ilvl w:val="0"/>
          <w:numId w:val="6"/>
        </w:numPr>
        <w:spacing w:after="0" w:line="240" w:lineRule="auto"/>
        <w:rPr>
          <w:rFonts w:ascii="Verdana" w:hAnsi="Verdana"/>
          <w:bCs/>
          <w:sz w:val="24"/>
          <w:szCs w:val="24"/>
        </w:rPr>
      </w:pPr>
      <w:r w:rsidRPr="003814DD">
        <w:rPr>
          <w:rFonts w:ascii="Verdana" w:hAnsi="Verdana"/>
          <w:b/>
          <w:bCs/>
          <w:sz w:val="24"/>
          <w:szCs w:val="24"/>
        </w:rPr>
        <w:t>Bruegel</w:t>
      </w:r>
      <w:r w:rsidRPr="003814DD">
        <w:rPr>
          <w:rFonts w:ascii="Verdana" w:hAnsi="Verdana"/>
          <w:bCs/>
          <w:sz w:val="24"/>
          <w:szCs w:val="24"/>
        </w:rPr>
        <w:t xml:space="preserve"> recently published a paper</w:t>
      </w:r>
      <w:r>
        <w:rPr>
          <w:rFonts w:ascii="Verdana" w:hAnsi="Verdana"/>
          <w:bCs/>
          <w:sz w:val="24"/>
          <w:szCs w:val="24"/>
          <w:vertAlign w:val="superscript"/>
        </w:rPr>
        <w:footnoteReference w:id="12"/>
      </w:r>
      <w:r w:rsidRPr="003814DD">
        <w:rPr>
          <w:rFonts w:ascii="Verdana" w:hAnsi="Verdana"/>
          <w:bCs/>
          <w:sz w:val="24"/>
          <w:szCs w:val="24"/>
        </w:rPr>
        <w:t xml:space="preserve"> recommending that one of the main elements of the UK-EU trade “</w:t>
      </w:r>
      <w:r w:rsidRPr="003814DD">
        <w:rPr>
          <w:rFonts w:ascii="Verdana" w:hAnsi="Verdana"/>
          <w:bCs/>
          <w:sz w:val="24"/>
          <w:szCs w:val="24"/>
        </w:rPr>
        <w:t>R</w:t>
      </w:r>
      <w:r w:rsidRPr="003814DD">
        <w:rPr>
          <w:rFonts w:ascii="Verdana" w:hAnsi="Verdana"/>
          <w:bCs/>
          <w:sz w:val="24"/>
          <w:szCs w:val="24"/>
        </w:rPr>
        <w:t xml:space="preserve">eset” should be reinforced regulatory cooperation. The paper proposes a general agreement to </w:t>
      </w:r>
      <w:r w:rsidRPr="003814DD">
        <w:rPr>
          <w:rFonts w:ascii="Verdana" w:hAnsi="Verdana"/>
          <w:bCs/>
          <w:sz w:val="24"/>
          <w:szCs w:val="24"/>
        </w:rPr>
        <w:t>enter into</w:t>
      </w:r>
      <w:r w:rsidRPr="003814DD">
        <w:rPr>
          <w:rFonts w:ascii="Verdana" w:hAnsi="Verdana"/>
          <w:bCs/>
          <w:sz w:val="24"/>
          <w:szCs w:val="24"/>
        </w:rPr>
        <w:t xml:space="preserve"> dialogue on new legislative initiatives with a potential significant impact on bilateral trade, starting at the impact assessment phase and continuing after a legislative proposal has been presented. The paper argues that such a mechanism could help identify the extent to which the UK may wish to adopt similar regulations to the EU or how to</w:t>
      </w:r>
      <w:r w:rsidRPr="003814DD">
        <w:rPr>
          <w:rFonts w:ascii="Verdana" w:hAnsi="Verdana"/>
          <w:bCs/>
          <w:sz w:val="24"/>
          <w:szCs w:val="24"/>
        </w:rPr>
        <w:t xml:space="preserve"> reduce trade frictions related to a proposal.</w:t>
      </w:r>
    </w:p>
    <w:p w:rsidR="003814DD" w:rsidRPr="003814DD" w:rsidP="003D2BFE">
      <w:pPr>
        <w:spacing w:after="0" w:line="240" w:lineRule="auto"/>
        <w:rPr>
          <w:rFonts w:ascii="Verdana" w:hAnsi="Verdana"/>
          <w:bCs/>
          <w:sz w:val="24"/>
          <w:szCs w:val="24"/>
        </w:rPr>
      </w:pPr>
    </w:p>
    <w:p w:rsidR="003814DD" w:rsidRPr="003814DD" w:rsidP="003D2BFE">
      <w:pPr>
        <w:spacing w:after="0" w:line="240" w:lineRule="auto"/>
        <w:rPr>
          <w:rFonts w:ascii="Verdana" w:hAnsi="Verdana"/>
          <w:bCs/>
          <w:sz w:val="24"/>
          <w:szCs w:val="24"/>
        </w:rPr>
      </w:pPr>
      <w:r w:rsidRPr="003814DD">
        <w:rPr>
          <w:rFonts w:ascii="Verdana" w:hAnsi="Verdana"/>
          <w:bCs/>
          <w:sz w:val="24"/>
          <w:szCs w:val="24"/>
        </w:rPr>
        <w:t xml:space="preserve">The MoU text already states that a purpose of the Forum is to “undertake forward planning of regulatory cooperation” and to “share information on regulatory developments to allow for a timely identification of potential cross-border implementation issues”, so the approach suggested by Bruegel could be undertaken by the Forum if both sides agreed. </w:t>
      </w:r>
      <w:r w:rsidRPr="003814DD">
        <w:rPr>
          <w:rFonts w:ascii="Verdana" w:hAnsi="Verdana"/>
          <w:bCs/>
          <w:sz w:val="24"/>
          <w:szCs w:val="24"/>
        </w:rPr>
        <w:t xml:space="preserve">We strongly support the future development of the Forum </w:t>
      </w:r>
      <w:r w:rsidRPr="003814DD">
        <w:rPr>
          <w:rFonts w:ascii="Verdana" w:hAnsi="Verdana"/>
          <w:bCs/>
          <w:sz w:val="24"/>
          <w:szCs w:val="24"/>
        </w:rPr>
        <w:t>in all the areas outlined above.</w:t>
      </w:r>
    </w:p>
    <w:p w:rsidR="003814DD" w:rsidRPr="003814DD" w:rsidP="003D2BFE">
      <w:pPr>
        <w:spacing w:after="0" w:line="240" w:lineRule="auto"/>
        <w:rPr>
          <w:rFonts w:ascii="Verdana" w:hAnsi="Verdana"/>
          <w:bCs/>
          <w:sz w:val="24"/>
          <w:szCs w:val="24"/>
        </w:rPr>
      </w:pPr>
    </w:p>
    <w:p w:rsidR="003814DD" w:rsidRPr="003814DD" w:rsidP="00E15C0D">
      <w:pPr>
        <w:spacing w:after="0" w:line="240" w:lineRule="auto"/>
        <w:rPr>
          <w:rFonts w:ascii="Verdana" w:hAnsi="Verdana"/>
          <w:b/>
          <w:bCs/>
          <w:sz w:val="24"/>
          <w:szCs w:val="24"/>
        </w:rPr>
      </w:pPr>
      <w:r w:rsidRPr="003814DD">
        <w:rPr>
          <w:rFonts w:ascii="Verdana" w:hAnsi="Verdana"/>
          <w:b/>
          <w:bCs/>
          <w:sz w:val="24"/>
          <w:szCs w:val="24"/>
        </w:rPr>
        <w:t>HM Government’s publicly stated UK-EU “Reset” priorities – A focus on MRPQ</w:t>
      </w:r>
    </w:p>
    <w:p w:rsidR="003814DD" w:rsidRPr="003814DD" w:rsidP="00E15C0D">
      <w:pPr>
        <w:spacing w:after="0" w:line="240" w:lineRule="auto"/>
        <w:rPr>
          <w:rFonts w:ascii="Verdana" w:hAnsi="Verdana"/>
          <w:bCs/>
          <w:sz w:val="24"/>
          <w:szCs w:val="24"/>
        </w:rPr>
      </w:pPr>
    </w:p>
    <w:p w:rsidR="003814DD" w:rsidRPr="003814DD" w:rsidP="00E15C0D">
      <w:pPr>
        <w:spacing w:after="0" w:line="240" w:lineRule="auto"/>
        <w:rPr>
          <w:rFonts w:ascii="Verdana" w:hAnsi="Verdana"/>
          <w:bCs/>
          <w:sz w:val="24"/>
          <w:szCs w:val="24"/>
        </w:rPr>
      </w:pPr>
      <w:r w:rsidRPr="003814DD">
        <w:rPr>
          <w:rFonts w:ascii="Verdana" w:hAnsi="Verdana"/>
          <w:bCs/>
          <w:sz w:val="24"/>
          <w:szCs w:val="24"/>
        </w:rPr>
        <w:t xml:space="preserve">The Labour Party Manifesto (June 2024) committed to improving the UK-EU trade and investment relationship by removing trade barriers, negotiating a veterinary agreement to reduce border checks and food costs, supporting touring artists, and securing mutual recognition of professional qualifications (MRPQ). While all these priorities are welcomed, only the MRPQ </w:t>
      </w:r>
      <w:r w:rsidRPr="003814DD">
        <w:rPr>
          <w:rFonts w:ascii="Verdana" w:hAnsi="Verdana"/>
          <w:bCs/>
          <w:sz w:val="24"/>
          <w:szCs w:val="24"/>
        </w:rPr>
        <w:t xml:space="preserve">proposal </w:t>
      </w:r>
      <w:r w:rsidRPr="003814DD">
        <w:rPr>
          <w:rFonts w:ascii="Verdana" w:hAnsi="Verdana"/>
          <w:bCs/>
          <w:sz w:val="24"/>
          <w:szCs w:val="24"/>
        </w:rPr>
        <w:t>has significant and direct relevance to our members</w:t>
      </w:r>
      <w:r w:rsidRPr="003814DD">
        <w:rPr>
          <w:rFonts w:ascii="Verdana" w:hAnsi="Verdana"/>
          <w:bCs/>
          <w:sz w:val="24"/>
          <w:szCs w:val="24"/>
        </w:rPr>
        <w:t>, and their counterparts in the EU</w:t>
      </w:r>
      <w:r w:rsidRPr="003814DD">
        <w:rPr>
          <w:rFonts w:ascii="Verdana" w:hAnsi="Verdana"/>
          <w:bCs/>
          <w:sz w:val="24"/>
          <w:szCs w:val="24"/>
        </w:rPr>
        <w:t>,</w:t>
      </w:r>
      <w:r w:rsidRPr="003814DD">
        <w:rPr>
          <w:rFonts w:ascii="Verdana" w:hAnsi="Verdana"/>
          <w:bCs/>
          <w:sz w:val="24"/>
          <w:szCs w:val="24"/>
        </w:rPr>
        <w:t xml:space="preserve"> and the </w:t>
      </w:r>
      <w:r w:rsidRPr="003814DD">
        <w:rPr>
          <w:rFonts w:ascii="Verdana" w:hAnsi="Verdana"/>
          <w:bCs/>
          <w:sz w:val="24"/>
          <w:szCs w:val="24"/>
        </w:rPr>
        <w:t xml:space="preserve">specific </w:t>
      </w:r>
      <w:r w:rsidRPr="003814DD">
        <w:rPr>
          <w:rFonts w:ascii="Verdana" w:hAnsi="Verdana"/>
          <w:bCs/>
          <w:sz w:val="24"/>
          <w:szCs w:val="24"/>
        </w:rPr>
        <w:t xml:space="preserve">ability </w:t>
      </w:r>
      <w:r w:rsidRPr="003814DD">
        <w:rPr>
          <w:rFonts w:ascii="Verdana" w:hAnsi="Verdana"/>
          <w:bCs/>
          <w:sz w:val="24"/>
          <w:szCs w:val="24"/>
        </w:rPr>
        <w:t xml:space="preserve">both </w:t>
      </w:r>
      <w:r w:rsidRPr="003814DD">
        <w:rPr>
          <w:rFonts w:ascii="Verdana" w:hAnsi="Verdana"/>
          <w:bCs/>
          <w:sz w:val="24"/>
          <w:szCs w:val="24"/>
        </w:rPr>
        <w:t>to do business in and with the EU</w:t>
      </w:r>
      <w:r w:rsidRPr="003814DD">
        <w:rPr>
          <w:rFonts w:ascii="Verdana" w:hAnsi="Verdana"/>
          <w:bCs/>
          <w:sz w:val="24"/>
          <w:szCs w:val="24"/>
        </w:rPr>
        <w:t xml:space="preserve"> and UK markets</w:t>
      </w:r>
      <w:r w:rsidRPr="003814DD">
        <w:rPr>
          <w:rFonts w:ascii="Verdana" w:hAnsi="Verdana"/>
          <w:bCs/>
          <w:sz w:val="24"/>
          <w:szCs w:val="24"/>
        </w:rPr>
        <w:t>.</w:t>
      </w:r>
    </w:p>
    <w:p w:rsidR="003814DD" w:rsidRPr="003814DD" w:rsidP="00E15C0D">
      <w:pPr>
        <w:spacing w:after="0" w:line="240" w:lineRule="auto"/>
        <w:rPr>
          <w:rFonts w:ascii="Verdana" w:hAnsi="Verdana"/>
          <w:bCs/>
          <w:sz w:val="24"/>
          <w:szCs w:val="24"/>
        </w:rPr>
      </w:pPr>
    </w:p>
    <w:p w:rsidR="003814DD" w:rsidRPr="003814DD" w:rsidP="00E15C0D">
      <w:pPr>
        <w:spacing w:after="0" w:line="240" w:lineRule="auto"/>
        <w:rPr>
          <w:rFonts w:ascii="Verdana" w:hAnsi="Verdana"/>
          <w:bCs/>
          <w:sz w:val="24"/>
          <w:szCs w:val="24"/>
        </w:rPr>
      </w:pPr>
      <w:r w:rsidRPr="003814DD">
        <w:rPr>
          <w:rFonts w:ascii="Verdana" w:hAnsi="Verdana"/>
          <w:bCs/>
          <w:sz w:val="24"/>
          <w:szCs w:val="24"/>
        </w:rPr>
        <w:t xml:space="preserve">While enhanced MRPQ arrangements would be advantageous for certain UK professionals and businesses providing services within the EU, it is important to understand </w:t>
      </w:r>
      <w:r w:rsidRPr="003814DD">
        <w:rPr>
          <w:rFonts w:ascii="Verdana" w:hAnsi="Verdana"/>
          <w:bCs/>
          <w:sz w:val="24"/>
          <w:szCs w:val="24"/>
        </w:rPr>
        <w:t xml:space="preserve">the precise </w:t>
      </w:r>
      <w:r w:rsidRPr="003814DD">
        <w:rPr>
          <w:rFonts w:ascii="Verdana" w:hAnsi="Verdana"/>
          <w:bCs/>
          <w:sz w:val="24"/>
          <w:szCs w:val="24"/>
        </w:rPr>
        <w:t xml:space="preserve">kind of MRPQ arrangement </w:t>
      </w:r>
      <w:r w:rsidRPr="003814DD">
        <w:rPr>
          <w:rFonts w:ascii="Verdana" w:hAnsi="Verdana"/>
          <w:bCs/>
          <w:sz w:val="24"/>
          <w:szCs w:val="24"/>
        </w:rPr>
        <w:t xml:space="preserve">that would </w:t>
      </w:r>
      <w:r w:rsidRPr="003814DD">
        <w:rPr>
          <w:rFonts w:ascii="Verdana" w:hAnsi="Verdana"/>
          <w:bCs/>
          <w:sz w:val="24"/>
          <w:szCs w:val="24"/>
        </w:rPr>
        <w:t xml:space="preserve">need to be negotiated to make a significant difference in </w:t>
      </w:r>
      <w:r w:rsidRPr="003814DD">
        <w:rPr>
          <w:rFonts w:ascii="Verdana" w:hAnsi="Verdana"/>
          <w:bCs/>
          <w:sz w:val="24"/>
          <w:szCs w:val="24"/>
        </w:rPr>
        <w:t>opening up</w:t>
      </w:r>
      <w:r w:rsidRPr="003814DD">
        <w:rPr>
          <w:rFonts w:ascii="Verdana" w:hAnsi="Verdana"/>
          <w:bCs/>
          <w:sz w:val="24"/>
          <w:szCs w:val="24"/>
        </w:rPr>
        <w:t xml:space="preserve"> markets for UK services exporters.</w:t>
      </w:r>
    </w:p>
    <w:p w:rsidR="003814DD" w:rsidRPr="003814DD" w:rsidP="00E15C0D">
      <w:pPr>
        <w:spacing w:after="0" w:line="240" w:lineRule="auto"/>
        <w:rPr>
          <w:rFonts w:ascii="Verdana" w:hAnsi="Verdana"/>
          <w:bCs/>
          <w:sz w:val="24"/>
          <w:szCs w:val="24"/>
        </w:rPr>
      </w:pPr>
    </w:p>
    <w:p w:rsidR="003814DD" w:rsidRPr="003814DD" w:rsidP="00B74D44">
      <w:pPr>
        <w:pStyle w:val="NoSpacing"/>
        <w:rPr>
          <w:rFonts w:ascii="Verdana" w:hAnsi="Verdana"/>
          <w:bCs/>
          <w:sz w:val="24"/>
          <w:szCs w:val="24"/>
        </w:rPr>
      </w:pPr>
      <w:r w:rsidRPr="003814DD">
        <w:rPr>
          <w:rFonts w:ascii="Verdana" w:hAnsi="Verdana"/>
          <w:bCs/>
          <w:sz w:val="24"/>
          <w:szCs w:val="24"/>
        </w:rPr>
        <w:t xml:space="preserve">The </w:t>
      </w:r>
      <w:r w:rsidRPr="003814DD">
        <w:rPr>
          <w:rFonts w:ascii="Verdana" w:hAnsi="Verdana"/>
          <w:bCs/>
          <w:sz w:val="24"/>
          <w:szCs w:val="24"/>
        </w:rPr>
        <w:t>system</w:t>
      </w:r>
      <w:r w:rsidRPr="003814DD">
        <w:rPr>
          <w:rFonts w:ascii="Verdana" w:hAnsi="Verdana"/>
          <w:bCs/>
          <w:sz w:val="24"/>
          <w:szCs w:val="24"/>
        </w:rPr>
        <w:t xml:space="preserve"> </w:t>
      </w:r>
      <w:r w:rsidRPr="003814DD">
        <w:rPr>
          <w:rFonts w:ascii="Verdana" w:hAnsi="Verdana"/>
          <w:bCs/>
          <w:sz w:val="24"/>
          <w:szCs w:val="24"/>
        </w:rPr>
        <w:t xml:space="preserve">of mutual recognition </w:t>
      </w:r>
      <w:r w:rsidRPr="003814DD">
        <w:rPr>
          <w:rFonts w:ascii="Verdana" w:hAnsi="Verdana"/>
          <w:bCs/>
          <w:sz w:val="24"/>
          <w:szCs w:val="24"/>
        </w:rPr>
        <w:t>that operated</w:t>
      </w:r>
      <w:r w:rsidRPr="003814DD">
        <w:rPr>
          <w:rFonts w:ascii="Verdana" w:hAnsi="Verdana"/>
          <w:bCs/>
          <w:sz w:val="24"/>
          <w:szCs w:val="24"/>
        </w:rPr>
        <w:t xml:space="preserve"> during the UK’s EU membership was practical and convenient for UK professionals operating across the EU</w:t>
      </w:r>
      <w:r w:rsidRPr="003814DD">
        <w:rPr>
          <w:rFonts w:ascii="Verdana" w:hAnsi="Verdana"/>
          <w:bCs/>
          <w:sz w:val="24"/>
          <w:szCs w:val="24"/>
        </w:rPr>
        <w:t>, and for their EU counterparts doing business in the UK</w:t>
      </w:r>
      <w:r w:rsidRPr="003814DD">
        <w:rPr>
          <w:rFonts w:ascii="Verdana" w:hAnsi="Verdana"/>
          <w:bCs/>
          <w:sz w:val="24"/>
          <w:szCs w:val="24"/>
        </w:rPr>
        <w:t>. It was replaced, post-Brexit, by a complex regime, as follows:</w:t>
      </w:r>
    </w:p>
    <w:p w:rsidR="003814DD" w:rsidRPr="003814DD" w:rsidP="00B74D44">
      <w:pPr>
        <w:pStyle w:val="NoSpacing"/>
        <w:rPr>
          <w:rFonts w:ascii="Verdana" w:hAnsi="Verdana"/>
          <w:bCs/>
          <w:sz w:val="24"/>
          <w:szCs w:val="24"/>
        </w:rPr>
      </w:pPr>
    </w:p>
    <w:p w:rsidR="003814DD" w:rsidRPr="003814DD" w:rsidP="00B74D44">
      <w:pPr>
        <w:pStyle w:val="NoSpacing"/>
        <w:numPr>
          <w:ilvl w:val="0"/>
          <w:numId w:val="5"/>
        </w:numPr>
        <w:rPr>
          <w:rFonts w:ascii="Verdana" w:hAnsi="Verdana"/>
          <w:bCs/>
          <w:sz w:val="24"/>
          <w:szCs w:val="24"/>
        </w:rPr>
      </w:pPr>
      <w:r w:rsidRPr="003814DD">
        <w:rPr>
          <w:rFonts w:ascii="Verdana" w:hAnsi="Verdana"/>
          <w:b/>
          <w:sz w:val="24"/>
          <w:szCs w:val="24"/>
        </w:rPr>
        <w:t>The EU-UK Withdrawal Agreement:</w:t>
      </w:r>
      <w:r w:rsidRPr="003814DD">
        <w:rPr>
          <w:rFonts w:ascii="Verdana" w:hAnsi="Verdana"/>
          <w:bCs/>
          <w:sz w:val="24"/>
          <w:szCs w:val="24"/>
        </w:rPr>
        <w:t xml:space="preserve"> Article 27 of the Agreement stated that recognition decisions granted before the end of the transition period under EU law shall “maintain [their] effects in the respective State”. But, while this meant that the great majority of professional qualifications would continue to be recognised, it did not cover all existing forms of mutual recognition, and did not, for instance, cover the “semi-automatic” category under the </w:t>
      </w:r>
      <w:r w:rsidRPr="003814DD">
        <w:rPr>
          <w:rFonts w:ascii="Verdana" w:hAnsi="Verdana"/>
          <w:bCs/>
          <w:sz w:val="24"/>
          <w:szCs w:val="24"/>
        </w:rPr>
        <w:t xml:space="preserve">EU’s </w:t>
      </w:r>
      <w:r w:rsidRPr="003814DD">
        <w:rPr>
          <w:rFonts w:ascii="Verdana" w:hAnsi="Verdana"/>
          <w:bCs/>
          <w:sz w:val="24"/>
          <w:szCs w:val="24"/>
        </w:rPr>
        <w:t>MRPQ Directives, thereby disabling UK and EU lawyers and accountants from continuin</w:t>
      </w:r>
      <w:r w:rsidRPr="003814DD">
        <w:rPr>
          <w:rFonts w:ascii="Verdana" w:hAnsi="Verdana"/>
          <w:bCs/>
          <w:sz w:val="24"/>
          <w:szCs w:val="24"/>
        </w:rPr>
        <w:t xml:space="preserve">g to provide legal and accountancy services (under their home state title, in the case of lawyers) in each other’s jurisdiction on a temporary basis. </w:t>
      </w:r>
    </w:p>
    <w:p w:rsidR="003814DD" w:rsidRPr="003814DD" w:rsidP="00B74D44">
      <w:pPr>
        <w:pStyle w:val="NoSpacing"/>
        <w:rPr>
          <w:rFonts w:ascii="Verdana" w:hAnsi="Verdana"/>
          <w:bCs/>
          <w:sz w:val="24"/>
          <w:szCs w:val="24"/>
        </w:rPr>
      </w:pPr>
    </w:p>
    <w:p w:rsidR="003814DD" w:rsidRPr="003814DD" w:rsidP="00B74D44">
      <w:pPr>
        <w:pStyle w:val="NoSpacing"/>
        <w:numPr>
          <w:ilvl w:val="0"/>
          <w:numId w:val="5"/>
        </w:numPr>
        <w:rPr>
          <w:rFonts w:ascii="Verdana" w:hAnsi="Verdana"/>
          <w:bCs/>
          <w:sz w:val="24"/>
          <w:szCs w:val="24"/>
        </w:rPr>
      </w:pPr>
      <w:r w:rsidRPr="003814DD">
        <w:rPr>
          <w:rFonts w:ascii="Verdana" w:hAnsi="Verdana"/>
          <w:b/>
          <w:sz w:val="24"/>
          <w:szCs w:val="24"/>
        </w:rPr>
        <w:t>The EU-UK TCA:</w:t>
      </w:r>
      <w:r w:rsidRPr="003814DD">
        <w:rPr>
          <w:rFonts w:ascii="Verdana" w:hAnsi="Verdana"/>
          <w:bCs/>
          <w:sz w:val="24"/>
          <w:szCs w:val="24"/>
        </w:rPr>
        <w:t xml:space="preserve"> The TCA allows for Mutual Recognition Agreements (MRAs) between the UK and the EU to be negotiated on a sector-by-sector basis. Professional bodies on both sides can propose MRAs for the UK and EU authorities to consider. This approach is based on that in the EU-Can</w:t>
      </w:r>
      <w:r w:rsidRPr="003814DD">
        <w:rPr>
          <w:rFonts w:ascii="Verdana" w:hAnsi="Verdana"/>
          <w:bCs/>
          <w:sz w:val="24"/>
          <w:szCs w:val="24"/>
        </w:rPr>
        <w:t>a</w:t>
      </w:r>
      <w:r w:rsidRPr="003814DD">
        <w:rPr>
          <w:rFonts w:ascii="Verdana" w:hAnsi="Verdana"/>
          <w:bCs/>
          <w:sz w:val="24"/>
          <w:szCs w:val="24"/>
        </w:rPr>
        <w:t xml:space="preserve">da CETA, under which the EU has concluded one such MRA, granting “semi-automatic” recognition to between EU and Canadian architects, subject EU architects completing a single course of ten hours. Proposed by EU and Canadian professional bodies </w:t>
      </w:r>
      <w:r w:rsidRPr="003814DD">
        <w:rPr>
          <w:rFonts w:ascii="Verdana" w:hAnsi="Verdana"/>
          <w:bCs/>
          <w:sz w:val="24"/>
          <w:szCs w:val="24"/>
        </w:rPr>
        <w:t xml:space="preserve">in 2017, the </w:t>
      </w:r>
      <w:r w:rsidRPr="003814DD">
        <w:rPr>
          <w:rFonts w:ascii="Verdana" w:hAnsi="Verdana"/>
          <w:bCs/>
          <w:sz w:val="24"/>
          <w:szCs w:val="24"/>
        </w:rPr>
        <w:t>MRA  was</w:t>
      </w:r>
      <w:r w:rsidRPr="003814DD">
        <w:rPr>
          <w:rFonts w:ascii="Verdana" w:hAnsi="Verdana"/>
          <w:bCs/>
          <w:sz w:val="24"/>
          <w:szCs w:val="24"/>
        </w:rPr>
        <w:t xml:space="preserve"> not concluded until 2022, after two years of negotiations. The only recommendation for an MRA yet made under the TCA was also for architects. But the European Commission recently rejected it as ‘prejudicial to EU architects’ because it allegedly grants ‘asymmetrical’ rights: EU-qualified architects would have to sit a professional examination in the UK (relating to UK building requirements after the Grenfell fire), but UK-qualified architects in the EU would not. </w:t>
      </w:r>
    </w:p>
    <w:p w:rsidR="003814DD" w:rsidRPr="003814DD" w:rsidP="00B74D44">
      <w:pPr>
        <w:pStyle w:val="NoSpacing"/>
        <w:rPr>
          <w:rFonts w:ascii="Verdana" w:hAnsi="Verdana"/>
          <w:bCs/>
          <w:sz w:val="24"/>
          <w:szCs w:val="24"/>
        </w:rPr>
      </w:pPr>
    </w:p>
    <w:p w:rsidR="003814DD" w:rsidRPr="003814DD" w:rsidP="00B74D44">
      <w:pPr>
        <w:pStyle w:val="NoSpacing"/>
        <w:numPr>
          <w:ilvl w:val="0"/>
          <w:numId w:val="5"/>
        </w:numPr>
        <w:rPr>
          <w:rFonts w:ascii="Verdana" w:hAnsi="Verdana"/>
          <w:bCs/>
          <w:sz w:val="24"/>
          <w:szCs w:val="24"/>
        </w:rPr>
      </w:pPr>
      <w:r w:rsidRPr="003814DD">
        <w:rPr>
          <w:rFonts w:ascii="Verdana" w:hAnsi="Verdana"/>
          <w:b/>
          <w:sz w:val="24"/>
          <w:szCs w:val="24"/>
        </w:rPr>
        <w:t>Actual practice:</w:t>
      </w:r>
      <w:r w:rsidRPr="003814DD">
        <w:rPr>
          <w:rFonts w:ascii="Verdana" w:hAnsi="Verdana"/>
          <w:bCs/>
          <w:sz w:val="24"/>
          <w:szCs w:val="24"/>
        </w:rPr>
        <w:t xml:space="preserve"> here, as in other areas, there is an imbalance between current UK and EU practice: while the UK has, in practice, continued to accord recognition to many EU professional qualifications, the EU has taken a more rigid line, adhering to the strict provisions of the Withdrawal Agreement and the TCA.</w:t>
      </w:r>
    </w:p>
    <w:p w:rsidR="003814DD" w:rsidRPr="003814DD" w:rsidP="00E15C0D">
      <w:pPr>
        <w:spacing w:after="0" w:line="240" w:lineRule="auto"/>
        <w:rPr>
          <w:rFonts w:ascii="Verdana" w:hAnsi="Verdana"/>
          <w:bCs/>
          <w:sz w:val="24"/>
          <w:szCs w:val="24"/>
        </w:rPr>
      </w:pPr>
    </w:p>
    <w:p w:rsidR="003814DD" w:rsidRPr="003814DD" w:rsidP="00E15C0D">
      <w:pPr>
        <w:spacing w:after="0" w:line="240" w:lineRule="auto"/>
        <w:rPr>
          <w:rFonts w:ascii="Verdana" w:hAnsi="Verdana"/>
          <w:bCs/>
          <w:sz w:val="24"/>
          <w:szCs w:val="24"/>
        </w:rPr>
      </w:pPr>
      <w:r w:rsidRPr="003814DD">
        <w:rPr>
          <w:rFonts w:ascii="Verdana" w:hAnsi="Verdana"/>
          <w:bCs/>
          <w:sz w:val="24"/>
          <w:szCs w:val="24"/>
        </w:rPr>
        <w:t>The situation under the TCA, based on the EU-Canada FTA “the CETA model</w:t>
      </w:r>
      <w:r w:rsidRPr="003814DD">
        <w:rPr>
          <w:rFonts w:ascii="Verdana" w:hAnsi="Verdana"/>
          <w:bCs/>
          <w:sz w:val="24"/>
          <w:szCs w:val="24"/>
        </w:rPr>
        <w:t>,”</w:t>
      </w:r>
      <w:r w:rsidRPr="003814DD">
        <w:rPr>
          <w:rFonts w:ascii="Verdana" w:hAnsi="Verdana"/>
          <w:bCs/>
          <w:sz w:val="24"/>
          <w:szCs w:val="24"/>
        </w:rPr>
        <w:t xml:space="preserve"> is far from satisfactory for key UK professional services such as the law and accountancy. Nor, given the slow speed and cumbersome nature of the MRA system in the TCA, is there any practical hope of making rapid progress using the current TCA provisions. Some alternative is urgently needed. </w:t>
      </w:r>
    </w:p>
    <w:p w:rsidR="003814DD" w:rsidRPr="003814DD" w:rsidP="00E15C0D">
      <w:pPr>
        <w:spacing w:after="0" w:line="240" w:lineRule="auto"/>
        <w:rPr>
          <w:rFonts w:ascii="Verdana" w:hAnsi="Verdana"/>
          <w:bCs/>
          <w:sz w:val="24"/>
          <w:szCs w:val="24"/>
        </w:rPr>
      </w:pPr>
    </w:p>
    <w:p w:rsidR="003814DD" w:rsidRPr="003814DD" w:rsidP="00E15C0D">
      <w:pPr>
        <w:spacing w:after="0" w:line="240" w:lineRule="auto"/>
        <w:rPr>
          <w:rFonts w:ascii="Verdana" w:hAnsi="Verdana"/>
          <w:bCs/>
          <w:sz w:val="24"/>
          <w:szCs w:val="24"/>
        </w:rPr>
      </w:pPr>
      <w:r w:rsidRPr="003814DD">
        <w:rPr>
          <w:rFonts w:ascii="Verdana" w:hAnsi="Verdana"/>
          <w:bCs/>
          <w:sz w:val="24"/>
          <w:szCs w:val="24"/>
        </w:rPr>
        <w:t xml:space="preserve">In our view, the next best would be the provisions for the recognition of professional qualifications contained in the most comprehensive agreements that the UK has successfully negotiated so far since </w:t>
      </w:r>
      <w:r w:rsidRPr="003814DD">
        <w:rPr>
          <w:rFonts w:ascii="Verdana" w:hAnsi="Verdana"/>
          <w:bCs/>
          <w:sz w:val="24"/>
          <w:szCs w:val="24"/>
        </w:rPr>
        <w:t xml:space="preserve">withdrawing from </w:t>
      </w:r>
      <w:r w:rsidRPr="003814DD">
        <w:rPr>
          <w:rFonts w:ascii="Verdana" w:hAnsi="Verdana"/>
          <w:bCs/>
          <w:sz w:val="24"/>
          <w:szCs w:val="24"/>
        </w:rPr>
        <w:t>the EU, such as the Agreement with Switzerland in 2023 and the Agreement with the EEA/EFTA States in 2021. These are consistently identified</w:t>
      </w:r>
      <w:r w:rsidRPr="003814DD">
        <w:rPr>
          <w:rFonts w:ascii="Verdana" w:hAnsi="Verdana"/>
          <w:bCs/>
          <w:sz w:val="24"/>
          <w:szCs w:val="24"/>
        </w:rPr>
        <w:t xml:space="preserve"> by our members as the minimum level that would need to be negotiated to make any meaningful difference to MRPQ in an EU context. </w:t>
      </w:r>
    </w:p>
    <w:p w:rsidR="003814DD" w:rsidRPr="003814DD" w:rsidP="00E15C0D">
      <w:pPr>
        <w:spacing w:after="0" w:line="240" w:lineRule="auto"/>
        <w:rPr>
          <w:rFonts w:ascii="Verdana" w:hAnsi="Verdana"/>
          <w:bCs/>
          <w:sz w:val="24"/>
          <w:szCs w:val="24"/>
        </w:rPr>
      </w:pPr>
    </w:p>
    <w:p w:rsidR="003814DD" w:rsidRPr="003814DD" w:rsidP="00E15C0D">
      <w:pPr>
        <w:spacing w:after="0" w:line="240" w:lineRule="auto"/>
        <w:rPr>
          <w:rFonts w:ascii="Verdana" w:hAnsi="Verdana"/>
          <w:bCs/>
          <w:sz w:val="24"/>
          <w:szCs w:val="24"/>
        </w:rPr>
      </w:pPr>
      <w:r w:rsidRPr="003814DD">
        <w:rPr>
          <w:rFonts w:ascii="Verdana" w:hAnsi="Verdana"/>
          <w:bCs/>
          <w:sz w:val="24"/>
          <w:szCs w:val="24"/>
        </w:rPr>
        <w:t>We are</w:t>
      </w:r>
      <w:r w:rsidRPr="003814DD">
        <w:rPr>
          <w:rFonts w:ascii="Verdana" w:hAnsi="Verdana"/>
          <w:bCs/>
          <w:sz w:val="24"/>
          <w:szCs w:val="24"/>
        </w:rPr>
        <w:t xml:space="preserve"> reassured by the UK's existing MRPQ agreements with Switzerland and similar arrangements with EEA EFTA States, which align with familiar UK negotiating objectives. However, some UK regulators have expressed concerns that the UK-Switzerland MRPQ provisions may compromise their regulatory independence and have advised against using them as a model for other countries. We do not fully understand these concerns, as they were not expressed in comparable circumstances while the UK was an EU member and would seem</w:t>
      </w:r>
      <w:r w:rsidRPr="003814DD">
        <w:rPr>
          <w:rFonts w:ascii="Verdana" w:hAnsi="Verdana"/>
          <w:bCs/>
          <w:sz w:val="24"/>
          <w:szCs w:val="24"/>
        </w:rPr>
        <w:t xml:space="preserve"> to be adequately catered for in the conditions to be met under the EU-Switzerland MRA. This issue </w:t>
      </w:r>
      <w:r w:rsidRPr="003814DD">
        <w:rPr>
          <w:rFonts w:ascii="Verdana" w:hAnsi="Verdana"/>
          <w:bCs/>
          <w:sz w:val="24"/>
          <w:szCs w:val="24"/>
        </w:rPr>
        <w:t xml:space="preserve">is however a matter for the </w:t>
      </w:r>
      <w:r w:rsidRPr="003814DD">
        <w:rPr>
          <w:rFonts w:ascii="Verdana" w:hAnsi="Verdana"/>
          <w:bCs/>
          <w:sz w:val="24"/>
          <w:szCs w:val="24"/>
        </w:rPr>
        <w:t xml:space="preserve">government rather than </w:t>
      </w:r>
      <w:r w:rsidRPr="003814DD">
        <w:rPr>
          <w:rFonts w:ascii="Verdana" w:hAnsi="Verdana"/>
          <w:bCs/>
          <w:sz w:val="24"/>
          <w:szCs w:val="24"/>
        </w:rPr>
        <w:t xml:space="preserve">for </w:t>
      </w:r>
      <w:r w:rsidRPr="003814DD">
        <w:rPr>
          <w:rFonts w:ascii="Verdana" w:hAnsi="Verdana"/>
          <w:bCs/>
          <w:sz w:val="24"/>
          <w:szCs w:val="24"/>
        </w:rPr>
        <w:t>our industry.</w:t>
      </w:r>
      <w:r w:rsidRPr="003814DD">
        <w:rPr>
          <w:rFonts w:ascii="Verdana" w:hAnsi="Verdana"/>
          <w:bCs/>
          <w:sz w:val="24"/>
          <w:szCs w:val="24"/>
        </w:rPr>
        <w:br/>
      </w:r>
    </w:p>
    <w:p w:rsidR="003814DD" w:rsidRPr="003814DD" w:rsidP="00E15C0D">
      <w:pPr>
        <w:spacing w:after="0" w:line="240" w:lineRule="auto"/>
        <w:rPr>
          <w:rFonts w:ascii="Verdana" w:hAnsi="Verdana"/>
          <w:bCs/>
          <w:sz w:val="24"/>
          <w:szCs w:val="24"/>
        </w:rPr>
      </w:pPr>
      <w:r w:rsidRPr="003814DD">
        <w:rPr>
          <w:rFonts w:ascii="Verdana" w:hAnsi="Verdana"/>
          <w:bCs/>
          <w:sz w:val="24"/>
          <w:szCs w:val="24"/>
        </w:rPr>
        <w:t>Our members also note that any such improved MRPQ arrangement would need to be accompanied by parallel improvements to the ability of UK and EU professionals to travel on business to each other’s jurisdictions. It would otherwise have very limited impact.</w:t>
      </w:r>
    </w:p>
    <w:p w:rsidR="003814DD" w:rsidRPr="003814DD" w:rsidP="00E15C0D">
      <w:pPr>
        <w:spacing w:after="0" w:line="240" w:lineRule="auto"/>
        <w:rPr>
          <w:rFonts w:ascii="Verdana" w:hAnsi="Verdana"/>
          <w:bCs/>
          <w:sz w:val="24"/>
          <w:szCs w:val="24"/>
        </w:rPr>
      </w:pPr>
    </w:p>
    <w:p w:rsidR="003814DD" w:rsidRPr="003814DD" w:rsidP="00E15C0D">
      <w:pPr>
        <w:spacing w:after="0" w:line="240" w:lineRule="auto"/>
        <w:rPr>
          <w:rFonts w:ascii="Verdana" w:hAnsi="Verdana"/>
          <w:b/>
          <w:sz w:val="24"/>
          <w:szCs w:val="24"/>
        </w:rPr>
      </w:pPr>
      <w:r w:rsidRPr="003814DD">
        <w:rPr>
          <w:rFonts w:ascii="Verdana" w:hAnsi="Verdana"/>
          <w:b/>
          <w:sz w:val="24"/>
          <w:szCs w:val="24"/>
        </w:rPr>
        <w:t>Further Steps</w:t>
      </w:r>
    </w:p>
    <w:p w:rsidR="003814DD" w:rsidRPr="003814DD" w:rsidP="00E15C0D">
      <w:pPr>
        <w:spacing w:after="0" w:line="240" w:lineRule="auto"/>
        <w:rPr>
          <w:rFonts w:ascii="Verdana" w:hAnsi="Verdana"/>
          <w:bCs/>
          <w:sz w:val="24"/>
          <w:szCs w:val="24"/>
        </w:rPr>
      </w:pPr>
    </w:p>
    <w:p w:rsidR="003814DD" w:rsidRPr="003814DD" w:rsidP="00EA2362">
      <w:pPr>
        <w:spacing w:after="0" w:line="240" w:lineRule="auto"/>
        <w:rPr>
          <w:rFonts w:ascii="Verdana" w:hAnsi="Verdana"/>
          <w:bCs/>
          <w:sz w:val="24"/>
          <w:szCs w:val="24"/>
        </w:rPr>
      </w:pPr>
      <w:r w:rsidRPr="003814DD">
        <w:rPr>
          <w:rFonts w:ascii="Verdana" w:hAnsi="Verdana"/>
          <w:bCs/>
          <w:sz w:val="24"/>
          <w:szCs w:val="24"/>
        </w:rPr>
        <w:t>TheCityUK Europe Market Advisory Group and the International Regulatory Strategy Group (IRSG) EU Regulation Committee</w:t>
      </w:r>
      <w:r w:rsidRPr="003814DD">
        <w:rPr>
          <w:rFonts w:ascii="Verdana" w:hAnsi="Verdana"/>
          <w:bCs/>
          <w:sz w:val="24"/>
          <w:szCs w:val="24"/>
        </w:rPr>
        <w:t xml:space="preserve"> </w:t>
      </w:r>
      <w:r w:rsidRPr="003814DD">
        <w:rPr>
          <w:rFonts w:ascii="Verdana" w:hAnsi="Verdana"/>
          <w:bCs/>
          <w:sz w:val="24"/>
          <w:szCs w:val="24"/>
        </w:rPr>
        <w:t>acknowledge that the Reset has now to be considered against a fast-moving political and strategic backdrop, marked the Prime Minister’s Statement of 25 February 2025 on the UK’s defence</w:t>
      </w:r>
      <w:r>
        <w:rPr>
          <w:rFonts w:ascii="Verdana" w:hAnsi="Verdana"/>
          <w:bCs/>
          <w:sz w:val="24"/>
          <w:szCs w:val="24"/>
          <w:vertAlign w:val="superscript"/>
        </w:rPr>
        <w:footnoteReference w:id="13"/>
      </w:r>
      <w:r w:rsidRPr="003814DD">
        <w:rPr>
          <w:rFonts w:ascii="Verdana" w:hAnsi="Verdana"/>
          <w:bCs/>
          <w:sz w:val="24"/>
          <w:szCs w:val="24"/>
        </w:rPr>
        <w:t>, and the European Commission’s announcements of 19 March 2025 on corresponding European Union initiatives</w:t>
      </w:r>
      <w:r>
        <w:rPr>
          <w:rFonts w:ascii="Verdana" w:hAnsi="Verdana"/>
          <w:bCs/>
          <w:sz w:val="24"/>
          <w:szCs w:val="24"/>
          <w:vertAlign w:val="superscript"/>
        </w:rPr>
        <w:footnoteReference w:id="14"/>
      </w:r>
      <w:r w:rsidRPr="003814DD">
        <w:rPr>
          <w:rFonts w:ascii="Verdana" w:hAnsi="Verdana"/>
          <w:bCs/>
          <w:sz w:val="24"/>
          <w:szCs w:val="24"/>
        </w:rPr>
        <w:t>, many of which were discussed at the EU Council and Euro Summit meetings on 20 March 2025.</w:t>
      </w:r>
      <w:r>
        <w:rPr>
          <w:rStyle w:val="FootnoteReference"/>
          <w:rFonts w:ascii="Verdana" w:hAnsi="Verdana"/>
          <w:bCs/>
          <w:sz w:val="24"/>
          <w:szCs w:val="24"/>
        </w:rPr>
        <w:footnoteReference w:id="15"/>
      </w:r>
      <w:r w:rsidRPr="003814DD">
        <w:rPr>
          <w:rFonts w:ascii="Verdana" w:hAnsi="Verdana"/>
          <w:bCs/>
          <w:sz w:val="24"/>
          <w:szCs w:val="24"/>
        </w:rPr>
        <w:t xml:space="preserve"> Our industry will remain alert to further such developments and ways in which it can play its part in supporting them.</w:t>
      </w:r>
    </w:p>
    <w:p w:rsidR="003814DD" w:rsidRPr="003814DD" w:rsidP="00EA2362">
      <w:pPr>
        <w:spacing w:after="0" w:line="240" w:lineRule="auto"/>
        <w:rPr>
          <w:rFonts w:ascii="Verdana" w:hAnsi="Verdana"/>
          <w:bCs/>
          <w:sz w:val="24"/>
          <w:szCs w:val="24"/>
        </w:rPr>
      </w:pPr>
    </w:p>
    <w:p w:rsidR="003814DD" w:rsidRPr="003814DD" w:rsidP="00EA2362">
      <w:pPr>
        <w:spacing w:after="0" w:line="240" w:lineRule="auto"/>
        <w:rPr>
          <w:rFonts w:ascii="Verdana" w:hAnsi="Verdana"/>
          <w:bCs/>
          <w:sz w:val="24"/>
          <w:szCs w:val="24"/>
        </w:rPr>
      </w:pPr>
      <w:r w:rsidRPr="003814DD">
        <w:rPr>
          <w:rFonts w:ascii="Verdana" w:hAnsi="Verdana"/>
          <w:bCs/>
          <w:sz w:val="24"/>
          <w:szCs w:val="24"/>
        </w:rPr>
        <w:t xml:space="preserve">TheCityUK Europe Market Advisory Group and the International Regulatory Strategy Group (IRSG) EU Regulation Committee </w:t>
      </w:r>
      <w:r w:rsidRPr="003814DD">
        <w:rPr>
          <w:rFonts w:ascii="Verdana" w:hAnsi="Verdana"/>
          <w:bCs/>
          <w:sz w:val="24"/>
          <w:szCs w:val="24"/>
        </w:rPr>
        <w:t xml:space="preserve">stand ready to offer any further detail that will help the </w:t>
      </w:r>
      <w:r w:rsidRPr="003814DD">
        <w:rPr>
          <w:rFonts w:ascii="Verdana" w:hAnsi="Verdana"/>
          <w:bCs/>
          <w:sz w:val="24"/>
          <w:szCs w:val="24"/>
        </w:rPr>
        <w:t>House of Lords European Affairs Committee</w:t>
      </w:r>
      <w:r w:rsidRPr="003814DD">
        <w:rPr>
          <w:rFonts w:ascii="Verdana" w:hAnsi="Verdana"/>
          <w:bCs/>
          <w:sz w:val="24"/>
          <w:szCs w:val="24"/>
        </w:rPr>
        <w:t xml:space="preserve"> with its inquiry.</w:t>
      </w:r>
    </w:p>
    <w:p w:rsidR="003814DD" w:rsidRPr="003814DD" w:rsidP="007246C2">
      <w:pPr>
        <w:spacing w:after="0" w:line="240" w:lineRule="auto"/>
        <w:rPr>
          <w:rFonts w:ascii="Verdana" w:hAnsi="Verdana"/>
          <w:bCs/>
          <w:sz w:val="24"/>
          <w:szCs w:val="24"/>
        </w:rPr>
      </w:pPr>
    </w:p>
    <w:p w:rsidR="003814DD" w:rsidRPr="003814DD" w:rsidP="00FF6517">
      <w:pPr>
        <w:spacing w:after="0" w:line="240" w:lineRule="auto"/>
        <w:jc w:val="right"/>
        <w:rPr>
          <w:rFonts w:ascii="Verdana" w:hAnsi="Verdana"/>
          <w:b/>
          <w:sz w:val="24"/>
          <w:szCs w:val="24"/>
        </w:rPr>
      </w:pPr>
      <w:r w:rsidRPr="003814DD">
        <w:rPr>
          <w:rFonts w:ascii="Verdana" w:hAnsi="Verdana"/>
          <w:b/>
          <w:sz w:val="24"/>
          <w:szCs w:val="24"/>
        </w:rPr>
        <w:t>The</w:t>
      </w:r>
      <w:r w:rsidRPr="003814DD">
        <w:rPr>
          <w:rFonts w:ascii="Verdana" w:hAnsi="Verdana"/>
          <w:b/>
          <w:sz w:val="24"/>
          <w:szCs w:val="24"/>
        </w:rPr>
        <w:t>CityUK Europe Market Advisory Group and the IRSG EU Regulation Committee</w:t>
      </w:r>
    </w:p>
    <w:p w:rsidR="003814DD" w:rsidP="00FF6517">
      <w:pPr>
        <w:spacing w:after="0" w:line="240" w:lineRule="auto"/>
        <w:jc w:val="right"/>
        <w:rPr>
          <w:rFonts w:ascii="Verdana" w:hAnsi="Verdana"/>
          <w:b/>
          <w:sz w:val="24"/>
          <w:szCs w:val="24"/>
        </w:rPr>
      </w:pPr>
      <w:r w:rsidRPr="003814DD">
        <w:rPr>
          <w:rFonts w:ascii="Verdana" w:hAnsi="Verdana"/>
          <w:b/>
          <w:sz w:val="24"/>
          <w:szCs w:val="24"/>
        </w:rPr>
        <w:t xml:space="preserve">April </w:t>
      </w:r>
      <w:r w:rsidRPr="003814DD">
        <w:rPr>
          <w:rFonts w:ascii="Verdana" w:hAnsi="Verdana"/>
          <w:b/>
          <w:sz w:val="24"/>
          <w:szCs w:val="24"/>
        </w:rPr>
        <w:t>2025</w:t>
      </w:r>
    </w:p>
    <w:p w:rsidR="003814DD" w:rsidP="00FF6517">
      <w:pPr>
        <w:spacing w:after="0" w:line="240" w:lineRule="auto"/>
        <w:jc w:val="right"/>
        <w:rPr>
          <w:rFonts w:ascii="Verdana" w:hAnsi="Verdana"/>
          <w:b/>
          <w:sz w:val="24"/>
          <w:szCs w:val="24"/>
        </w:rPr>
      </w:pPr>
    </w:p>
    <w:p w:rsidR="003814DD" w:rsidRPr="003814DD" w:rsidP="003814DD">
      <w:pPr>
        <w:spacing w:after="0" w:line="240" w:lineRule="auto"/>
        <w:rPr>
          <w:rFonts w:ascii="Verdana" w:hAnsi="Verdana"/>
          <w:b/>
          <w:sz w:val="24"/>
          <w:szCs w:val="24"/>
        </w:rPr>
      </w:pPr>
      <w:r>
        <w:rPr>
          <w:rFonts w:ascii="Verdana" w:hAnsi="Verdana"/>
          <w:b/>
          <w:sz w:val="24"/>
          <w:szCs w:val="24"/>
        </w:rPr>
        <w:t>Received 1 April 2025</w:t>
      </w:r>
    </w:p>
    <w:sectPr>
      <w:footerReference w:type="default" r:id="rI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13288445"/>
      <w:docPartObj>
        <w:docPartGallery w:val="Page Numbers (Bottom of Page)"/>
        <w:docPartUnique/>
      </w:docPartObj>
    </w:sdtPr>
    <w:sdtEndPr>
      <w:rPr>
        <w:noProof/>
      </w:rPr>
    </w:sdtEndPr>
    <w:sdtContent>
      <w:p w:rsidR="003814D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3814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814DD" w:rsidP="00502C7D">
      <w:pPr>
        <w:spacing w:after="0" w:line="240" w:lineRule="auto"/>
      </w:pPr>
      <w:r>
        <w:separator/>
      </w:r>
    </w:p>
  </w:footnote>
  <w:footnote w:type="continuationSeparator" w:id="1">
    <w:p w:rsidR="003814DD" w:rsidP="00502C7D">
      <w:pPr>
        <w:spacing w:after="0" w:line="240" w:lineRule="auto"/>
      </w:pPr>
      <w:r>
        <w:continuationSeparator/>
      </w:r>
    </w:p>
  </w:footnote>
  <w:footnote w:id="2">
    <w:p w:rsidR="003814DD">
      <w:pPr>
        <w:pStyle w:val="FootnoteText"/>
      </w:pPr>
      <w:r>
        <w:rPr>
          <w:rStyle w:val="FootnoteReference"/>
        </w:rPr>
        <w:footnoteRef/>
      </w:r>
      <w:r>
        <w:t xml:space="preserve"> </w:t>
      </w:r>
      <w:r w:rsidRPr="00C9281A">
        <w:t>Office for Budget Responsibility</w:t>
      </w:r>
      <w:r>
        <w:t xml:space="preserve">, </w:t>
      </w:r>
      <w:r w:rsidRPr="00B35839">
        <w:t>How are our Brexit trade forecast assumptions performing?</w:t>
      </w:r>
      <w:r>
        <w:t xml:space="preserve">, found at: </w:t>
      </w:r>
      <w:r>
        <w:fldChar w:fldCharType="begin"/>
      </w:r>
      <w:r>
        <w:instrText xml:space="preserve"> HYPERLINK "https://obr.uk/box/how-are-our-brexit-trade-forecast-assumptions-performing/" </w:instrText>
      </w:r>
      <w:r>
        <w:fldChar w:fldCharType="separate"/>
      </w:r>
      <w:r w:rsidRPr="00C162A5">
        <w:rPr>
          <w:rStyle w:val="Hyperlink"/>
        </w:rPr>
        <w:t>https://obr.uk/box/how-are-our-brexit-trade-forecast-assumptions-performing/</w:t>
      </w:r>
      <w:r>
        <w:fldChar w:fldCharType="end"/>
      </w:r>
      <w:r>
        <w:t xml:space="preserve"> </w:t>
      </w:r>
    </w:p>
  </w:footnote>
  <w:footnote w:id="3">
    <w:p w:rsidR="003814DD" w:rsidRPr="005E3849" w:rsidP="00C10C46">
      <w:pPr>
        <w:pStyle w:val="FootnoteText"/>
        <w:rPr>
          <w:lang w:val="en-US"/>
        </w:rPr>
      </w:pPr>
      <w:r>
        <w:rPr>
          <w:rStyle w:val="FootnoteReference"/>
        </w:rPr>
        <w:footnoteRef/>
      </w:r>
      <w:r>
        <w:t xml:space="preserve">HM Government, </w:t>
      </w:r>
      <w:r w:rsidRPr="00254147">
        <w:t>Statement by the President of the European Commission and the Prime Minister of the United Kingdom on Enhancing Strategic Cooperation: 2 October 2024</w:t>
      </w:r>
      <w:r>
        <w:t xml:space="preserve">, found at: </w:t>
      </w:r>
      <w:r>
        <w:fldChar w:fldCharType="begin"/>
      </w:r>
      <w:r>
        <w:instrText xml:space="preserve"> HYPERLINK "https://www.gov.uk/government/news/joint-statement-by-the-president-of-the-european-commission-and-the-prime-minister-of-the-united-kingdom-on-enhancing-strategic-cooperation-2-october--2" </w:instrText>
      </w:r>
      <w:r>
        <w:fldChar w:fldCharType="separate"/>
      </w:r>
      <w:r w:rsidRPr="00254147">
        <w:rPr>
          <w:rStyle w:val="Hyperlink"/>
        </w:rPr>
        <w:t>https://www.gov.uk/government/news/joint-statement-by-the-president-of-the-european-commission-and-the-prime-minister-of-the-united-kingdom-on-enhancing-strategic-cooperation-2-october--2</w:t>
      </w:r>
      <w:r>
        <w:fldChar w:fldCharType="end"/>
      </w:r>
      <w:r>
        <w:t xml:space="preserve"> </w:t>
      </w:r>
    </w:p>
  </w:footnote>
  <w:footnote w:id="4">
    <w:p w:rsidR="003814DD" w:rsidP="00C10C46">
      <w:pPr>
        <w:pStyle w:val="FootnoteText"/>
      </w:pPr>
      <w:r>
        <w:rPr>
          <w:rStyle w:val="FootnoteReference"/>
        </w:rPr>
        <w:footnoteRef/>
      </w:r>
      <w:r>
        <w:t xml:space="preserve"> </w:t>
      </w:r>
      <w:r>
        <w:t xml:space="preserve">HM Government </w:t>
      </w:r>
      <w:r w:rsidRPr="00B176B1">
        <w:t>Industrial Strategy Green Paper, found at</w:t>
      </w:r>
      <w:r>
        <w:t xml:space="preserve">: </w:t>
      </w:r>
      <w:r>
        <w:fldChar w:fldCharType="begin"/>
      </w:r>
      <w:r>
        <w:instrText xml:space="preserve"> HYPERLINK "https://www.gov.uk/government/consultations/invest-2035-the-uks-modern-industrial-strategy/invest-2035-the-uks-modern-industrial-strategy" \l ":~:text=The%20new%20modern%20industrial%20strategy,will%20drive%20our%20growth%20mission" </w:instrText>
      </w:r>
      <w:r>
        <w:fldChar w:fldCharType="separate"/>
      </w:r>
      <w:r w:rsidRPr="00937764">
        <w:rPr>
          <w:rStyle w:val="Hyperlink"/>
        </w:rPr>
        <w:t>https://www.gov.uk/government/consultations/invest-2035-the-uks-modern-industrial-strategy/invest-2035-the-uks-modern-industrial-strategy#:~:text=The%20new%20modern%20industrial%20strategy,will%20drive%20our%20growth%20mission</w:t>
      </w:r>
      <w:r>
        <w:fldChar w:fldCharType="end"/>
      </w:r>
      <w:r w:rsidRPr="006E45C2">
        <w:t>.</w:t>
      </w:r>
      <w:r>
        <w:t xml:space="preserve"> </w:t>
      </w:r>
    </w:p>
  </w:footnote>
  <w:footnote w:id="5">
    <w:p w:rsidR="003814DD">
      <w:pPr>
        <w:pStyle w:val="FootnoteText"/>
      </w:pPr>
      <w:r>
        <w:rPr>
          <w:rStyle w:val="FootnoteReference"/>
        </w:rPr>
        <w:footnoteRef/>
      </w:r>
      <w:r>
        <w:t xml:space="preserve"> </w:t>
      </w:r>
      <w:r w:rsidRPr="00D60243">
        <w:t xml:space="preserve">TheCityUK calculations based on </w:t>
      </w:r>
      <w:r>
        <w:fldChar w:fldCharType="begin"/>
      </w:r>
      <w:r>
        <w:instrText xml:space="preserve"> HYPERLINK "https://www.ons.gov.uk/businessindustryandtrade/internationaltrade/datasets/importsofservicesbycountrybymodesofsupply/current" </w:instrText>
      </w:r>
      <w:r>
        <w:fldChar w:fldCharType="separate"/>
      </w:r>
      <w:r w:rsidRPr="007659EB">
        <w:rPr>
          <w:rStyle w:val="Hyperlink"/>
        </w:rPr>
        <w:t>ONS ‘Imports and Exports of services by country, by modes of supply’ (2023)</w:t>
      </w:r>
      <w:r>
        <w:fldChar w:fldCharType="end"/>
      </w:r>
      <w:r>
        <w:t>.</w:t>
      </w:r>
    </w:p>
  </w:footnote>
  <w:footnote w:id="6">
    <w:p w:rsidR="003814DD" w:rsidP="00C354F9">
      <w:pPr>
        <w:pStyle w:val="FootnoteText"/>
      </w:pPr>
      <w:r>
        <w:rPr>
          <w:rStyle w:val="FootnoteReference"/>
        </w:rPr>
        <w:footnoteRef/>
      </w:r>
      <w:r>
        <w:t xml:space="preserve"> </w:t>
      </w:r>
      <w:r w:rsidRPr="00E57E8A">
        <w:t>International Regulatory Strategy Group submission – House of Lords European Affairs Committee: Call for evidence on data adequacy</w:t>
      </w:r>
      <w:r>
        <w:t>, found at:</w:t>
      </w:r>
      <w:r w:rsidRPr="00BE6941">
        <w:t xml:space="preserve"> </w:t>
      </w:r>
      <w:r>
        <w:fldChar w:fldCharType="begin"/>
      </w:r>
      <w:r>
        <w:instrText xml:space="preserve"> HYPERLINK "https://committees.parliament.uk/writtenevidence/130144/pdf/" </w:instrText>
      </w:r>
      <w:r>
        <w:fldChar w:fldCharType="separate"/>
      </w:r>
      <w:r w:rsidRPr="008F51EE">
        <w:rPr>
          <w:rStyle w:val="Hyperlink"/>
        </w:rPr>
        <w:t>https://committees.parliament.uk/writtenevidence/130144/pdf/</w:t>
      </w:r>
      <w:r>
        <w:fldChar w:fldCharType="end"/>
      </w:r>
      <w:r>
        <w:t xml:space="preserve"> </w:t>
      </w:r>
      <w:r>
        <w:t xml:space="preserve"> </w:t>
      </w:r>
    </w:p>
  </w:footnote>
  <w:footnote w:id="7">
    <w:p w:rsidR="003814DD">
      <w:pPr>
        <w:pStyle w:val="FootnoteText"/>
      </w:pPr>
      <w:r>
        <w:rPr>
          <w:rStyle w:val="FootnoteReference"/>
        </w:rPr>
        <w:footnoteRef/>
      </w:r>
      <w:r>
        <w:t xml:space="preserve"> </w:t>
      </w:r>
      <w:r>
        <w:t xml:space="preserve">HM Government, Policy paper: Accelerated Settlement (T+1), found at: </w:t>
      </w:r>
      <w:r>
        <w:fldChar w:fldCharType="begin"/>
      </w:r>
      <w:r>
        <w:instrText xml:space="preserve"> HYPERLINK "https://www.gov.uk/government/publications/accelerated-settlement-t1" \l ":~:text=The%20government%20has%20accepted%20all,would%20minimise%20costs%20for%20firms" </w:instrText>
      </w:r>
      <w:r>
        <w:fldChar w:fldCharType="separate"/>
      </w:r>
      <w:r w:rsidRPr="008F239D">
        <w:rPr>
          <w:rStyle w:val="Hyperlink"/>
        </w:rPr>
        <w:t>https://www.gov.uk/government/publications/accelerated-settlement-t1#:~:text=The%20government%20has%20accepted%20all,would%20minimise%20costs%20for%20firms</w:t>
      </w:r>
      <w:r>
        <w:fldChar w:fldCharType="end"/>
      </w:r>
    </w:p>
  </w:footnote>
  <w:footnote w:id="8">
    <w:p w:rsidR="003814DD" w:rsidP="003D2BFE">
      <w:pPr>
        <w:pStyle w:val="FootnoteText"/>
      </w:pPr>
      <w:r>
        <w:rPr>
          <w:rStyle w:val="FootnoteReference"/>
        </w:rPr>
        <w:footnoteRef/>
      </w:r>
      <w:r>
        <w:t xml:space="preserve"> EBF Open Strategic Autonomy &amp; Market Access, </w:t>
      </w:r>
      <w:r>
        <w:t>f</w:t>
      </w:r>
      <w:r>
        <w:t xml:space="preserve">ound at: </w:t>
      </w:r>
      <w:r>
        <w:fldChar w:fldCharType="begin"/>
      </w:r>
      <w:r>
        <w:instrText xml:space="preserve"> HYPERLINK "https://www.ebf.eu/wp-content/uploads/2024/09/Public-Version-EBF-Paper-OSA-September-2024.pdf" </w:instrText>
      </w:r>
      <w:r>
        <w:fldChar w:fldCharType="separate"/>
      </w:r>
      <w:r>
        <w:rPr>
          <w:rStyle w:val="Hyperlink"/>
        </w:rPr>
        <w:t>https://www.ebf.eu/wp-content/uploads/2024/09/Public-Version-EBF-Paper-OSA-September-2024.pdf</w:t>
      </w:r>
      <w:r>
        <w:fldChar w:fldCharType="end"/>
      </w:r>
      <w:r>
        <w:t xml:space="preserve"> </w:t>
      </w:r>
    </w:p>
  </w:footnote>
  <w:footnote w:id="9">
    <w:p w:rsidR="003814DD" w:rsidP="003D2BFE">
      <w:pPr>
        <w:pStyle w:val="FootnoteText"/>
      </w:pPr>
      <w:r>
        <w:rPr>
          <w:rStyle w:val="FootnoteReference"/>
        </w:rPr>
        <w:footnoteRef/>
      </w:r>
      <w:r>
        <w:t xml:space="preserve"> ECIPE</w:t>
      </w:r>
      <w:r>
        <w:t>,</w:t>
      </w:r>
      <w:r>
        <w:t xml:space="preserve"> Negotiating Uncertainty in UK-EU Relations: Past, Present, and Future, found at: </w:t>
      </w:r>
      <w:r>
        <w:fldChar w:fldCharType="begin"/>
      </w:r>
      <w:r>
        <w:instrText xml:space="preserve"> HYPERLINK "https://ecipe.org/publications/negotiating-uncertainty-uk-eu-relations/" </w:instrText>
      </w:r>
      <w:r>
        <w:fldChar w:fldCharType="separate"/>
      </w:r>
      <w:r w:rsidRPr="00DF557C">
        <w:rPr>
          <w:rStyle w:val="Hyperlink"/>
        </w:rPr>
        <w:t>https://ecipe.org/publications/negotiating-uncertainty-uk-eu-relations/</w:t>
      </w:r>
      <w:r>
        <w:fldChar w:fldCharType="end"/>
      </w:r>
      <w:r>
        <w:t xml:space="preserve"> </w:t>
      </w:r>
    </w:p>
  </w:footnote>
  <w:footnote w:id="10">
    <w:p w:rsidR="003814DD">
      <w:pPr>
        <w:pStyle w:val="FootnoteText"/>
      </w:pPr>
      <w:r>
        <w:rPr>
          <w:rStyle w:val="FootnoteReference"/>
        </w:rPr>
        <w:footnoteRef/>
      </w:r>
      <w:r>
        <w:t xml:space="preserve"> Business</w:t>
      </w:r>
      <w:r>
        <w:t xml:space="preserve">Europe, </w:t>
      </w:r>
      <w:r w:rsidRPr="00AF5A24">
        <w:t>Outlook on EU-UK relations</w:t>
      </w:r>
      <w:r>
        <w:t xml:space="preserve">, found at: </w:t>
      </w:r>
      <w:r>
        <w:fldChar w:fldCharType="begin"/>
      </w:r>
      <w:r>
        <w:instrText xml:space="preserve"> HYPERLINK "https://www.businesseurope.eu/publications/businesseurope-outlook-eu-uk-relations" </w:instrText>
      </w:r>
      <w:r>
        <w:fldChar w:fldCharType="separate"/>
      </w:r>
      <w:r w:rsidRPr="00D6501D">
        <w:rPr>
          <w:rStyle w:val="Hyperlink"/>
        </w:rPr>
        <w:t>https://www.businesseurope.eu/publications/businesseurope-outlook-eu-uk-relations</w:t>
      </w:r>
      <w:r>
        <w:fldChar w:fldCharType="end"/>
      </w:r>
      <w:r>
        <w:t xml:space="preserve"> </w:t>
      </w:r>
    </w:p>
  </w:footnote>
  <w:footnote w:id="11">
    <w:p w:rsidR="003814DD" w:rsidP="001541BB">
      <w:pPr>
        <w:pStyle w:val="FootnoteText"/>
      </w:pPr>
      <w:r>
        <w:rPr>
          <w:rStyle w:val="FootnoteReference"/>
        </w:rPr>
        <w:footnoteRef/>
      </w:r>
      <w:r>
        <w:t xml:space="preserve"> </w:t>
      </w:r>
      <w:r w:rsidRPr="00612135">
        <w:t>UK-EU Memorandum of Understanding on Financial Services Cooperation</w:t>
      </w:r>
      <w:r>
        <w:t xml:space="preserve">, </w:t>
      </w:r>
      <w:r>
        <w:t>f</w:t>
      </w:r>
      <w:r>
        <w:t xml:space="preserve">ound at: </w:t>
      </w:r>
      <w:r>
        <w:fldChar w:fldCharType="begin"/>
      </w:r>
      <w:r>
        <w:instrText xml:space="preserve"> HYPERLINK "https://www.gov.uk/government/publications/uk-eu-memorandum-of-understanding-on-financial-services-cooperation" </w:instrText>
      </w:r>
      <w:r>
        <w:fldChar w:fldCharType="separate"/>
      </w:r>
      <w:r w:rsidRPr="00DF557C">
        <w:rPr>
          <w:rStyle w:val="Hyperlink"/>
        </w:rPr>
        <w:t>https://www.gov.uk/government/publications/uk-eu-memorandum-of-understanding-on-financial-services-cooperation</w:t>
      </w:r>
      <w:r>
        <w:fldChar w:fldCharType="end"/>
      </w:r>
      <w:r>
        <w:t xml:space="preserve"> </w:t>
      </w:r>
    </w:p>
  </w:footnote>
  <w:footnote w:id="12">
    <w:p w:rsidR="003814DD" w:rsidP="003D2BFE">
      <w:pPr>
        <w:pStyle w:val="FootnoteText"/>
      </w:pPr>
      <w:r>
        <w:rPr>
          <w:rStyle w:val="FootnoteReference"/>
        </w:rPr>
        <w:footnoteRef/>
      </w:r>
      <w:r>
        <w:t xml:space="preserve">Bruegel,  </w:t>
      </w:r>
      <w:r w:rsidRPr="00D25C19">
        <w:t>A trade policy framework for the European Union-United Kingdom reset</w:t>
      </w:r>
      <w:r>
        <w:t xml:space="preserve">, found at: </w:t>
      </w:r>
      <w:r>
        <w:fldChar w:fldCharType="begin"/>
      </w:r>
      <w:r>
        <w:instrText xml:space="preserve"> HYPERLINK "https://www.bruegel.org/policy-brief/trade-policy-framework-european-union-united-kingdom-reset" \l ":~:text=A%20reset%20in%20the%20relationship%20between%20the%20United%20Kingdom%20and,the%20first%20half%20of%202025" </w:instrText>
      </w:r>
      <w:r>
        <w:fldChar w:fldCharType="separate"/>
      </w:r>
      <w:r w:rsidRPr="00DF557C">
        <w:rPr>
          <w:rStyle w:val="Hyperlink"/>
        </w:rPr>
        <w:t>https://www.bruegel.org/policy-brief/trade-policy-framework-european-union-united-kingdom-reset#:~:text=A%20reset%20in%20the%20relationship%20between%20the%20United%20Kingdom%20and,the%20first%20half%20of%202025</w:t>
      </w:r>
      <w:r>
        <w:fldChar w:fldCharType="end"/>
      </w:r>
      <w:r w:rsidRPr="00451849">
        <w:t>.</w:t>
      </w:r>
      <w:r>
        <w:t xml:space="preserve"> </w:t>
      </w:r>
    </w:p>
  </w:footnote>
  <w:footnote w:id="13">
    <w:p w:rsidR="003814DD" w:rsidRPr="00D52086" w:rsidP="00EA2362">
      <w:pPr>
        <w:pStyle w:val="FootnoteText"/>
        <w:rPr>
          <w:lang w:val="en-US"/>
        </w:rPr>
      </w:pPr>
      <w:r>
        <w:rPr>
          <w:rStyle w:val="FootnoteReference"/>
        </w:rPr>
        <w:footnoteRef/>
      </w:r>
      <w:r>
        <w:t xml:space="preserve"> HM Government, </w:t>
      </w:r>
      <w:r w:rsidRPr="00F7618E">
        <w:t xml:space="preserve">Prime Minister sets out biggest sustained increase in defence spending since the Cold War, protecting British people in new era for national security, found at:  </w:t>
      </w:r>
      <w:r>
        <w:fldChar w:fldCharType="begin"/>
      </w:r>
      <w:r>
        <w:instrText xml:space="preserve"> HYPERLINK "https://www.gov.uk/government/news/prime-minister-sets-out-biggest-sustained-increase-in-defence-spending-since-the-cold-war-protecting-british-people-in-new-era-for-national-security" </w:instrText>
      </w:r>
      <w:r>
        <w:fldChar w:fldCharType="separate"/>
      </w:r>
      <w:r w:rsidRPr="00370C80">
        <w:rPr>
          <w:rStyle w:val="Hyperlink"/>
        </w:rPr>
        <w:t>https://www.gov.uk/government/news/prime-minister-sets-out-biggest-sustained-increase-in-defence-spending-since-the-cold-war-protecting-british-people-in-new-era-for-national-security</w:t>
      </w:r>
      <w:r>
        <w:fldChar w:fldCharType="end"/>
      </w:r>
      <w:r>
        <w:t xml:space="preserve"> </w:t>
      </w:r>
    </w:p>
  </w:footnote>
  <w:footnote w:id="14">
    <w:p w:rsidR="003814DD" w:rsidRPr="00D52086" w:rsidP="00EA2362">
      <w:pPr>
        <w:pStyle w:val="FootnoteText"/>
        <w:rPr>
          <w:lang w:val="en-US"/>
        </w:rPr>
      </w:pPr>
      <w:r>
        <w:rPr>
          <w:rStyle w:val="FootnoteReference"/>
        </w:rPr>
        <w:footnoteRef/>
      </w:r>
      <w:r>
        <w:t xml:space="preserve"> European Commission,</w:t>
      </w:r>
      <w:r w:rsidRPr="00EA2362">
        <w:t xml:space="preserve"> </w:t>
      </w:r>
      <w:r w:rsidRPr="00EA2362">
        <w:t>Acting</w:t>
      </w:r>
      <w:r w:rsidRPr="00EA2362">
        <w:t xml:space="preserve"> on defence to protect Europeans</w:t>
      </w:r>
      <w:r>
        <w:t xml:space="preserve">, found at: </w:t>
      </w:r>
      <w:r>
        <w:fldChar w:fldCharType="begin"/>
      </w:r>
      <w:r>
        <w:instrText xml:space="preserve"> HYPERLINK "https://commission.europa.eu/topics/defence/future-european-defence_en" </w:instrText>
      </w:r>
      <w:r>
        <w:fldChar w:fldCharType="separate"/>
      </w:r>
      <w:r w:rsidRPr="00EA2362">
        <w:rPr>
          <w:rStyle w:val="Hyperlink"/>
        </w:rPr>
        <w:t>https://commission.europa.eu/topics/defence/future-european-defence_en</w:t>
      </w:r>
      <w:r>
        <w:fldChar w:fldCharType="end"/>
      </w:r>
      <w:r>
        <w:t xml:space="preserve"> </w:t>
      </w:r>
    </w:p>
  </w:footnote>
  <w:footnote w:id="15">
    <w:p w:rsidR="003814DD">
      <w:pPr>
        <w:pStyle w:val="FootnoteText"/>
      </w:pPr>
      <w:r>
        <w:rPr>
          <w:rStyle w:val="FootnoteReference"/>
        </w:rPr>
        <w:footnoteRef/>
      </w:r>
      <w:r>
        <w:t xml:space="preserve"> </w:t>
      </w:r>
      <w:r w:rsidRPr="0053386F">
        <w:t xml:space="preserve">European Council, 20 March 2025, found at: </w:t>
      </w:r>
      <w:r>
        <w:fldChar w:fldCharType="begin"/>
      </w:r>
      <w:r>
        <w:instrText xml:space="preserve"> HYPERLINK "https://www.consilium.europa.eu/en/meetings/european-council/2025/03/20/" </w:instrText>
      </w:r>
      <w:r>
        <w:fldChar w:fldCharType="separate"/>
      </w:r>
      <w:r w:rsidRPr="00370C80">
        <w:rPr>
          <w:rStyle w:val="Hyperlink"/>
        </w:rPr>
        <w:t>https://www.consilium.europa.eu/en/meetings/european-council/2025/03/20/</w:t>
      </w:r>
      <w:r>
        <w:fldChar w:fldCharType="end"/>
      </w: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EC2795"/>
    <w:multiLevelType w:val="hybridMultilevel"/>
    <w:tmpl w:val="6F8E285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16A57CBE"/>
    <w:multiLevelType w:val="hybridMultilevel"/>
    <w:tmpl w:val="DD78EE54"/>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92D0930"/>
    <w:multiLevelType w:val="hybridMultilevel"/>
    <w:tmpl w:val="EEA01AF8"/>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1B6810AC"/>
    <w:multiLevelType w:val="hybridMultilevel"/>
    <w:tmpl w:val="9E56E9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305F7814"/>
    <w:multiLevelType w:val="hybridMultilevel"/>
    <w:tmpl w:val="BA82955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3AD54AC0"/>
    <w:multiLevelType w:val="hybridMultilevel"/>
    <w:tmpl w:val="EA88252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4F4F4657"/>
    <w:multiLevelType w:val="hybridMultilevel"/>
    <w:tmpl w:val="769A97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26A72B3"/>
    <w:multiLevelType w:val="hybridMultilevel"/>
    <w:tmpl w:val="3B2C576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5C073921"/>
    <w:multiLevelType w:val="hybridMultilevel"/>
    <w:tmpl w:val="ED1870D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5FF50D0F"/>
    <w:multiLevelType w:val="hybridMultilevel"/>
    <w:tmpl w:val="E468149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61C93626"/>
    <w:multiLevelType w:val="hybridMultilevel"/>
    <w:tmpl w:val="3BA207AC"/>
    <w:lvl w:ilvl="0">
      <w:start w:val="1"/>
      <w:numFmt w:val="bullet"/>
      <w:lvlText w:val=""/>
      <w:lvlJc w:val="left"/>
      <w:pPr>
        <w:ind w:left="720" w:hanging="360"/>
      </w:pPr>
      <w:rPr>
        <w:rFonts w:ascii="Symbol" w:hAnsi="Symbol" w:hint="default"/>
      </w:rPr>
    </w:lvl>
    <w:lvl w:ilvl="1">
      <w:start w:val="0"/>
      <w:numFmt w:val="bullet"/>
      <w:lvlText w:val="•"/>
      <w:lvlJc w:val="left"/>
      <w:pPr>
        <w:ind w:left="1440" w:hanging="360"/>
      </w:pPr>
      <w:rPr>
        <w:rFonts w:ascii="Aptos" w:hAnsi="Aptos" w:eastAsiaTheme="minorHAnsi" w:cstheme="minorBidi"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63B02F39"/>
    <w:multiLevelType w:val="hybridMultilevel"/>
    <w:tmpl w:val="489A991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2">
    <w:nsid w:val="643E7723"/>
    <w:multiLevelType w:val="hybridMultilevel"/>
    <w:tmpl w:val="5C2C8FE4"/>
    <w:lvl w:ilvl="0">
      <w:start w:val="0"/>
      <w:numFmt w:val="bullet"/>
      <w:lvlText w:val="•"/>
      <w:lvlJc w:val="left"/>
      <w:pPr>
        <w:ind w:left="360" w:hanging="360"/>
      </w:pPr>
      <w:rPr>
        <w:rFonts w:ascii="Aptos" w:hAnsi="Aptos" w:eastAsiaTheme="minorHAnsi" w:cstheme="minorBidi"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11"/>
  </w:num>
  <w:num w:numId="2">
    <w:abstractNumId w:val="1"/>
  </w:num>
  <w:num w:numId="3">
    <w:abstractNumId w:val="10"/>
  </w:num>
  <w:num w:numId="4">
    <w:abstractNumId w:val="9"/>
  </w:num>
  <w:num w:numId="5">
    <w:abstractNumId w:val="12"/>
  </w:num>
  <w:num w:numId="6">
    <w:abstractNumId w:val="2"/>
  </w:num>
  <w:num w:numId="7">
    <w:abstractNumId w:val="7"/>
  </w:num>
  <w:num w:numId="8">
    <w:abstractNumId w:val="0"/>
  </w:num>
  <w:num w:numId="9">
    <w:abstractNumId w:val="5"/>
  </w:num>
  <w:num w:numId="10">
    <w:abstractNumId w:val="8"/>
  </w:num>
  <w:num w:numId="11">
    <w:abstractNumId w:val="3"/>
  </w:num>
  <w:num w:numId="12">
    <w:abstractNumId w:val="6"/>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A146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146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46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46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46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46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46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46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46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46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146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46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46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46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46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46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46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46EF"/>
    <w:rPr>
      <w:rFonts w:eastAsiaTheme="majorEastAsia" w:cstheme="majorBidi"/>
      <w:color w:val="272727" w:themeColor="text1" w:themeTint="D8"/>
    </w:rPr>
  </w:style>
  <w:style w:type="paragraph" w:styleId="Title">
    <w:name w:val="Title"/>
    <w:basedOn w:val="Normal"/>
    <w:next w:val="Normal"/>
    <w:link w:val="TitleChar"/>
    <w:uiPriority w:val="10"/>
    <w:qFormat/>
    <w:rsid w:val="00A146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46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46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46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46EF"/>
    <w:pPr>
      <w:spacing w:before="160"/>
      <w:jc w:val="center"/>
    </w:pPr>
    <w:rPr>
      <w:i/>
      <w:iCs/>
      <w:color w:val="404040" w:themeColor="text1" w:themeTint="BF"/>
    </w:rPr>
  </w:style>
  <w:style w:type="character" w:customStyle="1" w:styleId="QuoteChar">
    <w:name w:val="Quote Char"/>
    <w:basedOn w:val="DefaultParagraphFont"/>
    <w:link w:val="Quote"/>
    <w:uiPriority w:val="29"/>
    <w:rsid w:val="00A146EF"/>
    <w:rPr>
      <w:i/>
      <w:iCs/>
      <w:color w:val="404040" w:themeColor="text1" w:themeTint="BF"/>
    </w:rPr>
  </w:style>
  <w:style w:type="paragraph" w:styleId="ListParagraph">
    <w:name w:val="List Paragraph"/>
    <w:basedOn w:val="Normal"/>
    <w:uiPriority w:val="34"/>
    <w:qFormat/>
    <w:rsid w:val="00A146EF"/>
    <w:pPr>
      <w:ind w:left="720"/>
      <w:contextualSpacing/>
    </w:pPr>
  </w:style>
  <w:style w:type="character" w:styleId="IntenseEmphasis">
    <w:name w:val="Intense Emphasis"/>
    <w:basedOn w:val="DefaultParagraphFont"/>
    <w:uiPriority w:val="21"/>
    <w:qFormat/>
    <w:rsid w:val="00A146EF"/>
    <w:rPr>
      <w:i/>
      <w:iCs/>
      <w:color w:val="0F4761" w:themeColor="accent1" w:themeShade="BF"/>
    </w:rPr>
  </w:style>
  <w:style w:type="paragraph" w:styleId="IntenseQuote">
    <w:name w:val="Intense Quote"/>
    <w:basedOn w:val="Normal"/>
    <w:next w:val="Normal"/>
    <w:link w:val="IntenseQuoteChar"/>
    <w:uiPriority w:val="30"/>
    <w:qFormat/>
    <w:rsid w:val="00A146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46EF"/>
    <w:rPr>
      <w:i/>
      <w:iCs/>
      <w:color w:val="0F4761" w:themeColor="accent1" w:themeShade="BF"/>
    </w:rPr>
  </w:style>
  <w:style w:type="character" w:styleId="IntenseReference">
    <w:name w:val="Intense Reference"/>
    <w:basedOn w:val="DefaultParagraphFont"/>
    <w:uiPriority w:val="32"/>
    <w:qFormat/>
    <w:rsid w:val="00A146EF"/>
    <w:rPr>
      <w:b/>
      <w:bCs/>
      <w:smallCaps/>
      <w:color w:val="0F4761" w:themeColor="accent1" w:themeShade="BF"/>
      <w:spacing w:val="5"/>
    </w:rPr>
  </w:style>
  <w:style w:type="paragraph" w:styleId="NoSpacing">
    <w:name w:val="No Spacing"/>
    <w:uiPriority w:val="1"/>
    <w:qFormat/>
    <w:rsid w:val="001D5F11"/>
    <w:pPr>
      <w:spacing w:after="0" w:line="240" w:lineRule="auto"/>
    </w:pPr>
  </w:style>
  <w:style w:type="paragraph" w:styleId="FootnoteText">
    <w:name w:val="footnote text"/>
    <w:basedOn w:val="Normal"/>
    <w:link w:val="FootnoteTextChar"/>
    <w:uiPriority w:val="99"/>
    <w:semiHidden/>
    <w:unhideWhenUsed/>
    <w:rsid w:val="00502C7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02C7D"/>
    <w:rPr>
      <w:sz w:val="20"/>
      <w:szCs w:val="20"/>
    </w:rPr>
  </w:style>
  <w:style w:type="character" w:styleId="FootnoteReference">
    <w:name w:val="footnote reference"/>
    <w:basedOn w:val="DefaultParagraphFont"/>
    <w:uiPriority w:val="99"/>
    <w:semiHidden/>
    <w:unhideWhenUsed/>
    <w:rsid w:val="00502C7D"/>
    <w:rPr>
      <w:vertAlign w:val="superscript"/>
    </w:rPr>
  </w:style>
  <w:style w:type="character" w:styleId="Hyperlink">
    <w:name w:val="Hyperlink"/>
    <w:basedOn w:val="DefaultParagraphFont"/>
    <w:uiPriority w:val="99"/>
    <w:unhideWhenUsed/>
    <w:rsid w:val="00502C7D"/>
    <w:rPr>
      <w:color w:val="467886" w:themeColor="hyperlink"/>
      <w:u w:val="single"/>
    </w:rPr>
  </w:style>
  <w:style w:type="paragraph" w:styleId="Header">
    <w:name w:val="header"/>
    <w:basedOn w:val="Normal"/>
    <w:link w:val="HeaderChar"/>
    <w:uiPriority w:val="99"/>
    <w:unhideWhenUsed/>
    <w:rsid w:val="00442B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2B04"/>
  </w:style>
  <w:style w:type="paragraph" w:styleId="Footer">
    <w:name w:val="footer"/>
    <w:basedOn w:val="Normal"/>
    <w:link w:val="FooterChar"/>
    <w:uiPriority w:val="99"/>
    <w:unhideWhenUsed/>
    <w:rsid w:val="00442B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2B04"/>
  </w:style>
  <w:style w:type="character" w:customStyle="1" w:styleId="UnresolvedMention1">
    <w:name w:val="Unresolved Mention1"/>
    <w:basedOn w:val="DefaultParagraphFont"/>
    <w:uiPriority w:val="99"/>
    <w:semiHidden/>
    <w:unhideWhenUsed/>
    <w:rsid w:val="004D44EB"/>
    <w:rPr>
      <w:color w:val="605E5C"/>
      <w:shd w:val="clear" w:color="auto" w:fill="E1DFDD"/>
    </w:rPr>
  </w:style>
  <w:style w:type="character" w:styleId="CommentReference">
    <w:name w:val="annotation reference"/>
    <w:basedOn w:val="DefaultParagraphFont"/>
    <w:uiPriority w:val="99"/>
    <w:semiHidden/>
    <w:unhideWhenUsed/>
    <w:rsid w:val="00E63AF7"/>
    <w:rPr>
      <w:sz w:val="16"/>
      <w:szCs w:val="16"/>
    </w:rPr>
  </w:style>
  <w:style w:type="paragraph" w:styleId="CommentText">
    <w:name w:val="annotation text"/>
    <w:basedOn w:val="Normal"/>
    <w:link w:val="CommentTextChar"/>
    <w:uiPriority w:val="99"/>
    <w:unhideWhenUsed/>
    <w:rsid w:val="00E63AF7"/>
    <w:pPr>
      <w:spacing w:line="240" w:lineRule="auto"/>
    </w:pPr>
    <w:rPr>
      <w:sz w:val="20"/>
      <w:szCs w:val="20"/>
    </w:rPr>
  </w:style>
  <w:style w:type="character" w:customStyle="1" w:styleId="CommentTextChar">
    <w:name w:val="Comment Text Char"/>
    <w:basedOn w:val="DefaultParagraphFont"/>
    <w:link w:val="CommentText"/>
    <w:uiPriority w:val="99"/>
    <w:rsid w:val="00E63AF7"/>
    <w:rPr>
      <w:sz w:val="20"/>
      <w:szCs w:val="20"/>
    </w:rPr>
  </w:style>
  <w:style w:type="paragraph" w:styleId="CommentSubject">
    <w:name w:val="annotation subject"/>
    <w:basedOn w:val="CommentText"/>
    <w:next w:val="CommentText"/>
    <w:link w:val="CommentSubjectChar"/>
    <w:uiPriority w:val="99"/>
    <w:semiHidden/>
    <w:unhideWhenUsed/>
    <w:rsid w:val="00E63AF7"/>
    <w:rPr>
      <w:b/>
      <w:bCs/>
    </w:rPr>
  </w:style>
  <w:style w:type="character" w:customStyle="1" w:styleId="CommentSubjectChar">
    <w:name w:val="Comment Subject Char"/>
    <w:basedOn w:val="CommentTextChar"/>
    <w:link w:val="CommentSubject"/>
    <w:uiPriority w:val="99"/>
    <w:semiHidden/>
    <w:rsid w:val="00E63AF7"/>
    <w:rPr>
      <w:b/>
      <w:bCs/>
      <w:sz w:val="20"/>
      <w:szCs w:val="20"/>
    </w:rPr>
  </w:style>
  <w:style w:type="character" w:styleId="FollowedHyperlink">
    <w:name w:val="FollowedHyperlink"/>
    <w:basedOn w:val="DefaultParagraphFont"/>
    <w:uiPriority w:val="99"/>
    <w:semiHidden/>
    <w:unhideWhenUsed/>
    <w:rsid w:val="00CF3FAC"/>
    <w:rPr>
      <w:color w:val="96607D" w:themeColor="followedHyperlink"/>
      <w:u w:val="single"/>
    </w:rPr>
  </w:style>
  <w:style w:type="paragraph" w:styleId="NormalWeb">
    <w:name w:val="Normal (Web)"/>
    <w:basedOn w:val="Normal"/>
    <w:uiPriority w:val="99"/>
    <w:semiHidden/>
    <w:unhideWhenUsed/>
    <w:rsid w:val="00163958"/>
    <w:rPr>
      <w:rFonts w:ascii="Times New Roman" w:hAnsi="Times New Roman" w:cs="Times New Roman"/>
      <w:sz w:val="24"/>
      <w:szCs w:val="24"/>
    </w:rPr>
  </w:style>
  <w:style w:type="paragraph" w:styleId="Revision">
    <w:name w:val="Revision"/>
    <w:hidden/>
    <w:uiPriority w:val="99"/>
    <w:semiHidden/>
    <w:rsid w:val="00F50C2F"/>
    <w:pPr>
      <w:spacing w:after="0" w:line="240" w:lineRule="auto"/>
    </w:pPr>
  </w:style>
  <w:style w:type="character" w:customStyle="1" w:styleId="normaltextrun">
    <w:name w:val="normaltextrun"/>
    <w:basedOn w:val="DefaultParagraphFont"/>
    <w:rsid w:val="003814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2f8f1f74-816c-41d4-89c2-c2794bb9eec3" xsi:nil="true"/>
    <lcf76f155ced4ddcb4097134ff3c332f xmlns="27ddd29d-5a78-4f21-a329-321c984e50c7">
      <Terms xmlns="http://schemas.microsoft.com/office/infopath/2007/PartnerControls"/>
    </lcf76f155ced4ddcb4097134ff3c332f>
    <Date xmlns="27ddd29d-5a78-4f21-a329-321c984e50c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E41268FC166824DB497E06A8E8D5008" ma:contentTypeVersion="19" ma:contentTypeDescription="Create a new document." ma:contentTypeScope="" ma:versionID="7eaca42e78c218835e601c156525d5f1">
  <xsd:schema xmlns:xsd="http://www.w3.org/2001/XMLSchema" xmlns:xs="http://www.w3.org/2001/XMLSchema" xmlns:p="http://schemas.microsoft.com/office/2006/metadata/properties" xmlns:ns2="2f8f1f74-816c-41d4-89c2-c2794bb9eec3" xmlns:ns3="27ddd29d-5a78-4f21-a329-321c984e50c7" targetNamespace="http://schemas.microsoft.com/office/2006/metadata/properties" ma:root="true" ma:fieldsID="c33b80a368ca599cc1307a107c967ce0" ns2:_="" ns3:_="">
    <xsd:import namespace="2f8f1f74-816c-41d4-89c2-c2794bb9eec3"/>
    <xsd:import namespace="27ddd29d-5a78-4f21-a329-321c984e50c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Dat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f1f74-816c-41d4-89c2-c2794bb9eec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9b21790-b03d-4a7e-95a7-23863c55c57c}" ma:internalName="TaxCatchAll" ma:showField="CatchAllData" ma:web="2f8f1f74-816c-41d4-89c2-c2794bb9eec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7ddd29d-5a78-4f21-a329-321c984e50c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b4cf797-53ba-47f1-bc44-5d4d7efe733e" ma:termSetId="09814cd3-568e-fe90-9814-8d621ff8fb84" ma:anchorId="fba54fb3-c3e1-fe81-a776-ca4b69148c4d" ma:open="true" ma:isKeyword="false">
      <xsd:complexType>
        <xsd:sequence>
          <xsd:element ref="pc:Terms" minOccurs="0" maxOccurs="1"/>
        </xsd:sequence>
      </xsd:complexType>
    </xsd:element>
    <xsd:element name="Date" ma:index="24" nillable="true" ma:displayName="Date" ma:format="DateOnly" ma:internalName="Date">
      <xsd:simpleType>
        <xsd:restriction base="dms:DateTim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227C1D-B7C9-4BD5-83B1-5803BB7D39AF}">
  <ds:schemaRefs>
    <ds:schemaRef ds:uri="http://schemas.openxmlformats.org/officeDocument/2006/bibliography"/>
  </ds:schemaRefs>
</ds:datastoreItem>
</file>

<file path=customXml/itemProps2.xml><?xml version="1.0" encoding="utf-8"?>
<ds:datastoreItem xmlns:ds="http://schemas.openxmlformats.org/officeDocument/2006/customXml" ds:itemID="{80EE40E3-91E1-4780-84DA-BD8544EE3D31}">
  <ds:schemaRefs>
    <ds:schemaRef ds:uri="http://schemas.microsoft.com/office/2006/metadata/properties"/>
    <ds:schemaRef ds:uri="http://schemas.microsoft.com/office/infopath/2007/PartnerControls"/>
    <ds:schemaRef ds:uri="2f8f1f74-816c-41d4-89c2-c2794bb9eec3"/>
    <ds:schemaRef ds:uri="27ddd29d-5a78-4f21-a329-321c984e50c7"/>
  </ds:schemaRefs>
</ds:datastoreItem>
</file>

<file path=customXml/itemProps3.xml><?xml version="1.0" encoding="utf-8"?>
<ds:datastoreItem xmlns:ds="http://schemas.openxmlformats.org/officeDocument/2006/customXml" ds:itemID="{56522FA5-F261-42DF-AB43-57D14A2DC1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8f1f74-816c-41d4-89c2-c2794bb9eec3"/>
    <ds:schemaRef ds:uri="27ddd29d-5a78-4f21-a329-321c984e50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7EAB4F-03DF-4DB6-AC05-2483BDF337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