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3.4.0.0 -->
  <w:body>
    <w:p w:rsidR="0047345B" w:rsidRPr="0047345B" w:rsidP="0047345B">
      <w:pPr>
        <w:shd w:val="clear" w:color="auto" w:fill="FFFFFF"/>
        <w:spacing w:after="200"/>
        <w:rPr>
          <w:rFonts w:ascii="Verdana" w:hAnsi="Verdana"/>
          <w:b/>
          <w:bCs/>
          <w:sz w:val="28"/>
          <w:szCs w:val="28"/>
        </w:rPr>
      </w:pPr>
      <w:r>
        <w:rPr>
          <w:rFonts w:ascii="Verdana" w:hAnsi="Verdana"/>
          <w:b/>
          <w:bCs/>
          <w:sz w:val="28"/>
          <w:szCs w:val="28"/>
        </w:rPr>
        <w:t xml:space="preserve">Nick Scott, Markus Gehring and Aastha Kapoor, Centre for Climate Engagement </w:t>
      </w:r>
      <w:r w:rsidRPr="00146BEA">
        <w:rPr>
          <w:rFonts w:ascii="Verdana" w:hAnsi="Verdana"/>
          <w:b/>
          <w:bCs/>
          <w:sz w:val="28"/>
          <w:szCs w:val="28"/>
        </w:rPr>
        <w:t>– Written Evidence (RES00</w:t>
      </w:r>
      <w:r>
        <w:rPr>
          <w:rFonts w:ascii="Verdana" w:hAnsi="Verdana"/>
          <w:b/>
          <w:bCs/>
          <w:sz w:val="28"/>
          <w:szCs w:val="28"/>
        </w:rPr>
        <w:t>54</w:t>
      </w:r>
      <w:r w:rsidRPr="00146BEA">
        <w:rPr>
          <w:rFonts w:ascii="Verdana" w:hAnsi="Verdana"/>
          <w:b/>
          <w:bCs/>
          <w:sz w:val="28"/>
          <w:szCs w:val="28"/>
        </w:rPr>
        <w:t>)</w:t>
      </w:r>
    </w:p>
    <w:p w:rsidR="0047345B" w:rsidRPr="0047345B" w:rsidP="00EF036B">
      <w:pPr>
        <w:pStyle w:val="Heading2"/>
        <w:jc w:val="center"/>
        <w:rPr>
          <w:rFonts w:ascii="Verdana" w:hAnsi="Verdana"/>
          <w:color w:val="auto"/>
          <w:sz w:val="24"/>
          <w:szCs w:val="24"/>
        </w:rPr>
      </w:pPr>
      <w:r w:rsidRPr="0047345B">
        <w:rPr>
          <w:rFonts w:ascii="Verdana" w:hAnsi="Verdana"/>
          <w:color w:val="auto"/>
          <w:sz w:val="24"/>
          <w:szCs w:val="24"/>
        </w:rPr>
        <w:t>Response to House of Lords call for evidence on the UK-EU Reset</w:t>
      </w:r>
    </w:p>
    <w:p w:rsidR="0047345B" w:rsidRPr="0047345B" w:rsidP="00EF036B">
      <w:pPr>
        <w:pStyle w:val="Heading3"/>
        <w:jc w:val="center"/>
        <w:rPr>
          <w:rFonts w:ascii="Verdana" w:hAnsi="Verdana"/>
          <w:b/>
          <w:bCs/>
          <w:color w:val="auto"/>
          <w:sz w:val="24"/>
          <w:szCs w:val="24"/>
        </w:rPr>
      </w:pPr>
      <w:r w:rsidRPr="0047345B">
        <w:rPr>
          <w:rFonts w:ascii="Verdana" w:hAnsi="Verdana"/>
          <w:b/>
          <w:bCs/>
          <w:color w:val="auto"/>
          <w:sz w:val="24"/>
          <w:szCs w:val="24"/>
        </w:rPr>
        <w:t>Centre for Climate Engagement</w:t>
      </w:r>
    </w:p>
    <w:p w:rsidR="0047345B" w:rsidRPr="0047345B" w:rsidP="00EF036B">
      <w:pPr>
        <w:jc w:val="center"/>
        <w:rPr>
          <w:rFonts w:ascii="Verdana" w:hAnsi="Verdana"/>
        </w:rPr>
      </w:pPr>
      <w:r w:rsidRPr="0047345B">
        <w:rPr>
          <w:rFonts w:ascii="Verdana" w:hAnsi="Verdana"/>
        </w:rPr>
        <w:t>Nick Scott, Markus Gehring, and Aastha Kapoo</w:t>
      </w:r>
      <w:r w:rsidRPr="0047345B">
        <w:rPr>
          <w:rFonts w:ascii="Verdana" w:hAnsi="Verdana"/>
        </w:rPr>
        <w:t>r</w:t>
      </w:r>
    </w:p>
    <w:p w:rsidR="0047345B" w:rsidRPr="0047345B" w:rsidP="00104D94">
      <w:pPr>
        <w:jc w:val="both"/>
        <w:rPr>
          <w:rFonts w:ascii="Verdana" w:hAnsi="Verdana"/>
          <w:b/>
          <w:bCs/>
        </w:rPr>
      </w:pPr>
    </w:p>
    <w:p w:rsidR="0047345B" w:rsidRPr="0047345B" w:rsidP="00104D94">
      <w:pPr>
        <w:jc w:val="both"/>
        <w:rPr>
          <w:rFonts w:ascii="Verdana" w:hAnsi="Verdana"/>
          <w:b/>
          <w:bCs/>
        </w:rPr>
      </w:pPr>
      <w:r w:rsidRPr="0047345B">
        <w:rPr>
          <w:rFonts w:ascii="Verdana" w:hAnsi="Verdana"/>
          <w:b/>
          <w:bCs/>
        </w:rPr>
        <w:t xml:space="preserve">Background </w:t>
      </w:r>
    </w:p>
    <w:p w:rsidR="0047345B" w:rsidRPr="0047345B" w:rsidP="00104D94">
      <w:pPr>
        <w:jc w:val="both"/>
        <w:rPr>
          <w:rFonts w:ascii="Verdana" w:hAnsi="Verdana"/>
        </w:rPr>
      </w:pPr>
      <w:r w:rsidRPr="0047345B">
        <w:rPr>
          <w:rFonts w:ascii="Verdana" w:hAnsi="Verdana"/>
        </w:rPr>
        <w:t>This submission addresses links between the UK</w:t>
      </w:r>
      <w:r w:rsidRPr="0047345B">
        <w:rPr>
          <w:rFonts w:ascii="Verdana" w:hAnsi="Verdana"/>
        </w:rPr>
        <w:t>-EU</w:t>
      </w:r>
      <w:r w:rsidRPr="0047345B">
        <w:rPr>
          <w:rFonts w:ascii="Verdana" w:hAnsi="Verdana"/>
        </w:rPr>
        <w:t xml:space="preserve"> reset and climate policy, </w:t>
      </w:r>
      <w:r w:rsidRPr="0047345B">
        <w:rPr>
          <w:rFonts w:ascii="Verdana" w:hAnsi="Verdana"/>
        </w:rPr>
        <w:t>in particular how</w:t>
      </w:r>
      <w:r w:rsidRPr="0047345B">
        <w:rPr>
          <w:rFonts w:ascii="Verdana" w:hAnsi="Verdana"/>
        </w:rPr>
        <w:t xml:space="preserve"> the UK can ensure that carbon pricing mechanisms do not become a barrier to trade with the EU</w:t>
      </w:r>
      <w:r w:rsidRPr="0047345B">
        <w:rPr>
          <w:rFonts w:ascii="Verdana" w:hAnsi="Verdana"/>
        </w:rPr>
        <w:t xml:space="preserve">. </w:t>
      </w:r>
      <w:r w:rsidRPr="0047345B">
        <w:rPr>
          <w:rFonts w:ascii="Verdana" w:hAnsi="Verdana"/>
        </w:rPr>
        <w:t>In</w:t>
      </w:r>
      <w:r w:rsidRPr="0047345B">
        <w:rPr>
          <w:rFonts w:ascii="Verdana" w:hAnsi="Verdana"/>
        </w:rPr>
        <w:t xml:space="preserve"> doing s</w:t>
      </w:r>
      <w:r w:rsidRPr="0047345B">
        <w:rPr>
          <w:rFonts w:ascii="Verdana" w:hAnsi="Verdana"/>
        </w:rPr>
        <w:t xml:space="preserve">o, this submission </w:t>
      </w:r>
      <w:r w:rsidRPr="0047345B">
        <w:rPr>
          <w:rFonts w:ascii="Verdana" w:hAnsi="Verdana"/>
        </w:rPr>
        <w:t xml:space="preserve">provides information </w:t>
      </w:r>
      <w:r w:rsidRPr="0047345B">
        <w:rPr>
          <w:rFonts w:ascii="Verdana" w:hAnsi="Verdana"/>
        </w:rPr>
        <w:t>relevant to</w:t>
      </w:r>
      <w:r w:rsidRPr="0047345B">
        <w:rPr>
          <w:rFonts w:ascii="Verdana" w:hAnsi="Verdana"/>
        </w:rPr>
        <w:t xml:space="preserve"> </w:t>
      </w:r>
      <w:r w:rsidRPr="0047345B">
        <w:rPr>
          <w:rFonts w:ascii="Verdana" w:hAnsi="Verdana"/>
          <w:b/>
          <w:bCs/>
        </w:rPr>
        <w:t>Questions 1, 10, and 13</w:t>
      </w:r>
      <w:r w:rsidRPr="0047345B">
        <w:rPr>
          <w:rFonts w:ascii="Verdana" w:hAnsi="Verdana"/>
        </w:rPr>
        <w:t xml:space="preserve"> in the call for evidence. </w:t>
      </w:r>
      <w:r w:rsidRPr="0047345B">
        <w:rPr>
          <w:rFonts w:ascii="Verdana" w:hAnsi="Verdana"/>
        </w:rPr>
        <w:t xml:space="preserve"> </w:t>
      </w:r>
      <w:r w:rsidRPr="0047345B">
        <w:rPr>
          <w:rFonts w:ascii="Verdana" w:hAnsi="Verdana"/>
        </w:rPr>
        <w:t>Respondents are legal researchers associated with the University of Cambridge and the Centre</w:t>
      </w:r>
      <w:r w:rsidRPr="0047345B">
        <w:rPr>
          <w:rFonts w:ascii="Verdana" w:hAnsi="Verdana"/>
        </w:rPr>
        <w:t xml:space="preserve"> for Climate Engagement</w:t>
      </w:r>
      <w:r w:rsidRPr="0047345B">
        <w:rPr>
          <w:rFonts w:ascii="Verdana" w:hAnsi="Verdana"/>
        </w:rPr>
        <w:t>.</w:t>
      </w:r>
    </w:p>
    <w:p w:rsidR="0047345B" w:rsidRPr="0047345B" w:rsidP="00104D94">
      <w:pPr>
        <w:jc w:val="both"/>
        <w:rPr>
          <w:rFonts w:ascii="Verdana" w:hAnsi="Verdana"/>
          <w:b/>
          <w:bCs/>
        </w:rPr>
      </w:pPr>
      <w:r w:rsidRPr="0047345B">
        <w:rPr>
          <w:rFonts w:ascii="Verdana" w:hAnsi="Verdana"/>
          <w:b/>
          <w:bCs/>
        </w:rPr>
        <w:t>Benefits of linking the UK and EU ETS</w:t>
      </w:r>
    </w:p>
    <w:p w:rsidR="0047345B" w:rsidRPr="0047345B" w:rsidP="00104D94">
      <w:pPr>
        <w:jc w:val="both"/>
        <w:rPr>
          <w:rFonts w:ascii="Verdana" w:hAnsi="Verdana"/>
        </w:rPr>
      </w:pPr>
      <w:r w:rsidRPr="0047345B">
        <w:rPr>
          <w:rFonts w:ascii="Verdana" w:hAnsi="Verdana"/>
        </w:rPr>
        <w:t>Aligning</w:t>
      </w:r>
      <w:r w:rsidRPr="0047345B">
        <w:rPr>
          <w:rFonts w:ascii="Verdana" w:hAnsi="Verdana"/>
        </w:rPr>
        <w:t xml:space="preserve"> UK</w:t>
      </w:r>
      <w:r w:rsidRPr="0047345B">
        <w:rPr>
          <w:rFonts w:ascii="Verdana" w:hAnsi="Verdana"/>
        </w:rPr>
        <w:t xml:space="preserve"> carbon pricing measures</w:t>
      </w:r>
      <w:r w:rsidRPr="0047345B">
        <w:rPr>
          <w:rFonts w:ascii="Verdana" w:hAnsi="Verdana"/>
        </w:rPr>
        <w:t xml:space="preserve"> </w:t>
      </w:r>
      <w:r w:rsidRPr="0047345B">
        <w:rPr>
          <w:rFonts w:ascii="Verdana" w:hAnsi="Verdana"/>
        </w:rPr>
        <w:t xml:space="preserve">with similar EU instruments should be a priority for the </w:t>
      </w:r>
      <w:r w:rsidRPr="0047345B">
        <w:rPr>
          <w:rFonts w:ascii="Verdana" w:hAnsi="Verdana"/>
        </w:rPr>
        <w:t>G</w:t>
      </w:r>
      <w:r w:rsidRPr="0047345B">
        <w:rPr>
          <w:rFonts w:ascii="Verdana" w:hAnsi="Verdana"/>
        </w:rPr>
        <w:t>overnment</w:t>
      </w:r>
      <w:r w:rsidRPr="0047345B">
        <w:rPr>
          <w:rFonts w:ascii="Verdana" w:hAnsi="Verdana"/>
        </w:rPr>
        <w:t>. Linking the UK’s Emissions Trading Scheme (UK ETS) with the EU’s Emissions Trading System (EU ETS) is the most obvious, and potentially the most effective, way to do so.</w:t>
      </w:r>
      <w:r w:rsidRPr="0047345B">
        <w:rPr>
          <w:rFonts w:ascii="Verdana" w:hAnsi="Verdana"/>
        </w:rPr>
        <w:t xml:space="preserve"> </w:t>
      </w:r>
      <w:r w:rsidRPr="0047345B">
        <w:rPr>
          <w:rFonts w:ascii="Verdana" w:hAnsi="Verdana"/>
        </w:rPr>
        <w:t>Linking emissions trading systems can create more efficient</w:t>
      </w:r>
      <w:r w:rsidRPr="0047345B">
        <w:rPr>
          <w:rFonts w:ascii="Verdana" w:hAnsi="Verdana"/>
        </w:rPr>
        <w:t xml:space="preserve"> markets by reducing compliance costs and potentially mitigating volatility.</w:t>
      </w:r>
      <w:r w:rsidRPr="0047345B">
        <w:rPr>
          <w:rFonts w:ascii="Verdana" w:hAnsi="Verdana"/>
        </w:rPr>
        <w:t xml:space="preserve"> This removes</w:t>
      </w:r>
      <w:r w:rsidRPr="0047345B">
        <w:rPr>
          <w:rFonts w:ascii="Verdana" w:hAnsi="Verdana"/>
        </w:rPr>
        <w:t xml:space="preserve"> barriers to trade while also signalling a strong commitment to climate policy which is proven to be effective, and which doe</w:t>
      </w:r>
      <w:r w:rsidRPr="0047345B">
        <w:rPr>
          <w:rFonts w:ascii="Verdana" w:hAnsi="Verdana"/>
        </w:rPr>
        <w:t>s not stress public finances.</w:t>
      </w:r>
      <w:r w:rsidRPr="0047345B">
        <w:rPr>
          <w:rFonts w:ascii="Verdana" w:hAnsi="Verdana"/>
        </w:rPr>
        <w:t xml:space="preserve"> Linking poses some</w:t>
      </w:r>
      <w:r w:rsidRPr="0047345B">
        <w:rPr>
          <w:rFonts w:ascii="Verdana" w:hAnsi="Verdana"/>
        </w:rPr>
        <w:t xml:space="preserve"> challenges, </w:t>
      </w:r>
      <w:r w:rsidRPr="0047345B">
        <w:rPr>
          <w:rFonts w:ascii="Verdana" w:hAnsi="Verdana"/>
        </w:rPr>
        <w:t>including</w:t>
      </w:r>
      <w:r w:rsidRPr="0047345B">
        <w:rPr>
          <w:rFonts w:ascii="Verdana" w:hAnsi="Verdana"/>
        </w:rPr>
        <w:t xml:space="preserve"> </w:t>
      </w:r>
      <w:r w:rsidRPr="0047345B">
        <w:rPr>
          <w:rFonts w:ascii="Verdana" w:hAnsi="Verdana"/>
        </w:rPr>
        <w:t xml:space="preserve">the risk that the </w:t>
      </w:r>
      <w:r w:rsidRPr="0047345B">
        <w:rPr>
          <w:rFonts w:ascii="Verdana" w:hAnsi="Verdana"/>
        </w:rPr>
        <w:t>Go</w:t>
      </w:r>
      <w:r w:rsidRPr="0047345B">
        <w:rPr>
          <w:rFonts w:ascii="Verdana" w:hAnsi="Verdana"/>
        </w:rPr>
        <w:t>vernment may reduce its</w:t>
      </w:r>
      <w:r w:rsidRPr="0047345B">
        <w:rPr>
          <w:rFonts w:ascii="Verdana" w:hAnsi="Verdana"/>
        </w:rPr>
        <w:t xml:space="preserve"> autonomy </w:t>
      </w:r>
      <w:r w:rsidRPr="0047345B">
        <w:rPr>
          <w:rFonts w:ascii="Verdana" w:hAnsi="Verdana"/>
        </w:rPr>
        <w:t>to</w:t>
      </w:r>
      <w:r w:rsidRPr="0047345B">
        <w:rPr>
          <w:rFonts w:ascii="Verdana" w:hAnsi="Verdana"/>
        </w:rPr>
        <w:t xml:space="preserve"> shape </w:t>
      </w:r>
      <w:r w:rsidRPr="0047345B">
        <w:rPr>
          <w:rFonts w:ascii="Verdana" w:hAnsi="Verdana"/>
        </w:rPr>
        <w:t>its</w:t>
      </w:r>
      <w:r w:rsidRPr="0047345B">
        <w:rPr>
          <w:rFonts w:ascii="Verdana" w:hAnsi="Verdana"/>
        </w:rPr>
        <w:t xml:space="preserve"> own ETS policies in the future.</w:t>
      </w:r>
      <w:r w:rsidRPr="0047345B">
        <w:rPr>
          <w:rFonts w:ascii="Verdana" w:hAnsi="Verdana"/>
        </w:rPr>
        <w:t xml:space="preserve"> </w:t>
      </w:r>
      <w:r w:rsidRPr="0047345B">
        <w:rPr>
          <w:rFonts w:ascii="Verdana" w:hAnsi="Verdana"/>
        </w:rPr>
        <w:t xml:space="preserve">Linking </w:t>
      </w:r>
      <w:r w:rsidRPr="0047345B">
        <w:rPr>
          <w:rFonts w:ascii="Verdana" w:hAnsi="Verdana"/>
        </w:rPr>
        <w:t>could</w:t>
      </w:r>
      <w:r w:rsidRPr="0047345B">
        <w:rPr>
          <w:rFonts w:ascii="Verdana" w:hAnsi="Verdana"/>
        </w:rPr>
        <w:t xml:space="preserve"> also cause potential issues if one party chooses to no longer pool control</w:t>
      </w:r>
      <w:r w:rsidRPr="0047345B">
        <w:rPr>
          <w:rFonts w:ascii="Verdana" w:hAnsi="Verdana"/>
        </w:rPr>
        <w:t>,</w:t>
      </w:r>
      <w:r>
        <w:rPr>
          <w:rStyle w:val="FootnoteReference"/>
          <w:rFonts w:ascii="Verdana" w:hAnsi="Verdana"/>
        </w:rPr>
        <w:footnoteReference w:id="2"/>
      </w:r>
      <w:r w:rsidRPr="0047345B">
        <w:rPr>
          <w:rFonts w:ascii="Verdana" w:hAnsi="Verdana"/>
        </w:rPr>
        <w:t xml:space="preserve"> </w:t>
      </w:r>
      <w:r w:rsidRPr="0047345B">
        <w:rPr>
          <w:rFonts w:ascii="Verdana" w:hAnsi="Verdana"/>
        </w:rPr>
        <w:t xml:space="preserve"> </w:t>
      </w:r>
      <w:r w:rsidRPr="0047345B">
        <w:rPr>
          <w:rFonts w:ascii="Verdana" w:hAnsi="Verdana"/>
        </w:rPr>
        <w:t>or</w:t>
      </w:r>
      <w:r w:rsidRPr="0047345B">
        <w:rPr>
          <w:rFonts w:ascii="Verdana" w:hAnsi="Verdana"/>
        </w:rPr>
        <w:t xml:space="preserve"> make the UK more vulnerable to </w:t>
      </w:r>
      <w:r w:rsidRPr="0047345B">
        <w:rPr>
          <w:rFonts w:ascii="Verdana" w:hAnsi="Verdana"/>
        </w:rPr>
        <w:t>market s</w:t>
      </w:r>
      <w:r w:rsidRPr="0047345B">
        <w:rPr>
          <w:rFonts w:ascii="Verdana" w:hAnsi="Verdana"/>
        </w:rPr>
        <w:t xml:space="preserve">hocks </w:t>
      </w:r>
      <w:r w:rsidRPr="0047345B">
        <w:rPr>
          <w:rFonts w:ascii="Verdana" w:hAnsi="Verdana"/>
        </w:rPr>
        <w:t>in the EU</w:t>
      </w:r>
      <w:r w:rsidRPr="0047345B">
        <w:rPr>
          <w:rFonts w:ascii="Verdana" w:hAnsi="Verdana"/>
        </w:rPr>
        <w:t xml:space="preserve">. Any linking agreement would have to account for these issues to encourage stability. </w:t>
      </w:r>
    </w:p>
    <w:p w:rsidR="0047345B" w:rsidRPr="0047345B" w:rsidP="00104D94">
      <w:pPr>
        <w:jc w:val="both"/>
        <w:rPr>
          <w:rFonts w:ascii="Verdana" w:hAnsi="Verdana"/>
        </w:rPr>
      </w:pPr>
      <w:r w:rsidRPr="0047345B">
        <w:rPr>
          <w:rFonts w:ascii="Verdana" w:hAnsi="Verdana"/>
        </w:rPr>
        <w:t>T</w:t>
      </w:r>
      <w:r w:rsidRPr="0047345B">
        <w:rPr>
          <w:rFonts w:ascii="Verdana" w:hAnsi="Verdana"/>
        </w:rPr>
        <w:t>he Climate Change Committee</w:t>
      </w:r>
      <w:r w:rsidRPr="0047345B">
        <w:rPr>
          <w:rFonts w:ascii="Verdana" w:hAnsi="Verdana"/>
        </w:rPr>
        <w:t xml:space="preserve">’s </w:t>
      </w:r>
      <w:r w:rsidRPr="0047345B">
        <w:rPr>
          <w:rFonts w:ascii="Verdana" w:hAnsi="Verdana"/>
        </w:rPr>
        <w:t xml:space="preserve">2019 </w:t>
      </w:r>
      <w:r w:rsidRPr="0047345B">
        <w:rPr>
          <w:rFonts w:ascii="Verdana" w:hAnsi="Verdana"/>
        </w:rPr>
        <w:t xml:space="preserve">report </w:t>
      </w:r>
      <w:r w:rsidRPr="0047345B">
        <w:rPr>
          <w:rFonts w:ascii="Verdana" w:hAnsi="Verdana"/>
        </w:rPr>
        <w:t>supports linking the UK and EU ETSs</w:t>
      </w:r>
      <w:r w:rsidRPr="0047345B">
        <w:rPr>
          <w:rFonts w:ascii="Verdana" w:hAnsi="Verdana"/>
        </w:rPr>
        <w:t>.</w:t>
      </w:r>
      <w:r>
        <w:rPr>
          <w:rStyle w:val="FootnoteReference"/>
          <w:rFonts w:ascii="Verdana" w:hAnsi="Verdana"/>
        </w:rPr>
        <w:footnoteReference w:id="3"/>
      </w:r>
      <w:r w:rsidRPr="0047345B">
        <w:rPr>
          <w:rFonts w:ascii="Verdana" w:hAnsi="Verdana"/>
        </w:rPr>
        <w:t xml:space="preserve"> This was conditional </w:t>
      </w:r>
      <w:r w:rsidRPr="0047345B">
        <w:rPr>
          <w:rFonts w:ascii="Verdana" w:hAnsi="Verdana"/>
        </w:rPr>
        <w:t>on</w:t>
      </w:r>
      <w:r w:rsidRPr="0047345B">
        <w:rPr>
          <w:rFonts w:ascii="Verdana" w:hAnsi="Verdana"/>
        </w:rPr>
        <w:t xml:space="preserve"> there being no substantive policy deviation between</w:t>
      </w:r>
      <w:r w:rsidRPr="0047345B">
        <w:rPr>
          <w:rFonts w:ascii="Verdana" w:hAnsi="Verdana"/>
        </w:rPr>
        <w:t xml:space="preserve"> </w:t>
      </w:r>
      <w:r w:rsidRPr="0047345B">
        <w:rPr>
          <w:rFonts w:ascii="Verdana" w:hAnsi="Verdana"/>
        </w:rPr>
        <w:t xml:space="preserve">them. </w:t>
      </w:r>
      <w:r w:rsidRPr="0047345B">
        <w:rPr>
          <w:rFonts w:ascii="Verdana" w:hAnsi="Verdana"/>
        </w:rPr>
        <w:t>Other linking agreements and negotiations provide a useful example for the UK, including the EU’s existing linkage agreement with Switzerland.</w:t>
      </w:r>
      <w:r>
        <w:rPr>
          <w:rStyle w:val="FootnoteReference"/>
          <w:rFonts w:ascii="Verdana" w:hAnsi="Verdana"/>
        </w:rPr>
        <w:footnoteReference w:id="4"/>
      </w:r>
      <w:r w:rsidRPr="0047345B">
        <w:rPr>
          <w:rFonts w:ascii="Verdana" w:hAnsi="Verdana"/>
        </w:rPr>
        <w:t xml:space="preserve">  </w:t>
      </w:r>
      <w:r w:rsidRPr="0047345B">
        <w:rPr>
          <w:rFonts w:ascii="Verdana" w:hAnsi="Verdana"/>
        </w:rPr>
        <w:t>The Government could pursue an agreement which allows more flexibility than the EU-Switzerland</w:t>
      </w:r>
      <w:r w:rsidRPr="0047345B">
        <w:rPr>
          <w:rFonts w:ascii="Verdana" w:hAnsi="Verdana"/>
        </w:rPr>
        <w:t xml:space="preserve"> </w:t>
      </w:r>
      <w:r w:rsidRPr="0047345B">
        <w:rPr>
          <w:rFonts w:ascii="Verdana" w:hAnsi="Verdana"/>
        </w:rPr>
        <w:t>agreement.</w:t>
      </w:r>
      <w:r w:rsidRPr="0047345B">
        <w:rPr>
          <w:rFonts w:ascii="Verdana" w:hAnsi="Verdana"/>
        </w:rPr>
        <w:t xml:space="preserve"> </w:t>
      </w:r>
      <w:r w:rsidRPr="0047345B">
        <w:rPr>
          <w:rFonts w:ascii="Verdana" w:hAnsi="Verdana"/>
        </w:rPr>
        <w:t xml:space="preserve">Further, there is a legal basis to linking these systems. </w:t>
      </w:r>
      <w:r w:rsidRPr="0047345B">
        <w:rPr>
          <w:rFonts w:ascii="Verdana" w:hAnsi="Verdana"/>
        </w:rPr>
        <w:t xml:space="preserve">The </w:t>
      </w:r>
      <w:r w:rsidRPr="0047345B">
        <w:rPr>
          <w:rFonts w:ascii="Verdana" w:hAnsi="Verdana"/>
        </w:rPr>
        <w:t>EU ETS Directive</w:t>
      </w:r>
      <w:r w:rsidRPr="0047345B">
        <w:rPr>
          <w:rFonts w:ascii="Verdana" w:hAnsi="Verdana"/>
        </w:rPr>
        <w:t xml:space="preserve"> allows linking provided both systems are ‘compatible, mandatory and have absolute emission caps’.</w:t>
      </w:r>
      <w:r>
        <w:rPr>
          <w:rStyle w:val="FootnoteReference"/>
          <w:rFonts w:ascii="Verdana" w:hAnsi="Verdana"/>
        </w:rPr>
        <w:footnoteReference w:id="5"/>
      </w:r>
      <w:r w:rsidRPr="0047345B">
        <w:rPr>
          <w:rFonts w:ascii="Verdana" w:hAnsi="Verdana"/>
        </w:rPr>
        <w:t xml:space="preserve"> </w:t>
      </w:r>
      <w:r w:rsidRPr="0047345B">
        <w:rPr>
          <w:rFonts w:ascii="Verdana" w:hAnsi="Verdana"/>
        </w:rPr>
        <w:t>Additionally</w:t>
      </w:r>
      <w:r w:rsidRPr="0047345B">
        <w:rPr>
          <w:rFonts w:ascii="Verdana" w:hAnsi="Verdana"/>
        </w:rPr>
        <w:t xml:space="preserve">, </w:t>
      </w:r>
      <w:r w:rsidRPr="0047345B">
        <w:rPr>
          <w:rFonts w:ascii="Verdana" w:hAnsi="Verdana"/>
        </w:rPr>
        <w:t xml:space="preserve">Article 25(1) of the  Directive allows for ‘mutual </w:t>
      </w:r>
      <w:r w:rsidRPr="0047345B">
        <w:rPr>
          <w:rFonts w:ascii="Verdana" w:hAnsi="Verdana"/>
        </w:rPr>
        <w:t>recognition of allowances’</w:t>
      </w:r>
      <w:r w:rsidRPr="0047345B">
        <w:rPr>
          <w:rFonts w:ascii="Verdana" w:hAnsi="Verdana"/>
        </w:rPr>
        <w:t xml:space="preserve"> with countries that </w:t>
      </w:r>
      <w:r w:rsidRPr="0047345B">
        <w:rPr>
          <w:rFonts w:ascii="Verdana" w:hAnsi="Verdana"/>
        </w:rPr>
        <w:t>were</w:t>
      </w:r>
      <w:r w:rsidRPr="0047345B">
        <w:rPr>
          <w:rFonts w:ascii="Verdana" w:hAnsi="Verdana"/>
        </w:rPr>
        <w:t xml:space="preserve"> </w:t>
      </w:r>
      <w:r w:rsidRPr="0047345B">
        <w:rPr>
          <w:rFonts w:ascii="Verdana" w:hAnsi="Verdana"/>
        </w:rPr>
        <w:t>listed in</w:t>
      </w:r>
      <w:r w:rsidRPr="0047345B">
        <w:rPr>
          <w:rFonts w:ascii="Verdana" w:hAnsi="Verdana"/>
        </w:rPr>
        <w:t xml:space="preserve"> Annex B of the Kyoto Protocol.</w:t>
      </w:r>
      <w:r>
        <w:rPr>
          <w:rStyle w:val="FootnoteReference"/>
          <w:rFonts w:ascii="Verdana" w:hAnsi="Verdana"/>
        </w:rPr>
        <w:footnoteReference w:id="6"/>
      </w:r>
      <w:r w:rsidRPr="0047345B">
        <w:rPr>
          <w:rFonts w:ascii="Verdana" w:hAnsi="Verdana"/>
        </w:rPr>
        <w:t xml:space="preserve"> </w:t>
      </w:r>
      <w:r w:rsidRPr="0047345B">
        <w:rPr>
          <w:rFonts w:ascii="Verdana" w:hAnsi="Verdana"/>
        </w:rPr>
        <w:t xml:space="preserve">Article </w:t>
      </w:r>
      <w:r w:rsidRPr="0047345B">
        <w:rPr>
          <w:rFonts w:ascii="Verdana" w:hAnsi="Verdana"/>
        </w:rPr>
        <w:t xml:space="preserve">392(6) </w:t>
      </w:r>
      <w:r w:rsidRPr="0047345B">
        <w:rPr>
          <w:rFonts w:ascii="Verdana" w:hAnsi="Verdana"/>
        </w:rPr>
        <w:t>of the Trade and Cooperation A</w:t>
      </w:r>
      <w:r w:rsidRPr="0047345B">
        <w:rPr>
          <w:rFonts w:ascii="Verdana" w:hAnsi="Verdana"/>
        </w:rPr>
        <w:t>greement (TCA)</w:t>
      </w:r>
      <w:r w:rsidRPr="0047345B">
        <w:rPr>
          <w:rFonts w:ascii="Verdana" w:hAnsi="Verdana"/>
        </w:rPr>
        <w:t xml:space="preserve"> requires the EU and UK to ‘cooperate on carbon pricing’ and ‘give serious consideration to linking their respective carbon pricing systems’.</w:t>
      </w:r>
      <w:r w:rsidRPr="0047345B">
        <w:rPr>
          <w:rFonts w:ascii="Verdana" w:hAnsi="Verdana"/>
        </w:rPr>
        <w:t xml:space="preserve"> </w:t>
      </w:r>
      <w:r w:rsidRPr="0047345B">
        <w:rPr>
          <w:rFonts w:ascii="Verdana" w:hAnsi="Verdana"/>
        </w:rPr>
        <w:t>T</w:t>
      </w:r>
      <w:r w:rsidRPr="0047345B">
        <w:rPr>
          <w:rFonts w:ascii="Verdana" w:hAnsi="Verdana"/>
        </w:rPr>
        <w:t xml:space="preserve">hese provisions do not </w:t>
      </w:r>
      <w:r w:rsidRPr="0047345B">
        <w:rPr>
          <w:rFonts w:ascii="Verdana" w:hAnsi="Verdana"/>
          <w:i/>
          <w:iCs/>
        </w:rPr>
        <w:t>require</w:t>
      </w:r>
      <w:r w:rsidRPr="0047345B">
        <w:rPr>
          <w:rFonts w:ascii="Verdana" w:hAnsi="Verdana"/>
        </w:rPr>
        <w:t xml:space="preserve"> linkage, and the Government may indeed have already fulfilled its obligation to consider linking the trading systems</w:t>
      </w:r>
      <w:r w:rsidRPr="0047345B">
        <w:rPr>
          <w:rFonts w:ascii="Verdana" w:hAnsi="Verdana"/>
        </w:rPr>
        <w:t xml:space="preserve">. </w:t>
      </w:r>
      <w:r w:rsidRPr="0047345B">
        <w:rPr>
          <w:rFonts w:ascii="Verdana" w:hAnsi="Verdana"/>
        </w:rPr>
        <w:t xml:space="preserve">However, they do signal the importance of alignment on carbon pricing, and climate change more generally, to the UK and EU’s relationship. </w:t>
      </w:r>
      <w:r w:rsidRPr="0047345B">
        <w:rPr>
          <w:rFonts w:ascii="Verdana" w:hAnsi="Verdana"/>
        </w:rPr>
        <w:t>Linking trading systems may also help the Government fulfil its obligati</w:t>
      </w:r>
      <w:r w:rsidRPr="0047345B">
        <w:rPr>
          <w:rFonts w:ascii="Verdana" w:hAnsi="Verdana"/>
        </w:rPr>
        <w:t xml:space="preserve">ons to pursue voluntary climate cooperation under Article 6.2 of the Paris </w:t>
      </w:r>
      <w:r w:rsidRPr="0047345B">
        <w:rPr>
          <w:rFonts w:ascii="Verdana" w:hAnsi="Verdana"/>
        </w:rPr>
        <w:t>Agreement</w:t>
      </w:r>
      <w:r w:rsidRPr="0047345B">
        <w:rPr>
          <w:rFonts w:ascii="Verdana" w:hAnsi="Verdana"/>
        </w:rPr>
        <w:t>.</w:t>
      </w:r>
    </w:p>
    <w:p w:rsidR="0047345B" w:rsidRPr="0047345B" w:rsidP="00104D94">
      <w:pPr>
        <w:jc w:val="both"/>
        <w:rPr>
          <w:rFonts w:ascii="Verdana" w:hAnsi="Verdana"/>
        </w:rPr>
      </w:pPr>
      <w:r w:rsidRPr="0047345B">
        <w:rPr>
          <w:rFonts w:ascii="Verdana" w:hAnsi="Verdana"/>
        </w:rPr>
        <w:t>In addition to the legal basis for linking emissions trading systems and the potential economic benefits from doing so, there may be broader political and diplomatic benefits to taking this step</w:t>
      </w:r>
      <w:r w:rsidRPr="0047345B">
        <w:rPr>
          <w:rFonts w:ascii="Verdana" w:hAnsi="Verdana"/>
        </w:rPr>
        <w:t xml:space="preserve">. </w:t>
      </w:r>
      <w:r w:rsidRPr="0047345B">
        <w:rPr>
          <w:rFonts w:ascii="Verdana" w:hAnsi="Verdana"/>
        </w:rPr>
        <w:t xml:space="preserve">In 2020, Energy UK expressed support for </w:t>
      </w:r>
      <w:r w:rsidRPr="0047345B">
        <w:rPr>
          <w:rFonts w:ascii="Verdana" w:hAnsi="Verdana"/>
        </w:rPr>
        <w:t xml:space="preserve">establishing </w:t>
      </w:r>
      <w:r w:rsidRPr="0047345B">
        <w:rPr>
          <w:rFonts w:ascii="Verdana" w:hAnsi="Verdana"/>
        </w:rPr>
        <w:t xml:space="preserve">a </w:t>
      </w:r>
      <w:r w:rsidRPr="0047345B">
        <w:rPr>
          <w:rFonts w:ascii="Verdana" w:hAnsi="Verdana"/>
        </w:rPr>
        <w:t>UK ETS</w:t>
      </w:r>
      <w:r w:rsidRPr="0047345B">
        <w:rPr>
          <w:rFonts w:ascii="Verdana" w:hAnsi="Verdana"/>
        </w:rPr>
        <w:t xml:space="preserve"> </w:t>
      </w:r>
      <w:r w:rsidRPr="0047345B">
        <w:rPr>
          <w:rFonts w:ascii="Verdana" w:hAnsi="Verdana"/>
        </w:rPr>
        <w:t>linked</w:t>
      </w:r>
      <w:r w:rsidRPr="0047345B">
        <w:rPr>
          <w:rFonts w:ascii="Verdana" w:hAnsi="Verdana"/>
          <w:i/>
          <w:iCs/>
        </w:rPr>
        <w:t xml:space="preserve"> </w:t>
      </w:r>
      <w:r w:rsidRPr="0047345B">
        <w:rPr>
          <w:rFonts w:ascii="Verdana" w:hAnsi="Verdana"/>
        </w:rPr>
        <w:t>to</w:t>
      </w:r>
      <w:r w:rsidRPr="0047345B">
        <w:rPr>
          <w:rFonts w:ascii="Verdana" w:hAnsi="Verdana"/>
        </w:rPr>
        <w:t xml:space="preserve"> the EU</w:t>
      </w:r>
      <w:r w:rsidRPr="0047345B">
        <w:rPr>
          <w:rFonts w:ascii="Verdana" w:hAnsi="Verdana"/>
        </w:rPr>
        <w:t xml:space="preserve"> ETS</w:t>
      </w:r>
      <w:r w:rsidRPr="0047345B">
        <w:rPr>
          <w:rFonts w:ascii="Verdana" w:hAnsi="Verdana"/>
        </w:rPr>
        <w:t>,</w:t>
      </w:r>
      <w:r w:rsidRPr="0047345B">
        <w:rPr>
          <w:rFonts w:ascii="Verdana" w:hAnsi="Verdana"/>
        </w:rPr>
        <w:t xml:space="preserve"> on the basis that it is a </w:t>
      </w:r>
      <w:r w:rsidRPr="0047345B">
        <w:rPr>
          <w:rFonts w:ascii="Verdana" w:hAnsi="Verdana"/>
        </w:rPr>
        <w:t>long-term</w:t>
      </w:r>
      <w:r w:rsidRPr="0047345B">
        <w:rPr>
          <w:rFonts w:ascii="Verdana" w:hAnsi="Verdana"/>
        </w:rPr>
        <w:t xml:space="preserve"> carbon pricing mechanism, that would allow the UK to ‘benefit from the liquidity of the world’s largest carbon market’.</w:t>
      </w:r>
      <w:r>
        <w:rPr>
          <w:rStyle w:val="FootnoteReference"/>
          <w:rFonts w:ascii="Verdana" w:hAnsi="Verdana"/>
        </w:rPr>
        <w:footnoteReference w:id="7"/>
      </w:r>
      <w:r w:rsidRPr="0047345B">
        <w:rPr>
          <w:rFonts w:ascii="Verdana" w:hAnsi="Verdana"/>
        </w:rPr>
        <w:t xml:space="preserve"> </w:t>
      </w:r>
      <w:r w:rsidRPr="0047345B">
        <w:rPr>
          <w:rFonts w:ascii="Verdana" w:hAnsi="Verdana"/>
        </w:rPr>
        <w:t xml:space="preserve">Not only would </w:t>
      </w:r>
      <w:r w:rsidRPr="0047345B">
        <w:rPr>
          <w:rFonts w:ascii="Verdana" w:hAnsi="Verdana"/>
        </w:rPr>
        <w:t>linking</w:t>
      </w:r>
      <w:r w:rsidRPr="0047345B">
        <w:rPr>
          <w:rFonts w:ascii="Verdana" w:hAnsi="Verdana"/>
        </w:rPr>
        <w:t xml:space="preserve"> mitigate potential trade frictions, but it would also signal unity between the EU and UK’s commitment</w:t>
      </w:r>
      <w:r w:rsidRPr="0047345B">
        <w:rPr>
          <w:rFonts w:ascii="Verdana" w:hAnsi="Verdana"/>
        </w:rPr>
        <w:t>s</w:t>
      </w:r>
      <w:r w:rsidRPr="0047345B">
        <w:rPr>
          <w:rFonts w:ascii="Verdana" w:hAnsi="Verdana"/>
        </w:rPr>
        <w:t xml:space="preserve"> to addressing climate change.</w:t>
      </w:r>
      <w:r w:rsidRPr="0047345B">
        <w:rPr>
          <w:rFonts w:ascii="Verdana" w:hAnsi="Verdana"/>
        </w:rPr>
        <w:t xml:space="preserve"> </w:t>
      </w:r>
      <w:r w:rsidRPr="0047345B">
        <w:rPr>
          <w:rFonts w:ascii="Verdana" w:hAnsi="Verdana"/>
        </w:rPr>
        <w:t>We would therefore recommend that the Government pursues a linking agreement as part of the UK-EU reset.</w:t>
      </w:r>
    </w:p>
    <w:p w:rsidR="0047345B" w:rsidRPr="0047345B" w:rsidP="00104D94">
      <w:pPr>
        <w:jc w:val="both"/>
        <w:rPr>
          <w:rFonts w:ascii="Verdana" w:hAnsi="Verdana"/>
          <w:b/>
          <w:bCs/>
        </w:rPr>
      </w:pPr>
      <w:r w:rsidRPr="0047345B">
        <w:rPr>
          <w:rFonts w:ascii="Verdana" w:hAnsi="Verdana"/>
          <w:b/>
          <w:bCs/>
        </w:rPr>
        <w:t>Implications for the UK CBAM</w:t>
      </w:r>
    </w:p>
    <w:p w:rsidR="0047345B" w:rsidRPr="0047345B" w:rsidP="00104D94">
      <w:pPr>
        <w:jc w:val="both"/>
        <w:rPr>
          <w:rFonts w:ascii="Verdana" w:hAnsi="Verdana"/>
        </w:rPr>
      </w:pPr>
      <w:r w:rsidRPr="0047345B">
        <w:rPr>
          <w:rFonts w:ascii="Verdana" w:hAnsi="Verdana"/>
        </w:rPr>
        <w:t xml:space="preserve">Carbon border adjustment mechanisms (CBAMs) are an effective way of </w:t>
      </w:r>
      <w:r w:rsidRPr="0047345B">
        <w:rPr>
          <w:rFonts w:ascii="Verdana" w:hAnsi="Verdana"/>
        </w:rPr>
        <w:t>expanding the reach of carbon pricing while ensuring that domestic businesses are</w:t>
      </w:r>
      <w:r w:rsidRPr="0047345B">
        <w:rPr>
          <w:rFonts w:ascii="Verdana" w:hAnsi="Verdana"/>
        </w:rPr>
        <w:t xml:space="preserve"> not</w:t>
      </w:r>
      <w:r w:rsidRPr="0047345B">
        <w:rPr>
          <w:rFonts w:ascii="Verdana" w:hAnsi="Verdana"/>
        </w:rPr>
        <w:t xml:space="preserve"> unfairly burdened by carbon pricing when compared to importers, so the planned UK CBAM could be a key lever in the UK’s climate policy landscape</w:t>
      </w:r>
      <w:r w:rsidRPr="0047345B">
        <w:rPr>
          <w:rFonts w:ascii="Verdana" w:hAnsi="Verdana"/>
        </w:rPr>
        <w:t>.</w:t>
      </w:r>
      <w:r w:rsidRPr="0047345B">
        <w:rPr>
          <w:rFonts w:ascii="Verdana" w:hAnsi="Verdana"/>
        </w:rPr>
        <w:t xml:space="preserve"> </w:t>
      </w:r>
      <w:r w:rsidRPr="0047345B">
        <w:rPr>
          <w:rFonts w:ascii="Verdana" w:hAnsi="Verdana"/>
        </w:rPr>
        <w:t xml:space="preserve"> </w:t>
      </w:r>
      <w:r w:rsidRPr="0047345B">
        <w:rPr>
          <w:rFonts w:ascii="Verdana" w:hAnsi="Verdana"/>
        </w:rPr>
        <w:t>This would further signal alignment with the EU, which has already begun to implement a CBAM. Given this strong alignment on carbon pricing, the Government has an opportunity to ensure that CBAM arrangements impact trade between the EU and UK as little as possible.</w:t>
      </w:r>
      <w:r w:rsidRPr="0047345B">
        <w:rPr>
          <w:rFonts w:ascii="Verdana" w:hAnsi="Verdana"/>
        </w:rPr>
        <w:t xml:space="preserve"> As CBAMs aim </w:t>
      </w:r>
      <w:r w:rsidRPr="0047345B">
        <w:rPr>
          <w:rFonts w:ascii="Verdana" w:hAnsi="Verdana"/>
        </w:rPr>
        <w:t xml:space="preserve">to equalise carbon prices across jurisdictions, UK goods would not need to pay an additional carbon price </w:t>
      </w:r>
      <w:r w:rsidRPr="0047345B">
        <w:rPr>
          <w:rFonts w:ascii="Verdana" w:hAnsi="Verdana"/>
        </w:rPr>
        <w:t>under the EU CBAM</w:t>
      </w:r>
      <w:r w:rsidRPr="0047345B">
        <w:rPr>
          <w:rFonts w:ascii="Verdana" w:hAnsi="Verdana"/>
        </w:rPr>
        <w:t xml:space="preserve"> when </w:t>
      </w:r>
      <w:r w:rsidRPr="0047345B">
        <w:rPr>
          <w:rFonts w:ascii="Verdana" w:hAnsi="Verdana"/>
        </w:rPr>
        <w:t xml:space="preserve">prices </w:t>
      </w:r>
      <w:r w:rsidRPr="0047345B">
        <w:rPr>
          <w:rFonts w:ascii="Verdana" w:hAnsi="Verdana"/>
        </w:rPr>
        <w:t>are higher</w:t>
      </w:r>
      <w:r w:rsidRPr="0047345B">
        <w:rPr>
          <w:rFonts w:ascii="Verdana" w:hAnsi="Verdana"/>
        </w:rPr>
        <w:t xml:space="preserve"> than those in the EU. However, the EU CBAM may introduce some administrative costs to UK-EU trade</w:t>
      </w:r>
      <w:r w:rsidRPr="0047345B">
        <w:rPr>
          <w:rFonts w:ascii="Verdana" w:hAnsi="Verdana"/>
        </w:rPr>
        <w:t xml:space="preserve">, since even when no charge is to be paid, reporting obligations would </w:t>
      </w:r>
      <w:r w:rsidRPr="0047345B">
        <w:rPr>
          <w:rFonts w:ascii="Verdana" w:hAnsi="Verdana"/>
        </w:rPr>
        <w:t>still remain</w:t>
      </w:r>
      <w:r w:rsidRPr="0047345B">
        <w:rPr>
          <w:rFonts w:ascii="Verdana" w:hAnsi="Verdana"/>
        </w:rPr>
        <w:t>.</w:t>
      </w:r>
      <w:r>
        <w:rPr>
          <w:rStyle w:val="FootnoteReference"/>
          <w:rFonts w:ascii="Verdana" w:hAnsi="Verdana"/>
        </w:rPr>
        <w:footnoteReference w:id="8"/>
      </w:r>
      <w:r w:rsidRPr="0047345B">
        <w:rPr>
          <w:rFonts w:ascii="Verdana" w:hAnsi="Verdana"/>
        </w:rPr>
        <w:t xml:space="preserve"> The same is true fo</w:t>
      </w:r>
      <w:r w:rsidRPr="0047345B">
        <w:rPr>
          <w:rFonts w:ascii="Verdana" w:hAnsi="Verdana"/>
        </w:rPr>
        <w:t>r the impact of the UK CBAM on imports from the EU. Linking emissions trading systems provides the opportunity to fully avoid these costs</w:t>
      </w:r>
      <w:r w:rsidRPr="0047345B">
        <w:rPr>
          <w:rFonts w:ascii="Verdana" w:hAnsi="Verdana"/>
        </w:rPr>
        <w:t>, reduce trade friction</w:t>
      </w:r>
      <w:r w:rsidRPr="0047345B">
        <w:rPr>
          <w:rFonts w:ascii="Verdana" w:hAnsi="Verdana"/>
        </w:rPr>
        <w:t xml:space="preserve"> and prevent carbon leakage</w:t>
      </w:r>
      <w:r w:rsidRPr="0047345B">
        <w:rPr>
          <w:rFonts w:ascii="Verdana" w:hAnsi="Verdana"/>
        </w:rPr>
        <w:t>, as the two jurisdictions would be covered by the same carbon market.</w:t>
      </w:r>
      <w:r w:rsidRPr="0047345B">
        <w:rPr>
          <w:rFonts w:ascii="Verdana" w:hAnsi="Verdana"/>
        </w:rPr>
        <w:t xml:space="preserve"> </w:t>
      </w:r>
      <w:r w:rsidRPr="0047345B">
        <w:rPr>
          <w:rFonts w:ascii="Verdana" w:hAnsi="Verdana"/>
        </w:rPr>
        <w:t>This creates</w:t>
      </w:r>
      <w:r w:rsidRPr="0047345B">
        <w:rPr>
          <w:rFonts w:ascii="Verdana" w:hAnsi="Verdana"/>
        </w:rPr>
        <w:t xml:space="preserve"> a </w:t>
      </w:r>
      <w:r w:rsidRPr="0047345B">
        <w:rPr>
          <w:rFonts w:ascii="Verdana" w:hAnsi="Verdana"/>
        </w:rPr>
        <w:t>stronger case for ETS linking</w:t>
      </w:r>
      <w:r w:rsidRPr="0047345B">
        <w:rPr>
          <w:rFonts w:ascii="Verdana" w:hAnsi="Verdana"/>
        </w:rPr>
        <w:t xml:space="preserve"> </w:t>
      </w:r>
      <w:r w:rsidRPr="0047345B">
        <w:rPr>
          <w:rFonts w:ascii="Verdana" w:hAnsi="Verdana"/>
        </w:rPr>
        <w:t>and also</w:t>
      </w:r>
      <w:r w:rsidRPr="0047345B">
        <w:rPr>
          <w:rFonts w:ascii="Verdana" w:hAnsi="Verdana"/>
        </w:rPr>
        <w:t xml:space="preserve"> suggests that the Government should carefully consider how a potential linking agreement would impact the UK CBAM. </w:t>
      </w:r>
    </w:p>
    <w:p w:rsidR="0047345B" w:rsidRPr="0047345B" w:rsidP="00104D94">
      <w:pPr>
        <w:jc w:val="both"/>
        <w:rPr>
          <w:rFonts w:ascii="Verdana" w:hAnsi="Verdana"/>
          <w:b/>
          <w:bCs/>
        </w:rPr>
      </w:pPr>
      <w:r w:rsidRPr="0047345B">
        <w:rPr>
          <w:rFonts w:ascii="Verdana" w:hAnsi="Verdana"/>
          <w:b/>
          <w:bCs/>
        </w:rPr>
        <w:t>Climate policy and the level playing field</w:t>
      </w:r>
      <w:r w:rsidRPr="0047345B">
        <w:rPr>
          <w:rFonts w:ascii="Verdana" w:hAnsi="Verdana"/>
          <w:b/>
          <w:bCs/>
        </w:rPr>
        <w:t>:</w:t>
      </w:r>
      <w:r w:rsidRPr="0047345B">
        <w:rPr>
          <w:rFonts w:ascii="Verdana" w:hAnsi="Verdana"/>
          <w:b/>
          <w:bCs/>
        </w:rPr>
        <w:t xml:space="preserve"> </w:t>
      </w:r>
    </w:p>
    <w:p w:rsidR="0047345B" w:rsidRPr="0047345B" w:rsidP="00F835B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kern w:val="0"/>
        </w:rPr>
      </w:pPr>
      <w:r w:rsidRPr="0047345B">
        <w:rPr>
          <w:rFonts w:ascii="Verdana" w:hAnsi="Verdana"/>
        </w:rPr>
        <w:t>Under the</w:t>
      </w:r>
      <w:r w:rsidRPr="0047345B">
        <w:rPr>
          <w:rFonts w:ascii="Verdana" w:hAnsi="Verdana"/>
        </w:rPr>
        <w:t xml:space="preserve"> TCA</w:t>
      </w:r>
      <w:r w:rsidRPr="0047345B">
        <w:rPr>
          <w:rFonts w:ascii="Verdana" w:hAnsi="Verdana"/>
        </w:rPr>
        <w:t>,</w:t>
      </w:r>
      <w:r w:rsidRPr="0047345B">
        <w:rPr>
          <w:rFonts w:ascii="Verdana" w:hAnsi="Verdana"/>
        </w:rPr>
        <w:t xml:space="preserve"> the UK and EU </w:t>
      </w:r>
      <w:r w:rsidRPr="0047345B">
        <w:rPr>
          <w:rFonts w:ascii="Verdana" w:hAnsi="Verdana"/>
        </w:rPr>
        <w:t>are bound by ‘level playing field’ provisions</w:t>
      </w:r>
      <w:r>
        <w:rPr>
          <w:rStyle w:val="FootnoteReference"/>
          <w:rFonts w:ascii="Verdana" w:hAnsi="Verdana"/>
        </w:rPr>
        <w:footnoteReference w:id="9"/>
      </w:r>
      <w:r w:rsidRPr="0047345B">
        <w:rPr>
          <w:rFonts w:ascii="Verdana" w:hAnsi="Verdana"/>
        </w:rPr>
        <w:t xml:space="preserve"> which include a non-regression obligatio</w:t>
      </w:r>
      <w:r w:rsidRPr="0047345B">
        <w:rPr>
          <w:rFonts w:ascii="Verdana" w:hAnsi="Verdana"/>
        </w:rPr>
        <w:t xml:space="preserve">n, under Article 391, </w:t>
      </w:r>
      <w:r w:rsidRPr="0047345B">
        <w:rPr>
          <w:rFonts w:ascii="Verdana" w:hAnsi="Verdana"/>
        </w:rPr>
        <w:t xml:space="preserve">not to weaken environmental protections below the levels in place when the UK left the EU. This obligation applies </w:t>
      </w:r>
      <w:r w:rsidRPr="0047345B">
        <w:rPr>
          <w:rFonts w:ascii="Verdana" w:hAnsi="Verdana"/>
        </w:rPr>
        <w:t>when regression would impact trade</w:t>
      </w:r>
      <w:r w:rsidRPr="0047345B">
        <w:rPr>
          <w:rFonts w:ascii="Verdana" w:hAnsi="Verdana"/>
        </w:rPr>
        <w:t xml:space="preserve">, which is clearly the </w:t>
      </w:r>
      <w:r w:rsidRPr="0047345B">
        <w:rPr>
          <w:rFonts w:ascii="Verdana" w:hAnsi="Verdana"/>
        </w:rPr>
        <w:t>case</w:t>
      </w:r>
      <w:r w:rsidRPr="0047345B">
        <w:rPr>
          <w:rFonts w:ascii="Verdana" w:hAnsi="Verdana"/>
        </w:rPr>
        <w:t xml:space="preserve"> </w:t>
      </w:r>
      <w:r w:rsidRPr="0047345B">
        <w:rPr>
          <w:rFonts w:ascii="Verdana" w:hAnsi="Verdana"/>
        </w:rPr>
        <w:t>in relation</w:t>
      </w:r>
      <w:r w:rsidRPr="0047345B">
        <w:rPr>
          <w:rFonts w:ascii="Verdana" w:hAnsi="Verdana"/>
        </w:rPr>
        <w:t xml:space="preserve"> to carbon pricing arrangements</w:t>
      </w:r>
      <w:r w:rsidRPr="0047345B">
        <w:rPr>
          <w:rFonts w:ascii="Verdana" w:hAnsi="Verdana"/>
        </w:rPr>
        <w:t>.</w:t>
      </w:r>
      <w:r w:rsidRPr="0047345B">
        <w:rPr>
          <w:rFonts w:ascii="Verdana" w:hAnsi="Verdana"/>
        </w:rPr>
        <w:t xml:space="preserve"> The </w:t>
      </w:r>
      <w:r w:rsidRPr="0047345B">
        <w:rPr>
          <w:rFonts w:ascii="Verdana" w:hAnsi="Verdana"/>
        </w:rPr>
        <w:t>G</w:t>
      </w:r>
      <w:r w:rsidRPr="0047345B">
        <w:rPr>
          <w:rFonts w:ascii="Verdana" w:hAnsi="Verdana"/>
        </w:rPr>
        <w:t>overnment’s Summary Document on the TCA mentions a ‘c</w:t>
      </w:r>
      <w:r w:rsidRPr="0047345B">
        <w:rPr>
          <w:rFonts w:ascii="Verdana" w:hAnsi="Verdana" w:cs="Arial"/>
          <w:kern w:val="0"/>
        </w:rPr>
        <w:t>ommitment to high labour environment and climate standards without giving the EU any say over our rules.’</w:t>
      </w:r>
      <w:r>
        <w:rPr>
          <w:rStyle w:val="FootnoteReference"/>
          <w:rFonts w:ascii="Verdana" w:hAnsi="Verdana" w:cs="Arial"/>
          <w:kern w:val="0"/>
        </w:rPr>
        <w:footnoteReference w:id="10"/>
      </w:r>
      <w:r w:rsidRPr="0047345B">
        <w:rPr>
          <w:rFonts w:ascii="Verdana" w:hAnsi="Verdana" w:cs="Arial"/>
          <w:kern w:val="0"/>
        </w:rPr>
        <w:t xml:space="preserve"> Additionally, </w:t>
      </w:r>
      <w:r w:rsidRPr="0047345B">
        <w:rPr>
          <w:rFonts w:ascii="Verdana" w:hAnsi="Verdana" w:cs="Arial"/>
          <w:kern w:val="0"/>
        </w:rPr>
        <w:t xml:space="preserve">the </w:t>
      </w:r>
      <w:r w:rsidRPr="0047345B">
        <w:rPr>
          <w:rFonts w:ascii="Verdana" w:hAnsi="Verdana" w:cs="Arial"/>
          <w:kern w:val="0"/>
        </w:rPr>
        <w:t>P</w:t>
      </w:r>
      <w:r w:rsidRPr="0047345B">
        <w:rPr>
          <w:rFonts w:ascii="Verdana" w:hAnsi="Verdana" w:cs="Arial"/>
          <w:kern w:val="0"/>
        </w:rPr>
        <w:t xml:space="preserve">reamble </w:t>
      </w:r>
      <w:r w:rsidRPr="0047345B">
        <w:rPr>
          <w:rFonts w:ascii="Verdana" w:hAnsi="Verdana" w:cs="Arial"/>
          <w:kern w:val="0"/>
        </w:rPr>
        <w:t>to the</w:t>
      </w:r>
      <w:r w:rsidRPr="0047345B">
        <w:rPr>
          <w:rFonts w:ascii="Verdana" w:hAnsi="Verdana" w:cs="Arial"/>
          <w:kern w:val="0"/>
        </w:rPr>
        <w:t xml:space="preserve"> </w:t>
      </w:r>
      <w:r w:rsidRPr="0047345B">
        <w:rPr>
          <w:rFonts w:ascii="Verdana" w:hAnsi="Verdana" w:cs="Arial"/>
          <w:kern w:val="0"/>
        </w:rPr>
        <w:t xml:space="preserve">TCA mentions the </w:t>
      </w:r>
      <w:r w:rsidRPr="0047345B">
        <w:rPr>
          <w:rFonts w:ascii="Verdana" w:hAnsi="Verdana" w:cs="Arial"/>
          <w:kern w:val="0"/>
        </w:rPr>
        <w:t>‘fight against climate change’ as a core element of cooperation between the UK and EU.</w:t>
      </w:r>
      <w:r w:rsidRPr="0047345B">
        <w:rPr>
          <w:rFonts w:ascii="Verdana" w:hAnsi="Verdana" w:cs="Arial"/>
          <w:kern w:val="0"/>
        </w:rPr>
        <w:t xml:space="preserve"> </w:t>
      </w:r>
      <w:r w:rsidRPr="0047345B">
        <w:rPr>
          <w:rFonts w:ascii="Verdana" w:hAnsi="Verdana" w:cs="Arial"/>
          <w:kern w:val="0"/>
        </w:rPr>
        <w:t>Non-compliance</w:t>
      </w:r>
      <w:r w:rsidRPr="0047345B">
        <w:rPr>
          <w:rFonts w:ascii="Verdana" w:hAnsi="Verdana" w:cs="Arial"/>
          <w:kern w:val="0"/>
        </w:rPr>
        <w:t xml:space="preserve"> with the</w:t>
      </w:r>
      <w:r w:rsidRPr="0047345B">
        <w:rPr>
          <w:rFonts w:ascii="Verdana" w:hAnsi="Verdana" w:cs="Arial"/>
          <w:kern w:val="0"/>
        </w:rPr>
        <w:t xml:space="preserve">se provisions </w:t>
      </w:r>
      <w:r w:rsidRPr="0047345B">
        <w:rPr>
          <w:rFonts w:ascii="Verdana" w:hAnsi="Verdana" w:cs="Arial"/>
          <w:kern w:val="0"/>
        </w:rPr>
        <w:t xml:space="preserve">can lead to termination of the agreement. These obligations, coupled with the obligation to </w:t>
      </w:r>
      <w:r w:rsidRPr="0047345B">
        <w:rPr>
          <w:rFonts w:ascii="Verdana" w:hAnsi="Verdana" w:cs="Arial"/>
          <w:kern w:val="0"/>
        </w:rPr>
        <w:t>establish</w:t>
      </w:r>
      <w:r w:rsidRPr="0047345B">
        <w:rPr>
          <w:rFonts w:ascii="Verdana" w:hAnsi="Verdana" w:cs="Arial"/>
          <w:kern w:val="0"/>
        </w:rPr>
        <w:t xml:space="preserve"> effective carbon pricing systems</w:t>
      </w:r>
      <w:r w:rsidRPr="0047345B">
        <w:rPr>
          <w:rFonts w:ascii="Verdana" w:hAnsi="Verdana" w:cs="Arial"/>
          <w:kern w:val="0"/>
        </w:rPr>
        <w:t>,</w:t>
      </w:r>
      <w:r w:rsidRPr="0047345B">
        <w:rPr>
          <w:rFonts w:ascii="Verdana" w:hAnsi="Verdana" w:cs="Arial"/>
          <w:kern w:val="0"/>
        </w:rPr>
        <w:t xml:space="preserve"> </w:t>
      </w:r>
      <w:r w:rsidRPr="0047345B">
        <w:rPr>
          <w:rFonts w:ascii="Verdana" w:hAnsi="Verdana" w:cs="Arial"/>
          <w:kern w:val="0"/>
        </w:rPr>
        <w:t>strengthen the</w:t>
      </w:r>
      <w:r w:rsidRPr="0047345B">
        <w:rPr>
          <w:rFonts w:ascii="Verdana" w:hAnsi="Verdana" w:cs="Arial"/>
          <w:kern w:val="0"/>
        </w:rPr>
        <w:t xml:space="preserve"> legal basis for linking.</w:t>
      </w:r>
      <w:r>
        <w:rPr>
          <w:rStyle w:val="FootnoteReference"/>
          <w:rFonts w:ascii="Verdana" w:hAnsi="Verdana" w:cs="Arial"/>
          <w:kern w:val="0"/>
        </w:rPr>
        <w:footnoteReference w:id="11"/>
      </w:r>
    </w:p>
    <w:p w:rsidR="0047345B" w:rsidRPr="0047345B" w:rsidP="00F835B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Verdana" w:hAnsi="Verdana"/>
        </w:rPr>
      </w:pPr>
    </w:p>
    <w:p w:rsidR="0047345B" w:rsidRPr="0047345B" w:rsidP="00F835B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Verdana" w:hAnsi="Verdana"/>
        </w:rPr>
      </w:pPr>
      <w:r w:rsidRPr="0047345B">
        <w:rPr>
          <w:rFonts w:ascii="Verdana" w:hAnsi="Verdana"/>
        </w:rPr>
        <w:t xml:space="preserve">Linking agreements can help the UK push for higher climate ambitions, at a lower cost than </w:t>
      </w:r>
      <w:r w:rsidRPr="0047345B">
        <w:rPr>
          <w:rFonts w:ascii="Verdana" w:hAnsi="Verdana"/>
        </w:rPr>
        <w:t xml:space="preserve">in </w:t>
      </w:r>
      <w:r w:rsidRPr="0047345B">
        <w:rPr>
          <w:rFonts w:ascii="Verdana" w:hAnsi="Verdana"/>
        </w:rPr>
        <w:t xml:space="preserve">the absence of such an agreement. </w:t>
      </w:r>
      <w:r w:rsidRPr="0047345B">
        <w:rPr>
          <w:rFonts w:ascii="Verdana" w:hAnsi="Verdana"/>
        </w:rPr>
        <w:t xml:space="preserve"> </w:t>
      </w:r>
      <w:r w:rsidRPr="0047345B">
        <w:rPr>
          <w:rFonts w:ascii="Verdana" w:hAnsi="Verdana"/>
        </w:rPr>
        <w:t xml:space="preserve">It also creates a level playing field in </w:t>
      </w:r>
      <w:r w:rsidRPr="0047345B">
        <w:rPr>
          <w:rFonts w:ascii="Verdana" w:hAnsi="Verdana"/>
        </w:rPr>
        <w:t>the market</w:t>
      </w:r>
      <w:r w:rsidRPr="0047345B">
        <w:rPr>
          <w:rFonts w:ascii="Verdana" w:hAnsi="Verdana"/>
        </w:rPr>
        <w:t xml:space="preserve">, since it reduces the risk of entities shifting </w:t>
      </w:r>
      <w:r w:rsidRPr="0047345B">
        <w:rPr>
          <w:rFonts w:ascii="Verdana" w:hAnsi="Verdana"/>
        </w:rPr>
        <w:t>their activities</w:t>
      </w:r>
      <w:r w:rsidRPr="0047345B">
        <w:rPr>
          <w:rFonts w:ascii="Verdana" w:hAnsi="Verdana"/>
        </w:rPr>
        <w:t xml:space="preserve"> to evade higher carbon prices. However, this </w:t>
      </w:r>
      <w:r w:rsidRPr="0047345B">
        <w:rPr>
          <w:rFonts w:ascii="Verdana" w:hAnsi="Verdana"/>
        </w:rPr>
        <w:t>ability to manage ‘carbon leakage’ is limited</w:t>
      </w:r>
      <w:r w:rsidRPr="0047345B">
        <w:rPr>
          <w:rFonts w:ascii="Verdana" w:hAnsi="Verdana"/>
        </w:rPr>
        <w:t xml:space="preserve">, since it does not negate the possibility of the entity </w:t>
      </w:r>
      <w:r w:rsidRPr="0047345B">
        <w:rPr>
          <w:rFonts w:ascii="Verdana" w:hAnsi="Verdana"/>
        </w:rPr>
        <w:t>moving</w:t>
      </w:r>
      <w:r w:rsidRPr="0047345B">
        <w:rPr>
          <w:rFonts w:ascii="Verdana" w:hAnsi="Verdana"/>
        </w:rPr>
        <w:t xml:space="preserve"> to a third jurisdiction. </w:t>
      </w:r>
      <w:r>
        <w:rPr>
          <w:rStyle w:val="FootnoteReference"/>
          <w:rFonts w:ascii="Verdana" w:hAnsi="Verdana"/>
        </w:rPr>
        <w:footnoteReference w:id="12"/>
      </w:r>
      <w:r w:rsidRPr="0047345B">
        <w:rPr>
          <w:rFonts w:ascii="Verdana" w:hAnsi="Verdana"/>
        </w:rPr>
        <w:t xml:space="preserve"> </w:t>
      </w:r>
      <w:r w:rsidRPr="0047345B">
        <w:rPr>
          <w:rFonts w:ascii="Verdana" w:hAnsi="Verdana"/>
        </w:rPr>
        <w:t xml:space="preserve">As certain political tides turn away from ambitious climate policy, the UK and EU should ensure that carbon pricing, including the </w:t>
      </w:r>
      <w:r w:rsidRPr="0047345B">
        <w:rPr>
          <w:rFonts w:ascii="Verdana" w:hAnsi="Verdana"/>
        </w:rPr>
        <w:t>scope and magnitude of prices under their respective ETSs</w:t>
      </w:r>
      <w:r w:rsidRPr="0047345B">
        <w:rPr>
          <w:rFonts w:ascii="Verdana" w:hAnsi="Verdana"/>
        </w:rPr>
        <w:t>, is not scaled back. A linked emissions trading system could avoid potential issues</w:t>
      </w:r>
      <w:r w:rsidRPr="0047345B">
        <w:rPr>
          <w:rFonts w:ascii="Verdana" w:hAnsi="Verdana"/>
        </w:rPr>
        <w:t xml:space="preserve"> by ensuring that the UK and EU do not significantly diverge on this issue.</w:t>
      </w:r>
    </w:p>
    <w:p w:rsidR="0047345B" w:rsidRPr="0047345B" w:rsidP="00104D94">
      <w:pPr>
        <w:jc w:val="both"/>
        <w:rPr>
          <w:rFonts w:ascii="Verdana" w:hAnsi="Verdana"/>
        </w:rPr>
      </w:pPr>
    </w:p>
    <w:p w:rsidR="0047345B" w:rsidRPr="0047345B" w:rsidP="00104D94">
      <w:pPr>
        <w:jc w:val="both"/>
        <w:rPr>
          <w:rFonts w:ascii="Verdana" w:hAnsi="Verdana"/>
          <w:b/>
          <w:bCs/>
        </w:rPr>
      </w:pPr>
      <w:r w:rsidRPr="0047345B">
        <w:rPr>
          <w:rFonts w:ascii="Verdana" w:hAnsi="Verdana"/>
          <w:b/>
          <w:bCs/>
        </w:rPr>
        <w:t>Received 1 April 2025</w:t>
      </w:r>
    </w:p>
    <w:sect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47345B" w:rsidP="00104D94">
      <w:pPr>
        <w:spacing w:after="0" w:line="240" w:lineRule="auto"/>
      </w:pPr>
      <w:r>
        <w:separator/>
      </w:r>
    </w:p>
  </w:footnote>
  <w:footnote w:type="continuationSeparator" w:id="1">
    <w:p w:rsidR="0047345B" w:rsidP="00104D94">
      <w:pPr>
        <w:spacing w:after="0" w:line="240" w:lineRule="auto"/>
      </w:pPr>
      <w:r>
        <w:continuationSeparator/>
      </w:r>
    </w:p>
  </w:footnote>
  <w:footnote w:id="2">
    <w:p w:rsidR="0047345B" w:rsidRPr="00136425" w:rsidP="00F835B3">
      <w:pPr>
        <w:pStyle w:val="NoSpacing"/>
        <w:jc w:val="both"/>
      </w:pPr>
      <w:r w:rsidRPr="00136425">
        <w:rPr>
          <w:rStyle w:val="FootnoteReference"/>
          <w:sz w:val="20"/>
          <w:szCs w:val="20"/>
        </w:rPr>
        <w:footnoteRef/>
      </w:r>
      <w:r w:rsidRPr="00136425">
        <w:rPr>
          <w:sz w:val="20"/>
          <w:szCs w:val="20"/>
        </w:rPr>
        <w:t xml:space="preserve"> </w:t>
      </w:r>
      <w:r w:rsidRPr="00F835B3">
        <w:rPr>
          <w:sz w:val="20"/>
          <w:szCs w:val="20"/>
        </w:rPr>
        <w:t>Energy and Climate Change Committe</w:t>
      </w:r>
      <w:r>
        <w:rPr>
          <w:sz w:val="20"/>
          <w:szCs w:val="20"/>
        </w:rPr>
        <w:t xml:space="preserve">e, </w:t>
      </w:r>
      <w:r w:rsidRPr="004718B5">
        <w:rPr>
          <w:i/>
          <w:iCs/>
          <w:sz w:val="20"/>
          <w:szCs w:val="20"/>
        </w:rPr>
        <w:t>L</w:t>
      </w:r>
      <w:r w:rsidRPr="004718B5">
        <w:rPr>
          <w:i/>
          <w:iCs/>
          <w:sz w:val="20"/>
          <w:szCs w:val="20"/>
        </w:rPr>
        <w:t>inking Emissions Trading System</w:t>
      </w:r>
      <w:r>
        <w:rPr>
          <w:i/>
          <w:iCs/>
          <w:sz w:val="20"/>
          <w:szCs w:val="20"/>
        </w:rPr>
        <w:t>s</w:t>
      </w:r>
      <w:r w:rsidRPr="00136425">
        <w:rPr>
          <w:i/>
          <w:iCs/>
          <w:sz w:val="20"/>
          <w:szCs w:val="20"/>
        </w:rPr>
        <w:t xml:space="preserve"> </w:t>
      </w:r>
      <w:r w:rsidRPr="00F835B3">
        <w:rPr>
          <w:sz w:val="20"/>
          <w:szCs w:val="20"/>
        </w:rPr>
        <w:t>(H</w:t>
      </w:r>
      <w:r>
        <w:rPr>
          <w:sz w:val="20"/>
          <w:szCs w:val="20"/>
        </w:rPr>
        <w:t>ouse of Commons</w:t>
      </w:r>
      <w:r w:rsidRPr="00F835B3">
        <w:rPr>
          <w:sz w:val="20"/>
          <w:szCs w:val="20"/>
        </w:rPr>
        <w:t xml:space="preserve"> 2015)</w:t>
      </w:r>
      <w:r>
        <w:rPr>
          <w:i/>
          <w:iCs/>
          <w:sz w:val="20"/>
          <w:szCs w:val="20"/>
        </w:rPr>
        <w:t xml:space="preserve"> </w:t>
      </w:r>
      <w:r w:rsidRPr="00136425">
        <w:rPr>
          <w:sz w:val="20"/>
          <w:szCs w:val="20"/>
        </w:rPr>
        <w:t>&lt;https://publications.parliament.uk/pa/cm201415/cmselect/cmenergy/739/73905.htm&gt; accessed 26 March 2025</w:t>
      </w:r>
      <w:r w:rsidRPr="00136425">
        <w:rPr>
          <w:rStyle w:val="apple-converted-space"/>
          <w:color w:val="000000"/>
          <w:sz w:val="20"/>
          <w:szCs w:val="20"/>
        </w:rPr>
        <w:t> </w:t>
      </w:r>
    </w:p>
  </w:footnote>
  <w:footnote w:id="3">
    <w:p w:rsidR="0047345B" w:rsidRPr="00F835B3" w:rsidP="00F835B3">
      <w:pPr>
        <w:pStyle w:val="FootnoteText"/>
        <w:jc w:val="both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‘The Future of Carbon Pricing in the UK’ (Committee on Climate Change 2019) &lt;</w:t>
      </w:r>
      <w:r w:rsidRPr="009222C4">
        <w:t xml:space="preserve"> </w:t>
      </w:r>
      <w:r>
        <w:fldChar w:fldCharType="begin"/>
      </w:r>
      <w:r>
        <w:instrText xml:space="preserve"> HYPERLINK "https://www.theccc.org.uk/wp-content/uploads/2019/08/Vivid-Economics-The-Future-of-Carbon-Pricing-in-the-UK.pdf" </w:instrText>
      </w:r>
      <w:r>
        <w:fldChar w:fldCharType="separate"/>
      </w:r>
      <w:r w:rsidRPr="00B27380">
        <w:rPr>
          <w:rStyle w:val="Hyperlink"/>
          <w:lang w:val="en-US"/>
        </w:rPr>
        <w:t>https://www.theccc.org.uk/wp-content/uploads/2019/08/Vivid-Economics-The-Future-of-Carbon-Pricing-in-the-UK.pdf</w:t>
      </w:r>
      <w:r>
        <w:fldChar w:fldCharType="end"/>
      </w:r>
      <w:r>
        <w:rPr>
          <w:lang w:val="en-US"/>
        </w:rPr>
        <w:t xml:space="preserve">&gt; accessed 26 March 2026. </w:t>
      </w:r>
    </w:p>
  </w:footnote>
  <w:footnote w:id="4">
    <w:p w:rsidR="0047345B" w:rsidRPr="00F835B3" w:rsidP="00F835B3">
      <w:pPr>
        <w:pStyle w:val="NoSpacing"/>
        <w:jc w:val="both"/>
        <w:rPr>
          <w:color w:val="000000"/>
        </w:rPr>
      </w:pPr>
      <w:r w:rsidRPr="00136425">
        <w:rPr>
          <w:rStyle w:val="FootnoteReference"/>
          <w:sz w:val="20"/>
          <w:szCs w:val="20"/>
        </w:rPr>
        <w:footnoteRef/>
      </w:r>
      <w:r w:rsidRPr="00136425">
        <w:rPr>
          <w:sz w:val="20"/>
          <w:szCs w:val="20"/>
        </w:rPr>
        <w:t xml:space="preserve"> </w:t>
      </w:r>
      <w:r w:rsidRPr="00136425">
        <w:rPr>
          <w:color w:val="000000"/>
          <w:sz w:val="20"/>
          <w:szCs w:val="20"/>
        </w:rPr>
        <w:t>‘Linking the Swiss and EU Emissions Trading Systems’ (</w:t>
      </w:r>
      <w:r w:rsidRPr="00F835B3">
        <w:rPr>
          <w:i/>
          <w:iCs/>
          <w:color w:val="000000"/>
          <w:sz w:val="20"/>
          <w:szCs w:val="20"/>
        </w:rPr>
        <w:t>Federal Office for the Environment FOEN</w:t>
      </w:r>
      <w:r>
        <w:rPr>
          <w:i/>
          <w:iCs/>
          <w:color w:val="000000"/>
          <w:sz w:val="20"/>
          <w:szCs w:val="20"/>
        </w:rPr>
        <w:t>, 2024</w:t>
      </w:r>
      <w:r w:rsidRPr="00136425">
        <w:rPr>
          <w:color w:val="000000"/>
          <w:sz w:val="20"/>
          <w:szCs w:val="20"/>
        </w:rPr>
        <w:t>) &lt;https://www.bafu.admin.ch/bafu/en/home/topics/climate/info-specialists/reduction-measures/ets/linking-swiss-eu.html&gt; accessed 26 March 2025</w:t>
      </w:r>
      <w:r w:rsidRPr="00136425">
        <w:rPr>
          <w:rStyle w:val="apple-converted-space"/>
          <w:color w:val="000000"/>
          <w:sz w:val="20"/>
          <w:szCs w:val="20"/>
        </w:rPr>
        <w:t> </w:t>
      </w:r>
    </w:p>
  </w:footnote>
  <w:footnote w:id="5">
    <w:p w:rsidR="0047345B" w:rsidRPr="00256897" w:rsidP="00F835B3">
      <w:pPr>
        <w:pStyle w:val="NoSpacing"/>
        <w:jc w:val="both"/>
      </w:pPr>
      <w:r w:rsidRPr="00256897">
        <w:rPr>
          <w:rStyle w:val="FootnoteReference"/>
          <w:sz w:val="20"/>
          <w:szCs w:val="20"/>
        </w:rPr>
        <w:footnoteRef/>
      </w:r>
      <w:r>
        <w:rPr>
          <w:sz w:val="20"/>
          <w:szCs w:val="20"/>
        </w:rPr>
        <w:t xml:space="preserve"> European Commission, </w:t>
      </w:r>
      <w:r w:rsidRPr="00256897">
        <w:rPr>
          <w:sz w:val="20"/>
          <w:szCs w:val="20"/>
        </w:rPr>
        <w:t xml:space="preserve"> </w:t>
      </w:r>
      <w:r w:rsidRPr="00256897">
        <w:rPr>
          <w:sz w:val="20"/>
          <w:szCs w:val="20"/>
        </w:rPr>
        <w:t>‘</w:t>
      </w:r>
      <w:r w:rsidRPr="00256897">
        <w:rPr>
          <w:sz w:val="20"/>
          <w:szCs w:val="20"/>
        </w:rPr>
        <w:t xml:space="preserve">Agreement on Linking the Emissions Trading Systems of the EU and Switzerland’ </w:t>
      </w:r>
      <w:r w:rsidRPr="004718B5">
        <w:rPr>
          <w:sz w:val="20"/>
          <w:szCs w:val="20"/>
        </w:rPr>
        <w:t>(</w:t>
      </w:r>
      <w:r w:rsidRPr="00F835B3">
        <w:rPr>
          <w:sz w:val="20"/>
          <w:szCs w:val="20"/>
        </w:rPr>
        <w:t>9 December 2019</w:t>
      </w:r>
      <w:r w:rsidRPr="004718B5">
        <w:rPr>
          <w:sz w:val="20"/>
          <w:szCs w:val="20"/>
        </w:rPr>
        <w:t>)</w:t>
      </w:r>
      <w:r w:rsidRPr="00256897">
        <w:rPr>
          <w:sz w:val="20"/>
          <w:szCs w:val="20"/>
        </w:rPr>
        <w:t xml:space="preserve"> &lt;https://ec.europa.eu/commission/presscorner/detail/en/ip_19_6708&gt; accessed 2</w:t>
      </w:r>
      <w:r>
        <w:rPr>
          <w:sz w:val="20"/>
          <w:szCs w:val="20"/>
        </w:rPr>
        <w:t>5</w:t>
      </w:r>
      <w:r w:rsidRPr="00256897">
        <w:rPr>
          <w:sz w:val="20"/>
          <w:szCs w:val="20"/>
        </w:rPr>
        <w:t xml:space="preserve"> March 2025</w:t>
      </w:r>
      <w:r w:rsidRPr="00256897">
        <w:rPr>
          <w:rStyle w:val="apple-converted-space"/>
          <w:color w:val="000000"/>
          <w:sz w:val="20"/>
          <w:szCs w:val="20"/>
        </w:rPr>
        <w:t> </w:t>
      </w:r>
    </w:p>
  </w:footnote>
  <w:footnote w:id="6">
    <w:p w:rsidR="0047345B" w:rsidRPr="00907471" w:rsidP="00F835B3">
      <w:pPr>
        <w:pStyle w:val="NoSpacing"/>
        <w:jc w:val="both"/>
      </w:pPr>
      <w:r w:rsidRPr="00907471">
        <w:rPr>
          <w:rStyle w:val="FootnoteReference"/>
          <w:sz w:val="20"/>
          <w:szCs w:val="20"/>
        </w:rPr>
        <w:footnoteRef/>
      </w:r>
      <w:r w:rsidRPr="00907471">
        <w:rPr>
          <w:sz w:val="20"/>
          <w:szCs w:val="20"/>
        </w:rPr>
        <w:t xml:space="preserve"> </w:t>
      </w:r>
      <w:r w:rsidRPr="00907471">
        <w:rPr>
          <w:sz w:val="20"/>
          <w:szCs w:val="20"/>
        </w:rPr>
        <w:t xml:space="preserve">Directive 2003/87/EC of the European Parliament and of the Council  </w:t>
      </w:r>
      <w:r w:rsidRPr="00F835B3">
        <w:rPr>
          <w:color w:val="000000"/>
          <w:sz w:val="20"/>
          <w:szCs w:val="20"/>
          <w:shd w:val="clear" w:color="auto" w:fill="FFFFFF"/>
        </w:rPr>
        <w:t>establishing a scheme for greenhouse gas emission allowance trading within the Community and amending Council Directive 96/61/EC</w:t>
      </w:r>
      <w:r w:rsidRPr="00907471">
        <w:rPr>
          <w:sz w:val="20"/>
          <w:szCs w:val="20"/>
        </w:rPr>
        <w:t xml:space="preserve"> &lt;</w:t>
      </w:r>
      <w:r>
        <w:fldChar w:fldCharType="begin"/>
      </w:r>
      <w:r>
        <w:instrText xml:space="preserve"> HYPERLINK "https://eur-lex.europa.eu/legal-content/EN/TXT/HTML/?uri=CELEX:32003L0087" </w:instrText>
      </w:r>
      <w:r>
        <w:fldChar w:fldCharType="separate"/>
      </w:r>
      <w:r w:rsidRPr="00907471">
        <w:rPr>
          <w:rStyle w:val="Hyperlink"/>
          <w:sz w:val="20"/>
          <w:szCs w:val="20"/>
        </w:rPr>
        <w:t>https://eur-lex.europa.eu/legal-content/EN/TXT/HTML/?uri=CELEX:32003L0087</w:t>
      </w:r>
      <w:r>
        <w:fldChar w:fldCharType="end"/>
      </w:r>
      <w:r w:rsidRPr="00907471">
        <w:rPr>
          <w:sz w:val="20"/>
          <w:szCs w:val="20"/>
        </w:rPr>
        <w:t>&gt;accessed 27 March 2025.</w:t>
      </w:r>
    </w:p>
  </w:footnote>
  <w:footnote w:id="7">
    <w:p w:rsidR="0047345B" w:rsidRPr="00256897" w:rsidP="00F835B3">
      <w:pPr>
        <w:pStyle w:val="NoSpacing"/>
        <w:jc w:val="both"/>
      </w:pPr>
      <w:r w:rsidRPr="00256897">
        <w:rPr>
          <w:rStyle w:val="FootnoteReference"/>
          <w:sz w:val="20"/>
          <w:szCs w:val="20"/>
        </w:rPr>
        <w:footnoteRef/>
      </w:r>
      <w:r w:rsidRPr="00256897">
        <w:rPr>
          <w:sz w:val="20"/>
          <w:szCs w:val="20"/>
        </w:rPr>
        <w:t xml:space="preserve"> </w:t>
      </w:r>
      <w:r w:rsidRPr="00256897">
        <w:rPr>
          <w:sz w:val="20"/>
          <w:szCs w:val="20"/>
        </w:rPr>
        <w:t>‘Energy UK Responds to UK Government’s ETS Proposal’ (</w:t>
      </w:r>
      <w:r w:rsidRPr="00256897">
        <w:rPr>
          <w:i/>
          <w:iCs/>
          <w:sz w:val="20"/>
          <w:szCs w:val="20"/>
        </w:rPr>
        <w:t>Energy UK</w:t>
      </w:r>
      <w:r w:rsidRPr="00256897">
        <w:rPr>
          <w:sz w:val="20"/>
          <w:szCs w:val="20"/>
        </w:rPr>
        <w:t xml:space="preserve">, </w:t>
      </w:r>
      <w:r>
        <w:rPr>
          <w:sz w:val="20"/>
          <w:szCs w:val="20"/>
        </w:rPr>
        <w:t>20 June 2020</w:t>
      </w:r>
      <w:r w:rsidRPr="00256897">
        <w:rPr>
          <w:sz w:val="20"/>
          <w:szCs w:val="20"/>
        </w:rPr>
        <w:t xml:space="preserve">) </w:t>
      </w:r>
      <w:r w:rsidRPr="00256897">
        <w:rPr>
          <w:sz w:val="20"/>
          <w:szCs w:val="20"/>
        </w:rPr>
        <w:t>&lt;https://www.energy-uk.org.uk/news/energy-uk-responds-to-uk-government-s-ets-proposal/&gt; accessed 26 March 2025</w:t>
      </w:r>
      <w:r w:rsidRPr="00256897">
        <w:rPr>
          <w:rStyle w:val="apple-converted-space"/>
          <w:color w:val="000000"/>
          <w:sz w:val="20"/>
          <w:szCs w:val="20"/>
        </w:rPr>
        <w:t> </w:t>
      </w:r>
    </w:p>
  </w:footnote>
  <w:footnote w:id="8">
    <w:p w:rsidR="0047345B" w:rsidRPr="009B64C9" w:rsidP="00C73392">
      <w:pPr>
        <w:pStyle w:val="FootnoteText"/>
        <w:jc w:val="both"/>
        <w:rPr>
          <w:lang w:val="en-US"/>
        </w:rPr>
      </w:pPr>
      <w:r w:rsidRPr="00256897">
        <w:rPr>
          <w:rStyle w:val="FootnoteReference"/>
        </w:rPr>
        <w:footnoteRef/>
      </w:r>
      <w:r w:rsidRPr="00256897">
        <w:t xml:space="preserve"> </w:t>
      </w:r>
      <w:r>
        <w:t xml:space="preserve"> Alistair Dillon </w:t>
      </w:r>
      <w:r>
        <w:t>and Others ‘Carbon Border Adjustment</w:t>
      </w:r>
      <w:r>
        <w:t xml:space="preserve"> Mechanisms’ </w:t>
      </w:r>
      <w:r>
        <w:t>(Research Briefing, House of Commons Library 5 March 2024) &lt;</w:t>
      </w:r>
      <w:r w:rsidRPr="000F61B0">
        <w:t xml:space="preserve"> </w:t>
      </w:r>
      <w:r>
        <w:fldChar w:fldCharType="begin"/>
      </w:r>
      <w:r>
        <w:instrText xml:space="preserve"> HYPERLINK "https://commonslibrary.parliament.uk/research-briefings/cbp-9935/" </w:instrText>
      </w:r>
      <w:r>
        <w:fldChar w:fldCharType="separate"/>
      </w:r>
      <w:r w:rsidRPr="00B27380">
        <w:rPr>
          <w:rStyle w:val="Hyperlink"/>
        </w:rPr>
        <w:t>https://commonslibrary.parliament.uk/research-briefings/cbp-9935/</w:t>
      </w:r>
      <w:r>
        <w:fldChar w:fldCharType="end"/>
      </w:r>
      <w:r>
        <w:t>&gt;</w:t>
      </w:r>
      <w:r>
        <w:t xml:space="preserve"> accessed 27 March 2025.</w:t>
      </w:r>
    </w:p>
    <w:p w:rsidR="0047345B" w:rsidRPr="00F835B3" w:rsidP="00F835B3">
      <w:pPr>
        <w:pStyle w:val="FootnoteText"/>
        <w:jc w:val="both"/>
        <w:rPr>
          <w:lang w:val="en-US"/>
        </w:rPr>
      </w:pPr>
    </w:p>
  </w:footnote>
  <w:footnote w:id="9">
    <w:p w:rsidR="0047345B" w:rsidRPr="00F835B3" w:rsidP="00F835B3">
      <w:pPr>
        <w:pStyle w:val="NoSpacing"/>
        <w:jc w:val="both"/>
        <w:rPr>
          <w:lang w:val="en-US"/>
        </w:rPr>
      </w:pPr>
      <w:r w:rsidRPr="00AF6CDF">
        <w:rPr>
          <w:rStyle w:val="FootnoteReference"/>
          <w:sz w:val="20"/>
          <w:szCs w:val="20"/>
        </w:rPr>
        <w:footnoteRef/>
      </w:r>
      <w:r w:rsidRPr="00AF6CDF">
        <w:rPr>
          <w:sz w:val="20"/>
          <w:szCs w:val="20"/>
        </w:rPr>
        <w:t xml:space="preserve"> </w:t>
      </w:r>
      <w:r w:rsidRPr="00AF6CDF">
        <w:rPr>
          <w:sz w:val="20"/>
          <w:szCs w:val="20"/>
        </w:rPr>
        <w:t xml:space="preserve">Elena Ares and others, ‘The UK-EU Trade Cooperation Agreement – Level Playing Field’  (Briefing Paper No. 9190, House of Commons Library 20 May 2021) </w:t>
      </w:r>
      <w:r w:rsidRPr="00AF6CDF">
        <w:rPr>
          <w:sz w:val="20"/>
          <w:szCs w:val="20"/>
        </w:rPr>
        <w:t>&lt;</w:t>
      </w:r>
      <w:r>
        <w:fldChar w:fldCharType="begin"/>
      </w:r>
      <w:r>
        <w:instrText xml:space="preserve"> HYPERLINK "https://researchbriefings.files.parliament.uk/documents/CBP-9190/CBP-9190.pdf" </w:instrText>
      </w:r>
      <w:r>
        <w:fldChar w:fldCharType="separate"/>
      </w:r>
      <w:r w:rsidRPr="00AF6CDF">
        <w:rPr>
          <w:rStyle w:val="Hyperlink"/>
          <w:sz w:val="20"/>
          <w:szCs w:val="20"/>
        </w:rPr>
        <w:t>https://researchbriefings.files.parliament.uk/documents/CBP-9190/CBP-9190.pdf</w:t>
      </w:r>
      <w:r>
        <w:fldChar w:fldCharType="end"/>
      </w:r>
      <w:r w:rsidRPr="00AF6CDF">
        <w:rPr>
          <w:sz w:val="20"/>
          <w:szCs w:val="20"/>
        </w:rPr>
        <w:t>&gt; accessed 27 March 2025.</w:t>
      </w:r>
    </w:p>
  </w:footnote>
  <w:footnote w:id="10">
    <w:p w:rsidR="0047345B" w:rsidRPr="00F835B3" w:rsidP="00F835B3">
      <w:pPr>
        <w:pStyle w:val="NoSpacing"/>
        <w:jc w:val="both"/>
        <w:rPr>
          <w:lang w:val="en-US"/>
        </w:rPr>
      </w:pPr>
      <w:r w:rsidRPr="00AF6CDF">
        <w:rPr>
          <w:rStyle w:val="FootnoteReference"/>
          <w:sz w:val="20"/>
          <w:szCs w:val="20"/>
        </w:rPr>
        <w:footnoteRef/>
      </w:r>
      <w:r w:rsidRPr="00AF6CDF">
        <w:rPr>
          <w:sz w:val="20"/>
          <w:szCs w:val="20"/>
        </w:rPr>
        <w:t xml:space="preserve"> UK-EU Trade Cooperation Summary, 24 December 2020.</w:t>
      </w:r>
    </w:p>
  </w:footnote>
  <w:footnote w:id="11">
    <w:p w:rsidR="0047345B" w:rsidRPr="00F835B3" w:rsidP="00F835B3">
      <w:pPr>
        <w:pStyle w:val="NoSpacing"/>
        <w:jc w:val="both"/>
        <w:rPr>
          <w:color w:val="000000"/>
        </w:rPr>
      </w:pPr>
      <w:r w:rsidRPr="00AF6CDF">
        <w:rPr>
          <w:rStyle w:val="FootnoteReference"/>
          <w:sz w:val="20"/>
          <w:szCs w:val="20"/>
        </w:rPr>
        <w:footnoteRef/>
      </w:r>
      <w:r w:rsidRPr="00AF6CDF">
        <w:rPr>
          <w:sz w:val="20"/>
          <w:szCs w:val="20"/>
        </w:rPr>
        <w:t xml:space="preserve"> Markus </w:t>
      </w:r>
      <w:r w:rsidRPr="00AF6CDF">
        <w:rPr>
          <w:color w:val="000000"/>
          <w:sz w:val="20"/>
          <w:szCs w:val="20"/>
        </w:rPr>
        <w:t>Gehring, ‘The EU-UK Agreement Is the First to Make Climate a Make-or-Break Issue’ (</w:t>
      </w:r>
      <w:r w:rsidRPr="00AF6CDF">
        <w:rPr>
          <w:i/>
          <w:iCs/>
          <w:color w:val="000000"/>
          <w:sz w:val="20"/>
          <w:szCs w:val="20"/>
        </w:rPr>
        <w:t>UK in a changing Europe</w:t>
      </w:r>
      <w:r w:rsidRPr="00AF6CDF">
        <w:rPr>
          <w:color w:val="000000"/>
          <w:sz w:val="20"/>
          <w:szCs w:val="20"/>
        </w:rPr>
        <w:t xml:space="preserve">, 1 December </w:t>
      </w:r>
      <w:r w:rsidRPr="00AF6CDF">
        <w:rPr>
          <w:color w:val="000000"/>
          <w:sz w:val="20"/>
          <w:szCs w:val="20"/>
        </w:rPr>
        <w:t>2022) &lt;https://ukandeu.ac.uk/the-eu-uk-agreement-is-the-first-to-make-climate-a-make-or-break-issue/&gt; accessed 27 March 2025</w:t>
      </w:r>
      <w:r w:rsidRPr="00AF6CDF">
        <w:rPr>
          <w:rStyle w:val="apple-converted-space"/>
          <w:color w:val="000000"/>
          <w:sz w:val="20"/>
          <w:szCs w:val="20"/>
        </w:rPr>
        <w:t> </w:t>
      </w:r>
    </w:p>
  </w:footnote>
  <w:footnote w:id="12">
    <w:p w:rsidR="0047345B" w:rsidRPr="00F835B3" w:rsidP="00F835B3">
      <w:pPr>
        <w:pStyle w:val="NoSpacing"/>
        <w:jc w:val="both"/>
        <w:rPr>
          <w:lang w:val="en-US"/>
        </w:rPr>
      </w:pPr>
      <w:r w:rsidRPr="00AF6CDF">
        <w:rPr>
          <w:rStyle w:val="FootnoteReference"/>
          <w:sz w:val="20"/>
          <w:szCs w:val="20"/>
        </w:rPr>
        <w:footnoteRef/>
      </w:r>
      <w:r w:rsidRPr="00AF6CDF">
        <w:rPr>
          <w:sz w:val="20"/>
          <w:szCs w:val="20"/>
          <w:lang w:val="en-US"/>
        </w:rPr>
        <w:t xml:space="preserve"> Ares and Others</w:t>
      </w:r>
      <w:r w:rsidRPr="00AF6CDF">
        <w:rPr>
          <w:sz w:val="20"/>
          <w:szCs w:val="20"/>
          <w:lang w:val="en-US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18D3FC0"/>
    <w:multiLevelType w:val="hybridMultilevel"/>
    <w:tmpl w:val="B36CCF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20"/>
  <w:characterSpacingControl w:val="doNotCompress"/>
  <w:footnotePr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706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706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706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06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06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06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06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06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06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06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706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706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067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067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06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06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06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06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06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06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06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06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06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06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06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067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06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067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0672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104D94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104D9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04D9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04D94"/>
    <w:rPr>
      <w:vertAlign w:val="superscript"/>
    </w:rPr>
  </w:style>
  <w:style w:type="character" w:customStyle="1" w:styleId="apple-converted-space">
    <w:name w:val="apple-converted-space"/>
    <w:basedOn w:val="DefaultParagraphFont"/>
    <w:rsid w:val="00977278"/>
  </w:style>
  <w:style w:type="paragraph" w:styleId="NormalWeb">
    <w:name w:val="Normal (Web)"/>
    <w:basedOn w:val="Normal"/>
    <w:uiPriority w:val="99"/>
    <w:unhideWhenUsed/>
    <w:rsid w:val="00595A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n-IN"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0245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450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450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45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4507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2A12A2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F66BF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136425"/>
    <w:pPr>
      <w:spacing w:after="0" w:line="240" w:lineRule="auto"/>
    </w:pPr>
  </w:style>
  <w:style w:type="paragraph" w:customStyle="1" w:styleId="doc-ti">
    <w:name w:val="doc-ti"/>
    <w:basedOn w:val="Normal"/>
    <w:rsid w:val="009074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n-IN"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C73392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636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362D"/>
  </w:style>
  <w:style w:type="paragraph" w:styleId="Footer">
    <w:name w:val="footer"/>
    <w:basedOn w:val="Normal"/>
    <w:link w:val="FooterChar"/>
    <w:uiPriority w:val="99"/>
    <w:unhideWhenUsed/>
    <w:rsid w:val="009636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36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>-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