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0EBF" w:rsidRPr="003A3EF4" w:rsidP="006F0EBF">
      <w:pPr>
        <w:shd w:val="clear" w:color="auto" w:fill="FFFFFF"/>
        <w:spacing w:after="200"/>
        <w:rPr>
          <w:rFonts w:ascii="Verdana" w:hAnsi="Verdana"/>
          <w:b/>
          <w:bCs/>
          <w:sz w:val="28"/>
          <w:szCs w:val="28"/>
        </w:rPr>
      </w:pPr>
      <w:r>
        <w:rPr>
          <w:rFonts w:ascii="Verdana" w:hAnsi="Verdana"/>
          <w:b/>
          <w:bCs/>
          <w:sz w:val="28"/>
          <w:szCs w:val="28"/>
        </w:rPr>
        <w:t>Dr Lee Rotherham</w:t>
      </w:r>
      <w:r w:rsidRPr="004B5B3A">
        <w:rPr>
          <w:rFonts w:ascii="Verdana" w:hAnsi="Verdana"/>
          <w:b/>
          <w:bCs/>
          <w:sz w:val="28"/>
          <w:szCs w:val="28"/>
        </w:rPr>
        <w:t xml:space="preserve"> </w:t>
      </w:r>
      <w:r w:rsidRPr="00146BEA">
        <w:rPr>
          <w:rFonts w:ascii="Verdana" w:hAnsi="Verdana"/>
          <w:b/>
          <w:bCs/>
          <w:sz w:val="28"/>
          <w:szCs w:val="28"/>
        </w:rPr>
        <w:t>– Written Evidence (RES00</w:t>
      </w:r>
      <w:r>
        <w:rPr>
          <w:rFonts w:ascii="Verdana" w:hAnsi="Verdana"/>
          <w:b/>
          <w:bCs/>
          <w:sz w:val="28"/>
          <w:szCs w:val="28"/>
        </w:rPr>
        <w:t>52</w:t>
      </w:r>
      <w:r w:rsidRPr="00146BEA">
        <w:rPr>
          <w:rFonts w:ascii="Verdana" w:hAnsi="Verdana"/>
          <w:b/>
          <w:bCs/>
          <w:sz w:val="28"/>
          <w:szCs w:val="28"/>
        </w:rPr>
        <w:t>)</w:t>
      </w:r>
    </w:p>
    <w:p w:rsidR="006F0EBF" w:rsidRPr="006F0EBF" w:rsidP="008231DF">
      <w:pPr>
        <w:jc w:val="center"/>
        <w:rPr>
          <w:rFonts w:ascii="Verdana" w:hAnsi="Verdana" w:cs="Calibri"/>
          <w:b/>
          <w:bCs/>
          <w:sz w:val="24"/>
          <w:szCs w:val="24"/>
        </w:rPr>
      </w:pPr>
      <w:r w:rsidRPr="006F0EBF">
        <w:rPr>
          <w:rFonts w:ascii="Verdana" w:hAnsi="Verdana" w:cs="Calibri"/>
          <w:b/>
          <w:bCs/>
          <w:sz w:val="24"/>
          <w:szCs w:val="24"/>
        </w:rPr>
        <w:t>CSDP: Long Term Risks from Affiliation</w:t>
      </w:r>
    </w:p>
    <w:p w:rsidR="006F0EBF" w:rsidRPr="006F0EBF" w:rsidP="00823672">
      <w:pPr>
        <w:jc w:val="center"/>
        <w:rPr>
          <w:rFonts w:ascii="Verdana" w:hAnsi="Verdana" w:cs="Calibri"/>
          <w:sz w:val="24"/>
          <w:szCs w:val="24"/>
        </w:rPr>
      </w:pPr>
      <w:r w:rsidRPr="006F0EBF">
        <w:rPr>
          <w:rFonts w:ascii="Verdana" w:hAnsi="Verdana" w:cs="Calibri"/>
          <w:sz w:val="24"/>
          <w:szCs w:val="24"/>
        </w:rPr>
        <w:t>A submission to the Lords European Committee on European Defence, responding to the Call for Evidence and recommending minimal structural affiliation in the HMG “reset”</w:t>
      </w:r>
    </w:p>
    <w:p w:rsidR="006F0EBF" w:rsidRPr="006F0EBF" w:rsidP="00823672">
      <w:pPr>
        <w:jc w:val="center"/>
        <w:rPr>
          <w:rFonts w:ascii="Verdana" w:hAnsi="Verdana" w:cs="Calibri"/>
          <w:sz w:val="24"/>
          <w:szCs w:val="24"/>
        </w:rPr>
      </w:pPr>
      <w:r w:rsidRPr="006F0EBF">
        <w:rPr>
          <w:rFonts w:ascii="Verdana" w:hAnsi="Verdana" w:cs="Calibri"/>
          <w:sz w:val="24"/>
          <w:szCs w:val="24"/>
        </w:rPr>
        <w:t>Lee Rotherham MPhil, PhD, VR</w:t>
      </w:r>
    </w:p>
    <w:p w:rsidR="006F0EBF" w:rsidRPr="006F0EBF" w:rsidP="004728B6">
      <w:pPr>
        <w:rPr>
          <w:rFonts w:ascii="Verdana" w:hAnsi="Verdana" w:cs="Calibri"/>
          <w:b/>
          <w:bCs/>
          <w:sz w:val="24"/>
          <w:szCs w:val="24"/>
        </w:rPr>
      </w:pPr>
    </w:p>
    <w:p w:rsidR="006F0EBF" w:rsidRPr="006F0EBF" w:rsidP="004728B6">
      <w:pPr>
        <w:rPr>
          <w:rFonts w:ascii="Verdana" w:hAnsi="Verdana" w:cs="Calibri"/>
          <w:b/>
          <w:bCs/>
          <w:sz w:val="24"/>
          <w:szCs w:val="24"/>
        </w:rPr>
      </w:pPr>
      <w:r w:rsidRPr="006F0EBF">
        <w:rPr>
          <w:rFonts w:ascii="Verdana" w:hAnsi="Verdana" w:cs="Calibri"/>
          <w:b/>
          <w:bCs/>
          <w:sz w:val="24"/>
          <w:szCs w:val="24"/>
        </w:rPr>
        <w:t xml:space="preserve">Headline </w:t>
      </w:r>
    </w:p>
    <w:p w:rsidR="006F0EBF" w:rsidRPr="006F0EBF" w:rsidP="004728B6">
      <w:pPr>
        <w:rPr>
          <w:rFonts w:ascii="Verdana" w:hAnsi="Verdana" w:cs="Calibri"/>
          <w:sz w:val="24"/>
          <w:szCs w:val="24"/>
        </w:rPr>
      </w:pPr>
      <w:r w:rsidRPr="006F0EBF">
        <w:rPr>
          <w:rFonts w:ascii="Verdana" w:hAnsi="Verdana" w:cs="Calibri"/>
          <w:sz w:val="24"/>
          <w:szCs w:val="24"/>
        </w:rPr>
        <w:t>Close affiliation with any aspect of the EU’s frameworks on Defence</w:t>
      </w:r>
      <w:r w:rsidRPr="006F0EBF">
        <w:rPr>
          <w:rFonts w:ascii="Verdana" w:hAnsi="Verdana" w:cs="Calibri"/>
          <w:sz w:val="24"/>
          <w:szCs w:val="24"/>
        </w:rPr>
        <w:t xml:space="preserve"> -</w:t>
      </w:r>
      <w:r w:rsidRPr="006F0EBF">
        <w:rPr>
          <w:rFonts w:ascii="Verdana" w:hAnsi="Verdana" w:cs="Calibri"/>
          <w:sz w:val="24"/>
          <w:szCs w:val="24"/>
        </w:rPr>
        <w:t xml:space="preserve"> whether relating to procurement</w:t>
      </w:r>
      <w:r w:rsidRPr="006F0EBF">
        <w:rPr>
          <w:rFonts w:ascii="Verdana" w:hAnsi="Verdana" w:cs="Calibri"/>
          <w:sz w:val="24"/>
          <w:szCs w:val="24"/>
        </w:rPr>
        <w:t xml:space="preserve">, </w:t>
      </w:r>
      <w:r w:rsidRPr="006F0EBF">
        <w:rPr>
          <w:rFonts w:ascii="Verdana" w:hAnsi="Verdana" w:cs="Calibri"/>
          <w:sz w:val="24"/>
          <w:szCs w:val="24"/>
        </w:rPr>
        <w:t xml:space="preserve">formations, </w:t>
      </w:r>
      <w:r w:rsidRPr="006F0EBF">
        <w:rPr>
          <w:rFonts w:ascii="Verdana" w:hAnsi="Verdana" w:cs="Calibri"/>
          <w:sz w:val="24"/>
          <w:szCs w:val="24"/>
        </w:rPr>
        <w:t xml:space="preserve">assets, </w:t>
      </w:r>
      <w:r w:rsidRPr="006F0EBF">
        <w:rPr>
          <w:rFonts w:ascii="Verdana" w:hAnsi="Verdana" w:cs="Calibri"/>
          <w:sz w:val="24"/>
          <w:szCs w:val="24"/>
        </w:rPr>
        <w:t>or policy coo</w:t>
      </w:r>
      <w:r w:rsidRPr="006F0EBF">
        <w:rPr>
          <w:rFonts w:ascii="Verdana" w:hAnsi="Verdana" w:cs="Calibri"/>
          <w:sz w:val="24"/>
          <w:szCs w:val="24"/>
        </w:rPr>
        <w:t>rdin</w:t>
      </w:r>
      <w:r w:rsidRPr="006F0EBF">
        <w:rPr>
          <w:rFonts w:ascii="Verdana" w:hAnsi="Verdana" w:cs="Calibri"/>
          <w:sz w:val="24"/>
          <w:szCs w:val="24"/>
        </w:rPr>
        <w:t>ation</w:t>
      </w:r>
      <w:r w:rsidRPr="006F0EBF">
        <w:rPr>
          <w:rFonts w:ascii="Verdana" w:hAnsi="Verdana" w:cs="Calibri"/>
          <w:sz w:val="24"/>
          <w:szCs w:val="24"/>
        </w:rPr>
        <w:t xml:space="preserve"> -</w:t>
      </w:r>
      <w:r w:rsidRPr="006F0EBF">
        <w:rPr>
          <w:rFonts w:ascii="Verdana" w:hAnsi="Verdana" w:cs="Calibri"/>
          <w:sz w:val="24"/>
          <w:szCs w:val="24"/>
        </w:rPr>
        <w:t xml:space="preserve"> </w:t>
      </w:r>
      <w:r w:rsidRPr="006F0EBF">
        <w:rPr>
          <w:rFonts w:ascii="Verdana" w:hAnsi="Verdana" w:cs="Calibri"/>
          <w:sz w:val="24"/>
          <w:szCs w:val="24"/>
        </w:rPr>
        <w:t>brings risk</w:t>
      </w:r>
      <w:r w:rsidRPr="006F0EBF">
        <w:rPr>
          <w:rFonts w:ascii="Verdana" w:hAnsi="Verdana" w:cs="Calibri"/>
          <w:sz w:val="24"/>
          <w:szCs w:val="24"/>
        </w:rPr>
        <w:t>. All are conceptually</w:t>
      </w:r>
      <w:r w:rsidRPr="006F0EBF">
        <w:rPr>
          <w:rFonts w:ascii="Verdana" w:hAnsi="Verdana" w:cs="Calibri"/>
          <w:sz w:val="24"/>
          <w:szCs w:val="24"/>
        </w:rPr>
        <w:t xml:space="preserve"> and textually</w:t>
      </w:r>
      <w:r w:rsidRPr="006F0EBF">
        <w:rPr>
          <w:rFonts w:ascii="Verdana" w:hAnsi="Verdana" w:cs="Calibri"/>
          <w:sz w:val="24"/>
          <w:szCs w:val="24"/>
        </w:rPr>
        <w:t xml:space="preserve"> interlinked</w:t>
      </w:r>
      <w:r w:rsidRPr="006F0EBF">
        <w:rPr>
          <w:rFonts w:ascii="Verdana" w:hAnsi="Verdana" w:cs="Calibri"/>
          <w:sz w:val="24"/>
          <w:szCs w:val="24"/>
        </w:rPr>
        <w:t>,</w:t>
      </w:r>
      <w:r w:rsidRPr="006F0EBF">
        <w:rPr>
          <w:rFonts w:ascii="Verdana" w:hAnsi="Verdana" w:cs="Calibri"/>
          <w:sz w:val="24"/>
          <w:szCs w:val="24"/>
        </w:rPr>
        <w:t xml:space="preserve"> and </w:t>
      </w:r>
      <w:r w:rsidRPr="006F0EBF">
        <w:rPr>
          <w:rFonts w:ascii="Verdana" w:hAnsi="Verdana" w:cs="Calibri"/>
          <w:sz w:val="24"/>
          <w:szCs w:val="24"/>
        </w:rPr>
        <w:t xml:space="preserve">as the </w:t>
      </w:r>
      <w:r w:rsidRPr="006F0EBF">
        <w:rPr>
          <w:rFonts w:ascii="Verdana" w:hAnsi="Verdana" w:cs="Calibri"/>
          <w:sz w:val="24"/>
          <w:szCs w:val="24"/>
        </w:rPr>
        <w:t>documents</w:t>
      </w:r>
      <w:r w:rsidRPr="006F0EBF">
        <w:rPr>
          <w:rFonts w:ascii="Verdana" w:hAnsi="Verdana" w:cs="Calibri"/>
          <w:sz w:val="24"/>
          <w:szCs w:val="24"/>
        </w:rPr>
        <w:t xml:space="preserve"> themselves relate and Commissioners themselves state, </w:t>
      </w:r>
      <w:r w:rsidRPr="006F0EBF">
        <w:rPr>
          <w:rFonts w:ascii="Verdana" w:hAnsi="Verdana" w:cs="Calibri"/>
          <w:sz w:val="24"/>
          <w:szCs w:val="24"/>
        </w:rPr>
        <w:t xml:space="preserve">signing up to individual elements is </w:t>
      </w:r>
      <w:r w:rsidRPr="006F0EBF">
        <w:rPr>
          <w:rFonts w:ascii="Verdana" w:hAnsi="Verdana" w:cs="Calibri"/>
          <w:sz w:val="24"/>
          <w:szCs w:val="24"/>
        </w:rPr>
        <w:t xml:space="preserve">also </w:t>
      </w:r>
      <w:r w:rsidRPr="006F0EBF">
        <w:rPr>
          <w:rFonts w:ascii="Verdana" w:hAnsi="Verdana" w:cs="Calibri"/>
          <w:sz w:val="24"/>
          <w:szCs w:val="24"/>
        </w:rPr>
        <w:t>considered a</w:t>
      </w:r>
      <w:r w:rsidRPr="006F0EBF">
        <w:rPr>
          <w:rFonts w:ascii="Verdana" w:hAnsi="Verdana" w:cs="Calibri"/>
          <w:sz w:val="24"/>
          <w:szCs w:val="24"/>
        </w:rPr>
        <w:t xml:space="preserve"> party’s</w:t>
      </w:r>
      <w:r w:rsidRPr="006F0EBF">
        <w:rPr>
          <w:rFonts w:ascii="Verdana" w:hAnsi="Verdana" w:cs="Calibri"/>
          <w:sz w:val="24"/>
          <w:szCs w:val="24"/>
        </w:rPr>
        <w:t xml:space="preserve"> endorsement of the others. </w:t>
      </w:r>
    </w:p>
    <w:p w:rsidR="006F0EBF" w:rsidRPr="006F0EBF" w:rsidP="004728B6">
      <w:pPr>
        <w:rPr>
          <w:rFonts w:ascii="Verdana" w:hAnsi="Verdana" w:cs="Calibri"/>
          <w:sz w:val="24"/>
          <w:szCs w:val="24"/>
        </w:rPr>
      </w:pPr>
      <w:r w:rsidRPr="006F0EBF">
        <w:rPr>
          <w:rFonts w:ascii="Verdana" w:hAnsi="Verdana" w:cs="Calibri"/>
          <w:sz w:val="24"/>
          <w:szCs w:val="24"/>
        </w:rPr>
        <w:t>This is problematic where the grand strategic intent is to integrate European industries and capabilities</w:t>
      </w:r>
      <w:r w:rsidRPr="006F0EBF">
        <w:rPr>
          <w:rFonts w:ascii="Verdana" w:hAnsi="Verdana" w:cs="Calibri"/>
          <w:sz w:val="24"/>
          <w:szCs w:val="24"/>
        </w:rPr>
        <w:t xml:space="preserve">, operating under common policies, increasingly </w:t>
      </w:r>
      <w:r w:rsidRPr="006F0EBF">
        <w:rPr>
          <w:rFonts w:ascii="Verdana" w:hAnsi="Verdana" w:cs="Calibri"/>
          <w:sz w:val="24"/>
          <w:szCs w:val="24"/>
        </w:rPr>
        <w:t xml:space="preserve">over time </w:t>
      </w:r>
      <w:r w:rsidRPr="006F0EBF">
        <w:rPr>
          <w:rFonts w:ascii="Verdana" w:hAnsi="Verdana" w:cs="Calibri"/>
          <w:sz w:val="24"/>
          <w:szCs w:val="24"/>
        </w:rPr>
        <w:t xml:space="preserve">to be managed under </w:t>
      </w:r>
      <w:r w:rsidRPr="006F0EBF">
        <w:rPr>
          <w:rFonts w:ascii="Verdana" w:hAnsi="Verdana" w:cs="Calibri"/>
          <w:sz w:val="24"/>
          <w:szCs w:val="24"/>
        </w:rPr>
        <w:t>QMV</w:t>
      </w:r>
      <w:r w:rsidRPr="006F0EBF">
        <w:rPr>
          <w:rFonts w:ascii="Verdana" w:hAnsi="Verdana" w:cs="Calibri"/>
          <w:sz w:val="24"/>
          <w:szCs w:val="24"/>
        </w:rPr>
        <w:t xml:space="preserve">. </w:t>
      </w:r>
    </w:p>
    <w:p w:rsidR="006F0EBF" w:rsidRPr="006F0EBF" w:rsidP="004728B6">
      <w:pPr>
        <w:rPr>
          <w:rFonts w:ascii="Verdana" w:hAnsi="Verdana" w:cs="Calibri"/>
          <w:sz w:val="24"/>
          <w:szCs w:val="24"/>
        </w:rPr>
      </w:pPr>
      <w:r w:rsidRPr="006F0EBF">
        <w:rPr>
          <w:rFonts w:ascii="Verdana" w:hAnsi="Verdana" w:cs="Calibri"/>
          <w:sz w:val="24"/>
          <w:szCs w:val="24"/>
        </w:rPr>
        <w:t>Explicit t</w:t>
      </w:r>
      <w:r w:rsidRPr="006F0EBF">
        <w:rPr>
          <w:rFonts w:ascii="Verdana" w:hAnsi="Verdana" w:cs="Calibri"/>
          <w:sz w:val="24"/>
          <w:szCs w:val="24"/>
        </w:rPr>
        <w:t xml:space="preserve">reaty safeguards </w:t>
      </w:r>
      <w:r w:rsidRPr="006F0EBF">
        <w:rPr>
          <w:rFonts w:ascii="Verdana" w:hAnsi="Verdana" w:cs="Calibri"/>
          <w:sz w:val="24"/>
          <w:szCs w:val="24"/>
        </w:rPr>
        <w:t xml:space="preserve">for an associated party </w:t>
      </w:r>
      <w:r w:rsidRPr="006F0EBF">
        <w:rPr>
          <w:rFonts w:ascii="Verdana" w:hAnsi="Verdana" w:cs="Calibri"/>
          <w:sz w:val="24"/>
          <w:szCs w:val="24"/>
        </w:rPr>
        <w:t xml:space="preserve">cannot be guaranteed to </w:t>
      </w:r>
      <w:r w:rsidRPr="006F0EBF">
        <w:rPr>
          <w:rFonts w:ascii="Verdana" w:hAnsi="Verdana" w:cs="Calibri"/>
          <w:sz w:val="24"/>
          <w:szCs w:val="24"/>
        </w:rPr>
        <w:t>work</w:t>
      </w:r>
      <w:r w:rsidRPr="006F0EBF">
        <w:rPr>
          <w:rFonts w:ascii="Verdana" w:hAnsi="Verdana" w:cs="Calibri"/>
          <w:sz w:val="24"/>
          <w:szCs w:val="24"/>
        </w:rPr>
        <w:t>:</w:t>
      </w:r>
      <w:r w:rsidRPr="006F0EBF">
        <w:rPr>
          <w:rFonts w:ascii="Verdana" w:hAnsi="Verdana" w:cs="Calibri"/>
          <w:sz w:val="24"/>
          <w:szCs w:val="24"/>
        </w:rPr>
        <w:t xml:space="preserve"> remember that the Treaty of Lisbon’s Disaster Clause was elastically reinterpreted to define economic crises as </w:t>
      </w:r>
      <w:r w:rsidRPr="006F0EBF">
        <w:rPr>
          <w:rFonts w:ascii="Verdana" w:hAnsi="Verdana" w:cs="Calibri"/>
          <w:sz w:val="24"/>
          <w:szCs w:val="24"/>
        </w:rPr>
        <w:t xml:space="preserve">also </w:t>
      </w:r>
      <w:r w:rsidRPr="006F0EBF">
        <w:rPr>
          <w:rFonts w:ascii="Verdana" w:hAnsi="Verdana" w:cs="Calibri"/>
          <w:sz w:val="24"/>
          <w:szCs w:val="24"/>
        </w:rPr>
        <w:t>falling under it</w:t>
      </w:r>
      <w:r w:rsidRPr="006F0EBF">
        <w:rPr>
          <w:rFonts w:ascii="Verdana" w:hAnsi="Verdana" w:cs="Calibri"/>
          <w:sz w:val="24"/>
          <w:szCs w:val="24"/>
        </w:rPr>
        <w:t xml:space="preserve">, circumventing the UK’s clear Eurozone opt outs. Again, the Commission’s lack of legal competency relating to North Sea energy was circumvented by </w:t>
      </w:r>
      <w:r w:rsidRPr="006F0EBF">
        <w:rPr>
          <w:rFonts w:ascii="Verdana" w:hAnsi="Verdana" w:cs="Calibri"/>
          <w:sz w:val="24"/>
          <w:szCs w:val="24"/>
        </w:rPr>
        <w:t xml:space="preserve">applying </w:t>
      </w:r>
      <w:r w:rsidRPr="006F0EBF">
        <w:rPr>
          <w:rFonts w:ascii="Verdana" w:hAnsi="Verdana" w:cs="Calibri"/>
          <w:sz w:val="24"/>
          <w:szCs w:val="24"/>
        </w:rPr>
        <w:t>Health and Safety</w:t>
      </w:r>
      <w:r w:rsidRPr="006F0EBF">
        <w:rPr>
          <w:rFonts w:ascii="Verdana" w:hAnsi="Verdana" w:cs="Calibri"/>
          <w:sz w:val="24"/>
          <w:szCs w:val="24"/>
        </w:rPr>
        <w:t xml:space="preserve"> clauses to platforms</w:t>
      </w:r>
      <w:r w:rsidRPr="006F0EBF">
        <w:rPr>
          <w:rFonts w:ascii="Verdana" w:hAnsi="Verdana" w:cs="Calibri"/>
          <w:sz w:val="24"/>
          <w:szCs w:val="24"/>
        </w:rPr>
        <w:t>. There are many other such examples, and the treaties themselves have encouraged flexible reinterpretation not l</w:t>
      </w:r>
      <w:r w:rsidRPr="006F0EBF">
        <w:rPr>
          <w:rFonts w:ascii="Verdana" w:hAnsi="Verdana" w:cs="Calibri"/>
          <w:sz w:val="24"/>
          <w:szCs w:val="24"/>
        </w:rPr>
        <w:t xml:space="preserve">east by including the permissive “passerelle” (bridging, or gangplank) </w:t>
      </w:r>
      <w:r w:rsidRPr="006F0EBF">
        <w:rPr>
          <w:rFonts w:ascii="Verdana" w:hAnsi="Verdana" w:cs="Calibri"/>
          <w:sz w:val="24"/>
          <w:szCs w:val="24"/>
        </w:rPr>
        <w:t>articles</w:t>
      </w:r>
      <w:r w:rsidRPr="006F0EBF">
        <w:rPr>
          <w:rFonts w:ascii="Verdana" w:hAnsi="Verdana" w:cs="Calibri"/>
          <w:sz w:val="24"/>
          <w:szCs w:val="24"/>
        </w:rPr>
        <w:t>, but also by providing an important role for interpretation by the CJEU, itself a motor of integration.</w:t>
      </w:r>
      <w:r w:rsidRPr="006F0EBF">
        <w:rPr>
          <w:rFonts w:ascii="Verdana" w:hAnsi="Verdana" w:cs="Calibri"/>
          <w:sz w:val="24"/>
          <w:szCs w:val="24"/>
        </w:rPr>
        <w:t xml:space="preserve"> Our route is </w:t>
      </w:r>
      <w:r w:rsidRPr="006F0EBF">
        <w:rPr>
          <w:rFonts w:ascii="Verdana" w:hAnsi="Verdana" w:cs="Calibri"/>
          <w:sz w:val="24"/>
          <w:szCs w:val="24"/>
        </w:rPr>
        <w:t>thus</w:t>
      </w:r>
      <w:r w:rsidRPr="006F0EBF">
        <w:rPr>
          <w:rFonts w:ascii="Verdana" w:hAnsi="Verdana" w:cs="Calibri"/>
          <w:sz w:val="24"/>
          <w:szCs w:val="24"/>
        </w:rPr>
        <w:t xml:space="preserve"> odd, given the UK stayed clear even when an EU member state.</w:t>
      </w:r>
    </w:p>
    <w:p w:rsidR="006F0EBF" w:rsidRPr="006F0EBF" w:rsidP="004728B6">
      <w:pPr>
        <w:rPr>
          <w:rFonts w:ascii="Verdana" w:hAnsi="Verdana" w:cs="Calibri"/>
          <w:sz w:val="24"/>
          <w:szCs w:val="24"/>
        </w:rPr>
      </w:pPr>
    </w:p>
    <w:p w:rsidR="006F0EBF" w:rsidRPr="006F0EBF" w:rsidP="00B45115">
      <w:pPr>
        <w:rPr>
          <w:rFonts w:ascii="Verdana" w:hAnsi="Verdana" w:cs="Calibri"/>
          <w:b/>
          <w:bCs/>
          <w:sz w:val="24"/>
          <w:szCs w:val="24"/>
        </w:rPr>
      </w:pPr>
      <w:r w:rsidRPr="006F0EBF">
        <w:rPr>
          <w:rFonts w:ascii="Verdana" w:hAnsi="Verdana" w:cs="Calibri"/>
          <w:b/>
          <w:bCs/>
          <w:sz w:val="24"/>
          <w:szCs w:val="24"/>
        </w:rPr>
        <w:t>What is PESCO? (Permanent Structured Cooperation)</w:t>
      </w:r>
    </w:p>
    <w:p w:rsidR="006F0EBF" w:rsidRPr="006F0EBF" w:rsidP="00B45115">
      <w:pPr>
        <w:rPr>
          <w:rFonts w:ascii="Verdana" w:hAnsi="Verdana" w:cs="Calibri"/>
          <w:sz w:val="24"/>
          <w:szCs w:val="24"/>
        </w:rPr>
      </w:pPr>
      <w:r w:rsidRPr="006F0EBF">
        <w:rPr>
          <w:rFonts w:ascii="Verdana" w:hAnsi="Verdana" w:cs="Calibri"/>
          <w:sz w:val="24"/>
          <w:szCs w:val="24"/>
        </w:rPr>
        <w:t xml:space="preserve">According to the EEAS, </w:t>
      </w:r>
      <w:r w:rsidRPr="006F0EBF">
        <w:rPr>
          <w:rFonts w:ascii="Verdana" w:hAnsi="Verdana" w:cs="Calibri"/>
          <w:sz w:val="24"/>
          <w:szCs w:val="24"/>
        </w:rPr>
        <w:t>“PESCO is a Treaty-based framework and process to deepen defence cooperation amongst EU Member States who are capable and willing to do so. The aim is to jointly develop defence capabilities and make them available for EU military operations.”</w:t>
      </w:r>
      <w:r>
        <w:rPr>
          <w:rStyle w:val="FootnoteReference"/>
          <w:rFonts w:ascii="Verdana" w:hAnsi="Verdana" w:cs="Calibri"/>
          <w:sz w:val="24"/>
          <w:szCs w:val="24"/>
        </w:rPr>
        <w:footnoteReference w:id="2"/>
      </w:r>
      <w:r w:rsidRPr="006F0EBF">
        <w:rPr>
          <w:rFonts w:ascii="Verdana" w:hAnsi="Verdana" w:cs="Calibri"/>
          <w:sz w:val="24"/>
          <w:szCs w:val="24"/>
        </w:rPr>
        <w:t xml:space="preserve"> </w:t>
      </w:r>
    </w:p>
    <w:p w:rsidR="006F0EBF" w:rsidRPr="006F0EBF" w:rsidP="00B45115">
      <w:pPr>
        <w:rPr>
          <w:rFonts w:ascii="Verdana" w:hAnsi="Verdana" w:cs="Calibri"/>
          <w:sz w:val="24"/>
          <w:szCs w:val="24"/>
        </w:rPr>
      </w:pPr>
    </w:p>
    <w:p w:rsidR="006F0EBF" w:rsidRPr="006F0EBF" w:rsidP="00B45115">
      <w:pPr>
        <w:rPr>
          <w:rFonts w:ascii="Verdana" w:hAnsi="Verdana" w:cs="Calibri"/>
          <w:b/>
          <w:bCs/>
          <w:sz w:val="24"/>
          <w:szCs w:val="24"/>
        </w:rPr>
      </w:pPr>
      <w:r w:rsidRPr="006F0EBF">
        <w:rPr>
          <w:rFonts w:ascii="Verdana" w:hAnsi="Verdana" w:cs="Calibri"/>
          <w:b/>
          <w:bCs/>
          <w:sz w:val="24"/>
          <w:szCs w:val="24"/>
        </w:rPr>
        <w:t>What are the Other Elements?</w:t>
      </w:r>
    </w:p>
    <w:p w:rsidR="006F0EBF" w:rsidRPr="006F0EBF" w:rsidP="004728B6">
      <w:pPr>
        <w:rPr>
          <w:rFonts w:ascii="Verdana" w:hAnsi="Verdana" w:cs="Calibri"/>
          <w:sz w:val="24"/>
          <w:szCs w:val="24"/>
        </w:rPr>
      </w:pPr>
      <w:r w:rsidRPr="006F0EBF">
        <w:rPr>
          <w:rFonts w:ascii="Verdana" w:hAnsi="Verdana" w:cs="Calibri"/>
          <w:sz w:val="24"/>
          <w:szCs w:val="24"/>
        </w:rPr>
        <w:t xml:space="preserve">PESCO complements two other initiatives: the European Defence Fund, which </w:t>
      </w:r>
      <w:r w:rsidRPr="006F0EBF">
        <w:rPr>
          <w:rFonts w:ascii="Verdana" w:hAnsi="Verdana" w:cs="Calibri"/>
          <w:sz w:val="24"/>
          <w:szCs w:val="24"/>
        </w:rPr>
        <w:t>part subsidises</w:t>
      </w:r>
      <w:r w:rsidRPr="006F0EBF">
        <w:rPr>
          <w:rFonts w:ascii="Verdana" w:hAnsi="Verdana" w:cs="Calibri"/>
          <w:sz w:val="24"/>
          <w:szCs w:val="24"/>
        </w:rPr>
        <w:t xml:space="preserve"> certain collaborative projects </w:t>
      </w:r>
      <w:r w:rsidRPr="006F0EBF">
        <w:rPr>
          <w:rFonts w:ascii="Verdana" w:hAnsi="Verdana" w:cs="Calibri"/>
          <w:sz w:val="24"/>
          <w:szCs w:val="24"/>
        </w:rPr>
        <w:t>that have been signed off at EU level</w:t>
      </w:r>
      <w:r w:rsidRPr="006F0EBF">
        <w:rPr>
          <w:rFonts w:ascii="Verdana" w:hAnsi="Verdana" w:cs="Calibri"/>
          <w:sz w:val="24"/>
          <w:szCs w:val="24"/>
        </w:rPr>
        <w:t xml:space="preserve">, and the Coordinated Annual Review on Defence (CARD) which </w:t>
      </w:r>
      <w:r w:rsidRPr="006F0EBF">
        <w:rPr>
          <w:rFonts w:ascii="Verdana" w:hAnsi="Verdana" w:cs="Calibri"/>
          <w:sz w:val="24"/>
          <w:szCs w:val="24"/>
        </w:rPr>
        <w:t xml:space="preserve">effectively is a way of marking member states’ books on how well they are doing with pushing PESCO. </w:t>
      </w:r>
    </w:p>
    <w:p w:rsidR="006F0EBF" w:rsidRPr="006F0EBF" w:rsidP="004728B6">
      <w:pPr>
        <w:rPr>
          <w:rFonts w:ascii="Verdana" w:hAnsi="Verdana" w:cs="Calibri"/>
          <w:sz w:val="24"/>
          <w:szCs w:val="24"/>
        </w:rPr>
      </w:pPr>
      <w:r w:rsidRPr="006F0EBF">
        <w:rPr>
          <w:rFonts w:ascii="Verdana" w:hAnsi="Verdana" w:cs="Calibri"/>
          <w:sz w:val="24"/>
          <w:szCs w:val="24"/>
        </w:rPr>
        <w:t xml:space="preserve">The problem with the EDF is that it is intrinsically protectionist and biased towards production from EU member state sources, which may not be either what a particular member state needs - in the same way that the CAP is a one-size-fits-all answer to a market running from the Arctic to the Mediterranean. Consider the different maritime requirements of blue water and </w:t>
      </w:r>
      <w:r w:rsidRPr="006F0EBF">
        <w:rPr>
          <w:rFonts w:ascii="Verdana" w:hAnsi="Verdana" w:cs="Calibri"/>
          <w:sz w:val="24"/>
          <w:szCs w:val="24"/>
        </w:rPr>
        <w:t>white water</w:t>
      </w:r>
      <w:r w:rsidRPr="006F0EBF">
        <w:rPr>
          <w:rFonts w:ascii="Verdana" w:hAnsi="Verdana" w:cs="Calibri"/>
          <w:sz w:val="24"/>
          <w:szCs w:val="24"/>
        </w:rPr>
        <w:t xml:space="preserve"> navies, let alone </w:t>
      </w:r>
      <w:r w:rsidRPr="006F0EBF">
        <w:rPr>
          <w:rFonts w:ascii="Verdana" w:hAnsi="Verdana" w:cs="Calibri"/>
          <w:sz w:val="24"/>
          <w:szCs w:val="24"/>
        </w:rPr>
        <w:t>a Danubian state like Hungary</w:t>
      </w:r>
      <w:r w:rsidRPr="006F0EBF">
        <w:rPr>
          <w:rFonts w:ascii="Verdana" w:hAnsi="Verdana" w:cs="Calibri"/>
          <w:sz w:val="24"/>
          <w:szCs w:val="24"/>
        </w:rPr>
        <w:t xml:space="preserve">. </w:t>
      </w:r>
    </w:p>
    <w:p w:rsidR="006F0EBF" w:rsidRPr="006F0EBF" w:rsidP="004728B6">
      <w:pPr>
        <w:rPr>
          <w:rFonts w:ascii="Verdana" w:hAnsi="Verdana" w:cs="Calibri"/>
          <w:b/>
          <w:bCs/>
          <w:sz w:val="24"/>
          <w:szCs w:val="24"/>
        </w:rPr>
      </w:pPr>
      <w:r w:rsidRPr="006F0EBF">
        <w:rPr>
          <w:rFonts w:ascii="Verdana" w:hAnsi="Verdana" w:cs="Calibri"/>
          <w:b/>
          <w:bCs/>
          <w:sz w:val="24"/>
          <w:szCs w:val="24"/>
        </w:rPr>
        <w:t xml:space="preserve">What are the </w:t>
      </w:r>
      <w:r w:rsidRPr="006F0EBF">
        <w:rPr>
          <w:rFonts w:ascii="Verdana" w:hAnsi="Verdana" w:cs="Calibri"/>
          <w:b/>
          <w:bCs/>
          <w:sz w:val="24"/>
          <w:szCs w:val="24"/>
        </w:rPr>
        <w:t xml:space="preserve">CSDP </w:t>
      </w:r>
      <w:r w:rsidRPr="006F0EBF">
        <w:rPr>
          <w:rFonts w:ascii="Verdana" w:hAnsi="Verdana" w:cs="Calibri"/>
          <w:b/>
          <w:bCs/>
          <w:sz w:val="24"/>
          <w:szCs w:val="24"/>
        </w:rPr>
        <w:t>Structures?</w:t>
      </w:r>
    </w:p>
    <w:p w:rsidR="006F0EBF" w:rsidRPr="006F0EBF" w:rsidP="00BB4BC8">
      <w:pPr>
        <w:rPr>
          <w:rFonts w:ascii="Verdana" w:hAnsi="Verdana" w:cs="Calibri"/>
          <w:sz w:val="24"/>
          <w:szCs w:val="24"/>
        </w:rPr>
      </w:pPr>
      <w:r w:rsidRPr="006F0EBF">
        <w:rPr>
          <w:rFonts w:ascii="Verdana" w:hAnsi="Verdana" w:cs="Calibri"/>
          <w:sz w:val="24"/>
          <w:szCs w:val="24"/>
        </w:rPr>
        <w:t>Simply listed, they are (at present) - t</w:t>
      </w:r>
      <w:r w:rsidRPr="006F0EBF">
        <w:rPr>
          <w:rFonts w:ascii="Verdana" w:hAnsi="Verdana" w:cs="Calibri"/>
          <w:sz w:val="24"/>
          <w:szCs w:val="24"/>
        </w:rPr>
        <w:t>he Political and Security Committee (PSC)</w:t>
      </w:r>
      <w:r w:rsidRPr="006F0EBF">
        <w:rPr>
          <w:rFonts w:ascii="Verdana" w:hAnsi="Verdana" w:cs="Calibri"/>
          <w:sz w:val="24"/>
          <w:szCs w:val="24"/>
        </w:rPr>
        <w:t>; t</w:t>
      </w:r>
      <w:r w:rsidRPr="006F0EBF">
        <w:rPr>
          <w:rFonts w:ascii="Verdana" w:hAnsi="Verdana" w:cs="Calibri"/>
          <w:sz w:val="24"/>
          <w:szCs w:val="24"/>
        </w:rPr>
        <w:t>he European Union Military Committee (EUMC)</w:t>
      </w:r>
      <w:r w:rsidRPr="006F0EBF">
        <w:rPr>
          <w:rFonts w:ascii="Verdana" w:hAnsi="Verdana" w:cs="Calibri"/>
          <w:sz w:val="24"/>
          <w:szCs w:val="24"/>
        </w:rPr>
        <w:t xml:space="preserve">; the </w:t>
      </w:r>
      <w:r w:rsidRPr="006F0EBF">
        <w:rPr>
          <w:rFonts w:ascii="Verdana" w:hAnsi="Verdana" w:cs="Calibri"/>
          <w:sz w:val="24"/>
          <w:szCs w:val="24"/>
        </w:rPr>
        <w:t>Committee for Civilian Aspects of Crisis Management (CIVCOM)</w:t>
      </w:r>
      <w:r w:rsidRPr="006F0EBF">
        <w:rPr>
          <w:rFonts w:ascii="Verdana" w:hAnsi="Verdana" w:cs="Calibri"/>
          <w:sz w:val="24"/>
          <w:szCs w:val="24"/>
        </w:rPr>
        <w:t xml:space="preserve">; the </w:t>
      </w:r>
      <w:r w:rsidRPr="006F0EBF">
        <w:rPr>
          <w:rFonts w:ascii="Verdana" w:hAnsi="Verdana" w:cs="Calibri"/>
          <w:sz w:val="24"/>
          <w:szCs w:val="24"/>
        </w:rPr>
        <w:t>Politico-Military Group (PMG)</w:t>
      </w:r>
      <w:r w:rsidRPr="006F0EBF">
        <w:rPr>
          <w:rFonts w:ascii="Verdana" w:hAnsi="Verdana" w:cs="Calibri"/>
          <w:sz w:val="24"/>
          <w:szCs w:val="24"/>
        </w:rPr>
        <w:t xml:space="preserve">; the </w:t>
      </w:r>
      <w:r w:rsidRPr="006F0EBF">
        <w:rPr>
          <w:rFonts w:ascii="Verdana" w:hAnsi="Verdana" w:cs="Calibri"/>
          <w:sz w:val="24"/>
          <w:szCs w:val="24"/>
        </w:rPr>
        <w:t>Security and Defence Directorate (SECDEFPOL.DMD)</w:t>
      </w:r>
      <w:r w:rsidRPr="006F0EBF">
        <w:rPr>
          <w:rFonts w:ascii="Verdana" w:hAnsi="Verdana" w:cs="Calibri"/>
          <w:sz w:val="24"/>
          <w:szCs w:val="24"/>
        </w:rPr>
        <w:t xml:space="preserve">; the </w:t>
      </w:r>
      <w:r w:rsidRPr="006F0EBF">
        <w:rPr>
          <w:rFonts w:ascii="Verdana" w:hAnsi="Verdana" w:cs="Calibri"/>
          <w:sz w:val="24"/>
          <w:szCs w:val="24"/>
        </w:rPr>
        <w:t>Peace, Partnerships and Crisis Management Directorate (PCM)</w:t>
      </w:r>
      <w:r w:rsidRPr="006F0EBF">
        <w:rPr>
          <w:rFonts w:ascii="Verdana" w:hAnsi="Verdana" w:cs="Calibri"/>
          <w:sz w:val="24"/>
          <w:szCs w:val="24"/>
        </w:rPr>
        <w:t>; t</w:t>
      </w:r>
      <w:r w:rsidRPr="006F0EBF">
        <w:rPr>
          <w:rFonts w:ascii="Verdana" w:hAnsi="Verdana" w:cs="Calibri"/>
          <w:sz w:val="24"/>
          <w:szCs w:val="24"/>
        </w:rPr>
        <w:t>he European Union Military Staff (EUMS)</w:t>
      </w:r>
      <w:r w:rsidRPr="006F0EBF">
        <w:rPr>
          <w:rFonts w:ascii="Verdana" w:hAnsi="Verdana" w:cs="Calibri"/>
          <w:sz w:val="24"/>
          <w:szCs w:val="24"/>
        </w:rPr>
        <w:t xml:space="preserve">; the </w:t>
      </w:r>
      <w:r w:rsidRPr="006F0EBF">
        <w:rPr>
          <w:rFonts w:ascii="Verdana" w:hAnsi="Verdana" w:cs="Calibri"/>
          <w:sz w:val="24"/>
          <w:szCs w:val="24"/>
        </w:rPr>
        <w:t>Civilian Operations Headquarters (CivOpsHQ)</w:t>
      </w:r>
      <w:r w:rsidRPr="006F0EBF">
        <w:rPr>
          <w:rFonts w:ascii="Verdana" w:hAnsi="Verdana" w:cs="Calibri"/>
          <w:sz w:val="24"/>
          <w:szCs w:val="24"/>
        </w:rPr>
        <w:t>; t</w:t>
      </w:r>
      <w:r w:rsidRPr="006F0EBF">
        <w:rPr>
          <w:rFonts w:ascii="Verdana" w:hAnsi="Verdana" w:cs="Calibri"/>
          <w:sz w:val="24"/>
          <w:szCs w:val="24"/>
        </w:rPr>
        <w:t>he Military Planning and Conduct Capability (MPCC)</w:t>
      </w:r>
      <w:r w:rsidRPr="006F0EBF">
        <w:rPr>
          <w:rFonts w:ascii="Verdana" w:hAnsi="Verdana" w:cs="Calibri"/>
          <w:sz w:val="24"/>
          <w:szCs w:val="24"/>
        </w:rPr>
        <w:t xml:space="preserve">; the </w:t>
      </w:r>
      <w:r w:rsidRPr="006F0EBF">
        <w:rPr>
          <w:rFonts w:ascii="Verdana" w:hAnsi="Verdana" w:cs="Calibri"/>
          <w:sz w:val="24"/>
          <w:szCs w:val="24"/>
        </w:rPr>
        <w:t>European Defence Agency (EDA)</w:t>
      </w:r>
      <w:r w:rsidRPr="006F0EBF">
        <w:rPr>
          <w:rFonts w:ascii="Verdana" w:hAnsi="Verdana" w:cs="Calibri"/>
          <w:sz w:val="24"/>
          <w:szCs w:val="24"/>
        </w:rPr>
        <w:t xml:space="preserve">; the </w:t>
      </w:r>
      <w:r w:rsidRPr="006F0EBF">
        <w:rPr>
          <w:rFonts w:ascii="Verdana" w:hAnsi="Verdana" w:cs="Calibri"/>
          <w:sz w:val="24"/>
          <w:szCs w:val="24"/>
        </w:rPr>
        <w:t>European Security and Defence College (ESDC)</w:t>
      </w:r>
      <w:r w:rsidRPr="006F0EBF">
        <w:rPr>
          <w:rFonts w:ascii="Verdana" w:hAnsi="Verdana" w:cs="Calibri"/>
          <w:sz w:val="24"/>
          <w:szCs w:val="24"/>
        </w:rPr>
        <w:t xml:space="preserve">; the </w:t>
      </w:r>
      <w:r w:rsidRPr="006F0EBF">
        <w:rPr>
          <w:rFonts w:ascii="Verdana" w:hAnsi="Verdana" w:cs="Calibri"/>
          <w:sz w:val="24"/>
          <w:szCs w:val="24"/>
        </w:rPr>
        <w:t>European Union Institute for Security Studies</w:t>
      </w:r>
      <w:r w:rsidRPr="006F0EBF">
        <w:rPr>
          <w:rFonts w:ascii="Verdana" w:hAnsi="Verdana" w:cs="Calibri"/>
          <w:sz w:val="24"/>
          <w:szCs w:val="24"/>
        </w:rPr>
        <w:t xml:space="preserve">; and the </w:t>
      </w:r>
      <w:r w:rsidRPr="006F0EBF">
        <w:rPr>
          <w:rFonts w:ascii="Verdana" w:hAnsi="Verdana" w:cs="Calibri"/>
          <w:sz w:val="24"/>
          <w:szCs w:val="24"/>
        </w:rPr>
        <w:t>European Union Satellite Centre</w:t>
      </w:r>
      <w:r w:rsidRPr="006F0EBF">
        <w:rPr>
          <w:rFonts w:ascii="Verdana" w:hAnsi="Verdana" w:cs="Calibri"/>
          <w:sz w:val="24"/>
          <w:szCs w:val="24"/>
        </w:rPr>
        <w:t>.</w:t>
      </w:r>
    </w:p>
    <w:p w:rsidR="006F0EBF" w:rsidRPr="006F0EBF" w:rsidP="00BB4BC8">
      <w:pPr>
        <w:rPr>
          <w:rFonts w:ascii="Verdana" w:hAnsi="Verdana" w:cs="Calibri"/>
          <w:sz w:val="24"/>
          <w:szCs w:val="24"/>
        </w:rPr>
      </w:pPr>
      <w:r w:rsidRPr="006F0EBF">
        <w:rPr>
          <w:rFonts w:ascii="Verdana" w:hAnsi="Verdana" w:cs="Calibri"/>
          <w:sz w:val="24"/>
          <w:szCs w:val="24"/>
        </w:rPr>
        <w:t xml:space="preserve">The list itself should be an indicator of the ambition </w:t>
      </w:r>
      <w:r w:rsidRPr="006F0EBF">
        <w:rPr>
          <w:rFonts w:ascii="Verdana" w:hAnsi="Verdana" w:cs="Calibri"/>
          <w:sz w:val="24"/>
          <w:szCs w:val="24"/>
        </w:rPr>
        <w:t xml:space="preserve">into which </w:t>
      </w:r>
      <w:r w:rsidRPr="006F0EBF">
        <w:rPr>
          <w:rFonts w:ascii="Verdana" w:hAnsi="Verdana" w:cs="Calibri"/>
          <w:sz w:val="24"/>
          <w:szCs w:val="24"/>
        </w:rPr>
        <w:t>PESCO</w:t>
      </w:r>
      <w:r w:rsidRPr="006F0EBF">
        <w:rPr>
          <w:rFonts w:ascii="Verdana" w:hAnsi="Verdana" w:cs="Calibri"/>
          <w:sz w:val="24"/>
          <w:szCs w:val="24"/>
        </w:rPr>
        <w:t xml:space="preserve"> sits, even putting to one side projects relating to CFSP and the Commission’s global trade and other policy footprint</w:t>
      </w:r>
      <w:r w:rsidRPr="006F0EBF">
        <w:rPr>
          <w:rFonts w:ascii="Verdana" w:hAnsi="Verdana" w:cs="Calibri"/>
          <w:sz w:val="24"/>
          <w:szCs w:val="24"/>
        </w:rPr>
        <w:t>. Remember</w:t>
      </w:r>
      <w:r w:rsidRPr="006F0EBF">
        <w:rPr>
          <w:rFonts w:ascii="Verdana" w:hAnsi="Verdana" w:cs="Calibri"/>
          <w:sz w:val="24"/>
          <w:szCs w:val="24"/>
        </w:rPr>
        <w:t xml:space="preserve"> too</w:t>
      </w:r>
      <w:r w:rsidRPr="006F0EBF">
        <w:rPr>
          <w:rFonts w:ascii="Verdana" w:hAnsi="Verdana" w:cs="Calibri"/>
          <w:sz w:val="24"/>
          <w:szCs w:val="24"/>
        </w:rPr>
        <w:t xml:space="preserve"> </w:t>
      </w:r>
      <w:r w:rsidRPr="006F0EBF">
        <w:rPr>
          <w:rFonts w:ascii="Verdana" w:hAnsi="Verdana" w:cs="Calibri"/>
          <w:sz w:val="24"/>
          <w:szCs w:val="24"/>
        </w:rPr>
        <w:t xml:space="preserve">the founding history: </w:t>
      </w:r>
      <w:r w:rsidRPr="006F0EBF">
        <w:rPr>
          <w:rFonts w:ascii="Verdana" w:hAnsi="Verdana" w:cs="Calibri"/>
          <w:sz w:val="24"/>
          <w:szCs w:val="24"/>
        </w:rPr>
        <w:t xml:space="preserve">the Coal and Steel Community itself (which became the EEC) was created as a response to the French veto the year before on establishing the European Defence Community as the core element of European integration. </w:t>
      </w:r>
    </w:p>
    <w:p w:rsidR="006F0EBF" w:rsidRPr="006F0EBF" w:rsidP="004728B6">
      <w:pPr>
        <w:rPr>
          <w:rFonts w:ascii="Verdana" w:hAnsi="Verdana" w:cs="Calibri"/>
          <w:sz w:val="24"/>
          <w:szCs w:val="24"/>
        </w:rPr>
      </w:pPr>
    </w:p>
    <w:p w:rsidR="006F0EBF" w:rsidRPr="006F0EBF" w:rsidP="004728B6">
      <w:pPr>
        <w:rPr>
          <w:rFonts w:ascii="Verdana" w:hAnsi="Verdana" w:cs="Calibri"/>
          <w:b/>
          <w:bCs/>
          <w:sz w:val="24"/>
          <w:szCs w:val="24"/>
        </w:rPr>
      </w:pPr>
      <w:r w:rsidRPr="006F0EBF">
        <w:rPr>
          <w:rFonts w:ascii="Verdana" w:hAnsi="Verdana" w:cs="Calibri"/>
          <w:b/>
          <w:bCs/>
          <w:sz w:val="24"/>
          <w:szCs w:val="24"/>
        </w:rPr>
        <w:t>Have non-EU states signed up to anything?</w:t>
      </w:r>
    </w:p>
    <w:p w:rsidR="006F0EBF" w:rsidRPr="006F0EBF" w:rsidP="004728B6">
      <w:pPr>
        <w:rPr>
          <w:rFonts w:ascii="Verdana" w:hAnsi="Verdana" w:cs="Calibri"/>
          <w:sz w:val="24"/>
          <w:szCs w:val="24"/>
        </w:rPr>
      </w:pPr>
      <w:r w:rsidRPr="006F0EBF">
        <w:rPr>
          <w:rFonts w:ascii="Verdana" w:hAnsi="Verdana" w:cs="Calibri"/>
          <w:sz w:val="24"/>
          <w:szCs w:val="24"/>
        </w:rPr>
        <w:t xml:space="preserve">Norway has signed up to the European Defence Fund. However, it has very limited defence industry; and its government is pursuing a </w:t>
      </w:r>
      <w:r w:rsidRPr="006F0EBF">
        <w:rPr>
          <w:rFonts w:ascii="Verdana" w:hAnsi="Verdana" w:cs="Calibri"/>
          <w:sz w:val="24"/>
          <w:szCs w:val="24"/>
        </w:rPr>
        <w:t>long term</w:t>
      </w:r>
      <w:r w:rsidRPr="006F0EBF">
        <w:rPr>
          <w:rFonts w:ascii="Verdana" w:hAnsi="Verdana" w:cs="Calibri"/>
          <w:sz w:val="24"/>
          <w:szCs w:val="24"/>
        </w:rPr>
        <w:t xml:space="preserve"> strategy of joining the EU which is not too popular with the public. </w:t>
      </w:r>
      <w:r w:rsidRPr="006F0EBF">
        <w:rPr>
          <w:rFonts w:ascii="Verdana" w:hAnsi="Verdana" w:cs="Calibri"/>
          <w:sz w:val="24"/>
          <w:szCs w:val="24"/>
        </w:rPr>
        <w:t>However, s</w:t>
      </w:r>
      <w:r w:rsidRPr="006F0EBF">
        <w:rPr>
          <w:rFonts w:ascii="Verdana" w:hAnsi="Verdana" w:cs="Calibri"/>
          <w:sz w:val="24"/>
          <w:szCs w:val="24"/>
        </w:rPr>
        <w:t xml:space="preserve">alami slicing sovereignty avoids a </w:t>
      </w:r>
      <w:r w:rsidRPr="006F0EBF">
        <w:rPr>
          <w:rFonts w:ascii="Verdana" w:hAnsi="Verdana" w:cs="Calibri"/>
          <w:sz w:val="24"/>
          <w:szCs w:val="24"/>
        </w:rPr>
        <w:t xml:space="preserve">major </w:t>
      </w:r>
      <w:r w:rsidRPr="006F0EBF">
        <w:rPr>
          <w:rFonts w:ascii="Verdana" w:hAnsi="Verdana" w:cs="Calibri"/>
          <w:sz w:val="24"/>
          <w:szCs w:val="24"/>
        </w:rPr>
        <w:t>public backlash.</w:t>
      </w:r>
    </w:p>
    <w:p w:rsidR="006F0EBF" w:rsidRPr="006F0EBF" w:rsidP="004728B6">
      <w:pPr>
        <w:rPr>
          <w:rFonts w:ascii="Verdana" w:hAnsi="Verdana" w:cs="Calibri"/>
          <w:sz w:val="24"/>
          <w:szCs w:val="24"/>
        </w:rPr>
      </w:pPr>
      <w:r w:rsidRPr="006F0EBF">
        <w:rPr>
          <w:rFonts w:ascii="Verdana" w:hAnsi="Verdana" w:cs="Calibri"/>
          <w:sz w:val="24"/>
          <w:szCs w:val="24"/>
        </w:rPr>
        <w:t xml:space="preserve">Norway, Canada and the US </w:t>
      </w:r>
      <w:r w:rsidRPr="006F0EBF">
        <w:rPr>
          <w:rFonts w:ascii="Verdana" w:hAnsi="Verdana" w:cs="Calibri"/>
          <w:sz w:val="24"/>
          <w:szCs w:val="24"/>
        </w:rPr>
        <w:t xml:space="preserve">(and now the UK) </w:t>
      </w:r>
      <w:r w:rsidRPr="006F0EBF">
        <w:rPr>
          <w:rFonts w:ascii="Verdana" w:hAnsi="Verdana" w:cs="Calibri"/>
          <w:sz w:val="24"/>
          <w:szCs w:val="24"/>
        </w:rPr>
        <w:t xml:space="preserve">participate in the </w:t>
      </w:r>
      <w:r w:rsidRPr="006F0EBF">
        <w:rPr>
          <w:rFonts w:ascii="Verdana" w:hAnsi="Verdana" w:cs="Calibri"/>
          <w:sz w:val="24"/>
          <w:szCs w:val="24"/>
        </w:rPr>
        <w:t>Military Mobility PESCO project</w:t>
      </w:r>
      <w:r w:rsidRPr="006F0EBF">
        <w:rPr>
          <w:rFonts w:ascii="Verdana" w:hAnsi="Verdana" w:cs="Calibri"/>
          <w:sz w:val="24"/>
          <w:szCs w:val="24"/>
        </w:rPr>
        <w:t>. This is a comparatively isolated policy which serves a role that NATO should fill. The problem was that in the lead up to crisis, an</w:t>
      </w:r>
      <w:r w:rsidRPr="006F0EBF">
        <w:rPr>
          <w:rFonts w:ascii="Verdana" w:hAnsi="Verdana" w:cs="Calibri"/>
          <w:sz w:val="24"/>
          <w:szCs w:val="24"/>
        </w:rPr>
        <w:t>y</w:t>
      </w:r>
      <w:r w:rsidRPr="006F0EBF">
        <w:rPr>
          <w:rFonts w:ascii="Verdana" w:hAnsi="Verdana" w:cs="Calibri"/>
          <w:sz w:val="24"/>
          <w:szCs w:val="24"/>
        </w:rPr>
        <w:t xml:space="preserve"> EU member state (Germany was the unspoken candidate) could be politically riven and delay on signing off on transit for military equipment heading to deter Russian aggression. Effectively, by making this a free movement in goods </w:t>
      </w:r>
      <w:r w:rsidRPr="006F0EBF">
        <w:rPr>
          <w:rFonts w:ascii="Verdana" w:hAnsi="Verdana" w:cs="Calibri"/>
          <w:sz w:val="24"/>
          <w:szCs w:val="24"/>
        </w:rPr>
        <w:t>matter</w:t>
      </w:r>
      <w:r w:rsidRPr="006F0EBF">
        <w:rPr>
          <w:rFonts w:ascii="Verdana" w:hAnsi="Verdana" w:cs="Calibri"/>
          <w:sz w:val="24"/>
          <w:szCs w:val="24"/>
        </w:rPr>
        <w:t xml:space="preserve"> at EU level, this absolves a future coalition government in Berlin from h</w:t>
      </w:r>
      <w:r w:rsidRPr="006F0EBF">
        <w:rPr>
          <w:rFonts w:ascii="Verdana" w:hAnsi="Verdana" w:cs="Calibri"/>
          <w:sz w:val="24"/>
          <w:szCs w:val="24"/>
        </w:rPr>
        <w:t>aving to debate the issue</w:t>
      </w:r>
      <w:r w:rsidRPr="006F0EBF">
        <w:rPr>
          <w:rFonts w:ascii="Verdana" w:hAnsi="Verdana" w:cs="Calibri"/>
          <w:sz w:val="24"/>
          <w:szCs w:val="24"/>
        </w:rPr>
        <w:t xml:space="preserve"> since it has surrendered national competency</w:t>
      </w:r>
      <w:r w:rsidRPr="006F0EBF">
        <w:rPr>
          <w:rFonts w:ascii="Verdana" w:hAnsi="Verdana" w:cs="Calibri"/>
          <w:sz w:val="24"/>
          <w:szCs w:val="24"/>
        </w:rPr>
        <w:t xml:space="preserve">. The solution is ingenious, devious, and </w:t>
      </w:r>
      <w:r w:rsidRPr="006F0EBF">
        <w:rPr>
          <w:rFonts w:ascii="Verdana" w:hAnsi="Verdana" w:cs="Calibri"/>
          <w:sz w:val="24"/>
          <w:szCs w:val="24"/>
        </w:rPr>
        <w:t>unfortunately</w:t>
      </w:r>
      <w:r w:rsidRPr="006F0EBF">
        <w:rPr>
          <w:rFonts w:ascii="Verdana" w:hAnsi="Verdana" w:cs="Calibri"/>
          <w:sz w:val="24"/>
          <w:szCs w:val="24"/>
        </w:rPr>
        <w:t xml:space="preserve"> sets a precedent for other areas of Commission involvement.</w:t>
      </w:r>
    </w:p>
    <w:p w:rsidR="006F0EBF" w:rsidRPr="006F0EBF" w:rsidP="004728B6">
      <w:pPr>
        <w:rPr>
          <w:rFonts w:ascii="Verdana" w:hAnsi="Verdana" w:cs="Calibri"/>
          <w:sz w:val="24"/>
          <w:szCs w:val="24"/>
        </w:rPr>
      </w:pPr>
      <w:r w:rsidRPr="006F0EBF">
        <w:rPr>
          <w:rFonts w:ascii="Verdana" w:hAnsi="Verdana" w:cs="Calibri"/>
          <w:sz w:val="24"/>
          <w:szCs w:val="24"/>
        </w:rPr>
        <w:t xml:space="preserve">Neither example should reassure UK policy makers of the strategic innocence in </w:t>
      </w:r>
      <w:r w:rsidRPr="006F0EBF">
        <w:rPr>
          <w:rFonts w:ascii="Verdana" w:hAnsi="Verdana" w:cs="Calibri"/>
          <w:sz w:val="24"/>
          <w:szCs w:val="24"/>
        </w:rPr>
        <w:t xml:space="preserve">casually </w:t>
      </w:r>
      <w:r w:rsidRPr="006F0EBF">
        <w:rPr>
          <w:rFonts w:ascii="Verdana" w:hAnsi="Verdana" w:cs="Calibri"/>
          <w:sz w:val="24"/>
          <w:szCs w:val="24"/>
        </w:rPr>
        <w:t>signing up to PESCO</w:t>
      </w:r>
      <w:r w:rsidRPr="006F0EBF">
        <w:rPr>
          <w:rFonts w:ascii="Verdana" w:hAnsi="Verdana" w:cs="Calibri"/>
          <w:sz w:val="24"/>
          <w:szCs w:val="24"/>
        </w:rPr>
        <w:t xml:space="preserve">, </w:t>
      </w:r>
      <w:r w:rsidRPr="006F0EBF">
        <w:rPr>
          <w:rFonts w:ascii="Verdana" w:hAnsi="Verdana" w:cs="Calibri"/>
          <w:sz w:val="24"/>
          <w:szCs w:val="24"/>
        </w:rPr>
        <w:t>particularly where HMG has no manifesto mandate</w:t>
      </w:r>
      <w:r w:rsidRPr="006F0EBF">
        <w:rPr>
          <w:rFonts w:ascii="Verdana" w:hAnsi="Verdana" w:cs="Calibri"/>
          <w:sz w:val="24"/>
          <w:szCs w:val="24"/>
        </w:rPr>
        <w:t xml:space="preserve"> beyond “bilaterals” and “cooperation”</w:t>
      </w:r>
      <w:r w:rsidRPr="006F0EBF">
        <w:rPr>
          <w:rFonts w:ascii="Verdana" w:hAnsi="Verdana" w:cs="Calibri"/>
          <w:sz w:val="24"/>
          <w:szCs w:val="24"/>
        </w:rPr>
        <w:t>.</w:t>
      </w:r>
    </w:p>
    <w:p w:rsidR="006F0EBF" w:rsidRPr="006F0EBF" w:rsidP="004728B6">
      <w:pPr>
        <w:rPr>
          <w:rFonts w:ascii="Verdana" w:hAnsi="Verdana" w:cs="Calibri"/>
          <w:sz w:val="24"/>
          <w:szCs w:val="24"/>
        </w:rPr>
      </w:pPr>
    </w:p>
    <w:p w:rsidR="006F0EBF" w:rsidRPr="006F0EBF" w:rsidP="004728B6">
      <w:pPr>
        <w:rPr>
          <w:rFonts w:ascii="Verdana" w:hAnsi="Verdana" w:cs="Calibri"/>
          <w:b/>
          <w:bCs/>
          <w:sz w:val="24"/>
          <w:szCs w:val="24"/>
        </w:rPr>
      </w:pPr>
      <w:r w:rsidRPr="006F0EBF">
        <w:rPr>
          <w:rFonts w:ascii="Verdana" w:hAnsi="Verdana" w:cs="Calibri"/>
          <w:b/>
          <w:bCs/>
          <w:sz w:val="24"/>
          <w:szCs w:val="24"/>
        </w:rPr>
        <w:t>Unambiguous Strategic Direction of Travel</w:t>
      </w:r>
    </w:p>
    <w:p w:rsidR="006F0EBF" w:rsidRPr="006F0EBF" w:rsidP="004728B6">
      <w:pPr>
        <w:rPr>
          <w:rFonts w:ascii="Verdana" w:hAnsi="Verdana" w:cs="Calibri"/>
          <w:sz w:val="24"/>
          <w:szCs w:val="24"/>
        </w:rPr>
      </w:pPr>
      <w:r w:rsidRPr="006F0EBF">
        <w:rPr>
          <w:rFonts w:ascii="Verdana" w:hAnsi="Verdana" w:cs="Calibri"/>
          <w:sz w:val="24"/>
          <w:szCs w:val="24"/>
        </w:rPr>
        <w:t xml:space="preserve">Considerable </w:t>
      </w:r>
      <w:r w:rsidRPr="006F0EBF">
        <w:rPr>
          <w:rFonts w:ascii="Verdana" w:hAnsi="Verdana" w:cs="Calibri"/>
          <w:sz w:val="24"/>
          <w:szCs w:val="24"/>
        </w:rPr>
        <w:t>evidence</w:t>
      </w:r>
      <w:r w:rsidRPr="006F0EBF">
        <w:rPr>
          <w:rFonts w:ascii="Verdana" w:hAnsi="Verdana" w:cs="Calibri"/>
          <w:sz w:val="24"/>
          <w:szCs w:val="24"/>
        </w:rPr>
        <w:t xml:space="preserve"> exists to prove that the EU</w:t>
      </w:r>
      <w:r w:rsidRPr="006F0EBF">
        <w:rPr>
          <w:rFonts w:ascii="Verdana" w:hAnsi="Verdana" w:cs="Calibri"/>
          <w:sz w:val="24"/>
          <w:szCs w:val="24"/>
        </w:rPr>
        <w:t xml:space="preserve"> is heading in an integrationist direction </w:t>
      </w:r>
      <w:r w:rsidRPr="006F0EBF">
        <w:rPr>
          <w:rFonts w:ascii="Verdana" w:hAnsi="Verdana" w:cs="Calibri"/>
          <w:sz w:val="24"/>
          <w:szCs w:val="24"/>
        </w:rPr>
        <w:t>across this field</w:t>
      </w:r>
      <w:r w:rsidRPr="006F0EBF">
        <w:rPr>
          <w:rFonts w:ascii="Verdana" w:hAnsi="Verdana" w:cs="Calibri"/>
          <w:sz w:val="24"/>
          <w:szCs w:val="24"/>
        </w:rPr>
        <w:t>.</w:t>
      </w:r>
      <w:r w:rsidRPr="006F0EBF">
        <w:rPr>
          <w:rFonts w:ascii="Verdana" w:hAnsi="Verdana" w:cs="Calibri"/>
          <w:sz w:val="24"/>
          <w:szCs w:val="24"/>
        </w:rPr>
        <w:t xml:space="preserve"> </w:t>
      </w:r>
      <w:r w:rsidRPr="006F0EBF">
        <w:rPr>
          <w:rFonts w:ascii="Verdana" w:hAnsi="Verdana" w:cs="Calibri"/>
          <w:sz w:val="24"/>
          <w:szCs w:val="24"/>
        </w:rPr>
        <w:t>A simple review of timelines confirms a clear direction of travel across the Common Foreign and Security Policy (CFSP) dating back to the early 1970s.</w:t>
      </w:r>
      <w:r>
        <w:rPr>
          <w:rStyle w:val="FootnoteReference"/>
          <w:rFonts w:ascii="Verdana" w:hAnsi="Verdana" w:cs="Calibri"/>
          <w:sz w:val="24"/>
          <w:szCs w:val="24"/>
        </w:rPr>
        <w:footnoteReference w:id="3"/>
      </w:r>
      <w:r w:rsidRPr="006F0EBF">
        <w:rPr>
          <w:rFonts w:ascii="Verdana" w:hAnsi="Verdana" w:cs="Calibri"/>
          <w:sz w:val="24"/>
          <w:szCs w:val="24"/>
        </w:rPr>
        <w:t xml:space="preserve"> For the Common Security and Defence Policy (CSDP), integration hits the higher gears after German reunification</w:t>
      </w:r>
      <w:r w:rsidRPr="006F0EBF">
        <w:rPr>
          <w:rFonts w:ascii="Verdana" w:hAnsi="Verdana" w:cs="Calibri"/>
          <w:sz w:val="24"/>
          <w:szCs w:val="24"/>
        </w:rPr>
        <w:t xml:space="preserve"> (and the reasons are obvious)</w:t>
      </w:r>
      <w:r w:rsidRPr="006F0EBF">
        <w:rPr>
          <w:rFonts w:ascii="Verdana" w:hAnsi="Verdana" w:cs="Calibri"/>
          <w:sz w:val="24"/>
          <w:szCs w:val="24"/>
        </w:rPr>
        <w:t>.</w:t>
      </w:r>
      <w:r>
        <w:rPr>
          <w:rStyle w:val="FootnoteReference"/>
          <w:rFonts w:ascii="Verdana" w:hAnsi="Verdana" w:cs="Calibri"/>
          <w:sz w:val="24"/>
          <w:szCs w:val="24"/>
        </w:rPr>
        <w:footnoteReference w:id="4"/>
      </w:r>
      <w:r w:rsidRPr="006F0EBF">
        <w:rPr>
          <w:rFonts w:ascii="Verdana" w:hAnsi="Verdana" w:cs="Calibri"/>
          <w:sz w:val="24"/>
          <w:szCs w:val="24"/>
        </w:rPr>
        <w:t xml:space="preserve"> After a slow start </w:t>
      </w:r>
      <w:r w:rsidRPr="006F0EBF">
        <w:rPr>
          <w:rFonts w:ascii="Verdana" w:hAnsi="Verdana" w:cs="Calibri"/>
          <w:sz w:val="24"/>
          <w:szCs w:val="24"/>
        </w:rPr>
        <w:t>watching</w:t>
      </w:r>
      <w:r w:rsidRPr="006F0EBF">
        <w:rPr>
          <w:rFonts w:ascii="Verdana" w:hAnsi="Verdana" w:cs="Calibri"/>
          <w:sz w:val="24"/>
          <w:szCs w:val="24"/>
        </w:rPr>
        <w:t xml:space="preserve"> the Quadrilateral Defence Agency </w:t>
      </w:r>
      <w:r w:rsidRPr="006F0EBF">
        <w:rPr>
          <w:rFonts w:ascii="Verdana" w:hAnsi="Verdana" w:cs="Calibri"/>
          <w:sz w:val="24"/>
          <w:szCs w:val="24"/>
        </w:rPr>
        <w:t xml:space="preserve">turn </w:t>
      </w:r>
      <w:r w:rsidRPr="006F0EBF">
        <w:rPr>
          <w:rFonts w:ascii="Verdana" w:hAnsi="Verdana" w:cs="Calibri"/>
          <w:sz w:val="24"/>
          <w:szCs w:val="24"/>
        </w:rPr>
        <w:t xml:space="preserve">into OCCAR, </w:t>
      </w:r>
      <w:r w:rsidRPr="006F0EBF">
        <w:rPr>
          <w:rFonts w:ascii="Verdana" w:hAnsi="Verdana" w:cs="Calibri"/>
          <w:sz w:val="24"/>
          <w:szCs w:val="24"/>
        </w:rPr>
        <w:t>from</w:t>
      </w:r>
      <w:r w:rsidRPr="006F0EBF">
        <w:rPr>
          <w:rFonts w:ascii="Verdana" w:hAnsi="Verdana" w:cs="Calibri"/>
          <w:sz w:val="24"/>
          <w:szCs w:val="24"/>
        </w:rPr>
        <w:t xml:space="preserve"> 2004 EU ambitions for its Defence industry as a </w:t>
      </w:r>
      <w:r w:rsidRPr="006F0EBF">
        <w:rPr>
          <w:rFonts w:ascii="Verdana" w:hAnsi="Verdana" w:cs="Calibri"/>
          <w:sz w:val="24"/>
          <w:szCs w:val="24"/>
        </w:rPr>
        <w:t>particular</w:t>
      </w:r>
      <w:r w:rsidRPr="006F0EBF">
        <w:rPr>
          <w:rFonts w:ascii="Verdana" w:hAnsi="Verdana" w:cs="Calibri"/>
          <w:sz w:val="24"/>
          <w:szCs w:val="24"/>
        </w:rPr>
        <w:t xml:space="preserve"> sector deserving special consideration and development begin to considerably accelerate.</w:t>
      </w:r>
      <w:r>
        <w:rPr>
          <w:rStyle w:val="FootnoteReference"/>
          <w:rFonts w:ascii="Verdana" w:hAnsi="Verdana" w:cs="Calibri"/>
          <w:sz w:val="24"/>
          <w:szCs w:val="24"/>
        </w:rPr>
        <w:footnoteReference w:id="5"/>
      </w:r>
      <w:r w:rsidRPr="006F0EBF">
        <w:rPr>
          <w:rFonts w:ascii="Verdana" w:hAnsi="Verdana" w:cs="Calibri"/>
          <w:sz w:val="24"/>
          <w:szCs w:val="24"/>
        </w:rPr>
        <w:t xml:space="preserve"> An audit of EU Defence documents in 2016 reveals </w:t>
      </w:r>
      <w:r w:rsidRPr="006F0EBF">
        <w:rPr>
          <w:rFonts w:ascii="Verdana" w:hAnsi="Verdana" w:cs="Calibri"/>
          <w:sz w:val="24"/>
          <w:szCs w:val="24"/>
        </w:rPr>
        <w:t xml:space="preserve">all EU institutions pushing ambitious and broadly comparable agendas </w:t>
      </w:r>
      <w:r w:rsidRPr="006F0EBF">
        <w:rPr>
          <w:rFonts w:ascii="Verdana" w:hAnsi="Verdana" w:cs="Calibri"/>
          <w:sz w:val="24"/>
          <w:szCs w:val="24"/>
        </w:rPr>
        <w:t>to be delivered</w:t>
      </w:r>
      <w:r w:rsidRPr="006F0EBF">
        <w:rPr>
          <w:rFonts w:ascii="Verdana" w:hAnsi="Verdana" w:cs="Calibri"/>
          <w:sz w:val="24"/>
          <w:szCs w:val="24"/>
        </w:rPr>
        <w:t xml:space="preserve"> over extended timeframes.</w:t>
      </w:r>
      <w:r>
        <w:rPr>
          <w:rStyle w:val="FootnoteReference"/>
          <w:rFonts w:ascii="Verdana" w:hAnsi="Verdana" w:cs="Calibri"/>
          <w:sz w:val="24"/>
          <w:szCs w:val="24"/>
        </w:rPr>
        <w:footnoteReference w:id="6"/>
      </w:r>
      <w:r w:rsidRPr="006F0EBF">
        <w:rPr>
          <w:rFonts w:ascii="Verdana" w:hAnsi="Verdana" w:cs="Calibri"/>
          <w:sz w:val="24"/>
          <w:szCs w:val="24"/>
        </w:rPr>
        <w:t xml:space="preserve"> </w:t>
      </w:r>
    </w:p>
    <w:p w:rsidR="006F0EBF" w:rsidRPr="006F0EBF" w:rsidP="004728B6">
      <w:pPr>
        <w:rPr>
          <w:rFonts w:ascii="Verdana" w:hAnsi="Verdana" w:cs="Calibri"/>
          <w:sz w:val="24"/>
          <w:szCs w:val="24"/>
        </w:rPr>
      </w:pPr>
      <w:r w:rsidRPr="006F0EBF">
        <w:rPr>
          <w:rFonts w:ascii="Verdana" w:hAnsi="Verdana" w:cs="Calibri"/>
          <w:sz w:val="24"/>
          <w:szCs w:val="24"/>
        </w:rPr>
        <w:t xml:space="preserve">Take a policy out of context and it may appear innocuous by itself. But </w:t>
      </w:r>
      <w:r w:rsidRPr="006F0EBF">
        <w:rPr>
          <w:rFonts w:ascii="Verdana" w:hAnsi="Verdana" w:cs="Calibri"/>
          <w:sz w:val="24"/>
          <w:szCs w:val="24"/>
        </w:rPr>
        <w:t>the boiled frog syndrome is in play. P</w:t>
      </w:r>
      <w:r w:rsidRPr="006F0EBF">
        <w:rPr>
          <w:rFonts w:ascii="Verdana" w:hAnsi="Verdana" w:cs="Calibri"/>
          <w:sz w:val="24"/>
          <w:szCs w:val="24"/>
        </w:rPr>
        <w:t xml:space="preserve">olicy makers </w:t>
      </w:r>
      <w:r w:rsidRPr="006F0EBF">
        <w:rPr>
          <w:rFonts w:ascii="Verdana" w:hAnsi="Verdana" w:cs="Calibri"/>
          <w:sz w:val="24"/>
          <w:szCs w:val="24"/>
        </w:rPr>
        <w:t>looking</w:t>
      </w:r>
      <w:r w:rsidRPr="006F0EBF">
        <w:rPr>
          <w:rFonts w:ascii="Verdana" w:hAnsi="Verdana" w:cs="Calibri"/>
          <w:sz w:val="24"/>
          <w:szCs w:val="24"/>
        </w:rPr>
        <w:t xml:space="preserve"> at these time</w:t>
      </w:r>
      <w:r w:rsidRPr="006F0EBF">
        <w:rPr>
          <w:rFonts w:ascii="Verdana" w:hAnsi="Verdana" w:cs="Calibri"/>
          <w:sz w:val="24"/>
          <w:szCs w:val="24"/>
        </w:rPr>
        <w:t>lin</w:t>
      </w:r>
      <w:r w:rsidRPr="006F0EBF">
        <w:rPr>
          <w:rFonts w:ascii="Verdana" w:hAnsi="Verdana" w:cs="Calibri"/>
          <w:sz w:val="24"/>
          <w:szCs w:val="24"/>
        </w:rPr>
        <w:t xml:space="preserve">es </w:t>
      </w:r>
      <w:r w:rsidRPr="006F0EBF">
        <w:rPr>
          <w:rFonts w:ascii="Verdana" w:hAnsi="Verdana" w:cs="Calibri"/>
          <w:sz w:val="24"/>
          <w:szCs w:val="24"/>
        </w:rPr>
        <w:t>can</w:t>
      </w:r>
      <w:r w:rsidRPr="006F0EBF">
        <w:rPr>
          <w:rFonts w:ascii="Verdana" w:hAnsi="Verdana" w:cs="Calibri"/>
          <w:sz w:val="24"/>
          <w:szCs w:val="24"/>
        </w:rPr>
        <w:t xml:space="preserve"> observe the integrated strategies </w:t>
      </w:r>
      <w:r w:rsidRPr="006F0EBF">
        <w:rPr>
          <w:rFonts w:ascii="Verdana" w:hAnsi="Verdana" w:cs="Calibri"/>
          <w:sz w:val="24"/>
          <w:szCs w:val="24"/>
        </w:rPr>
        <w:t xml:space="preserve">year on year </w:t>
      </w:r>
      <w:r w:rsidRPr="006F0EBF">
        <w:rPr>
          <w:rFonts w:ascii="Verdana" w:hAnsi="Verdana" w:cs="Calibri"/>
          <w:sz w:val="24"/>
          <w:szCs w:val="24"/>
        </w:rPr>
        <w:t xml:space="preserve">heading in an unambiguous direction of travel – </w:t>
      </w:r>
      <w:r w:rsidRPr="006F0EBF">
        <w:rPr>
          <w:rFonts w:ascii="Verdana" w:hAnsi="Verdana" w:cs="Calibri"/>
          <w:sz w:val="24"/>
          <w:szCs w:val="24"/>
        </w:rPr>
        <w:t xml:space="preserve">aggregating </w:t>
      </w:r>
      <w:r w:rsidRPr="006F0EBF">
        <w:rPr>
          <w:rFonts w:ascii="Verdana" w:hAnsi="Verdana" w:cs="Calibri"/>
          <w:sz w:val="24"/>
          <w:szCs w:val="24"/>
        </w:rPr>
        <w:t>Defence structures</w:t>
      </w:r>
      <w:r w:rsidRPr="006F0EBF">
        <w:rPr>
          <w:rFonts w:ascii="Verdana" w:hAnsi="Verdana" w:cs="Calibri"/>
          <w:sz w:val="24"/>
          <w:szCs w:val="24"/>
        </w:rPr>
        <w:t>,</w:t>
      </w:r>
      <w:r w:rsidRPr="006F0EBF">
        <w:rPr>
          <w:rFonts w:ascii="Verdana" w:hAnsi="Verdana" w:cs="Calibri"/>
          <w:sz w:val="24"/>
          <w:szCs w:val="24"/>
        </w:rPr>
        <w:t xml:space="preserve"> </w:t>
      </w:r>
      <w:r w:rsidRPr="006F0EBF">
        <w:rPr>
          <w:rFonts w:ascii="Verdana" w:hAnsi="Verdana" w:cs="Calibri"/>
          <w:sz w:val="24"/>
          <w:szCs w:val="24"/>
        </w:rPr>
        <w:t xml:space="preserve">heavily </w:t>
      </w:r>
      <w:r w:rsidRPr="006F0EBF">
        <w:rPr>
          <w:rFonts w:ascii="Verdana" w:hAnsi="Verdana" w:cs="Calibri"/>
          <w:sz w:val="24"/>
          <w:szCs w:val="24"/>
        </w:rPr>
        <w:t xml:space="preserve">dependent upon Brussels rather than operating through </w:t>
      </w:r>
      <w:r w:rsidRPr="006F0EBF">
        <w:rPr>
          <w:rFonts w:ascii="Verdana" w:hAnsi="Verdana" w:cs="Calibri"/>
          <w:sz w:val="24"/>
          <w:szCs w:val="24"/>
        </w:rPr>
        <w:t xml:space="preserve">alternative </w:t>
      </w:r>
      <w:r w:rsidRPr="006F0EBF">
        <w:rPr>
          <w:rFonts w:ascii="Verdana" w:hAnsi="Verdana" w:cs="Calibri"/>
          <w:sz w:val="24"/>
          <w:szCs w:val="24"/>
        </w:rPr>
        <w:t>multilateral</w:t>
      </w:r>
      <w:r w:rsidRPr="006F0EBF">
        <w:rPr>
          <w:rFonts w:ascii="Verdana" w:hAnsi="Verdana" w:cs="Calibri"/>
          <w:sz w:val="24"/>
          <w:szCs w:val="24"/>
        </w:rPr>
        <w:t xml:space="preserve"> routes</w:t>
      </w:r>
      <w:r w:rsidRPr="006F0EBF">
        <w:rPr>
          <w:rFonts w:ascii="Verdana" w:hAnsi="Verdana" w:cs="Calibri"/>
          <w:sz w:val="24"/>
          <w:szCs w:val="24"/>
        </w:rPr>
        <w:t xml:space="preserve"> or NATO </w:t>
      </w:r>
      <w:r w:rsidRPr="006F0EBF">
        <w:rPr>
          <w:rFonts w:ascii="Verdana" w:hAnsi="Verdana" w:cs="Calibri"/>
          <w:sz w:val="24"/>
          <w:szCs w:val="24"/>
        </w:rPr>
        <w:t>agreements.</w:t>
      </w:r>
    </w:p>
    <w:p w:rsidR="006F0EBF" w:rsidRPr="006F0EBF" w:rsidP="004728B6">
      <w:pPr>
        <w:rPr>
          <w:rFonts w:ascii="Verdana" w:hAnsi="Verdana" w:cs="Calibri"/>
          <w:b/>
          <w:bCs/>
          <w:sz w:val="24"/>
          <w:szCs w:val="24"/>
        </w:rPr>
      </w:pPr>
    </w:p>
    <w:p w:rsidR="006F0EBF" w:rsidRPr="006F0EBF" w:rsidP="004728B6">
      <w:pPr>
        <w:rPr>
          <w:rFonts w:ascii="Verdana" w:hAnsi="Verdana" w:cs="Calibri"/>
          <w:b/>
          <w:bCs/>
          <w:sz w:val="24"/>
          <w:szCs w:val="24"/>
        </w:rPr>
      </w:pPr>
      <w:r w:rsidRPr="006F0EBF">
        <w:rPr>
          <w:rFonts w:ascii="Verdana" w:hAnsi="Verdana" w:cs="Calibri"/>
          <w:b/>
          <w:bCs/>
          <w:sz w:val="24"/>
          <w:szCs w:val="24"/>
        </w:rPr>
        <w:t>Procurement Concerns</w:t>
      </w:r>
    </w:p>
    <w:p w:rsidR="006F0EBF" w:rsidRPr="006F0EBF" w:rsidP="004728B6">
      <w:pPr>
        <w:rPr>
          <w:rFonts w:ascii="Verdana" w:hAnsi="Verdana" w:cs="Calibri"/>
          <w:sz w:val="24"/>
          <w:szCs w:val="24"/>
        </w:rPr>
      </w:pPr>
      <w:r w:rsidRPr="006F0EBF">
        <w:rPr>
          <w:rFonts w:ascii="Verdana" w:hAnsi="Verdana" w:cs="Calibri"/>
          <w:sz w:val="24"/>
          <w:szCs w:val="24"/>
        </w:rPr>
        <w:t>There is a temptation to sign up to EU agreements that fund Defence procurement.</w:t>
      </w:r>
      <w:r w:rsidRPr="006F0EBF">
        <w:rPr>
          <w:rFonts w:ascii="Verdana" w:hAnsi="Verdana" w:cs="Calibri"/>
          <w:sz w:val="24"/>
          <w:szCs w:val="24"/>
        </w:rPr>
        <w:t xml:space="preserve"> There is a pot of money attached, and supposedly a guaranteed market – though decades of precedent in D</w:t>
      </w:r>
      <w:r w:rsidRPr="006F0EBF">
        <w:rPr>
          <w:rFonts w:ascii="Verdana" w:hAnsi="Verdana" w:cs="Calibri"/>
          <w:sz w:val="24"/>
          <w:szCs w:val="24"/>
        </w:rPr>
        <w:t>e</w:t>
      </w:r>
      <w:r w:rsidRPr="006F0EBF">
        <w:rPr>
          <w:rFonts w:ascii="Verdana" w:hAnsi="Verdana" w:cs="Calibri"/>
          <w:sz w:val="24"/>
          <w:szCs w:val="24"/>
        </w:rPr>
        <w:t>fence spending encourage considerable cynicism.</w:t>
      </w:r>
    </w:p>
    <w:p w:rsidR="006F0EBF" w:rsidRPr="006F0EBF" w:rsidP="004728B6">
      <w:pPr>
        <w:rPr>
          <w:rFonts w:ascii="Verdana" w:hAnsi="Verdana" w:cs="Calibri"/>
          <w:sz w:val="24"/>
          <w:szCs w:val="24"/>
        </w:rPr>
      </w:pPr>
      <w:r w:rsidRPr="006F0EBF">
        <w:rPr>
          <w:rFonts w:ascii="Verdana" w:hAnsi="Verdana" w:cs="Calibri"/>
          <w:sz w:val="24"/>
          <w:szCs w:val="24"/>
        </w:rPr>
        <w:t>D</w:t>
      </w:r>
      <w:r w:rsidRPr="006F0EBF">
        <w:rPr>
          <w:rFonts w:ascii="Verdana" w:hAnsi="Verdana" w:cs="Calibri"/>
          <w:sz w:val="24"/>
          <w:szCs w:val="24"/>
        </w:rPr>
        <w:t>ual use interest mean</w:t>
      </w:r>
      <w:r w:rsidRPr="006F0EBF">
        <w:rPr>
          <w:rFonts w:ascii="Verdana" w:hAnsi="Verdana" w:cs="Calibri"/>
          <w:sz w:val="24"/>
          <w:szCs w:val="24"/>
        </w:rPr>
        <w:t>s</w:t>
      </w:r>
      <w:r w:rsidRPr="006F0EBF">
        <w:rPr>
          <w:rFonts w:ascii="Verdana" w:hAnsi="Verdana" w:cs="Calibri"/>
          <w:sz w:val="24"/>
          <w:szCs w:val="24"/>
        </w:rPr>
        <w:t xml:space="preserve"> that risks</w:t>
      </w:r>
      <w:r w:rsidRPr="006F0EBF">
        <w:rPr>
          <w:rFonts w:ascii="Verdana" w:hAnsi="Verdana" w:cs="Calibri"/>
          <w:sz w:val="24"/>
          <w:szCs w:val="24"/>
        </w:rPr>
        <w:t xml:space="preserve"> </w:t>
      </w:r>
      <w:r w:rsidRPr="006F0EBF">
        <w:rPr>
          <w:rFonts w:ascii="Verdana" w:hAnsi="Verdana" w:cs="Calibri"/>
          <w:sz w:val="24"/>
          <w:szCs w:val="24"/>
        </w:rPr>
        <w:t xml:space="preserve">here </w:t>
      </w:r>
      <w:r w:rsidRPr="006F0EBF">
        <w:rPr>
          <w:rFonts w:ascii="Verdana" w:hAnsi="Verdana" w:cs="Calibri"/>
          <w:sz w:val="24"/>
          <w:szCs w:val="24"/>
        </w:rPr>
        <w:t>mirror</w:t>
      </w:r>
      <w:r w:rsidRPr="006F0EBF">
        <w:rPr>
          <w:rFonts w:ascii="Verdana" w:hAnsi="Verdana" w:cs="Calibri"/>
          <w:sz w:val="24"/>
          <w:szCs w:val="24"/>
        </w:rPr>
        <w:t xml:space="preserve"> </w:t>
      </w:r>
      <w:r w:rsidRPr="006F0EBF">
        <w:rPr>
          <w:rFonts w:ascii="Verdana" w:hAnsi="Verdana" w:cs="Calibri"/>
          <w:sz w:val="24"/>
          <w:szCs w:val="24"/>
        </w:rPr>
        <w:t xml:space="preserve">those from joining EU </w:t>
      </w:r>
      <w:r w:rsidRPr="006F0EBF">
        <w:rPr>
          <w:rFonts w:ascii="Verdana" w:hAnsi="Verdana" w:cs="Calibri"/>
          <w:sz w:val="24"/>
          <w:szCs w:val="24"/>
        </w:rPr>
        <w:t>academic research programmes</w:t>
      </w:r>
      <w:r w:rsidRPr="006F0EBF">
        <w:rPr>
          <w:rFonts w:ascii="Verdana" w:hAnsi="Verdana" w:cs="Calibri"/>
          <w:sz w:val="24"/>
          <w:szCs w:val="24"/>
        </w:rPr>
        <w:t xml:space="preserve"> -</w:t>
      </w:r>
      <w:r w:rsidRPr="006F0EBF">
        <w:rPr>
          <w:rFonts w:ascii="Verdana" w:hAnsi="Verdana" w:cs="Calibri"/>
          <w:sz w:val="24"/>
          <w:szCs w:val="24"/>
        </w:rPr>
        <w:t xml:space="preserve"> the Social Science elements exist to </w:t>
      </w:r>
      <w:r w:rsidRPr="006F0EBF">
        <w:rPr>
          <w:rFonts w:ascii="Verdana" w:hAnsi="Verdana" w:cs="Calibri"/>
          <w:sz w:val="24"/>
          <w:szCs w:val="24"/>
        </w:rPr>
        <w:t xml:space="preserve">discuss and </w:t>
      </w:r>
      <w:r w:rsidRPr="006F0EBF">
        <w:rPr>
          <w:rFonts w:ascii="Verdana" w:hAnsi="Verdana" w:cs="Calibri"/>
          <w:sz w:val="24"/>
          <w:szCs w:val="24"/>
        </w:rPr>
        <w:t xml:space="preserve">endorse EU integration; engaged academics are </w:t>
      </w:r>
      <w:r w:rsidRPr="006F0EBF">
        <w:rPr>
          <w:rFonts w:ascii="Verdana" w:hAnsi="Verdana" w:cs="Calibri"/>
          <w:sz w:val="24"/>
          <w:szCs w:val="24"/>
        </w:rPr>
        <w:t>bribed</w:t>
      </w:r>
      <w:r w:rsidRPr="006F0EBF">
        <w:rPr>
          <w:rFonts w:ascii="Verdana" w:hAnsi="Verdana" w:cs="Calibri"/>
          <w:sz w:val="24"/>
          <w:szCs w:val="24"/>
        </w:rPr>
        <w:t xml:space="preserve"> into a system of EU Commission </w:t>
      </w:r>
      <w:r w:rsidRPr="006F0EBF">
        <w:rPr>
          <w:rFonts w:ascii="Verdana" w:hAnsi="Verdana" w:cs="Calibri"/>
          <w:sz w:val="24"/>
          <w:szCs w:val="24"/>
        </w:rPr>
        <w:t>primacy;</w:t>
      </w:r>
      <w:r w:rsidRPr="006F0EBF">
        <w:rPr>
          <w:rFonts w:ascii="Verdana" w:hAnsi="Verdana" w:cs="Calibri"/>
          <w:sz w:val="24"/>
          <w:szCs w:val="24"/>
        </w:rPr>
        <w:t xml:space="preserve"> </w:t>
      </w:r>
      <w:r w:rsidRPr="006F0EBF">
        <w:rPr>
          <w:rFonts w:ascii="Verdana" w:hAnsi="Verdana" w:cs="Calibri"/>
          <w:sz w:val="24"/>
          <w:szCs w:val="24"/>
        </w:rPr>
        <w:t>while</w:t>
      </w:r>
      <w:r w:rsidRPr="006F0EBF">
        <w:rPr>
          <w:rFonts w:ascii="Verdana" w:hAnsi="Verdana" w:cs="Calibri"/>
          <w:sz w:val="24"/>
          <w:szCs w:val="24"/>
        </w:rPr>
        <w:t xml:space="preserve"> pure science programmes find </w:t>
      </w:r>
      <w:r w:rsidRPr="006F0EBF">
        <w:rPr>
          <w:rFonts w:ascii="Verdana" w:hAnsi="Verdana" w:cs="Calibri"/>
          <w:sz w:val="24"/>
          <w:szCs w:val="24"/>
        </w:rPr>
        <w:t xml:space="preserve">random </w:t>
      </w:r>
      <w:r w:rsidRPr="006F0EBF">
        <w:rPr>
          <w:rFonts w:ascii="Verdana" w:hAnsi="Verdana" w:cs="Calibri"/>
          <w:sz w:val="24"/>
          <w:szCs w:val="24"/>
        </w:rPr>
        <w:t xml:space="preserve">partners of convenience rather than cutting edge global partners of choice. The UK is particularly at risk because of the global reputation of its universities, which unlike continental </w:t>
      </w:r>
      <w:r w:rsidRPr="006F0EBF">
        <w:rPr>
          <w:rFonts w:ascii="Verdana" w:hAnsi="Verdana" w:cs="Calibri"/>
          <w:sz w:val="24"/>
          <w:szCs w:val="24"/>
        </w:rPr>
        <w:t>counterparts</w:t>
      </w:r>
      <w:r w:rsidRPr="006F0EBF">
        <w:rPr>
          <w:rFonts w:ascii="Verdana" w:hAnsi="Verdana" w:cs="Calibri"/>
          <w:sz w:val="24"/>
          <w:szCs w:val="24"/>
        </w:rPr>
        <w:t xml:space="preserve"> feature in Top 100 lists and g</w:t>
      </w:r>
      <w:r w:rsidRPr="006F0EBF">
        <w:rPr>
          <w:rFonts w:ascii="Verdana" w:hAnsi="Verdana" w:cs="Calibri"/>
          <w:sz w:val="24"/>
          <w:szCs w:val="24"/>
        </w:rPr>
        <w:t xml:space="preserve">enuinely have world appeal </w:t>
      </w:r>
      <w:r w:rsidRPr="006F0EBF">
        <w:rPr>
          <w:rFonts w:ascii="Verdana" w:hAnsi="Verdana" w:cs="Calibri"/>
          <w:sz w:val="24"/>
          <w:szCs w:val="24"/>
        </w:rPr>
        <w:t>for those setting up joint projects abroad</w:t>
      </w:r>
      <w:r w:rsidRPr="006F0EBF">
        <w:rPr>
          <w:rFonts w:ascii="Verdana" w:hAnsi="Verdana" w:cs="Calibri"/>
          <w:sz w:val="24"/>
          <w:szCs w:val="24"/>
        </w:rPr>
        <w:t>.</w:t>
      </w:r>
    </w:p>
    <w:p w:rsidR="006F0EBF" w:rsidRPr="006F0EBF" w:rsidP="004728B6">
      <w:pPr>
        <w:rPr>
          <w:rFonts w:ascii="Verdana" w:hAnsi="Verdana" w:cs="Calibri"/>
          <w:sz w:val="24"/>
          <w:szCs w:val="24"/>
        </w:rPr>
      </w:pPr>
      <w:r w:rsidRPr="006F0EBF">
        <w:rPr>
          <w:rFonts w:ascii="Verdana" w:hAnsi="Verdana" w:cs="Calibri"/>
          <w:sz w:val="24"/>
          <w:szCs w:val="24"/>
        </w:rPr>
        <w:t>With the more clearcut military programmes, th</w:t>
      </w:r>
      <w:r w:rsidRPr="006F0EBF">
        <w:rPr>
          <w:rFonts w:ascii="Verdana" w:hAnsi="Verdana" w:cs="Calibri"/>
          <w:sz w:val="24"/>
          <w:szCs w:val="24"/>
        </w:rPr>
        <w:t>e risk carries a real threat to deployed capability</w:t>
      </w:r>
      <w:r w:rsidRPr="006F0EBF">
        <w:rPr>
          <w:rFonts w:ascii="Verdana" w:hAnsi="Verdana" w:cs="Calibri"/>
          <w:sz w:val="24"/>
          <w:szCs w:val="24"/>
        </w:rPr>
        <w:t xml:space="preserve">. The closer any country is to EU procurement arrangements, and the more its industries </w:t>
      </w:r>
      <w:r w:rsidRPr="006F0EBF">
        <w:rPr>
          <w:rFonts w:ascii="Verdana" w:hAnsi="Verdana" w:cs="Calibri"/>
          <w:sz w:val="24"/>
          <w:szCs w:val="24"/>
        </w:rPr>
        <w:t xml:space="preserve">casually </w:t>
      </w:r>
      <w:r w:rsidRPr="006F0EBF">
        <w:rPr>
          <w:rFonts w:ascii="Verdana" w:hAnsi="Verdana" w:cs="Calibri"/>
          <w:sz w:val="24"/>
          <w:szCs w:val="24"/>
        </w:rPr>
        <w:t>expect funding to be accompanied by matched funding from Brussels</w:t>
      </w:r>
      <w:r w:rsidRPr="006F0EBF">
        <w:rPr>
          <w:rFonts w:ascii="Verdana" w:hAnsi="Verdana" w:cs="Calibri"/>
          <w:sz w:val="24"/>
          <w:szCs w:val="24"/>
        </w:rPr>
        <w:t xml:space="preserve"> (ultimately of course, UK taxpayers)</w:t>
      </w:r>
      <w:r w:rsidRPr="006F0EBF">
        <w:rPr>
          <w:rFonts w:ascii="Verdana" w:hAnsi="Verdana" w:cs="Calibri"/>
          <w:sz w:val="24"/>
          <w:szCs w:val="24"/>
        </w:rPr>
        <w:t>, the harder it will be</w:t>
      </w:r>
      <w:r w:rsidRPr="006F0EBF">
        <w:rPr>
          <w:rFonts w:ascii="Verdana" w:hAnsi="Verdana" w:cs="Calibri"/>
          <w:sz w:val="24"/>
          <w:szCs w:val="24"/>
        </w:rPr>
        <w:t xml:space="preserve"> </w:t>
      </w:r>
      <w:r w:rsidRPr="006F0EBF">
        <w:rPr>
          <w:rFonts w:ascii="Verdana" w:hAnsi="Verdana" w:cs="Calibri"/>
          <w:sz w:val="24"/>
          <w:szCs w:val="24"/>
        </w:rPr>
        <w:t xml:space="preserve">to pursue projects like the </w:t>
      </w:r>
      <w:r w:rsidRPr="006F0EBF">
        <w:rPr>
          <w:rFonts w:ascii="Verdana" w:hAnsi="Verdana" w:cs="Calibri"/>
          <w:sz w:val="24"/>
          <w:szCs w:val="24"/>
        </w:rPr>
        <w:t xml:space="preserve">Global Combat Air Programme (GCAP), a multinational initiative established by the UK, Japan, and </w:t>
      </w:r>
      <w:r w:rsidRPr="006F0EBF">
        <w:rPr>
          <w:rFonts w:ascii="Verdana" w:hAnsi="Verdana" w:cs="Calibri"/>
          <w:sz w:val="24"/>
          <w:szCs w:val="24"/>
        </w:rPr>
        <w:t xml:space="preserve">Italy in 2023 and headquartered in Britain. Generationally this particular scheme aims to deliver a </w:t>
      </w:r>
      <w:r w:rsidRPr="006F0EBF">
        <w:rPr>
          <w:rFonts w:ascii="Verdana" w:hAnsi="Verdana" w:cs="Calibri"/>
          <w:sz w:val="24"/>
          <w:szCs w:val="24"/>
        </w:rPr>
        <w:t>sixth generation</w:t>
      </w:r>
      <w:r w:rsidRPr="006F0EBF">
        <w:rPr>
          <w:rFonts w:ascii="Verdana" w:hAnsi="Verdana" w:cs="Calibri"/>
          <w:sz w:val="24"/>
          <w:szCs w:val="24"/>
        </w:rPr>
        <w:t xml:space="preserve"> aircraft</w:t>
      </w:r>
      <w:r w:rsidRPr="006F0EBF">
        <w:rPr>
          <w:rFonts w:ascii="Verdana" w:hAnsi="Verdana" w:cs="Calibri"/>
          <w:sz w:val="24"/>
          <w:szCs w:val="24"/>
        </w:rPr>
        <w:t xml:space="preserve">; a project consisting of ‘partners expressing interest’ amongst EU members cannot be guaranteed to generate world class tech leadership to pair with the UK. What it is more likely to do, however, is to drive a wedge into the UK’s still privileged military and industrial partnership with US industry, which will often include a partner of choice, and an easy mechanism for UK forces to </w:t>
      </w:r>
      <w:r w:rsidRPr="006F0EBF">
        <w:rPr>
          <w:rFonts w:ascii="Verdana" w:hAnsi="Verdana" w:cs="Calibri"/>
          <w:sz w:val="24"/>
          <w:szCs w:val="24"/>
        </w:rPr>
        <w:t xml:space="preserve">be operational compatible with our American </w:t>
      </w:r>
      <w:r w:rsidRPr="006F0EBF">
        <w:rPr>
          <w:rFonts w:ascii="Verdana" w:hAnsi="Verdana" w:cs="Calibri"/>
          <w:sz w:val="24"/>
          <w:szCs w:val="24"/>
        </w:rPr>
        <w:t>a</w:t>
      </w:r>
      <w:r w:rsidRPr="006F0EBF">
        <w:rPr>
          <w:rFonts w:ascii="Verdana" w:hAnsi="Verdana" w:cs="Calibri"/>
          <w:sz w:val="24"/>
          <w:szCs w:val="24"/>
        </w:rPr>
        <w:t>llies (which was a</w:t>
      </w:r>
      <w:r w:rsidRPr="006F0EBF">
        <w:rPr>
          <w:rFonts w:ascii="Verdana" w:hAnsi="Verdana" w:cs="Calibri"/>
          <w:sz w:val="24"/>
          <w:szCs w:val="24"/>
        </w:rPr>
        <w:t xml:space="preserve"> practical </w:t>
      </w:r>
      <w:r w:rsidRPr="006F0EBF">
        <w:rPr>
          <w:rFonts w:ascii="Verdana" w:hAnsi="Verdana" w:cs="Calibri"/>
          <w:sz w:val="24"/>
          <w:szCs w:val="24"/>
        </w:rPr>
        <w:t>concern</w:t>
      </w:r>
      <w:r w:rsidRPr="006F0EBF">
        <w:rPr>
          <w:rFonts w:ascii="Verdana" w:hAnsi="Verdana" w:cs="Calibri"/>
          <w:sz w:val="24"/>
          <w:szCs w:val="24"/>
        </w:rPr>
        <w:t xml:space="preserve"> for instance during the Libya conflict).</w:t>
      </w:r>
    </w:p>
    <w:p w:rsidR="006F0EBF" w:rsidRPr="006F0EBF" w:rsidP="004728B6">
      <w:pPr>
        <w:rPr>
          <w:rFonts w:ascii="Verdana" w:hAnsi="Verdana" w:cs="Calibri"/>
          <w:sz w:val="24"/>
          <w:szCs w:val="24"/>
        </w:rPr>
      </w:pPr>
      <w:r w:rsidRPr="006F0EBF">
        <w:rPr>
          <w:rFonts w:ascii="Verdana" w:hAnsi="Verdana" w:cs="Calibri"/>
          <w:sz w:val="24"/>
          <w:szCs w:val="24"/>
        </w:rPr>
        <w:t>However, the biggest risk comes from the unambiguous intent included from the outset. The European Commission sees the policy as a mechanism to rationalise continental industrial capability. This means concentrating build of a particular type in a regional hub, at the cost of other industry within that country. This</w:t>
      </w:r>
      <w:r w:rsidRPr="006F0EBF">
        <w:rPr>
          <w:rFonts w:ascii="Verdana" w:hAnsi="Verdana" w:cs="Calibri"/>
          <w:sz w:val="24"/>
          <w:szCs w:val="24"/>
        </w:rPr>
        <w:t xml:space="preserve"> ultimately </w:t>
      </w:r>
      <w:r w:rsidRPr="006F0EBF">
        <w:rPr>
          <w:rFonts w:ascii="Verdana" w:hAnsi="Verdana" w:cs="Calibri"/>
          <w:sz w:val="24"/>
          <w:szCs w:val="24"/>
        </w:rPr>
        <w:t xml:space="preserve">involves the loss of national build capability, and even where it is retained a likely co-dependency on other EU states. </w:t>
      </w:r>
    </w:p>
    <w:p w:rsidR="006F0EBF" w:rsidRPr="006F0EBF" w:rsidP="004728B6">
      <w:pPr>
        <w:rPr>
          <w:rFonts w:ascii="Verdana" w:hAnsi="Verdana" w:cs="Calibri"/>
          <w:sz w:val="24"/>
          <w:szCs w:val="24"/>
        </w:rPr>
      </w:pPr>
      <w:r w:rsidRPr="006F0EBF">
        <w:rPr>
          <w:rFonts w:ascii="Verdana" w:hAnsi="Verdana" w:cs="Calibri"/>
          <w:sz w:val="24"/>
          <w:szCs w:val="24"/>
        </w:rPr>
        <w:t xml:space="preserve">The UK will, if it associates in anything more than a passing way with PESCO, face a massive political fight over whether to </w:t>
      </w:r>
      <w:r w:rsidRPr="006F0EBF">
        <w:rPr>
          <w:rFonts w:ascii="Verdana" w:hAnsi="Verdana" w:cs="Calibri"/>
          <w:sz w:val="24"/>
          <w:szCs w:val="24"/>
        </w:rPr>
        <w:t>retain</w:t>
      </w:r>
      <w:r w:rsidRPr="006F0EBF">
        <w:rPr>
          <w:rFonts w:ascii="Verdana" w:hAnsi="Verdana" w:cs="Calibri"/>
          <w:sz w:val="24"/>
          <w:szCs w:val="24"/>
        </w:rPr>
        <w:t xml:space="preserve"> a </w:t>
      </w:r>
      <w:r w:rsidRPr="006F0EBF">
        <w:rPr>
          <w:rFonts w:ascii="Verdana" w:hAnsi="Verdana" w:cs="Calibri"/>
          <w:sz w:val="24"/>
          <w:szCs w:val="24"/>
        </w:rPr>
        <w:t xml:space="preserve">particular </w:t>
      </w:r>
      <w:r w:rsidRPr="006F0EBF">
        <w:rPr>
          <w:rFonts w:ascii="Verdana" w:hAnsi="Verdana" w:cs="Calibri"/>
          <w:sz w:val="24"/>
          <w:szCs w:val="24"/>
        </w:rPr>
        <w:t xml:space="preserve">shipyard over an aircraft factory, an engine plant rather than a combat vehicle production line. The strategic risk associated with this harsh rationalisation may perhaps be contextualised if we remember the </w:t>
      </w:r>
      <w:r w:rsidRPr="006F0EBF">
        <w:rPr>
          <w:rFonts w:ascii="Verdana" w:hAnsi="Verdana" w:cs="Calibri"/>
          <w:sz w:val="24"/>
          <w:szCs w:val="24"/>
        </w:rPr>
        <w:t>refusal</w:t>
      </w:r>
      <w:r w:rsidRPr="006F0EBF">
        <w:rPr>
          <w:rFonts w:ascii="Verdana" w:hAnsi="Verdana" w:cs="Calibri"/>
          <w:sz w:val="24"/>
          <w:szCs w:val="24"/>
        </w:rPr>
        <w:t xml:space="preserve"> of the Belgian Government to sell the UK ammunition during the Falklands War</w:t>
      </w:r>
      <w:r w:rsidRPr="006F0EBF">
        <w:rPr>
          <w:rFonts w:ascii="Verdana" w:hAnsi="Verdana" w:cs="Calibri"/>
          <w:sz w:val="24"/>
          <w:szCs w:val="24"/>
        </w:rPr>
        <w:t>. Tellingly, such</w:t>
      </w:r>
      <w:r w:rsidRPr="006F0EBF">
        <w:rPr>
          <w:rFonts w:ascii="Verdana" w:hAnsi="Verdana" w:cs="Calibri"/>
          <w:sz w:val="24"/>
          <w:szCs w:val="24"/>
        </w:rPr>
        <w:t xml:space="preserve"> a veto can only be effectively </w:t>
      </w:r>
      <w:r w:rsidRPr="006F0EBF">
        <w:rPr>
          <w:rFonts w:ascii="Verdana" w:hAnsi="Verdana" w:cs="Calibri"/>
          <w:sz w:val="24"/>
          <w:szCs w:val="24"/>
        </w:rPr>
        <w:t xml:space="preserve">circumvented </w:t>
      </w:r>
      <w:r w:rsidRPr="006F0EBF">
        <w:rPr>
          <w:rFonts w:ascii="Verdana" w:hAnsi="Verdana" w:cs="Calibri"/>
          <w:sz w:val="24"/>
          <w:szCs w:val="24"/>
        </w:rPr>
        <w:t>(as we saw with the</w:t>
      </w:r>
      <w:r w:rsidRPr="006F0EBF">
        <w:rPr>
          <w:rFonts w:ascii="Verdana" w:hAnsi="Verdana"/>
          <w:sz w:val="24"/>
          <w:szCs w:val="24"/>
        </w:rPr>
        <w:t xml:space="preserve"> </w:t>
      </w:r>
      <w:r w:rsidRPr="006F0EBF">
        <w:rPr>
          <w:rFonts w:ascii="Verdana" w:hAnsi="Verdana" w:cs="Calibri"/>
          <w:sz w:val="24"/>
          <w:szCs w:val="24"/>
        </w:rPr>
        <w:t>Military Mobility project</w:t>
      </w:r>
      <w:r w:rsidRPr="006F0EBF">
        <w:rPr>
          <w:rFonts w:ascii="Verdana" w:hAnsi="Verdana" w:cs="Calibri"/>
          <w:sz w:val="24"/>
          <w:szCs w:val="24"/>
        </w:rPr>
        <w:t xml:space="preserve"> above</w:t>
      </w:r>
      <w:r w:rsidRPr="006F0EBF">
        <w:rPr>
          <w:rFonts w:ascii="Verdana" w:hAnsi="Verdana" w:cs="Calibri"/>
          <w:sz w:val="24"/>
          <w:szCs w:val="24"/>
        </w:rPr>
        <w:t>)</w:t>
      </w:r>
      <w:r w:rsidRPr="006F0EBF">
        <w:rPr>
          <w:rFonts w:ascii="Verdana" w:hAnsi="Verdana" w:cs="Calibri"/>
          <w:sz w:val="24"/>
          <w:szCs w:val="24"/>
        </w:rPr>
        <w:t xml:space="preserve"> by handing power over to decision makers at Brussels, at additional cost to national </w:t>
      </w:r>
      <w:r w:rsidRPr="006F0EBF">
        <w:rPr>
          <w:rFonts w:ascii="Verdana" w:hAnsi="Verdana" w:cs="Calibri"/>
          <w:sz w:val="24"/>
          <w:szCs w:val="24"/>
        </w:rPr>
        <w:t>sovereignty</w:t>
      </w:r>
      <w:r w:rsidRPr="006F0EBF">
        <w:rPr>
          <w:rFonts w:ascii="Verdana" w:hAnsi="Verdana" w:cs="Calibri"/>
          <w:sz w:val="24"/>
          <w:szCs w:val="24"/>
        </w:rPr>
        <w:t>.</w:t>
      </w:r>
    </w:p>
    <w:p w:rsidR="006F0EBF" w:rsidRPr="006F0EBF" w:rsidP="004728B6">
      <w:pPr>
        <w:rPr>
          <w:rFonts w:ascii="Verdana" w:hAnsi="Verdana" w:cs="Calibri"/>
          <w:sz w:val="24"/>
          <w:szCs w:val="24"/>
        </w:rPr>
      </w:pPr>
      <w:r w:rsidRPr="006F0EBF">
        <w:rPr>
          <w:rFonts w:ascii="Verdana" w:hAnsi="Verdana" w:cs="Calibri"/>
          <w:sz w:val="24"/>
          <w:szCs w:val="24"/>
        </w:rPr>
        <w:t>-----------------------------------</w:t>
      </w:r>
    </w:p>
    <w:p w:rsidR="006F0EBF" w:rsidRPr="006F0EBF" w:rsidP="004728B6">
      <w:pPr>
        <w:rPr>
          <w:rFonts w:ascii="Verdana" w:hAnsi="Verdana" w:cs="Calibri"/>
          <w:sz w:val="24"/>
          <w:szCs w:val="24"/>
        </w:rPr>
      </w:pPr>
      <w:r w:rsidRPr="006F0EBF">
        <w:rPr>
          <w:rFonts w:ascii="Verdana" w:hAnsi="Verdana" w:cs="Calibri"/>
          <w:sz w:val="24"/>
          <w:szCs w:val="24"/>
        </w:rPr>
        <w:t>THE CONTRIBUTOR</w:t>
      </w:r>
    </w:p>
    <w:p w:rsidR="006F0EBF" w:rsidRPr="006F0EBF" w:rsidP="004728B6">
      <w:pPr>
        <w:rPr>
          <w:rFonts w:ascii="Verdana" w:hAnsi="Verdana" w:cs="Calibri"/>
          <w:sz w:val="24"/>
          <w:szCs w:val="24"/>
        </w:rPr>
      </w:pPr>
      <w:r w:rsidRPr="006F0EBF">
        <w:rPr>
          <w:rFonts w:ascii="Verdana" w:hAnsi="Verdana" w:cs="Calibri"/>
          <w:sz w:val="24"/>
          <w:szCs w:val="24"/>
        </w:rPr>
        <w:t xml:space="preserve">Dr Lee Rotherham </w:t>
      </w:r>
      <w:r w:rsidRPr="006F0EBF">
        <w:rPr>
          <w:rFonts w:ascii="Verdana" w:hAnsi="Verdana" w:cs="Calibri"/>
          <w:sz w:val="24"/>
          <w:szCs w:val="24"/>
        </w:rPr>
        <w:t>has been</w:t>
      </w:r>
      <w:r w:rsidRPr="006F0EBF">
        <w:rPr>
          <w:rFonts w:ascii="Verdana" w:hAnsi="Verdana" w:cs="Calibri"/>
          <w:sz w:val="24"/>
          <w:szCs w:val="24"/>
        </w:rPr>
        <w:t xml:space="preserve"> </w:t>
      </w:r>
      <w:r w:rsidRPr="006F0EBF">
        <w:rPr>
          <w:rFonts w:ascii="Verdana" w:hAnsi="Verdana" w:cs="Calibri"/>
          <w:i/>
          <w:iCs/>
          <w:sz w:val="24"/>
          <w:szCs w:val="24"/>
        </w:rPr>
        <w:t>inter alia</w:t>
      </w:r>
      <w:r w:rsidRPr="006F0EBF">
        <w:rPr>
          <w:rFonts w:ascii="Verdana" w:hAnsi="Verdana" w:cs="Calibri"/>
          <w:sz w:val="24"/>
          <w:szCs w:val="24"/>
        </w:rPr>
        <w:t xml:space="preserve"> a</w:t>
      </w:r>
      <w:r w:rsidRPr="006F0EBF">
        <w:rPr>
          <w:rFonts w:ascii="Verdana" w:hAnsi="Verdana" w:cs="Calibri"/>
          <w:sz w:val="24"/>
          <w:szCs w:val="24"/>
        </w:rPr>
        <w:t xml:space="preserve">dviser to a Parliamentary Delegate to the Convention on the Future of Europe; </w:t>
      </w:r>
      <w:r w:rsidRPr="006F0EBF">
        <w:rPr>
          <w:rFonts w:ascii="Verdana" w:hAnsi="Verdana" w:cs="Calibri"/>
          <w:sz w:val="24"/>
          <w:szCs w:val="24"/>
        </w:rPr>
        <w:t>a</w:t>
      </w:r>
      <w:r w:rsidRPr="006F0EBF">
        <w:rPr>
          <w:rFonts w:ascii="Verdana" w:hAnsi="Verdana" w:cs="Calibri"/>
          <w:sz w:val="24"/>
          <w:szCs w:val="24"/>
        </w:rPr>
        <w:t xml:space="preserve">dviser to three Shadow Foreign Secretaries; Director of Special Projects at Vote Leave; and author or co-author of a considerable body of research, including the </w:t>
      </w:r>
      <w:r w:rsidRPr="006F0EBF">
        <w:rPr>
          <w:rFonts w:ascii="Verdana" w:hAnsi="Verdana" w:cs="Calibri"/>
          <w:i/>
          <w:iCs/>
          <w:sz w:val="24"/>
          <w:szCs w:val="24"/>
        </w:rPr>
        <w:t>Bumper Books of Government Waste</w:t>
      </w:r>
      <w:r w:rsidRPr="006F0EBF">
        <w:rPr>
          <w:rFonts w:ascii="Verdana" w:hAnsi="Verdana" w:cs="Calibri"/>
          <w:sz w:val="24"/>
          <w:szCs w:val="24"/>
        </w:rPr>
        <w:t xml:space="preserve">, </w:t>
      </w:r>
      <w:r w:rsidRPr="006F0EBF">
        <w:rPr>
          <w:rFonts w:ascii="Verdana" w:hAnsi="Verdana" w:cs="Calibri"/>
          <w:i/>
          <w:iCs/>
          <w:sz w:val="24"/>
          <w:szCs w:val="24"/>
        </w:rPr>
        <w:t>Change or Go</w:t>
      </w:r>
      <w:r w:rsidRPr="006F0EBF">
        <w:rPr>
          <w:rFonts w:ascii="Verdana" w:hAnsi="Verdana" w:cs="Calibri"/>
          <w:sz w:val="24"/>
          <w:szCs w:val="24"/>
        </w:rPr>
        <w:t xml:space="preserve"> (serialised for a week in the </w:t>
      </w:r>
      <w:r w:rsidRPr="006F0EBF">
        <w:rPr>
          <w:rFonts w:ascii="Verdana" w:hAnsi="Verdana" w:cs="Calibri"/>
          <w:i/>
          <w:iCs/>
          <w:sz w:val="24"/>
          <w:szCs w:val="24"/>
        </w:rPr>
        <w:t>Daily Telegraph</w:t>
      </w:r>
      <w:r w:rsidRPr="006F0EBF">
        <w:rPr>
          <w:rFonts w:ascii="Verdana" w:hAnsi="Verdana" w:cs="Calibri"/>
          <w:sz w:val="24"/>
          <w:szCs w:val="24"/>
        </w:rPr>
        <w:t>)</w:t>
      </w:r>
      <w:r w:rsidRPr="006F0EBF">
        <w:rPr>
          <w:rFonts w:ascii="Verdana" w:hAnsi="Verdana" w:cs="Calibri"/>
          <w:sz w:val="24"/>
          <w:szCs w:val="24"/>
        </w:rPr>
        <w:t xml:space="preserve"> and very large number of publications on EU policy.</w:t>
      </w:r>
      <w:r w:rsidRPr="006F0EBF">
        <w:rPr>
          <w:rFonts w:ascii="Verdana" w:hAnsi="Verdana" w:cs="Calibri"/>
          <w:sz w:val="24"/>
          <w:szCs w:val="24"/>
        </w:rPr>
        <w:t xml:space="preserve"> He is a reservist of over 25 years standing who has served on three overseas deployments and multiple attachments.</w:t>
      </w:r>
    </w:p>
    <w:p w:rsidR="006F0EBF" w:rsidRPr="006F0EBF" w:rsidP="004728B6">
      <w:pPr>
        <w:rPr>
          <w:rFonts w:ascii="Verdana" w:hAnsi="Verdana" w:cs="Calibri"/>
          <w:sz w:val="24"/>
          <w:szCs w:val="24"/>
        </w:rPr>
      </w:pPr>
      <w:r w:rsidRPr="006F0EBF">
        <w:rPr>
          <w:rFonts w:ascii="Verdana" w:hAnsi="Verdana" w:cs="Calibri"/>
          <w:sz w:val="24"/>
          <w:szCs w:val="24"/>
        </w:rPr>
        <w:t xml:space="preserve">This submission is intended as a warning, based on </w:t>
      </w:r>
      <w:r w:rsidRPr="006F0EBF">
        <w:rPr>
          <w:rFonts w:ascii="Verdana" w:hAnsi="Verdana" w:cs="Calibri"/>
          <w:sz w:val="24"/>
          <w:szCs w:val="24"/>
        </w:rPr>
        <w:t xml:space="preserve">thirty years’ </w:t>
      </w:r>
      <w:r w:rsidRPr="006F0EBF">
        <w:rPr>
          <w:rFonts w:ascii="Verdana" w:hAnsi="Verdana" w:cs="Calibri"/>
          <w:sz w:val="24"/>
          <w:szCs w:val="24"/>
        </w:rPr>
        <w:t>first hand</w:t>
      </w:r>
      <w:r w:rsidRPr="006F0EBF">
        <w:rPr>
          <w:rFonts w:ascii="Verdana" w:hAnsi="Verdana" w:cs="Calibri"/>
          <w:sz w:val="24"/>
          <w:szCs w:val="24"/>
        </w:rPr>
        <w:t xml:space="preserve"> </w:t>
      </w:r>
      <w:r w:rsidRPr="006F0EBF">
        <w:rPr>
          <w:rFonts w:ascii="Verdana" w:hAnsi="Verdana" w:cs="Calibri"/>
          <w:sz w:val="24"/>
          <w:szCs w:val="24"/>
        </w:rPr>
        <w:t>experience of how Brussels institutions work.</w:t>
      </w:r>
    </w:p>
    <w:p w:rsidR="006F0EBF" w:rsidRPr="006F0EBF" w:rsidP="004728B6">
      <w:pPr>
        <w:rPr>
          <w:rFonts w:ascii="Verdana" w:hAnsi="Verdana" w:cs="Calibri"/>
          <w:b/>
          <w:bCs/>
          <w:sz w:val="24"/>
          <w:szCs w:val="24"/>
        </w:rPr>
      </w:pPr>
      <w:r w:rsidRPr="006F0EBF">
        <w:rPr>
          <w:rFonts w:ascii="Verdana" w:hAnsi="Verdana" w:cs="Calibri"/>
          <w:b/>
          <w:bCs/>
          <w:sz w:val="24"/>
          <w:szCs w:val="24"/>
        </w:rPr>
        <w:t>Received 1 April</w:t>
      </w:r>
      <w:r>
        <w:rPr>
          <w:rFonts w:ascii="Verdana" w:hAnsi="Verdana" w:cs="Calibri"/>
          <w:b/>
          <w:bCs/>
          <w:sz w:val="24"/>
          <w:szCs w:val="24"/>
        </w:rPr>
        <w:t xml:space="preserve">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F0EBF" w:rsidP="00C572E6">
      <w:pPr>
        <w:spacing w:after="0" w:line="240" w:lineRule="auto"/>
      </w:pPr>
      <w:r>
        <w:separator/>
      </w:r>
    </w:p>
  </w:footnote>
  <w:footnote w:type="continuationSeparator" w:id="1">
    <w:p w:rsidR="006F0EBF" w:rsidP="00C572E6">
      <w:pPr>
        <w:spacing w:after="0" w:line="240" w:lineRule="auto"/>
      </w:pPr>
      <w:r>
        <w:continuationSeparator/>
      </w:r>
    </w:p>
  </w:footnote>
  <w:footnote w:id="2">
    <w:p w:rsidR="006F0EBF">
      <w:pPr>
        <w:pStyle w:val="FootnoteText"/>
      </w:pPr>
      <w:r>
        <w:rPr>
          <w:rStyle w:val="FootnoteReference"/>
        </w:rPr>
        <w:footnoteRef/>
      </w:r>
      <w:r>
        <w:t xml:space="preserve"> </w:t>
      </w:r>
      <w:r>
        <w:fldChar w:fldCharType="begin"/>
      </w:r>
      <w:r>
        <w:instrText xml:space="preserve"> HYPERLINK "https://www.eeas.europa.eu/sites/default/files/documents/2022-12-PESCO-Deepening-defence-cooperarion.pdf" </w:instrText>
      </w:r>
      <w:r>
        <w:fldChar w:fldCharType="separate"/>
      </w:r>
      <w:r w:rsidRPr="00E556FE">
        <w:rPr>
          <w:rStyle w:val="Hyperlink"/>
        </w:rPr>
        <w:t>https://www.eeas.europa.eu/sites/default/files/documents/2022-12-PESCO-Deepening-defence-cooperarion.pdf</w:t>
      </w:r>
      <w:r>
        <w:fldChar w:fldCharType="end"/>
      </w:r>
      <w:r>
        <w:t xml:space="preserve"> </w:t>
      </w:r>
    </w:p>
  </w:footnote>
  <w:footnote w:id="3">
    <w:p w:rsidR="006F0EBF">
      <w:pPr>
        <w:pStyle w:val="FootnoteText"/>
      </w:pPr>
      <w:r>
        <w:rPr>
          <w:rStyle w:val="FootnoteReference"/>
        </w:rPr>
        <w:footnoteRef/>
      </w:r>
      <w:r>
        <w:fldChar w:fldCharType="begin"/>
      </w:r>
      <w:r>
        <w:instrText xml:space="preserve"> HYPERLINK "https://assets.publishing.service.gov.uk/government/uploads/system/uploads/attachment_data/file/224449/evidence-taxpayers-alliance-eu-diplomats.pdf" </w:instrText>
      </w:r>
      <w:r>
        <w:fldChar w:fldCharType="separate"/>
      </w:r>
      <w:r w:rsidRPr="00AD4BC1">
        <w:rPr>
          <w:rStyle w:val="Hyperlink"/>
        </w:rPr>
        <w:t>https://assets.publishing.service.gov.uk/government/uploads/system/uploads/attachment_data/file/224449/evidence-taxpayers-alliance-eu-diplomats.pdf</w:t>
      </w:r>
      <w:r>
        <w:fldChar w:fldCharType="end"/>
      </w:r>
    </w:p>
  </w:footnote>
  <w:footnote w:id="4">
    <w:p w:rsidR="006F0EBF">
      <w:pPr>
        <w:pStyle w:val="FootnoteText"/>
      </w:pPr>
      <w:r>
        <w:rPr>
          <w:rStyle w:val="FootnoteReference"/>
        </w:rPr>
        <w:footnoteRef/>
      </w:r>
      <w:r>
        <w:fldChar w:fldCharType="begin"/>
      </w:r>
      <w:r>
        <w:instrText xml:space="preserve"> HYPERLINK "https://d3n8a8pro7vhmx.cloudfront.net/taxpayersalliance/pages/3646/attachments/original/1422261075/eudefence.pdf?1422261075" </w:instrText>
      </w:r>
      <w:r>
        <w:fldChar w:fldCharType="separate"/>
      </w:r>
      <w:r w:rsidRPr="00AD4BC1">
        <w:rPr>
          <w:rStyle w:val="Hyperlink"/>
        </w:rPr>
        <w:t>https://d3n8a8pro7vhmx.cloudfront.net/taxpayersalliance/pages/3646/attachments/original/1422261075/eudefence.pdf?1422261075</w:t>
      </w:r>
      <w:r>
        <w:fldChar w:fldCharType="end"/>
      </w:r>
      <w:r>
        <w:t xml:space="preserve"> </w:t>
      </w:r>
    </w:p>
  </w:footnote>
  <w:footnote w:id="5">
    <w:p w:rsidR="006F0EBF">
      <w:pPr>
        <w:pStyle w:val="FootnoteText"/>
      </w:pPr>
      <w:r>
        <w:rPr>
          <w:rStyle w:val="FootnoteReference"/>
        </w:rPr>
        <w:footnoteRef/>
      </w:r>
      <w:r>
        <w:t xml:space="preserve"> </w:t>
      </w:r>
      <w:r>
        <w:fldChar w:fldCharType="begin"/>
      </w:r>
      <w:r>
        <w:instrText xml:space="preserve"> HYPERLINK "https://veteransforbritain.uk/wp-content/uploads/2020/06/The-Battle-Over-Procurement.pdf" </w:instrText>
      </w:r>
      <w:r>
        <w:fldChar w:fldCharType="separate"/>
      </w:r>
      <w:r w:rsidRPr="00AD4BC1">
        <w:rPr>
          <w:rStyle w:val="Hyperlink"/>
        </w:rPr>
        <w:t>https://veteransforbritain.uk/wp-content/uploads/2020/06/The-Battle-Over-Procurement.pdf</w:t>
      </w:r>
      <w:r>
        <w:fldChar w:fldCharType="end"/>
      </w:r>
      <w:r>
        <w:t xml:space="preserve"> </w:t>
      </w:r>
    </w:p>
  </w:footnote>
  <w:footnote w:id="6">
    <w:p w:rsidR="006F0EBF">
      <w:pPr>
        <w:pStyle w:val="FootnoteText"/>
      </w:pPr>
      <w:r>
        <w:rPr>
          <w:rStyle w:val="FootnoteReference"/>
        </w:rPr>
        <w:footnoteRef/>
      </w:r>
      <w:r>
        <w:fldChar w:fldCharType="begin"/>
      </w:r>
      <w:r>
        <w:instrText xml:space="preserve"> HYPERLINK "https://www.theredcell.co.uk/uploads/9/6/4/0/96409902/eu_defence_nouvelle_vague_rotherham_thompson.pdf" </w:instrText>
      </w:r>
      <w:r>
        <w:fldChar w:fldCharType="separate"/>
      </w:r>
      <w:r w:rsidRPr="00AD4BC1">
        <w:rPr>
          <w:rStyle w:val="Hyperlink"/>
        </w:rPr>
        <w:t>https://www.theredcell.co.uk/uploads/9/6/4/0/96409902/eu_defence_nouvelle_vague_rotherham_thompson.pdf</w:t>
      </w:r>
      <w:r>
        <w:fldChar w:fldCharType="end"/>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72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2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2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2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2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2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2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2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2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2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8B6"/>
    <w:rPr>
      <w:rFonts w:eastAsiaTheme="majorEastAsia" w:cstheme="majorBidi"/>
      <w:color w:val="272727" w:themeColor="text1" w:themeTint="D8"/>
    </w:rPr>
  </w:style>
  <w:style w:type="paragraph" w:styleId="Title">
    <w:name w:val="Title"/>
    <w:basedOn w:val="Normal"/>
    <w:next w:val="Normal"/>
    <w:link w:val="TitleChar"/>
    <w:uiPriority w:val="10"/>
    <w:qFormat/>
    <w:rsid w:val="00472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8B6"/>
    <w:pPr>
      <w:spacing w:before="160"/>
      <w:jc w:val="center"/>
    </w:pPr>
    <w:rPr>
      <w:i/>
      <w:iCs/>
      <w:color w:val="404040" w:themeColor="text1" w:themeTint="BF"/>
    </w:rPr>
  </w:style>
  <w:style w:type="character" w:customStyle="1" w:styleId="QuoteChar">
    <w:name w:val="Quote Char"/>
    <w:basedOn w:val="DefaultParagraphFont"/>
    <w:link w:val="Quote"/>
    <w:uiPriority w:val="29"/>
    <w:rsid w:val="004728B6"/>
    <w:rPr>
      <w:i/>
      <w:iCs/>
      <w:color w:val="404040" w:themeColor="text1" w:themeTint="BF"/>
    </w:rPr>
  </w:style>
  <w:style w:type="paragraph" w:styleId="ListParagraph">
    <w:name w:val="List Paragraph"/>
    <w:basedOn w:val="Normal"/>
    <w:uiPriority w:val="34"/>
    <w:qFormat/>
    <w:rsid w:val="004728B6"/>
    <w:pPr>
      <w:ind w:left="720"/>
      <w:contextualSpacing/>
    </w:pPr>
  </w:style>
  <w:style w:type="character" w:styleId="IntenseEmphasis">
    <w:name w:val="Intense Emphasis"/>
    <w:basedOn w:val="DefaultParagraphFont"/>
    <w:uiPriority w:val="21"/>
    <w:qFormat/>
    <w:rsid w:val="004728B6"/>
    <w:rPr>
      <w:i/>
      <w:iCs/>
      <w:color w:val="0F4761" w:themeColor="accent1" w:themeShade="BF"/>
    </w:rPr>
  </w:style>
  <w:style w:type="paragraph" w:styleId="IntenseQuote">
    <w:name w:val="Intense Quote"/>
    <w:basedOn w:val="Normal"/>
    <w:next w:val="Normal"/>
    <w:link w:val="IntenseQuoteChar"/>
    <w:uiPriority w:val="30"/>
    <w:qFormat/>
    <w:rsid w:val="00472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8B6"/>
    <w:rPr>
      <w:i/>
      <w:iCs/>
      <w:color w:val="0F4761" w:themeColor="accent1" w:themeShade="BF"/>
    </w:rPr>
  </w:style>
  <w:style w:type="character" w:styleId="IntenseReference">
    <w:name w:val="Intense Reference"/>
    <w:basedOn w:val="DefaultParagraphFont"/>
    <w:uiPriority w:val="32"/>
    <w:qFormat/>
    <w:rsid w:val="004728B6"/>
    <w:rPr>
      <w:b/>
      <w:bCs/>
      <w:smallCaps/>
      <w:color w:val="0F4761" w:themeColor="accent1" w:themeShade="BF"/>
      <w:spacing w:val="5"/>
    </w:rPr>
  </w:style>
  <w:style w:type="paragraph" w:styleId="FootnoteText">
    <w:name w:val="footnote text"/>
    <w:basedOn w:val="Normal"/>
    <w:link w:val="FootnoteTextChar"/>
    <w:uiPriority w:val="99"/>
    <w:semiHidden/>
    <w:unhideWhenUsed/>
    <w:rsid w:val="00C572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2E6"/>
    <w:rPr>
      <w:sz w:val="20"/>
      <w:szCs w:val="20"/>
    </w:rPr>
  </w:style>
  <w:style w:type="character" w:styleId="FootnoteReference">
    <w:name w:val="footnote reference"/>
    <w:basedOn w:val="DefaultParagraphFont"/>
    <w:uiPriority w:val="99"/>
    <w:semiHidden/>
    <w:unhideWhenUsed/>
    <w:rsid w:val="00C572E6"/>
    <w:rPr>
      <w:vertAlign w:val="superscript"/>
    </w:rPr>
  </w:style>
  <w:style w:type="character" w:styleId="Hyperlink">
    <w:name w:val="Hyperlink"/>
    <w:basedOn w:val="DefaultParagraphFont"/>
    <w:uiPriority w:val="99"/>
    <w:unhideWhenUsed/>
    <w:rsid w:val="00C572E6"/>
    <w:rPr>
      <w:color w:val="467886" w:themeColor="hyperlink"/>
      <w:u w:val="single"/>
    </w:rPr>
  </w:style>
  <w:style w:type="character" w:customStyle="1" w:styleId="UnresolvedMention1">
    <w:name w:val="Unresolved Mention1"/>
    <w:basedOn w:val="DefaultParagraphFont"/>
    <w:uiPriority w:val="99"/>
    <w:semiHidden/>
    <w:unhideWhenUsed/>
    <w:rsid w:val="00C57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E55BF-77B7-4FC3-AD5F-DD7517203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