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3623C" w:rsidRPr="003A3EF4" w:rsidP="0053623C">
      <w:pPr>
        <w:shd w:val="clear" w:color="auto" w:fill="FFFFFF"/>
        <w:spacing w:after="200"/>
        <w:rPr>
          <w:rFonts w:ascii="Verdana" w:hAnsi="Verdana"/>
          <w:b/>
          <w:bCs/>
          <w:sz w:val="28"/>
          <w:szCs w:val="28"/>
        </w:rPr>
      </w:pPr>
      <w:r>
        <w:rPr>
          <w:rFonts w:ascii="Verdana" w:hAnsi="Verdana"/>
          <w:b/>
          <w:bCs/>
          <w:sz w:val="28"/>
          <w:szCs w:val="28"/>
        </w:rPr>
        <w:t>New Europeans UK</w:t>
      </w:r>
      <w:r w:rsidRPr="004B5B3A">
        <w:rPr>
          <w:rFonts w:ascii="Verdana" w:hAnsi="Verdana"/>
          <w:b/>
          <w:bCs/>
          <w:sz w:val="28"/>
          <w:szCs w:val="28"/>
        </w:rPr>
        <w:t xml:space="preserve"> </w:t>
      </w:r>
      <w:r w:rsidRPr="00146BEA">
        <w:rPr>
          <w:rFonts w:ascii="Verdana" w:hAnsi="Verdana"/>
          <w:b/>
          <w:bCs/>
          <w:sz w:val="28"/>
          <w:szCs w:val="28"/>
        </w:rPr>
        <w:t>– Written Evidence (RES00</w:t>
      </w:r>
      <w:r w:rsidR="00C17EDF">
        <w:rPr>
          <w:rFonts w:ascii="Verdana" w:hAnsi="Verdana"/>
          <w:b/>
          <w:bCs/>
          <w:sz w:val="28"/>
          <w:szCs w:val="28"/>
        </w:rPr>
        <w:t>50</w:t>
      </w:r>
      <w:r w:rsidRPr="00146BEA">
        <w:rPr>
          <w:rFonts w:ascii="Verdana" w:hAnsi="Verdana"/>
          <w:b/>
          <w:bCs/>
          <w:sz w:val="28"/>
          <w:szCs w:val="28"/>
        </w:rPr>
        <w:t>)</w:t>
      </w:r>
    </w:p>
    <w:p w:rsidR="0053623C" w:rsidP="0053623C">
      <w:pPr>
        <w:shd w:val="clear" w:color="auto" w:fill="FFFFFF"/>
        <w:spacing w:line="240" w:lineRule="auto"/>
        <w:rPr>
          <w:rFonts w:ascii="Verdana" w:eastAsia="Calibri" w:hAnsi="Verdana" w:cs="Calibri"/>
          <w:b/>
          <w:sz w:val="24"/>
          <w:szCs w:val="24"/>
        </w:rPr>
      </w:pPr>
    </w:p>
    <w:p w:rsidR="0053623C">
      <w:pPr>
        <w:shd w:val="clear" w:color="auto" w:fill="FFFFFF"/>
        <w:spacing w:line="240" w:lineRule="auto"/>
        <w:jc w:val="right"/>
        <w:rPr>
          <w:rFonts w:ascii="Verdana" w:eastAsia="Calibri" w:hAnsi="Verdana" w:cs="Calibri"/>
          <w:b/>
          <w:sz w:val="24"/>
          <w:szCs w:val="24"/>
        </w:rPr>
      </w:pPr>
    </w:p>
    <w:p w:rsidR="008F4695" w:rsidRPr="0053623C">
      <w:pPr>
        <w:shd w:val="clear" w:color="auto" w:fill="FFFFFF"/>
        <w:spacing w:line="240" w:lineRule="auto"/>
        <w:jc w:val="right"/>
        <w:rPr>
          <w:rFonts w:ascii="Verdana" w:eastAsia="Calibri" w:hAnsi="Verdana" w:cs="Calibri"/>
          <w:sz w:val="24"/>
          <w:szCs w:val="24"/>
        </w:rPr>
      </w:pPr>
      <w:r w:rsidRPr="0053623C">
        <w:rPr>
          <w:rFonts w:ascii="Verdana" w:eastAsia="Calibri" w:hAnsi="Verdana" w:cs="Calibri"/>
          <w:b/>
          <w:sz w:val="24"/>
          <w:szCs w:val="24"/>
        </w:rPr>
        <w:t>New Europeans UK</w:t>
      </w:r>
      <w:r w:rsidRPr="0053623C">
        <w:rPr>
          <w:rFonts w:ascii="Verdana" w:eastAsia="Calibri" w:hAnsi="Verdana" w:cs="Calibri"/>
          <w:sz w:val="24"/>
          <w:szCs w:val="24"/>
        </w:rPr>
        <w:t xml:space="preserve"> </w:t>
      </w:r>
    </w:p>
    <w:p w:rsidR="008F4695" w:rsidRPr="0053623C">
      <w:pPr>
        <w:shd w:val="clear" w:color="auto" w:fill="FFFFFF"/>
        <w:spacing w:line="240" w:lineRule="auto"/>
        <w:jc w:val="right"/>
        <w:rPr>
          <w:rFonts w:ascii="Verdana" w:eastAsia="Calibri" w:hAnsi="Verdana" w:cs="Calibri"/>
          <w:sz w:val="24"/>
          <w:szCs w:val="24"/>
        </w:rPr>
      </w:pPr>
      <w:r w:rsidRPr="0053623C">
        <w:rPr>
          <w:rFonts w:ascii="Verdana" w:eastAsia="Calibri" w:hAnsi="Verdana" w:cs="Calibri"/>
          <w:sz w:val="24"/>
          <w:szCs w:val="24"/>
        </w:rPr>
        <w:t xml:space="preserve">Voluntary Action Islington </w:t>
      </w:r>
    </w:p>
    <w:p w:rsidR="008F4695" w:rsidRPr="0053623C">
      <w:pPr>
        <w:shd w:val="clear" w:color="auto" w:fill="FFFFFF"/>
        <w:spacing w:line="240" w:lineRule="auto"/>
        <w:jc w:val="right"/>
        <w:rPr>
          <w:rFonts w:ascii="Verdana" w:eastAsia="Calibri" w:hAnsi="Verdana" w:cs="Calibri"/>
          <w:sz w:val="24"/>
          <w:szCs w:val="24"/>
        </w:rPr>
      </w:pPr>
      <w:r w:rsidRPr="0053623C">
        <w:rPr>
          <w:rFonts w:ascii="Verdana" w:eastAsia="Calibri" w:hAnsi="Verdana" w:cs="Calibri"/>
          <w:sz w:val="24"/>
          <w:szCs w:val="24"/>
        </w:rPr>
        <w:t>200A Pentonville Road</w:t>
      </w:r>
    </w:p>
    <w:p w:rsidR="008F4695" w:rsidRPr="0053623C">
      <w:pPr>
        <w:spacing w:line="240" w:lineRule="auto"/>
        <w:jc w:val="right"/>
        <w:rPr>
          <w:rFonts w:ascii="Verdana" w:eastAsia="Calibri" w:hAnsi="Verdana" w:cs="Calibri"/>
          <w:sz w:val="24"/>
          <w:szCs w:val="24"/>
        </w:rPr>
      </w:pPr>
      <w:r w:rsidRPr="0053623C">
        <w:rPr>
          <w:rFonts w:ascii="Verdana" w:eastAsia="Calibri" w:hAnsi="Verdana" w:cs="Calibri"/>
          <w:sz w:val="24"/>
          <w:szCs w:val="24"/>
        </w:rPr>
        <w:t>London N1 9JP</w:t>
      </w:r>
    </w:p>
    <w:p w:rsidR="008F4695" w:rsidRPr="0053623C">
      <w:pPr>
        <w:spacing w:line="240" w:lineRule="auto"/>
        <w:jc w:val="right"/>
        <w:rPr>
          <w:rFonts w:ascii="Verdana" w:eastAsia="Calibri" w:hAnsi="Verdana" w:cs="Calibri"/>
          <w:sz w:val="24"/>
          <w:szCs w:val="24"/>
        </w:rPr>
      </w:pPr>
      <w:r>
        <w:fldChar w:fldCharType="begin"/>
      </w:r>
      <w:r>
        <w:instrText xml:space="preserve"> HYPERLINK "mailto:help@neweuropeans.uk" </w:instrText>
      </w:r>
      <w:r>
        <w:fldChar w:fldCharType="separate"/>
      </w:r>
      <w:r w:rsidRPr="0053623C">
        <w:rPr>
          <w:rFonts w:ascii="Verdana" w:eastAsia="Calibri" w:hAnsi="Verdana" w:cs="Calibri"/>
          <w:sz w:val="24"/>
          <w:szCs w:val="24"/>
          <w:u w:val="single"/>
        </w:rPr>
        <w:t>help@neweuropeans.uk</w:t>
      </w:r>
      <w:r>
        <w:fldChar w:fldCharType="end"/>
      </w:r>
      <w:r w:rsidRPr="0053623C">
        <w:rPr>
          <w:rFonts w:ascii="Verdana" w:eastAsia="Calibri" w:hAnsi="Verdana" w:cs="Calibri"/>
          <w:sz w:val="24"/>
          <w:szCs w:val="24"/>
        </w:rPr>
        <w:t xml:space="preserve"> </w:t>
      </w:r>
    </w:p>
    <w:p w:rsidR="008F4695" w:rsidRPr="0053623C">
      <w:pPr>
        <w:shd w:val="clear" w:color="auto" w:fill="FFFFFF"/>
        <w:spacing w:line="240" w:lineRule="auto"/>
        <w:jc w:val="right"/>
        <w:rPr>
          <w:rFonts w:ascii="Verdana" w:eastAsia="Calibri" w:hAnsi="Verdana" w:cs="Calibri"/>
          <w:sz w:val="24"/>
          <w:szCs w:val="24"/>
        </w:rPr>
      </w:pPr>
      <w:r w:rsidRPr="0053623C">
        <w:rPr>
          <w:rFonts w:ascii="Verdana" w:eastAsia="Calibri" w:hAnsi="Verdana" w:cs="Calibri"/>
          <w:sz w:val="24"/>
          <w:szCs w:val="24"/>
        </w:rPr>
        <w:t>New Europeans Association Ltd.</w:t>
      </w:r>
    </w:p>
    <w:p w:rsidR="008F4695" w:rsidRPr="0053623C">
      <w:pPr>
        <w:shd w:val="clear" w:color="auto" w:fill="FFFFFF"/>
        <w:spacing w:line="240" w:lineRule="auto"/>
        <w:jc w:val="right"/>
        <w:rPr>
          <w:rFonts w:ascii="Verdana" w:eastAsia="Calibri" w:hAnsi="Verdana" w:cs="Calibri"/>
          <w:sz w:val="24"/>
          <w:szCs w:val="24"/>
        </w:rPr>
      </w:pPr>
      <w:r w:rsidRPr="0053623C">
        <w:rPr>
          <w:rFonts w:ascii="Verdana" w:eastAsia="Calibri" w:hAnsi="Verdana" w:cs="Calibri"/>
          <w:sz w:val="24"/>
          <w:szCs w:val="24"/>
        </w:rPr>
        <w:t xml:space="preserve">Company No. 08646628  </w:t>
      </w:r>
    </w:p>
    <w:p w:rsidR="008F4695" w:rsidRPr="0053623C">
      <w:pPr>
        <w:shd w:val="clear" w:color="auto" w:fill="FFFFFF"/>
        <w:spacing w:line="240" w:lineRule="auto"/>
        <w:jc w:val="right"/>
        <w:rPr>
          <w:rFonts w:ascii="Verdana" w:eastAsia="Calibri" w:hAnsi="Verdana" w:cs="Calibri"/>
          <w:sz w:val="24"/>
          <w:szCs w:val="24"/>
        </w:rPr>
      </w:pPr>
      <w:r w:rsidRPr="0053623C">
        <w:rPr>
          <w:rFonts w:ascii="Verdana" w:eastAsia="Calibri" w:hAnsi="Verdana" w:cs="Calibri"/>
          <w:sz w:val="24"/>
          <w:szCs w:val="24"/>
        </w:rPr>
        <w:t>Registered Charity No. 1194002</w:t>
      </w:r>
    </w:p>
    <w:p w:rsidR="008F4695" w:rsidRPr="0053623C">
      <w:pPr>
        <w:jc w:val="both"/>
        <w:rPr>
          <w:rFonts w:ascii="Verdana" w:eastAsia="Calibri" w:hAnsi="Verdana" w:cs="Calibri"/>
          <w:b/>
          <w:sz w:val="24"/>
          <w:szCs w:val="24"/>
        </w:rPr>
      </w:pPr>
    </w:p>
    <w:p w:rsidR="008F4695" w:rsidRPr="0053623C">
      <w:pPr>
        <w:jc w:val="both"/>
        <w:rPr>
          <w:rFonts w:ascii="Verdana" w:eastAsia="Calibri" w:hAnsi="Verdana" w:cs="Calibri"/>
          <w:b/>
          <w:sz w:val="24"/>
          <w:szCs w:val="24"/>
        </w:rPr>
      </w:pPr>
    </w:p>
    <w:p w:rsidR="008F4695" w:rsidRPr="0053623C">
      <w:pPr>
        <w:jc w:val="both"/>
        <w:rPr>
          <w:rFonts w:ascii="Verdana" w:eastAsia="Calibri" w:hAnsi="Verdana" w:cs="Calibri"/>
          <w:b/>
          <w:sz w:val="24"/>
          <w:szCs w:val="24"/>
        </w:rPr>
      </w:pPr>
    </w:p>
    <w:p w:rsidR="008F4695" w:rsidRPr="0053623C">
      <w:pPr>
        <w:jc w:val="both"/>
        <w:rPr>
          <w:rFonts w:ascii="Verdana" w:eastAsia="Calibri" w:hAnsi="Verdana" w:cs="Calibri"/>
          <w:b/>
          <w:sz w:val="24"/>
          <w:szCs w:val="24"/>
        </w:rPr>
      </w:pPr>
      <w:r w:rsidRPr="0053623C">
        <w:rPr>
          <w:rFonts w:ascii="Verdana" w:eastAsia="Calibri" w:hAnsi="Verdana" w:cs="Calibri"/>
          <w:b/>
          <w:sz w:val="24"/>
          <w:szCs w:val="24"/>
        </w:rPr>
        <w:t>Submission to House of Lords European Affairs Committee call for evidence - Reset of UK-EU relations</w:t>
      </w:r>
    </w:p>
    <w:p w:rsidR="008F4695" w:rsidRPr="0053623C">
      <w:pPr>
        <w:ind w:left="720"/>
        <w:jc w:val="both"/>
        <w:rPr>
          <w:rFonts w:ascii="Verdana" w:eastAsia="Calibri" w:hAnsi="Verdana" w:cs="Calibri"/>
          <w:sz w:val="24"/>
          <w:szCs w:val="24"/>
        </w:rPr>
      </w:pPr>
    </w:p>
    <w:p w:rsidR="008F4695" w:rsidRPr="0053623C">
      <w:pPr>
        <w:shd w:val="clear" w:color="auto" w:fill="FFFFFF"/>
        <w:jc w:val="both"/>
        <w:rPr>
          <w:rFonts w:ascii="Verdana" w:eastAsia="Calibri" w:hAnsi="Verdana" w:cs="Calibri"/>
          <w:sz w:val="24"/>
          <w:szCs w:val="24"/>
        </w:rPr>
      </w:pPr>
      <w:r w:rsidRPr="0053623C">
        <w:rPr>
          <w:rFonts w:ascii="Verdana" w:eastAsia="Calibri" w:hAnsi="Verdana" w:cs="Calibri"/>
          <w:sz w:val="24"/>
          <w:szCs w:val="24"/>
        </w:rPr>
        <w:t>Since 2016, New Europeans UK has been supporting EU citizens and their family members in securing their rights protected by the Withdrawal Agreement and through the EU Settlement Scheme, producing guidance and signposting materials in EU languages about Brexit and its consequences. Since 2019, mostly in partnership with other legal organisations, we have been providing free legal advice to vulnerable individuals. We have been primarily working with community groups, such as the elderly Italians, Roma commun</w:t>
      </w:r>
      <w:r w:rsidRPr="0053623C">
        <w:rPr>
          <w:rFonts w:ascii="Verdana" w:eastAsia="Calibri" w:hAnsi="Verdana" w:cs="Calibri"/>
          <w:sz w:val="24"/>
          <w:szCs w:val="24"/>
        </w:rPr>
        <w:t>ity, and the communities of Albanian, Somali and Latin American origin living in London, the Southeast and Leicester. We are accredited with the IAA (previously OISC) at level 3 Immigration.</w:t>
      </w:r>
    </w:p>
    <w:p w:rsidR="008F4695" w:rsidRPr="0053623C">
      <w:pPr>
        <w:shd w:val="clear" w:color="auto" w:fill="FFFFFF"/>
        <w:jc w:val="both"/>
        <w:rPr>
          <w:rFonts w:ascii="Verdana" w:eastAsia="Calibri" w:hAnsi="Verdana" w:cs="Calibri"/>
          <w:sz w:val="24"/>
          <w:szCs w:val="24"/>
        </w:rPr>
      </w:pPr>
    </w:p>
    <w:p w:rsidR="008F4695" w:rsidRPr="0053623C">
      <w:pPr>
        <w:shd w:val="clear" w:color="auto" w:fill="FFFFFF"/>
        <w:jc w:val="both"/>
        <w:rPr>
          <w:rFonts w:ascii="Verdana" w:eastAsia="Calibri" w:hAnsi="Verdana" w:cs="Calibri"/>
          <w:sz w:val="24"/>
          <w:szCs w:val="24"/>
        </w:rPr>
      </w:pPr>
      <w:r w:rsidRPr="0053623C">
        <w:rPr>
          <w:rFonts w:ascii="Verdana" w:eastAsia="Calibri" w:hAnsi="Verdana" w:cs="Calibri"/>
          <w:sz w:val="24"/>
          <w:szCs w:val="24"/>
        </w:rPr>
        <w:t>In 2024, we have supported more than 570 vulnerable people with their application to the EU Settlement Scheme and engaged more than 5,570 people with information and support.</w:t>
      </w:r>
    </w:p>
    <w:p w:rsidR="008F4695" w:rsidRPr="0053623C">
      <w:pPr>
        <w:jc w:val="both"/>
        <w:rPr>
          <w:rFonts w:ascii="Verdana" w:eastAsia="Calibri" w:hAnsi="Verdana" w:cs="Calibri"/>
          <w:sz w:val="24"/>
          <w:szCs w:val="24"/>
        </w:rPr>
      </w:pPr>
    </w:p>
    <w:p w:rsidR="008F4695" w:rsidRPr="0053623C">
      <w:pPr>
        <w:jc w:val="both"/>
        <w:rPr>
          <w:rFonts w:ascii="Verdana" w:eastAsia="Calibri" w:hAnsi="Verdana" w:cs="Calibri"/>
          <w:sz w:val="24"/>
          <w:szCs w:val="24"/>
        </w:rPr>
      </w:pPr>
      <w:r w:rsidRPr="0053623C">
        <w:rPr>
          <w:rFonts w:ascii="Verdana" w:eastAsia="Calibri" w:hAnsi="Verdana" w:cs="Calibri"/>
          <w:sz w:val="24"/>
          <w:szCs w:val="24"/>
        </w:rPr>
        <w:t xml:space="preserve">We are responding to this call for evidence because we believe that the reset of UK-EU relations announced by the UK Government should ensure that decisions affecting EU citizens and their family members of any nationality living in the UK are taken in compliance with fundamental international agreements, including the Withdrawal Agreement and the protection of Citizen’s rights. </w:t>
      </w:r>
    </w:p>
    <w:p w:rsidR="008F4695" w:rsidRPr="0053623C">
      <w:pPr>
        <w:jc w:val="both"/>
        <w:rPr>
          <w:rFonts w:ascii="Verdana" w:eastAsia="Calibri" w:hAnsi="Verdana" w:cs="Calibri"/>
          <w:sz w:val="24"/>
          <w:szCs w:val="24"/>
        </w:rPr>
      </w:pPr>
    </w:p>
    <w:p w:rsidR="008F4695" w:rsidRPr="0053623C">
      <w:pPr>
        <w:jc w:val="both"/>
        <w:rPr>
          <w:rFonts w:ascii="Verdana" w:eastAsia="Calibri" w:hAnsi="Verdana" w:cs="Calibri"/>
          <w:sz w:val="24"/>
          <w:szCs w:val="24"/>
        </w:rPr>
      </w:pPr>
      <w:r w:rsidRPr="0053623C">
        <w:rPr>
          <w:rFonts w:ascii="Verdana" w:eastAsia="Calibri" w:hAnsi="Verdana" w:cs="Calibri"/>
          <w:sz w:val="24"/>
          <w:szCs w:val="24"/>
        </w:rPr>
        <w:t xml:space="preserve">Based on the data we have collected through our advice and outreach </w:t>
      </w:r>
      <w:r w:rsidRPr="0053623C">
        <w:rPr>
          <w:rFonts w:ascii="Verdana" w:eastAsia="Calibri" w:hAnsi="Verdana" w:cs="Calibri"/>
          <w:sz w:val="24"/>
          <w:szCs w:val="24"/>
        </w:rPr>
        <w:t>work,</w:t>
      </w:r>
      <w:r w:rsidRPr="0053623C">
        <w:rPr>
          <w:rFonts w:ascii="Verdana" w:eastAsia="Calibri" w:hAnsi="Verdana" w:cs="Calibri"/>
          <w:sz w:val="24"/>
          <w:szCs w:val="24"/>
        </w:rPr>
        <w:t xml:space="preserve"> we can conclude that the challenges that marginalised and vulnerable EU citizens in the UK have encountered in relation to the EU Settlement Scheme since 2019 and securing their rights under the Withdrawal Agreement are still present and may have a long-term impact on the rights of citizens.</w:t>
      </w:r>
    </w:p>
    <w:p w:rsidR="008F4695" w:rsidRPr="0053623C">
      <w:pPr>
        <w:jc w:val="both"/>
        <w:rPr>
          <w:rFonts w:ascii="Verdana" w:eastAsia="Calibri" w:hAnsi="Verdana" w:cs="Calibri"/>
          <w:sz w:val="24"/>
          <w:szCs w:val="24"/>
        </w:rPr>
      </w:pPr>
    </w:p>
    <w:p w:rsidR="008F4695" w:rsidRPr="0053623C">
      <w:pPr>
        <w:jc w:val="both"/>
        <w:rPr>
          <w:rFonts w:ascii="Verdana" w:eastAsia="Calibri" w:hAnsi="Verdana" w:cs="Calibri"/>
          <w:sz w:val="24"/>
          <w:szCs w:val="24"/>
        </w:rPr>
      </w:pPr>
    </w:p>
    <w:p w:rsidR="008F4695" w:rsidRPr="0053623C">
      <w:pPr>
        <w:jc w:val="both"/>
        <w:rPr>
          <w:rFonts w:ascii="Verdana" w:eastAsia="Calibri" w:hAnsi="Verdana" w:cs="Calibri"/>
          <w:sz w:val="24"/>
          <w:szCs w:val="24"/>
        </w:rPr>
      </w:pPr>
    </w:p>
    <w:p w:rsidR="008F4695" w:rsidRPr="0053623C">
      <w:pPr>
        <w:jc w:val="both"/>
        <w:rPr>
          <w:rFonts w:ascii="Verdana" w:eastAsia="Calibri" w:hAnsi="Verdana" w:cs="Calibri"/>
          <w:sz w:val="24"/>
          <w:szCs w:val="24"/>
        </w:rPr>
      </w:pPr>
    </w:p>
    <w:p w:rsidR="008F4695" w:rsidRPr="0053623C">
      <w:pPr>
        <w:jc w:val="both"/>
        <w:rPr>
          <w:rFonts w:ascii="Verdana" w:eastAsia="Calibri" w:hAnsi="Verdana" w:cs="Calibri"/>
          <w:sz w:val="24"/>
          <w:szCs w:val="24"/>
        </w:rPr>
      </w:pPr>
      <w:r w:rsidRPr="0053623C">
        <w:rPr>
          <w:rFonts w:ascii="Verdana" w:eastAsia="Calibri" w:hAnsi="Verdana" w:cs="Calibri"/>
          <w:sz w:val="24"/>
          <w:szCs w:val="24"/>
        </w:rPr>
        <w:t>The main issues we have encountered are the following:</w:t>
      </w:r>
      <w:r w:rsidRPr="0053623C">
        <w:rPr>
          <w:rFonts w:ascii="Verdana" w:eastAsia="Calibri" w:hAnsi="Verdana" w:cs="Calibri"/>
          <w:sz w:val="24"/>
          <w:szCs w:val="24"/>
        </w:rPr>
        <w:br/>
      </w:r>
    </w:p>
    <w:p w:rsidR="008F4695" w:rsidRPr="0053623C">
      <w:pPr>
        <w:numPr>
          <w:ilvl w:val="0"/>
          <w:numId w:val="2"/>
        </w:numPr>
        <w:ind w:left="0" w:firstLine="0"/>
        <w:jc w:val="both"/>
        <w:rPr>
          <w:rFonts w:ascii="Verdana" w:eastAsia="Calibri" w:hAnsi="Verdana" w:cs="Calibri"/>
          <w:b/>
          <w:sz w:val="24"/>
          <w:szCs w:val="24"/>
        </w:rPr>
      </w:pPr>
      <w:r w:rsidRPr="0053623C">
        <w:rPr>
          <w:rFonts w:ascii="Verdana" w:eastAsia="Calibri" w:hAnsi="Verdana" w:cs="Calibri"/>
          <w:b/>
          <w:sz w:val="24"/>
          <w:szCs w:val="24"/>
        </w:rPr>
        <w:t>Late applications</w:t>
      </w:r>
      <w:r w:rsidRPr="0053623C">
        <w:rPr>
          <w:rFonts w:ascii="Verdana" w:eastAsia="Calibri" w:hAnsi="Verdana" w:cs="Calibri"/>
          <w:b/>
          <w:sz w:val="24"/>
          <w:szCs w:val="24"/>
        </w:rPr>
        <w:br/>
      </w:r>
    </w:p>
    <w:p w:rsidR="008F4695" w:rsidRPr="0053623C">
      <w:pPr>
        <w:numPr>
          <w:ilvl w:val="0"/>
          <w:numId w:val="6"/>
        </w:numPr>
        <w:jc w:val="both"/>
        <w:rPr>
          <w:rFonts w:ascii="Verdana" w:eastAsia="Calibri" w:hAnsi="Verdana" w:cs="Calibri"/>
          <w:sz w:val="24"/>
          <w:szCs w:val="24"/>
        </w:rPr>
      </w:pPr>
      <w:r w:rsidRPr="0053623C">
        <w:rPr>
          <w:rFonts w:ascii="Verdana" w:eastAsia="Calibri" w:hAnsi="Verdana" w:cs="Calibri"/>
          <w:sz w:val="24"/>
          <w:szCs w:val="24"/>
        </w:rPr>
        <w:t xml:space="preserve">Many long-term residents, including older people and younger individuals born and raised in the UK, are still submitting late applications for settled status. In London, 36.7% of applications we helped submit in the past two years were late, equally divided into older people who are long-term residents, young adults under 30 born and/or raised in the UK, and young children born from parents with pre-settled status. </w:t>
      </w:r>
      <w:r w:rsidRPr="0053623C">
        <w:rPr>
          <w:rFonts w:ascii="Verdana" w:eastAsia="Calibri" w:hAnsi="Verdana" w:cs="Calibri"/>
          <w:sz w:val="24"/>
          <w:szCs w:val="24"/>
        </w:rPr>
        <w:br/>
      </w:r>
    </w:p>
    <w:p w:rsidR="008F4695" w:rsidRPr="0053623C">
      <w:pPr>
        <w:numPr>
          <w:ilvl w:val="0"/>
          <w:numId w:val="6"/>
        </w:numPr>
        <w:jc w:val="both"/>
        <w:rPr>
          <w:rFonts w:ascii="Verdana" w:eastAsia="Calibri" w:hAnsi="Verdana" w:cs="Calibri"/>
          <w:sz w:val="24"/>
          <w:szCs w:val="24"/>
        </w:rPr>
      </w:pPr>
      <w:r w:rsidRPr="0053623C">
        <w:rPr>
          <w:rFonts w:ascii="Verdana" w:eastAsia="Calibri" w:hAnsi="Verdana" w:cs="Calibri"/>
          <w:sz w:val="24"/>
          <w:szCs w:val="24"/>
        </w:rPr>
        <w:t xml:space="preserve">The number of Roma community members who need to submit a late application is especially high. In 2024, 27% of applications we submitted were late applications. 75% of late applications submitted by Roma clients were settled status, and 25% for pre-settled status. </w:t>
      </w:r>
      <w:r w:rsidRPr="0053623C">
        <w:rPr>
          <w:rFonts w:ascii="Verdana" w:eastAsia="Calibri" w:hAnsi="Verdana" w:cs="Calibri"/>
          <w:sz w:val="24"/>
          <w:szCs w:val="24"/>
        </w:rPr>
        <w:br/>
      </w:r>
    </w:p>
    <w:p w:rsidR="008F4695" w:rsidRPr="0053623C">
      <w:pPr>
        <w:numPr>
          <w:ilvl w:val="0"/>
          <w:numId w:val="6"/>
        </w:numPr>
        <w:jc w:val="both"/>
        <w:rPr>
          <w:rFonts w:ascii="Verdana" w:eastAsia="Calibri" w:hAnsi="Verdana" w:cs="Calibri"/>
          <w:sz w:val="24"/>
          <w:szCs w:val="24"/>
        </w:rPr>
      </w:pPr>
      <w:r w:rsidRPr="0053623C">
        <w:rPr>
          <w:rFonts w:ascii="Verdana" w:eastAsia="Calibri" w:hAnsi="Verdana" w:cs="Calibri"/>
          <w:sz w:val="24"/>
          <w:szCs w:val="24"/>
        </w:rPr>
        <w:t>Younger people who were born and grew up in the UK often struggle to support their claim with evidence accepted by the Home Office as they were living with their parents before 2021, did not have a bank account, or could not retrieve school documents. In such cases, they are required to prove financial dependence on their parents. However, if support is provided through food and other essentials rather than direct financial transfers, the Home Office often does not accept this as adequate evidence.</w:t>
      </w:r>
      <w:r w:rsidRPr="0053623C">
        <w:rPr>
          <w:rFonts w:ascii="Verdana" w:eastAsia="Calibri" w:hAnsi="Verdana" w:cs="Calibri"/>
          <w:sz w:val="24"/>
          <w:szCs w:val="24"/>
        </w:rPr>
        <w:br/>
      </w:r>
    </w:p>
    <w:p w:rsidR="008F4695" w:rsidRPr="0053623C">
      <w:pPr>
        <w:numPr>
          <w:ilvl w:val="0"/>
          <w:numId w:val="6"/>
        </w:numPr>
        <w:jc w:val="both"/>
        <w:rPr>
          <w:rFonts w:ascii="Verdana" w:eastAsia="Calibri" w:hAnsi="Verdana" w:cs="Calibri"/>
          <w:sz w:val="24"/>
          <w:szCs w:val="24"/>
        </w:rPr>
      </w:pPr>
      <w:r w:rsidRPr="0053623C">
        <w:rPr>
          <w:rFonts w:ascii="Verdana" w:eastAsia="Calibri" w:hAnsi="Verdana" w:cs="Calibri"/>
          <w:sz w:val="24"/>
          <w:szCs w:val="24"/>
        </w:rPr>
        <w:t>Older people might have more evidence at their disposal or even a copy of their indefinite leave to remain, but they struggle to collect the physical or digital documents needed, and they often require the support of a family member (normally children or grandchildren).</w:t>
      </w:r>
      <w:r w:rsidRPr="0053623C">
        <w:rPr>
          <w:rFonts w:ascii="Verdana" w:eastAsia="Calibri" w:hAnsi="Verdana" w:cs="Calibri"/>
          <w:sz w:val="24"/>
          <w:szCs w:val="24"/>
        </w:rPr>
        <w:br/>
      </w:r>
    </w:p>
    <w:p w:rsidR="008F4695" w:rsidRPr="0053623C">
      <w:pPr>
        <w:numPr>
          <w:ilvl w:val="0"/>
          <w:numId w:val="6"/>
        </w:numPr>
        <w:spacing w:after="240"/>
        <w:jc w:val="both"/>
        <w:rPr>
          <w:rFonts w:ascii="Verdana" w:eastAsia="Calibri" w:hAnsi="Verdana" w:cs="Calibri"/>
          <w:sz w:val="24"/>
          <w:szCs w:val="24"/>
        </w:rPr>
      </w:pPr>
      <w:r w:rsidRPr="0053623C">
        <w:rPr>
          <w:rFonts w:ascii="Verdana" w:eastAsia="Calibri" w:hAnsi="Verdana" w:cs="Calibri"/>
          <w:sz w:val="24"/>
          <w:szCs w:val="24"/>
        </w:rPr>
        <w:t>We have observed that all late applications submitted by eligible applicants with our assistance pass the validity stage, leading to their status being granted. However, those who apply independently are typically rejected due to validity issues, as addressing these grounds without legal support is nearly impossible.</w:t>
      </w:r>
    </w:p>
    <w:p w:rsidR="008F4695" w:rsidRPr="0053623C">
      <w:pPr>
        <w:spacing w:before="240" w:after="240"/>
        <w:jc w:val="both"/>
        <w:rPr>
          <w:rFonts w:ascii="Verdana" w:eastAsia="Calibri" w:hAnsi="Verdana" w:cs="Calibri"/>
          <w:b/>
          <w:sz w:val="24"/>
          <w:szCs w:val="24"/>
        </w:rPr>
      </w:pPr>
      <w:r w:rsidRPr="0053623C">
        <w:rPr>
          <w:rFonts w:ascii="Verdana" w:eastAsia="Calibri" w:hAnsi="Verdana" w:cs="Calibri"/>
          <w:b/>
          <w:sz w:val="24"/>
          <w:szCs w:val="24"/>
        </w:rPr>
        <w:t>2) Upgrading from pre-settled to settled status</w:t>
      </w:r>
    </w:p>
    <w:p w:rsidR="008F4695" w:rsidRPr="0053623C">
      <w:pPr>
        <w:numPr>
          <w:ilvl w:val="0"/>
          <w:numId w:val="7"/>
        </w:numPr>
        <w:spacing w:before="240"/>
        <w:jc w:val="both"/>
        <w:rPr>
          <w:rFonts w:ascii="Verdana" w:eastAsia="Calibri" w:hAnsi="Verdana" w:cs="Calibri"/>
          <w:sz w:val="24"/>
          <w:szCs w:val="24"/>
        </w:rPr>
      </w:pPr>
      <w:r w:rsidRPr="0053623C">
        <w:rPr>
          <w:rFonts w:ascii="Verdana" w:eastAsia="Calibri" w:hAnsi="Verdana" w:cs="Calibri"/>
          <w:sz w:val="24"/>
          <w:szCs w:val="24"/>
        </w:rPr>
        <w:t>There is an extremely high risk of long-term residents having their status unfairly curtailed, despite having lived in the UK for the necessary period. Long-term residents seeking to upgrade from pre-settled to settled status face significant challenges in attempting to gather evidence of their continued residence due to a lack of awareness and guidance. Many are not aware of the type of evidence required to prove their continued residence, and many assume that despite not having evidence, the mere fact tha</w:t>
      </w:r>
      <w:r w:rsidRPr="0053623C">
        <w:rPr>
          <w:rFonts w:ascii="Verdana" w:eastAsia="Calibri" w:hAnsi="Verdana" w:cs="Calibri"/>
          <w:sz w:val="24"/>
          <w:szCs w:val="24"/>
        </w:rPr>
        <w:t xml:space="preserve">t they were present in the UK should suffice. In cases where people are unemployed, destitute or experiencing other problems, they will not have sufficient proof to provide. One such scenario includes a vulnerable pensioner with pre-settled status who was unemployed and destitute for seven months and has no evidence to </w:t>
      </w:r>
      <w:r w:rsidRPr="0053623C">
        <w:rPr>
          <w:rFonts w:ascii="Verdana" w:eastAsia="Calibri" w:hAnsi="Verdana" w:cs="Calibri"/>
          <w:sz w:val="24"/>
          <w:szCs w:val="24"/>
        </w:rPr>
        <w:t>prove his continued residence for this period. In cases such as this, without providing evidence of his residence, his settled status application may be rejected and pre-settled status curtai</w:t>
      </w:r>
      <w:r w:rsidRPr="0053623C">
        <w:rPr>
          <w:rFonts w:ascii="Verdana" w:eastAsia="Calibri" w:hAnsi="Verdana" w:cs="Calibri"/>
          <w:sz w:val="24"/>
          <w:szCs w:val="24"/>
        </w:rPr>
        <w:t xml:space="preserve">led. </w:t>
      </w:r>
      <w:r w:rsidRPr="0053623C">
        <w:rPr>
          <w:rFonts w:ascii="Verdana" w:eastAsia="Calibri" w:hAnsi="Verdana" w:cs="Calibri"/>
          <w:sz w:val="24"/>
          <w:szCs w:val="24"/>
        </w:rPr>
        <w:br/>
      </w:r>
    </w:p>
    <w:p w:rsidR="008F4695" w:rsidRPr="0053623C">
      <w:pPr>
        <w:numPr>
          <w:ilvl w:val="0"/>
          <w:numId w:val="7"/>
        </w:numPr>
        <w:jc w:val="both"/>
        <w:rPr>
          <w:rFonts w:ascii="Verdana" w:eastAsia="Calibri" w:hAnsi="Verdana" w:cs="Calibri"/>
          <w:sz w:val="24"/>
          <w:szCs w:val="24"/>
        </w:rPr>
      </w:pPr>
      <w:r w:rsidRPr="0053623C">
        <w:rPr>
          <w:rFonts w:ascii="Verdana" w:eastAsia="Calibri" w:hAnsi="Verdana" w:cs="Calibri"/>
          <w:sz w:val="24"/>
          <w:szCs w:val="24"/>
        </w:rPr>
        <w:t xml:space="preserve">Absences due to Covid-19 present significant challenges for individuals applying for settled status, particularly those who moved to the UK close to the end of the transition period and now struggle to provide evidence of their residence before the pandemic. Many also find it difficult to prove that their extended absence was due to Covid-related reasons. Although the EUSS Guidance explicitly states that Covid is a reasonable ground for prolonged absences, the Home Office often does not accept the pandemic </w:t>
      </w:r>
      <w:r w:rsidRPr="0053623C">
        <w:rPr>
          <w:rFonts w:ascii="Verdana" w:eastAsia="Calibri" w:hAnsi="Verdana" w:cs="Calibri"/>
          <w:sz w:val="24"/>
          <w:szCs w:val="24"/>
        </w:rPr>
        <w:t>itself as sufficient justification. This is especially problematic for those who were unable to work remotely, and either returned to their country of origin or were prevented from returning to the UK. Many of these individuals eventually returned after the lockdowns were lifted, but they now face significant difficulties in applying for settled status due to gaps in their documented residence. In the past six months, 33% of enquiries related to applicants who struggled to prove their residence in the UK fo</w:t>
      </w:r>
      <w:r w:rsidRPr="0053623C">
        <w:rPr>
          <w:rFonts w:ascii="Verdana" w:eastAsia="Calibri" w:hAnsi="Verdana" w:cs="Calibri"/>
          <w:sz w:val="24"/>
          <w:szCs w:val="24"/>
        </w:rPr>
        <w:t>r five continuous years because of absences due to Covid-19.</w:t>
      </w:r>
      <w:r w:rsidRPr="0053623C">
        <w:rPr>
          <w:rFonts w:ascii="Verdana" w:eastAsia="Calibri" w:hAnsi="Verdana" w:cs="Calibri"/>
          <w:sz w:val="24"/>
          <w:szCs w:val="24"/>
        </w:rPr>
        <w:br/>
      </w:r>
    </w:p>
    <w:p w:rsidR="008F4695" w:rsidRPr="0053623C">
      <w:pPr>
        <w:numPr>
          <w:ilvl w:val="0"/>
          <w:numId w:val="7"/>
        </w:numPr>
        <w:spacing w:after="240"/>
        <w:jc w:val="both"/>
        <w:rPr>
          <w:rFonts w:ascii="Verdana" w:eastAsia="Calibri" w:hAnsi="Verdana" w:cs="Calibri"/>
          <w:sz w:val="24"/>
          <w:szCs w:val="24"/>
        </w:rPr>
      </w:pPr>
      <w:r w:rsidRPr="0053623C">
        <w:rPr>
          <w:rFonts w:ascii="Verdana" w:eastAsia="Calibri" w:hAnsi="Verdana" w:cs="Calibri"/>
          <w:sz w:val="24"/>
          <w:szCs w:val="24"/>
        </w:rPr>
        <w:t>There is ongoing uncertainty about the right to live in the UK, particularly due to the automatic conversion to settled status, the extension of pre-settled status and eligibility. Many individuals have lost their pre-settled status or the ability to upgrade to settled status without realising it. This is partly because they receive an extension or see their status online and assume they still have the right to remain. While it is each person’s responsibility to comply with immigration rules, conflicting me</w:t>
      </w:r>
      <w:r w:rsidRPr="0053623C">
        <w:rPr>
          <w:rFonts w:ascii="Verdana" w:eastAsia="Calibri" w:hAnsi="Verdana" w:cs="Calibri"/>
          <w:sz w:val="24"/>
          <w:szCs w:val="24"/>
        </w:rPr>
        <w:t>ssages from the Home Office have caused confusion. Digital status has been presented as the only proof of the right to stay, making these inconsistencies especially serious.</w:t>
      </w:r>
    </w:p>
    <w:p w:rsidR="008F4695" w:rsidRPr="0053623C">
      <w:pPr>
        <w:spacing w:before="240" w:after="240"/>
        <w:jc w:val="both"/>
        <w:rPr>
          <w:rFonts w:ascii="Verdana" w:eastAsia="Calibri" w:hAnsi="Verdana" w:cs="Calibri"/>
          <w:b/>
          <w:sz w:val="24"/>
          <w:szCs w:val="24"/>
        </w:rPr>
      </w:pPr>
      <w:r w:rsidRPr="0053623C">
        <w:rPr>
          <w:rFonts w:ascii="Verdana" w:eastAsia="Calibri" w:hAnsi="Verdana" w:cs="Calibri"/>
          <w:b/>
          <w:sz w:val="24"/>
          <w:szCs w:val="24"/>
        </w:rPr>
        <w:t xml:space="preserve">3) Lack of transparency and inconsistencies in the way caseworkers assess evidence </w:t>
      </w:r>
    </w:p>
    <w:p w:rsidR="008F4695" w:rsidRPr="0053623C">
      <w:pPr>
        <w:numPr>
          <w:ilvl w:val="0"/>
          <w:numId w:val="4"/>
        </w:numPr>
        <w:spacing w:before="240"/>
        <w:jc w:val="both"/>
        <w:rPr>
          <w:rFonts w:ascii="Verdana" w:eastAsia="Calibri" w:hAnsi="Verdana" w:cs="Calibri"/>
          <w:sz w:val="24"/>
          <w:szCs w:val="24"/>
        </w:rPr>
      </w:pPr>
      <w:r w:rsidRPr="0053623C">
        <w:rPr>
          <w:rFonts w:ascii="Verdana" w:eastAsia="Calibri" w:hAnsi="Verdana" w:cs="Calibri"/>
          <w:sz w:val="24"/>
          <w:szCs w:val="24"/>
        </w:rPr>
        <w:t xml:space="preserve">The Home Office sometimes rejects evidence without explanation or clear criteria. We have encountered several instances where </w:t>
      </w:r>
      <w:r w:rsidRPr="0053623C">
        <w:rPr>
          <w:rFonts w:ascii="Verdana" w:eastAsia="Calibri" w:hAnsi="Verdana" w:cs="Calibri"/>
          <w:sz w:val="24"/>
          <w:szCs w:val="24"/>
        </w:rPr>
        <w:t>caseworkers have refused to accept evidence or assessed it as false without providing any reasoning. For example, flight tickets are accepted in some cases but rejected in others unless accompanied by confirmation from the airline. Similar inconsistencies apply to council tax documents and bank statements, which have occasionally been deemed false simply because the Home Office was unable to verify them.</w:t>
      </w:r>
      <w:r w:rsidRPr="0053623C">
        <w:rPr>
          <w:rFonts w:ascii="Verdana" w:eastAsia="Calibri" w:hAnsi="Verdana" w:cs="Calibri"/>
          <w:sz w:val="24"/>
          <w:szCs w:val="24"/>
        </w:rPr>
        <w:br/>
      </w:r>
    </w:p>
    <w:p w:rsidR="008F4695" w:rsidRPr="0053623C">
      <w:pPr>
        <w:numPr>
          <w:ilvl w:val="0"/>
          <w:numId w:val="4"/>
        </w:numPr>
        <w:jc w:val="both"/>
        <w:rPr>
          <w:rFonts w:ascii="Verdana" w:eastAsia="Calibri" w:hAnsi="Verdana" w:cs="Calibri"/>
          <w:sz w:val="24"/>
          <w:szCs w:val="24"/>
        </w:rPr>
      </w:pPr>
      <w:r w:rsidRPr="0053623C">
        <w:rPr>
          <w:rFonts w:ascii="Verdana" w:eastAsia="Calibri" w:hAnsi="Verdana" w:cs="Calibri"/>
          <w:sz w:val="24"/>
          <w:szCs w:val="24"/>
        </w:rPr>
        <w:t>We have also come across cases where evidence has been assessed as false without any reasonable justification. In one instance, a council tax document was deemed false for no apparent reason. Upon requesting a Subject Access Request (SAR), there was no record of any correspondence between the Home Office and the relevant council to indicate that verification had been attempted and failed. It took several months and additional documents to prove that the accusations were unfounded.</w:t>
      </w:r>
      <w:r w:rsidRPr="0053623C">
        <w:rPr>
          <w:rFonts w:ascii="Verdana" w:eastAsia="Calibri" w:hAnsi="Verdana" w:cs="Calibri"/>
          <w:sz w:val="24"/>
          <w:szCs w:val="24"/>
        </w:rPr>
        <w:br/>
      </w:r>
    </w:p>
    <w:p w:rsidR="008F4695" w:rsidRPr="0053623C">
      <w:pPr>
        <w:numPr>
          <w:ilvl w:val="0"/>
          <w:numId w:val="4"/>
        </w:numPr>
        <w:jc w:val="both"/>
        <w:rPr>
          <w:rFonts w:ascii="Verdana" w:eastAsia="Calibri" w:hAnsi="Verdana" w:cs="Calibri"/>
          <w:sz w:val="24"/>
          <w:szCs w:val="24"/>
        </w:rPr>
      </w:pPr>
      <w:r w:rsidRPr="0053623C">
        <w:rPr>
          <w:rFonts w:ascii="Verdana" w:eastAsia="Calibri" w:hAnsi="Verdana" w:cs="Calibri"/>
          <w:sz w:val="24"/>
          <w:szCs w:val="24"/>
        </w:rPr>
        <w:t xml:space="preserve">In another case, an application was refused on the grounds of deception because the applicant had submitted bank statements from a joint account. While we acknowledge that a joint account may not be the most suitable proof of residence and could be rejected for that reason, accusing the applicant of deception was unjustified. Upon verifying this through a SAR, there was no explanation as to why the caseworker had assessed the evidence as false, nor was there any confirmation from the bank that the document </w:t>
      </w:r>
      <w:r w:rsidRPr="0053623C">
        <w:rPr>
          <w:rFonts w:ascii="Verdana" w:eastAsia="Calibri" w:hAnsi="Verdana" w:cs="Calibri"/>
          <w:sz w:val="24"/>
          <w:szCs w:val="24"/>
        </w:rPr>
        <w:t>was fraudulent.</w:t>
      </w:r>
      <w:r w:rsidRPr="0053623C">
        <w:rPr>
          <w:rFonts w:ascii="Verdana" w:eastAsia="Calibri" w:hAnsi="Verdana" w:cs="Calibri"/>
          <w:sz w:val="24"/>
          <w:szCs w:val="24"/>
        </w:rPr>
        <w:br/>
      </w:r>
    </w:p>
    <w:p w:rsidR="008F4695" w:rsidRPr="0053623C">
      <w:pPr>
        <w:numPr>
          <w:ilvl w:val="0"/>
          <w:numId w:val="4"/>
        </w:numPr>
        <w:jc w:val="both"/>
        <w:rPr>
          <w:rFonts w:ascii="Verdana" w:eastAsia="Calibri" w:hAnsi="Verdana" w:cs="Calibri"/>
          <w:sz w:val="24"/>
          <w:szCs w:val="24"/>
        </w:rPr>
      </w:pPr>
      <w:r w:rsidRPr="0053623C">
        <w:rPr>
          <w:rFonts w:ascii="Verdana" w:eastAsia="Calibri" w:hAnsi="Verdana" w:cs="Calibri"/>
          <w:sz w:val="24"/>
          <w:szCs w:val="24"/>
        </w:rPr>
        <w:t>There are also cases where official documents are not accepted because they do not demonstrate effective physical presence in the UK, such as P60s or medical records that do not cover in-person appointments. However, those may be the only evidence available to applicants.</w:t>
      </w:r>
      <w:r w:rsidRPr="0053623C">
        <w:rPr>
          <w:rFonts w:ascii="Verdana" w:eastAsia="Calibri" w:hAnsi="Verdana" w:cs="Calibri"/>
          <w:sz w:val="24"/>
          <w:szCs w:val="24"/>
        </w:rPr>
        <w:br/>
      </w:r>
    </w:p>
    <w:p w:rsidR="008F4695" w:rsidRPr="0053623C">
      <w:pPr>
        <w:numPr>
          <w:ilvl w:val="0"/>
          <w:numId w:val="4"/>
        </w:numPr>
        <w:spacing w:after="240"/>
        <w:jc w:val="both"/>
        <w:rPr>
          <w:rFonts w:ascii="Verdana" w:eastAsia="Calibri" w:hAnsi="Verdana" w:cs="Calibri"/>
          <w:sz w:val="24"/>
          <w:szCs w:val="24"/>
        </w:rPr>
      </w:pPr>
      <w:r w:rsidRPr="0053623C">
        <w:rPr>
          <w:rFonts w:ascii="Verdana" w:eastAsia="Calibri" w:hAnsi="Verdana" w:cs="Calibri"/>
          <w:sz w:val="24"/>
          <w:szCs w:val="24"/>
        </w:rPr>
        <w:t xml:space="preserve">In another instance, the Home Office rejected evidence that is normally accepted, such as </w:t>
      </w:r>
      <w:r w:rsidRPr="0053623C">
        <w:rPr>
          <w:rFonts w:ascii="Verdana" w:eastAsia="Calibri" w:hAnsi="Verdana" w:cs="Calibri"/>
          <w:sz w:val="24"/>
          <w:szCs w:val="24"/>
        </w:rPr>
        <w:t>bank statements, utility bills, payslips, or tax records, submitted by an applicant residing in the Isle of Man, stating that they were unable to verify them with the relevant authorities. This is inconsistent with the EUSS Guidance. It becomes then difficult for the applicant to obtain alternative official proof of residence when the most legitimate and reliable documents are being dismissed.</w:t>
      </w:r>
    </w:p>
    <w:p w:rsidR="008F4695" w:rsidRPr="0053623C">
      <w:pPr>
        <w:spacing w:before="240" w:after="240"/>
        <w:jc w:val="both"/>
        <w:rPr>
          <w:rFonts w:ascii="Verdana" w:eastAsia="Calibri" w:hAnsi="Verdana" w:cs="Calibri"/>
          <w:b/>
          <w:sz w:val="24"/>
          <w:szCs w:val="24"/>
        </w:rPr>
      </w:pPr>
      <w:r w:rsidRPr="0053623C">
        <w:rPr>
          <w:rFonts w:ascii="Verdana" w:eastAsia="Calibri" w:hAnsi="Verdana" w:cs="Calibri"/>
          <w:b/>
          <w:sz w:val="24"/>
          <w:szCs w:val="24"/>
        </w:rPr>
        <w:t>4) Issues at the UK Border</w:t>
      </w:r>
    </w:p>
    <w:p w:rsidR="008F4695" w:rsidRPr="0053623C">
      <w:pPr>
        <w:numPr>
          <w:ilvl w:val="0"/>
          <w:numId w:val="3"/>
        </w:numPr>
        <w:spacing w:before="240"/>
        <w:jc w:val="both"/>
        <w:rPr>
          <w:rFonts w:ascii="Verdana" w:eastAsia="Calibri" w:hAnsi="Verdana" w:cs="Calibri"/>
          <w:sz w:val="24"/>
          <w:szCs w:val="24"/>
        </w:rPr>
      </w:pPr>
      <w:r w:rsidRPr="0053623C">
        <w:rPr>
          <w:rFonts w:ascii="Verdana" w:eastAsia="Calibri" w:hAnsi="Verdana" w:cs="Calibri"/>
          <w:sz w:val="24"/>
          <w:szCs w:val="24"/>
        </w:rPr>
        <w:t>There is widespread confusion regarding digital status, share codes, and travel. The transition to eVisas, particularly for non-EEA family members holding a Biometric Residence Card, has been challenging to navigate. Many older individuals are seeking clarification on electronic travel authorisations, eVisas, and whether a share code is required for travel.</w:t>
      </w:r>
      <w:r w:rsidRPr="0053623C">
        <w:rPr>
          <w:rFonts w:ascii="Verdana" w:eastAsia="Calibri" w:hAnsi="Verdana" w:cs="Calibri"/>
          <w:sz w:val="24"/>
          <w:szCs w:val="24"/>
        </w:rPr>
        <w:br/>
      </w:r>
    </w:p>
    <w:p w:rsidR="008F4695" w:rsidRPr="0053623C">
      <w:pPr>
        <w:numPr>
          <w:ilvl w:val="0"/>
          <w:numId w:val="3"/>
        </w:numPr>
        <w:spacing w:after="240"/>
        <w:jc w:val="both"/>
        <w:rPr>
          <w:rFonts w:ascii="Verdana" w:eastAsia="Calibri" w:hAnsi="Verdana" w:cs="Calibri"/>
          <w:sz w:val="24"/>
          <w:szCs w:val="24"/>
        </w:rPr>
      </w:pPr>
      <w:r w:rsidRPr="0053623C">
        <w:rPr>
          <w:rFonts w:ascii="Verdana" w:eastAsia="Calibri" w:hAnsi="Verdana" w:cs="Calibri"/>
          <w:sz w:val="24"/>
          <w:szCs w:val="24"/>
        </w:rPr>
        <w:t>Serious difficulties arise when proving immigration status to third parties and at the UK border while an Administrative Review is pending. Digital status does not show when an AR is in progress or the rights associated with it, leading to frequent stops and complications at the border, even if the Certificate of Application clearly states that, when an AR is pending, the applicant will retain all rights granted by it, including travelling in and out of the UK.</w:t>
      </w:r>
    </w:p>
    <w:p w:rsidR="008F4695" w:rsidRPr="0053623C">
      <w:pPr>
        <w:spacing w:before="240" w:after="240"/>
        <w:jc w:val="both"/>
        <w:rPr>
          <w:rFonts w:ascii="Verdana" w:eastAsia="Calibri" w:hAnsi="Verdana" w:cs="Calibri"/>
          <w:sz w:val="24"/>
          <w:szCs w:val="24"/>
        </w:rPr>
      </w:pPr>
      <w:r w:rsidRPr="0053623C">
        <w:rPr>
          <w:rFonts w:ascii="Verdana" w:eastAsia="Calibri" w:hAnsi="Verdana" w:cs="Calibri"/>
          <w:b/>
          <w:sz w:val="24"/>
          <w:szCs w:val="24"/>
        </w:rPr>
        <w:t xml:space="preserve">5) Technical issues with digital status and online glitches </w:t>
      </w:r>
    </w:p>
    <w:p w:rsidR="008F4695" w:rsidRPr="0053623C">
      <w:pPr>
        <w:numPr>
          <w:ilvl w:val="0"/>
          <w:numId w:val="8"/>
        </w:numPr>
        <w:spacing w:before="240"/>
        <w:jc w:val="both"/>
        <w:rPr>
          <w:rFonts w:ascii="Verdana" w:eastAsia="Calibri" w:hAnsi="Verdana" w:cs="Calibri"/>
          <w:sz w:val="24"/>
          <w:szCs w:val="24"/>
        </w:rPr>
      </w:pPr>
      <w:r w:rsidRPr="0053623C">
        <w:rPr>
          <w:rFonts w:ascii="Verdana" w:eastAsia="Calibri" w:hAnsi="Verdana" w:cs="Calibri"/>
          <w:sz w:val="24"/>
          <w:szCs w:val="24"/>
        </w:rPr>
        <w:t>There is ongoing uncertainty surrounding digital status and the reliability of proving one’s status online. Around 10% of the enquiries we received in the past six months concerned questions about proving digital status, creating share code or updating details. Repeated technical issues and glitches have raised concerns about the Home Office’s ability to maintain a reliable digital system without physical proof. This is the case of a recent episode where EU citizens logged into their UKVI accounts and saw p</w:t>
      </w:r>
      <w:r w:rsidRPr="0053623C">
        <w:rPr>
          <w:rFonts w:ascii="Verdana" w:eastAsia="Calibri" w:hAnsi="Verdana" w:cs="Calibri"/>
          <w:sz w:val="24"/>
          <w:szCs w:val="24"/>
        </w:rPr>
        <w:t>assports belonging to other individuals from different countries.</w:t>
      </w:r>
      <w:r w:rsidRPr="0053623C">
        <w:rPr>
          <w:rFonts w:ascii="Verdana" w:eastAsia="Calibri" w:hAnsi="Verdana" w:cs="Calibri"/>
          <w:sz w:val="24"/>
          <w:szCs w:val="24"/>
        </w:rPr>
        <w:br/>
      </w:r>
    </w:p>
    <w:p w:rsidR="008F4695" w:rsidRPr="0053623C">
      <w:pPr>
        <w:numPr>
          <w:ilvl w:val="0"/>
          <w:numId w:val="8"/>
        </w:numPr>
        <w:jc w:val="both"/>
        <w:rPr>
          <w:rFonts w:ascii="Verdana" w:eastAsia="Calibri" w:hAnsi="Verdana" w:cs="Calibri"/>
          <w:sz w:val="24"/>
          <w:szCs w:val="24"/>
        </w:rPr>
      </w:pPr>
      <w:r w:rsidRPr="0053623C">
        <w:rPr>
          <w:rFonts w:ascii="Verdana" w:eastAsia="Calibri" w:hAnsi="Verdana" w:cs="Calibri"/>
          <w:sz w:val="24"/>
          <w:szCs w:val="24"/>
        </w:rPr>
        <w:t>In one instance, an individual was granted pre-settled status following a paper application. Although his status was approved in April, it took the Home Office over six months to update it on his digital profile. This was despite multiple calls to the EU Settlement Resolution Centre and, ultimately, the intervention of a legal adviser. He repeatedly received emails stating that the issue had been resolved when, in fact, it had not. As a result, he was unable to prove his status for a long time, leading to m</w:t>
      </w:r>
      <w:r w:rsidRPr="0053623C">
        <w:rPr>
          <w:rFonts w:ascii="Verdana" w:eastAsia="Calibri" w:hAnsi="Verdana" w:cs="Calibri"/>
          <w:sz w:val="24"/>
          <w:szCs w:val="24"/>
        </w:rPr>
        <w:t>issed employment opportunities.</w:t>
      </w:r>
      <w:r w:rsidRPr="0053623C">
        <w:rPr>
          <w:rFonts w:ascii="Verdana" w:eastAsia="Calibri" w:hAnsi="Verdana" w:cs="Calibri"/>
          <w:sz w:val="24"/>
          <w:szCs w:val="24"/>
        </w:rPr>
        <w:br/>
      </w:r>
    </w:p>
    <w:p w:rsidR="008F4695" w:rsidRPr="0053623C">
      <w:pPr>
        <w:numPr>
          <w:ilvl w:val="0"/>
          <w:numId w:val="8"/>
        </w:numPr>
        <w:jc w:val="both"/>
        <w:rPr>
          <w:rFonts w:ascii="Verdana" w:eastAsia="Calibri" w:hAnsi="Verdana" w:cs="Calibri"/>
          <w:sz w:val="24"/>
          <w:szCs w:val="24"/>
        </w:rPr>
      </w:pPr>
      <w:r w:rsidRPr="0053623C">
        <w:rPr>
          <w:rFonts w:ascii="Verdana" w:eastAsia="Calibri" w:hAnsi="Verdana" w:cs="Calibri"/>
          <w:sz w:val="24"/>
          <w:szCs w:val="24"/>
        </w:rPr>
        <w:t>We also encountered a case where an applicant had been granted settled status, but their online record incorrectly showed the status as “expired.” This prevented them from proving their status in the UK and created difficulties at the border. While the Home Office resolved the issue promptly, the individual had to seek professional immigration advice to rectify the situation.</w:t>
      </w:r>
      <w:r w:rsidRPr="0053623C">
        <w:rPr>
          <w:rFonts w:ascii="Verdana" w:eastAsia="Calibri" w:hAnsi="Verdana" w:cs="Calibri"/>
          <w:sz w:val="24"/>
          <w:szCs w:val="24"/>
        </w:rPr>
        <w:br/>
      </w:r>
    </w:p>
    <w:p w:rsidR="008F4695" w:rsidRPr="0053623C">
      <w:pPr>
        <w:numPr>
          <w:ilvl w:val="0"/>
          <w:numId w:val="8"/>
        </w:numPr>
        <w:jc w:val="both"/>
        <w:rPr>
          <w:rFonts w:ascii="Verdana" w:eastAsia="Calibri" w:hAnsi="Verdana" w:cs="Calibri"/>
          <w:sz w:val="24"/>
          <w:szCs w:val="24"/>
        </w:rPr>
      </w:pPr>
      <w:r w:rsidRPr="0053623C">
        <w:rPr>
          <w:rFonts w:ascii="Verdana" w:eastAsia="Calibri" w:hAnsi="Verdana" w:cs="Calibri"/>
          <w:sz w:val="24"/>
          <w:szCs w:val="24"/>
        </w:rPr>
        <w:t xml:space="preserve">Another example involves a non-EEA national with pre-settled status and a Biometric Residence Card (BRC). While his BRC and status outcome letter correctly displayed his name, his online status contained a misspelling. Despite several contacts with the Resolution Centre, each time he was assured the issue had been fixed when it had not. Although he was still able to prove his status, he was extremely anxious about travelling, fearing that the error could cause problems at the border. </w:t>
      </w:r>
      <w:r w:rsidRPr="0053623C">
        <w:rPr>
          <w:rFonts w:ascii="Verdana" w:eastAsia="Calibri" w:hAnsi="Verdana" w:cs="Calibri"/>
          <w:sz w:val="24"/>
          <w:szCs w:val="24"/>
        </w:rPr>
        <w:br/>
      </w:r>
    </w:p>
    <w:p w:rsidR="008F4695" w:rsidRPr="0053623C">
      <w:pPr>
        <w:numPr>
          <w:ilvl w:val="0"/>
          <w:numId w:val="8"/>
        </w:numPr>
        <w:jc w:val="both"/>
        <w:rPr>
          <w:rFonts w:ascii="Verdana" w:eastAsia="Calibri" w:hAnsi="Verdana" w:cs="Calibri"/>
          <w:sz w:val="24"/>
          <w:szCs w:val="24"/>
        </w:rPr>
      </w:pPr>
      <w:r w:rsidRPr="0053623C">
        <w:rPr>
          <w:rFonts w:ascii="Verdana" w:eastAsia="Calibri" w:hAnsi="Verdana" w:cs="Calibri"/>
          <w:sz w:val="24"/>
          <w:szCs w:val="24"/>
        </w:rPr>
        <w:t xml:space="preserve">An additional example concerns an EU national with pre-settled status who successfully applied for settled status (and received the outcome letter) but shortly after received an email stating that her pre-settled status had been automatically extended. Upon checking her digital status, her settled status was not displayed, instead, it reflected the automatic extension of her pre-settled status. After contacting the EU Resolution Centre, they confirmed the error, and that she indeed has settled status. They </w:t>
      </w:r>
      <w:r w:rsidRPr="0053623C">
        <w:rPr>
          <w:rFonts w:ascii="Verdana" w:eastAsia="Calibri" w:hAnsi="Verdana" w:cs="Calibri"/>
          <w:sz w:val="24"/>
          <w:szCs w:val="24"/>
        </w:rPr>
        <w:t>advised reporting the issue via the eVisa reporting website, however, when further inquired about the timeframe for the resolution, no definitive answer was provided. This error poses great implications for users, particularly potentially losing employment opportunities where settled status is preferred, as well as insecurity and unreliability concerning the digital system overall.</w:t>
      </w:r>
      <w:r w:rsidRPr="0053623C">
        <w:rPr>
          <w:rFonts w:ascii="Verdana" w:eastAsia="Calibri" w:hAnsi="Verdana" w:cs="Calibri"/>
          <w:sz w:val="24"/>
          <w:szCs w:val="24"/>
        </w:rPr>
        <w:br/>
      </w:r>
    </w:p>
    <w:p w:rsidR="008F4695" w:rsidRPr="0053623C">
      <w:pPr>
        <w:numPr>
          <w:ilvl w:val="0"/>
          <w:numId w:val="8"/>
        </w:numPr>
        <w:spacing w:after="240"/>
        <w:jc w:val="both"/>
        <w:rPr>
          <w:rFonts w:ascii="Verdana" w:eastAsia="Calibri" w:hAnsi="Verdana" w:cs="Calibri"/>
          <w:sz w:val="24"/>
          <w:szCs w:val="24"/>
        </w:rPr>
      </w:pPr>
      <w:r w:rsidRPr="0053623C">
        <w:rPr>
          <w:rFonts w:ascii="Verdana" w:eastAsia="Calibri" w:hAnsi="Verdana" w:cs="Calibri"/>
          <w:sz w:val="24"/>
          <w:szCs w:val="24"/>
        </w:rPr>
        <w:t>This is a significant challenge for the Roma community, as many members struggle to generate share codes and update their details in the online system. They require specialised support, as they may also find it difficult to contact the EU Resolution Centre in English. Over the past year, we have received numerous requests for technical assistance, accounting for approximately 20% of casework advice.</w:t>
      </w:r>
    </w:p>
    <w:p w:rsidR="008F4695" w:rsidRPr="0053623C">
      <w:pPr>
        <w:spacing w:before="240" w:after="240"/>
        <w:jc w:val="both"/>
        <w:rPr>
          <w:rFonts w:ascii="Verdana" w:eastAsia="Calibri" w:hAnsi="Verdana" w:cs="Calibri"/>
          <w:b/>
          <w:sz w:val="24"/>
          <w:szCs w:val="24"/>
        </w:rPr>
      </w:pPr>
      <w:r w:rsidRPr="0053623C">
        <w:rPr>
          <w:rFonts w:ascii="Verdana" w:eastAsia="Calibri" w:hAnsi="Verdana" w:cs="Calibri"/>
          <w:b/>
          <w:sz w:val="24"/>
          <w:szCs w:val="24"/>
        </w:rPr>
        <w:t>6) Family members and retained rights</w:t>
      </w:r>
    </w:p>
    <w:p w:rsidR="008F4695" w:rsidRPr="0053623C">
      <w:pPr>
        <w:numPr>
          <w:ilvl w:val="0"/>
          <w:numId w:val="5"/>
        </w:numPr>
        <w:spacing w:before="240" w:line="240" w:lineRule="auto"/>
        <w:jc w:val="both"/>
        <w:rPr>
          <w:rFonts w:ascii="Verdana" w:eastAsia="Calibri" w:hAnsi="Verdana" w:cs="Calibri"/>
          <w:sz w:val="24"/>
          <w:szCs w:val="24"/>
        </w:rPr>
      </w:pPr>
      <w:r w:rsidRPr="0053623C">
        <w:rPr>
          <w:rFonts w:ascii="Verdana" w:eastAsia="Calibri" w:hAnsi="Verdana" w:cs="Calibri"/>
          <w:sz w:val="24"/>
          <w:szCs w:val="24"/>
        </w:rPr>
        <w:t>We have noticed an emerging trend where non-EU national family members, such as dependents or spouses, face significant challenges in understanding their legal obligations, particularly when navigating divorce or initiating divorce proceedings with their EU-national spouse.</w:t>
      </w:r>
      <w:r w:rsidRPr="0053623C">
        <w:rPr>
          <w:rFonts w:ascii="Verdana" w:eastAsia="Calibri" w:hAnsi="Verdana" w:cs="Calibri"/>
          <w:sz w:val="24"/>
          <w:szCs w:val="24"/>
        </w:rPr>
        <w:br/>
      </w:r>
    </w:p>
    <w:p w:rsidR="008F4695" w:rsidRPr="0053623C">
      <w:pPr>
        <w:numPr>
          <w:ilvl w:val="0"/>
          <w:numId w:val="5"/>
        </w:numPr>
        <w:spacing w:after="240" w:line="240" w:lineRule="auto"/>
        <w:jc w:val="both"/>
        <w:rPr>
          <w:rFonts w:ascii="Verdana" w:eastAsia="Calibri" w:hAnsi="Verdana" w:cs="Calibri"/>
          <w:sz w:val="24"/>
          <w:szCs w:val="24"/>
        </w:rPr>
      </w:pPr>
      <w:r w:rsidRPr="0053623C">
        <w:rPr>
          <w:rFonts w:ascii="Verdana" w:eastAsia="Calibri" w:hAnsi="Verdana" w:cs="Calibri"/>
          <w:sz w:val="24"/>
          <w:szCs w:val="24"/>
        </w:rPr>
        <w:t>Additionally, individuals who fall outside the scope of the EUSS must apply under Appendix FM of the Immigration Rules, a much stricter framework. Many, particularly within the Roma community, struggle to meet these requirements. As a result, those who do not qualify for EUSS are at risk of removal from the UK. However, the greater concern is that many remain in the country without legal status, making them highly vulnerable to various forms of exploitation.</w:t>
      </w:r>
    </w:p>
    <w:p w:rsidR="008F4695" w:rsidRPr="0053623C">
      <w:pPr>
        <w:spacing w:before="240" w:after="240"/>
        <w:jc w:val="both"/>
        <w:rPr>
          <w:rFonts w:ascii="Verdana" w:eastAsia="Calibri" w:hAnsi="Verdana" w:cs="Calibri"/>
          <w:b/>
          <w:sz w:val="24"/>
          <w:szCs w:val="24"/>
        </w:rPr>
      </w:pPr>
      <w:r w:rsidRPr="0053623C">
        <w:rPr>
          <w:rFonts w:ascii="Verdana" w:eastAsia="Calibri" w:hAnsi="Verdana" w:cs="Calibri"/>
          <w:b/>
          <w:sz w:val="24"/>
          <w:szCs w:val="24"/>
        </w:rPr>
        <w:t>Recommendations</w:t>
      </w:r>
    </w:p>
    <w:p w:rsidR="008F4695" w:rsidRPr="0053623C">
      <w:pPr>
        <w:numPr>
          <w:ilvl w:val="0"/>
          <w:numId w:val="1"/>
        </w:numPr>
        <w:spacing w:before="240"/>
        <w:jc w:val="both"/>
        <w:rPr>
          <w:rFonts w:ascii="Verdana" w:eastAsia="Calibri" w:hAnsi="Verdana" w:cs="Calibri"/>
          <w:sz w:val="24"/>
          <w:szCs w:val="24"/>
        </w:rPr>
      </w:pPr>
      <w:r w:rsidRPr="0053623C">
        <w:rPr>
          <w:rFonts w:ascii="Verdana" w:eastAsia="Calibri" w:hAnsi="Verdana" w:cs="Calibri"/>
          <w:sz w:val="24"/>
          <w:szCs w:val="24"/>
        </w:rPr>
        <w:t xml:space="preserve">The Home Office should improve communication between caseworkers and applicants, by providing clearer explanations when requesting additional evidence and specifying why certain documents cannot be accepted. Decision-making should be more transparent, for example, ensuring applicants are not accused of deception when submitting legitimate evidence. </w:t>
      </w:r>
      <w:r w:rsidRPr="0053623C">
        <w:rPr>
          <w:rFonts w:ascii="Verdana" w:eastAsia="Calibri" w:hAnsi="Verdana" w:cs="Calibri"/>
          <w:sz w:val="24"/>
          <w:szCs w:val="24"/>
        </w:rPr>
        <w:br/>
      </w:r>
    </w:p>
    <w:p w:rsidR="008F4695" w:rsidRPr="0053623C">
      <w:pPr>
        <w:numPr>
          <w:ilvl w:val="0"/>
          <w:numId w:val="1"/>
        </w:numPr>
        <w:jc w:val="both"/>
        <w:rPr>
          <w:rFonts w:ascii="Verdana" w:eastAsia="Calibri" w:hAnsi="Verdana" w:cs="Calibri"/>
          <w:sz w:val="24"/>
          <w:szCs w:val="24"/>
        </w:rPr>
      </w:pPr>
      <w:r w:rsidRPr="0053623C">
        <w:rPr>
          <w:rFonts w:ascii="Verdana" w:eastAsia="Calibri" w:hAnsi="Verdana" w:cs="Calibri"/>
          <w:sz w:val="24"/>
          <w:szCs w:val="24"/>
        </w:rPr>
        <w:t xml:space="preserve">Communication with the public must also be improved. While organisations working in this area are often consulted for </w:t>
      </w:r>
      <w:r w:rsidRPr="0053623C">
        <w:rPr>
          <w:rFonts w:ascii="Verdana" w:eastAsia="Calibri" w:hAnsi="Verdana" w:cs="Calibri"/>
          <w:sz w:val="24"/>
          <w:szCs w:val="24"/>
        </w:rPr>
        <w:t xml:space="preserve">suggestions </w:t>
      </w:r>
      <w:r w:rsidRPr="0053623C">
        <w:rPr>
          <w:rFonts w:ascii="Verdana" w:eastAsia="Calibri" w:hAnsi="Verdana" w:cs="Calibri"/>
          <w:sz w:val="24"/>
          <w:szCs w:val="24"/>
        </w:rPr>
        <w:t>with regard to</w:t>
      </w:r>
      <w:r w:rsidRPr="0053623C">
        <w:rPr>
          <w:rFonts w:ascii="Verdana" w:eastAsia="Calibri" w:hAnsi="Verdana" w:cs="Calibri"/>
          <w:sz w:val="24"/>
          <w:szCs w:val="24"/>
        </w:rPr>
        <w:t xml:space="preserve"> mass emailing, these are rarely reflected in Home Office communications.</w:t>
      </w:r>
      <w:r w:rsidRPr="0053623C">
        <w:rPr>
          <w:rFonts w:ascii="Verdana" w:eastAsia="Calibri" w:hAnsi="Verdana" w:cs="Calibri"/>
          <w:sz w:val="24"/>
          <w:szCs w:val="24"/>
        </w:rPr>
        <w:br/>
      </w:r>
    </w:p>
    <w:p w:rsidR="008F4695" w:rsidRPr="0053623C">
      <w:pPr>
        <w:numPr>
          <w:ilvl w:val="0"/>
          <w:numId w:val="1"/>
        </w:numPr>
        <w:jc w:val="both"/>
        <w:rPr>
          <w:rFonts w:ascii="Verdana" w:eastAsia="Calibri" w:hAnsi="Verdana" w:cs="Calibri"/>
          <w:sz w:val="24"/>
          <w:szCs w:val="24"/>
        </w:rPr>
      </w:pPr>
      <w:r w:rsidRPr="0053623C">
        <w:rPr>
          <w:rFonts w:ascii="Verdana" w:eastAsia="Calibri" w:hAnsi="Verdana" w:cs="Calibri"/>
          <w:sz w:val="24"/>
          <w:szCs w:val="24"/>
        </w:rPr>
        <w:t>A more proportionate approach should be taken when assessing evidence. Evidential flexibility should be applied with more reliance on the balance of probabilities and in line with the Withdrawal Agreement. For example, when looking at gaps in NHS documentation or bank statements or any other evidence where there are gaps in evidence, accepting whether it is more likely than not that a person stayed in the UK if there is no evidence that they have travelled in and out of the UK.</w:t>
      </w:r>
      <w:r w:rsidRPr="0053623C">
        <w:rPr>
          <w:rFonts w:ascii="Verdana" w:eastAsia="Calibri" w:hAnsi="Verdana" w:cs="Calibri"/>
          <w:sz w:val="24"/>
          <w:szCs w:val="24"/>
        </w:rPr>
        <w:br/>
      </w:r>
    </w:p>
    <w:p w:rsidR="008F4695" w:rsidRPr="0053623C">
      <w:pPr>
        <w:numPr>
          <w:ilvl w:val="0"/>
          <w:numId w:val="1"/>
        </w:numPr>
        <w:jc w:val="both"/>
        <w:rPr>
          <w:rFonts w:ascii="Verdana" w:eastAsia="Calibri" w:hAnsi="Verdana" w:cs="Calibri"/>
          <w:sz w:val="24"/>
          <w:szCs w:val="24"/>
        </w:rPr>
      </w:pPr>
      <w:r w:rsidRPr="0053623C">
        <w:rPr>
          <w:rFonts w:ascii="Verdana" w:eastAsia="Calibri" w:hAnsi="Verdana" w:cs="Calibri"/>
          <w:sz w:val="24"/>
          <w:szCs w:val="24"/>
        </w:rPr>
        <w:t>When assessing continuity of residence and checking HMRC and travel records, collaboration with Embassies and Consulates to help find evidence of residency in the UK should be enhanced.</w:t>
      </w:r>
      <w:r w:rsidRPr="0053623C">
        <w:rPr>
          <w:rFonts w:ascii="Verdana" w:eastAsia="Calibri" w:hAnsi="Verdana" w:cs="Calibri"/>
          <w:sz w:val="24"/>
          <w:szCs w:val="24"/>
        </w:rPr>
        <w:br/>
      </w:r>
    </w:p>
    <w:p w:rsidR="008F4695" w:rsidRPr="0053623C">
      <w:pPr>
        <w:numPr>
          <w:ilvl w:val="0"/>
          <w:numId w:val="1"/>
        </w:numPr>
        <w:jc w:val="both"/>
        <w:rPr>
          <w:rFonts w:ascii="Verdana" w:eastAsia="Calibri" w:hAnsi="Verdana" w:cs="Calibri"/>
          <w:sz w:val="24"/>
          <w:szCs w:val="24"/>
        </w:rPr>
      </w:pPr>
      <w:r w:rsidRPr="0053623C">
        <w:rPr>
          <w:rFonts w:ascii="Verdana" w:eastAsia="Calibri" w:hAnsi="Verdana" w:cs="Calibri"/>
          <w:sz w:val="24"/>
          <w:szCs w:val="24"/>
        </w:rPr>
        <w:t>For those people who lost their continuity of residence because they remained out of the UK, or who were denied entry at the Border while an administrative review was pending, which was subsequently accepted, ensuring that this is considered as a good reason for breaking continuous residence in a subsequent application for settled status.</w:t>
      </w:r>
      <w:r w:rsidRPr="0053623C">
        <w:rPr>
          <w:rFonts w:ascii="Verdana" w:eastAsia="Calibri" w:hAnsi="Verdana" w:cs="Calibri"/>
          <w:sz w:val="24"/>
          <w:szCs w:val="24"/>
        </w:rPr>
        <w:br/>
      </w:r>
    </w:p>
    <w:p w:rsidR="008F4695" w:rsidRPr="0053623C">
      <w:pPr>
        <w:numPr>
          <w:ilvl w:val="0"/>
          <w:numId w:val="1"/>
        </w:numPr>
        <w:jc w:val="both"/>
        <w:rPr>
          <w:rFonts w:ascii="Verdana" w:eastAsia="Calibri" w:hAnsi="Verdana" w:cs="Calibri"/>
          <w:sz w:val="24"/>
          <w:szCs w:val="24"/>
        </w:rPr>
      </w:pPr>
      <w:r w:rsidRPr="0053623C">
        <w:rPr>
          <w:rFonts w:ascii="Verdana" w:eastAsia="Calibri" w:hAnsi="Verdana" w:cs="Calibri"/>
          <w:sz w:val="24"/>
          <w:szCs w:val="24"/>
        </w:rPr>
        <w:t>A physical proof of status should be introduced to complement digital status and/or a more accessible digital proof of status.</w:t>
      </w:r>
      <w:r w:rsidRPr="0053623C">
        <w:rPr>
          <w:rFonts w:ascii="Verdana" w:eastAsia="Calibri" w:hAnsi="Verdana" w:cs="Calibri"/>
          <w:sz w:val="24"/>
          <w:szCs w:val="24"/>
        </w:rPr>
        <w:br/>
      </w:r>
    </w:p>
    <w:p w:rsidR="008F4695" w:rsidRPr="0053623C">
      <w:pPr>
        <w:numPr>
          <w:ilvl w:val="0"/>
          <w:numId w:val="1"/>
        </w:numPr>
        <w:jc w:val="both"/>
        <w:rPr>
          <w:rFonts w:ascii="Verdana" w:eastAsia="Calibri" w:hAnsi="Verdana" w:cs="Calibri"/>
          <w:sz w:val="24"/>
          <w:szCs w:val="24"/>
        </w:rPr>
      </w:pPr>
      <w:r w:rsidRPr="0053623C">
        <w:rPr>
          <w:rFonts w:ascii="Verdana" w:eastAsia="Calibri" w:hAnsi="Verdana" w:cs="Calibri"/>
          <w:sz w:val="24"/>
          <w:szCs w:val="24"/>
        </w:rPr>
        <w:t>A dedicated helpline with multilingual support should be provided to assist applicants with their questions or applications and with access to their digital status. This would also help reduce the risk of applicants resorting to seeking advice from unregulated advisers in search of urgent assistance.</w:t>
      </w:r>
      <w:r w:rsidRPr="0053623C">
        <w:rPr>
          <w:rFonts w:ascii="Verdana" w:eastAsia="Calibri" w:hAnsi="Verdana" w:cs="Calibri"/>
          <w:sz w:val="24"/>
          <w:szCs w:val="24"/>
        </w:rPr>
        <w:br/>
      </w:r>
    </w:p>
    <w:p w:rsidR="008F4695" w:rsidRPr="0053623C">
      <w:pPr>
        <w:numPr>
          <w:ilvl w:val="0"/>
          <w:numId w:val="1"/>
        </w:numPr>
        <w:jc w:val="both"/>
        <w:rPr>
          <w:rFonts w:ascii="Verdana" w:eastAsia="Calibri" w:hAnsi="Verdana" w:cs="Calibri"/>
          <w:sz w:val="24"/>
          <w:szCs w:val="24"/>
        </w:rPr>
      </w:pPr>
      <w:r w:rsidRPr="0053623C">
        <w:rPr>
          <w:rFonts w:ascii="Verdana" w:eastAsia="Calibri" w:hAnsi="Verdana" w:cs="Calibri"/>
          <w:sz w:val="24"/>
          <w:szCs w:val="24"/>
        </w:rPr>
        <w:t>Comprehensive training should be given to landlords, employers and social workers, informing them of the rights under pre-settled or settled status and how to verify one’s digital status, to ensure no wrongful denials of accessing benefits, employment and renting persist, as we have seen happen.</w:t>
      </w:r>
      <w:r w:rsidRPr="0053623C">
        <w:rPr>
          <w:rFonts w:ascii="Verdana" w:eastAsia="Calibri" w:hAnsi="Verdana" w:cs="Calibri"/>
          <w:sz w:val="24"/>
          <w:szCs w:val="24"/>
        </w:rPr>
        <w:br/>
      </w:r>
    </w:p>
    <w:p w:rsidR="008F4695" w:rsidRPr="0053623C">
      <w:pPr>
        <w:numPr>
          <w:ilvl w:val="0"/>
          <w:numId w:val="1"/>
        </w:numPr>
        <w:spacing w:after="240" w:line="240" w:lineRule="auto"/>
        <w:jc w:val="both"/>
        <w:rPr>
          <w:rFonts w:ascii="Verdana" w:eastAsia="Calibri" w:hAnsi="Verdana" w:cs="Calibri"/>
          <w:sz w:val="24"/>
          <w:szCs w:val="24"/>
        </w:rPr>
      </w:pPr>
      <w:r w:rsidRPr="0053623C">
        <w:rPr>
          <w:rFonts w:ascii="Verdana" w:eastAsia="Calibri" w:hAnsi="Verdana" w:cs="Calibri"/>
          <w:sz w:val="24"/>
          <w:szCs w:val="24"/>
        </w:rPr>
        <w:t xml:space="preserve">Funding for support legal advice services should be enhanced, </w:t>
      </w:r>
      <w:r w:rsidRPr="0053623C">
        <w:rPr>
          <w:rFonts w:ascii="Verdana" w:eastAsia="Calibri" w:hAnsi="Verdana" w:cs="Calibri"/>
          <w:sz w:val="24"/>
          <w:szCs w:val="24"/>
        </w:rPr>
        <w:t>in order to</w:t>
      </w:r>
      <w:r w:rsidRPr="0053623C">
        <w:rPr>
          <w:rFonts w:ascii="Verdana" w:eastAsia="Calibri" w:hAnsi="Verdana" w:cs="Calibri"/>
          <w:sz w:val="24"/>
          <w:szCs w:val="24"/>
        </w:rPr>
        <w:t xml:space="preserve"> assist individuals navigating the system and complex and costly applications. Thereby ensuring the implementation of rights granted under the Withdrawal Agreement and human rights conventions.</w:t>
      </w:r>
    </w:p>
    <w:p w:rsidR="008F4695" w:rsidRPr="0053623C">
      <w:pPr>
        <w:spacing w:after="160" w:line="278" w:lineRule="auto"/>
        <w:jc w:val="both"/>
        <w:rPr>
          <w:rFonts w:ascii="Verdana" w:eastAsia="Calibri" w:hAnsi="Verdana" w:cs="Calibri"/>
          <w:sz w:val="24"/>
          <w:szCs w:val="24"/>
        </w:rPr>
      </w:pPr>
    </w:p>
    <w:p w:rsidR="008F4695" w:rsidRPr="0053623C">
      <w:pPr>
        <w:spacing w:after="160" w:line="278" w:lineRule="auto"/>
        <w:jc w:val="both"/>
        <w:rPr>
          <w:rFonts w:ascii="Verdana" w:eastAsia="Calibri" w:hAnsi="Verdana" w:cs="Calibri"/>
          <w:b/>
          <w:sz w:val="24"/>
          <w:szCs w:val="24"/>
        </w:rPr>
      </w:pPr>
      <w:r w:rsidRPr="0053623C">
        <w:rPr>
          <w:rFonts w:ascii="Verdana" w:eastAsia="Calibri" w:hAnsi="Verdana" w:cs="Calibri"/>
          <w:b/>
          <w:sz w:val="24"/>
          <w:szCs w:val="24"/>
        </w:rPr>
        <w:t>New Europeans UK</w:t>
      </w:r>
    </w:p>
    <w:p w:rsidR="0053623C" w:rsidRPr="0053623C">
      <w:pPr>
        <w:spacing w:after="160" w:line="278" w:lineRule="auto"/>
        <w:jc w:val="both"/>
        <w:rPr>
          <w:rFonts w:ascii="Verdana" w:eastAsia="Calibri" w:hAnsi="Verdana" w:cs="Calibri"/>
          <w:b/>
          <w:bCs/>
          <w:sz w:val="24"/>
          <w:szCs w:val="24"/>
        </w:rPr>
      </w:pPr>
      <w:r w:rsidRPr="0053623C">
        <w:rPr>
          <w:rFonts w:ascii="Verdana" w:eastAsia="Calibri" w:hAnsi="Verdana" w:cs="Calibri"/>
          <w:b/>
          <w:bCs/>
          <w:sz w:val="24"/>
          <w:szCs w:val="24"/>
        </w:rPr>
        <w:t>Received 1 April 2025</w:t>
      </w:r>
    </w:p>
    <w:sectPr>
      <w:headerReference w:type="default" r:id="rId4"/>
      <w:footerReference w:type="default" r:id="rId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695">
    <w:pPr>
      <w:jc w:val="center"/>
      <w:rPr>
        <w:rFonts w:ascii="Calibri" w:eastAsia="Calibri" w:hAnsi="Calibri" w:cs="Calibri"/>
        <w:sz w:val="18"/>
        <w:szCs w:val="18"/>
      </w:rPr>
    </w:pPr>
    <w:r>
      <w:rPr>
        <w:rFonts w:ascii="Calibri" w:eastAsia="Calibri" w:hAnsi="Calibri" w:cs="Calibri"/>
        <w:sz w:val="18"/>
        <w:szCs w:val="18"/>
      </w:rPr>
      <w:fldChar w:fldCharType="begin"/>
    </w:r>
    <w:r>
      <w:rPr>
        <w:rFonts w:ascii="Calibri" w:eastAsia="Calibri" w:hAnsi="Calibri" w:cs="Calibri"/>
        <w:sz w:val="18"/>
        <w:szCs w:val="18"/>
      </w:rPr>
      <w:instrText>PAGE</w:instrText>
    </w:r>
    <w:r>
      <w:rPr>
        <w:rFonts w:ascii="Calibri" w:eastAsia="Calibri" w:hAnsi="Calibri" w:cs="Calibri"/>
        <w:sz w:val="18"/>
        <w:szCs w:val="18"/>
      </w:rPr>
      <w:fldChar w:fldCharType="separate"/>
    </w:r>
    <w:r w:rsidR="0053623C">
      <w:rPr>
        <w:rFonts w:ascii="Calibri" w:eastAsia="Calibri" w:hAnsi="Calibri" w:cs="Calibri"/>
        <w:noProof/>
        <w:sz w:val="18"/>
        <w:szCs w:val="18"/>
      </w:rPr>
      <w:t>1</w:t>
    </w:r>
    <w:r>
      <w:rPr>
        <w:rFonts w:ascii="Calibri" w:eastAsia="Calibri" w:hAnsi="Calibri" w:cs="Calibri"/>
        <w:sz w:val="18"/>
        <w:szCs w:val="1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695"/>
  <w:p w:rsidR="008F4695">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0000002"/>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0000003"/>
    <w:multiLevelType w:val="hybridMultilevel"/>
    <w:tmpl w:val="000000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00000004"/>
    <w:multiLevelType w:val="hybridMultilevel"/>
    <w:tmpl w:val="000000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00000005"/>
    <w:multiLevelType w:val="hybridMultilevel"/>
    <w:tmpl w:val="000000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00000006"/>
    <w:multiLevelType w:val="hybridMultilevel"/>
    <w:tmpl w:val="000000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00000007"/>
    <w:multiLevelType w:val="hybridMultilevel"/>
    <w:tmpl w:val="000000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nsid w:val="00000008"/>
    <w:multiLevelType w:val="hybridMultilevel"/>
    <w:tmpl w:val="000000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