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4B58" w:rsidP="003936F5">
      <w:pPr>
        <w:pStyle w:val="Standard"/>
        <w:tabs>
          <w:tab w:val="left" w:pos="-1246"/>
          <w:tab w:val="left" w:pos="-720"/>
          <w:tab w:val="left" w:pos="0"/>
          <w:tab w:val="left" w:pos="3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jc w:val="center"/>
        <w:rPr>
          <w:rFonts w:ascii="Arial" w:eastAsia="Calibri" w:hAnsi="Arial"/>
          <w:b/>
          <w:sz w:val="22"/>
          <w:szCs w:val="22"/>
        </w:rPr>
      </w:pPr>
      <w:r w:rsidRPr="005B45F7">
        <w:rPr>
          <w:rFonts w:ascii="Arial" w:eastAsia="Times New Roman" w:hAnsi="Arial"/>
          <w:b/>
          <w:bCs/>
          <w:color w:val="000000"/>
          <w:sz w:val="22"/>
          <w:szCs w:val="22"/>
        </w:rPr>
        <w:t xml:space="preserve">Written evidence submitted by </w:t>
      </w:r>
      <w:r w:rsidRPr="003936F5">
        <w:rPr>
          <w:rFonts w:ascii="Arial" w:eastAsia="Calibri" w:hAnsi="Arial"/>
          <w:b/>
          <w:bCs/>
          <w:sz w:val="22"/>
          <w:szCs w:val="22"/>
        </w:rPr>
        <w:t>Dr Robert Jones</w:t>
      </w:r>
    </w:p>
    <w:p w:rsidR="00534B58" w:rsidP="00EB1B5A">
      <w:pPr>
        <w:spacing w:line="360" w:lineRule="auto"/>
        <w:jc w:val="both"/>
        <w:rPr>
          <w:rFonts w:cs="Times New Roman"/>
          <w:b/>
          <w:bCs/>
          <w:color w:val="156082" w:themeColor="accent1"/>
          <w:sz w:val="28"/>
          <w:szCs w:val="28"/>
        </w:rPr>
      </w:pPr>
    </w:p>
    <w:p w:rsidR="00534B58" w:rsidRPr="00EC6082" w:rsidP="00EB1B5A">
      <w:pPr>
        <w:spacing w:line="360" w:lineRule="auto"/>
        <w:jc w:val="both"/>
        <w:rPr>
          <w:rFonts w:cs="Times New Roman"/>
          <w:b/>
          <w:bCs/>
          <w:color w:val="156082" w:themeColor="accent1"/>
          <w:sz w:val="28"/>
          <w:szCs w:val="28"/>
        </w:rPr>
      </w:pPr>
      <w:r w:rsidRPr="00EC6082">
        <w:rPr>
          <w:rFonts w:cs="Times New Roman"/>
          <w:b/>
          <w:bCs/>
          <w:color w:val="156082" w:themeColor="accent1"/>
          <w:sz w:val="28"/>
          <w:szCs w:val="28"/>
        </w:rPr>
        <w:t>INTRODUCTION</w:t>
      </w:r>
    </w:p>
    <w:p w:rsidR="00534B58" w:rsidRPr="00EB1B5A" w:rsidP="00EB1B5A">
      <w:pPr>
        <w:spacing w:line="360" w:lineRule="auto"/>
        <w:jc w:val="both"/>
        <w:rPr>
          <w:rFonts w:cs="Times New Roman"/>
          <w:b/>
          <w:bCs/>
          <w:sz w:val="28"/>
          <w:szCs w:val="28"/>
        </w:rPr>
      </w:pPr>
    </w:p>
    <w:p w:rsidR="00534B58" w:rsidRPr="00EB1B5A" w:rsidP="00EB1B5A">
      <w:pPr>
        <w:spacing w:line="360" w:lineRule="auto"/>
        <w:jc w:val="both"/>
        <w:rPr>
          <w:rFonts w:cs="Times New Roman"/>
        </w:rPr>
      </w:pPr>
      <w:r w:rsidRPr="00EB1B5A">
        <w:rPr>
          <w:rFonts w:cs="Times New Roman"/>
        </w:rPr>
        <w:t xml:space="preserve">Cardiff University’s Wales Governance Centre is a research centre that forms part of Cardiff University’s School of Law and Politics. The Centre undertakes innovative research into all aspects of the law, politics, government and political economy of Wales, as well the wider UK and European contexts of territorial governance. The Centre has carried out wide-ranging research into the topic of criminal justice in Wales over the last decade. This research has helped to uncover a range of issues including those relating to sentencing and imprisonment, alternative criminal justice models, the legal economy, and the ‘jagged edge’ of criminal justice in Wales. </w:t>
      </w:r>
    </w:p>
    <w:p w:rsidR="00534B58" w:rsidRPr="00EB1B5A" w:rsidP="00EB1B5A">
      <w:pPr>
        <w:spacing w:line="360" w:lineRule="auto"/>
        <w:jc w:val="both"/>
        <w:rPr>
          <w:rFonts w:cs="Times New Roman"/>
        </w:rPr>
      </w:pPr>
    </w:p>
    <w:p w:rsidR="00534B58" w:rsidRPr="00E4264A" w:rsidP="00EB1B5A">
      <w:pPr>
        <w:spacing w:line="360" w:lineRule="auto"/>
        <w:jc w:val="both"/>
        <w:rPr>
          <w:rFonts w:cs="Times New Roman"/>
        </w:rPr>
      </w:pPr>
      <w:r>
        <w:rPr>
          <w:rFonts w:cs="Times New Roman"/>
        </w:rPr>
        <w:t xml:space="preserve">This evidence submission </w:t>
      </w:r>
      <w:r w:rsidRPr="00EB1B5A">
        <w:rPr>
          <w:rFonts w:cs="Times New Roman"/>
        </w:rPr>
        <w:t>group</w:t>
      </w:r>
      <w:r>
        <w:rPr>
          <w:rFonts w:cs="Times New Roman"/>
        </w:rPr>
        <w:t>s</w:t>
      </w:r>
      <w:r w:rsidRPr="00EB1B5A">
        <w:rPr>
          <w:rFonts w:cs="Times New Roman"/>
        </w:rPr>
        <w:t xml:space="preserve"> together the </w:t>
      </w:r>
      <w:r>
        <w:rPr>
          <w:rFonts w:cs="Times New Roman"/>
        </w:rPr>
        <w:t xml:space="preserve">committee’s </w:t>
      </w:r>
      <w:r w:rsidRPr="00EB1B5A">
        <w:rPr>
          <w:rFonts w:cs="Times New Roman"/>
        </w:rPr>
        <w:t>terms of reference into t</w:t>
      </w:r>
      <w:r>
        <w:rPr>
          <w:rFonts w:cs="Times New Roman"/>
        </w:rPr>
        <w:t>wo</w:t>
      </w:r>
      <w:r w:rsidRPr="00EB1B5A">
        <w:rPr>
          <w:rFonts w:cs="Times New Roman"/>
        </w:rPr>
        <w:t xml:space="preserve"> sections. </w:t>
      </w:r>
      <w:r>
        <w:rPr>
          <w:rFonts w:cs="Times New Roman"/>
        </w:rPr>
        <w:t>Section I (</w:t>
      </w:r>
      <w:r w:rsidRPr="003D3F57">
        <w:rPr>
          <w:rFonts w:cs="Times New Roman"/>
          <w:i/>
          <w:iCs/>
        </w:rPr>
        <w:t>Wales in Whitehall</w:t>
      </w:r>
      <w:r>
        <w:rPr>
          <w:rFonts w:cs="Times New Roman"/>
        </w:rPr>
        <w:t xml:space="preserve">) draws heavily upon the findings of </w:t>
      </w:r>
      <w:r w:rsidRPr="003D3F57">
        <w:rPr>
          <w:rFonts w:cs="Times New Roman"/>
          <w:i/>
          <w:iCs/>
        </w:rPr>
        <w:t>The Welsh Criminal Justice System: On the Jagged Edge</w:t>
      </w:r>
      <w:r>
        <w:rPr>
          <w:rFonts w:cs="Times New Roman"/>
        </w:rPr>
        <w:t xml:space="preserve"> (Jones and Wyn Jones, 2022) which was published by University of Wales Press in 2022. The contents of the book are heavily paraphrased here to explore the operation of prison and probation services in a devolved legislative and policy landscape. The analysis offered is drawn from research carried out between 2018 and 2020, including </w:t>
      </w:r>
      <w:r w:rsidRPr="00E82BFA">
        <w:rPr>
          <w:rFonts w:cs="Times New Roman"/>
        </w:rPr>
        <w:t>twenty-nine in-depth interviews</w:t>
      </w:r>
      <w:r>
        <w:rPr>
          <w:rFonts w:cs="Times New Roman"/>
        </w:rPr>
        <w:t xml:space="preserve"> </w:t>
      </w:r>
      <w:r w:rsidRPr="00E82BFA">
        <w:rPr>
          <w:rFonts w:cs="Times New Roman"/>
        </w:rPr>
        <w:t>with policy professionals active in the Welsh criminal justice system</w:t>
      </w:r>
      <w:r>
        <w:rPr>
          <w:rFonts w:cs="Times New Roman"/>
        </w:rPr>
        <w:t>. In Section II (</w:t>
      </w:r>
      <w:r w:rsidRPr="003D3F57">
        <w:rPr>
          <w:rFonts w:cs="Times New Roman"/>
          <w:i/>
          <w:iCs/>
        </w:rPr>
        <w:t>Prisons in Wales</w:t>
      </w:r>
      <w:r>
        <w:rPr>
          <w:rFonts w:cs="Times New Roman"/>
        </w:rPr>
        <w:t xml:space="preserve">), the latest official data are presented to </w:t>
      </w:r>
      <w:r w:rsidRPr="00EB1B5A">
        <w:rPr>
          <w:rFonts w:cs="Times New Roman"/>
        </w:rPr>
        <w:t xml:space="preserve">provide the </w:t>
      </w:r>
      <w:r>
        <w:rPr>
          <w:rFonts w:cs="Times New Roman"/>
        </w:rPr>
        <w:t>committee</w:t>
      </w:r>
      <w:r w:rsidRPr="00EB1B5A">
        <w:rPr>
          <w:rFonts w:cs="Times New Roman"/>
        </w:rPr>
        <w:t xml:space="preserve"> with key information on prisons in Wales. </w:t>
      </w:r>
      <w:r>
        <w:rPr>
          <w:rFonts w:cs="Times New Roman"/>
        </w:rPr>
        <w:t xml:space="preserve">These information are taken from publicly available sources of criminal justice, as well as those which currently can only be accessed from the Ministry of Justice via requests under the Freedom of Information Act 2000. Much of these data were included in </w:t>
      </w:r>
      <w:r w:rsidRPr="00E4264A">
        <w:rPr>
          <w:rFonts w:cs="Times New Roman"/>
          <w:i/>
          <w:iCs/>
        </w:rPr>
        <w:t>Prisons and Sentencing in Wales: 2023 Factfile</w:t>
      </w:r>
      <w:r>
        <w:rPr>
          <w:rFonts w:cs="Times New Roman"/>
          <w:i/>
          <w:iCs/>
        </w:rPr>
        <w:t xml:space="preserve"> </w:t>
      </w:r>
      <w:r>
        <w:rPr>
          <w:rFonts w:cs="Times New Roman"/>
        </w:rPr>
        <w:t>which was published by the Wales Governance Centre in October 2024.</w:t>
      </w:r>
    </w:p>
    <w:p w:rsidR="00534B58" w:rsidP="00EB1B5A">
      <w:pPr>
        <w:spacing w:line="360" w:lineRule="auto"/>
        <w:jc w:val="both"/>
        <w:rPr>
          <w:rFonts w:cs="Times New Roman"/>
        </w:rPr>
      </w:pPr>
    </w:p>
    <w:p w:rsidR="00534B58" w:rsidRPr="003828B0" w:rsidP="00EB1B5A">
      <w:pPr>
        <w:spacing w:line="360" w:lineRule="auto"/>
        <w:jc w:val="both"/>
        <w:rPr>
          <w:rFonts w:cs="Times New Roman"/>
        </w:rPr>
      </w:pPr>
      <w:r>
        <w:rPr>
          <w:rFonts w:cs="Times New Roman"/>
        </w:rPr>
        <w:t>This submission does not include information relating to the parity between services in Wales and England. This evidence will be provided in a separate joint submission alongside Dr Gregory Davies from the University of Liverpool.</w:t>
      </w:r>
    </w:p>
    <w:p w:rsidR="00534B58" w:rsidP="00EB1B5A">
      <w:pPr>
        <w:spacing w:line="360" w:lineRule="auto"/>
        <w:jc w:val="both"/>
        <w:rPr>
          <w:rFonts w:cs="Times New Roman"/>
          <w:sz w:val="28"/>
          <w:szCs w:val="28"/>
        </w:rPr>
      </w:pPr>
    </w:p>
    <w:p w:rsidR="00534B58" w:rsidP="00EB1B5A">
      <w:pPr>
        <w:spacing w:line="360" w:lineRule="auto"/>
        <w:jc w:val="both"/>
        <w:rPr>
          <w:rFonts w:cs="Times New Roman"/>
          <w:sz w:val="28"/>
          <w:szCs w:val="28"/>
        </w:rPr>
      </w:pPr>
    </w:p>
    <w:p w:rsidR="00534B58" w:rsidRPr="00EC6082" w:rsidP="00BB2362">
      <w:pPr>
        <w:pStyle w:val="NoSpacing"/>
        <w:spacing w:line="360" w:lineRule="auto"/>
        <w:jc w:val="both"/>
        <w:rPr>
          <w:b/>
          <w:bCs/>
          <w:color w:val="156082" w:themeColor="accent1"/>
          <w:sz w:val="28"/>
          <w:szCs w:val="28"/>
        </w:rPr>
      </w:pPr>
      <w:r w:rsidRPr="00EC6082">
        <w:rPr>
          <w:b/>
          <w:bCs/>
          <w:color w:val="156082" w:themeColor="accent1"/>
          <w:sz w:val="28"/>
          <w:szCs w:val="28"/>
        </w:rPr>
        <w:t>PART I: WALES IN WHITEHALL</w:t>
      </w:r>
    </w:p>
    <w:p w:rsidR="00534B58" w:rsidRPr="00370538" w:rsidP="00370538">
      <w:pPr>
        <w:spacing w:line="360" w:lineRule="auto"/>
        <w:jc w:val="both"/>
        <w:rPr>
          <w:rFonts w:cs="Times New Roman"/>
          <w:sz w:val="28"/>
          <w:szCs w:val="28"/>
        </w:rPr>
      </w:pPr>
      <w:r w:rsidRPr="00370538">
        <w:rPr>
          <w:rFonts w:cs="Times New Roman"/>
          <w:sz w:val="28"/>
          <w:szCs w:val="28"/>
        </w:rPr>
        <w:drawing>
          <wp:inline distT="0" distB="0" distL="0" distR="0">
            <wp:extent cx="5731510" cy="3422650"/>
            <wp:effectExtent l="0" t="0" r="2540" b="6350"/>
            <wp:docPr id="737844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44387" name=""/>
                    <pic:cNvPicPr/>
                  </pic:nvPicPr>
                  <pic:blipFill>
                    <a:blip xmlns:r="http://schemas.openxmlformats.org/officeDocument/2006/relationships" r:embed="rId6"/>
                    <a:stretch>
                      <a:fillRect/>
                    </a:stretch>
                  </pic:blipFill>
                  <pic:spPr>
                    <a:xfrm>
                      <a:off x="0" y="0"/>
                      <a:ext cx="5731510" cy="3422650"/>
                    </a:xfrm>
                    <a:prstGeom prst="rect">
                      <a:avLst/>
                    </a:prstGeom>
                  </pic:spPr>
                </pic:pic>
              </a:graphicData>
            </a:graphic>
          </wp:inline>
        </w:drawing>
      </w:r>
    </w:p>
    <w:p w:rsidR="00534B58" w:rsidRPr="009967DF" w:rsidP="00BB2362">
      <w:pPr>
        <w:spacing w:line="360" w:lineRule="auto"/>
        <w:rPr>
          <w:sz w:val="8"/>
          <w:szCs w:val="8"/>
        </w:rPr>
      </w:pPr>
    </w:p>
    <w:p w:rsidR="00370538" w:rsidP="00BB2362">
      <w:pPr>
        <w:pStyle w:val="NoSpacing"/>
        <w:spacing w:line="360" w:lineRule="auto"/>
        <w:jc w:val="both"/>
      </w:pPr>
      <w:r>
        <w:t>The debate on</w:t>
      </w:r>
      <w:r w:rsidRPr="002369C5">
        <w:t xml:space="preserve"> justice devolution over the last decade ha</w:t>
      </w:r>
      <w:r>
        <w:t>s</w:t>
      </w:r>
      <w:r w:rsidRPr="002369C5">
        <w:t xml:space="preserve"> </w:t>
      </w:r>
      <w:r>
        <w:t>largely been marshalled by</w:t>
      </w:r>
      <w:r w:rsidRPr="002369C5">
        <w:t xml:space="preserve"> two </w:t>
      </w:r>
      <w:r>
        <w:t>competing perspectives</w:t>
      </w:r>
      <w:r w:rsidRPr="002369C5">
        <w:t xml:space="preserve">. </w:t>
      </w:r>
      <w:r>
        <w:t>For</w:t>
      </w:r>
      <w:r w:rsidRPr="002369C5">
        <w:t xml:space="preserve"> </w:t>
      </w:r>
      <w:r>
        <w:t xml:space="preserve">supporters of the status quo, including successive UK Government Ministers, the single England and Wales system ‘performs very well for Wales’ and ought to be preserved (Lord Bellamy, 2023). For others, including the Silk Commission (2014), the Commission on Justice in Wales (2019: 10), </w:t>
      </w:r>
      <w:r w:rsidRPr="00F11C54">
        <w:t xml:space="preserve">The Independent </w:t>
      </w:r>
    </w:p>
    <w:p w:rsidR="00370538" w:rsidP="00BB2362">
      <w:pPr>
        <w:pStyle w:val="NoSpacing"/>
        <w:spacing w:line="360" w:lineRule="auto"/>
        <w:jc w:val="both"/>
      </w:pPr>
    </w:p>
    <w:p w:rsidR="00534B58" w:rsidP="00BB2362">
      <w:pPr>
        <w:pStyle w:val="NoSpacing"/>
        <w:spacing w:line="360" w:lineRule="auto"/>
        <w:jc w:val="both"/>
      </w:pPr>
      <w:r w:rsidRPr="00F11C54">
        <w:t>Commission on the Constitutional Future of Wales</w:t>
      </w:r>
      <w:r>
        <w:t xml:space="preserve"> (2024), and Welsh Government (2022), the Welsh criminal justice system is ‘overly complex’, performs badly, and responsibility for it should be devolved to the Welsh Government and Senedd.</w:t>
      </w:r>
    </w:p>
    <w:p w:rsidR="00534B58" w:rsidP="00BB2362">
      <w:pPr>
        <w:pStyle w:val="NoSpacing"/>
        <w:spacing w:line="360" w:lineRule="auto"/>
        <w:jc w:val="both"/>
      </w:pPr>
    </w:p>
    <w:p w:rsidR="00534B58" w:rsidP="00BB2362">
      <w:pPr>
        <w:pStyle w:val="NoSpacing"/>
        <w:spacing w:line="360" w:lineRule="auto"/>
        <w:jc w:val="both"/>
      </w:pPr>
      <w:r>
        <w:t xml:space="preserve">Despite some notable attempts to understand the way that </w:t>
      </w:r>
      <w:r w:rsidRPr="0048473D">
        <w:t xml:space="preserve">the </w:t>
      </w:r>
      <w:r>
        <w:t xml:space="preserve">criminal </w:t>
      </w:r>
      <w:r w:rsidRPr="0048473D">
        <w:t xml:space="preserve">justice system currently operates in Wales, </w:t>
      </w:r>
      <w:r>
        <w:t>there remains</w:t>
      </w:r>
      <w:r w:rsidRPr="0048473D">
        <w:t xml:space="preserve"> limited information</w:t>
      </w:r>
      <w:r>
        <w:t xml:space="preserve"> and understanding on both sides of the devolution argument</w:t>
      </w:r>
      <w:r w:rsidRPr="0048473D">
        <w:t xml:space="preserve"> about its actual operation</w:t>
      </w:r>
      <w:r>
        <w:t xml:space="preserve"> or effectiveness.</w:t>
      </w:r>
      <w:r w:rsidRPr="005E4E61">
        <w:t xml:space="preserve"> </w:t>
      </w:r>
      <w:r w:rsidRPr="0048473D">
        <w:t>Political interest in the topic</w:t>
      </w:r>
      <w:r>
        <w:t xml:space="preserve"> </w:t>
      </w:r>
      <w:r w:rsidRPr="0048473D">
        <w:t>has been patchy</w:t>
      </w:r>
      <w:r>
        <w:t>.</w:t>
      </w:r>
      <w:r w:rsidRPr="0048473D">
        <w:t xml:space="preserve"> But even that eclipses the extent of academic interest in the area which,</w:t>
      </w:r>
      <w:r>
        <w:t xml:space="preserve"> </w:t>
      </w:r>
      <w:r w:rsidRPr="0048473D">
        <w:t xml:space="preserve">thus far, has been almost entirely confined to </w:t>
      </w:r>
      <w:r w:rsidRPr="0048473D">
        <w:t>specific policy areas</w:t>
      </w:r>
      <w:r>
        <w:t xml:space="preserve"> and has largely overlooked Whitehall’s handling of devolution and its response to the unique delivery landscape in post-devolution Wales.</w:t>
      </w:r>
    </w:p>
    <w:p w:rsidR="00534B58" w:rsidP="00BB2362">
      <w:pPr>
        <w:pStyle w:val="NoSpacing"/>
        <w:spacing w:line="360" w:lineRule="auto"/>
        <w:jc w:val="both"/>
        <w:rPr>
          <w:b/>
          <w:bCs/>
        </w:rPr>
      </w:pPr>
      <w:r>
        <w:rPr>
          <w:b/>
          <w:bCs/>
        </w:rPr>
        <w:t>Administrative devolution to the rescue?</w:t>
      </w:r>
    </w:p>
    <w:p w:rsidR="00534B58" w:rsidRPr="00532D3D" w:rsidP="00BB2362">
      <w:pPr>
        <w:pStyle w:val="NoSpacing"/>
        <w:spacing w:line="360" w:lineRule="auto"/>
        <w:jc w:val="both"/>
      </w:pPr>
    </w:p>
    <w:p w:rsidR="00534B58" w:rsidP="00BB2362">
      <w:pPr>
        <w:pStyle w:val="NoSpacing"/>
        <w:spacing w:line="360" w:lineRule="auto"/>
        <w:jc w:val="both"/>
      </w:pPr>
      <w:r w:rsidRPr="00532D3D">
        <w:t>Even if formally reserved to UK level institutions as part of a single England and Wales system,</w:t>
      </w:r>
      <w:r>
        <w:t xml:space="preserve"> since 1999 devolution has transformed the operation of the Welsh criminal justice system. </w:t>
      </w:r>
      <w:r w:rsidRPr="003C4BD1">
        <w:rPr>
          <w:rFonts w:cs="Segoe UI"/>
        </w:rPr>
        <w:t xml:space="preserve">Those charged with the responsibility for conceiving and operationalising criminal justice policy, including prisons and penal policy, are almost invariably operating across the line between </w:t>
      </w:r>
      <w:r>
        <w:rPr>
          <w:rFonts w:cs="Segoe UI"/>
        </w:rPr>
        <w:t>UK and Welsh Government</w:t>
      </w:r>
      <w:r w:rsidRPr="003C4BD1">
        <w:rPr>
          <w:rFonts w:cs="Segoe UI"/>
        </w:rPr>
        <w:t xml:space="preserve"> responsibilities. The Welsh criminal justice system, therefore, is best characterised as being constituted across a ‘jagged edge’ of intersecting competences and responsibilities shared between two governments with different political priorities and accountable through different electoral mandates.</w:t>
      </w:r>
      <w:r>
        <w:t xml:space="preserve"> The impact made by devolution has been noted within numerous justice policies and </w:t>
      </w:r>
      <w:r w:rsidRPr="00FD37F5">
        <w:t>strategies (NOMS et al, 2006; Ministry of Justice, 2014), as well as the UK Government’s introduction of several Welsh directorates with ‘senior</w:t>
      </w:r>
      <w:r>
        <w:t xml:space="preserve"> leadership’ roles to help reflect the Welsh dimension to its policing and criminal justice activities in Wales (Ministry of Justice, 2017: 4).</w:t>
      </w:r>
    </w:p>
    <w:p w:rsidR="00534B58" w:rsidP="00BB2362">
      <w:pPr>
        <w:pStyle w:val="NoSpacing"/>
        <w:spacing w:line="360" w:lineRule="auto"/>
        <w:jc w:val="both"/>
      </w:pPr>
    </w:p>
    <w:p w:rsidR="00534B58" w:rsidP="00BB2362">
      <w:pPr>
        <w:pStyle w:val="NoSpacing"/>
        <w:spacing w:line="360" w:lineRule="auto"/>
        <w:jc w:val="both"/>
      </w:pPr>
      <w:r w:rsidRPr="007D3627">
        <w:t>The Welsh-level organisational nodes that exist</w:t>
      </w:r>
      <w:r>
        <w:t xml:space="preserve"> in Wales, most notably HMPPS in Wales,</w:t>
      </w:r>
      <w:r w:rsidRPr="007D3627">
        <w:t xml:space="preserve"> have become key points of interac</w:t>
      </w:r>
      <w:r>
        <w:t>t</w:t>
      </w:r>
      <w:r w:rsidRPr="007D3627">
        <w:t xml:space="preserve">ion with devolved institutions on whose cooperation </w:t>
      </w:r>
      <w:r>
        <w:t>UK justice services</w:t>
      </w:r>
      <w:r w:rsidRPr="007D3627">
        <w:t xml:space="preserve"> rely when operating </w:t>
      </w:r>
      <w:r>
        <w:t>in Wales</w:t>
      </w:r>
      <w:r w:rsidRPr="007D3627">
        <w:t xml:space="preserve">. As well as helping to ensure that Whitehall-based officials have a better understanding of the Welsh context, </w:t>
      </w:r>
      <w:r>
        <w:t>organisations like HMPPS in Wales</w:t>
      </w:r>
      <w:r w:rsidRPr="007D3627">
        <w:t xml:space="preserve"> </w:t>
      </w:r>
      <w:r>
        <w:t>can be</w:t>
      </w:r>
      <w:r w:rsidRPr="007D3627">
        <w:t xml:space="preserve"> credited with improving levels of engagement and understanding among policy makers in Wales and with helping to smooth out any problems that may arise in intergovernmental working</w:t>
      </w:r>
      <w:r>
        <w:t xml:space="preserve">. For some of those we interviewed during our research, </w:t>
      </w:r>
      <w:r w:rsidRPr="007D3627">
        <w:t>Welsh-level structures within the England and Wales criminal justice system ha</w:t>
      </w:r>
      <w:r>
        <w:t>ve</w:t>
      </w:r>
      <w:r w:rsidRPr="007D3627">
        <w:t xml:space="preserve"> improved working relationships between the UK and Welsh governments and helped clarify </w:t>
      </w:r>
      <w:r>
        <w:t xml:space="preserve">what is </w:t>
      </w:r>
      <w:r w:rsidRPr="007D3627">
        <w:t>a</w:t>
      </w:r>
      <w:r>
        <w:t xml:space="preserve"> uniquely</w:t>
      </w:r>
      <w:r w:rsidRPr="007D3627">
        <w:t xml:space="preserve"> complex policy space</w:t>
      </w:r>
      <w:r>
        <w:t>.</w:t>
      </w:r>
    </w:p>
    <w:p w:rsidR="00534B58" w:rsidP="00BB2362">
      <w:pPr>
        <w:pStyle w:val="NoSpacing"/>
        <w:spacing w:line="360" w:lineRule="auto"/>
        <w:jc w:val="both"/>
      </w:pPr>
    </w:p>
    <w:p w:rsidR="00534B58" w:rsidP="00BB2362">
      <w:pPr>
        <w:pStyle w:val="NoSpacing"/>
        <w:spacing w:line="360" w:lineRule="auto"/>
        <w:jc w:val="both"/>
      </w:pPr>
      <w:r>
        <w:t xml:space="preserve">However, while the establishment (and survival) of these Wales-level administrative structures suggest that the England and Wales criminal justice system is, even if only </w:t>
      </w:r>
      <w:r>
        <w:t>gradually, successfully adapting to devolution. In reality, the overall picture is far less positive.</w:t>
      </w:r>
    </w:p>
    <w:p w:rsidR="00534B58" w:rsidP="00BB2362">
      <w:pPr>
        <w:pStyle w:val="NoSpacing"/>
        <w:spacing w:line="360" w:lineRule="auto"/>
        <w:jc w:val="both"/>
      </w:pPr>
    </w:p>
    <w:p w:rsidR="00534B58" w:rsidRPr="003C4BD1" w:rsidP="00BB2362">
      <w:pPr>
        <w:pStyle w:val="NoSpacing"/>
        <w:spacing w:line="360" w:lineRule="auto"/>
        <w:jc w:val="both"/>
        <w:rPr>
          <w:b/>
          <w:bCs/>
        </w:rPr>
      </w:pPr>
      <w:r w:rsidRPr="003C4BD1">
        <w:rPr>
          <w:b/>
          <w:bCs/>
        </w:rPr>
        <w:t>‘Whack-a-mole’</w:t>
      </w:r>
    </w:p>
    <w:p w:rsidR="00534B58" w:rsidP="00BB2362">
      <w:pPr>
        <w:pStyle w:val="NoSpacing"/>
        <w:spacing w:line="360" w:lineRule="auto"/>
        <w:jc w:val="both"/>
      </w:pPr>
    </w:p>
    <w:p w:rsidR="00534B58" w:rsidP="00BB2362">
      <w:pPr>
        <w:pStyle w:val="NoSpacing"/>
        <w:spacing w:line="360" w:lineRule="auto"/>
        <w:jc w:val="both"/>
      </w:pPr>
      <w:r>
        <w:t>The</w:t>
      </w:r>
      <w:r w:rsidRPr="007D3627">
        <w:t xml:space="preserve"> ability of administrative structures</w:t>
      </w:r>
      <w:r>
        <w:t xml:space="preserve"> like HMPPS in Wales</w:t>
      </w:r>
      <w:r w:rsidRPr="007D3627">
        <w:t xml:space="preserve"> to bear the weight that is being placed on them </w:t>
      </w:r>
      <w:r>
        <w:t xml:space="preserve">by Whitehall </w:t>
      </w:r>
      <w:r w:rsidRPr="007D3627">
        <w:t xml:space="preserve">seems questionable. </w:t>
      </w:r>
      <w:r>
        <w:t>B</w:t>
      </w:r>
      <w:r w:rsidRPr="007D3627">
        <w:t xml:space="preserve">ecause there is very little – if any – policy-making influence or capacity </w:t>
      </w:r>
      <w:r>
        <w:t xml:space="preserve">in </w:t>
      </w:r>
      <w:r w:rsidRPr="007D3627">
        <w:t xml:space="preserve">Wales, the units </w:t>
      </w:r>
      <w:r>
        <w:t>like HMPPS in Wales</w:t>
      </w:r>
      <w:r w:rsidRPr="007D3627">
        <w:t xml:space="preserve"> tend to be operationally focused and relatively junior in the context of a notoriously hierarchical civil service. There remains, therefore, a very strong reliance on London-based policy makers proactively seeking to understand the devolved Welsh context and to</w:t>
      </w:r>
      <w:r>
        <w:t xml:space="preserve"> act upon this by ensuring the devolved landscape is properly reflected in</w:t>
      </w:r>
      <w:r w:rsidRPr="007D3627">
        <w:t xml:space="preserve"> </w:t>
      </w:r>
      <w:r>
        <w:t xml:space="preserve">Ministry of Justice policy. There are, however, countless examples where this does not happen. Instead, those we interviewed </w:t>
      </w:r>
      <w:r w:rsidRPr="00162825">
        <w:t>point</w:t>
      </w:r>
      <w:r>
        <w:t>ed</w:t>
      </w:r>
      <w:r w:rsidRPr="00162825">
        <w:t xml:space="preserve"> to</w:t>
      </w:r>
      <w:r>
        <w:t>wards</w:t>
      </w:r>
      <w:r w:rsidRPr="00162825">
        <w:t xml:space="preserve"> a tendency for initiatives to be produced without consideration of the specificities of the Welsh devolved context or the Welsh Government’s own pre-existing activities in these areas. </w:t>
      </w:r>
    </w:p>
    <w:p w:rsidR="00534B58" w:rsidP="00BB2362">
      <w:pPr>
        <w:pStyle w:val="NoSpacing"/>
        <w:spacing w:line="360" w:lineRule="auto"/>
        <w:jc w:val="both"/>
      </w:pPr>
    </w:p>
    <w:p w:rsidR="00534B58" w:rsidP="00BB2362">
      <w:pPr>
        <w:pStyle w:val="NoSpacing"/>
        <w:spacing w:line="360" w:lineRule="auto"/>
        <w:jc w:val="both"/>
      </w:pPr>
      <w:r w:rsidRPr="00EB1B5A">
        <w:t xml:space="preserve">Since the advent of democratic devolution, numerous Home Office and Ministry of Justice policies have been published without serious thought being given to the Welsh context or even without reference to Wales at all. </w:t>
      </w:r>
      <w:r w:rsidRPr="00162825">
        <w:t xml:space="preserve">These policy initiatives are then launched using timeframes that give officials working in </w:t>
      </w:r>
      <w:r>
        <w:t xml:space="preserve">the Welsh Government or </w:t>
      </w:r>
      <w:r w:rsidRPr="00162825">
        <w:t>the Welsh administrative arms of the relevant England and Wales bodies almost no notice of their impending arrival, yet nonetheless require them to find ways of bridging the jagged edge to render them operational in Wales.</w:t>
      </w:r>
      <w:r>
        <w:t xml:space="preserve"> </w:t>
      </w:r>
      <w:r w:rsidRPr="00EB1B5A">
        <w:t xml:space="preserve">At best, a short paragraph or sentence is inserted into a UK Government’s strategy to explain that the policy context is different in Wales. </w:t>
      </w:r>
      <w:r>
        <w:t xml:space="preserve">While a more comprehensive list is provided in </w:t>
      </w:r>
      <w:r w:rsidRPr="002C5BCA">
        <w:rPr>
          <w:i/>
          <w:iCs/>
        </w:rPr>
        <w:t>The Welsh Criminal Justice System</w:t>
      </w:r>
      <w:r>
        <w:rPr>
          <w:i/>
          <w:iCs/>
        </w:rPr>
        <w:t>: On the Jaggd Edge</w:t>
      </w:r>
      <w:r>
        <w:t xml:space="preserve">, relevant examples include </w:t>
      </w:r>
      <w:r w:rsidRPr="00EB1B5A">
        <w:t>policies focused on prison safety (Ministry of Justice</w:t>
      </w:r>
      <w:r>
        <w:t>,</w:t>
      </w:r>
      <w:r w:rsidRPr="00EB1B5A">
        <w:t xml:space="preserve"> 2016)</w:t>
      </w:r>
      <w:r>
        <w:t xml:space="preserve"> and </w:t>
      </w:r>
      <w:r w:rsidRPr="00EB1B5A">
        <w:t>female offending (Ministry of Justice</w:t>
      </w:r>
      <w:r>
        <w:t>,</w:t>
      </w:r>
      <w:r w:rsidRPr="00EB1B5A">
        <w:t xml:space="preserve"> 2018)</w:t>
      </w:r>
      <w:r>
        <w:t xml:space="preserve">. </w:t>
      </w:r>
    </w:p>
    <w:p w:rsidR="00534B58" w:rsidP="00BB2362">
      <w:pPr>
        <w:pStyle w:val="NoSpacing"/>
        <w:spacing w:line="360" w:lineRule="auto"/>
        <w:jc w:val="both"/>
      </w:pPr>
    </w:p>
    <w:p w:rsidR="00534B58" w:rsidP="00BB2362">
      <w:pPr>
        <w:pStyle w:val="NoSpacing"/>
        <w:spacing w:line="360" w:lineRule="auto"/>
        <w:jc w:val="both"/>
      </w:pPr>
      <w:r w:rsidRPr="00E4264A">
        <w:rPr>
          <w:i/>
          <w:iCs/>
        </w:rPr>
        <w:t>The</w:t>
      </w:r>
      <w:r>
        <w:t xml:space="preserve"> </w:t>
      </w:r>
      <w:r w:rsidRPr="0030099F">
        <w:rPr>
          <w:i/>
          <w:iCs/>
        </w:rPr>
        <w:t>Welsh Criminal Justice System</w:t>
      </w:r>
      <w:r>
        <w:rPr>
          <w:i/>
          <w:iCs/>
        </w:rPr>
        <w:t>: On the Jagged Edge</w:t>
      </w:r>
      <w:r>
        <w:t xml:space="preserve"> concluded that no</w:t>
      </w:r>
      <w:r w:rsidRPr="00EB1B5A">
        <w:t xml:space="preserve"> matter how dedicated the professionals involved, </w:t>
      </w:r>
      <w:r>
        <w:t>officials in organisations like HMPPS in Wales</w:t>
      </w:r>
      <w:r w:rsidRPr="00EB1B5A">
        <w:t xml:space="preserve"> find themselves engaged in an extended game of ‘whack-a-mole’. That is, they are </w:t>
      </w:r>
      <w:r w:rsidRPr="00EB1B5A">
        <w:t>continually forced to react to an apparently endless torrent of reforms</w:t>
      </w:r>
      <w:r>
        <w:t>, decisions, and</w:t>
      </w:r>
      <w:r w:rsidRPr="00EB1B5A">
        <w:t xml:space="preserve"> initiatives designed by Whitehall policy makers who have little knowledge of, let alone interest in, the distinctive policy context created </w:t>
      </w:r>
      <w:r w:rsidRPr="000D4529">
        <w:t>by Welsh devolution. What we see when looking into the operation of the system in Wales are a relatively small group of committed individuals based in organisations like HMPPS in Wales desperately seeking to make up for systemic deficiencies and trying to ameliorate the worst effects of an ‘England and Wales’ system for which Wales is, at best, an afterthought.</w:t>
      </w:r>
      <w:r>
        <w:t xml:space="preserve"> </w:t>
      </w:r>
    </w:p>
    <w:p w:rsidR="007A6E92" w:rsidP="00BB2362">
      <w:pPr>
        <w:pStyle w:val="NoSpacing"/>
        <w:spacing w:line="360" w:lineRule="auto"/>
        <w:jc w:val="both"/>
      </w:pPr>
    </w:p>
    <w:p w:rsidR="00370538" w:rsidP="00BB2362">
      <w:pPr>
        <w:pStyle w:val="NoSpacing"/>
        <w:spacing w:line="360" w:lineRule="auto"/>
        <w:jc w:val="both"/>
      </w:pPr>
      <w:r w:rsidRPr="00370538">
        <w:drawing>
          <wp:inline distT="0" distB="0" distL="0" distR="0">
            <wp:extent cx="5667104" cy="6524625"/>
            <wp:effectExtent l="0" t="0" r="0" b="0"/>
            <wp:docPr id="895675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75716" name=""/>
                    <pic:cNvPicPr/>
                  </pic:nvPicPr>
                  <pic:blipFill>
                    <a:blip xmlns:r="http://schemas.openxmlformats.org/officeDocument/2006/relationships" r:embed="rId7"/>
                    <a:stretch>
                      <a:fillRect/>
                    </a:stretch>
                  </pic:blipFill>
                  <pic:spPr>
                    <a:xfrm>
                      <a:off x="0" y="0"/>
                      <a:ext cx="5674398" cy="6533023"/>
                    </a:xfrm>
                    <a:prstGeom prst="rect">
                      <a:avLst/>
                    </a:prstGeom>
                  </pic:spPr>
                </pic:pic>
              </a:graphicData>
            </a:graphic>
          </wp:inline>
        </w:drawing>
      </w:r>
    </w:p>
    <w:p w:rsidR="00534B58" w:rsidP="0028691A">
      <w:pPr>
        <w:pStyle w:val="NoSpacing"/>
        <w:spacing w:line="360" w:lineRule="auto"/>
        <w:jc w:val="both"/>
      </w:pPr>
    </w:p>
    <w:p w:rsidR="00534B58" w:rsidRPr="009C2BD1" w:rsidP="009325A3">
      <w:pPr>
        <w:pStyle w:val="NoSpacing"/>
        <w:spacing w:line="360" w:lineRule="auto"/>
        <w:jc w:val="both"/>
        <w:rPr>
          <w:b/>
          <w:bCs/>
        </w:rPr>
      </w:pPr>
      <w:r w:rsidRPr="009C2BD1">
        <w:rPr>
          <w:b/>
          <w:bCs/>
        </w:rPr>
        <w:t>Churn</w:t>
      </w:r>
    </w:p>
    <w:p w:rsidR="00534B58" w:rsidP="009325A3">
      <w:pPr>
        <w:pStyle w:val="NoSpacing"/>
        <w:spacing w:line="360" w:lineRule="auto"/>
        <w:jc w:val="both"/>
      </w:pPr>
    </w:p>
    <w:p w:rsidR="00534B58" w:rsidP="00396E21">
      <w:pPr>
        <w:pStyle w:val="NoSpacing"/>
        <w:spacing w:line="360" w:lineRule="auto"/>
        <w:jc w:val="both"/>
      </w:pPr>
      <w:r w:rsidRPr="00162825">
        <w:t>The</w:t>
      </w:r>
      <w:r>
        <w:t xml:space="preserve"> </w:t>
      </w:r>
      <w:r w:rsidRPr="00162825">
        <w:t xml:space="preserve">testimonies </w:t>
      </w:r>
      <w:r>
        <w:t xml:space="preserve">of those working in the Welsh criminal justice system </w:t>
      </w:r>
      <w:r w:rsidRPr="00162825">
        <w:t xml:space="preserve">also suggest reasons as to why Welsh devolution appears to present such a challenge to politicians and officials </w:t>
      </w:r>
      <w:r>
        <w:t>responsible for</w:t>
      </w:r>
      <w:r w:rsidRPr="00162825">
        <w:t xml:space="preserve"> the England and Wales criminal justice system.</w:t>
      </w:r>
      <w:r>
        <w:t xml:space="preserve"> Firstly, officials in Whitehall tend to have a </w:t>
      </w:r>
      <w:r w:rsidRPr="00162825">
        <w:t>weak understanding of the devolved context (a recurrent theme in the literature on devolution, see e.g. Hazell</w:t>
      </w:r>
      <w:r>
        <w:t>,</w:t>
      </w:r>
      <w:r w:rsidRPr="00162825">
        <w:t xml:space="preserve"> 2015; House of Commons Justice Committee</w:t>
      </w:r>
      <w:r>
        <w:t>,</w:t>
      </w:r>
      <w:r w:rsidRPr="00162825">
        <w:t xml:space="preserve"> 2009; House of Commons Welsh Affairs Committee</w:t>
      </w:r>
      <w:r>
        <w:t>,</w:t>
      </w:r>
      <w:r w:rsidRPr="00162825">
        <w:t xml:space="preserve"> 2010a; House of Lords Select Committee on the Constitution</w:t>
      </w:r>
      <w:r>
        <w:t>,</w:t>
      </w:r>
      <w:r w:rsidRPr="00162825">
        <w:t xml:space="preserve"> 2016; </w:t>
      </w:r>
      <w:r>
        <w:t xml:space="preserve">Lord </w:t>
      </w:r>
      <w:r w:rsidRPr="00162825">
        <w:t>Thomas</w:t>
      </w:r>
      <w:r>
        <w:t>,</w:t>
      </w:r>
      <w:r w:rsidRPr="00162825">
        <w:t xml:space="preserve"> 2017; Rycroft</w:t>
      </w:r>
      <w:r>
        <w:t>,</w:t>
      </w:r>
      <w:r w:rsidRPr="00162825">
        <w:t xml:space="preserve"> 2019)</w:t>
      </w:r>
      <w:r>
        <w:t>. This</w:t>
      </w:r>
      <w:r w:rsidRPr="00162825">
        <w:t xml:space="preserve"> situation is not helped by the constant churn of Whitehall officials between civil service roles (see e.g. House of Commons Public Administration and Constitutional Affairs Committee</w:t>
      </w:r>
      <w:r>
        <w:t>,</w:t>
      </w:r>
      <w:r w:rsidRPr="00162825">
        <w:t xml:space="preserve"> 2018: 20; Sasse and Norris</w:t>
      </w:r>
      <w:r>
        <w:t>,</w:t>
      </w:r>
      <w:r w:rsidRPr="00162825">
        <w:t xml:space="preserve"> 2019: 4–8).</w:t>
      </w:r>
      <w:r>
        <w:t xml:space="preserve"> E</w:t>
      </w:r>
      <w:r w:rsidRPr="00162825">
        <w:t>ven when devolution</w:t>
      </w:r>
      <w:r>
        <w:t xml:space="preserve"> </w:t>
      </w:r>
      <w:r w:rsidRPr="00162825">
        <w:t>related expertise is built up, it is rapidly lost.</w:t>
      </w:r>
      <w:r w:rsidRPr="00396E21">
        <w:t xml:space="preserve"> </w:t>
      </w:r>
      <w:r w:rsidRPr="00384975">
        <w:t>In combination, this churn in both officials and ministers, all in the context of little-understood additional complexities engendered by devolution, militates against the creation of policy that is appropriate for the Welsh context.</w:t>
      </w:r>
    </w:p>
    <w:p w:rsidR="00534B58" w:rsidP="00396E21">
      <w:pPr>
        <w:pStyle w:val="NoSpacing"/>
        <w:spacing w:line="360" w:lineRule="auto"/>
        <w:jc w:val="both"/>
      </w:pPr>
    </w:p>
    <w:p w:rsidR="00534B58" w:rsidRPr="009C2BD1" w:rsidP="00396E21">
      <w:pPr>
        <w:pStyle w:val="NoSpacing"/>
        <w:spacing w:line="360" w:lineRule="auto"/>
        <w:jc w:val="both"/>
        <w:rPr>
          <w:b/>
          <w:bCs/>
        </w:rPr>
      </w:pPr>
      <w:r>
        <w:rPr>
          <w:b/>
          <w:bCs/>
        </w:rPr>
        <w:t>‘</w:t>
      </w:r>
      <w:r w:rsidRPr="009C2BD1">
        <w:rPr>
          <w:b/>
          <w:bCs/>
        </w:rPr>
        <w:t xml:space="preserve">Wales </w:t>
      </w:r>
      <w:r>
        <w:rPr>
          <w:b/>
          <w:bCs/>
        </w:rPr>
        <w:t>c</w:t>
      </w:r>
      <w:r w:rsidRPr="009C2BD1">
        <w:rPr>
          <w:b/>
          <w:bCs/>
        </w:rPr>
        <w:t xml:space="preserve">ounts for </w:t>
      </w:r>
      <w:r>
        <w:rPr>
          <w:b/>
          <w:bCs/>
        </w:rPr>
        <w:t>v</w:t>
      </w:r>
      <w:r w:rsidRPr="009C2BD1">
        <w:rPr>
          <w:b/>
          <w:bCs/>
        </w:rPr>
        <w:t xml:space="preserve">ery </w:t>
      </w:r>
      <w:r>
        <w:rPr>
          <w:b/>
          <w:bCs/>
        </w:rPr>
        <w:t>l</w:t>
      </w:r>
      <w:r w:rsidRPr="009C2BD1">
        <w:rPr>
          <w:b/>
          <w:bCs/>
        </w:rPr>
        <w:t>ittle</w:t>
      </w:r>
      <w:r>
        <w:rPr>
          <w:b/>
          <w:bCs/>
        </w:rPr>
        <w:t>’</w:t>
      </w:r>
    </w:p>
    <w:p w:rsidR="00534B58" w:rsidP="009325A3">
      <w:pPr>
        <w:pStyle w:val="NoSpacing"/>
        <w:spacing w:line="360" w:lineRule="auto"/>
        <w:jc w:val="both"/>
      </w:pPr>
    </w:p>
    <w:p w:rsidR="00534B58" w:rsidP="009325A3">
      <w:pPr>
        <w:pStyle w:val="NoSpacing"/>
        <w:spacing w:line="360" w:lineRule="auto"/>
        <w:jc w:val="both"/>
      </w:pPr>
      <w:r>
        <w:t xml:space="preserve">A further challenge is that the </w:t>
      </w:r>
      <w:r w:rsidRPr="00162825">
        <w:t xml:space="preserve">problems facing the criminal justice system in Wales are </w:t>
      </w:r>
      <w:r>
        <w:t xml:space="preserve">often </w:t>
      </w:r>
      <w:r w:rsidRPr="00162825">
        <w:t>given little weight by policy makers preoccupied with the challenges facing the criminal justice system in large, English metropolitan centres.</w:t>
      </w:r>
      <w:r w:rsidRPr="00A27695">
        <w:t xml:space="preserve"> </w:t>
      </w:r>
      <w:r>
        <w:t xml:space="preserve">Research on policing, for example, has shown that government policy is often largely directed towards the ‘problems’ associated with densely populated urban areas (Mawby, 2004; Wooff, 2015). Other studies have also demonstrated how developments in larger towns and cities can have a considerable influence over the trajectory of national policy (Brewster, 2017; Shiner et al., 2013; Shute et al., 2012). According to our interviewees, Wales’s relatively small size means that it is </w:t>
      </w:r>
      <w:r w:rsidRPr="00D45D89">
        <w:t xml:space="preserve">frequently overlooked, with the larger conurbations of England likely to be higher on the agenda amongst officials in Whitehall. </w:t>
      </w:r>
      <w:r>
        <w:t>I</w:t>
      </w:r>
      <w:r w:rsidRPr="00D45D89">
        <w:t>n some cases</w:t>
      </w:r>
      <w:r>
        <w:t xml:space="preserve">, </w:t>
      </w:r>
      <w:r w:rsidRPr="00D45D89">
        <w:t xml:space="preserve">the problems </w:t>
      </w:r>
      <w:r>
        <w:t xml:space="preserve">of </w:t>
      </w:r>
      <w:r w:rsidRPr="00D45D89">
        <w:t xml:space="preserve">Wales </w:t>
      </w:r>
      <w:r>
        <w:t>are even trivialised. When prov</w:t>
      </w:r>
      <w:r w:rsidRPr="00D45D89">
        <w:t>i</w:t>
      </w:r>
      <w:r>
        <w:t>di</w:t>
      </w:r>
      <w:r w:rsidRPr="00D45D89">
        <w:t>ng evidence to the Thomas Commission</w:t>
      </w:r>
      <w:r>
        <w:t xml:space="preserve"> in 2019</w:t>
      </w:r>
      <w:r w:rsidRPr="00D45D89">
        <w:t xml:space="preserve">, the then Chief Executive of HMPPS, Michael Spurr, </w:t>
      </w:r>
      <w:r>
        <w:t xml:space="preserve">rebuffed the </w:t>
      </w:r>
      <w:r w:rsidRPr="00D45D89">
        <w:t>claim that Wales should be considered as having western Europe’s highest imprisonment rate</w:t>
      </w:r>
      <w:r>
        <w:t>. Instead, he argued</w:t>
      </w:r>
      <w:r w:rsidRPr="00D45D89">
        <w:t xml:space="preserve"> </w:t>
      </w:r>
      <w:r>
        <w:t xml:space="preserve">this rather </w:t>
      </w:r>
      <w:r w:rsidRPr="00D45D89">
        <w:t>dubious honour rightly belonged to Guernsey</w:t>
      </w:r>
      <w:r>
        <w:t>, an island with a smaller population than Anglesey</w:t>
      </w:r>
      <w:r w:rsidRPr="00D45D89">
        <w:t xml:space="preserve"> (Spurr</w:t>
      </w:r>
      <w:r>
        <w:t>,</w:t>
      </w:r>
      <w:r w:rsidRPr="00D45D89">
        <w:t xml:space="preserve"> 2019).</w:t>
      </w:r>
    </w:p>
    <w:p w:rsidR="00534B58" w:rsidP="009325A3">
      <w:pPr>
        <w:pStyle w:val="NoSpacing"/>
        <w:spacing w:line="360" w:lineRule="auto"/>
        <w:jc w:val="both"/>
      </w:pPr>
    </w:p>
    <w:p w:rsidR="00534B58" w:rsidP="00EF2C58">
      <w:pPr>
        <w:pStyle w:val="NoSpacing"/>
        <w:spacing w:line="360" w:lineRule="auto"/>
        <w:jc w:val="both"/>
      </w:pPr>
      <w:r w:rsidRPr="00384975">
        <w:t xml:space="preserve">Despite the years that have passed since the advent of democratic devolution, </w:t>
      </w:r>
      <w:r>
        <w:t xml:space="preserve">we find that </w:t>
      </w:r>
      <w:r w:rsidRPr="00384975">
        <w:t xml:space="preserve">ministers and senior officials in Whitehall still struggle to differentiate Wales from England. The result is criminal justice policies that are designed with little or no consideration of the specific legislative and policy context pertaining in Wales. </w:t>
      </w:r>
      <w:r>
        <w:t>It is therefore not</w:t>
      </w:r>
      <w:r w:rsidRPr="00384975">
        <w:t xml:space="preserve"> surprising that this apparently endemic failure to ‘appreciate’ legislative and policy differences between Wales and England when designing ‘national’ policies is the cause of very obvious frustration among </w:t>
      </w:r>
      <w:r>
        <w:t xml:space="preserve">those who work in the Welsh criminal justice system, on either side of the jagged edge. </w:t>
      </w:r>
    </w:p>
    <w:p w:rsidR="00534B58" w:rsidP="00AA0F7B">
      <w:pPr>
        <w:pStyle w:val="NoSpacing"/>
        <w:spacing w:line="360" w:lineRule="auto"/>
        <w:jc w:val="both"/>
      </w:pPr>
    </w:p>
    <w:p w:rsidR="00534B58" w:rsidRPr="00AA0F7B" w:rsidP="00AA0F7B">
      <w:pPr>
        <w:pStyle w:val="NoSpacing"/>
        <w:spacing w:line="360" w:lineRule="auto"/>
        <w:jc w:val="both"/>
        <w:rPr>
          <w:b/>
          <w:bCs/>
        </w:rPr>
      </w:pPr>
      <w:r>
        <w:t xml:space="preserve">England and Wales remains a system </w:t>
      </w:r>
      <w:r w:rsidRPr="00EB1B5A">
        <w:t>in which Wales is all too often an afterthought. Given the way that its basic design flouts constitutional first principles, this can hardly be said to be a system that is set up to take Wales seriously</w:t>
      </w:r>
      <w:r>
        <w:t>, let alone respond to the challenges facing the Welsh criminal justice system.</w:t>
      </w:r>
    </w:p>
    <w:p w:rsidR="00534B58" w:rsidP="009D4440">
      <w:pPr>
        <w:pStyle w:val="NoSpacing"/>
        <w:spacing w:line="360" w:lineRule="auto"/>
        <w:jc w:val="both"/>
      </w:pPr>
    </w:p>
    <w:p w:rsidR="00534B58" w:rsidP="007D3627">
      <w:pPr>
        <w:pStyle w:val="NoSpacing"/>
        <w:spacing w:line="360" w:lineRule="auto"/>
        <w:jc w:val="both"/>
      </w:pPr>
    </w:p>
    <w:p w:rsidR="00534B58" w:rsidP="007D3627">
      <w:pPr>
        <w:pStyle w:val="NoSpacing"/>
        <w:spacing w:line="360" w:lineRule="auto"/>
        <w:jc w:val="both"/>
      </w:pPr>
    </w:p>
    <w:p w:rsidR="00534B58" w:rsidP="00EB1B5A">
      <w:pPr>
        <w:pStyle w:val="NoSpacing"/>
        <w:spacing w:line="360" w:lineRule="auto"/>
        <w:jc w:val="both"/>
      </w:pPr>
    </w:p>
    <w:p w:rsidR="00534B58" w:rsidP="00EB1B5A">
      <w:pPr>
        <w:pStyle w:val="NoSpacing"/>
        <w:spacing w:line="360" w:lineRule="auto"/>
        <w:jc w:val="both"/>
      </w:pPr>
    </w:p>
    <w:p w:rsidR="00534B58" w:rsidP="00EB1B5A">
      <w:pPr>
        <w:pStyle w:val="NoSpacing"/>
        <w:spacing w:line="360" w:lineRule="auto"/>
        <w:jc w:val="both"/>
      </w:pPr>
    </w:p>
    <w:p w:rsidR="00534B58" w:rsidP="00EB1B5A">
      <w:pPr>
        <w:pStyle w:val="NoSpacing"/>
        <w:spacing w:line="360" w:lineRule="auto"/>
        <w:jc w:val="both"/>
      </w:pPr>
    </w:p>
    <w:p w:rsidR="00534B58" w:rsidP="00EB1B5A">
      <w:pPr>
        <w:pStyle w:val="NoSpacing"/>
        <w:spacing w:line="360" w:lineRule="auto"/>
        <w:jc w:val="both"/>
      </w:pPr>
    </w:p>
    <w:p w:rsidR="00534B58" w:rsidP="00EB1B5A">
      <w:pPr>
        <w:pStyle w:val="NoSpacing"/>
        <w:spacing w:line="360" w:lineRule="auto"/>
        <w:jc w:val="both"/>
      </w:pPr>
    </w:p>
    <w:p w:rsidR="00534B58" w:rsidP="00EB1B5A">
      <w:pPr>
        <w:pStyle w:val="NoSpacing"/>
        <w:spacing w:line="360" w:lineRule="auto"/>
        <w:jc w:val="both"/>
      </w:pPr>
    </w:p>
    <w:p w:rsidR="00534B58" w:rsidP="00EB1B5A">
      <w:pPr>
        <w:pStyle w:val="NoSpacing"/>
        <w:spacing w:line="360" w:lineRule="auto"/>
        <w:jc w:val="both"/>
      </w:pPr>
    </w:p>
    <w:p w:rsidR="00534B58" w:rsidP="00EB1B5A">
      <w:pPr>
        <w:pStyle w:val="NoSpacing"/>
        <w:spacing w:line="360" w:lineRule="auto"/>
        <w:jc w:val="both"/>
      </w:pPr>
    </w:p>
    <w:p w:rsidR="00534B58" w:rsidP="00EB1B5A">
      <w:pPr>
        <w:pStyle w:val="NoSpacing"/>
        <w:spacing w:line="360" w:lineRule="auto"/>
        <w:jc w:val="both"/>
      </w:pPr>
    </w:p>
    <w:p w:rsidR="00534B58" w:rsidP="00EB1B5A">
      <w:pPr>
        <w:pStyle w:val="NoSpacing"/>
        <w:spacing w:line="360" w:lineRule="auto"/>
        <w:jc w:val="both"/>
        <w:rPr>
          <w:b/>
          <w:bCs/>
        </w:rPr>
      </w:pPr>
    </w:p>
    <w:p w:rsidR="00534B58" w:rsidP="00EB1B5A">
      <w:pPr>
        <w:pStyle w:val="NoSpacing"/>
        <w:spacing w:line="360" w:lineRule="auto"/>
        <w:jc w:val="both"/>
        <w:rPr>
          <w:b/>
          <w:bCs/>
        </w:rPr>
      </w:pPr>
    </w:p>
    <w:p w:rsidR="00534B58" w:rsidRPr="00EC6082" w:rsidP="007A23D8">
      <w:pPr>
        <w:pStyle w:val="NoSpacing"/>
        <w:spacing w:line="360" w:lineRule="auto"/>
        <w:jc w:val="both"/>
        <w:rPr>
          <w:b/>
          <w:bCs/>
          <w:color w:val="156082" w:themeColor="accent1"/>
          <w:sz w:val="28"/>
          <w:szCs w:val="28"/>
        </w:rPr>
      </w:pPr>
      <w:r w:rsidRPr="00EC6082">
        <w:rPr>
          <w:b/>
          <w:bCs/>
          <w:color w:val="156082" w:themeColor="accent1"/>
          <w:sz w:val="28"/>
          <w:szCs w:val="28"/>
        </w:rPr>
        <w:t>PART II: PRISONS IN WALES</w:t>
      </w:r>
    </w:p>
    <w:p w:rsidR="00534B58" w:rsidP="00EB1B5A">
      <w:pPr>
        <w:pStyle w:val="NoSpacing"/>
        <w:spacing w:line="360" w:lineRule="auto"/>
        <w:jc w:val="both"/>
      </w:pPr>
    </w:p>
    <w:p w:rsidR="00370538" w:rsidP="00EB1B5A">
      <w:pPr>
        <w:pStyle w:val="NoSpacing"/>
        <w:spacing w:line="360" w:lineRule="auto"/>
        <w:jc w:val="both"/>
      </w:pPr>
      <w:r w:rsidRPr="00370538">
        <w:drawing>
          <wp:inline distT="0" distB="0" distL="0" distR="0">
            <wp:extent cx="5737538" cy="1238250"/>
            <wp:effectExtent l="0" t="0" r="0" b="0"/>
            <wp:docPr id="783480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480495" name=""/>
                    <pic:cNvPicPr/>
                  </pic:nvPicPr>
                  <pic:blipFill>
                    <a:blip xmlns:r="http://schemas.openxmlformats.org/officeDocument/2006/relationships" r:embed="rId8"/>
                    <a:stretch>
                      <a:fillRect/>
                    </a:stretch>
                  </pic:blipFill>
                  <pic:spPr>
                    <a:xfrm>
                      <a:off x="0" y="0"/>
                      <a:ext cx="5745779" cy="1240029"/>
                    </a:xfrm>
                    <a:prstGeom prst="rect">
                      <a:avLst/>
                    </a:prstGeom>
                  </pic:spPr>
                </pic:pic>
              </a:graphicData>
            </a:graphic>
          </wp:inline>
        </w:drawing>
      </w:r>
    </w:p>
    <w:p w:rsidR="00534B58" w:rsidP="00EB1B5A">
      <w:pPr>
        <w:pStyle w:val="NoSpacing"/>
        <w:spacing w:line="360" w:lineRule="auto"/>
        <w:jc w:val="both"/>
      </w:pPr>
    </w:p>
    <w:p w:rsidR="00534B58" w:rsidRPr="009967DF" w:rsidP="00EB1B5A">
      <w:pPr>
        <w:pStyle w:val="NoSpacing"/>
        <w:spacing w:line="360" w:lineRule="auto"/>
        <w:jc w:val="both"/>
        <w:rPr>
          <w:sz w:val="11"/>
          <w:szCs w:val="11"/>
        </w:rPr>
      </w:pPr>
    </w:p>
    <w:p w:rsidR="00534B58" w:rsidP="00EB1B5A">
      <w:pPr>
        <w:pStyle w:val="NoSpacing"/>
        <w:spacing w:line="360" w:lineRule="auto"/>
        <w:jc w:val="both"/>
        <w:rPr>
          <w:rFonts w:cs="Segoe UI"/>
        </w:rPr>
      </w:pPr>
      <w:r w:rsidRPr="00C3669E">
        <w:t xml:space="preserve">The topic of prison and prisoner safety in Wales was catapulted to the forefront of political and public debate in early 2024 following a series of deaths at HMP Parc. According to the then Minister of State at the Ministry of Justice in May 2024, there had been nine deaths recorded at HMP Parc between March and May alone (Argar, 2024). </w:t>
      </w:r>
      <w:r w:rsidRPr="00C3669E">
        <w:rPr>
          <w:rFonts w:cs="Segoe UI"/>
        </w:rPr>
        <w:t>By the end of December 2024, there had been 21 deaths across the Welsh prison estate, 17 of which were recorded at HMP Parc</w:t>
      </w:r>
      <w:r>
        <w:rPr>
          <w:rFonts w:cs="Segoe UI"/>
        </w:rPr>
        <w:t xml:space="preserve">. </w:t>
      </w:r>
    </w:p>
    <w:p w:rsidR="00534B58" w:rsidP="00EB1B5A">
      <w:pPr>
        <w:pStyle w:val="NoSpacing"/>
        <w:spacing w:line="360" w:lineRule="auto"/>
        <w:jc w:val="both"/>
        <w:rPr>
          <w:rFonts w:cs="Segoe UI"/>
        </w:rPr>
      </w:pPr>
    </w:p>
    <w:p w:rsidR="00534B58" w:rsidRPr="00C3669E" w:rsidP="00106FD4">
      <w:pPr>
        <w:pStyle w:val="NoSpacing"/>
        <w:spacing w:line="360" w:lineRule="auto"/>
        <w:jc w:val="both"/>
      </w:pPr>
      <w:r w:rsidRPr="00DB2BBE">
        <w:t>The recent deaths recorded in Wales have added further significant weight to longstanding concerns over prison safety in England and Wales. Analysis carried out by INQUEST (2020) into files on 61 inquests into deaths in prison custody uncovered a range of failings that have contributed to both self-inflicted and non-self-inflicted deaths since 2013. These include ‘inconsistent and insufficient’ mental health services; poor communication and information sharing between health officials and prison staff; poor emergency care including delays in calling for emergency services; problems relating to prescription and illicit drugs including delays in accessing medication; and ‘wide-ranging failures’ in providing basic medical care to prisoner suffering from physical and mental health problems (INQUEST, 2020: 7-8).</w:t>
      </w:r>
    </w:p>
    <w:p w:rsidR="00534B58" w:rsidP="00EB1B5A">
      <w:pPr>
        <w:spacing w:line="360" w:lineRule="auto"/>
        <w:jc w:val="both"/>
      </w:pPr>
    </w:p>
    <w:p w:rsidR="00534B58" w:rsidP="00EB1B5A">
      <w:pPr>
        <w:spacing w:line="360" w:lineRule="auto"/>
        <w:jc w:val="both"/>
      </w:pPr>
      <w:r w:rsidRPr="00FF5AAD">
        <w:t>Between 2020 and 202</w:t>
      </w:r>
      <w:r>
        <w:t>4</w:t>
      </w:r>
      <w:r w:rsidRPr="00FF5AAD">
        <w:t xml:space="preserve">, there were a total of </w:t>
      </w:r>
      <w:r>
        <w:t>49</w:t>
      </w:r>
      <w:r w:rsidRPr="00FF5AAD">
        <w:t xml:space="preserve"> deaths across the Welsh prison estate with the cause of death attributed to ‘natural causes’ (Ministry of Justice, 202</w:t>
      </w:r>
      <w:r>
        <w:t>5</w:t>
      </w:r>
      <w:r w:rsidRPr="00FF5AAD">
        <w:t xml:space="preserve">). While a third (33 per cent) of all prisoners in the Welsh prison estate were held at HMP Parc during this period, </w:t>
      </w:r>
      <w:r>
        <w:t>over</w:t>
      </w:r>
      <w:r w:rsidRPr="00FF5AAD">
        <w:t xml:space="preserve"> half (</w:t>
      </w:r>
      <w:r>
        <w:t>53</w:t>
      </w:r>
      <w:r w:rsidRPr="00FF5AAD">
        <w:t xml:space="preserve"> per cent) of all natural cause deaths in Wales were recorded at HMP Parc between 2020 and 202</w:t>
      </w:r>
      <w:r>
        <w:t xml:space="preserve">4. </w:t>
      </w:r>
    </w:p>
    <w:p w:rsidR="00534B58" w:rsidP="00EB1B5A">
      <w:pPr>
        <w:spacing w:line="360" w:lineRule="auto"/>
        <w:jc w:val="both"/>
      </w:pPr>
      <w:r w:rsidRPr="00FF5AAD">
        <w:t>In August 2024, the Prison and Probation Ombudsman published the findings of its reinvestigation into the death of Mr Aaron Nunes at HMP Parc in February 2016. Mr Nunes died in hospital of septic shock and diabetic ketoacidosis. The Ombudsman’s (2024:1) initial report stated that the care received by Mr Nunes at the prison was ‘equivalent to that he could have expected to receive in the community’. An inquest into Mr Nunes’ death later concluded that the direct cause of his death was ‘his failure to manage his own health adequately’ (Prison and Probation Ombudsman, 2024:1). However, following legal action taken by Mr Nunes’ mother, the Prison and Probation Ombudsman reinvestigated his death and found that a ‘large number of significant failings’ had in fact contributed to Mr Nunes’ death. According to the Ombudsman (2024:4) ‘Parc could not offer the clinical care and observation required to meet Mr Nunes’ complex healthcare needs safely’. Ultimately, Mr Nunes’ death could have been prevented had he ‘received dental and diabetic healthcare of an acceptable standard’ at HMP Parc.</w:t>
      </w:r>
    </w:p>
    <w:p w:rsidR="00534B58" w:rsidP="00EB1B5A">
      <w:pPr>
        <w:spacing w:line="360" w:lineRule="auto"/>
        <w:jc w:val="both"/>
      </w:pPr>
    </w:p>
    <w:p w:rsidR="00534B58" w:rsidP="001311E2">
      <w:pPr>
        <w:spacing w:line="360" w:lineRule="auto"/>
        <w:jc w:val="both"/>
        <w:rPr>
          <w:rFonts w:cs="Segoe UI"/>
        </w:rPr>
      </w:pPr>
      <w:r w:rsidRPr="001311E2">
        <w:t>Ministry of Justice (202</w:t>
      </w:r>
      <w:r>
        <w:t>5</w:t>
      </w:r>
      <w:r w:rsidRPr="001311E2">
        <w:t>) data show that there have been 1</w:t>
      </w:r>
      <w:r>
        <w:t>8</w:t>
      </w:r>
      <w:r w:rsidRPr="001311E2">
        <w:t xml:space="preserve"> confirmed self-inflicted deaths in Welsh prisons between 2020 and 202</w:t>
      </w:r>
      <w:r>
        <w:t>4</w:t>
      </w:r>
      <w:r w:rsidRPr="001311E2">
        <w:t>. The majority of these deaths took place at HMP Cardiff (</w:t>
      </w:r>
      <w:r>
        <w:t>10</w:t>
      </w:r>
      <w:r w:rsidRPr="001311E2">
        <w:t>), followed by HMP Parc (</w:t>
      </w:r>
      <w:r>
        <w:t>5</w:t>
      </w:r>
      <w:r w:rsidRPr="001311E2">
        <w:t>), HMP Swansea (2) and HMP Berwyn (1)</w:t>
      </w:r>
      <w:r>
        <w:t xml:space="preserve">. </w:t>
      </w:r>
      <w:r w:rsidRPr="00713FD3">
        <w:rPr>
          <w:rFonts w:cs="Segoe UI"/>
        </w:rPr>
        <w:t>In June 2024, the Wales Governance Centre asked the Ministry of Justice to provide information on how many prisoners’ whose deaths were recorded as self-inflicted between 2020 and 2023 were from Wales (based on home address prior to entering custody). However, since information concerning deaths is compiled from the HMPPS deaths database, and information concerning the home address prior to entering custody is held on a separate database, the Ministry of Justice (2024</w:t>
      </w:r>
      <w:r>
        <w:rPr>
          <w:rFonts w:cs="Segoe UI"/>
        </w:rPr>
        <w:t>a</w:t>
      </w:r>
      <w:r w:rsidRPr="00713FD3">
        <w:rPr>
          <w:rFonts w:cs="Segoe UI"/>
        </w:rPr>
        <w:t>) confirmed that they are unable to provide these data. As it currently stands, there is no way of determining how many Welsh prisoners have died in prison custody, let alone the number whose deaths were recorded as self-inflicted.</w:t>
      </w:r>
      <w:r>
        <w:rPr>
          <w:rFonts w:cs="Segoe UI"/>
        </w:rPr>
        <w:t xml:space="preserve"> </w:t>
      </w:r>
    </w:p>
    <w:p w:rsidR="00534B58" w:rsidP="001311E2">
      <w:pPr>
        <w:spacing w:line="360" w:lineRule="auto"/>
        <w:jc w:val="both"/>
        <w:rPr>
          <w:rFonts w:cs="Segoe UI"/>
        </w:rPr>
      </w:pPr>
    </w:p>
    <w:p w:rsidR="00534B58" w:rsidRPr="003540FC" w:rsidP="001311E2">
      <w:pPr>
        <w:spacing w:line="360" w:lineRule="auto"/>
        <w:jc w:val="both"/>
        <w:rPr>
          <w:rFonts w:cs="Segoe UI"/>
        </w:rPr>
      </w:pPr>
      <w:r>
        <w:rPr>
          <w:rFonts w:cs="Segoe UI"/>
        </w:rPr>
        <w:t xml:space="preserve">While the Minister for Prisons, Probation and Reducing Reoffending, Lord Timpson, is quite right to </w:t>
      </w:r>
      <w:r>
        <w:fldChar w:fldCharType="begin"/>
      </w:r>
      <w:r>
        <w:instrText xml:space="preserve"> HYPERLINK "https://committees.parliament.uk/publications/46342/documents/233822/default/" </w:instrText>
      </w:r>
      <w:r>
        <w:fldChar w:fldCharType="separate"/>
      </w:r>
      <w:r w:rsidRPr="007321A0">
        <w:rPr>
          <w:rStyle w:val="Hyperlink"/>
          <w:rFonts w:cs="Segoe UI"/>
        </w:rPr>
        <w:t>point</w:t>
      </w:r>
      <w:r>
        <w:fldChar w:fldCharType="end"/>
      </w:r>
      <w:r>
        <w:rPr>
          <w:rFonts w:cs="Segoe UI"/>
        </w:rPr>
        <w:t xml:space="preserve"> out that ‘</w:t>
      </w:r>
      <w:r w:rsidRPr="008F7D71">
        <w:rPr>
          <w:rFonts w:cs="Segoe UI"/>
        </w:rPr>
        <w:t>there is a wealth of data already published on the justice system</w:t>
      </w:r>
      <w:r>
        <w:rPr>
          <w:rFonts w:cs="Segoe UI"/>
        </w:rPr>
        <w:t>’ broken down by prison level and probation region in England and Wales, many gaps remain when it comes to accessing important data relating to Welsh prisoners (based on home address).</w:t>
      </w:r>
    </w:p>
    <w:p w:rsidR="00534B58" w:rsidRPr="00E75ACB" w:rsidP="00EB1B5A">
      <w:pPr>
        <w:spacing w:line="360" w:lineRule="auto"/>
        <w:jc w:val="both"/>
        <w:rPr>
          <w:b/>
          <w:bCs/>
        </w:rPr>
      </w:pPr>
      <w:r w:rsidRPr="00E75ACB">
        <w:rPr>
          <w:b/>
          <w:bCs/>
        </w:rPr>
        <w:t>Assaults</w:t>
      </w:r>
    </w:p>
    <w:p w:rsidR="00534B58" w:rsidP="00EB1B5A">
      <w:pPr>
        <w:spacing w:line="360" w:lineRule="auto"/>
        <w:jc w:val="both"/>
      </w:pPr>
    </w:p>
    <w:p w:rsidR="00534B58" w:rsidP="00FF5AAD">
      <w:pPr>
        <w:spacing w:line="360" w:lineRule="auto"/>
        <w:jc w:val="both"/>
      </w:pPr>
      <w:r w:rsidRPr="00FF5AAD">
        <w:t>As prisons return to their ‘normal</w:t>
      </w:r>
      <w:r>
        <w:t>’ post-Covid</w:t>
      </w:r>
      <w:r w:rsidRPr="00FF5AAD">
        <w:t xml:space="preserve"> regimes and the prison population continues to rise across England and Wales, prison safety has rapidly deteriorated. In Wales, there was a significant increase in the number of assault incidents in 2023.</w:t>
      </w:r>
      <w:r>
        <w:rPr>
          <w:rStyle w:val="FootnoteReference"/>
        </w:rPr>
        <w:footnoteReference w:id="2"/>
      </w:r>
      <w:r>
        <w:t xml:space="preserve"> Prisoner-on-prisoner assaults in Wales increased by 80 per cent, with the largest increase recorded at HMP Swansea (126 per cent), followed by HMP Berwyn (86 per cent), HMP Parc (81 per cent), HMP Cardiff (56 per cent), and HMP Usk/Prescoed (50 per cent) (Jones, 2024). </w:t>
      </w:r>
    </w:p>
    <w:p w:rsidR="00534B58" w:rsidP="00FF5AAD">
      <w:pPr>
        <w:spacing w:line="360" w:lineRule="auto"/>
        <w:jc w:val="both"/>
      </w:pPr>
    </w:p>
    <w:p w:rsidR="00534B58" w:rsidP="00EB1B5A">
      <w:pPr>
        <w:spacing w:line="360" w:lineRule="auto"/>
        <w:jc w:val="both"/>
      </w:pPr>
      <w:r>
        <w:t xml:space="preserve">Assaults on prison staff also rose (69 per cent) in 2023. At HMP Parc, there was a 109 per cent increase, with the number of recorded incidents increasing at HMP Berwyn (72 per cent), HMP Swansea (15 per cent), and HMP Cardiff (8 per cent) in 2023 (Jones, 2024). </w:t>
      </w:r>
      <w:r w:rsidRPr="00FF5AAD">
        <w:t xml:space="preserve">Although the Ministry of Justice’s </w:t>
      </w:r>
      <w:r w:rsidRPr="004C74CC">
        <w:rPr>
          <w:i/>
          <w:iCs/>
        </w:rPr>
        <w:t>Safety in Custody</w:t>
      </w:r>
      <w:r w:rsidRPr="00FF5AAD">
        <w:t xml:space="preserve"> statistics include information on the number of assaults on prison staff, these data do not provide details of the number of assaults that have been reportedly committed by prison staff. Despite well documented accounts and testimonies of staff violence against prisoners (e.g. Davis, 2003; </w:t>
      </w:r>
      <w:r>
        <w:t xml:space="preserve">Lord </w:t>
      </w:r>
      <w:r w:rsidRPr="00FF5AAD">
        <w:t>Woolf, 1991</w:t>
      </w:r>
      <w:r>
        <w:t xml:space="preserve">; </w:t>
      </w:r>
      <w:r w:rsidRPr="00FF5AAD">
        <w:t>Scraton and McCulloch, 2009), Scott (2020) has argued that there remains a ‘crisis of visibility’ when it comes to prison officer violence in England and Wales.</w:t>
      </w:r>
      <w:r>
        <w:t xml:space="preserve"> </w:t>
      </w:r>
      <w:r w:rsidRPr="00FF5AAD">
        <w:t>Data obtained from the Ministry of Justice (2024</w:t>
      </w:r>
      <w:r>
        <w:t>b</w:t>
      </w:r>
      <w:r w:rsidRPr="00FF5AAD">
        <w:t xml:space="preserve">) through the Freedom of Information Act 2000 show that there were at least 16 cases where prison staff in Wales were subject to either Investigations or Conduct and Discipline for charge of ‘Assault/Unnecessary use of force’ on a prisoner in 2022/23. </w:t>
      </w:r>
      <w:r>
        <w:t xml:space="preserve">Over half (9) </w:t>
      </w:r>
      <w:r w:rsidRPr="00FF5AAD">
        <w:t>of these cases were recorded at HMP Berwyn.</w:t>
      </w:r>
    </w:p>
    <w:p w:rsidR="00534B58" w:rsidP="00EB1B5A">
      <w:pPr>
        <w:spacing w:line="360" w:lineRule="auto"/>
        <w:jc w:val="both"/>
      </w:pPr>
    </w:p>
    <w:p w:rsidR="00534B58" w:rsidRPr="00E75ACB" w:rsidP="00EB1B5A">
      <w:pPr>
        <w:spacing w:line="360" w:lineRule="auto"/>
        <w:jc w:val="both"/>
        <w:rPr>
          <w:b/>
          <w:bCs/>
        </w:rPr>
      </w:pPr>
      <w:r w:rsidRPr="00E75ACB">
        <w:rPr>
          <w:b/>
          <w:bCs/>
        </w:rPr>
        <w:t>Self-harm</w:t>
      </w:r>
    </w:p>
    <w:p w:rsidR="00534B58" w:rsidP="00EB1B5A">
      <w:pPr>
        <w:spacing w:line="360" w:lineRule="auto"/>
        <w:jc w:val="both"/>
      </w:pPr>
    </w:p>
    <w:p w:rsidR="00534B58" w:rsidP="00FF5AAD">
      <w:pPr>
        <w:spacing w:line="360" w:lineRule="auto"/>
        <w:jc w:val="both"/>
      </w:pPr>
      <w:r w:rsidRPr="00FF5AAD">
        <w:t xml:space="preserve">The number of self-harm incidents recorded at prisons in Wales increased by 53 per cent in 2023.  By far the largest increase was recorded at HMP Parc where self-harm incidents </w:t>
      </w:r>
      <w:r w:rsidRPr="00FF5AAD">
        <w:t>rose by 113 per cent. This was followed by increases at HMP Cardiff (33 per cent), HMP Usk/Prescoed (29 per cent), and HMP Berwyn (13 per cent) (</w:t>
      </w:r>
      <w:r>
        <w:t>Jones, 2024</w:t>
      </w:r>
      <w:r w:rsidRPr="00FF5AAD">
        <w:t>)</w:t>
      </w:r>
      <w:r>
        <w:t xml:space="preserve">. Ministry of Justice data also show that self-harm incidents requiring hospital treatment rose by 38 per cent in Wales. On average, one prisoner every three days required hospital treatment due to self-harm in Wales in 2023. </w:t>
      </w:r>
    </w:p>
    <w:p w:rsidR="00534B58" w:rsidP="00FF5AAD">
      <w:pPr>
        <w:spacing w:line="360" w:lineRule="auto"/>
        <w:jc w:val="both"/>
      </w:pPr>
    </w:p>
    <w:p w:rsidR="00534B58" w:rsidP="00FF5AAD">
      <w:pPr>
        <w:spacing w:line="360" w:lineRule="auto"/>
        <w:jc w:val="both"/>
      </w:pPr>
      <w:r>
        <w:t xml:space="preserve">Disaggregated data obtained for the very first time from the Ministry of Justice show that of the 12,914 individuals who self-harmed in prison in England and Wales in 2023, 890 had a recorded origin address in Wales. While Welsh prisoners comprised around 6 per cent of the England and </w:t>
      </w:r>
      <w:r w:rsidRPr="003540FC">
        <w:t>Wales prison population in 2023, around 7 per cent of individuals who self-harmed were from Wales (Ministry of Justice, 2024c). These</w:t>
      </w:r>
      <w:r>
        <w:t xml:space="preserve"> data further underline the fact that the Ministry of Justice holds important information relating to Welsh prisoners which are not currently publicly available, but almost certainly should be.</w:t>
      </w:r>
    </w:p>
    <w:p w:rsidR="00534B58" w:rsidP="00EB1B5A">
      <w:pPr>
        <w:spacing w:line="360" w:lineRule="auto"/>
        <w:jc w:val="both"/>
      </w:pPr>
    </w:p>
    <w:p w:rsidR="00534B58" w:rsidRPr="00E75ACB" w:rsidP="00EB1B5A">
      <w:pPr>
        <w:spacing w:line="360" w:lineRule="auto"/>
        <w:jc w:val="both"/>
        <w:rPr>
          <w:b/>
          <w:bCs/>
        </w:rPr>
      </w:pPr>
      <w:r w:rsidRPr="00E75ACB">
        <w:rPr>
          <w:b/>
          <w:bCs/>
        </w:rPr>
        <w:t xml:space="preserve">Housing </w:t>
      </w:r>
    </w:p>
    <w:p w:rsidR="00534B58" w:rsidP="00EB1B5A">
      <w:pPr>
        <w:spacing w:line="360" w:lineRule="auto"/>
        <w:jc w:val="both"/>
      </w:pPr>
    </w:p>
    <w:p w:rsidR="00534B58" w:rsidP="00EB1B5A">
      <w:pPr>
        <w:spacing w:line="360" w:lineRule="auto"/>
        <w:jc w:val="both"/>
      </w:pPr>
      <w:r w:rsidRPr="00915B85">
        <w:t xml:space="preserve">The most recent inspections carried out by HM Inspectorate of Prisons (HMI Prisons) in Wales have raised several concerns about levels of prisoner homelessness upon release. Inspectors at HMP Swansea reported that ‘a third of prisoners were either homeless or in transient accommodation’ on the first night of their release (HMI Prisons, 2023: 52). Most recently at HMP Cardiff, HMI Prisons (2024: 5) found that ‘too many’ prisoners were being released as homeless or without sustainable accommodation and identified the problem as one of its six ‘priority concerns’. </w:t>
      </w:r>
    </w:p>
    <w:p w:rsidR="00534B58" w:rsidP="00EB1B5A">
      <w:pPr>
        <w:spacing w:line="360" w:lineRule="auto"/>
        <w:jc w:val="both"/>
      </w:pPr>
    </w:p>
    <w:p w:rsidR="00534B58" w:rsidP="00EB1B5A">
      <w:pPr>
        <w:spacing w:line="360" w:lineRule="auto"/>
        <w:jc w:val="both"/>
      </w:pPr>
      <w:r w:rsidRPr="00915B85">
        <w:t xml:space="preserve">At HMP Parc, inspectors concluded that release planning arrangements ‘were not good enough’ and had ‘deteriorated’ since probation services were unified in Wales (HMI Prisons, 2022a: 53). Only 35 per cent of prisoners at HMP Parc reported that they were receiving support to find accommodation, and 17 per cent were released without accommodation to go to on their day of release (HMI Prisons, 2022a). At HMP Usk/Prescoed, inspectors reported that prisoners often ‘received good support to find accommodation’, but around 25 prisoners had been released in the 12 months prior to </w:t>
      </w:r>
      <w:r w:rsidRPr="00915B85">
        <w:t>their inspection without knowing where they would stay on their first night (HMI Prisons, 2021a: 50). At HMP Berwyn, inspectors found that significant improvements had been made since their last inspection with the ‘vast majority’ of prisoners released into suitable accommodation (HMI Prisons, 2022b: 14). Despite some progress, however, around seven per cent of prisoners were released from HMP Berwyn without a fixed address to return to (HMI Prisons, 2022b).</w:t>
      </w:r>
    </w:p>
    <w:p w:rsidR="00534B58" w:rsidP="00EB1B5A">
      <w:pPr>
        <w:spacing w:line="360" w:lineRule="auto"/>
        <w:jc w:val="both"/>
      </w:pPr>
    </w:p>
    <w:p w:rsidR="00534B58" w:rsidP="00BE4FE3">
      <w:pPr>
        <w:spacing w:line="360" w:lineRule="auto"/>
        <w:jc w:val="both"/>
      </w:pPr>
      <w:r>
        <w:t xml:space="preserve">Ministry of Justice (2024d) data show that 602 people were released from Welsh prisons without a fixed address to return to in 2023/24. While this represents a 42 per cent increase on the level the year before, on average 11 people a week were released from Welsh prisons as homeless in 2023/24. Separate data also reveal the extent of homelessness among prison leavers in Wales. The number of those managed by Welsh probation services who were rough sleeping upon release from prison increased in 2023/24 by 51 per cent (Ministry of Justice, 2024e). In total, 500 prison leavers from Wales were rough sleeping on the day of their release in 2023/24 (Ministry of Justice, 2024e). </w:t>
      </w:r>
    </w:p>
    <w:p w:rsidR="00534B58" w:rsidP="00EB1B5A">
      <w:pPr>
        <w:spacing w:line="360" w:lineRule="auto"/>
        <w:jc w:val="both"/>
      </w:pPr>
    </w:p>
    <w:p w:rsidR="00534B58" w:rsidP="00EB1B5A">
      <w:pPr>
        <w:spacing w:line="360" w:lineRule="auto"/>
        <w:jc w:val="both"/>
      </w:pPr>
      <w:r w:rsidRPr="00BE4FE3">
        <w:t>Despite such a dramatic rise in the number of rough sleepers, over half (51 per cent) of those managed by Welsh probation services went into settled accommodation immediately following release in 2023/24 (Ministry of Justice, 2024</w:t>
      </w:r>
      <w:r>
        <w:t>e</w:t>
      </w:r>
      <w:r w:rsidRPr="00BE4FE3">
        <w:t>). This compares to just 42 per cent of prison leavers entering settled accommodation in 2019/20.</w:t>
      </w:r>
    </w:p>
    <w:p w:rsidR="00534B58" w:rsidP="00EB1B5A">
      <w:pPr>
        <w:spacing w:line="360" w:lineRule="auto"/>
        <w:jc w:val="both"/>
      </w:pPr>
    </w:p>
    <w:p w:rsidR="00534B58" w:rsidP="00EB1B5A">
      <w:pPr>
        <w:spacing w:line="360" w:lineRule="auto"/>
        <w:jc w:val="both"/>
      </w:pPr>
    </w:p>
    <w:p w:rsidR="00534B58" w:rsidP="00EB1B5A">
      <w:pPr>
        <w:spacing w:line="360" w:lineRule="auto"/>
        <w:jc w:val="both"/>
      </w:pPr>
    </w:p>
    <w:p w:rsidR="00534B58" w:rsidP="00EB1B5A">
      <w:pPr>
        <w:spacing w:line="360" w:lineRule="auto"/>
        <w:jc w:val="both"/>
      </w:pPr>
    </w:p>
    <w:p w:rsidR="00534B58" w:rsidP="00EB1B5A">
      <w:pPr>
        <w:spacing w:line="360" w:lineRule="auto"/>
        <w:jc w:val="both"/>
      </w:pPr>
    </w:p>
    <w:p w:rsidR="00534B58" w:rsidP="00EB1B5A">
      <w:pPr>
        <w:spacing w:line="360" w:lineRule="auto"/>
        <w:jc w:val="both"/>
      </w:pPr>
    </w:p>
    <w:p w:rsidR="00534B58" w:rsidP="00EB1B5A">
      <w:pPr>
        <w:spacing w:line="360" w:lineRule="auto"/>
        <w:jc w:val="both"/>
      </w:pPr>
    </w:p>
    <w:p w:rsidR="00534B58" w:rsidP="00EB1B5A">
      <w:pPr>
        <w:spacing w:line="360" w:lineRule="auto"/>
        <w:jc w:val="both"/>
      </w:pPr>
    </w:p>
    <w:p w:rsidR="00534B58" w:rsidP="00EB1B5A">
      <w:pPr>
        <w:spacing w:line="360" w:lineRule="auto"/>
        <w:jc w:val="both"/>
      </w:pPr>
    </w:p>
    <w:p w:rsidR="00534B58" w:rsidP="00EB1B5A">
      <w:pPr>
        <w:spacing w:line="360" w:lineRule="auto"/>
        <w:jc w:val="both"/>
      </w:pPr>
    </w:p>
    <w:p w:rsidR="00534B58" w:rsidP="00EB1B5A">
      <w:pPr>
        <w:spacing w:line="360" w:lineRule="auto"/>
        <w:jc w:val="both"/>
      </w:pPr>
    </w:p>
    <w:p w:rsidR="00534B58" w:rsidP="00EB1B5A">
      <w:pPr>
        <w:spacing w:line="360" w:lineRule="auto"/>
        <w:jc w:val="both"/>
      </w:pPr>
    </w:p>
    <w:p w:rsidR="00534B58" w:rsidRPr="004B55EA" w:rsidP="004270CB">
      <w:pPr>
        <w:spacing w:line="360" w:lineRule="auto"/>
        <w:jc w:val="both"/>
        <w:rPr>
          <w:b/>
          <w:bCs/>
          <w:color w:val="156082" w:themeColor="accent1"/>
          <w:sz w:val="28"/>
          <w:szCs w:val="28"/>
        </w:rPr>
      </w:pPr>
      <w:r w:rsidRPr="004B55EA">
        <w:rPr>
          <w:b/>
          <w:bCs/>
          <w:color w:val="156082" w:themeColor="accent1"/>
          <w:sz w:val="28"/>
          <w:szCs w:val="28"/>
        </w:rPr>
        <w:t>REFERENCES</w:t>
      </w:r>
    </w:p>
    <w:p w:rsidR="00534B58" w:rsidP="004270CB">
      <w:pPr>
        <w:spacing w:line="360" w:lineRule="auto"/>
        <w:jc w:val="both"/>
      </w:pPr>
    </w:p>
    <w:p w:rsidR="00534B58" w:rsidP="00B83218">
      <w:pPr>
        <w:spacing w:line="360" w:lineRule="auto"/>
        <w:jc w:val="both"/>
      </w:pPr>
      <w:r w:rsidRPr="00B83218">
        <w:t xml:space="preserve">Argar, E. (2024), </w:t>
      </w:r>
      <w:r w:rsidRPr="00B83218">
        <w:rPr>
          <w:i/>
          <w:iCs/>
        </w:rPr>
        <w:t>Parc Prison</w:t>
      </w:r>
      <w:r w:rsidRPr="00B83218">
        <w:t xml:space="preserve">. Volume 750: debated in the House of Commons on Monday 13 May 2024. London: House of Commons. Available at: </w:t>
      </w:r>
    </w:p>
    <w:p w:rsidR="00534B58" w:rsidRPr="00B83218" w:rsidP="00B83218">
      <w:pPr>
        <w:spacing w:line="360" w:lineRule="auto"/>
        <w:jc w:val="both"/>
      </w:pPr>
      <w:r>
        <w:fldChar w:fldCharType="begin"/>
      </w:r>
      <w:r>
        <w:instrText xml:space="preserve"> HYPERLINK "https://hansard.parliament.uk/commons/2024-05-13/debates/05471D5C-AF57-4BF4-A493-5BA887736BC6/ParcPrison" </w:instrText>
      </w:r>
      <w:r>
        <w:fldChar w:fldCharType="separate"/>
      </w:r>
      <w:r w:rsidRPr="00961406">
        <w:rPr>
          <w:rStyle w:val="Hyperlink"/>
        </w:rPr>
        <w:t>https://hansard.parliament.uk/commons/2024-05-13/debates/05471D5C-AF57-4BF4-A493-5BA887736BC6/ParcPrison</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Bellamy</w:t>
      </w:r>
      <w:r>
        <w:t>, Lord</w:t>
      </w:r>
      <w:r w:rsidRPr="00B83218">
        <w:t xml:space="preserve"> (2023), </w:t>
      </w:r>
      <w:r w:rsidRPr="0060524F">
        <w:rPr>
          <w:i/>
          <w:iCs/>
        </w:rPr>
        <w:t>Letter to the Independent Commission on the Constitutional Future of Wales.</w:t>
      </w:r>
      <w:r w:rsidRPr="00B83218">
        <w:t xml:space="preserve"> 24 March 2023. London: Ministry of Justice. Letter obtained from the Ministry of Justice via the Freedom of Information Act 2000.</w:t>
      </w:r>
    </w:p>
    <w:p w:rsidR="00534B58" w:rsidRPr="00B83218" w:rsidP="00B83218">
      <w:pPr>
        <w:spacing w:line="360" w:lineRule="auto"/>
        <w:jc w:val="both"/>
      </w:pPr>
    </w:p>
    <w:p w:rsidR="00534B58" w:rsidRPr="00B83218" w:rsidP="00B83218">
      <w:pPr>
        <w:spacing w:line="360" w:lineRule="auto"/>
        <w:jc w:val="both"/>
      </w:pPr>
      <w:r w:rsidRPr="00B83218">
        <w:t>Brewster, D. (2017), ‘Culture(s) of control: Political dynamics in cannabis policy</w:t>
      </w:r>
      <w:r>
        <w:t xml:space="preserve"> </w:t>
      </w:r>
      <w:r w:rsidRPr="00B83218">
        <w:t xml:space="preserve">in England &amp; Wales and the Netherlands’. </w:t>
      </w:r>
      <w:r w:rsidRPr="00B83218">
        <w:rPr>
          <w:i/>
          <w:iCs/>
        </w:rPr>
        <w:t>European Journal of Criminology</w:t>
      </w:r>
      <w:r w:rsidRPr="00B83218">
        <w:t>, 14(5): 566–585.</w:t>
      </w:r>
    </w:p>
    <w:p w:rsidR="00534B58" w:rsidRPr="00B83218" w:rsidP="00B83218">
      <w:pPr>
        <w:spacing w:line="360" w:lineRule="auto"/>
        <w:jc w:val="both"/>
      </w:pPr>
    </w:p>
    <w:p w:rsidR="00534B58" w:rsidRPr="00B83218" w:rsidP="00B83218">
      <w:pPr>
        <w:spacing w:line="360" w:lineRule="auto"/>
        <w:jc w:val="both"/>
      </w:pPr>
      <w:r w:rsidRPr="00B83218">
        <w:t xml:space="preserve">Commission on Justice on Wales (2019), </w:t>
      </w:r>
      <w:r w:rsidRPr="00B83218">
        <w:rPr>
          <w:i/>
          <w:iCs/>
        </w:rPr>
        <w:t xml:space="preserve">Justice in Wales for the People of Wales. </w:t>
      </w:r>
      <w:r w:rsidRPr="00B83218">
        <w:t xml:space="preserve">Cardiff: The Commission on Justice in Wales. Available at: </w:t>
      </w:r>
    </w:p>
    <w:p w:rsidR="00534B58" w:rsidRPr="00B83218" w:rsidP="00B83218">
      <w:pPr>
        <w:spacing w:line="360" w:lineRule="auto"/>
        <w:jc w:val="both"/>
      </w:pPr>
      <w:r>
        <w:fldChar w:fldCharType="begin"/>
      </w:r>
      <w:r>
        <w:instrText xml:space="preserve"> HYPERLINK "https://www.gov.wales/sites/default/files/publications/2019-10/Justice%20Commission%20ENG%20DIGITAL_2.pdf" </w:instrText>
      </w:r>
      <w:r>
        <w:fldChar w:fldCharType="separate"/>
      </w:r>
      <w:r w:rsidRPr="00B83218">
        <w:rPr>
          <w:rStyle w:val="Hyperlink"/>
        </w:rPr>
        <w:t>https://www.gov.wales/sites/default/files/publications/2019-10/Justice%20Commission%20ENG%20DIGITAL_2.pdf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Davis, A. (2003), </w:t>
      </w:r>
      <w:r w:rsidRPr="00B83218">
        <w:rPr>
          <w:i/>
          <w:iCs/>
        </w:rPr>
        <w:t>Are Prisons Obsolete?</w:t>
      </w:r>
      <w:r w:rsidRPr="00B83218">
        <w:t xml:space="preserve"> New York: Seven Stories Press.</w:t>
      </w:r>
    </w:p>
    <w:p w:rsidR="00534B58" w:rsidRPr="00B83218" w:rsidP="00B83218">
      <w:pPr>
        <w:spacing w:line="360" w:lineRule="auto"/>
        <w:jc w:val="both"/>
      </w:pPr>
    </w:p>
    <w:p w:rsidR="00534B58" w:rsidRPr="00B83218" w:rsidP="00B83218">
      <w:pPr>
        <w:spacing w:line="360" w:lineRule="auto"/>
        <w:jc w:val="both"/>
      </w:pPr>
      <w:r w:rsidRPr="00B83218">
        <w:t xml:space="preserve">Hazell, R. (2015), </w:t>
      </w:r>
      <w:r w:rsidRPr="00B83218">
        <w:rPr>
          <w:i/>
          <w:iCs/>
        </w:rPr>
        <w:t>Devolution and the Future of the Union</w:t>
      </w:r>
      <w:r w:rsidRPr="00B83218">
        <w:t xml:space="preserve">. April 2015. London: The Constitution Unit at University College London. </w:t>
      </w:r>
      <w:r>
        <w:t>Available at:</w:t>
      </w:r>
    </w:p>
    <w:p w:rsidR="00534B58" w:rsidRPr="00B83218" w:rsidP="00B83218">
      <w:pPr>
        <w:spacing w:line="360" w:lineRule="auto"/>
        <w:jc w:val="both"/>
      </w:pPr>
      <w:r>
        <w:fldChar w:fldCharType="begin"/>
      </w:r>
      <w:r>
        <w:instrText xml:space="preserve"> HYPERLINK "https://www.ucl.ac.uk/constitution-unit/sites/constitution-unit/files/4fd7c881.pdf" </w:instrText>
      </w:r>
      <w:r>
        <w:fldChar w:fldCharType="separate"/>
      </w:r>
      <w:r w:rsidRPr="00B83218">
        <w:rPr>
          <w:rStyle w:val="Hyperlink"/>
        </w:rPr>
        <w:t>https://www.ucl.ac.uk/constitution-unit/sites/constitution-unit/files/4fd7c881.pdf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HM Inspectorate of Prisons (2021), </w:t>
      </w:r>
      <w:r w:rsidRPr="00B83218">
        <w:rPr>
          <w:i/>
          <w:iCs/>
        </w:rPr>
        <w:t>Report on an unannounced inspection of HMP Usk/Prescoed</w:t>
      </w:r>
      <w:r w:rsidRPr="00B83218">
        <w:t xml:space="preserve">. 14–25 June 2021. London: HM Inspectorate of Prisons. Available at: </w:t>
      </w:r>
      <w:r>
        <w:fldChar w:fldCharType="begin"/>
      </w:r>
      <w:r>
        <w:instrText xml:space="preserve"> HYPERLINK "https://www.justiceinspectorates.gov.uk/hmiprisons/wp-content/uploads/sites/4/2021/09/Prescoed-and-Usk-web-2021.pdf" </w:instrText>
      </w:r>
      <w:r>
        <w:fldChar w:fldCharType="separate"/>
      </w:r>
      <w:r w:rsidRPr="00B83218">
        <w:rPr>
          <w:rStyle w:val="Hyperlink"/>
        </w:rPr>
        <w:t>https://www.justiceinspectorates.gov.uk/hmiprisons/wp-content/uploads/sites/4/2021/09/Prescoed-and-Usk-web-2021.pdf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HM Inspectorate of Prisons (2022a), </w:t>
      </w:r>
      <w:r w:rsidRPr="00B83218">
        <w:rPr>
          <w:i/>
          <w:iCs/>
        </w:rPr>
        <w:t>Report on an unannounced inspection of HMP Parc.</w:t>
      </w:r>
      <w:r w:rsidRPr="00B83218">
        <w:t xml:space="preserve"> 21–22 June and 4–8 July 2022. London: Ministry of Justice. Available at: </w:t>
      </w:r>
      <w:r>
        <w:fldChar w:fldCharType="begin"/>
      </w:r>
      <w:r>
        <w:instrText xml:space="preserve"> HYPERLINK "https://www.justiceinspectorates.gov.uk/hmiprisons/wp-content/uploads/sites/4/2022/10/Parc-adults-web-2022.pdf" </w:instrText>
      </w:r>
      <w:r>
        <w:fldChar w:fldCharType="separate"/>
      </w:r>
      <w:r w:rsidRPr="00B83218">
        <w:rPr>
          <w:rStyle w:val="Hyperlink"/>
        </w:rPr>
        <w:t>https://www.justiceinspectorates.gov.uk/hmiprisons/wp-content/uploads/sites/4/2022/10/Parc-adults-web-2022.pdf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HM Inspectorate of Prisons (2022b), </w:t>
      </w:r>
      <w:r w:rsidRPr="00B83218">
        <w:rPr>
          <w:i/>
          <w:iCs/>
        </w:rPr>
        <w:t>Report on an unannounced inspection of HMP Berwyn</w:t>
      </w:r>
      <w:r w:rsidRPr="00B83218">
        <w:t xml:space="preserve">. 16–17 and 23–27 May 2022. London: Ministry of Justice. Available at: </w:t>
      </w:r>
      <w:r>
        <w:fldChar w:fldCharType="begin"/>
      </w:r>
      <w:r>
        <w:instrText xml:space="preserve"> HYPERLINK "https://www.justiceinspectorates.gov.uk/hmiprisons/wp-content/uploads/sites/4/2022/09/Berwyn-web-2022.pdf" </w:instrText>
      </w:r>
      <w:r>
        <w:fldChar w:fldCharType="separate"/>
      </w:r>
      <w:r w:rsidRPr="00B83218">
        <w:rPr>
          <w:rStyle w:val="Hyperlink"/>
        </w:rPr>
        <w:t>https://www.justiceinspectorates.gov.uk/hmiprisons/wp-content/uploads/sites/4/2022/09/Berwyn-web-2022.pdf</w:t>
      </w:r>
      <w:r>
        <w:fldChar w:fldCharType="end"/>
      </w:r>
    </w:p>
    <w:p w:rsidR="00534B58" w:rsidRPr="00B83218" w:rsidP="00B83218">
      <w:pPr>
        <w:spacing w:line="360" w:lineRule="auto"/>
        <w:jc w:val="both"/>
      </w:pPr>
    </w:p>
    <w:p w:rsidR="00534B58" w:rsidRPr="00B83218" w:rsidP="00B83218">
      <w:pPr>
        <w:spacing w:line="360" w:lineRule="auto"/>
        <w:jc w:val="both"/>
      </w:pPr>
      <w:r w:rsidRPr="00B83218">
        <w:t xml:space="preserve">HM Inspectorate of Prisons (2024), </w:t>
      </w:r>
      <w:r w:rsidRPr="00B83218">
        <w:rPr>
          <w:i/>
          <w:iCs/>
        </w:rPr>
        <w:t>Report on an unannounced inspection of HMP Cardiff</w:t>
      </w:r>
      <w:r w:rsidRPr="00B83218">
        <w:t>. 29 January – 5 February 2024. London: HM Inspectorate of Prisons. Available at:</w:t>
      </w:r>
    </w:p>
    <w:p w:rsidR="00534B58" w:rsidRPr="00B83218" w:rsidP="00B83218">
      <w:pPr>
        <w:spacing w:line="360" w:lineRule="auto"/>
        <w:jc w:val="both"/>
      </w:pPr>
      <w:r>
        <w:fldChar w:fldCharType="begin"/>
      </w:r>
      <w:r>
        <w:instrText xml:space="preserve"> HYPERLINK "https://cloud-platform-e218f50a4812967ba1215eaecede923f.s3.amazonaws.com/uploads/sites/19/2024/04/Cardiff-web-2024.pdf" </w:instrText>
      </w:r>
      <w:r>
        <w:fldChar w:fldCharType="separate"/>
      </w:r>
      <w:r w:rsidRPr="00B83218">
        <w:rPr>
          <w:rStyle w:val="Hyperlink"/>
        </w:rPr>
        <w:t>https://cloud-platform-e218f50a4812967ba1215eaecede923f.s3.amazonaws.com/uploads/sites/19/2024/04/Cardiff-web-2024.pdf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House of Commons Justice Committee (2009), </w:t>
      </w:r>
      <w:r w:rsidRPr="00B83218">
        <w:rPr>
          <w:i/>
          <w:iCs/>
        </w:rPr>
        <w:t>Devolution: A Decade On</w:t>
      </w:r>
      <w:r w:rsidRPr="00B83218">
        <w:t>. Fifth Report of Session 2008–09. May 2009. London: Stationary Office.</w:t>
      </w:r>
      <w:r w:rsidRPr="002E1AED">
        <w:t xml:space="preserve"> </w:t>
      </w:r>
      <w:r>
        <w:t>Available at:</w:t>
      </w:r>
    </w:p>
    <w:p w:rsidR="00534B58" w:rsidRPr="00B83218" w:rsidP="00B83218">
      <w:pPr>
        <w:spacing w:line="360" w:lineRule="auto"/>
        <w:jc w:val="both"/>
      </w:pPr>
      <w:r>
        <w:fldChar w:fldCharType="begin"/>
      </w:r>
      <w:r>
        <w:instrText xml:space="preserve"> HYPERLINK "https://publications.parliament.uk/pa/cm200809/cmselect/cmjust/529/529i.pdf" </w:instrText>
      </w:r>
      <w:r>
        <w:fldChar w:fldCharType="separate"/>
      </w:r>
      <w:r w:rsidRPr="00B83218">
        <w:rPr>
          <w:rStyle w:val="Hyperlink"/>
        </w:rPr>
        <w:t>https://publications.parliament.uk/pa/cm200809/cmselect/cmjust/529/529i.pdf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House of Commons Public Administration and Constitutional Affairs Committee (2018), </w:t>
      </w:r>
      <w:r w:rsidRPr="00B83218">
        <w:rPr>
          <w:i/>
          <w:iCs/>
        </w:rPr>
        <w:t>The Minister and the Official: The Fulcrum of Whitehall Effectiveness</w:t>
      </w:r>
      <w:r w:rsidRPr="00B83218">
        <w:t>. Fifth Report of Session 2017–19. June 2018. London: Stationary Office.</w:t>
      </w:r>
      <w:r w:rsidRPr="002E1AED">
        <w:t xml:space="preserve"> </w:t>
      </w:r>
      <w:r>
        <w:t>Available at:</w:t>
      </w:r>
    </w:p>
    <w:p w:rsidR="00534B58" w:rsidRPr="00B83218" w:rsidP="00B83218">
      <w:pPr>
        <w:spacing w:line="360" w:lineRule="auto"/>
        <w:jc w:val="both"/>
      </w:pPr>
      <w:r>
        <w:fldChar w:fldCharType="begin"/>
      </w:r>
      <w:r>
        <w:instrText xml:space="preserve"> HYPERLINK "https://publications.parliament.uk/pa/cm201719/cmselect/cmpubadm/497/497.pdf" </w:instrText>
      </w:r>
      <w:r>
        <w:fldChar w:fldCharType="separate"/>
      </w:r>
      <w:r w:rsidRPr="00B83218">
        <w:rPr>
          <w:rStyle w:val="Hyperlink"/>
        </w:rPr>
        <w:t>https://publications.parliament.uk/pa/cm201719/cmselect/cmpubadm/497/497.pdf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House of Commons Welsh Affairs Committee (2010), </w:t>
      </w:r>
      <w:r w:rsidRPr="00B83218">
        <w:rPr>
          <w:i/>
          <w:iCs/>
        </w:rPr>
        <w:t>Wales and Whitehall</w:t>
      </w:r>
      <w:r w:rsidRPr="00B83218">
        <w:t xml:space="preserve"> .Eleventh Report of Session 2009–10. March 2010. London: Stationary Office.</w:t>
      </w:r>
      <w:r w:rsidRPr="002E1AED">
        <w:t xml:space="preserve"> </w:t>
      </w:r>
      <w:r>
        <w:t>Available at:</w:t>
      </w:r>
    </w:p>
    <w:p w:rsidR="00534B58" w:rsidRPr="00B83218" w:rsidP="00B83218">
      <w:pPr>
        <w:spacing w:line="360" w:lineRule="auto"/>
        <w:jc w:val="both"/>
      </w:pPr>
      <w:r>
        <w:fldChar w:fldCharType="begin"/>
      </w:r>
      <w:r>
        <w:instrText xml:space="preserve"> HYPERLINK "https://publications.parliament.uk/pa/cm200910/cmselect/cmwelaf/246/246.pdf" </w:instrText>
      </w:r>
      <w:r>
        <w:fldChar w:fldCharType="separate"/>
      </w:r>
      <w:r w:rsidRPr="00B83218">
        <w:rPr>
          <w:rStyle w:val="Hyperlink"/>
        </w:rPr>
        <w:t>https://publications.parliament.uk/pa/cm200910/cmselect/cmwelaf/246/246.pdf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House of Lords Select Committee on the Constitution (2016), </w:t>
      </w:r>
      <w:r w:rsidRPr="00B83218">
        <w:rPr>
          <w:i/>
          <w:iCs/>
        </w:rPr>
        <w:t>The Union and Devolution</w:t>
      </w:r>
      <w:r w:rsidRPr="00B83218">
        <w:t>. 10th Report of Session 2015–16. May 2016. London: Stationary Office.</w:t>
      </w:r>
      <w:r w:rsidRPr="002E1AED">
        <w:t xml:space="preserve"> </w:t>
      </w:r>
      <w:r>
        <w:t>Available at:</w:t>
      </w:r>
    </w:p>
    <w:p w:rsidR="00534B58" w:rsidP="00B83218">
      <w:pPr>
        <w:spacing w:line="360" w:lineRule="auto"/>
        <w:jc w:val="both"/>
      </w:pPr>
      <w:r>
        <w:fldChar w:fldCharType="begin"/>
      </w:r>
      <w:r>
        <w:instrText xml:space="preserve"> HYPERLINK "https://publications.parliament.uk/pa/ld201516/ldselect/ldconst/149/149.pdf" </w:instrText>
      </w:r>
      <w:r>
        <w:fldChar w:fldCharType="separate"/>
      </w:r>
      <w:r w:rsidRPr="00B83218">
        <w:rPr>
          <w:rStyle w:val="Hyperlink"/>
        </w:rPr>
        <w:t>https://publications.parliament.uk/pa/ld201516/ldselect/ldconst/149/149.pdf</w:t>
      </w:r>
      <w:r>
        <w:fldChar w:fldCharType="end"/>
      </w:r>
      <w:r w:rsidRPr="00B83218">
        <w:t xml:space="preserve"> </w:t>
      </w:r>
    </w:p>
    <w:p w:rsidR="00534B58" w:rsidP="00B83218">
      <w:pPr>
        <w:spacing w:line="360" w:lineRule="auto"/>
        <w:jc w:val="both"/>
      </w:pPr>
      <w:r>
        <w:t xml:space="preserve">Independent Commission on the Constitutional Future of Wales (2024), </w:t>
      </w:r>
      <w:r w:rsidRPr="00382E97">
        <w:rPr>
          <w:i/>
          <w:iCs/>
        </w:rPr>
        <w:t>Independent Commission on the Constitutional Future of Wales: Final Report</w:t>
      </w:r>
      <w:r>
        <w:t>. January 2024. Available at:</w:t>
      </w:r>
    </w:p>
    <w:p w:rsidR="00534B58" w:rsidP="00B83218">
      <w:pPr>
        <w:spacing w:line="360" w:lineRule="auto"/>
        <w:jc w:val="both"/>
      </w:pPr>
      <w:r>
        <w:fldChar w:fldCharType="begin"/>
      </w:r>
      <w:r>
        <w:instrText xml:space="preserve"> HYPERLINK "https://www.gov.wales/sites/default/files/publications/2024-07/independent-commission-on-the-constitutional-future-of-wales-final-report.pdf" </w:instrText>
      </w:r>
      <w:r>
        <w:fldChar w:fldCharType="separate"/>
      </w:r>
      <w:r w:rsidRPr="00961406">
        <w:rPr>
          <w:rStyle w:val="Hyperlink"/>
        </w:rPr>
        <w:t>https://www.gov.wales/sites/default/files/publications/2024-07/independent-commission-on-the-constitutional-future-of-wales-final-report.pdf</w:t>
      </w:r>
      <w:r>
        <w:fldChar w:fldCharType="end"/>
      </w:r>
      <w:r>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INQUEST (2020), </w:t>
      </w:r>
      <w:r w:rsidRPr="00B83218">
        <w:rPr>
          <w:i/>
          <w:iCs/>
        </w:rPr>
        <w:t>Deaths in Prison: A national scandal</w:t>
      </w:r>
      <w:r w:rsidRPr="00B83218">
        <w:t>. London: INQUEST. January 2020. Available at:</w:t>
      </w:r>
    </w:p>
    <w:p w:rsidR="00534B58" w:rsidP="00B83218">
      <w:pPr>
        <w:spacing w:line="360" w:lineRule="auto"/>
        <w:jc w:val="both"/>
      </w:pPr>
      <w:r>
        <w:fldChar w:fldCharType="begin"/>
      </w:r>
      <w:r>
        <w:instrText xml:space="preserve"> HYPERLINK "https://www.inquest.org.uk/Handlers/Download.ashx?IDMF=bb400a0b-3f79-44be-81b2-281def0b924b" </w:instrText>
      </w:r>
      <w:r>
        <w:fldChar w:fldCharType="separate"/>
      </w:r>
      <w:r w:rsidRPr="00B83218">
        <w:rPr>
          <w:rStyle w:val="Hyperlink"/>
        </w:rPr>
        <w:t>https://www.inquest.org.uk/Handlers/Download.ashx?IDMF=bb400a0b-3f79-44be-81b2-281def0b924b</w:t>
      </w:r>
      <w:r>
        <w:fldChar w:fldCharType="end"/>
      </w:r>
    </w:p>
    <w:p w:rsidR="00534B58" w:rsidP="00B83218">
      <w:pPr>
        <w:spacing w:line="360" w:lineRule="auto"/>
        <w:jc w:val="both"/>
      </w:pPr>
    </w:p>
    <w:p w:rsidR="00534B58" w:rsidP="00B83218">
      <w:pPr>
        <w:spacing w:line="360" w:lineRule="auto"/>
        <w:jc w:val="both"/>
      </w:pPr>
      <w:r>
        <w:t xml:space="preserve">Jones, R. (2024), </w:t>
      </w:r>
      <w:r w:rsidRPr="00B13397">
        <w:rPr>
          <w:i/>
          <w:iCs/>
        </w:rPr>
        <w:t>Prisons and Sentencing in Wales: 2023 Factfile</w:t>
      </w:r>
      <w:r>
        <w:t xml:space="preserve">. Cardiff: Wales Governance Centre at Cardiff University. Available at: </w:t>
      </w:r>
    </w:p>
    <w:p w:rsidR="00534B58" w:rsidP="00B83218">
      <w:pPr>
        <w:spacing w:line="360" w:lineRule="auto"/>
        <w:jc w:val="both"/>
      </w:pPr>
      <w:r>
        <w:fldChar w:fldCharType="begin"/>
      </w:r>
      <w:r>
        <w:instrText xml:space="preserve"> HYPERLINK "https://www.cardiff.ac.uk/__data/assets/pdf_file/0006/2873031/Prisons-and-Sentencing-in-Wales-2023-Factfile.pdf" </w:instrText>
      </w:r>
      <w:r>
        <w:fldChar w:fldCharType="separate"/>
      </w:r>
      <w:r w:rsidRPr="00961406">
        <w:rPr>
          <w:rStyle w:val="Hyperlink"/>
        </w:rPr>
        <w:t>https://www.cardiff.ac.uk/__data/assets/pdf_file/0006/2873031/Prisons-and-Sentencing-in-Wales-2023-Factfile.pdf</w:t>
      </w:r>
      <w:r>
        <w:fldChar w:fldCharType="end"/>
      </w:r>
      <w:r>
        <w:t xml:space="preserve"> </w:t>
      </w:r>
    </w:p>
    <w:p w:rsidR="00534B58" w:rsidP="00B83218">
      <w:pPr>
        <w:spacing w:line="360" w:lineRule="auto"/>
        <w:jc w:val="both"/>
      </w:pPr>
    </w:p>
    <w:p w:rsidR="00534B58" w:rsidRPr="00B83218" w:rsidP="00B83218">
      <w:pPr>
        <w:spacing w:line="360" w:lineRule="auto"/>
        <w:jc w:val="both"/>
      </w:pPr>
      <w:r>
        <w:t xml:space="preserve">Jones, R. and Wyn Jones, R. (2022), </w:t>
      </w:r>
      <w:r w:rsidRPr="00B13397">
        <w:rPr>
          <w:i/>
          <w:iCs/>
        </w:rPr>
        <w:t>The Welsh Criminal Justice System: On the Jagged Edge</w:t>
      </w:r>
      <w:r>
        <w:t>. Cardiff: University of Wales Press.</w:t>
      </w:r>
    </w:p>
    <w:p w:rsidR="00534B58" w:rsidRPr="00B83218" w:rsidP="00B83218">
      <w:pPr>
        <w:spacing w:line="360" w:lineRule="auto"/>
        <w:jc w:val="both"/>
      </w:pPr>
    </w:p>
    <w:p w:rsidR="00534B58" w:rsidP="00B83218">
      <w:pPr>
        <w:spacing w:line="360" w:lineRule="auto"/>
        <w:jc w:val="both"/>
      </w:pPr>
      <w:r w:rsidRPr="00B83218">
        <w:t xml:space="preserve">Mawby, Robert (2004), ‘Myth and reality in rural policing: Perceptions of the police in a rural county of England’. </w:t>
      </w:r>
      <w:r w:rsidRPr="0060524F">
        <w:rPr>
          <w:i/>
          <w:iCs/>
        </w:rPr>
        <w:t>Po</w:t>
      </w:r>
      <w:r w:rsidRPr="00B83218">
        <w:rPr>
          <w:i/>
          <w:iCs/>
        </w:rPr>
        <w:t>licing: An International Journal of Police Strategies and Management</w:t>
      </w:r>
      <w:r w:rsidRPr="00B83218">
        <w:t>, 27(3): 431–446.</w:t>
      </w:r>
    </w:p>
    <w:p w:rsidR="00534B58" w:rsidP="00B83218">
      <w:pPr>
        <w:spacing w:line="360" w:lineRule="auto"/>
        <w:jc w:val="both"/>
      </w:pPr>
    </w:p>
    <w:p w:rsidR="00534B58" w:rsidP="00B83218">
      <w:pPr>
        <w:spacing w:line="360" w:lineRule="auto"/>
        <w:jc w:val="both"/>
      </w:pPr>
      <w:r>
        <w:t xml:space="preserve">Ministry of Justice (2014), </w:t>
      </w:r>
      <w:r w:rsidRPr="0060524F">
        <w:rPr>
          <w:i/>
          <w:iCs/>
        </w:rPr>
        <w:t>Written evidence submission to the House of Commons Welsh Affairs Committee’s Prisons in Wales and treatment of Welsh offenders inquiry</w:t>
      </w:r>
      <w:r>
        <w:t xml:space="preserve">. London: Ministry of Justice. Available at: </w:t>
      </w:r>
    </w:p>
    <w:p w:rsidR="00534B58" w:rsidRPr="00B83218" w:rsidP="00B83218">
      <w:pPr>
        <w:spacing w:line="360" w:lineRule="auto"/>
        <w:jc w:val="both"/>
      </w:pPr>
      <w:r>
        <w:fldChar w:fldCharType="begin"/>
      </w:r>
      <w:r>
        <w:instrText xml:space="preserve"> HYPERLINK "https://data.parliament.uk/WrittenEvidence/CommitteeEvidence.svc/EvidenceDocument/Welsh%20Affairs/Prisons%20in%20Wales%20and%20treatment%20of%20Welsh%20offenders/written/11128.html" </w:instrText>
      </w:r>
      <w:r>
        <w:fldChar w:fldCharType="separate"/>
      </w:r>
      <w:r w:rsidRPr="00961406">
        <w:rPr>
          <w:rStyle w:val="Hyperlink"/>
        </w:rPr>
        <w:t>https://data.parliament.uk/WrittenEvidence/CommitteeEvidence.svc/EvidenceDocument/Welsh%20Affairs/Prisons%20in%20Wales%20and%20treatment%20of%20Welsh%20offenders/written/11128.html</w:t>
      </w:r>
      <w:r>
        <w:fldChar w:fldCharType="end"/>
      </w:r>
      <w:r>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Ministry of Justice (2016), </w:t>
      </w:r>
      <w:r w:rsidRPr="00B83218">
        <w:rPr>
          <w:i/>
          <w:iCs/>
        </w:rPr>
        <w:t>Prison Safety and Reform</w:t>
      </w:r>
      <w:r w:rsidRPr="00B83218">
        <w:t>. November 2016. London: Ministry of Justice.</w:t>
      </w:r>
      <w:r>
        <w:t xml:space="preserve"> Available at:</w:t>
      </w:r>
    </w:p>
    <w:p w:rsidR="00534B58" w:rsidRPr="00B83218" w:rsidP="00B83218">
      <w:pPr>
        <w:spacing w:line="360" w:lineRule="auto"/>
        <w:jc w:val="both"/>
      </w:pPr>
      <w:r>
        <w:fldChar w:fldCharType="begin"/>
      </w:r>
      <w:r>
        <w:instrText xml:space="preserve"> HYPERLINK "https://assets.publishing.service.gov.uk/government/uploads/system/uploads/attachment_data/file/565014/cm-9350-prison-safety-and-reform-_web_.pdf" </w:instrText>
      </w:r>
      <w:r>
        <w:fldChar w:fldCharType="separate"/>
      </w:r>
      <w:r w:rsidRPr="00B83218">
        <w:rPr>
          <w:rStyle w:val="Hyperlink"/>
        </w:rPr>
        <w:t>https://assets.publishing.service.gov.uk/government/uploads/system/uploads/attachment_data/file/565014/cm-9350-prison-safety-and-reform-_web_.pdf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Ministry of Justice (2017), </w:t>
      </w:r>
      <w:r w:rsidRPr="00B83218">
        <w:rPr>
          <w:i/>
          <w:iCs/>
        </w:rPr>
        <w:t>Report of the Justice in Wales Working Group</w:t>
      </w:r>
      <w:r w:rsidRPr="00B83218">
        <w:t>. September 2017. London: Ministry of Justice.</w:t>
      </w:r>
      <w:r>
        <w:t xml:space="preserve"> Report obtained from the Ministry of Justice via the Freedom of Information Act 2000.</w:t>
      </w:r>
    </w:p>
    <w:p w:rsidR="00534B58" w:rsidRPr="00B83218" w:rsidP="00B83218">
      <w:pPr>
        <w:spacing w:line="360" w:lineRule="auto"/>
        <w:jc w:val="both"/>
      </w:pPr>
    </w:p>
    <w:p w:rsidR="00534B58" w:rsidRPr="00B83218" w:rsidP="00B83218">
      <w:pPr>
        <w:spacing w:line="360" w:lineRule="auto"/>
        <w:jc w:val="both"/>
      </w:pPr>
      <w:r w:rsidRPr="00B83218">
        <w:t xml:space="preserve">Ministry of Justice (2018), </w:t>
      </w:r>
      <w:r w:rsidRPr="00B83218">
        <w:rPr>
          <w:i/>
          <w:iCs/>
        </w:rPr>
        <w:t>Female Offender Strategy</w:t>
      </w:r>
      <w:r w:rsidRPr="00B83218">
        <w:t>. June 2018. London: Ministry of Justice.</w:t>
      </w:r>
      <w:r w:rsidRPr="002E1AED">
        <w:t xml:space="preserve"> </w:t>
      </w:r>
      <w:r>
        <w:t>Available at:</w:t>
      </w:r>
    </w:p>
    <w:p w:rsidR="00534B58" w:rsidP="00B83218">
      <w:pPr>
        <w:spacing w:line="360" w:lineRule="auto"/>
        <w:jc w:val="both"/>
      </w:pPr>
      <w:r>
        <w:fldChar w:fldCharType="begin"/>
      </w:r>
      <w:r>
        <w:instrText xml:space="preserve"> HYPERLINK "https://assets.publishing.service.gov.uk/government/uploads/system/uploads/attachment_data/file/719819/female-offender-strategy.pdf" </w:instrText>
      </w:r>
      <w:r>
        <w:fldChar w:fldCharType="separate"/>
      </w:r>
      <w:r w:rsidRPr="00B83218">
        <w:rPr>
          <w:rStyle w:val="Hyperlink"/>
        </w:rPr>
        <w:t>https://assets.publishing.service.gov.uk/government/uploads/system/uploads/attachment_data/file/719819/female-offender-strategy.pdf</w:t>
      </w:r>
      <w:r>
        <w:fldChar w:fldCharType="end"/>
      </w:r>
      <w:r w:rsidRPr="00B83218">
        <w:t xml:space="preserve"> </w:t>
      </w:r>
    </w:p>
    <w:p w:rsidR="00534B58" w:rsidP="006C1494">
      <w:pPr>
        <w:spacing w:line="360" w:lineRule="auto"/>
        <w:jc w:val="both"/>
      </w:pPr>
    </w:p>
    <w:p w:rsidR="00534B58" w:rsidP="006C1494">
      <w:pPr>
        <w:spacing w:line="360" w:lineRule="auto"/>
        <w:jc w:val="both"/>
      </w:pPr>
      <w:r w:rsidRPr="006C1494">
        <w:t>Ministry of Justice (2024</w:t>
      </w:r>
      <w:r>
        <w:t>a</w:t>
      </w:r>
      <w:r w:rsidRPr="006C1494">
        <w:t xml:space="preserve">), </w:t>
      </w:r>
      <w:r w:rsidRPr="006C1494">
        <w:rPr>
          <w:i/>
          <w:iCs/>
        </w:rPr>
        <w:t>Deaths in Custody – Welsh Prisoners</w:t>
      </w:r>
      <w:r w:rsidRPr="006C1494">
        <w:t>. Data obtained from the Ministry of Justice via the Freedom of Information Act 2000.</w:t>
      </w:r>
    </w:p>
    <w:p w:rsidR="00534B58" w:rsidP="006C1494">
      <w:pPr>
        <w:spacing w:line="360" w:lineRule="auto"/>
        <w:jc w:val="both"/>
      </w:pPr>
    </w:p>
    <w:p w:rsidR="00534B58" w:rsidP="006C1494">
      <w:pPr>
        <w:spacing w:line="360" w:lineRule="auto"/>
        <w:jc w:val="both"/>
      </w:pPr>
      <w:r w:rsidRPr="0073049F">
        <w:t>Ministry of Justice (2024</w:t>
      </w:r>
      <w:r>
        <w:t>b</w:t>
      </w:r>
      <w:r w:rsidRPr="0073049F">
        <w:t xml:space="preserve">), </w:t>
      </w:r>
      <w:r w:rsidRPr="0073049F">
        <w:rPr>
          <w:i/>
          <w:iCs/>
        </w:rPr>
        <w:t>Assaults committed by prison staff - 2022 and 2023</w:t>
      </w:r>
      <w:r w:rsidRPr="0073049F">
        <w:t>. Data obtained from the Ministry of Justice via the Freedom of Information Act 2000.</w:t>
      </w:r>
    </w:p>
    <w:p w:rsidR="00534B58" w:rsidP="006C1494">
      <w:pPr>
        <w:spacing w:line="360" w:lineRule="auto"/>
        <w:jc w:val="both"/>
      </w:pPr>
    </w:p>
    <w:p w:rsidR="00534B58" w:rsidP="006C1494">
      <w:pPr>
        <w:spacing w:line="360" w:lineRule="auto"/>
        <w:jc w:val="both"/>
      </w:pPr>
      <w:r w:rsidRPr="00C63FF3">
        <w:t>Ministry of Justice (2024</w:t>
      </w:r>
      <w:r>
        <w:t>c</w:t>
      </w:r>
      <w:r w:rsidRPr="00C63FF3">
        <w:t xml:space="preserve">), </w:t>
      </w:r>
      <w:r w:rsidRPr="00C63FF3">
        <w:rPr>
          <w:i/>
          <w:iCs/>
        </w:rPr>
        <w:t>Self-harm in prison – Welsh prisoners</w:t>
      </w:r>
      <w:r w:rsidRPr="00C63FF3">
        <w:t>. Data obtained from the Ministry of Justice via the Freedom of Information Act 2000.</w:t>
      </w:r>
    </w:p>
    <w:p w:rsidR="00534B58" w:rsidP="006C1494">
      <w:pPr>
        <w:spacing w:line="360" w:lineRule="auto"/>
        <w:jc w:val="both"/>
      </w:pPr>
    </w:p>
    <w:p w:rsidR="00534B58" w:rsidP="00C63FF3">
      <w:pPr>
        <w:spacing w:line="360" w:lineRule="auto"/>
        <w:jc w:val="both"/>
      </w:pPr>
      <w:r>
        <w:t xml:space="preserve">Ministry of Justice (2024d), </w:t>
      </w:r>
      <w:r w:rsidRPr="00C63FF3">
        <w:rPr>
          <w:i/>
          <w:iCs/>
        </w:rPr>
        <w:t xml:space="preserve">The number of people released from prison as homeless broken down by prison </w:t>
      </w:r>
      <w:r>
        <w:t>[multiple years]. Data obtained from the Ministry of Justice via the Freedom of Information Act 2000.</w:t>
      </w:r>
    </w:p>
    <w:p w:rsidR="00534B58" w:rsidP="00C63FF3">
      <w:pPr>
        <w:spacing w:line="360" w:lineRule="auto"/>
        <w:jc w:val="both"/>
      </w:pPr>
    </w:p>
    <w:p w:rsidR="00534B58" w:rsidP="00C63FF3">
      <w:pPr>
        <w:spacing w:line="360" w:lineRule="auto"/>
        <w:jc w:val="both"/>
      </w:pPr>
      <w:r>
        <w:t xml:space="preserve">Ministry of Justice (2024e), </w:t>
      </w:r>
      <w:r w:rsidRPr="00C63FF3">
        <w:rPr>
          <w:i/>
          <w:iCs/>
        </w:rPr>
        <w:t>Offender Accommodation Outcomes, update to March 2024</w:t>
      </w:r>
      <w:r>
        <w:t xml:space="preserve">. London: Ministry of Justice. Available at: </w:t>
      </w:r>
    </w:p>
    <w:p w:rsidR="00534B58" w:rsidRPr="00B83218" w:rsidP="00C63FF3">
      <w:pPr>
        <w:spacing w:line="360" w:lineRule="auto"/>
        <w:jc w:val="both"/>
      </w:pPr>
      <w:r>
        <w:fldChar w:fldCharType="begin"/>
      </w:r>
      <w:r>
        <w:instrText xml:space="preserve"> HYPERLINK "https://www.gov.uk/government/statistics/offender-accommodation-outcomes-update-to-march-2024" </w:instrText>
      </w:r>
      <w:r>
        <w:fldChar w:fldCharType="separate"/>
      </w:r>
      <w:r w:rsidRPr="00961406">
        <w:rPr>
          <w:rStyle w:val="Hyperlink"/>
        </w:rPr>
        <w:t>https://www.gov.uk/government/statistics/offender-accommodation-outcomes-update-to-march-2024</w:t>
      </w:r>
      <w:r>
        <w:fldChar w:fldCharType="end"/>
      </w:r>
      <w:r>
        <w:t xml:space="preserve"> </w:t>
      </w:r>
    </w:p>
    <w:p w:rsidR="00534B58" w:rsidP="00B83218">
      <w:pPr>
        <w:spacing w:line="360" w:lineRule="auto"/>
        <w:jc w:val="both"/>
      </w:pPr>
    </w:p>
    <w:p w:rsidR="00534B58" w:rsidP="00B83218">
      <w:pPr>
        <w:spacing w:line="360" w:lineRule="auto"/>
        <w:jc w:val="both"/>
      </w:pPr>
    </w:p>
    <w:p w:rsidR="00534B58" w:rsidP="00D47FA3">
      <w:pPr>
        <w:spacing w:line="360" w:lineRule="auto"/>
        <w:jc w:val="both"/>
      </w:pPr>
      <w:r>
        <w:t xml:space="preserve">Ministry of Justice (2025), </w:t>
      </w:r>
      <w:r w:rsidRPr="006C1494">
        <w:rPr>
          <w:i/>
          <w:iCs/>
        </w:rPr>
        <w:t xml:space="preserve">Safety in Custody Statistics: quarterly update to </w:t>
      </w:r>
      <w:r>
        <w:rPr>
          <w:i/>
          <w:iCs/>
        </w:rPr>
        <w:t xml:space="preserve">September 2024 </w:t>
      </w:r>
      <w:r>
        <w:t xml:space="preserve">(multiple years). London: Ministry of Justice. Available at: </w:t>
      </w:r>
    </w:p>
    <w:p w:rsidR="00534B58" w:rsidP="00D47FA3">
      <w:pPr>
        <w:spacing w:line="360" w:lineRule="auto"/>
        <w:jc w:val="both"/>
      </w:pPr>
      <w:r>
        <w:fldChar w:fldCharType="begin"/>
      </w:r>
      <w:r>
        <w:instrText xml:space="preserve"> HYPERLINK "https://www.gov.uk/government/statistics/safety-in-custody-quarterly-update-to-september-2024" </w:instrText>
      </w:r>
      <w:r>
        <w:fldChar w:fldCharType="separate"/>
      </w:r>
      <w:r w:rsidRPr="00961406">
        <w:rPr>
          <w:rStyle w:val="Hyperlink"/>
        </w:rPr>
        <w:t>https://www.gov.uk/government/statistics/safety-in-custody-quarterly-update-to-september-2024</w:t>
      </w:r>
      <w:r>
        <w:fldChar w:fldCharType="end"/>
      </w:r>
      <w:r>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National Offender Management Service Cymru, Welsh Government and Youth Justice Board (2006), </w:t>
      </w:r>
      <w:r w:rsidRPr="00B83218">
        <w:rPr>
          <w:i/>
          <w:iCs/>
        </w:rPr>
        <w:t>Joining Together in Wales: An Adult and Young People’s Strategy to Reduce Reoffending.</w:t>
      </w:r>
      <w:r w:rsidRPr="00B83218">
        <w:t xml:space="preserve"> January 2006. London: National Offender Management Service. </w:t>
      </w:r>
    </w:p>
    <w:p w:rsidR="00534B58" w:rsidRPr="00B83218" w:rsidP="00B83218">
      <w:pPr>
        <w:spacing w:line="360" w:lineRule="auto"/>
        <w:jc w:val="both"/>
      </w:pPr>
    </w:p>
    <w:p w:rsidR="00534B58" w:rsidRPr="00B83218" w:rsidP="00B83218">
      <w:pPr>
        <w:spacing w:line="360" w:lineRule="auto"/>
        <w:jc w:val="both"/>
      </w:pPr>
      <w:r w:rsidRPr="00B83218">
        <w:t xml:space="preserve">Prison and Probation Ombudsman (2024), </w:t>
      </w:r>
      <w:r w:rsidRPr="00B83218">
        <w:rPr>
          <w:i/>
          <w:iCs/>
        </w:rPr>
        <w:t>Independent investigation into the death of Mr Aaron Nunes, a prisoner at HMP Parc, on 21 February 2016</w:t>
      </w:r>
      <w:r w:rsidRPr="00B83218">
        <w:t xml:space="preserve">. London: Prison and Probation Ombudsman. Available at: </w:t>
      </w:r>
    </w:p>
    <w:p w:rsidR="00534B58" w:rsidRPr="00B83218" w:rsidP="00B83218">
      <w:pPr>
        <w:spacing w:line="360" w:lineRule="auto"/>
        <w:jc w:val="both"/>
      </w:pPr>
      <w:r>
        <w:fldChar w:fldCharType="begin"/>
      </w:r>
      <w:r>
        <w:instrText xml:space="preserve"> HYPERLINK "https://cloud-platform-e218f50a4812967ba1215eaecede923f.s3.amazonaws.com/uploads/sites/14/2024/08/F2697-16-Death-Mr-Aaron-Nunes-in-hospital-Parc-21-02-2016-NC-22-30-27-3.pdf" </w:instrText>
      </w:r>
      <w:r>
        <w:fldChar w:fldCharType="separate"/>
      </w:r>
      <w:r w:rsidRPr="00B83218">
        <w:rPr>
          <w:rStyle w:val="Hyperlink"/>
        </w:rPr>
        <w:t>https://cloud-platform-e218f50a4812967ba1215eaecede923f.s3.amazonaws.com/uploads/sites/14/2024/08/F2697-16-Death-Mr-Aaron-Nunes-in-hospital-Parc-21-02-2016-NC-22-30-27-3.pdf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Rycroft, P. (2019), </w:t>
      </w:r>
      <w:r w:rsidRPr="00B83218">
        <w:rPr>
          <w:i/>
          <w:iCs/>
        </w:rPr>
        <w:t>Brexit, Devolution and the General Election</w:t>
      </w:r>
      <w:r w:rsidRPr="00B83218">
        <w:t xml:space="preserve">. Wales Governance Centre Annual Lecture 2019. December 2019. Cardiff: Wales Governance Centre at Cardiff University. </w:t>
      </w:r>
      <w:r>
        <w:t>Available at:</w:t>
      </w:r>
    </w:p>
    <w:p w:rsidR="00534B58" w:rsidRPr="00B83218" w:rsidP="00B83218">
      <w:pPr>
        <w:spacing w:line="360" w:lineRule="auto"/>
        <w:jc w:val="both"/>
      </w:pPr>
      <w:r>
        <w:fldChar w:fldCharType="begin"/>
      </w:r>
      <w:r>
        <w:instrText xml:space="preserve"> HYPERLINK "https://www.cardiff.ac.uk/__data/assets/pdf_file/0003/1737624/wgc_annual_lecture_2019_transcript.pdf" </w:instrText>
      </w:r>
      <w:r>
        <w:fldChar w:fldCharType="separate"/>
      </w:r>
      <w:r w:rsidRPr="00B83218">
        <w:rPr>
          <w:rStyle w:val="Hyperlink"/>
        </w:rPr>
        <w:t>https://www.cardiff.ac.uk/__data/assets/pdf_file/0003/1737624/wgc_annual_lecture_2019_transcript.pdf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Sasse, T. and Norris, E. (2019), </w:t>
      </w:r>
      <w:r w:rsidRPr="0060524F">
        <w:rPr>
          <w:i/>
          <w:iCs/>
        </w:rPr>
        <w:t>Moving On</w:t>
      </w:r>
      <w:r w:rsidRPr="00B83218">
        <w:rPr>
          <w:i/>
          <w:iCs/>
        </w:rPr>
        <w:t>: The costs of high staff turnover in the civil service.</w:t>
      </w:r>
      <w:r w:rsidRPr="00B83218">
        <w:t xml:space="preserve"> January 2019. London: Institute for Government. </w:t>
      </w:r>
      <w:r>
        <w:t>Available at:</w:t>
      </w:r>
    </w:p>
    <w:p w:rsidR="00534B58" w:rsidRPr="00B83218" w:rsidP="00B83218">
      <w:pPr>
        <w:spacing w:line="360" w:lineRule="auto"/>
        <w:jc w:val="both"/>
      </w:pPr>
      <w:r>
        <w:fldChar w:fldCharType="begin"/>
      </w:r>
      <w:r>
        <w:instrText xml:space="preserve"> HYPERLINK "https://www.instituteforgovernment.org.uk/sites/default/files/publications/IfG_staff_turnover_WEB.pdf" </w:instrText>
      </w:r>
      <w:r>
        <w:fldChar w:fldCharType="separate"/>
      </w:r>
      <w:r w:rsidRPr="00B83218">
        <w:rPr>
          <w:rStyle w:val="Hyperlink"/>
        </w:rPr>
        <w:t>https://www.instituteforgovernment.org.uk/sites/default/files/publications/IfG_staff_turnover_WEB.pdf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Scott, D. (2020), ‘</w:t>
      </w:r>
      <w:r w:rsidRPr="00B83218">
        <w:rPr>
          <w:i/>
          <w:iCs/>
        </w:rPr>
        <w:t>Prison officer violence: The crisis of visibility’</w:t>
      </w:r>
      <w:r w:rsidRPr="00B83218">
        <w:t xml:space="preserve">. Centre for Crime and Justice Studies.  27 February 2020. Available at: </w:t>
      </w:r>
    </w:p>
    <w:p w:rsidR="00534B58" w:rsidRPr="00B83218" w:rsidP="00B83218">
      <w:pPr>
        <w:spacing w:line="360" w:lineRule="auto"/>
        <w:jc w:val="both"/>
      </w:pPr>
      <w:r>
        <w:fldChar w:fldCharType="begin"/>
      </w:r>
      <w:r>
        <w:instrText xml:space="preserve"> HYPERLINK "https://www.crimeandjustice.org.uk/resources/prison-officer-violence-crisis-visibility" </w:instrText>
      </w:r>
      <w:r>
        <w:fldChar w:fldCharType="separate"/>
      </w:r>
      <w:r w:rsidRPr="00B83218">
        <w:rPr>
          <w:rStyle w:val="Hyperlink"/>
        </w:rPr>
        <w:t>https://www.crimeandjustice.org.uk/resources/prison-officer-violence-crisis-visibility</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Scraton, P. and McCulloch, J. (2009), </w:t>
      </w:r>
      <w:r w:rsidRPr="00B83218">
        <w:rPr>
          <w:i/>
          <w:iCs/>
        </w:rPr>
        <w:t>The Violence of Incarceration</w:t>
      </w:r>
      <w:r w:rsidRPr="00B83218">
        <w:t>. Oxon: Routledge.</w:t>
      </w:r>
    </w:p>
    <w:p w:rsidR="00534B58" w:rsidRPr="00B83218" w:rsidP="00B83218">
      <w:pPr>
        <w:spacing w:line="360" w:lineRule="auto"/>
        <w:jc w:val="both"/>
      </w:pPr>
      <w:r w:rsidRPr="00B83218">
        <w:t xml:space="preserve">Shiner, M., Carre, Z., Delsol, R. and Eastwood, N. (2013), </w:t>
      </w:r>
      <w:r w:rsidRPr="0060524F">
        <w:rPr>
          <w:i/>
          <w:iCs/>
        </w:rPr>
        <w:t>The</w:t>
      </w:r>
      <w:r w:rsidRPr="00B83218">
        <w:rPr>
          <w:i/>
          <w:iCs/>
        </w:rPr>
        <w:t xml:space="preserve"> Colour of Injustice: ‘Race’, drugs and law enforcement in England and Wales</w:t>
      </w:r>
      <w:r w:rsidRPr="00B83218">
        <w:t xml:space="preserve">. London: Stopwatch &amp; Release. </w:t>
      </w:r>
      <w:r>
        <w:t>Available at:</w:t>
      </w:r>
    </w:p>
    <w:p w:rsidR="00534B58" w:rsidRPr="00B83218" w:rsidP="00B83218">
      <w:pPr>
        <w:spacing w:line="360" w:lineRule="auto"/>
        <w:jc w:val="both"/>
      </w:pPr>
      <w:r>
        <w:fldChar w:fldCharType="begin"/>
      </w:r>
      <w:r>
        <w:instrText xml:space="preserve"> HYPERLINK "https://www.release.org.uk/sites/default/files/pdf/publications/The%20Colour%20of%20Injustice.pdf" </w:instrText>
      </w:r>
      <w:r>
        <w:fldChar w:fldCharType="separate"/>
      </w:r>
      <w:r w:rsidRPr="00B83218">
        <w:rPr>
          <w:rStyle w:val="Hyperlink"/>
        </w:rPr>
        <w:t>https://www.release.org.uk/sites/default/files/pdf/publications/The%20Colour%20of%20Injustice.pdf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Shute, J., Aldridge, J. and Medina, J. (2012), ‘Loading the policy blunderbuss’. </w:t>
      </w:r>
      <w:r w:rsidRPr="00B83218">
        <w:rPr>
          <w:i/>
          <w:iCs/>
        </w:rPr>
        <w:t>Criminal Justice Matters</w:t>
      </w:r>
      <w:r w:rsidRPr="00B83218">
        <w:t>, 87: 40-41.</w:t>
      </w:r>
    </w:p>
    <w:p w:rsidR="00534B58" w:rsidRPr="00B83218" w:rsidP="00B83218">
      <w:pPr>
        <w:spacing w:line="360" w:lineRule="auto"/>
        <w:jc w:val="both"/>
      </w:pPr>
    </w:p>
    <w:p w:rsidR="00534B58" w:rsidRPr="00B83218" w:rsidP="00B83218">
      <w:pPr>
        <w:spacing w:line="360" w:lineRule="auto"/>
        <w:jc w:val="both"/>
      </w:pPr>
      <w:r w:rsidRPr="00B83218">
        <w:t xml:space="preserve">Silk Commission [Commission on Devolution in Wales] (2014), </w:t>
      </w:r>
      <w:r w:rsidRPr="00B83218">
        <w:rPr>
          <w:i/>
          <w:iCs/>
        </w:rPr>
        <w:t>Empowerment and Responsibility: Legislative Powers to Strengthen Wales</w:t>
      </w:r>
      <w:r w:rsidRPr="00B83218">
        <w:t xml:space="preserve">. March 2012. </w:t>
      </w:r>
      <w:r>
        <w:t>Available at:</w:t>
      </w:r>
    </w:p>
    <w:p w:rsidR="00534B58" w:rsidRPr="00B83218" w:rsidP="00B83218">
      <w:pPr>
        <w:spacing w:line="360" w:lineRule="auto"/>
        <w:jc w:val="both"/>
      </w:pPr>
      <w:r>
        <w:fldChar w:fldCharType="begin"/>
      </w:r>
      <w:r>
        <w:instrText xml:space="preserve"> HYPERLINK "https://assets.publishing.service.gov.uk/government/uploads/system/uploads/attachment_data/file/310571/CDW-Wales_Report-final_Full_WEB_310114.pdf" </w:instrText>
      </w:r>
      <w:r>
        <w:fldChar w:fldCharType="separate"/>
      </w:r>
      <w:r w:rsidRPr="00B83218">
        <w:rPr>
          <w:rStyle w:val="Hyperlink"/>
        </w:rPr>
        <w:t>https://assets.publishing.service.gov.uk/government/uploads/system/uploads/attachment_data/file/310571/CDW-Wales_Report-final_Full_WEB_310114.pdf</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Spurr, M. (2019), </w:t>
      </w:r>
      <w:r w:rsidRPr="00B83218">
        <w:rPr>
          <w:i/>
          <w:iCs/>
        </w:rPr>
        <w:t>Oral evidence to the Commission from HMCTS, LAA and HMPPS</w:t>
      </w:r>
      <w:r w:rsidRPr="00B83218">
        <w:t>. February 2019. Cardiff: Commission on Justice in Wales.</w:t>
      </w:r>
    </w:p>
    <w:p w:rsidR="00534B58" w:rsidRPr="00B83218" w:rsidP="00B83218">
      <w:pPr>
        <w:spacing w:line="360" w:lineRule="auto"/>
        <w:jc w:val="both"/>
      </w:pPr>
    </w:p>
    <w:p w:rsidR="00534B58" w:rsidRPr="00B83218" w:rsidP="00B83218">
      <w:pPr>
        <w:spacing w:line="360" w:lineRule="auto"/>
        <w:jc w:val="both"/>
      </w:pPr>
      <w:r w:rsidRPr="00B83218">
        <w:t xml:space="preserve">Thomas, Lord (2017), </w:t>
      </w:r>
      <w:r w:rsidRPr="00B83218">
        <w:rPr>
          <w:i/>
          <w:iCs/>
        </w:rPr>
        <w:t>The past and future of the law in Wales</w:t>
      </w:r>
      <w:r w:rsidRPr="00B83218">
        <w:t xml:space="preserve">. Lecture given to the Wales Governance Centre at Cardiff University. October 2017. </w:t>
      </w:r>
      <w:r>
        <w:t>Available at:</w:t>
      </w:r>
    </w:p>
    <w:p w:rsidR="00534B58" w:rsidRPr="00B83218" w:rsidP="00B83218">
      <w:pPr>
        <w:spacing w:line="360" w:lineRule="auto"/>
        <w:jc w:val="both"/>
      </w:pPr>
      <w:r>
        <w:fldChar w:fldCharType="begin"/>
      </w:r>
      <w:r>
        <w:instrText xml:space="preserve"> HYPERLINK "https://www.cardiff.ac.uk/news/view/1324746-the-past-and-future-of-the-law-in-wales" </w:instrText>
      </w:r>
      <w:r>
        <w:fldChar w:fldCharType="separate"/>
      </w:r>
      <w:r w:rsidRPr="00B83218">
        <w:rPr>
          <w:rStyle w:val="Hyperlink"/>
        </w:rPr>
        <w:t>https://www.cardiff.ac.uk/news/view/1324746-the-past-and-future-of-the-law-in-wales</w:t>
      </w:r>
      <w:r>
        <w:fldChar w:fldCharType="end"/>
      </w:r>
      <w:r w:rsidRPr="00B83218">
        <w:t xml:space="preserve"> </w:t>
      </w:r>
    </w:p>
    <w:p w:rsidR="00534B58" w:rsidRPr="00B83218" w:rsidP="00B83218">
      <w:pPr>
        <w:spacing w:line="360" w:lineRule="auto"/>
        <w:jc w:val="both"/>
      </w:pPr>
    </w:p>
    <w:p w:rsidR="00534B58" w:rsidRPr="00B83218" w:rsidP="00B83218">
      <w:pPr>
        <w:spacing w:line="360" w:lineRule="auto"/>
        <w:jc w:val="both"/>
      </w:pPr>
      <w:r w:rsidRPr="00B83218">
        <w:t xml:space="preserve">Welsh Government (2022), </w:t>
      </w:r>
      <w:r w:rsidRPr="00B83218">
        <w:rPr>
          <w:i/>
          <w:iCs/>
        </w:rPr>
        <w:t>Delivering Justice for Wales</w:t>
      </w:r>
      <w:r w:rsidRPr="00B83218">
        <w:t>. Cardiff: Welsh Government. Available at:</w:t>
      </w:r>
    </w:p>
    <w:p w:rsidR="00534B58" w:rsidRPr="00B83218" w:rsidP="00B83218">
      <w:pPr>
        <w:spacing w:line="360" w:lineRule="auto"/>
        <w:jc w:val="both"/>
      </w:pPr>
      <w:r>
        <w:fldChar w:fldCharType="begin"/>
      </w:r>
      <w:r>
        <w:instrText xml:space="preserve"> HYPERLINK "https://www.gov.wales/sites/default/files/publications/2022-06/delivering-justice-for-wales-may-2022-v2.pdf" </w:instrText>
      </w:r>
      <w:r>
        <w:fldChar w:fldCharType="separate"/>
      </w:r>
      <w:r w:rsidRPr="00B83218">
        <w:rPr>
          <w:rStyle w:val="Hyperlink"/>
        </w:rPr>
        <w:t>https://www.gov.wales/sites/default/files/publications/2022-06/delivering-justice-for-wales-may-2022-v2.pdf</w:t>
      </w:r>
      <w:r>
        <w:fldChar w:fldCharType="end"/>
      </w:r>
      <w:r w:rsidRPr="00B83218">
        <w:t xml:space="preserve"> </w:t>
      </w:r>
    </w:p>
    <w:p w:rsidR="00534B58" w:rsidRPr="00B83218" w:rsidP="00B83218">
      <w:pPr>
        <w:spacing w:line="360" w:lineRule="auto"/>
        <w:jc w:val="both"/>
      </w:pPr>
    </w:p>
    <w:p w:rsidR="00534B58" w:rsidRPr="00B83218" w:rsidP="00B83218">
      <w:pPr>
        <w:pStyle w:val="NoSpacing"/>
        <w:spacing w:line="360" w:lineRule="auto"/>
        <w:jc w:val="both"/>
        <w:rPr>
          <w:bCs/>
        </w:rPr>
      </w:pPr>
      <w:r w:rsidRPr="00B83218">
        <w:rPr>
          <w:bCs/>
        </w:rPr>
        <w:t xml:space="preserve">Wooff, A. (2015), </w:t>
      </w:r>
      <w:r w:rsidRPr="00B83218">
        <w:rPr>
          <w:bCs/>
          <w:iCs/>
        </w:rPr>
        <w:t>‘Relationships and responses: Policing anti-social behaviour in rural Scotland’.</w:t>
      </w:r>
      <w:r w:rsidRPr="00B83218">
        <w:rPr>
          <w:bCs/>
        </w:rPr>
        <w:t xml:space="preserve"> </w:t>
      </w:r>
      <w:r w:rsidRPr="00B83218">
        <w:rPr>
          <w:bCs/>
          <w:i/>
          <w:iCs/>
        </w:rPr>
        <w:t>Journal of Rural Studies</w:t>
      </w:r>
      <w:r w:rsidRPr="00B83218">
        <w:rPr>
          <w:bCs/>
        </w:rPr>
        <w:t>, 39: 287-295.</w:t>
      </w:r>
    </w:p>
    <w:p w:rsidR="00534B58" w:rsidRPr="00B83218" w:rsidP="00B83218">
      <w:pPr>
        <w:spacing w:line="360" w:lineRule="auto"/>
        <w:jc w:val="both"/>
      </w:pPr>
    </w:p>
    <w:p w:rsidR="00534B58" w:rsidP="00B83218">
      <w:pPr>
        <w:spacing w:line="360" w:lineRule="auto"/>
        <w:jc w:val="both"/>
      </w:pPr>
      <w:r w:rsidRPr="00B83218">
        <w:t>Woolf</w:t>
      </w:r>
      <w:r>
        <w:t xml:space="preserve">, Lord </w:t>
      </w:r>
      <w:r w:rsidRPr="00B83218">
        <w:t xml:space="preserve">(1991), </w:t>
      </w:r>
      <w:r w:rsidRPr="00B83218">
        <w:rPr>
          <w:i/>
          <w:iCs/>
        </w:rPr>
        <w:t>Prison Disturbances April 1990</w:t>
      </w:r>
      <w:r w:rsidRPr="00B83218">
        <w:t>. Report of an Inquiry by The Rt Hon Lord Justice Woolf and His Honour Judge Stephen Tumin, HMSO, London, February</w:t>
      </w:r>
      <w:r w:rsidRPr="00E7740D">
        <w:t xml:space="preserve"> 1991.</w:t>
      </w:r>
      <w:r>
        <w:t xml:space="preserve"> </w:t>
      </w:r>
    </w:p>
    <w:p w:rsidR="00534B58" w:rsidRPr="003936F5" w:rsidP="003936F5"/>
    <w:p w:rsidR="00534B58" w:rsidP="003936F5"/>
    <w:p w:rsidR="00534B58" w:rsidRPr="003936F5" w:rsidP="003936F5">
      <w:pPr>
        <w:rPr>
          <w:rFonts w:ascii="Arial" w:hAnsi="Arial" w:cs="Arial"/>
          <w:i/>
          <w:iCs/>
          <w:sz w:val="22"/>
          <w:szCs w:val="22"/>
        </w:rPr>
      </w:pPr>
      <w:r>
        <w:rPr>
          <w:rFonts w:ascii="Arial" w:hAnsi="Arial" w:cs="Arial"/>
          <w:i/>
          <w:iCs/>
          <w:sz w:val="22"/>
          <w:szCs w:val="22"/>
        </w:rPr>
        <w:t>March 2025</w:t>
      </w:r>
    </w:p>
    <w:sectPr w:rsidSect="00311D2A">
      <w:headerReference w:type="default" r:id="rId9"/>
      <w:footerReference w:type="even" r:id="rId10"/>
      <w:footerReference w:type="default" r:id="rId11"/>
      <w:headerReference w:type="first" r:id="rId12"/>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777018962"/>
      <w:docPartObj>
        <w:docPartGallery w:val="Page Numbers (Bottom of Page)"/>
        <w:docPartUnique/>
      </w:docPartObj>
    </w:sdtPr>
    <w:sdtContent>
      <w:p w:rsidR="00534B58" w:rsidP="009A30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534B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775865485"/>
      <w:docPartObj>
        <w:docPartGallery w:val="Page Numbers (Bottom of Page)"/>
        <w:docPartUnique/>
      </w:docPartObj>
    </w:sdtPr>
    <w:sdtContent>
      <w:p w:rsidR="00534B58" w:rsidP="009A30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534B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7799" w:rsidP="00311D2A">
      <w:r>
        <w:separator/>
      </w:r>
    </w:p>
  </w:footnote>
  <w:footnote w:type="continuationSeparator" w:id="1">
    <w:p w:rsidR="00007799" w:rsidP="00311D2A">
      <w:r>
        <w:continuationSeparator/>
      </w:r>
    </w:p>
  </w:footnote>
  <w:footnote w:id="2">
    <w:p w:rsidR="00534B58">
      <w:pPr>
        <w:pStyle w:val="FootnoteText"/>
      </w:pPr>
      <w:r>
        <w:rPr>
          <w:rStyle w:val="FootnoteReference"/>
        </w:rPr>
        <w:footnoteRef/>
      </w:r>
      <w:r>
        <w:t xml:space="preserve"> Data on assaults and self-harm for the year ending December 2024 will be published by the Ministry of Justice in April 2025.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4B58" w:rsidRPr="007D4E3F" w:rsidP="007D4E3F">
    <w:pPr>
      <w:pStyle w:val="Header"/>
      <w:jc w:val="right"/>
      <w:rPr>
        <w:rFonts w:ascii="Arial" w:hAnsi="Arial" w:cs="Arial"/>
        <w:sz w:val="22"/>
        <w:szCs w:val="22"/>
      </w:rPr>
    </w:pPr>
    <w:r w:rsidRPr="007D4E3F">
      <w:rPr>
        <w:rFonts w:ascii="Arial" w:hAnsi="Arial" w:cs="Arial"/>
        <w:sz w:val="22"/>
        <w:szCs w:val="22"/>
      </w:rPr>
      <w:t>PPR 005</w:t>
    </w:r>
  </w:p>
  <w:p w:rsidR="00534B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4B58" w:rsidRPr="007D4E3F" w:rsidP="003936F5">
    <w:pPr>
      <w:pStyle w:val="Header"/>
      <w:jc w:val="right"/>
      <w:rPr>
        <w:rFonts w:ascii="Arial" w:hAnsi="Arial" w:cs="Arial"/>
        <w:sz w:val="22"/>
        <w:szCs w:val="22"/>
      </w:rPr>
    </w:pPr>
    <w:r>
      <w:tab/>
    </w:r>
    <w:r w:rsidRPr="007D4E3F">
      <w:rPr>
        <w:rFonts w:ascii="Arial" w:hAnsi="Arial" w:cs="Arial"/>
        <w:sz w:val="22"/>
        <w:szCs w:val="22"/>
      </w:rPr>
      <w:t>PPR</w:t>
    </w:r>
    <w:r>
      <w:rPr>
        <w:rFonts w:ascii="Arial" w:hAnsi="Arial" w:cs="Arial"/>
        <w:sz w:val="22"/>
        <w:szCs w:val="22"/>
      </w:rPr>
      <w:t>0</w:t>
    </w:r>
    <w:r w:rsidRPr="007D4E3F">
      <w:rPr>
        <w:rFonts w:ascii="Arial" w:hAnsi="Arial" w:cs="Arial"/>
        <w:sz w:val="22"/>
        <w:szCs w:val="22"/>
      </w:rPr>
      <w:t>005</w:t>
    </w:r>
  </w:p>
  <w:p w:rsidR="00534B58" w:rsidP="003936F5">
    <w:pPr>
      <w:pStyle w:val="Header"/>
      <w:tabs>
        <w:tab w:val="left" w:pos="2394"/>
        <w:tab w:val="clear" w:pos="4513"/>
        <w:tab w:val="clear"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133240"/>
    <w:multiLevelType w:val="hybridMultilevel"/>
    <w:tmpl w:val="0ACA5A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92E16FF"/>
    <w:multiLevelType w:val="hybridMultilevel"/>
    <w:tmpl w:val="2DFA5B1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B7909DD"/>
    <w:multiLevelType w:val="hybridMultilevel"/>
    <w:tmpl w:val="3E2EC1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573210D"/>
    <w:multiLevelType w:val="hybridMultilevel"/>
    <w:tmpl w:val="1494DE9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A72460F"/>
    <w:multiLevelType w:val="hybridMultilevel"/>
    <w:tmpl w:val="E244FA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3D76857"/>
    <w:multiLevelType w:val="multilevel"/>
    <w:tmpl w:val="61EE5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F4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9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9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9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9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9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9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9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9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9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9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9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9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9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941"/>
    <w:rPr>
      <w:rFonts w:eastAsiaTheme="majorEastAsia" w:cstheme="majorBidi"/>
      <w:color w:val="272727" w:themeColor="text1" w:themeTint="D8"/>
    </w:rPr>
  </w:style>
  <w:style w:type="paragraph" w:styleId="Title">
    <w:name w:val="Title"/>
    <w:basedOn w:val="Normal"/>
    <w:next w:val="Normal"/>
    <w:link w:val="TitleChar"/>
    <w:uiPriority w:val="10"/>
    <w:qFormat/>
    <w:rsid w:val="000F49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9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9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9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4941"/>
    <w:rPr>
      <w:i/>
      <w:iCs/>
      <w:color w:val="404040" w:themeColor="text1" w:themeTint="BF"/>
    </w:rPr>
  </w:style>
  <w:style w:type="paragraph" w:styleId="ListParagraph">
    <w:name w:val="List Paragraph"/>
    <w:basedOn w:val="Normal"/>
    <w:uiPriority w:val="34"/>
    <w:qFormat/>
    <w:rsid w:val="000F4941"/>
    <w:pPr>
      <w:ind w:left="720"/>
      <w:contextualSpacing/>
    </w:pPr>
  </w:style>
  <w:style w:type="character" w:styleId="IntenseEmphasis">
    <w:name w:val="Intense Emphasis"/>
    <w:basedOn w:val="DefaultParagraphFont"/>
    <w:uiPriority w:val="21"/>
    <w:qFormat/>
    <w:rsid w:val="000F4941"/>
    <w:rPr>
      <w:i/>
      <w:iCs/>
      <w:color w:val="0F4761" w:themeColor="accent1" w:themeShade="BF"/>
    </w:rPr>
  </w:style>
  <w:style w:type="paragraph" w:styleId="IntenseQuote">
    <w:name w:val="Intense Quote"/>
    <w:basedOn w:val="Normal"/>
    <w:next w:val="Normal"/>
    <w:link w:val="IntenseQuoteChar"/>
    <w:uiPriority w:val="30"/>
    <w:qFormat/>
    <w:rsid w:val="000F4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941"/>
    <w:rPr>
      <w:i/>
      <w:iCs/>
      <w:color w:val="0F4761" w:themeColor="accent1" w:themeShade="BF"/>
    </w:rPr>
  </w:style>
  <w:style w:type="character" w:styleId="IntenseReference">
    <w:name w:val="Intense Reference"/>
    <w:basedOn w:val="DefaultParagraphFont"/>
    <w:uiPriority w:val="32"/>
    <w:qFormat/>
    <w:rsid w:val="000F4941"/>
    <w:rPr>
      <w:b/>
      <w:bCs/>
      <w:smallCaps/>
      <w:color w:val="0F4761" w:themeColor="accent1" w:themeShade="BF"/>
      <w:spacing w:val="5"/>
    </w:rPr>
  </w:style>
  <w:style w:type="paragraph" w:styleId="NoSpacing">
    <w:name w:val="No Spacing"/>
    <w:link w:val="NoSpacingChar"/>
    <w:uiPriority w:val="1"/>
    <w:qFormat/>
    <w:rsid w:val="005E17F8"/>
  </w:style>
  <w:style w:type="paragraph" w:styleId="Footer">
    <w:name w:val="footer"/>
    <w:basedOn w:val="Normal"/>
    <w:link w:val="FooterChar"/>
    <w:uiPriority w:val="99"/>
    <w:unhideWhenUsed/>
    <w:rsid w:val="00311D2A"/>
    <w:pPr>
      <w:tabs>
        <w:tab w:val="center" w:pos="4513"/>
        <w:tab w:val="right" w:pos="9026"/>
      </w:tabs>
    </w:pPr>
  </w:style>
  <w:style w:type="character" w:customStyle="1" w:styleId="FooterChar">
    <w:name w:val="Footer Char"/>
    <w:basedOn w:val="DefaultParagraphFont"/>
    <w:link w:val="Footer"/>
    <w:uiPriority w:val="99"/>
    <w:rsid w:val="00311D2A"/>
  </w:style>
  <w:style w:type="character" w:styleId="PageNumber">
    <w:name w:val="page number"/>
    <w:basedOn w:val="DefaultParagraphFont"/>
    <w:uiPriority w:val="99"/>
    <w:semiHidden/>
    <w:unhideWhenUsed/>
    <w:rsid w:val="00311D2A"/>
  </w:style>
  <w:style w:type="paragraph" w:styleId="Header">
    <w:name w:val="header"/>
    <w:basedOn w:val="Normal"/>
    <w:link w:val="HeaderChar"/>
    <w:uiPriority w:val="99"/>
    <w:unhideWhenUsed/>
    <w:rsid w:val="00311D2A"/>
    <w:pPr>
      <w:tabs>
        <w:tab w:val="center" w:pos="4513"/>
        <w:tab w:val="right" w:pos="9026"/>
      </w:tabs>
    </w:pPr>
  </w:style>
  <w:style w:type="character" w:customStyle="1" w:styleId="HeaderChar">
    <w:name w:val="Header Char"/>
    <w:basedOn w:val="DefaultParagraphFont"/>
    <w:link w:val="Header"/>
    <w:uiPriority w:val="99"/>
    <w:rsid w:val="00311D2A"/>
  </w:style>
  <w:style w:type="character" w:styleId="Hyperlink">
    <w:name w:val="Hyperlink"/>
    <w:basedOn w:val="DefaultParagraphFont"/>
    <w:uiPriority w:val="99"/>
    <w:unhideWhenUsed/>
    <w:rsid w:val="00A8031F"/>
    <w:rPr>
      <w:color w:val="467886" w:themeColor="hyperlink"/>
      <w:u w:val="single"/>
    </w:rPr>
  </w:style>
  <w:style w:type="character" w:customStyle="1" w:styleId="UnresolvedMention1">
    <w:name w:val="Unresolved Mention1"/>
    <w:basedOn w:val="DefaultParagraphFont"/>
    <w:uiPriority w:val="99"/>
    <w:semiHidden/>
    <w:unhideWhenUsed/>
    <w:rsid w:val="00A8031F"/>
    <w:rPr>
      <w:color w:val="605E5C"/>
      <w:shd w:val="clear" w:color="auto" w:fill="E1DFDD"/>
    </w:rPr>
  </w:style>
  <w:style w:type="character" w:styleId="FollowedHyperlink">
    <w:name w:val="FollowedHyperlink"/>
    <w:basedOn w:val="DefaultParagraphFont"/>
    <w:uiPriority w:val="99"/>
    <w:semiHidden/>
    <w:unhideWhenUsed/>
    <w:rsid w:val="001311E2"/>
    <w:rPr>
      <w:color w:val="96607D" w:themeColor="followedHyperlink"/>
      <w:u w:val="single"/>
    </w:rPr>
  </w:style>
  <w:style w:type="character" w:customStyle="1" w:styleId="NoSpacingChar">
    <w:name w:val="No Spacing Char"/>
    <w:basedOn w:val="DefaultParagraphFont"/>
    <w:link w:val="NoSpacing"/>
    <w:uiPriority w:val="1"/>
    <w:rsid w:val="001657F6"/>
  </w:style>
  <w:style w:type="paragraph" w:styleId="FootnoteText">
    <w:name w:val="footnote text"/>
    <w:basedOn w:val="Normal"/>
    <w:link w:val="FootnoteTextChar"/>
    <w:uiPriority w:val="99"/>
    <w:semiHidden/>
    <w:unhideWhenUsed/>
    <w:rsid w:val="003540FC"/>
    <w:rPr>
      <w:sz w:val="20"/>
      <w:szCs w:val="20"/>
    </w:rPr>
  </w:style>
  <w:style w:type="character" w:customStyle="1" w:styleId="FootnoteTextChar">
    <w:name w:val="Footnote Text Char"/>
    <w:basedOn w:val="DefaultParagraphFont"/>
    <w:link w:val="FootnoteText"/>
    <w:uiPriority w:val="99"/>
    <w:semiHidden/>
    <w:rsid w:val="003540FC"/>
    <w:rPr>
      <w:sz w:val="20"/>
      <w:szCs w:val="20"/>
    </w:rPr>
  </w:style>
  <w:style w:type="character" w:styleId="FootnoteReference">
    <w:name w:val="footnote reference"/>
    <w:basedOn w:val="DefaultParagraphFont"/>
    <w:uiPriority w:val="99"/>
    <w:semiHidden/>
    <w:unhideWhenUsed/>
    <w:rsid w:val="003540FC"/>
    <w:rPr>
      <w:vertAlign w:val="superscript"/>
    </w:rPr>
  </w:style>
  <w:style w:type="paragraph" w:customStyle="1" w:styleId="Standard">
    <w:name w:val="Standard"/>
    <w:rsid w:val="003936F5"/>
    <w:pPr>
      <w:widowControl w:val="0"/>
      <w:suppressAutoHyphens/>
      <w:autoSpaceDN w:val="0"/>
      <w:textAlignment w:val="baseline"/>
    </w:pPr>
    <w:rPr>
      <w:rFonts w:ascii="Times New Roman" w:eastAsia="SimSun" w:hAnsi="Times New Roman"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9CE46-64E4-DE42-ACD5-8C0A697C7AD5}">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PPR0005</dc:title>
  <cp:revision>0</cp:revision>
</cp:coreProperties>
</file>