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5372" w:rsidP="00305372">
      <w:pPr>
        <w:jc w:val="center"/>
        <w:rPr>
          <w:b/>
          <w:bCs/>
          <w:sz w:val="24"/>
          <w:szCs w:val="24"/>
        </w:rPr>
      </w:pPr>
      <w:r w:rsidRPr="00305372">
        <w:rPr>
          <w:b/>
          <w:bCs/>
          <w:sz w:val="24"/>
          <w:szCs w:val="24"/>
        </w:rPr>
        <w:t>Evidence submitted by Dr Richard Whittle and Dr Stuart Mills</w:t>
      </w:r>
    </w:p>
    <w:p w:rsidR="00305372" w:rsidRPr="00305372" w:rsidP="00305372">
      <w:pPr>
        <w:jc w:val="center"/>
        <w:rPr>
          <w:b/>
          <w:bCs/>
          <w:sz w:val="24"/>
          <w:szCs w:val="24"/>
        </w:rPr>
      </w:pPr>
    </w:p>
    <w:p w:rsidR="00305372" w:rsidP="00305372">
      <w:pPr>
        <w:jc w:val="center"/>
        <w:rPr>
          <w:b/>
          <w:bCs/>
        </w:rPr>
      </w:pPr>
      <w:r w:rsidRPr="00305372">
        <w:rPr>
          <w:rStyle w:val="Heading1Char"/>
          <w:b/>
          <w:bCs/>
          <w:sz w:val="32"/>
          <w:szCs w:val="32"/>
        </w:rPr>
        <w:t xml:space="preserve">Using Generative AI to audit </w:t>
      </w:r>
      <w:r w:rsidRPr="00305372">
        <w:rPr>
          <w:rStyle w:val="Heading1Char"/>
          <w:b/>
          <w:bCs/>
          <w:sz w:val="32"/>
          <w:szCs w:val="32"/>
        </w:rPr>
        <w:t>Online</w:t>
      </w:r>
      <w:r w:rsidRPr="00305372">
        <w:rPr>
          <w:rStyle w:val="Heading1Char"/>
          <w:b/>
          <w:bCs/>
          <w:sz w:val="32"/>
          <w:szCs w:val="32"/>
        </w:rPr>
        <w:t xml:space="preserve"> Choice Architecture </w:t>
      </w:r>
      <w:r w:rsidRPr="00305372">
        <w:rPr>
          <w:rStyle w:val="Heading1Char"/>
          <w:b/>
          <w:bCs/>
          <w:sz w:val="32"/>
          <w:szCs w:val="32"/>
        </w:rPr>
        <w:t>in UK Financial Services</w:t>
      </w:r>
      <w:r w:rsidRPr="00305372">
        <w:rPr>
          <w:rStyle w:val="Heading1Char"/>
          <w:b/>
          <w:bCs/>
          <w:sz w:val="32"/>
          <w:szCs w:val="32"/>
        </w:rPr>
        <w:t>: Understanding the choices facing vulnerable customers.</w:t>
      </w:r>
      <w:r w:rsidRPr="00A66953">
        <w:rPr>
          <w:b/>
          <w:bCs/>
        </w:rPr>
        <w:br/>
      </w:r>
    </w:p>
    <w:p w:rsidR="00305372" w:rsidRPr="00305372" w:rsidP="00305372">
      <w:pPr>
        <w:rPr>
          <w:rFonts w:ascii="Garamond" w:hAnsi="Garamond"/>
          <w:b/>
          <w:bCs/>
        </w:rPr>
      </w:pPr>
      <w:r w:rsidRPr="00305372">
        <w:rPr>
          <w:rFonts w:ascii="Garamond" w:hAnsi="Garamond"/>
          <w:b/>
          <w:bCs/>
        </w:rPr>
        <w:t>Dr Richard Whittle</w:t>
      </w:r>
      <w:r w:rsidRPr="00305372">
        <w:rPr>
          <w:rFonts w:ascii="Garamond" w:hAnsi="Garamond"/>
        </w:rPr>
        <w:t xml:space="preserve"> is a University Fellow in Artificial Intelligence and Human Behaviour at Salford Business School and a Visiting Fellow in Institutional AI Preparedness at the International Public Policy Observatory at University College London. Dr Whittle sits on the West Yorkshire Scientific Advisory Group supporting the West Yorkshire Combined Authority</w:t>
      </w:r>
      <w:r>
        <w:rPr>
          <w:rStyle w:val="FootnoteReference"/>
          <w:rFonts w:ascii="Garamond" w:hAnsi="Garamond"/>
        </w:rPr>
        <w:footnoteReference w:id="2"/>
      </w:r>
      <w:r w:rsidRPr="00305372">
        <w:rPr>
          <w:rFonts w:ascii="Garamond" w:hAnsi="Garamond"/>
        </w:rPr>
        <w:t xml:space="preserve"> and he is currently seconded to the Manchester Digital Strategy supporting Manchester City Council</w:t>
      </w:r>
      <w:r>
        <w:rPr>
          <w:rStyle w:val="FootnoteReference"/>
          <w:rFonts w:ascii="Garamond" w:hAnsi="Garamond"/>
        </w:rPr>
        <w:footnoteReference w:id="3"/>
      </w:r>
      <w:r w:rsidRPr="00305372">
        <w:rPr>
          <w:rFonts w:ascii="Garamond" w:hAnsi="Garamond"/>
        </w:rPr>
        <w:t xml:space="preserve"> with AI policy.</w:t>
      </w:r>
      <w:r w:rsidRPr="00305372">
        <w:rPr>
          <w:rFonts w:ascii="Garamond" w:hAnsi="Garamond"/>
        </w:rPr>
        <w:br/>
      </w:r>
      <w:r w:rsidRPr="00305372">
        <w:rPr>
          <w:rFonts w:ascii="Garamond" w:hAnsi="Garamond"/>
        </w:rPr>
        <w:br/>
      </w:r>
      <w:r w:rsidRPr="00305372">
        <w:rPr>
          <w:rFonts w:ascii="Garamond" w:hAnsi="Garamond"/>
          <w:b/>
          <w:bCs/>
        </w:rPr>
        <w:t>Dr Stuart Mills</w:t>
      </w:r>
      <w:r w:rsidRPr="00305372">
        <w:rPr>
          <w:rFonts w:ascii="Garamond" w:hAnsi="Garamond"/>
        </w:rPr>
        <w:t xml:space="preserve"> is an Assistant Professor in Economics at the University of Leeds</w:t>
      </w:r>
      <w:r w:rsidRPr="00305372">
        <w:rPr>
          <w:rFonts w:ascii="Garamond" w:hAnsi="Garamond"/>
        </w:rPr>
        <w:t xml:space="preserve"> and Visiting Fellow </w:t>
      </w:r>
      <w:r w:rsidRPr="00305372">
        <w:rPr>
          <w:rFonts w:ascii="Garamond" w:hAnsi="Garamond"/>
        </w:rPr>
        <w:t>of Behavioural</w:t>
      </w:r>
      <w:r w:rsidRPr="00305372">
        <w:rPr>
          <w:rFonts w:ascii="Garamond" w:hAnsi="Garamond"/>
        </w:rPr>
        <w:t xml:space="preserve"> Science at the London School of Economics</w:t>
      </w:r>
      <w:r w:rsidRPr="00305372">
        <w:rPr>
          <w:rFonts w:ascii="Garamond" w:hAnsi="Garamond"/>
        </w:rPr>
        <w:t xml:space="preserve"> and Political Science</w:t>
      </w:r>
      <w:r w:rsidRPr="00305372">
        <w:rPr>
          <w:rFonts w:ascii="Garamond" w:hAnsi="Garamond"/>
        </w:rPr>
        <w:t>.</w:t>
      </w:r>
      <w:r w:rsidRPr="00305372">
        <w:rPr>
          <w:rFonts w:ascii="Garamond" w:hAnsi="Garamond"/>
        </w:rPr>
        <w:t xml:space="preserve"> Dr Mills is a member of the OECD Observatory of Policy and Scientific Insights expert advisory group on administrative burden and behavioural sludge in government and public policy.</w:t>
      </w:r>
      <w:r>
        <w:rPr>
          <w:rStyle w:val="FootnoteReference"/>
          <w:rFonts w:ascii="Garamond" w:hAnsi="Garamond"/>
        </w:rPr>
        <w:footnoteReference w:id="4"/>
      </w:r>
      <w:r w:rsidRPr="00305372">
        <w:rPr>
          <w:rFonts w:ascii="Garamond" w:hAnsi="Garamond"/>
        </w:rPr>
        <w:br/>
      </w:r>
      <w:r w:rsidRPr="00305372">
        <w:rPr>
          <w:rFonts w:ascii="Garamond" w:hAnsi="Garamond"/>
        </w:rPr>
        <w:br/>
        <w:t>This submission is based on the author</w:t>
      </w:r>
      <w:r w:rsidRPr="00305372">
        <w:rPr>
          <w:rFonts w:ascii="Garamond" w:hAnsi="Garamond"/>
        </w:rPr>
        <w:t>s’</w:t>
      </w:r>
      <w:r w:rsidRPr="00305372">
        <w:rPr>
          <w:rFonts w:ascii="Garamond" w:hAnsi="Garamond"/>
        </w:rPr>
        <w:t xml:space="preserve"> </w:t>
      </w:r>
      <w:r w:rsidRPr="00305372">
        <w:rPr>
          <w:rFonts w:ascii="Garamond" w:hAnsi="Garamond"/>
        </w:rPr>
        <w:t xml:space="preserve">recent academic publications relevant to the </w:t>
      </w:r>
      <w:r w:rsidRPr="00305372">
        <w:rPr>
          <w:rFonts w:ascii="Garamond" w:hAnsi="Garamond"/>
        </w:rPr>
        <w:t>AI in Financial Services call for evidence</w:t>
      </w:r>
      <w:r w:rsidRPr="00305372">
        <w:rPr>
          <w:rFonts w:ascii="Garamond" w:hAnsi="Garamond"/>
        </w:rPr>
        <w:t>.</w:t>
      </w:r>
      <w:r w:rsidRPr="00305372">
        <w:rPr>
          <w:rFonts w:ascii="Garamond" w:hAnsi="Garamond"/>
        </w:rPr>
        <w:t xml:space="preserve"> </w:t>
      </w:r>
      <w:r w:rsidRPr="00305372">
        <w:rPr>
          <w:rFonts w:ascii="Garamond" w:hAnsi="Garamond"/>
        </w:rPr>
        <w:t>F</w:t>
      </w:r>
      <w:r w:rsidRPr="00305372">
        <w:rPr>
          <w:rFonts w:ascii="Garamond" w:hAnsi="Garamond"/>
        </w:rPr>
        <w:t>ocussing on</w:t>
      </w:r>
      <w:r w:rsidRPr="00305372">
        <w:rPr>
          <w:rFonts w:ascii="Garamond" w:hAnsi="Garamond"/>
          <w:b/>
          <w:bCs/>
        </w:rPr>
        <w:t xml:space="preserve"> the benefits and risks to consumers arising from AI, particularly for vulnerable consumers?</w:t>
      </w:r>
    </w:p>
    <w:p w:rsidR="00305372" w:rsidRPr="00305372" w:rsidP="00305372">
      <w:pPr>
        <w:rPr>
          <w:rFonts w:ascii="Garamond" w:hAnsi="Garamond"/>
        </w:rPr>
      </w:pPr>
    </w:p>
    <w:p w:rsidR="00305372" w:rsidRPr="00305372" w:rsidP="00A66953">
      <w:pPr>
        <w:pStyle w:val="Heading2"/>
        <w:rPr>
          <w:b/>
          <w:bCs/>
          <w:sz w:val="24"/>
          <w:szCs w:val="24"/>
        </w:rPr>
      </w:pPr>
      <w:r w:rsidRPr="00305372">
        <w:rPr>
          <w:b/>
          <w:bCs/>
          <w:sz w:val="24"/>
          <w:szCs w:val="24"/>
        </w:rPr>
        <w:t>C</w:t>
      </w:r>
      <w:r w:rsidRPr="00305372">
        <w:rPr>
          <w:b/>
          <w:bCs/>
          <w:sz w:val="24"/>
          <w:szCs w:val="24"/>
        </w:rPr>
        <w:t xml:space="preserve">onsumer </w:t>
      </w:r>
      <w:r w:rsidRPr="00305372">
        <w:rPr>
          <w:b/>
          <w:bCs/>
          <w:sz w:val="24"/>
          <w:szCs w:val="24"/>
        </w:rPr>
        <w:t>Decision Making</w:t>
      </w:r>
      <w:r w:rsidRPr="00305372">
        <w:rPr>
          <w:b/>
          <w:bCs/>
          <w:sz w:val="24"/>
          <w:szCs w:val="24"/>
        </w:rPr>
        <w:t xml:space="preserve"> and Financial Services</w:t>
      </w:r>
    </w:p>
    <w:p w:rsidR="00305372" w:rsidRPr="00305372" w:rsidP="00A66953">
      <w:pPr>
        <w:rPr>
          <w:rFonts w:ascii="Garamond" w:hAnsi="Garamond"/>
        </w:rPr>
      </w:pPr>
      <w:r w:rsidRPr="00305372">
        <w:rPr>
          <w:rFonts w:ascii="Garamond" w:hAnsi="Garamond"/>
        </w:rPr>
        <w:t xml:space="preserve">The pandemic increased the volume of individuals consuming financial services online </w:t>
      </w:r>
      <w:r w:rsidRPr="00305372">
        <w:rPr>
          <w:rFonts w:ascii="Garamond" w:hAnsi="Garamond"/>
          <w:noProof/>
        </w:rPr>
        <w:t>(Mills et al., 2021)</w:t>
      </w:r>
      <w:r w:rsidRPr="00305372">
        <w:rPr>
          <w:rFonts w:ascii="Garamond" w:hAnsi="Garamond"/>
        </w:rPr>
        <w:t>.</w:t>
      </w:r>
      <w:r w:rsidRPr="00305372">
        <w:rPr>
          <w:rFonts w:ascii="Garamond" w:hAnsi="Garamond"/>
        </w:rPr>
        <w:t xml:space="preserve"> </w:t>
      </w:r>
      <w:r w:rsidRPr="00305372">
        <w:rPr>
          <w:rFonts w:ascii="Garamond" w:hAnsi="Garamond"/>
        </w:rPr>
        <w:t>C</w:t>
      </w:r>
      <w:r w:rsidRPr="00305372">
        <w:rPr>
          <w:rFonts w:ascii="Garamond" w:hAnsi="Garamond"/>
        </w:rPr>
        <w:t>orrespondingly</w:t>
      </w:r>
      <w:r w:rsidRPr="00305372">
        <w:rPr>
          <w:rFonts w:ascii="Garamond" w:hAnsi="Garamond"/>
        </w:rPr>
        <w:t>,</w:t>
      </w:r>
      <w:r w:rsidRPr="00305372">
        <w:rPr>
          <w:rFonts w:ascii="Garamond" w:hAnsi="Garamond"/>
        </w:rPr>
        <w:t xml:space="preserve"> there </w:t>
      </w:r>
      <w:r w:rsidRPr="00305372">
        <w:rPr>
          <w:rFonts w:ascii="Garamond" w:hAnsi="Garamond"/>
        </w:rPr>
        <w:t>has been an</w:t>
      </w:r>
      <w:r w:rsidRPr="00305372">
        <w:rPr>
          <w:rFonts w:ascii="Garamond" w:hAnsi="Garamond"/>
        </w:rPr>
        <w:t xml:space="preserve"> increase in social retail trading </w:t>
      </w:r>
      <w:r w:rsidRPr="00305372">
        <w:rPr>
          <w:rFonts w:ascii="Garamond" w:hAnsi="Garamond"/>
          <w:noProof/>
        </w:rPr>
        <w:t>(Mills et al., 2024)</w:t>
      </w:r>
      <w:r w:rsidRPr="00305372">
        <w:rPr>
          <w:rFonts w:ascii="Garamond" w:hAnsi="Garamond"/>
        </w:rPr>
        <w:t xml:space="preserve"> </w:t>
      </w:r>
      <w:r w:rsidRPr="00305372">
        <w:rPr>
          <w:rFonts w:ascii="Garamond" w:hAnsi="Garamond"/>
        </w:rPr>
        <w:t>where</w:t>
      </w:r>
      <w:r w:rsidRPr="00305372">
        <w:rPr>
          <w:rFonts w:ascii="Garamond" w:hAnsi="Garamond"/>
        </w:rPr>
        <w:t xml:space="preserve"> often inexperienced investors garner</w:t>
      </w:r>
      <w:r w:rsidRPr="00305372">
        <w:rPr>
          <w:rFonts w:ascii="Garamond" w:hAnsi="Garamond"/>
        </w:rPr>
        <w:t xml:space="preserve"> investment</w:t>
      </w:r>
      <w:r w:rsidRPr="00305372">
        <w:rPr>
          <w:rFonts w:ascii="Garamond" w:hAnsi="Garamond"/>
        </w:rPr>
        <w:t xml:space="preserve"> information from social media</w:t>
      </w:r>
      <w:r w:rsidRPr="00305372">
        <w:rPr>
          <w:rFonts w:ascii="Garamond" w:hAnsi="Garamond"/>
        </w:rPr>
        <w:t>. Engagement with financial markets is typically mediated by</w:t>
      </w:r>
      <w:r w:rsidRPr="00305372">
        <w:rPr>
          <w:rFonts w:ascii="Garamond" w:hAnsi="Garamond"/>
        </w:rPr>
        <w:t xml:space="preserve"> smartphone applications</w:t>
      </w:r>
      <w:r w:rsidRPr="00305372">
        <w:rPr>
          <w:rFonts w:ascii="Garamond" w:hAnsi="Garamond"/>
        </w:rPr>
        <w:t>. This new type of invest</w:t>
      </w:r>
      <w:r w:rsidRPr="00305372">
        <w:rPr>
          <w:rFonts w:ascii="Garamond" w:hAnsi="Garamond"/>
        </w:rPr>
        <w:t>ing style</w:t>
      </w:r>
      <w:r w:rsidRPr="00305372">
        <w:rPr>
          <w:rFonts w:ascii="Garamond" w:hAnsi="Garamond"/>
        </w:rPr>
        <w:t xml:space="preserve"> is frequently characterised as trading based on hype, rumour and excitement.</w:t>
      </w:r>
    </w:p>
    <w:p w:rsidR="00305372" w:rsidRPr="00305372" w:rsidP="00A66953">
      <w:pPr>
        <w:rPr>
          <w:rFonts w:ascii="Garamond" w:hAnsi="Garamond"/>
        </w:rPr>
      </w:pPr>
      <w:r w:rsidRPr="00305372">
        <w:rPr>
          <w:rFonts w:ascii="Garamond" w:hAnsi="Garamond"/>
        </w:rPr>
        <w:t xml:space="preserve">Perhaps the most famous example is the January 2021 Gamestop Short Squeeze, where an online investment community (the WallStreetBets Subreddit) began frenzied trading of the Gamestop </w:t>
      </w:r>
      <w:r w:rsidRPr="00305372">
        <w:rPr>
          <w:rFonts w:ascii="Garamond" w:hAnsi="Garamond"/>
        </w:rPr>
        <w:t>s</w:t>
      </w:r>
      <w:r w:rsidRPr="00305372">
        <w:rPr>
          <w:rFonts w:ascii="Garamond" w:hAnsi="Garamond"/>
        </w:rPr>
        <w:t>tock</w:t>
      </w:r>
      <w:r w:rsidRPr="00305372">
        <w:rPr>
          <w:rFonts w:ascii="Garamond" w:hAnsi="Garamond"/>
        </w:rPr>
        <w:t>,</w:t>
      </w:r>
      <w:r w:rsidRPr="00305372">
        <w:rPr>
          <w:rFonts w:ascii="Garamond" w:hAnsi="Garamond"/>
        </w:rPr>
        <w:t xml:space="preserve"> significantly increasing its price. </w:t>
      </w:r>
      <w:r w:rsidRPr="00305372">
        <w:rPr>
          <w:rFonts w:ascii="Garamond" w:hAnsi="Garamond"/>
        </w:rPr>
        <w:t>As a result,</w:t>
      </w:r>
      <w:r w:rsidRPr="00305372">
        <w:rPr>
          <w:rFonts w:ascii="Garamond" w:hAnsi="Garamond"/>
        </w:rPr>
        <w:t xml:space="preserve"> various </w:t>
      </w:r>
      <w:r w:rsidRPr="00305372">
        <w:rPr>
          <w:rFonts w:ascii="Garamond" w:hAnsi="Garamond"/>
        </w:rPr>
        <w:t>hedge funds</w:t>
      </w:r>
      <w:r w:rsidRPr="00305372">
        <w:rPr>
          <w:rFonts w:ascii="Garamond" w:hAnsi="Garamond"/>
        </w:rPr>
        <w:t xml:space="preserve"> who had bet against the stock (shorted) </w:t>
      </w:r>
      <w:r w:rsidRPr="00305372">
        <w:rPr>
          <w:rFonts w:ascii="Garamond" w:hAnsi="Garamond"/>
        </w:rPr>
        <w:t xml:space="preserve">suffered </w:t>
      </w:r>
      <w:r w:rsidRPr="00305372">
        <w:rPr>
          <w:rFonts w:ascii="Garamond" w:hAnsi="Garamond"/>
        </w:rPr>
        <w:t>significant losses</w:t>
      </w:r>
      <w:r w:rsidRPr="00305372">
        <w:rPr>
          <w:rFonts w:ascii="Garamond" w:hAnsi="Garamond"/>
        </w:rPr>
        <w:t xml:space="preserve"> – a social narrative which acted as a vector driving further retail trading activity</w:t>
      </w:r>
      <w:r w:rsidRPr="00305372">
        <w:rPr>
          <w:rFonts w:ascii="Garamond" w:hAnsi="Garamond"/>
        </w:rPr>
        <w:t>. The momentum driving the increase in stock price is not easily understood in traditional financial terms</w:t>
      </w:r>
      <w:r w:rsidRPr="00305372">
        <w:rPr>
          <w:rFonts w:ascii="Garamond" w:hAnsi="Garamond"/>
        </w:rPr>
        <w:t xml:space="preserve"> around valuing investments based on realistic future returns</w:t>
      </w:r>
      <w:r w:rsidRPr="00305372">
        <w:rPr>
          <w:rFonts w:ascii="Garamond" w:hAnsi="Garamond"/>
        </w:rPr>
        <w:t xml:space="preserve"> </w:t>
      </w:r>
      <w:r w:rsidRPr="00305372">
        <w:rPr>
          <w:rFonts w:ascii="Garamond" w:hAnsi="Garamond"/>
          <w:noProof/>
        </w:rPr>
        <w:t>(Simister &amp; Whittle, 2013)</w:t>
      </w:r>
      <w:r w:rsidRPr="00305372">
        <w:rPr>
          <w:rFonts w:ascii="Garamond" w:hAnsi="Garamond"/>
        </w:rPr>
        <w:t xml:space="preserve">. Rather, social retail trading is often driven by </w:t>
      </w:r>
      <w:r w:rsidRPr="00305372">
        <w:rPr>
          <w:rFonts w:ascii="Garamond" w:hAnsi="Garamond"/>
        </w:rPr>
        <w:t>social narratives which intermix with genuine financial goals and economic anxieties</w:t>
      </w:r>
      <w:r w:rsidRPr="00305372">
        <w:rPr>
          <w:rFonts w:ascii="Garamond" w:hAnsi="Garamond"/>
        </w:rPr>
        <w:t xml:space="preserve"> </w:t>
      </w:r>
      <w:r w:rsidRPr="00305372">
        <w:rPr>
          <w:rFonts w:ascii="Garamond" w:hAnsi="Garamond"/>
          <w:noProof/>
        </w:rPr>
        <w:t>(Mills et al., 2024)</w:t>
      </w:r>
      <w:r w:rsidRPr="00305372">
        <w:rPr>
          <w:rFonts w:ascii="Garamond" w:hAnsi="Garamond"/>
        </w:rPr>
        <w:t xml:space="preserve">. </w:t>
      </w:r>
      <w:r w:rsidRPr="00305372">
        <w:rPr>
          <w:rFonts w:ascii="Garamond" w:hAnsi="Garamond"/>
        </w:rPr>
        <w:t xml:space="preserve">Of particular interest to regulators is the idea of individuals perceiving themselves as left behind financially – often pointing to previous generations owning their homes compared to </w:t>
      </w:r>
      <w:r w:rsidRPr="00305372">
        <w:rPr>
          <w:rFonts w:ascii="Garamond" w:hAnsi="Garamond"/>
          <w:i/>
          <w:iCs/>
        </w:rPr>
        <w:t>their</w:t>
      </w:r>
      <w:r w:rsidRPr="00305372">
        <w:rPr>
          <w:rFonts w:ascii="Garamond" w:hAnsi="Garamond"/>
        </w:rPr>
        <w:t xml:space="preserve"> renting precarity</w:t>
      </w:r>
      <w:r w:rsidRPr="00305372">
        <w:rPr>
          <w:rFonts w:ascii="Garamond" w:hAnsi="Garamond"/>
        </w:rPr>
        <w:t xml:space="preserve"> – as well as other anxieties around indebtedness and wage stagnation. A</w:t>
      </w:r>
      <w:r w:rsidRPr="00305372">
        <w:rPr>
          <w:rFonts w:ascii="Garamond" w:hAnsi="Garamond"/>
        </w:rPr>
        <w:t xml:space="preserve">s a result, </w:t>
      </w:r>
      <w:r w:rsidRPr="00305372">
        <w:rPr>
          <w:rFonts w:ascii="Garamond" w:hAnsi="Garamond"/>
        </w:rPr>
        <w:t>social retail investors</w:t>
      </w:r>
      <w:r w:rsidRPr="00305372">
        <w:rPr>
          <w:rFonts w:ascii="Garamond" w:hAnsi="Garamond"/>
        </w:rPr>
        <w:t xml:space="preserve"> will </w:t>
      </w:r>
      <w:r w:rsidRPr="00305372">
        <w:rPr>
          <w:rFonts w:ascii="Garamond" w:hAnsi="Garamond"/>
        </w:rPr>
        <w:t>enter into</w:t>
      </w:r>
      <w:r w:rsidRPr="00305372">
        <w:rPr>
          <w:rFonts w:ascii="Garamond" w:hAnsi="Garamond"/>
        </w:rPr>
        <w:t xml:space="preserve"> desperation trades</w:t>
      </w:r>
      <w:r w:rsidRPr="00305372">
        <w:rPr>
          <w:rFonts w:ascii="Garamond" w:hAnsi="Garamond"/>
        </w:rPr>
        <w:t xml:space="preserve"> – what has been called generational expectations theor</w:t>
      </w:r>
      <w:r w:rsidRPr="00305372">
        <w:rPr>
          <w:rFonts w:ascii="Garamond" w:hAnsi="Garamond"/>
        </w:rPr>
        <w:t>y</w:t>
      </w:r>
      <w:r w:rsidRPr="00305372">
        <w:rPr>
          <w:rFonts w:ascii="Garamond" w:hAnsi="Garamond"/>
        </w:rPr>
        <w:t>.</w:t>
      </w:r>
    </w:p>
    <w:p w:rsidR="00305372" w:rsidRPr="00305372" w:rsidP="00A66953">
      <w:pPr>
        <w:rPr>
          <w:rFonts w:ascii="Garamond" w:hAnsi="Garamond"/>
        </w:rPr>
      </w:pPr>
      <w:r w:rsidRPr="00305372">
        <w:rPr>
          <w:rFonts w:ascii="Garamond" w:hAnsi="Garamond"/>
        </w:rPr>
        <w:t xml:space="preserve">These </w:t>
      </w:r>
      <w:r w:rsidRPr="00305372">
        <w:rPr>
          <w:rFonts w:ascii="Garamond" w:hAnsi="Garamond"/>
        </w:rPr>
        <w:t>behaviours are</w:t>
      </w:r>
      <w:r w:rsidRPr="00305372">
        <w:rPr>
          <w:rFonts w:ascii="Garamond" w:hAnsi="Garamond"/>
        </w:rPr>
        <w:t xml:space="preserve"> far closer to gambling in characteristic</w:t>
      </w:r>
      <w:r w:rsidRPr="00305372">
        <w:rPr>
          <w:rFonts w:ascii="Garamond" w:hAnsi="Garamond"/>
        </w:rPr>
        <w:t>.</w:t>
      </w:r>
      <w:r w:rsidRPr="00305372">
        <w:rPr>
          <w:rFonts w:ascii="Garamond" w:hAnsi="Garamond"/>
        </w:rPr>
        <w:t xml:space="preserve"> </w:t>
      </w:r>
      <w:r w:rsidRPr="00305372">
        <w:rPr>
          <w:rFonts w:ascii="Garamond" w:hAnsi="Garamond"/>
        </w:rPr>
        <w:t>In many instances,</w:t>
      </w:r>
      <w:r w:rsidRPr="00305372">
        <w:rPr>
          <w:rFonts w:ascii="Garamond" w:hAnsi="Garamond"/>
        </w:rPr>
        <w:t xml:space="preserve"> a social retail trader will trade, not with the intention of steady or even moderately </w:t>
      </w:r>
      <w:r w:rsidRPr="00305372">
        <w:rPr>
          <w:rFonts w:ascii="Garamond" w:hAnsi="Garamond"/>
        </w:rPr>
        <w:t xml:space="preserve">large </w:t>
      </w:r>
      <w:r w:rsidRPr="00305372">
        <w:rPr>
          <w:rFonts w:ascii="Garamond" w:hAnsi="Garamond"/>
        </w:rPr>
        <w:t>returns</w:t>
      </w:r>
      <w:r w:rsidRPr="00305372">
        <w:rPr>
          <w:rFonts w:ascii="Garamond" w:hAnsi="Garamond"/>
        </w:rPr>
        <w:t>, but</w:t>
      </w:r>
      <w:r w:rsidRPr="00305372">
        <w:rPr>
          <w:rFonts w:ascii="Garamond" w:hAnsi="Garamond"/>
        </w:rPr>
        <w:t xml:space="preserve"> to</w:t>
      </w:r>
      <w:r w:rsidRPr="00305372">
        <w:rPr>
          <w:rFonts w:ascii="Garamond" w:hAnsi="Garamond"/>
        </w:rPr>
        <w:t xml:space="preserve"> chase a spectacular gain</w:t>
      </w:r>
      <w:r w:rsidRPr="00305372">
        <w:rPr>
          <w:rFonts w:ascii="Garamond" w:hAnsi="Garamond"/>
        </w:rPr>
        <w:t xml:space="preserve"> with a correspondingly small </w:t>
      </w:r>
      <w:r w:rsidRPr="00305372">
        <w:rPr>
          <w:rFonts w:ascii="Garamond" w:hAnsi="Garamond"/>
        </w:rPr>
        <w:t>likelihood</w:t>
      </w:r>
      <w:r w:rsidRPr="00305372">
        <w:rPr>
          <w:rFonts w:ascii="Garamond" w:hAnsi="Garamond"/>
        </w:rPr>
        <w:t xml:space="preserve">. This ‘gamblification’ of investment </w:t>
      </w:r>
      <w:r w:rsidRPr="00305372">
        <w:rPr>
          <w:rFonts w:ascii="Garamond" w:hAnsi="Garamond"/>
          <w:noProof/>
        </w:rPr>
        <w:t xml:space="preserve">(Newall &amp; Weiss-Cohen, </w:t>
      </w:r>
      <w:r w:rsidRPr="00305372">
        <w:rPr>
          <w:rFonts w:ascii="Garamond" w:hAnsi="Garamond"/>
          <w:noProof/>
        </w:rPr>
        <w:t>2022)</w:t>
      </w:r>
      <w:r w:rsidRPr="00305372">
        <w:rPr>
          <w:rFonts w:ascii="Garamond" w:hAnsi="Garamond"/>
        </w:rPr>
        <w:t xml:space="preserve"> drives new definitions of consumer understanding and requires new techniques to understand consumer choice and decision making in online financial services. In the Gamestop Short Squeeze, social r</w:t>
      </w:r>
      <w:r w:rsidRPr="00305372">
        <w:rPr>
          <w:rFonts w:ascii="Garamond" w:hAnsi="Garamond"/>
        </w:rPr>
        <w:t xml:space="preserve">etail traders required returns of at least 36% </w:t>
      </w:r>
      <w:r w:rsidRPr="00305372">
        <w:rPr>
          <w:rFonts w:ascii="Garamond" w:hAnsi="Garamond"/>
        </w:rPr>
        <w:t>in order to</w:t>
      </w:r>
      <w:r w:rsidRPr="00305372">
        <w:rPr>
          <w:rFonts w:ascii="Garamond" w:hAnsi="Garamond"/>
        </w:rPr>
        <w:t xml:space="preserve"> be satisfied </w:t>
      </w:r>
      <w:r w:rsidRPr="00305372">
        <w:rPr>
          <w:rFonts w:ascii="Garamond" w:hAnsi="Garamond"/>
          <w:noProof/>
        </w:rPr>
        <w:t>(Mills et al., 2024)</w:t>
      </w:r>
      <w:r w:rsidRPr="00305372">
        <w:rPr>
          <w:rFonts w:ascii="Garamond" w:hAnsi="Garamond"/>
        </w:rPr>
        <w:t>.</w:t>
      </w:r>
      <w:r w:rsidRPr="00305372">
        <w:rPr>
          <w:rFonts w:ascii="Garamond" w:hAnsi="Garamond"/>
        </w:rPr>
        <w:t xml:space="preserve"> This compares to the average market return of 14% over the period examined.</w:t>
      </w:r>
    </w:p>
    <w:p w:rsidR="00305372" w:rsidRPr="00305372" w:rsidP="00893BED">
      <w:pPr>
        <w:pStyle w:val="NoSpacing"/>
      </w:pPr>
      <w:r w:rsidRPr="00305372">
        <w:rPr>
          <w:rFonts w:ascii="Garamond" w:hAnsi="Garamond"/>
        </w:rPr>
        <w:t xml:space="preserve">The Financial Conduct Authority’s Consumer Duty requires that Financial Services Firms ensure that customers understand the products they are taking out and are making informed decisions </w:t>
      </w:r>
      <w:r w:rsidRPr="00305372">
        <w:rPr>
          <w:rFonts w:ascii="Garamond" w:hAnsi="Garamond"/>
          <w:noProof/>
        </w:rPr>
        <w:t>(F. C. Authority, 2022)</w:t>
      </w:r>
      <w:r w:rsidRPr="00305372">
        <w:rPr>
          <w:rFonts w:ascii="Garamond" w:hAnsi="Garamond"/>
        </w:rPr>
        <w:t xml:space="preserve">. </w:t>
      </w:r>
      <w:r w:rsidRPr="00305372">
        <w:rPr>
          <w:rFonts w:ascii="Garamond" w:hAnsi="Garamond"/>
        </w:rPr>
        <w:t>Financial Services Firms are required under the duty to understand</w:t>
      </w:r>
      <w:r w:rsidRPr="00305372">
        <w:t xml:space="preserve"> </w:t>
      </w:r>
      <w:r w:rsidRPr="00305372">
        <w:rPr>
          <w:rFonts w:ascii="Garamond" w:hAnsi="Garamond"/>
        </w:rPr>
        <w:t>their customers’ behavioural biases to be able to assist customers with decision making. Importantly</w:t>
      </w:r>
      <w:r w:rsidRPr="00305372">
        <w:rPr>
          <w:rFonts w:ascii="Garamond" w:hAnsi="Garamond"/>
        </w:rPr>
        <w:t>,</w:t>
      </w:r>
      <w:r w:rsidRPr="00305372">
        <w:rPr>
          <w:rFonts w:ascii="Garamond" w:hAnsi="Garamond"/>
        </w:rPr>
        <w:t xml:space="preserve"> the </w:t>
      </w:r>
      <w:r w:rsidRPr="00305372">
        <w:rPr>
          <w:rFonts w:ascii="Garamond" w:hAnsi="Garamond"/>
        </w:rPr>
        <w:t>C</w:t>
      </w:r>
      <w:r w:rsidRPr="00305372">
        <w:rPr>
          <w:rFonts w:ascii="Garamond" w:hAnsi="Garamond"/>
        </w:rPr>
        <w:t xml:space="preserve">onsumer </w:t>
      </w:r>
      <w:r w:rsidRPr="00305372">
        <w:rPr>
          <w:rFonts w:ascii="Garamond" w:hAnsi="Garamond"/>
        </w:rPr>
        <w:t>D</w:t>
      </w:r>
      <w:r w:rsidRPr="00305372">
        <w:rPr>
          <w:rFonts w:ascii="Garamond" w:hAnsi="Garamond"/>
        </w:rPr>
        <w:t xml:space="preserve">uty places the responsibility of consumers protection from their own behavioural biases on </w:t>
      </w:r>
      <w:r w:rsidRPr="00305372">
        <w:rPr>
          <w:rFonts w:ascii="Garamond" w:hAnsi="Garamond"/>
        </w:rPr>
        <w:t>Fi</w:t>
      </w:r>
      <w:r w:rsidRPr="00305372">
        <w:rPr>
          <w:rFonts w:ascii="Garamond" w:hAnsi="Garamond"/>
        </w:rPr>
        <w:t xml:space="preserve">nancial </w:t>
      </w:r>
      <w:r w:rsidRPr="00305372">
        <w:rPr>
          <w:rFonts w:ascii="Garamond" w:hAnsi="Garamond"/>
        </w:rPr>
        <w:t>S</w:t>
      </w:r>
      <w:r w:rsidRPr="00305372">
        <w:rPr>
          <w:rFonts w:ascii="Garamond" w:hAnsi="Garamond"/>
        </w:rPr>
        <w:t xml:space="preserve">ervices </w:t>
      </w:r>
      <w:r w:rsidRPr="00305372">
        <w:rPr>
          <w:rFonts w:ascii="Garamond" w:hAnsi="Garamond"/>
        </w:rPr>
        <w:t>F</w:t>
      </w:r>
      <w:r w:rsidRPr="00305372">
        <w:rPr>
          <w:rFonts w:ascii="Garamond" w:hAnsi="Garamond"/>
        </w:rPr>
        <w:t xml:space="preserve">irms </w:t>
      </w:r>
      <w:r w:rsidRPr="00305372">
        <w:rPr>
          <w:rFonts w:ascii="Garamond" w:hAnsi="Garamond"/>
          <w:noProof/>
        </w:rPr>
        <w:t>(Whittle, 2024)</w:t>
      </w:r>
      <w:r w:rsidRPr="00305372">
        <w:rPr>
          <w:rFonts w:ascii="Garamond" w:hAnsi="Garamond"/>
        </w:rPr>
        <w:t>.</w:t>
      </w:r>
      <w:r w:rsidRPr="00305372">
        <w:rPr>
          <w:rFonts w:ascii="Garamond" w:hAnsi="Garamond"/>
        </w:rPr>
        <w:t xml:space="preserve"> </w:t>
      </w:r>
      <w:r w:rsidRPr="00305372">
        <w:rPr>
          <w:rFonts w:ascii="Garamond" w:hAnsi="Garamond"/>
        </w:rPr>
        <w:t xml:space="preserve">Global regulation of new financial products can be particularly difficult </w:t>
      </w:r>
      <w:r w:rsidRPr="00305372">
        <w:rPr>
          <w:rFonts w:ascii="Garamond" w:hAnsi="Garamond"/>
          <w:noProof/>
        </w:rPr>
        <w:t>(Brown &amp; Whittle, 2020)</w:t>
      </w:r>
      <w:r w:rsidRPr="00305372">
        <w:rPr>
          <w:rFonts w:ascii="Garamond" w:hAnsi="Garamond"/>
        </w:rPr>
        <w:t xml:space="preserve">. </w:t>
      </w:r>
      <w:r w:rsidRPr="00305372">
        <w:rPr>
          <w:rFonts w:ascii="Garamond" w:hAnsi="Garamond"/>
        </w:rPr>
        <w:t>Assessing consumer understanding is highly complex</w:t>
      </w:r>
      <w:r w:rsidRPr="00305372">
        <w:rPr>
          <w:rFonts w:ascii="Garamond" w:hAnsi="Garamond"/>
        </w:rPr>
        <w:t>, and increasingly so as barriers between social media behaviour and financial market behaviour are blurred by technology and financial innovations</w:t>
      </w:r>
      <w:r w:rsidRPr="00305372">
        <w:rPr>
          <w:rFonts w:ascii="Garamond" w:hAnsi="Garamond"/>
        </w:rPr>
        <w:t xml:space="preserve"> </w:t>
      </w:r>
      <w:r w:rsidRPr="00305372">
        <w:rPr>
          <w:rFonts w:ascii="Garamond" w:hAnsi="Garamond"/>
          <w:noProof/>
        </w:rPr>
        <w:t>(Mills et al., 2023; Whittle, 2024)</w:t>
      </w:r>
      <w:r w:rsidRPr="00305372">
        <w:rPr>
          <w:rFonts w:ascii="Garamond" w:hAnsi="Garamond"/>
        </w:rPr>
        <w:t>. Nevertheless,</w:t>
      </w:r>
      <w:r w:rsidRPr="00305372">
        <w:rPr>
          <w:rFonts w:ascii="Garamond" w:hAnsi="Garamond"/>
        </w:rPr>
        <w:t xml:space="preserve"> </w:t>
      </w:r>
      <w:r w:rsidRPr="00305372">
        <w:rPr>
          <w:rFonts w:ascii="Garamond" w:hAnsi="Garamond"/>
        </w:rPr>
        <w:t xml:space="preserve">under </w:t>
      </w:r>
      <w:r w:rsidRPr="00305372">
        <w:rPr>
          <w:rFonts w:ascii="Garamond" w:hAnsi="Garamond"/>
        </w:rPr>
        <w:t xml:space="preserve">the Consumer Duty (see objective 3) firms must ensure that the customer </w:t>
      </w:r>
      <w:r w:rsidRPr="00305372">
        <w:rPr>
          <w:rFonts w:ascii="Garamond" w:hAnsi="Garamond"/>
        </w:rPr>
        <w:t>actually understands</w:t>
      </w:r>
      <w:r w:rsidRPr="00305372">
        <w:rPr>
          <w:rFonts w:ascii="Garamond" w:hAnsi="Garamond"/>
        </w:rPr>
        <w:t xml:space="preserve"> their choice.</w:t>
      </w:r>
      <w:r w:rsidRPr="00305372">
        <w:t xml:space="preserve"> </w:t>
      </w:r>
      <w:r w:rsidRPr="00305372">
        <w:br/>
      </w:r>
      <w:r w:rsidRPr="00305372">
        <w:br/>
      </w:r>
      <w:r w:rsidRPr="00305372">
        <w:rPr>
          <w:rStyle w:val="Heading2Char"/>
          <w:b/>
          <w:bCs/>
          <w:sz w:val="24"/>
          <w:szCs w:val="24"/>
        </w:rPr>
        <w:t>How can we assess</w:t>
      </w:r>
      <w:r w:rsidRPr="00305372">
        <w:rPr>
          <w:rStyle w:val="Heading2Char"/>
          <w:b/>
          <w:bCs/>
          <w:sz w:val="24"/>
          <w:szCs w:val="24"/>
        </w:rPr>
        <w:t xml:space="preserve"> informed decis</w:t>
      </w:r>
      <w:r w:rsidRPr="00305372">
        <w:rPr>
          <w:rStyle w:val="Heading2Char"/>
          <w:b/>
          <w:bCs/>
          <w:sz w:val="24"/>
          <w:szCs w:val="24"/>
        </w:rPr>
        <w:t>ion making</w:t>
      </w:r>
      <w:r w:rsidRPr="00305372">
        <w:rPr>
          <w:rStyle w:val="Heading2Char"/>
          <w:b/>
          <w:bCs/>
          <w:sz w:val="24"/>
          <w:szCs w:val="24"/>
        </w:rPr>
        <w:t>?</w:t>
      </w:r>
      <w:r w:rsidRPr="00305372">
        <w:br/>
      </w:r>
    </w:p>
    <w:p w:rsidR="00305372" w:rsidRPr="00305372" w:rsidP="00893BED">
      <w:pPr>
        <w:pStyle w:val="NoSpacing"/>
        <w:rPr>
          <w:rFonts w:ascii="Garamond" w:hAnsi="Garamond"/>
        </w:rPr>
      </w:pPr>
      <w:r w:rsidRPr="00305372">
        <w:rPr>
          <w:rFonts w:ascii="Garamond" w:hAnsi="Garamond"/>
        </w:rPr>
        <w:t>Unfortunately, simply asking someone if they understand the choices they have made is not particularly illuminating. Firstly, there are numerous reasons why someone may perceive they understand</w:t>
      </w:r>
      <w:r w:rsidRPr="00305372">
        <w:rPr>
          <w:rFonts w:ascii="Garamond" w:hAnsi="Garamond"/>
        </w:rPr>
        <w:t xml:space="preserve">. </w:t>
      </w:r>
      <w:r w:rsidRPr="00305372">
        <w:rPr>
          <w:rFonts w:ascii="Garamond" w:hAnsi="Garamond"/>
        </w:rPr>
        <w:t xml:space="preserve">They may extrapolate from a little knowledge </w:t>
      </w:r>
      <w:r w:rsidRPr="00305372">
        <w:rPr>
          <w:rFonts w:ascii="Garamond" w:hAnsi="Garamond"/>
          <w:noProof/>
        </w:rPr>
        <w:t>(Paez &amp; Mallery, 2014)</w:t>
      </w:r>
      <w:r w:rsidRPr="00305372">
        <w:rPr>
          <w:rFonts w:ascii="Garamond" w:hAnsi="Garamond"/>
        </w:rPr>
        <w:t xml:space="preserve">, display a range of behavioural biases </w:t>
      </w:r>
      <w:r w:rsidRPr="00305372">
        <w:rPr>
          <w:rFonts w:ascii="Garamond" w:hAnsi="Garamond"/>
          <w:noProof/>
        </w:rPr>
        <w:t>(Pompian, 2012)</w:t>
      </w:r>
      <w:r w:rsidRPr="00305372">
        <w:rPr>
          <w:rFonts w:ascii="Garamond" w:hAnsi="Garamond"/>
        </w:rPr>
        <w:t xml:space="preserve"> or an ‘illusion of knowing’ </w:t>
      </w:r>
      <w:r w:rsidRPr="00305372">
        <w:rPr>
          <w:rFonts w:ascii="Garamond" w:hAnsi="Garamond"/>
          <w:noProof/>
        </w:rPr>
        <w:t>(Kruger &amp; Dunning, 1999)</w:t>
      </w:r>
      <w:r w:rsidRPr="00305372">
        <w:rPr>
          <w:rFonts w:ascii="Garamond" w:hAnsi="Garamond"/>
        </w:rPr>
        <w:t xml:space="preserve"> </w:t>
      </w:r>
      <w:r w:rsidRPr="00305372">
        <w:rPr>
          <w:rFonts w:ascii="Garamond" w:hAnsi="Garamond"/>
        </w:rPr>
        <w:t xml:space="preserve">are all factors in an overreporting of financial understanding </w:t>
      </w:r>
      <w:r w:rsidRPr="00305372">
        <w:rPr>
          <w:rFonts w:ascii="Garamond" w:hAnsi="Garamond"/>
          <w:noProof/>
        </w:rPr>
        <w:t>(Balasubramnian &amp; Sargent, 2020)</w:t>
      </w:r>
      <w:r w:rsidRPr="00305372">
        <w:rPr>
          <w:rFonts w:ascii="Garamond" w:hAnsi="Garamond"/>
        </w:rPr>
        <w:t>.</w:t>
      </w:r>
      <w:r w:rsidRPr="00305372">
        <w:rPr>
          <w:rFonts w:ascii="Garamond" w:hAnsi="Garamond"/>
        </w:rPr>
        <w:t xml:space="preserve"> Decision making is often be frustrated by environmental factors which shape outlook and understanding of information, and such factors can be intentionally or unintentionally influenced by design choices</w:t>
      </w:r>
      <w:r w:rsidRPr="00305372">
        <w:rPr>
          <w:rFonts w:ascii="Garamond" w:hAnsi="Garamond"/>
        </w:rPr>
        <w:t xml:space="preserve"> </w:t>
      </w:r>
      <w:r w:rsidRPr="00305372">
        <w:rPr>
          <w:rFonts w:ascii="Garamond" w:hAnsi="Garamond"/>
          <w:noProof/>
        </w:rPr>
        <w:t>(Mills, 2024a)</w:t>
      </w:r>
    </w:p>
    <w:p w:rsidR="00305372" w:rsidRPr="00305372" w:rsidP="00893BED">
      <w:pPr>
        <w:pStyle w:val="NoSpacing"/>
        <w:rPr>
          <w:rFonts w:ascii="Garamond" w:hAnsi="Garamond"/>
        </w:rPr>
      </w:pPr>
    </w:p>
    <w:p w:rsidR="00305372" w:rsidRPr="00305372" w:rsidP="00893BED">
      <w:pPr>
        <w:pStyle w:val="NoSpacing"/>
        <w:rPr>
          <w:rFonts w:ascii="Garamond" w:hAnsi="Garamond"/>
        </w:rPr>
      </w:pPr>
      <w:r w:rsidRPr="00305372">
        <w:rPr>
          <w:rFonts w:ascii="Garamond" w:hAnsi="Garamond"/>
        </w:rPr>
        <w:t xml:space="preserve">Decisions </w:t>
      </w:r>
      <w:r w:rsidRPr="00305372">
        <w:rPr>
          <w:rFonts w:ascii="Garamond" w:hAnsi="Garamond"/>
        </w:rPr>
        <w:t>are</w:t>
      </w:r>
      <w:r w:rsidRPr="00305372">
        <w:rPr>
          <w:rFonts w:ascii="Garamond" w:hAnsi="Garamond"/>
        </w:rPr>
        <w:t xml:space="preserve"> shaped by </w:t>
      </w:r>
      <w:r w:rsidRPr="00305372">
        <w:rPr>
          <w:rFonts w:ascii="Garamond" w:hAnsi="Garamond"/>
        </w:rPr>
        <w:t xml:space="preserve">Online Choice Architecture (OCA). </w:t>
      </w:r>
      <w:r w:rsidRPr="00305372">
        <w:rPr>
          <w:rFonts w:ascii="Garamond" w:hAnsi="Garamond"/>
        </w:rPr>
        <w:t xml:space="preserve">The </w:t>
      </w:r>
      <w:r w:rsidRPr="00305372">
        <w:rPr>
          <w:rFonts w:ascii="Garamond" w:hAnsi="Garamond"/>
        </w:rPr>
        <w:t xml:space="preserve">UK’s </w:t>
      </w:r>
      <w:r w:rsidRPr="00305372">
        <w:rPr>
          <w:rFonts w:ascii="Garamond" w:hAnsi="Garamond"/>
        </w:rPr>
        <w:t>Competition and Market</w:t>
      </w:r>
      <w:r w:rsidRPr="00305372">
        <w:rPr>
          <w:rFonts w:ascii="Garamond" w:hAnsi="Garamond"/>
        </w:rPr>
        <w:t xml:space="preserve">s Authority (CMA) </w:t>
      </w:r>
      <w:r w:rsidRPr="00305372">
        <w:rPr>
          <w:rFonts w:ascii="Garamond" w:hAnsi="Garamond"/>
        </w:rPr>
        <w:t>define Online Choice Architecture as</w:t>
      </w:r>
      <w:r w:rsidRPr="00305372">
        <w:rPr>
          <w:rFonts w:ascii="Garamond" w:hAnsi="Garamond"/>
        </w:rPr>
        <w:t xml:space="preserve"> </w:t>
      </w:r>
      <w:r w:rsidRPr="00305372">
        <w:rPr>
          <w:rFonts w:ascii="Garamond" w:hAnsi="Garamond"/>
          <w:b/>
          <w:bCs/>
        </w:rPr>
        <w:t>“</w:t>
      </w:r>
      <w:r w:rsidRPr="00305372">
        <w:rPr>
          <w:rFonts w:ascii="Garamond" w:hAnsi="Garamond"/>
        </w:rPr>
        <w:t>the environment in which users act and make decisions, including the presentation and placement of choices and the design of interfaces</w:t>
      </w:r>
      <w:r w:rsidRPr="00305372">
        <w:rPr>
          <w:rFonts w:ascii="Garamond" w:hAnsi="Garamond"/>
          <w:b/>
          <w:bCs/>
        </w:rPr>
        <w:t>”</w:t>
      </w:r>
      <w:r w:rsidRPr="00305372">
        <w:rPr>
          <w:rFonts w:ascii="Garamond" w:hAnsi="Garamond"/>
        </w:rPr>
        <w:t xml:space="preserve"> </w:t>
      </w:r>
      <w:r w:rsidRPr="00305372">
        <w:rPr>
          <w:rFonts w:ascii="Garamond" w:hAnsi="Garamond"/>
          <w:noProof/>
        </w:rPr>
        <w:t>(C. M. Authority, 2022)</w:t>
      </w:r>
      <w:r w:rsidRPr="00305372">
        <w:rPr>
          <w:rFonts w:ascii="Garamond" w:hAnsi="Garamond"/>
        </w:rPr>
        <w:t>.</w:t>
      </w:r>
      <w:r w:rsidRPr="00305372">
        <w:rPr>
          <w:rFonts w:ascii="Garamond" w:hAnsi="Garamond"/>
          <w:b/>
          <w:bCs/>
        </w:rPr>
        <w:t xml:space="preserve"> </w:t>
      </w:r>
      <w:r w:rsidRPr="00305372">
        <w:rPr>
          <w:rFonts w:ascii="Garamond" w:hAnsi="Garamond"/>
        </w:rPr>
        <w:t xml:space="preserve"> </w:t>
      </w:r>
      <w:r w:rsidRPr="00305372">
        <w:rPr>
          <w:rFonts w:ascii="Garamond" w:hAnsi="Garamond"/>
        </w:rPr>
        <w:t>Whilst OCA can be used for the benefit of consumers</w:t>
      </w:r>
      <w:r w:rsidRPr="00305372">
        <w:rPr>
          <w:rFonts w:ascii="Garamond" w:hAnsi="Garamond"/>
        </w:rPr>
        <w:t xml:space="preserve"> – </w:t>
      </w:r>
      <w:r w:rsidRPr="00305372">
        <w:rPr>
          <w:rFonts w:ascii="Garamond" w:hAnsi="Garamond"/>
        </w:rPr>
        <w:t xml:space="preserve">The FCA consumer duty requires </w:t>
      </w:r>
      <w:r w:rsidRPr="00305372">
        <w:rPr>
          <w:rFonts w:ascii="Garamond" w:hAnsi="Garamond"/>
        </w:rPr>
        <w:t>steering people toward optimum outcomes</w:t>
      </w:r>
      <w:r w:rsidRPr="00305372">
        <w:rPr>
          <w:rFonts w:ascii="Garamond" w:hAnsi="Garamond"/>
        </w:rPr>
        <w:t xml:space="preserve"> through informative OCA design</w:t>
      </w:r>
      <w:r w:rsidRPr="00305372">
        <w:rPr>
          <w:rFonts w:ascii="Garamond" w:hAnsi="Garamond"/>
        </w:rPr>
        <w:t xml:space="preserve"> </w:t>
      </w:r>
      <w:r w:rsidRPr="00305372">
        <w:rPr>
          <w:rFonts w:ascii="Garamond" w:hAnsi="Garamond"/>
          <w:noProof/>
        </w:rPr>
        <w:t>(Whittle, 2024)</w:t>
      </w:r>
      <w:r w:rsidRPr="00305372">
        <w:rPr>
          <w:rFonts w:ascii="Garamond" w:hAnsi="Garamond"/>
        </w:rPr>
        <w:t xml:space="preserve"> </w:t>
      </w:r>
      <w:r w:rsidRPr="00305372">
        <w:rPr>
          <w:rFonts w:ascii="Garamond" w:hAnsi="Garamond"/>
        </w:rPr>
        <w:t>–</w:t>
      </w:r>
      <w:r w:rsidRPr="00305372">
        <w:rPr>
          <w:rFonts w:ascii="Garamond" w:hAnsi="Garamond"/>
        </w:rPr>
        <w:t xml:space="preserve"> </w:t>
      </w:r>
      <w:r w:rsidRPr="00305372">
        <w:rPr>
          <w:rFonts w:ascii="Garamond" w:hAnsi="Garamond"/>
        </w:rPr>
        <w:t>unscrupulous architects can develop OCA which ‘tricks</w:t>
      </w:r>
      <w:r w:rsidRPr="00305372">
        <w:rPr>
          <w:rFonts w:ascii="Garamond" w:hAnsi="Garamond"/>
        </w:rPr>
        <w:t xml:space="preserve"> </w:t>
      </w:r>
      <w:r w:rsidRPr="00305372">
        <w:rPr>
          <w:rFonts w:ascii="Garamond" w:hAnsi="Garamond"/>
        </w:rPr>
        <w:t>or manipulates’</w:t>
      </w:r>
      <w:r w:rsidRPr="00305372">
        <w:rPr>
          <w:rFonts w:ascii="Garamond" w:hAnsi="Garamond"/>
        </w:rPr>
        <w:t xml:space="preserve"> users into doing something suboptimal</w:t>
      </w:r>
      <w:r w:rsidRPr="00305372">
        <w:rPr>
          <w:rFonts w:ascii="Garamond" w:hAnsi="Garamond"/>
        </w:rPr>
        <w:t xml:space="preserve"> </w:t>
      </w:r>
      <w:r w:rsidRPr="00305372">
        <w:rPr>
          <w:rFonts w:ascii="Garamond" w:hAnsi="Garamond"/>
          <w:noProof/>
        </w:rPr>
        <w:t>(Brignull, 2011)</w:t>
      </w:r>
      <w:r w:rsidRPr="00305372">
        <w:rPr>
          <w:rFonts w:ascii="Garamond" w:hAnsi="Garamond"/>
        </w:rPr>
        <w:t xml:space="preserve">. Perhaps spending more than they intended or giving away more of their data than they want to or understand they are doing. </w:t>
      </w:r>
      <w:r w:rsidRPr="00305372">
        <w:rPr>
          <w:rFonts w:ascii="Garamond" w:hAnsi="Garamond"/>
        </w:rPr>
        <w:t>The CMA term this Harmful Online Choice Architecture</w:t>
      </w:r>
      <w:r w:rsidRPr="00305372">
        <w:rPr>
          <w:rFonts w:ascii="Garamond" w:hAnsi="Garamond"/>
        </w:rPr>
        <w:t xml:space="preserve"> </w:t>
      </w:r>
      <w:r w:rsidRPr="00305372">
        <w:rPr>
          <w:rFonts w:ascii="Garamond" w:hAnsi="Garamond"/>
          <w:noProof/>
        </w:rPr>
        <w:t>(C. M. Authority, 2022)</w:t>
      </w:r>
      <w:r w:rsidRPr="00305372">
        <w:rPr>
          <w:rFonts w:ascii="Garamond" w:hAnsi="Garamond"/>
        </w:rPr>
        <w:t xml:space="preserve">. Returning to financial decision making, the design of some smartphone applications have been shown to encourage </w:t>
      </w:r>
      <w:r w:rsidRPr="00305372">
        <w:rPr>
          <w:rFonts w:ascii="Garamond" w:hAnsi="Garamond"/>
        </w:rPr>
        <w:t xml:space="preserve">risky or rapid trading </w:t>
      </w:r>
      <w:r w:rsidRPr="00305372">
        <w:rPr>
          <w:rFonts w:ascii="Garamond" w:hAnsi="Garamond"/>
          <w:noProof/>
        </w:rPr>
        <w:t>(Packin et al., 2024)</w:t>
      </w:r>
      <w:r w:rsidRPr="00305372">
        <w:rPr>
          <w:rFonts w:ascii="Garamond" w:hAnsi="Garamond"/>
        </w:rPr>
        <w:t>.</w:t>
      </w:r>
      <w:r w:rsidRPr="00305372">
        <w:rPr>
          <w:rFonts w:ascii="Garamond" w:hAnsi="Garamond"/>
        </w:rPr>
        <w:br/>
      </w:r>
      <w:r w:rsidRPr="00305372">
        <w:rPr>
          <w:rFonts w:ascii="Garamond" w:hAnsi="Garamond"/>
        </w:rPr>
        <w:br/>
      </w:r>
      <w:r w:rsidRPr="00305372">
        <w:rPr>
          <w:rFonts w:ascii="Garamond" w:hAnsi="Garamond"/>
        </w:rPr>
        <w:t>Behavioural Audits</w:t>
      </w:r>
      <w:r w:rsidRPr="00305372">
        <w:rPr>
          <w:rFonts w:ascii="Garamond" w:hAnsi="Garamond"/>
        </w:rPr>
        <w:t xml:space="preserve"> -</w:t>
      </w:r>
      <w:r w:rsidRPr="00305372">
        <w:rPr>
          <w:rFonts w:ascii="Garamond" w:hAnsi="Garamond"/>
        </w:rPr>
        <w:t xml:space="preserve"> where a human expert in behavioural science navigates an OCA to determine if there are </w:t>
      </w:r>
      <w:r w:rsidRPr="00305372">
        <w:rPr>
          <w:rFonts w:ascii="Garamond" w:hAnsi="Garamond"/>
        </w:rPr>
        <w:t>e</w:t>
      </w:r>
      <w:r w:rsidRPr="00305372">
        <w:rPr>
          <w:rFonts w:ascii="Garamond" w:hAnsi="Garamond"/>
        </w:rPr>
        <w:t>lements of ha</w:t>
      </w:r>
      <w:r w:rsidRPr="00305372">
        <w:rPr>
          <w:rFonts w:ascii="Garamond" w:hAnsi="Garamond"/>
        </w:rPr>
        <w:t>rm, manipulation or persuasi</w:t>
      </w:r>
      <w:r w:rsidRPr="00305372">
        <w:rPr>
          <w:rFonts w:ascii="Garamond" w:hAnsi="Garamond"/>
        </w:rPr>
        <w:t>on</w:t>
      </w:r>
      <w:r w:rsidRPr="00305372">
        <w:rPr>
          <w:rFonts w:ascii="Garamond" w:hAnsi="Garamond"/>
        </w:rPr>
        <w:t xml:space="preserve"> – are proposed </w:t>
      </w:r>
      <w:r w:rsidRPr="00305372">
        <w:rPr>
          <w:rFonts w:ascii="Garamond" w:hAnsi="Garamond"/>
          <w:noProof/>
        </w:rPr>
        <w:t>(Mills, 2024b)</w:t>
      </w:r>
      <w:r w:rsidRPr="00305372">
        <w:rPr>
          <w:rFonts w:ascii="Garamond" w:hAnsi="Garamond"/>
        </w:rPr>
        <w:t xml:space="preserve"> as tools for regulators to determine if an OCA is detrimental</w:t>
      </w:r>
      <w:r w:rsidRPr="00305372">
        <w:rPr>
          <w:rFonts w:ascii="Garamond" w:hAnsi="Garamond"/>
        </w:rPr>
        <w:t xml:space="preserve">. Harmful OCA is </w:t>
      </w:r>
      <w:r w:rsidRPr="00305372">
        <w:rPr>
          <w:rFonts w:ascii="Garamond" w:hAnsi="Garamond"/>
        </w:rPr>
        <w:t>legislated against</w:t>
      </w:r>
      <w:r w:rsidRPr="00305372">
        <w:rPr>
          <w:rFonts w:ascii="Garamond" w:hAnsi="Garamond"/>
        </w:rPr>
        <w:t>.</w:t>
      </w:r>
      <w:r w:rsidRPr="00305372">
        <w:rPr>
          <w:rFonts w:ascii="Garamond" w:hAnsi="Garamond"/>
        </w:rPr>
        <w:t xml:space="preserve"> </w:t>
      </w:r>
      <w:r w:rsidRPr="00305372">
        <w:rPr>
          <w:rFonts w:ascii="Garamond" w:hAnsi="Garamond"/>
        </w:rPr>
        <w:t>I</w:t>
      </w:r>
      <w:r w:rsidRPr="00305372">
        <w:rPr>
          <w:rFonts w:ascii="Garamond" w:hAnsi="Garamond"/>
        </w:rPr>
        <w:t>n the U</w:t>
      </w:r>
      <w:r w:rsidRPr="00305372">
        <w:rPr>
          <w:rFonts w:ascii="Garamond" w:hAnsi="Garamond"/>
        </w:rPr>
        <w:t>K,</w:t>
      </w:r>
      <w:r w:rsidRPr="00305372">
        <w:rPr>
          <w:rFonts w:ascii="Garamond" w:hAnsi="Garamond"/>
        </w:rPr>
        <w:t xml:space="preserve"> </w:t>
      </w:r>
      <w:r w:rsidRPr="00305372">
        <w:rPr>
          <w:rFonts w:ascii="Garamond" w:hAnsi="Garamond"/>
        </w:rPr>
        <w:t>t</w:t>
      </w:r>
      <w:r w:rsidRPr="00305372">
        <w:rPr>
          <w:rFonts w:ascii="Garamond" w:hAnsi="Garamond"/>
        </w:rPr>
        <w:t xml:space="preserve">he Digital </w:t>
      </w:r>
      <w:r w:rsidRPr="00305372">
        <w:rPr>
          <w:rFonts w:ascii="Garamond" w:hAnsi="Garamond"/>
        </w:rPr>
        <w:t>M</w:t>
      </w:r>
      <w:r w:rsidRPr="00305372">
        <w:rPr>
          <w:rFonts w:ascii="Garamond" w:hAnsi="Garamond"/>
        </w:rPr>
        <w:t>arkets, C</w:t>
      </w:r>
      <w:r w:rsidRPr="00305372">
        <w:rPr>
          <w:rFonts w:ascii="Garamond" w:hAnsi="Garamond"/>
        </w:rPr>
        <w:t>ompetition and Consumers Act</w:t>
      </w:r>
      <w:r w:rsidRPr="00305372">
        <w:rPr>
          <w:rFonts w:ascii="Garamond" w:hAnsi="Garamond"/>
        </w:rPr>
        <w:t xml:space="preserve"> (2024) </w:t>
      </w:r>
      <w:r w:rsidRPr="00305372">
        <w:rPr>
          <w:rFonts w:ascii="Garamond" w:hAnsi="Garamond"/>
        </w:rPr>
        <w:t xml:space="preserve">is due to come into effect </w:t>
      </w:r>
      <w:r w:rsidRPr="00305372">
        <w:rPr>
          <w:rFonts w:ascii="Garamond" w:hAnsi="Garamond"/>
        </w:rPr>
        <w:t xml:space="preserve">in </w:t>
      </w:r>
      <w:r w:rsidRPr="00305372">
        <w:rPr>
          <w:rFonts w:ascii="Garamond" w:hAnsi="Garamond"/>
        </w:rPr>
        <w:t xml:space="preserve">April 2025 </w:t>
      </w:r>
      <w:r w:rsidRPr="00305372">
        <w:rPr>
          <w:rFonts w:ascii="Garamond" w:hAnsi="Garamond"/>
        </w:rPr>
        <w:t xml:space="preserve">with </w:t>
      </w:r>
      <w:r w:rsidRPr="00305372">
        <w:rPr>
          <w:rFonts w:ascii="Garamond" w:hAnsi="Garamond"/>
        </w:rPr>
        <w:t>harmful OCA as one of the CMA’s enforcement policies</w:t>
      </w:r>
      <w:r>
        <w:rPr>
          <w:rStyle w:val="FootnoteReference"/>
          <w:rFonts w:ascii="Garamond" w:hAnsi="Garamond"/>
        </w:rPr>
        <w:footnoteReference w:id="5"/>
      </w:r>
      <w:r w:rsidRPr="00305372">
        <w:rPr>
          <w:rFonts w:ascii="Garamond" w:hAnsi="Garamond"/>
        </w:rPr>
        <w:t xml:space="preserve">. </w:t>
      </w:r>
      <w:r w:rsidRPr="00305372">
        <w:rPr>
          <w:rFonts w:ascii="Garamond" w:hAnsi="Garamond"/>
        </w:rPr>
        <w:t xml:space="preserve">The </w:t>
      </w:r>
      <w:r w:rsidRPr="00305372">
        <w:rPr>
          <w:rFonts w:ascii="Garamond" w:hAnsi="Garamond"/>
        </w:rPr>
        <w:t xml:space="preserve">detection and prevention of harmful OCA </w:t>
      </w:r>
      <w:r w:rsidRPr="00305372">
        <w:rPr>
          <w:rFonts w:ascii="Garamond" w:hAnsi="Garamond"/>
        </w:rPr>
        <w:t xml:space="preserve">is key to the FCA’s Consumer Duty. </w:t>
      </w:r>
      <w:r w:rsidRPr="00305372">
        <w:rPr>
          <w:rFonts w:ascii="Garamond" w:hAnsi="Garamond"/>
        </w:rPr>
        <w:t>When implementing the Consumer Duty, the UK’s Financial Conduct Authority (FCA) noted</w:t>
      </w:r>
      <w:r w:rsidRPr="00305372">
        <w:rPr>
          <w:rFonts w:ascii="Garamond" w:hAnsi="Garamond"/>
        </w:rPr>
        <w:t>,</w:t>
      </w:r>
      <w:r w:rsidRPr="00305372">
        <w:rPr>
          <w:rFonts w:ascii="Garamond" w:hAnsi="Garamond"/>
        </w:rPr>
        <w:t xml:space="preserve"> as an example of bad practice, an organisation</w:t>
      </w:r>
      <w:r w:rsidRPr="00305372">
        <w:rPr>
          <w:rFonts w:ascii="Garamond" w:hAnsi="Garamond"/>
        </w:rPr>
        <w:t>’</w:t>
      </w:r>
      <w:r w:rsidRPr="00305372">
        <w:rPr>
          <w:rFonts w:ascii="Garamond" w:hAnsi="Garamond"/>
        </w:rPr>
        <w:t>s design of a convoluted opt-in process to access a higher interest rate. What made this particularly egregious in the FCA’s eyes was that the firm’s own internal behavioural testing had suggested that their customer base was unlikely to persevere with the process and successfully obtain a higher</w:t>
      </w:r>
      <w:r w:rsidRPr="00305372">
        <w:rPr>
          <w:rFonts w:ascii="Garamond" w:hAnsi="Garamond"/>
        </w:rPr>
        <w:t xml:space="preserve"> interest rate </w:t>
      </w:r>
      <w:r w:rsidRPr="00305372">
        <w:rPr>
          <w:rFonts w:ascii="Garamond" w:hAnsi="Garamond"/>
          <w:noProof/>
        </w:rPr>
        <w:t>(Whittle, 2024)</w:t>
      </w:r>
      <w:r w:rsidRPr="00305372">
        <w:rPr>
          <w:rFonts w:ascii="Garamond" w:hAnsi="Garamond"/>
        </w:rPr>
        <w:t>.</w:t>
      </w:r>
      <w:r w:rsidRPr="00305372">
        <w:rPr>
          <w:rFonts w:ascii="Garamond" w:hAnsi="Garamond"/>
        </w:rPr>
        <w:t xml:space="preserve"> This is a classic example of intentional</w:t>
      </w:r>
      <w:r w:rsidRPr="00305372">
        <w:rPr>
          <w:rFonts w:ascii="Garamond" w:hAnsi="Garamond"/>
        </w:rPr>
        <w:t>ly</w:t>
      </w:r>
      <w:r w:rsidRPr="00305372">
        <w:rPr>
          <w:rFonts w:ascii="Garamond" w:hAnsi="Garamond"/>
        </w:rPr>
        <w:t xml:space="preserve"> harmful OCA. </w:t>
      </w:r>
      <w:r w:rsidRPr="00305372">
        <w:rPr>
          <w:rFonts w:ascii="Garamond" w:hAnsi="Garamond"/>
        </w:rPr>
        <w:t>Intentionality is generally a matter for legal proceedings</w:t>
      </w:r>
      <w:r w:rsidRPr="00305372">
        <w:rPr>
          <w:rFonts w:ascii="Garamond" w:hAnsi="Garamond"/>
        </w:rPr>
        <w:t>. In</w:t>
      </w:r>
      <w:r w:rsidRPr="00305372">
        <w:rPr>
          <w:rFonts w:ascii="Garamond" w:hAnsi="Garamond"/>
        </w:rPr>
        <w:t xml:space="preserve"> the above example</w:t>
      </w:r>
      <w:r w:rsidRPr="00305372">
        <w:rPr>
          <w:rFonts w:ascii="Garamond" w:hAnsi="Garamond"/>
        </w:rPr>
        <w:t>,</w:t>
      </w:r>
      <w:r w:rsidRPr="00305372">
        <w:rPr>
          <w:rFonts w:ascii="Garamond" w:hAnsi="Garamond"/>
        </w:rPr>
        <w:t xml:space="preserve"> </w:t>
      </w:r>
      <w:r w:rsidRPr="00305372">
        <w:rPr>
          <w:rFonts w:ascii="Garamond" w:hAnsi="Garamond"/>
        </w:rPr>
        <w:t>t</w:t>
      </w:r>
      <w:r w:rsidRPr="00305372">
        <w:rPr>
          <w:rFonts w:ascii="Garamond" w:hAnsi="Garamond"/>
        </w:rPr>
        <w:t xml:space="preserve">he FCA investigated and found evidence of intentionality. </w:t>
      </w:r>
      <w:r w:rsidRPr="00305372">
        <w:rPr>
          <w:rFonts w:ascii="Garamond" w:hAnsi="Garamond"/>
        </w:rPr>
        <w:t>Behavioural Audit processes generally can only assess if an OCA is harmful, not i</w:t>
      </w:r>
      <w:r w:rsidRPr="00305372">
        <w:rPr>
          <w:rFonts w:ascii="Garamond" w:hAnsi="Garamond"/>
        </w:rPr>
        <w:t>f</w:t>
      </w:r>
      <w:r w:rsidRPr="00305372">
        <w:rPr>
          <w:rFonts w:ascii="Garamond" w:hAnsi="Garamond"/>
        </w:rPr>
        <w:t xml:space="preserve"> it was </w:t>
      </w:r>
      <w:r w:rsidRPr="00305372">
        <w:rPr>
          <w:rFonts w:ascii="Garamond" w:hAnsi="Garamond"/>
        </w:rPr>
        <w:t>unscrupulously</w:t>
      </w:r>
      <w:r w:rsidRPr="00305372">
        <w:rPr>
          <w:rFonts w:ascii="Garamond" w:hAnsi="Garamond"/>
        </w:rPr>
        <w:t xml:space="preserve"> designed to be so. </w:t>
      </w:r>
      <w:r w:rsidRPr="00305372">
        <w:rPr>
          <w:rFonts w:ascii="Garamond" w:hAnsi="Garamond"/>
        </w:rPr>
        <w:t>Indeed,</w:t>
      </w:r>
      <w:r w:rsidRPr="00305372">
        <w:rPr>
          <w:rFonts w:ascii="Garamond" w:hAnsi="Garamond"/>
        </w:rPr>
        <w:t xml:space="preserve"> harmful OCA can arise f</w:t>
      </w:r>
      <w:r w:rsidRPr="00305372">
        <w:rPr>
          <w:rFonts w:ascii="Garamond" w:hAnsi="Garamond"/>
        </w:rPr>
        <w:t>rom negligence, carelessness or simply operating on a platform with outdated</w:t>
      </w:r>
      <w:r w:rsidRPr="00305372">
        <w:rPr>
          <w:rFonts w:ascii="Garamond" w:hAnsi="Garamond"/>
        </w:rPr>
        <w:t xml:space="preserve"> OCA, or OCA developed in </w:t>
      </w:r>
      <w:r w:rsidRPr="00305372">
        <w:rPr>
          <w:rFonts w:ascii="Garamond" w:hAnsi="Garamond"/>
        </w:rPr>
        <w:t>jurisdictions where decept</w:t>
      </w:r>
      <w:r w:rsidRPr="00305372">
        <w:rPr>
          <w:rFonts w:ascii="Garamond" w:hAnsi="Garamond"/>
        </w:rPr>
        <w:t xml:space="preserve">ive design is less regulated against. </w:t>
      </w:r>
      <w:r w:rsidRPr="00305372">
        <w:rPr>
          <w:rFonts w:ascii="Garamond" w:hAnsi="Garamond"/>
        </w:rPr>
        <w:t xml:space="preserve"> </w:t>
      </w:r>
      <w:r w:rsidRPr="00305372">
        <w:rPr>
          <w:rFonts w:ascii="Garamond" w:hAnsi="Garamond"/>
        </w:rPr>
        <w:br/>
      </w:r>
      <w:r w:rsidRPr="00305372">
        <w:rPr>
          <w:rFonts w:ascii="Garamond" w:hAnsi="Garamond"/>
        </w:rPr>
        <w:br/>
      </w:r>
      <w:r w:rsidRPr="00305372">
        <w:rPr>
          <w:rFonts w:ascii="Garamond" w:hAnsi="Garamond"/>
        </w:rPr>
        <w:t xml:space="preserve">We are </w:t>
      </w:r>
      <w:r w:rsidRPr="00305372">
        <w:rPr>
          <w:rFonts w:ascii="Garamond" w:hAnsi="Garamond"/>
        </w:rPr>
        <w:t xml:space="preserve">simply </w:t>
      </w:r>
      <w:r w:rsidRPr="00305372">
        <w:rPr>
          <w:rFonts w:ascii="Garamond" w:hAnsi="Garamond"/>
        </w:rPr>
        <w:t>concerned with identifying if OCA is considered harmful in a UK context.</w:t>
      </w:r>
      <w:r w:rsidRPr="00305372">
        <w:rPr>
          <w:rFonts w:ascii="Garamond" w:hAnsi="Garamond"/>
        </w:rPr>
        <w:t xml:space="preserve"> Our research below will demonstrate to the committee </w:t>
      </w:r>
      <w:r w:rsidRPr="00305372">
        <w:rPr>
          <w:rFonts w:ascii="Garamond" w:hAnsi="Garamond"/>
        </w:rPr>
        <w:t xml:space="preserve">that </w:t>
      </w:r>
      <w:r w:rsidRPr="00305372">
        <w:rPr>
          <w:rFonts w:ascii="Garamond" w:hAnsi="Garamond"/>
        </w:rPr>
        <w:t>Generative AI can have</w:t>
      </w:r>
      <w:r w:rsidRPr="00305372">
        <w:rPr>
          <w:rFonts w:ascii="Garamond" w:hAnsi="Garamond"/>
        </w:rPr>
        <w:t xml:space="preserve"> a useful and </w:t>
      </w:r>
      <w:r w:rsidRPr="00305372">
        <w:rPr>
          <w:rFonts w:ascii="Garamond" w:hAnsi="Garamond"/>
        </w:rPr>
        <w:t>cost-effective</w:t>
      </w:r>
      <w:r w:rsidRPr="00305372">
        <w:rPr>
          <w:rFonts w:ascii="Garamond" w:hAnsi="Garamond"/>
        </w:rPr>
        <w:t xml:space="preserve"> role in harmful OCA detection</w:t>
      </w:r>
      <w:r w:rsidRPr="00305372">
        <w:rPr>
          <w:rFonts w:ascii="Garamond" w:hAnsi="Garamond"/>
        </w:rPr>
        <w:t xml:space="preserve">, both for the Financial Services Regulator and firms conducting internal audits </w:t>
      </w:r>
      <w:r w:rsidRPr="00305372">
        <w:rPr>
          <w:rFonts w:ascii="Garamond" w:hAnsi="Garamond"/>
        </w:rPr>
        <w:t xml:space="preserve">to identify harmful OCA. </w:t>
      </w:r>
      <w:r w:rsidRPr="00305372">
        <w:rPr>
          <w:rFonts w:ascii="Garamond" w:hAnsi="Garamond"/>
        </w:rPr>
        <w:t xml:space="preserve">  </w:t>
      </w:r>
      <w:r w:rsidRPr="00305372">
        <w:rPr>
          <w:rFonts w:ascii="Garamond" w:hAnsi="Garamond"/>
        </w:rPr>
        <w:br/>
      </w:r>
      <w:r w:rsidRPr="00305372">
        <w:rPr>
          <w:rFonts w:ascii="Garamond" w:hAnsi="Garamond"/>
          <w:sz w:val="24"/>
          <w:szCs w:val="24"/>
        </w:rPr>
        <w:br/>
      </w:r>
      <w:r w:rsidRPr="00305372">
        <w:rPr>
          <w:rStyle w:val="Heading2Char"/>
          <w:b/>
          <w:bCs/>
          <w:sz w:val="24"/>
          <w:szCs w:val="24"/>
        </w:rPr>
        <w:t xml:space="preserve">Auditing </w:t>
      </w:r>
      <w:r w:rsidRPr="00305372">
        <w:rPr>
          <w:rStyle w:val="Heading2Char"/>
          <w:b/>
          <w:bCs/>
          <w:sz w:val="24"/>
          <w:szCs w:val="24"/>
        </w:rPr>
        <w:t>Online Choice Architectures in Financial Services</w:t>
      </w:r>
    </w:p>
    <w:p w:rsidR="00305372" w:rsidRPr="00305372" w:rsidP="00864368">
      <w:pPr>
        <w:rPr>
          <w:rFonts w:ascii="Garamond" w:hAnsi="Garamond"/>
        </w:rPr>
      </w:pPr>
      <w:r w:rsidRPr="00305372">
        <w:br/>
      </w:r>
      <w:r w:rsidRPr="00305372">
        <w:rPr>
          <w:rFonts w:ascii="Garamond" w:hAnsi="Garamond"/>
        </w:rPr>
        <w:t xml:space="preserve">The Behavioural Audit process </w:t>
      </w:r>
      <w:r w:rsidRPr="00305372">
        <w:rPr>
          <w:rFonts w:ascii="Garamond" w:hAnsi="Garamond"/>
        </w:rPr>
        <w:t>described by Mills (2024) is a human tas</w:t>
      </w:r>
      <w:r w:rsidRPr="00305372">
        <w:rPr>
          <w:rFonts w:ascii="Garamond" w:hAnsi="Garamond"/>
        </w:rPr>
        <w:t xml:space="preserve">k, but one </w:t>
      </w:r>
      <w:r w:rsidRPr="00305372">
        <w:rPr>
          <w:rFonts w:ascii="Garamond" w:hAnsi="Garamond"/>
        </w:rPr>
        <w:t>fraught</w:t>
      </w:r>
      <w:r w:rsidRPr="00305372">
        <w:rPr>
          <w:rFonts w:ascii="Garamond" w:hAnsi="Garamond"/>
        </w:rPr>
        <w:t xml:space="preserve"> with </w:t>
      </w:r>
      <w:r w:rsidRPr="00305372">
        <w:rPr>
          <w:rFonts w:ascii="Garamond" w:hAnsi="Garamond"/>
        </w:rPr>
        <w:t>difficulty.</w:t>
      </w:r>
      <w:r w:rsidRPr="00305372">
        <w:rPr>
          <w:rFonts w:ascii="Garamond" w:hAnsi="Garamond"/>
        </w:rPr>
        <w:t xml:space="preserve"> </w:t>
      </w:r>
      <w:r w:rsidRPr="00305372">
        <w:rPr>
          <w:rFonts w:ascii="Garamond" w:hAnsi="Garamond"/>
        </w:rPr>
        <w:t>Questions around who should audit</w:t>
      </w:r>
      <w:r w:rsidRPr="00305372">
        <w:rPr>
          <w:rFonts w:ascii="Garamond" w:hAnsi="Garamond"/>
        </w:rPr>
        <w:t xml:space="preserve">, what should the audit process </w:t>
      </w:r>
      <w:r w:rsidRPr="00305372">
        <w:rPr>
          <w:rFonts w:ascii="Garamond" w:hAnsi="Garamond"/>
        </w:rPr>
        <w:t xml:space="preserve">be </w:t>
      </w:r>
      <w:r w:rsidRPr="00305372">
        <w:rPr>
          <w:rFonts w:ascii="Garamond" w:hAnsi="Garamond"/>
        </w:rPr>
        <w:t xml:space="preserve">and what should be audited arise. </w:t>
      </w:r>
      <w:r w:rsidRPr="00305372">
        <w:rPr>
          <w:rFonts w:ascii="Garamond" w:hAnsi="Garamond"/>
        </w:rPr>
        <w:t>A further question arises</w:t>
      </w:r>
      <w:r w:rsidRPr="00305372">
        <w:rPr>
          <w:rFonts w:ascii="Garamond" w:hAnsi="Garamond"/>
        </w:rPr>
        <w:t>: c</w:t>
      </w:r>
      <w:r w:rsidRPr="00305372">
        <w:rPr>
          <w:rFonts w:ascii="Garamond" w:hAnsi="Garamond"/>
        </w:rPr>
        <w:t>an a human auditor put themselves in the mindset of another when investigating the subjectivity of harmful OCA</w:t>
      </w:r>
      <w:r w:rsidRPr="00305372">
        <w:rPr>
          <w:rFonts w:ascii="Garamond" w:hAnsi="Garamond"/>
        </w:rPr>
        <w:t>?</w:t>
      </w:r>
      <w:r w:rsidRPr="00305372">
        <w:rPr>
          <w:rFonts w:ascii="Garamond" w:hAnsi="Garamond"/>
        </w:rPr>
        <w:t xml:space="preserve"> </w:t>
      </w:r>
      <w:r w:rsidRPr="00305372">
        <w:rPr>
          <w:rFonts w:ascii="Garamond" w:hAnsi="Garamond"/>
        </w:rPr>
        <w:t>Experiences of OCA will vary across individuals, typically given variation in matters such as financial literacy</w:t>
      </w:r>
      <w:r w:rsidRPr="00305372">
        <w:rPr>
          <w:rFonts w:ascii="Garamond" w:hAnsi="Garamond"/>
        </w:rPr>
        <w:t>.</w:t>
      </w:r>
      <w:r w:rsidRPr="00305372">
        <w:rPr>
          <w:rFonts w:ascii="Garamond" w:hAnsi="Garamond"/>
        </w:rPr>
        <w:t xml:space="preserve"> Even expert auditors may report variation in their experiences of OCA.</w:t>
      </w:r>
      <w:r w:rsidRPr="00305372">
        <w:rPr>
          <w:rFonts w:ascii="Garamond" w:hAnsi="Garamond"/>
        </w:rPr>
        <w:t xml:space="preserve"> </w:t>
      </w:r>
      <w:r w:rsidRPr="00305372">
        <w:rPr>
          <w:rFonts w:ascii="Garamond" w:hAnsi="Garamond"/>
        </w:rPr>
        <w:t>A</w:t>
      </w:r>
      <w:r w:rsidRPr="00305372">
        <w:rPr>
          <w:rFonts w:ascii="Garamond" w:hAnsi="Garamond"/>
        </w:rPr>
        <w:t xml:space="preserve"> review of online services</w:t>
      </w:r>
      <w:r w:rsidRPr="00305372">
        <w:rPr>
          <w:rFonts w:ascii="Garamond" w:hAnsi="Garamond"/>
        </w:rPr>
        <w:t xml:space="preserve"> involving</w:t>
      </w:r>
      <w:r w:rsidRPr="00305372">
        <w:rPr>
          <w:rFonts w:ascii="Garamond" w:hAnsi="Garamond"/>
        </w:rPr>
        <w:t xml:space="preserve"> two auditors </w:t>
      </w:r>
      <w:r w:rsidRPr="00305372">
        <w:rPr>
          <w:rFonts w:ascii="Garamond" w:hAnsi="Garamond"/>
          <w:noProof/>
        </w:rPr>
        <w:t>(Mills et al., 2023)</w:t>
      </w:r>
      <w:r w:rsidRPr="00305372">
        <w:rPr>
          <w:rFonts w:ascii="Garamond" w:hAnsi="Garamond"/>
        </w:rPr>
        <w:t xml:space="preserve"> reported different experiences for some of the services. In one case one auditor </w:t>
      </w:r>
      <w:r w:rsidRPr="00305372">
        <w:rPr>
          <w:rFonts w:ascii="Garamond" w:hAnsi="Garamond"/>
        </w:rPr>
        <w:t xml:space="preserve">appeared to notice a </w:t>
      </w:r>
      <w:r w:rsidRPr="00305372">
        <w:rPr>
          <w:rFonts w:ascii="Garamond" w:hAnsi="Garamond"/>
        </w:rPr>
        <w:t>discrete cancellation process, one did not. Combatting all of this can also be a</w:t>
      </w:r>
      <w:r w:rsidRPr="00305372">
        <w:rPr>
          <w:rFonts w:ascii="Garamond" w:hAnsi="Garamond"/>
        </w:rPr>
        <w:t xml:space="preserve"> costly</w:t>
      </w:r>
      <w:r w:rsidRPr="00305372">
        <w:rPr>
          <w:rFonts w:ascii="Garamond" w:hAnsi="Garamond"/>
        </w:rPr>
        <w:t xml:space="preserve"> human process. Teams of auditors could compare results across </w:t>
      </w:r>
      <w:r w:rsidRPr="00305372">
        <w:rPr>
          <w:rFonts w:ascii="Garamond" w:hAnsi="Garamond"/>
        </w:rPr>
        <w:t>an OCA experience</w:t>
      </w:r>
      <w:r w:rsidRPr="00305372">
        <w:rPr>
          <w:rFonts w:ascii="Garamond" w:hAnsi="Garamond"/>
        </w:rPr>
        <w:t>,</w:t>
      </w:r>
      <w:r w:rsidRPr="00305372">
        <w:rPr>
          <w:rFonts w:ascii="Garamond" w:hAnsi="Garamond"/>
        </w:rPr>
        <w:t xml:space="preserve"> bringing in relevant user types</w:t>
      </w:r>
      <w:r w:rsidRPr="00305372">
        <w:rPr>
          <w:rFonts w:ascii="Garamond" w:hAnsi="Garamond"/>
        </w:rPr>
        <w:t xml:space="preserve"> </w:t>
      </w:r>
      <w:r w:rsidRPr="00305372">
        <w:rPr>
          <w:rFonts w:ascii="Garamond" w:hAnsi="Garamond"/>
        </w:rPr>
        <w:t>to gain</w:t>
      </w:r>
      <w:r w:rsidRPr="00305372">
        <w:rPr>
          <w:rFonts w:ascii="Garamond" w:hAnsi="Garamond"/>
        </w:rPr>
        <w:t xml:space="preserve"> external input into the process.</w:t>
      </w:r>
    </w:p>
    <w:p w:rsidR="00305372" w:rsidRPr="00305372" w:rsidP="00864368">
      <w:pPr>
        <w:rPr>
          <w:rFonts w:ascii="Garamond" w:hAnsi="Garamond"/>
        </w:rPr>
      </w:pPr>
      <w:r w:rsidRPr="00305372">
        <w:rPr>
          <w:rFonts w:ascii="Garamond" w:hAnsi="Garamond"/>
        </w:rPr>
        <w:t xml:space="preserve">One could default to more simple metrics. </w:t>
      </w:r>
      <w:r w:rsidRPr="00305372">
        <w:rPr>
          <w:rFonts w:ascii="Garamond" w:hAnsi="Garamond"/>
        </w:rPr>
        <w:t>To initially audit if OCA were possibly harmful</w:t>
      </w:r>
      <w:r w:rsidRPr="00305372">
        <w:rPr>
          <w:rFonts w:ascii="Garamond" w:hAnsi="Garamond"/>
        </w:rPr>
        <w:t>,</w:t>
      </w:r>
      <w:r w:rsidRPr="00305372">
        <w:rPr>
          <w:rFonts w:ascii="Garamond" w:hAnsi="Garamond"/>
        </w:rPr>
        <w:t xml:space="preserve"> Mills et al, (2023) begin by </w:t>
      </w:r>
      <w:r w:rsidRPr="00305372">
        <w:rPr>
          <w:rFonts w:ascii="Garamond" w:hAnsi="Garamond"/>
        </w:rPr>
        <w:t xml:space="preserve">examining the Equal Clicks Principle (ECP), </w:t>
      </w:r>
      <w:r w:rsidRPr="00305372">
        <w:rPr>
          <w:rFonts w:ascii="Garamond" w:hAnsi="Garamond"/>
        </w:rPr>
        <w:t>which</w:t>
      </w:r>
      <w:r w:rsidRPr="00305372">
        <w:rPr>
          <w:rFonts w:ascii="Garamond" w:hAnsi="Garamond"/>
        </w:rPr>
        <w:t xml:space="preserve"> seeks to determine if </w:t>
      </w:r>
      <w:r w:rsidRPr="00305372">
        <w:rPr>
          <w:rFonts w:ascii="Garamond" w:hAnsi="Garamond"/>
        </w:rPr>
        <w:t>a service is as easy to leave as to join</w:t>
      </w:r>
      <w:r w:rsidRPr="00305372">
        <w:rPr>
          <w:rFonts w:ascii="Garamond" w:hAnsi="Garamond"/>
        </w:rPr>
        <w:t>.</w:t>
      </w:r>
      <w:r w:rsidRPr="00305372">
        <w:rPr>
          <w:rFonts w:ascii="Garamond" w:hAnsi="Garamond"/>
        </w:rPr>
        <w:t xml:space="preserve"> </w:t>
      </w:r>
      <w:r w:rsidRPr="00305372">
        <w:rPr>
          <w:rFonts w:ascii="Garamond" w:hAnsi="Garamond"/>
        </w:rPr>
        <w:t>Those services which violate this principle, typically being harder to leave than to join, are likely candidates for harmful OCA</w:t>
      </w:r>
      <w:r w:rsidRPr="00305372">
        <w:rPr>
          <w:rFonts w:ascii="Garamond" w:hAnsi="Garamond"/>
        </w:rPr>
        <w:t>. However</w:t>
      </w:r>
      <w:r w:rsidRPr="00305372">
        <w:rPr>
          <w:rFonts w:ascii="Garamond" w:hAnsi="Garamond"/>
        </w:rPr>
        <w:t>,</w:t>
      </w:r>
      <w:r w:rsidRPr="00305372">
        <w:rPr>
          <w:rFonts w:ascii="Garamond" w:hAnsi="Garamond"/>
        </w:rPr>
        <w:t xml:space="preserve"> as the authors acknowledge</w:t>
      </w:r>
      <w:r w:rsidRPr="00305372">
        <w:rPr>
          <w:rFonts w:ascii="Garamond" w:hAnsi="Garamond"/>
        </w:rPr>
        <w:t>,</w:t>
      </w:r>
      <w:r w:rsidRPr="00305372">
        <w:rPr>
          <w:rFonts w:ascii="Garamond" w:hAnsi="Garamond"/>
        </w:rPr>
        <w:t xml:space="preserve"> </w:t>
      </w:r>
      <w:r w:rsidRPr="00305372">
        <w:rPr>
          <w:rFonts w:ascii="Garamond" w:hAnsi="Garamond"/>
        </w:rPr>
        <w:t xml:space="preserve">there are frequent desirable violations of this rule. </w:t>
      </w:r>
      <w:r w:rsidRPr="00305372">
        <w:rPr>
          <w:rFonts w:ascii="Garamond" w:hAnsi="Garamond"/>
        </w:rPr>
        <w:t>For instance</w:t>
      </w:r>
      <w:r w:rsidRPr="00305372">
        <w:rPr>
          <w:rFonts w:ascii="Garamond" w:hAnsi="Garamond"/>
        </w:rPr>
        <w:t xml:space="preserve">, in online gambling, difficulties in signing up, and ease of leaving, if likely to be highly advantageous. </w:t>
      </w:r>
      <w:r w:rsidRPr="00305372">
        <w:rPr>
          <w:rFonts w:ascii="Garamond" w:hAnsi="Garamond"/>
        </w:rPr>
        <w:t>Conversely, in</w:t>
      </w:r>
      <w:r w:rsidRPr="00305372">
        <w:rPr>
          <w:rFonts w:ascii="Garamond" w:hAnsi="Garamond"/>
        </w:rPr>
        <w:t xml:space="preserve"> retail banking,</w:t>
      </w:r>
      <w:r w:rsidRPr="00305372">
        <w:rPr>
          <w:rFonts w:ascii="Garamond" w:hAnsi="Garamond"/>
        </w:rPr>
        <w:t xml:space="preserve"> there are legitimate reasons why making it hard to close a bank account might be in the customer’s best interests (e.g., preventing fraud).</w:t>
      </w:r>
    </w:p>
    <w:p w:rsidR="00305372" w:rsidRPr="00305372" w:rsidP="00864368">
      <w:pPr>
        <w:rPr>
          <w:rFonts w:ascii="Garamond" w:hAnsi="Garamond"/>
        </w:rPr>
      </w:pPr>
      <w:r w:rsidRPr="00305372">
        <w:rPr>
          <w:rFonts w:ascii="Garamond" w:hAnsi="Garamond"/>
        </w:rPr>
        <w:t>Additionally, the incorporation of behavioural</w:t>
      </w:r>
      <w:r w:rsidRPr="00305372">
        <w:rPr>
          <w:rFonts w:ascii="Garamond" w:hAnsi="Garamond"/>
        </w:rPr>
        <w:t xml:space="preserve"> and psychological mechanisms into a design process can </w:t>
      </w:r>
      <w:r w:rsidRPr="00305372">
        <w:rPr>
          <w:rFonts w:ascii="Garamond" w:hAnsi="Garamond"/>
        </w:rPr>
        <w:t xml:space="preserve">increase the difficulty </w:t>
      </w:r>
      <w:r w:rsidRPr="00305372">
        <w:rPr>
          <w:rFonts w:ascii="Garamond" w:hAnsi="Garamond"/>
        </w:rPr>
        <w:t xml:space="preserve">for the user </w:t>
      </w:r>
      <w:r w:rsidRPr="00305372">
        <w:rPr>
          <w:rFonts w:ascii="Garamond" w:hAnsi="Garamond"/>
        </w:rPr>
        <w:t xml:space="preserve">in </w:t>
      </w:r>
      <w:r w:rsidRPr="00305372">
        <w:rPr>
          <w:rFonts w:ascii="Garamond" w:hAnsi="Garamond"/>
          <w:i/>
          <w:iCs/>
        </w:rPr>
        <w:t>actioning</w:t>
      </w:r>
      <w:r w:rsidRPr="00305372">
        <w:rPr>
          <w:rFonts w:ascii="Garamond" w:hAnsi="Garamond"/>
        </w:rPr>
        <w:t xml:space="preserve"> each click.</w:t>
      </w:r>
      <w:r w:rsidRPr="00305372">
        <w:rPr>
          <w:rFonts w:ascii="Garamond" w:hAnsi="Garamond"/>
        </w:rPr>
        <w:t xml:space="preserve"> This is to say, not all clicks are created equally.</w:t>
      </w:r>
      <w:r w:rsidRPr="00305372">
        <w:rPr>
          <w:rFonts w:ascii="Garamond" w:hAnsi="Garamond"/>
        </w:rPr>
        <w:t xml:space="preserve"> </w:t>
      </w:r>
      <w:r w:rsidRPr="00305372">
        <w:rPr>
          <w:rFonts w:ascii="Garamond" w:hAnsi="Garamond"/>
        </w:rPr>
        <w:t>If a</w:t>
      </w:r>
      <w:r w:rsidRPr="00305372">
        <w:rPr>
          <w:rFonts w:ascii="Garamond" w:hAnsi="Garamond"/>
        </w:rPr>
        <w:t xml:space="preserve"> service requires a few simple clicks to join, yet </w:t>
      </w:r>
      <w:r w:rsidRPr="00305372">
        <w:rPr>
          <w:rFonts w:ascii="Garamond" w:hAnsi="Garamond"/>
        </w:rPr>
        <w:t xml:space="preserve">the same number of exit clicks each require significant </w:t>
      </w:r>
      <w:r w:rsidRPr="00305372">
        <w:rPr>
          <w:rFonts w:ascii="Garamond" w:hAnsi="Garamond"/>
        </w:rPr>
        <w:t>time and onerous information</w:t>
      </w:r>
      <w:r w:rsidRPr="00305372">
        <w:rPr>
          <w:rFonts w:ascii="Garamond" w:hAnsi="Garamond"/>
        </w:rPr>
        <w:t xml:space="preserve">, </w:t>
      </w:r>
      <w:r w:rsidRPr="00305372">
        <w:rPr>
          <w:rFonts w:ascii="Garamond" w:hAnsi="Garamond"/>
        </w:rPr>
        <w:t>this process will</w:t>
      </w:r>
      <w:r w:rsidRPr="00305372">
        <w:rPr>
          <w:rFonts w:ascii="Garamond" w:hAnsi="Garamond"/>
        </w:rPr>
        <w:t xml:space="preserve"> </w:t>
      </w:r>
      <w:r w:rsidRPr="00305372">
        <w:rPr>
          <w:rFonts w:ascii="Garamond" w:hAnsi="Garamond"/>
        </w:rPr>
        <w:t>nominally adhere to the ECP but practically demonstrate potentially harmful OCA.</w:t>
      </w:r>
      <w:r w:rsidRPr="00305372">
        <w:rPr>
          <w:rFonts w:ascii="Garamond" w:hAnsi="Garamond"/>
        </w:rPr>
        <w:br/>
      </w:r>
      <w:r w:rsidRPr="00305372">
        <w:rPr>
          <w:rFonts w:ascii="Garamond" w:hAnsi="Garamond"/>
        </w:rPr>
        <w:br/>
      </w:r>
      <w:r w:rsidRPr="00305372">
        <w:rPr>
          <w:rFonts w:ascii="Garamond" w:hAnsi="Garamond"/>
        </w:rPr>
        <w:t xml:space="preserve">In </w:t>
      </w:r>
      <w:r w:rsidRPr="00305372">
        <w:rPr>
          <w:rFonts w:ascii="Garamond" w:hAnsi="Garamond"/>
        </w:rPr>
        <w:t xml:space="preserve">UK </w:t>
      </w:r>
      <w:r w:rsidRPr="00305372">
        <w:rPr>
          <w:rFonts w:ascii="Garamond" w:hAnsi="Garamond"/>
        </w:rPr>
        <w:t xml:space="preserve">financial </w:t>
      </w:r>
      <w:r w:rsidRPr="00305372">
        <w:rPr>
          <w:rFonts w:ascii="Garamond" w:hAnsi="Garamond"/>
        </w:rPr>
        <w:t>services</w:t>
      </w:r>
      <w:r w:rsidRPr="00305372">
        <w:rPr>
          <w:rFonts w:ascii="Garamond" w:hAnsi="Garamond"/>
        </w:rPr>
        <w:t>,</w:t>
      </w:r>
      <w:r w:rsidRPr="00305372">
        <w:rPr>
          <w:rFonts w:ascii="Garamond" w:hAnsi="Garamond"/>
        </w:rPr>
        <w:t xml:space="preserve"> </w:t>
      </w:r>
      <w:r w:rsidRPr="00305372">
        <w:rPr>
          <w:rFonts w:ascii="Garamond" w:hAnsi="Garamond"/>
        </w:rPr>
        <w:t xml:space="preserve">auditing each online decision process </w:t>
      </w:r>
      <w:r w:rsidRPr="00305372">
        <w:rPr>
          <w:rFonts w:ascii="Garamond" w:hAnsi="Garamond"/>
        </w:rPr>
        <w:t>is a Sisyphean task. Regulatory capac</w:t>
      </w:r>
      <w:r w:rsidRPr="00305372">
        <w:rPr>
          <w:rFonts w:ascii="Garamond" w:hAnsi="Garamond"/>
        </w:rPr>
        <w:t>ity and resource would be stretched far too thin</w:t>
      </w:r>
      <w:r w:rsidRPr="00305372">
        <w:rPr>
          <w:rFonts w:ascii="Garamond" w:hAnsi="Garamond"/>
        </w:rPr>
        <w:t>. A regulator could a</w:t>
      </w:r>
      <w:r w:rsidRPr="00305372">
        <w:rPr>
          <w:rFonts w:ascii="Garamond" w:hAnsi="Garamond"/>
        </w:rPr>
        <w:t>t</w:t>
      </w:r>
      <w:r w:rsidRPr="00305372">
        <w:rPr>
          <w:rFonts w:ascii="Garamond" w:hAnsi="Garamond"/>
        </w:rPr>
        <w:t xml:space="preserve"> best proactively sample </w:t>
      </w:r>
      <w:r w:rsidRPr="00305372">
        <w:rPr>
          <w:rFonts w:ascii="Garamond" w:hAnsi="Garamond"/>
        </w:rPr>
        <w:t xml:space="preserve">a </w:t>
      </w:r>
      <w:r w:rsidRPr="00305372">
        <w:rPr>
          <w:rFonts w:ascii="Garamond" w:hAnsi="Garamond"/>
        </w:rPr>
        <w:t>number of</w:t>
      </w:r>
      <w:r w:rsidRPr="00305372">
        <w:rPr>
          <w:rFonts w:ascii="Garamond" w:hAnsi="Garamond"/>
        </w:rPr>
        <w:t xml:space="preserve"> random processes, whilst also presumably </w:t>
      </w:r>
      <w:r w:rsidRPr="00305372">
        <w:rPr>
          <w:rFonts w:ascii="Garamond" w:hAnsi="Garamond"/>
        </w:rPr>
        <w:t xml:space="preserve">utilising this expertise reactively </w:t>
      </w:r>
      <w:r w:rsidRPr="00305372">
        <w:rPr>
          <w:rFonts w:ascii="Garamond" w:hAnsi="Garamond"/>
        </w:rPr>
        <w:t xml:space="preserve">to support complaints and investigations. </w:t>
      </w:r>
      <w:r w:rsidRPr="00305372">
        <w:rPr>
          <w:rFonts w:ascii="Garamond" w:hAnsi="Garamond"/>
        </w:rPr>
        <w:br/>
      </w:r>
      <w:r w:rsidRPr="00305372">
        <w:rPr>
          <w:rFonts w:ascii="Garamond" w:hAnsi="Garamond"/>
        </w:rPr>
        <w:br/>
        <w:t xml:space="preserve">Harnessing Generative AI </w:t>
      </w:r>
      <w:r w:rsidRPr="00305372">
        <w:rPr>
          <w:rFonts w:ascii="Garamond" w:hAnsi="Garamond"/>
        </w:rPr>
        <w:t>in the audit process</w:t>
      </w:r>
      <w:r w:rsidRPr="00305372">
        <w:rPr>
          <w:rFonts w:ascii="Garamond" w:hAnsi="Garamond"/>
        </w:rPr>
        <w:t xml:space="preserve"> </w:t>
      </w:r>
      <w:r w:rsidRPr="00305372">
        <w:rPr>
          <w:rFonts w:ascii="Garamond" w:hAnsi="Garamond"/>
          <w:noProof/>
        </w:rPr>
        <w:t>(Mills &amp; Whittle, 2023)</w:t>
      </w:r>
      <w:r w:rsidRPr="00305372">
        <w:rPr>
          <w:rFonts w:ascii="Garamond" w:hAnsi="Garamond"/>
        </w:rPr>
        <w:t xml:space="preserve"> could allow for a cost</w:t>
      </w:r>
      <w:r w:rsidRPr="00305372">
        <w:rPr>
          <w:rFonts w:ascii="Garamond" w:hAnsi="Garamond"/>
        </w:rPr>
        <w:t>-</w:t>
      </w:r>
      <w:r w:rsidRPr="00305372">
        <w:rPr>
          <w:rFonts w:ascii="Garamond" w:hAnsi="Garamond"/>
        </w:rPr>
        <w:t>effective</w:t>
      </w:r>
      <w:r w:rsidRPr="00305372">
        <w:rPr>
          <w:rFonts w:ascii="Garamond" w:hAnsi="Garamond"/>
        </w:rPr>
        <w:t>,</w:t>
      </w:r>
      <w:r w:rsidRPr="00305372">
        <w:rPr>
          <w:rFonts w:ascii="Garamond" w:hAnsi="Garamond"/>
        </w:rPr>
        <w:t xml:space="preserve"> proactive </w:t>
      </w:r>
      <w:r w:rsidRPr="00305372">
        <w:rPr>
          <w:rFonts w:ascii="Garamond" w:hAnsi="Garamond"/>
        </w:rPr>
        <w:t xml:space="preserve">OCA auditing process </w:t>
      </w:r>
      <w:r w:rsidRPr="00305372">
        <w:rPr>
          <w:rFonts w:ascii="Garamond" w:hAnsi="Garamond"/>
        </w:rPr>
        <w:t xml:space="preserve">within UK Financial Services. </w:t>
      </w:r>
      <w:r w:rsidRPr="00305372">
        <w:rPr>
          <w:rFonts w:ascii="Garamond" w:hAnsi="Garamond"/>
        </w:rPr>
        <w:t xml:space="preserve"> </w:t>
      </w:r>
      <w:r w:rsidRPr="00305372">
        <w:rPr>
          <w:rFonts w:ascii="Garamond" w:hAnsi="Garamond"/>
        </w:rPr>
        <w:t xml:space="preserve"> </w:t>
      </w:r>
      <w:r w:rsidRPr="00305372">
        <w:rPr>
          <w:rFonts w:ascii="Garamond" w:hAnsi="Garamond"/>
        </w:rPr>
        <w:t xml:space="preserve"> </w:t>
      </w:r>
      <w:r w:rsidRPr="00305372">
        <w:rPr>
          <w:rFonts w:ascii="Garamond" w:hAnsi="Garamond"/>
        </w:rPr>
        <w:br/>
      </w:r>
      <w:r w:rsidRPr="00305372">
        <w:rPr>
          <w:rFonts w:ascii="Garamond" w:hAnsi="Garamond"/>
        </w:rPr>
        <w:br/>
      </w:r>
      <w:r w:rsidRPr="00305372">
        <w:rPr>
          <w:rStyle w:val="Heading2Char"/>
          <w:b/>
          <w:bCs/>
          <w:sz w:val="24"/>
          <w:szCs w:val="24"/>
        </w:rPr>
        <w:t>Auditing customer journeys in UK Financial Services</w:t>
      </w:r>
    </w:p>
    <w:p w:rsidR="00305372" w:rsidRPr="00305372" w:rsidP="00864368">
      <w:pPr>
        <w:rPr>
          <w:rFonts w:ascii="Garamond" w:hAnsi="Garamond"/>
        </w:rPr>
      </w:pPr>
      <w:r w:rsidRPr="00305372">
        <w:rPr>
          <w:rFonts w:ascii="Garamond" w:hAnsi="Garamond"/>
        </w:rPr>
        <w:t xml:space="preserve">Mills et al, (2023) develop a </w:t>
      </w:r>
      <w:r w:rsidRPr="00305372">
        <w:rPr>
          <w:rFonts w:ascii="Garamond" w:hAnsi="Garamond"/>
        </w:rPr>
        <w:t>behavioural framework for describing harmful OCA. This is in the realm of subscription traps</w:t>
      </w:r>
      <w:r w:rsidRPr="00305372">
        <w:rPr>
          <w:rFonts w:ascii="Garamond" w:hAnsi="Garamond"/>
        </w:rPr>
        <w:t>,</w:t>
      </w:r>
      <w:r w:rsidRPr="00305372">
        <w:rPr>
          <w:rFonts w:ascii="Garamond" w:hAnsi="Garamond"/>
        </w:rPr>
        <w:t xml:space="preserve"> a common and relatively simple example of OCA.</w:t>
      </w:r>
      <w:r w:rsidRPr="00305372">
        <w:rPr>
          <w:rFonts w:ascii="Garamond" w:hAnsi="Garamond"/>
        </w:rPr>
        <w:t xml:space="preserve"> </w:t>
      </w:r>
      <w:r w:rsidRPr="00305372">
        <w:rPr>
          <w:rFonts w:ascii="Garamond" w:hAnsi="Garamond"/>
        </w:rPr>
        <w:t>H</w:t>
      </w:r>
      <w:r w:rsidRPr="00305372">
        <w:rPr>
          <w:rFonts w:ascii="Garamond" w:hAnsi="Garamond"/>
        </w:rPr>
        <w:t>armful OCA such as</w:t>
      </w:r>
      <w:r w:rsidRPr="00305372">
        <w:rPr>
          <w:rFonts w:ascii="Garamond" w:hAnsi="Garamond"/>
        </w:rPr>
        <w:t xml:space="preserve"> in</w:t>
      </w:r>
      <w:r w:rsidRPr="00305372">
        <w:rPr>
          <w:rFonts w:ascii="Garamond" w:hAnsi="Garamond"/>
        </w:rPr>
        <w:t xml:space="preserve"> smartphone trading apps encouraging </w:t>
      </w:r>
      <w:r w:rsidRPr="00305372">
        <w:rPr>
          <w:rFonts w:ascii="Garamond" w:hAnsi="Garamond"/>
        </w:rPr>
        <w:t>risky behaviours will require an expansion of this framework.</w:t>
      </w:r>
      <w:r w:rsidRPr="00305372">
        <w:rPr>
          <w:rFonts w:ascii="Garamond" w:hAnsi="Garamond"/>
        </w:rPr>
        <w:t xml:space="preserve"> Though, the simplicity of this framework is aimed to support adaption where necessary.</w:t>
      </w:r>
      <w:r w:rsidRPr="00305372">
        <w:rPr>
          <w:rFonts w:ascii="Garamond" w:hAnsi="Garamond"/>
        </w:rPr>
        <w:br/>
      </w:r>
      <w:r w:rsidRPr="00305372">
        <w:rPr>
          <w:rFonts w:ascii="Garamond" w:hAnsi="Garamond"/>
        </w:rPr>
        <w:br/>
      </w:r>
      <w:r w:rsidRPr="00305372">
        <w:rPr>
          <w:rFonts w:ascii="Garamond" w:hAnsi="Garamond"/>
          <w:i/>
          <w:iCs/>
        </w:rPr>
        <w:t>Table 1</w:t>
      </w:r>
      <w:r w:rsidRPr="00305372">
        <w:rPr>
          <w:rFonts w:ascii="Garamond" w:hAnsi="Garamond"/>
          <w:i/>
          <w:iCs/>
        </w:rPr>
        <w:t xml:space="preserve">: A </w:t>
      </w:r>
      <w:r w:rsidRPr="00305372">
        <w:rPr>
          <w:rFonts w:ascii="Garamond" w:hAnsi="Garamond"/>
          <w:i/>
          <w:iCs/>
        </w:rPr>
        <w:t>Behavioural Framework of harmful OCA</w:t>
      </w:r>
      <w:r w:rsidRPr="00305372">
        <w:rPr>
          <w:rFonts w:ascii="Garamond" w:hAnsi="Garamond"/>
        </w:rPr>
        <w:br/>
      </w:r>
    </w:p>
    <w:tbl>
      <w:tblPr>
        <w:tblStyle w:val="TableGrid"/>
        <w:tblW w:w="0" w:type="auto"/>
        <w:tblLook w:val="04A0"/>
      </w:tblPr>
      <w:tblGrid>
        <w:gridCol w:w="1696"/>
        <w:gridCol w:w="3828"/>
        <w:gridCol w:w="3492"/>
      </w:tblGrid>
      <w:tr w:rsidTr="00A10A04">
        <w:tblPrEx>
          <w:tblW w:w="0" w:type="auto"/>
          <w:tblLook w:val="04A0"/>
        </w:tblPrEx>
        <w:tc>
          <w:tcPr>
            <w:tcW w:w="1696" w:type="dxa"/>
          </w:tcPr>
          <w:p w:rsidR="00305372" w:rsidRPr="00305372" w:rsidP="00864368">
            <w:pPr>
              <w:rPr>
                <w:rFonts w:ascii="Garamond" w:hAnsi="Garamond"/>
              </w:rPr>
            </w:pPr>
            <w:r w:rsidRPr="00305372">
              <w:rPr>
                <w:rFonts w:ascii="Garamond" w:hAnsi="Garamond"/>
              </w:rPr>
              <w:t>Component</w:t>
            </w:r>
          </w:p>
        </w:tc>
        <w:tc>
          <w:tcPr>
            <w:tcW w:w="3828" w:type="dxa"/>
          </w:tcPr>
          <w:p w:rsidR="00305372" w:rsidRPr="00305372" w:rsidP="00864368">
            <w:pPr>
              <w:rPr>
                <w:rFonts w:ascii="Garamond" w:hAnsi="Garamond"/>
              </w:rPr>
            </w:pPr>
            <w:r w:rsidRPr="00305372">
              <w:rPr>
                <w:rFonts w:ascii="Garamond" w:hAnsi="Garamond"/>
              </w:rPr>
              <w:t>Descript</w:t>
            </w:r>
            <w:r w:rsidRPr="00305372">
              <w:rPr>
                <w:rFonts w:ascii="Garamond" w:hAnsi="Garamond"/>
              </w:rPr>
              <w:t>ion</w:t>
            </w:r>
          </w:p>
        </w:tc>
        <w:tc>
          <w:tcPr>
            <w:tcW w:w="3492" w:type="dxa"/>
          </w:tcPr>
          <w:p w:rsidR="00305372" w:rsidRPr="00305372" w:rsidP="00864368">
            <w:pPr>
              <w:rPr>
                <w:rFonts w:ascii="Garamond" w:hAnsi="Garamond"/>
              </w:rPr>
            </w:pPr>
            <w:r w:rsidRPr="00305372">
              <w:rPr>
                <w:rFonts w:ascii="Garamond" w:hAnsi="Garamond"/>
              </w:rPr>
              <w:t>Example</w:t>
            </w:r>
          </w:p>
        </w:tc>
      </w:tr>
      <w:tr w:rsidTr="00A10A04">
        <w:tblPrEx>
          <w:tblW w:w="0" w:type="auto"/>
          <w:tblLook w:val="04A0"/>
        </w:tblPrEx>
        <w:tc>
          <w:tcPr>
            <w:tcW w:w="1696" w:type="dxa"/>
          </w:tcPr>
          <w:p w:rsidR="00305372" w:rsidRPr="00305372" w:rsidP="00864368">
            <w:pPr>
              <w:rPr>
                <w:rFonts w:ascii="Garamond" w:hAnsi="Garamond"/>
              </w:rPr>
            </w:pPr>
            <w:r w:rsidRPr="00305372">
              <w:rPr>
                <w:rFonts w:ascii="Garamond" w:hAnsi="Garamond"/>
              </w:rPr>
              <w:t>Detour</w:t>
            </w:r>
          </w:p>
        </w:tc>
        <w:tc>
          <w:tcPr>
            <w:tcW w:w="3828" w:type="dxa"/>
          </w:tcPr>
          <w:p w:rsidR="00305372" w:rsidRPr="00305372" w:rsidP="00864368">
            <w:pPr>
              <w:rPr>
                <w:rFonts w:ascii="Garamond" w:hAnsi="Garamond"/>
              </w:rPr>
            </w:pPr>
            <w:r w:rsidRPr="00305372">
              <w:rPr>
                <w:rFonts w:ascii="Garamond" w:hAnsi="Garamond"/>
              </w:rPr>
              <w:t xml:space="preserve">OCA designed to delay or </w:t>
            </w:r>
            <w:r w:rsidRPr="00305372">
              <w:rPr>
                <w:rFonts w:ascii="Garamond" w:hAnsi="Garamond"/>
              </w:rPr>
              <w:t>distract a decision-maker</w:t>
            </w:r>
          </w:p>
        </w:tc>
        <w:tc>
          <w:tcPr>
            <w:tcW w:w="3492" w:type="dxa"/>
          </w:tcPr>
          <w:p w:rsidR="00305372" w:rsidRPr="00305372" w:rsidP="00864368">
            <w:pPr>
              <w:rPr>
                <w:rFonts w:ascii="Garamond" w:hAnsi="Garamond"/>
              </w:rPr>
            </w:pPr>
            <w:r w:rsidRPr="00305372">
              <w:rPr>
                <w:rFonts w:ascii="Garamond" w:hAnsi="Garamond"/>
              </w:rPr>
              <w:t>Many different questions whe</w:t>
            </w:r>
            <w:r w:rsidRPr="00305372">
              <w:rPr>
                <w:rFonts w:ascii="Garamond" w:hAnsi="Garamond"/>
              </w:rPr>
              <w:t>n trying to cancel a subscription. View special offers or discounts etc</w:t>
            </w:r>
          </w:p>
        </w:tc>
      </w:tr>
      <w:tr w:rsidTr="00A10A04">
        <w:tblPrEx>
          <w:tblW w:w="0" w:type="auto"/>
          <w:tblLook w:val="04A0"/>
        </w:tblPrEx>
        <w:tc>
          <w:tcPr>
            <w:tcW w:w="1696" w:type="dxa"/>
          </w:tcPr>
          <w:p w:rsidR="00305372" w:rsidRPr="00305372" w:rsidP="00864368">
            <w:pPr>
              <w:rPr>
                <w:rFonts w:ascii="Garamond" w:hAnsi="Garamond"/>
              </w:rPr>
            </w:pPr>
            <w:r w:rsidRPr="00305372">
              <w:rPr>
                <w:rFonts w:ascii="Garamond" w:hAnsi="Garamond"/>
              </w:rPr>
              <w:t>Roundabout</w:t>
            </w:r>
          </w:p>
        </w:tc>
        <w:tc>
          <w:tcPr>
            <w:tcW w:w="3828" w:type="dxa"/>
          </w:tcPr>
          <w:p w:rsidR="00305372" w:rsidRPr="00305372" w:rsidP="00864368">
            <w:pPr>
              <w:rPr>
                <w:rFonts w:ascii="Garamond" w:hAnsi="Garamond"/>
              </w:rPr>
            </w:pPr>
            <w:r w:rsidRPr="00305372">
              <w:rPr>
                <w:rFonts w:ascii="Garamond" w:hAnsi="Garamond"/>
              </w:rPr>
              <w:t xml:space="preserve">OCA </w:t>
            </w:r>
            <w:r w:rsidRPr="00305372">
              <w:rPr>
                <w:rFonts w:ascii="Garamond" w:hAnsi="Garamond"/>
              </w:rPr>
              <w:t xml:space="preserve">designed to tire or bore </w:t>
            </w:r>
            <w:r w:rsidRPr="00305372">
              <w:rPr>
                <w:rFonts w:ascii="Garamond" w:hAnsi="Garamond"/>
              </w:rPr>
              <w:t>a decision</w:t>
            </w:r>
            <w:r w:rsidRPr="00305372">
              <w:rPr>
                <w:rFonts w:ascii="Garamond" w:hAnsi="Garamond"/>
              </w:rPr>
              <w:t>-</w:t>
            </w:r>
            <w:r w:rsidRPr="00305372">
              <w:rPr>
                <w:rFonts w:ascii="Garamond" w:hAnsi="Garamond"/>
              </w:rPr>
              <w:t>maker</w:t>
            </w:r>
          </w:p>
        </w:tc>
        <w:tc>
          <w:tcPr>
            <w:tcW w:w="3492" w:type="dxa"/>
          </w:tcPr>
          <w:p w:rsidR="00305372" w:rsidRPr="00305372" w:rsidP="00864368">
            <w:pPr>
              <w:rPr>
                <w:rFonts w:ascii="Garamond" w:hAnsi="Garamond"/>
              </w:rPr>
            </w:pPr>
            <w:r w:rsidRPr="00305372">
              <w:rPr>
                <w:rFonts w:ascii="Garamond" w:hAnsi="Garamond"/>
              </w:rPr>
              <w:t xml:space="preserve">A long series of </w:t>
            </w:r>
            <w:r w:rsidRPr="00305372">
              <w:rPr>
                <w:rFonts w:ascii="Garamond" w:hAnsi="Garamond"/>
              </w:rPr>
              <w:t xml:space="preserve">‘are you sure’ checks. </w:t>
            </w:r>
          </w:p>
        </w:tc>
      </w:tr>
      <w:tr w:rsidTr="00A10A04">
        <w:tblPrEx>
          <w:tblW w:w="0" w:type="auto"/>
          <w:tblLook w:val="04A0"/>
        </w:tblPrEx>
        <w:tc>
          <w:tcPr>
            <w:tcW w:w="1696" w:type="dxa"/>
          </w:tcPr>
          <w:p w:rsidR="00305372" w:rsidRPr="00305372" w:rsidP="00864368">
            <w:pPr>
              <w:rPr>
                <w:rFonts w:ascii="Garamond" w:hAnsi="Garamond"/>
              </w:rPr>
            </w:pPr>
            <w:r w:rsidRPr="00305372">
              <w:rPr>
                <w:rFonts w:ascii="Garamond" w:hAnsi="Garamond"/>
              </w:rPr>
              <w:t>Shortcut</w:t>
            </w:r>
          </w:p>
        </w:tc>
        <w:tc>
          <w:tcPr>
            <w:tcW w:w="3828" w:type="dxa"/>
          </w:tcPr>
          <w:p w:rsidR="00305372" w:rsidRPr="00305372" w:rsidP="00864368">
            <w:pPr>
              <w:rPr>
                <w:rFonts w:ascii="Garamond" w:hAnsi="Garamond"/>
              </w:rPr>
            </w:pPr>
            <w:r w:rsidRPr="00305372">
              <w:rPr>
                <w:rFonts w:ascii="Garamond" w:hAnsi="Garamond"/>
              </w:rPr>
              <w:t>OCA which ex</w:t>
            </w:r>
            <w:r w:rsidRPr="00305372">
              <w:rPr>
                <w:rFonts w:ascii="Garamond" w:hAnsi="Garamond"/>
              </w:rPr>
              <w:t xml:space="preserve">ploits </w:t>
            </w:r>
            <w:r w:rsidRPr="00305372">
              <w:rPr>
                <w:rFonts w:ascii="Garamond" w:hAnsi="Garamond"/>
              </w:rPr>
              <w:t xml:space="preserve">decision maker frustration arising from detours or roundabouts to redirect </w:t>
            </w:r>
            <w:r w:rsidRPr="00305372">
              <w:rPr>
                <w:rFonts w:ascii="Garamond" w:hAnsi="Garamond"/>
              </w:rPr>
              <w:t>them to an ‘easier’ but suboptimal outcome.</w:t>
            </w:r>
          </w:p>
        </w:tc>
        <w:tc>
          <w:tcPr>
            <w:tcW w:w="3492" w:type="dxa"/>
          </w:tcPr>
          <w:p w:rsidR="00305372" w:rsidRPr="00305372" w:rsidP="00864368">
            <w:pPr>
              <w:rPr>
                <w:rFonts w:ascii="Garamond" w:hAnsi="Garamond"/>
              </w:rPr>
            </w:pPr>
            <w:r w:rsidRPr="00305372">
              <w:rPr>
                <w:rFonts w:ascii="Garamond" w:hAnsi="Garamond"/>
              </w:rPr>
              <w:t xml:space="preserve">An easy </w:t>
            </w:r>
            <w:r w:rsidRPr="00305372">
              <w:rPr>
                <w:rFonts w:ascii="Garamond" w:hAnsi="Garamond"/>
              </w:rPr>
              <w:t>‘</w:t>
            </w:r>
            <w:r w:rsidRPr="00305372">
              <w:rPr>
                <w:rFonts w:ascii="Garamond" w:hAnsi="Garamond"/>
              </w:rPr>
              <w:t>temporary pause option</w:t>
            </w:r>
            <w:r w:rsidRPr="00305372">
              <w:rPr>
                <w:rFonts w:ascii="Garamond" w:hAnsi="Garamond"/>
              </w:rPr>
              <w:t xml:space="preserve">’ </w:t>
            </w:r>
            <w:r w:rsidRPr="00305372">
              <w:rPr>
                <w:rFonts w:ascii="Garamond" w:hAnsi="Garamond"/>
              </w:rPr>
              <w:t xml:space="preserve">offered </w:t>
            </w:r>
            <w:r w:rsidRPr="00305372">
              <w:rPr>
                <w:rFonts w:ascii="Garamond" w:hAnsi="Garamond"/>
              </w:rPr>
              <w:t xml:space="preserve">to allow the user to exit a long series of </w:t>
            </w:r>
            <w:r w:rsidRPr="00305372">
              <w:rPr>
                <w:rFonts w:ascii="Garamond" w:hAnsi="Garamond"/>
              </w:rPr>
              <w:t>‘are you sure’ checks when trying to cancel a subscription.</w:t>
            </w:r>
            <w:r w:rsidRPr="00305372">
              <w:rPr>
                <w:rFonts w:ascii="Garamond" w:hAnsi="Garamond"/>
              </w:rPr>
              <w:t xml:space="preserve"> </w:t>
            </w:r>
          </w:p>
        </w:tc>
      </w:tr>
      <w:tr w:rsidTr="00A10A04">
        <w:tblPrEx>
          <w:tblW w:w="0" w:type="auto"/>
          <w:tblLook w:val="04A0"/>
        </w:tblPrEx>
        <w:tc>
          <w:tcPr>
            <w:tcW w:w="1696" w:type="dxa"/>
          </w:tcPr>
          <w:p w:rsidR="00305372" w:rsidRPr="00305372" w:rsidP="00864368">
            <w:pPr>
              <w:rPr>
                <w:rFonts w:ascii="Garamond" w:hAnsi="Garamond"/>
              </w:rPr>
            </w:pPr>
            <w:r w:rsidRPr="00305372">
              <w:rPr>
                <w:rFonts w:ascii="Garamond" w:hAnsi="Garamond"/>
              </w:rPr>
              <w:t>Forced Action</w:t>
            </w:r>
          </w:p>
        </w:tc>
        <w:tc>
          <w:tcPr>
            <w:tcW w:w="3828" w:type="dxa"/>
          </w:tcPr>
          <w:p w:rsidR="00305372" w:rsidRPr="00305372" w:rsidP="00864368">
            <w:pPr>
              <w:rPr>
                <w:rFonts w:ascii="Garamond" w:hAnsi="Garamond"/>
              </w:rPr>
            </w:pPr>
            <w:r w:rsidRPr="00305372">
              <w:rPr>
                <w:rFonts w:ascii="Garamond" w:hAnsi="Garamond"/>
              </w:rPr>
              <w:t xml:space="preserve">OCA which forces a decision maker to accept </w:t>
            </w:r>
            <w:r w:rsidRPr="00305372">
              <w:rPr>
                <w:rFonts w:ascii="Garamond" w:hAnsi="Garamond"/>
              </w:rPr>
              <w:t xml:space="preserve">unexpected or undesired costs </w:t>
            </w:r>
            <w:r w:rsidRPr="00305372">
              <w:rPr>
                <w:rFonts w:ascii="Garamond" w:hAnsi="Garamond"/>
              </w:rPr>
              <w:t>in order to</w:t>
            </w:r>
            <w:r w:rsidRPr="00305372">
              <w:rPr>
                <w:rFonts w:ascii="Garamond" w:hAnsi="Garamond"/>
              </w:rPr>
              <w:t xml:space="preserve"> achieve their objective</w:t>
            </w:r>
          </w:p>
        </w:tc>
        <w:tc>
          <w:tcPr>
            <w:tcW w:w="3492" w:type="dxa"/>
          </w:tcPr>
          <w:p w:rsidR="00305372" w:rsidRPr="00305372" w:rsidP="00864368">
            <w:pPr>
              <w:rPr>
                <w:rFonts w:ascii="Garamond" w:hAnsi="Garamond"/>
              </w:rPr>
            </w:pPr>
            <w:r w:rsidRPr="00305372">
              <w:rPr>
                <w:rFonts w:ascii="Garamond" w:hAnsi="Garamond"/>
              </w:rPr>
              <w:t>Re</w:t>
            </w:r>
            <w:r w:rsidRPr="00305372">
              <w:rPr>
                <w:rFonts w:ascii="Garamond" w:hAnsi="Garamond"/>
              </w:rPr>
              <w:t>quirement to accept terms and conditions to continue</w:t>
            </w:r>
          </w:p>
        </w:tc>
      </w:tr>
    </w:tbl>
    <w:p w:rsidR="00305372" w:rsidRPr="00305372" w:rsidP="00D158C4">
      <w:pPr>
        <w:jc w:val="right"/>
        <w:rPr>
          <w:rFonts w:ascii="Garamond" w:hAnsi="Garamond"/>
        </w:rPr>
      </w:pPr>
      <w:r w:rsidRPr="00305372">
        <w:rPr>
          <w:rFonts w:ascii="Garamond" w:hAnsi="Garamond"/>
        </w:rPr>
        <w:br/>
      </w:r>
      <w:r w:rsidRPr="00305372">
        <w:rPr>
          <w:rFonts w:ascii="Garamond" w:hAnsi="Garamond"/>
        </w:rPr>
        <w:t>Source: Mills et al, (2023</w:t>
      </w:r>
      <w:r w:rsidRPr="00305372">
        <w:rPr>
          <w:rFonts w:ascii="Garamond" w:hAnsi="Garamond"/>
        </w:rPr>
        <w:t xml:space="preserve"> with</w:t>
      </w:r>
      <w:r w:rsidRPr="00305372">
        <w:rPr>
          <w:rFonts w:ascii="Garamond" w:hAnsi="Garamond"/>
        </w:rPr>
        <w:t xml:space="preserve"> author additions</w:t>
      </w:r>
    </w:p>
    <w:p w:rsidR="00305372" w:rsidRPr="00305372" w:rsidP="00864368">
      <w:pPr>
        <w:rPr>
          <w:rFonts w:ascii="Garamond" w:hAnsi="Garamond"/>
        </w:rPr>
      </w:pPr>
      <w:r w:rsidRPr="00305372">
        <w:rPr>
          <w:rFonts w:ascii="Garamond" w:hAnsi="Garamond"/>
        </w:rPr>
        <w:t xml:space="preserve">Whittle </w:t>
      </w:r>
      <w:r w:rsidRPr="00305372">
        <w:rPr>
          <w:rFonts w:ascii="Garamond" w:hAnsi="Garamond"/>
        </w:rPr>
        <w:t>(2024) de</w:t>
      </w:r>
      <w:r w:rsidRPr="00305372">
        <w:rPr>
          <w:rFonts w:ascii="Garamond" w:hAnsi="Garamond"/>
        </w:rPr>
        <w:t>velops a hypothetical OCA</w:t>
      </w:r>
      <w:r w:rsidRPr="00305372">
        <w:rPr>
          <w:rFonts w:ascii="Garamond" w:hAnsi="Garamond"/>
        </w:rPr>
        <w:t xml:space="preserve"> design</w:t>
      </w:r>
      <w:r w:rsidRPr="00305372">
        <w:rPr>
          <w:rFonts w:ascii="Garamond" w:hAnsi="Garamond"/>
        </w:rPr>
        <w:t xml:space="preserve"> from </w:t>
      </w:r>
      <w:r w:rsidRPr="00305372">
        <w:rPr>
          <w:rFonts w:ascii="Garamond" w:hAnsi="Garamond"/>
        </w:rPr>
        <w:t xml:space="preserve">the FCA </w:t>
      </w:r>
      <w:r w:rsidRPr="00305372">
        <w:rPr>
          <w:rFonts w:ascii="Garamond" w:hAnsi="Garamond"/>
          <w:noProof/>
        </w:rPr>
        <w:t>(F. C. Authority, 2022)</w:t>
      </w:r>
      <w:r w:rsidRPr="00305372">
        <w:rPr>
          <w:rFonts w:ascii="Garamond" w:hAnsi="Garamond"/>
        </w:rPr>
        <w:t xml:space="preserve"> </w:t>
      </w:r>
      <w:r w:rsidRPr="00305372">
        <w:rPr>
          <w:rFonts w:ascii="Garamond" w:hAnsi="Garamond"/>
        </w:rPr>
        <w:t xml:space="preserve">example of </w:t>
      </w:r>
      <w:r w:rsidRPr="00305372">
        <w:rPr>
          <w:rFonts w:ascii="Garamond" w:hAnsi="Garamond"/>
        </w:rPr>
        <w:t xml:space="preserve">a firm using its behavioural understanding of </w:t>
      </w:r>
      <w:r w:rsidRPr="00305372">
        <w:rPr>
          <w:rFonts w:ascii="Garamond" w:hAnsi="Garamond"/>
        </w:rPr>
        <w:t xml:space="preserve">its customers to </w:t>
      </w:r>
      <w:r w:rsidRPr="00305372">
        <w:rPr>
          <w:rFonts w:ascii="Garamond" w:hAnsi="Garamond"/>
        </w:rPr>
        <w:t>develop a</w:t>
      </w:r>
      <w:r w:rsidRPr="00305372">
        <w:rPr>
          <w:rFonts w:ascii="Garamond" w:hAnsi="Garamond"/>
        </w:rPr>
        <w:t xml:space="preserve">n OCA which </w:t>
      </w:r>
      <w:r w:rsidRPr="00305372">
        <w:rPr>
          <w:rFonts w:ascii="Garamond" w:hAnsi="Garamond"/>
        </w:rPr>
        <w:t>discourages</w:t>
      </w:r>
      <w:r w:rsidRPr="00305372">
        <w:rPr>
          <w:rFonts w:ascii="Garamond" w:hAnsi="Garamond"/>
        </w:rPr>
        <w:t xml:space="preserve"> </w:t>
      </w:r>
      <w:r w:rsidRPr="00305372">
        <w:rPr>
          <w:rFonts w:ascii="Garamond" w:hAnsi="Garamond"/>
        </w:rPr>
        <w:t>successful acquisition of a</w:t>
      </w:r>
      <w:r w:rsidRPr="00305372">
        <w:rPr>
          <w:rFonts w:ascii="Garamond" w:hAnsi="Garamond"/>
        </w:rPr>
        <w:t xml:space="preserve"> higher interest rate</w:t>
      </w:r>
      <w:r w:rsidRPr="00305372">
        <w:rPr>
          <w:rFonts w:ascii="Garamond" w:hAnsi="Garamond"/>
        </w:rPr>
        <w:t xml:space="preserve"> (figure </w:t>
      </w:r>
      <w:r w:rsidRPr="00305372">
        <w:rPr>
          <w:rFonts w:ascii="Garamond" w:hAnsi="Garamond"/>
        </w:rPr>
        <w:t>1</w:t>
      </w:r>
      <w:r w:rsidRPr="00305372">
        <w:rPr>
          <w:rFonts w:ascii="Garamond" w:hAnsi="Garamond"/>
        </w:rPr>
        <w:t xml:space="preserve"> below) and a hypothetical OCA</w:t>
      </w:r>
      <w:r w:rsidRPr="00305372">
        <w:rPr>
          <w:rFonts w:ascii="Garamond" w:hAnsi="Garamond"/>
        </w:rPr>
        <w:t xml:space="preserve"> design</w:t>
      </w:r>
      <w:r w:rsidRPr="00305372">
        <w:rPr>
          <w:rFonts w:ascii="Garamond" w:hAnsi="Garamond"/>
        </w:rPr>
        <w:t xml:space="preserve"> of the FCA’s suggested remedy</w:t>
      </w:r>
      <w:r w:rsidRPr="00305372">
        <w:rPr>
          <w:rFonts w:ascii="Garamond" w:hAnsi="Garamond"/>
        </w:rPr>
        <w:t xml:space="preserve"> where a “</w:t>
      </w:r>
      <w:r w:rsidRPr="00305372">
        <w:rPr>
          <w:rFonts w:ascii="Garamond" w:hAnsi="Garamond"/>
        </w:rPr>
        <w:t>A firm acting in line with the Duty would use its behavioural analysis as evidence</w:t>
      </w:r>
      <w:r w:rsidRPr="00305372">
        <w:rPr>
          <w:rFonts w:ascii="Garamond" w:hAnsi="Garamond"/>
        </w:rPr>
        <w:t xml:space="preserve"> </w:t>
      </w:r>
      <w:r w:rsidRPr="00305372">
        <w:rPr>
          <w:rFonts w:ascii="Garamond" w:hAnsi="Garamond"/>
        </w:rPr>
        <w:t>of the need for a simpler approach to support good outcomes, enabling its</w:t>
      </w:r>
      <w:r w:rsidRPr="00305372">
        <w:rPr>
          <w:rFonts w:ascii="Garamond" w:hAnsi="Garamond"/>
        </w:rPr>
        <w:t xml:space="preserve"> </w:t>
      </w:r>
      <w:r w:rsidRPr="00305372">
        <w:rPr>
          <w:rFonts w:ascii="Garamond" w:hAnsi="Garamond"/>
        </w:rPr>
        <w:t>customers to easily obtain the increased interest rate.</w:t>
      </w:r>
      <w:r w:rsidRPr="00305372">
        <w:rPr>
          <w:rFonts w:ascii="Garamond" w:hAnsi="Garamond"/>
        </w:rPr>
        <w:t xml:space="preserve">” (figure </w:t>
      </w:r>
      <w:r w:rsidRPr="00305372">
        <w:rPr>
          <w:rFonts w:ascii="Garamond" w:hAnsi="Garamond"/>
        </w:rPr>
        <w:t>2</w:t>
      </w:r>
      <w:r w:rsidRPr="00305372">
        <w:rPr>
          <w:rFonts w:ascii="Garamond" w:hAnsi="Garamond"/>
        </w:rPr>
        <w:t>).</w:t>
      </w:r>
      <w:r w:rsidRPr="00305372">
        <w:rPr>
          <w:rFonts w:ascii="Garamond" w:hAnsi="Garamond"/>
        </w:rPr>
        <w:br/>
      </w:r>
      <w:r w:rsidRPr="00305372">
        <w:rPr>
          <w:rFonts w:ascii="Garamond" w:hAnsi="Garamond"/>
        </w:rPr>
        <w:br/>
      </w:r>
      <w:r w:rsidRPr="00305372">
        <w:rPr>
          <w:rFonts w:ascii="Garamond" w:hAnsi="Garamond"/>
          <w:i/>
          <w:iCs/>
        </w:rPr>
        <w:t xml:space="preserve">Figure 1: A hypothetical harmful OCA </w:t>
      </w:r>
      <w:r w:rsidRPr="00305372">
        <w:rPr>
          <w:rFonts w:ascii="Garamond" w:hAnsi="Garamond"/>
          <w:i/>
          <w:iCs/>
        </w:rPr>
        <w:t>of a ‘hard-to-apply’ interest rate process</w:t>
      </w:r>
      <w:r w:rsidRPr="00305372">
        <w:rPr>
          <w:rFonts w:ascii="Garamond" w:hAnsi="Garamond"/>
        </w:rPr>
        <w:br/>
      </w:r>
      <w:r w:rsidRPr="00305372">
        <w:rPr>
          <w:rFonts w:ascii="Garamond" w:hAnsi="Garamond"/>
        </w:rPr>
        <w:br/>
      </w:r>
      <w:r w:rsidRPr="00305372">
        <w:rPr>
          <w:rFonts w:ascii="Garamond" w:hAnsi="Garamond"/>
          <w:noProof/>
        </w:rPr>
        <w:drawing>
          <wp:inline distT="0" distB="0" distL="0" distR="0">
            <wp:extent cx="5730875" cy="2810510"/>
            <wp:effectExtent l="0" t="0" r="3175" b="8890"/>
            <wp:docPr id="888007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bwMode="auto">
                    <a:xfrm>
                      <a:off x="0" y="0"/>
                      <a:ext cx="5730875" cy="2810510"/>
                    </a:xfrm>
                    <a:prstGeom prst="rect">
                      <a:avLst/>
                    </a:prstGeom>
                    <a:noFill/>
                  </pic:spPr>
                </pic:pic>
              </a:graphicData>
            </a:graphic>
          </wp:inline>
        </w:drawing>
      </w:r>
    </w:p>
    <w:p w:rsidR="00305372" w:rsidRPr="00305372" w:rsidP="00864368">
      <w:pPr>
        <w:rPr>
          <w:rFonts w:ascii="Garamond" w:hAnsi="Garamond"/>
        </w:rPr>
      </w:pPr>
      <w:r w:rsidRPr="00305372">
        <w:rPr>
          <w:rFonts w:ascii="Garamond" w:hAnsi="Garamond"/>
          <w:i/>
          <w:iCs/>
        </w:rPr>
        <w:t xml:space="preserve">Figure 2: </w:t>
      </w:r>
      <w:r w:rsidRPr="00305372">
        <w:rPr>
          <w:rFonts w:ascii="Garamond" w:hAnsi="Garamond"/>
          <w:i/>
          <w:iCs/>
        </w:rPr>
        <w:t>A hypothetical beneficial OCA, now an ‘easy-to-apply’ interest rate process</w:t>
      </w:r>
      <w:r w:rsidRPr="00305372">
        <w:rPr>
          <w:rFonts w:ascii="Garamond" w:hAnsi="Garamond"/>
          <w:i/>
          <w:iCs/>
        </w:rPr>
        <w:br/>
      </w:r>
      <w:r w:rsidRPr="00305372">
        <w:rPr>
          <w:rFonts w:ascii="Garamond" w:hAnsi="Garamond"/>
          <w:i/>
          <w:iCs/>
        </w:rPr>
        <w:br/>
      </w:r>
      <w:r w:rsidRPr="00305372">
        <w:rPr>
          <w:rFonts w:ascii="Garamond" w:hAnsi="Garamond"/>
          <w:i/>
          <w:iCs/>
          <w:noProof/>
        </w:rPr>
        <w:drawing>
          <wp:inline distT="0" distB="0" distL="0" distR="0">
            <wp:extent cx="5730875" cy="2639695"/>
            <wp:effectExtent l="0" t="0" r="3175" b="8255"/>
            <wp:docPr id="1847061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bwMode="auto">
                    <a:xfrm>
                      <a:off x="0" y="0"/>
                      <a:ext cx="5730875" cy="2639695"/>
                    </a:xfrm>
                    <a:prstGeom prst="rect">
                      <a:avLst/>
                    </a:prstGeom>
                    <a:noFill/>
                  </pic:spPr>
                </pic:pic>
              </a:graphicData>
            </a:graphic>
          </wp:inline>
        </w:drawing>
      </w:r>
    </w:p>
    <w:p w:rsidR="00305372" w:rsidRPr="00305372" w:rsidP="00550440">
      <w:pPr>
        <w:jc w:val="right"/>
        <w:rPr>
          <w:rFonts w:ascii="Garamond" w:hAnsi="Garamond"/>
        </w:rPr>
      </w:pPr>
      <w:r w:rsidRPr="00305372">
        <w:rPr>
          <w:rFonts w:ascii="Garamond" w:hAnsi="Garamond"/>
        </w:rPr>
        <w:t>F1 &amp; F2 Source: Whittle (2024)</w:t>
      </w:r>
    </w:p>
    <w:p w:rsidR="00305372" w:rsidRPr="00305372" w:rsidP="00DE1915">
      <w:pPr>
        <w:rPr>
          <w:rFonts w:ascii="Garamond" w:hAnsi="Garamond"/>
        </w:rPr>
      </w:pPr>
      <w:r w:rsidRPr="00305372">
        <w:rPr>
          <w:rFonts w:ascii="Garamond" w:hAnsi="Garamond"/>
        </w:rPr>
        <w:t xml:space="preserve">In </w:t>
      </w:r>
      <w:r w:rsidRPr="00305372">
        <w:rPr>
          <w:rFonts w:ascii="Garamond" w:hAnsi="Garamond"/>
        </w:rPr>
        <w:t xml:space="preserve">Figure 1, we see </w:t>
      </w:r>
      <w:r w:rsidRPr="00305372">
        <w:rPr>
          <w:rFonts w:ascii="Garamond" w:hAnsi="Garamond"/>
        </w:rPr>
        <w:t xml:space="preserve">the use of Roundabout’s to frustrate the </w:t>
      </w:r>
      <w:r w:rsidRPr="00305372">
        <w:rPr>
          <w:rFonts w:ascii="Garamond" w:hAnsi="Garamond"/>
        </w:rPr>
        <w:t>user</w:t>
      </w:r>
      <w:r w:rsidRPr="00305372">
        <w:rPr>
          <w:rFonts w:ascii="Garamond" w:hAnsi="Garamond"/>
        </w:rPr>
        <w:t xml:space="preserve"> and discourage their adding of a higher interest rate. </w:t>
      </w:r>
      <w:r w:rsidRPr="00305372">
        <w:rPr>
          <w:rFonts w:ascii="Garamond" w:hAnsi="Garamond"/>
        </w:rPr>
        <w:t xml:space="preserve">Whittle (2024) </w:t>
      </w:r>
      <w:r w:rsidRPr="00305372">
        <w:rPr>
          <w:rFonts w:ascii="Garamond" w:hAnsi="Garamond"/>
        </w:rPr>
        <w:t xml:space="preserve">extends </w:t>
      </w:r>
      <w:r w:rsidRPr="00305372">
        <w:rPr>
          <w:rFonts w:ascii="Garamond" w:hAnsi="Garamond"/>
        </w:rPr>
        <w:t>the framework in Table 1 incorporating FastTracks</w:t>
      </w:r>
      <w:r w:rsidRPr="00305372">
        <w:rPr>
          <w:rFonts w:ascii="Garamond" w:hAnsi="Garamond"/>
        </w:rPr>
        <w:t xml:space="preserve">. This is a speed through of the OCA to get a customer </w:t>
      </w:r>
      <w:r w:rsidRPr="00305372">
        <w:rPr>
          <w:rFonts w:ascii="Garamond" w:hAnsi="Garamond"/>
        </w:rPr>
        <w:t xml:space="preserve">where they need to be for the best outcome. This allows the framework to support </w:t>
      </w:r>
      <w:r w:rsidRPr="00305372">
        <w:rPr>
          <w:rFonts w:ascii="Garamond" w:hAnsi="Garamond"/>
        </w:rPr>
        <w:t>auditors assessing Financial Services OCA</w:t>
      </w:r>
      <w:r w:rsidRPr="00305372">
        <w:rPr>
          <w:rFonts w:ascii="Garamond" w:hAnsi="Garamond"/>
        </w:rPr>
        <w:t xml:space="preserve"> as the FCA’s Consumer Duty requires</w:t>
      </w:r>
      <w:r w:rsidRPr="00305372">
        <w:rPr>
          <w:rFonts w:ascii="Garamond" w:hAnsi="Garamond"/>
        </w:rPr>
        <w:t xml:space="preserve">, where relevant the </w:t>
      </w:r>
      <w:r w:rsidRPr="00305372">
        <w:rPr>
          <w:rFonts w:ascii="Garamond" w:hAnsi="Garamond"/>
        </w:rPr>
        <w:t>introduction</w:t>
      </w:r>
      <w:r w:rsidRPr="00305372">
        <w:rPr>
          <w:rFonts w:ascii="Garamond" w:hAnsi="Garamond"/>
        </w:rPr>
        <w:t xml:space="preserve"> of ‘positive interventions to </w:t>
      </w:r>
      <w:r w:rsidRPr="00305372">
        <w:rPr>
          <w:rFonts w:ascii="Garamond" w:hAnsi="Garamond"/>
        </w:rPr>
        <w:t>customer journey</w:t>
      </w:r>
      <w:r w:rsidRPr="00305372">
        <w:rPr>
          <w:rFonts w:ascii="Garamond" w:hAnsi="Garamond"/>
        </w:rPr>
        <w:t>s”.</w:t>
      </w:r>
      <w:r w:rsidRPr="00305372">
        <w:rPr>
          <w:rFonts w:ascii="Garamond" w:hAnsi="Garamond"/>
        </w:rPr>
        <w:br/>
      </w:r>
    </w:p>
    <w:p w:rsidR="00305372" w:rsidRPr="00305372" w:rsidP="00DE1915">
      <w:pPr>
        <w:rPr>
          <w:rFonts w:ascii="Garamond" w:hAnsi="Garamond"/>
        </w:rPr>
      </w:pPr>
      <w:r w:rsidRPr="00305372">
        <w:rPr>
          <w:rFonts w:ascii="Garamond" w:hAnsi="Garamond"/>
        </w:rPr>
        <w:t xml:space="preserve">Moving </w:t>
      </w:r>
      <w:r w:rsidRPr="00305372">
        <w:rPr>
          <w:rFonts w:ascii="Garamond" w:hAnsi="Garamond"/>
        </w:rPr>
        <w:t xml:space="preserve">from hypothetical examples, figure 3 </w:t>
      </w:r>
      <w:r w:rsidRPr="00305372">
        <w:rPr>
          <w:rFonts w:ascii="Garamond" w:hAnsi="Garamond"/>
        </w:rPr>
        <w:t xml:space="preserve">(overleaf) </w:t>
      </w:r>
      <w:r w:rsidRPr="00305372">
        <w:rPr>
          <w:rFonts w:ascii="Garamond" w:hAnsi="Garamond"/>
        </w:rPr>
        <w:t xml:space="preserve">shows the application of </w:t>
      </w:r>
      <w:r w:rsidRPr="00305372">
        <w:rPr>
          <w:rFonts w:ascii="Garamond" w:hAnsi="Garamond"/>
        </w:rPr>
        <w:t xml:space="preserve">the harmful OCA framework </w:t>
      </w:r>
      <w:r w:rsidRPr="00305372">
        <w:rPr>
          <w:rFonts w:ascii="Garamond" w:hAnsi="Garamond"/>
        </w:rPr>
        <w:t xml:space="preserve">to the </w:t>
      </w:r>
      <w:r w:rsidRPr="00305372">
        <w:rPr>
          <w:rFonts w:ascii="Garamond" w:hAnsi="Garamond"/>
        </w:rPr>
        <w:t>eToro account sign up process</w:t>
      </w:r>
      <w:r w:rsidRPr="00305372">
        <w:rPr>
          <w:rFonts w:ascii="Garamond" w:hAnsi="Garamond"/>
        </w:rPr>
        <w:t>:</w:t>
      </w: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p>
    <w:p w:rsidR="00305372" w:rsidRPr="00305372" w:rsidP="00DE1915">
      <w:pPr>
        <w:rPr>
          <w:rFonts w:ascii="Garamond" w:hAnsi="Garamond"/>
        </w:rPr>
      </w:pPr>
      <w:r w:rsidRPr="00305372">
        <w:rPr>
          <w:rFonts w:ascii="Garamond" w:hAnsi="Garamond"/>
        </w:rPr>
        <w:br/>
      </w:r>
    </w:p>
    <w:p w:rsidR="00305372" w:rsidRPr="00305372" w:rsidP="00477BBB">
      <w:pPr>
        <w:rPr>
          <w:rFonts w:ascii="Garamond" w:hAnsi="Garamond"/>
        </w:rPr>
      </w:pPr>
      <w:r w:rsidRPr="00305372">
        <w:rPr>
          <w:rFonts w:ascii="Garamond" w:hAnsi="Garamond"/>
        </w:rPr>
        <w:t>Figure 3</w:t>
      </w:r>
      <w:r w:rsidRPr="00305372">
        <w:rPr>
          <w:rFonts w:ascii="Garamond" w:hAnsi="Garamond"/>
        </w:rPr>
        <w:t xml:space="preserve">: A pathway plot of </w:t>
      </w:r>
      <w:r w:rsidRPr="00305372">
        <w:rPr>
          <w:rFonts w:ascii="Garamond" w:hAnsi="Garamond"/>
        </w:rPr>
        <w:t xml:space="preserve">creating and deleting an eToro account. </w:t>
      </w:r>
    </w:p>
    <w:p w:rsidR="00305372" w:rsidRPr="00305372" w:rsidP="00DE1915">
      <w:pPr>
        <w:jc w:val="center"/>
        <w:rPr>
          <w:rFonts w:ascii="Garamond" w:hAnsi="Garamond"/>
        </w:rPr>
      </w:pPr>
      <w:r w:rsidRPr="00305372">
        <w:rPr>
          <w:rFonts w:ascii="Garamond" w:hAnsi="Garamond"/>
        </w:rPr>
        <w:br/>
      </w:r>
      <w:r w:rsidRPr="00305372">
        <w:rPr>
          <w:noProof/>
        </w:rPr>
        <w:drawing>
          <wp:inline distT="0" distB="0" distL="0" distR="0">
            <wp:extent cx="4215930" cy="7754112"/>
            <wp:effectExtent l="0" t="0" r="0" b="0"/>
            <wp:docPr id="574454477" name="Picture 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54477" name="Picture 3" descr="A diagram of a company&#10;&#10;AI-generated content may be incorrect."/>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4216531" cy="7755217"/>
                    </a:xfrm>
                    <a:prstGeom prst="rect">
                      <a:avLst/>
                    </a:prstGeom>
                    <a:noFill/>
                    <a:ln>
                      <a:noFill/>
                    </a:ln>
                  </pic:spPr>
                </pic:pic>
              </a:graphicData>
            </a:graphic>
          </wp:inline>
        </w:drawing>
      </w:r>
    </w:p>
    <w:p w:rsidR="00305372" w:rsidRPr="00305372" w:rsidP="004628D2">
      <w:pPr>
        <w:jc w:val="right"/>
        <w:rPr>
          <w:rFonts w:ascii="Garamond" w:hAnsi="Garamond"/>
        </w:rPr>
      </w:pPr>
      <w:r w:rsidRPr="00305372">
        <w:rPr>
          <w:rFonts w:ascii="Garamond" w:hAnsi="Garamond"/>
        </w:rPr>
        <w:t>Source: Mills et al (2023)</w:t>
      </w:r>
    </w:p>
    <w:p w:rsidR="00305372" w:rsidRPr="00305372" w:rsidP="00DE1915">
      <w:pPr>
        <w:rPr>
          <w:rFonts w:ascii="Garamond" w:hAnsi="Garamond"/>
        </w:rPr>
      </w:pPr>
      <w:r w:rsidRPr="00305372">
        <w:rPr>
          <w:rFonts w:ascii="Garamond" w:hAnsi="Garamond"/>
        </w:rPr>
        <w:t xml:space="preserve">Figure </w:t>
      </w:r>
      <w:r w:rsidRPr="00305372">
        <w:rPr>
          <w:rFonts w:ascii="Garamond" w:hAnsi="Garamond"/>
        </w:rPr>
        <w:t xml:space="preserve">3 demonstrates a variety of harmful OCA aspects in </w:t>
      </w:r>
      <w:r w:rsidRPr="00305372">
        <w:rPr>
          <w:rFonts w:ascii="Garamond" w:hAnsi="Garamond"/>
        </w:rPr>
        <w:t xml:space="preserve">the account closure process. </w:t>
      </w:r>
      <w:r w:rsidRPr="00305372">
        <w:rPr>
          <w:rFonts w:ascii="Garamond" w:hAnsi="Garamond"/>
        </w:rPr>
        <w:t>Detours, Roundabouts and Forced Actions frustrate the user</w:t>
      </w:r>
      <w:r w:rsidRPr="00305372">
        <w:rPr>
          <w:rFonts w:ascii="Garamond" w:hAnsi="Garamond"/>
        </w:rPr>
        <w:t>,</w:t>
      </w:r>
      <w:r w:rsidRPr="00305372">
        <w:rPr>
          <w:rFonts w:ascii="Garamond" w:hAnsi="Garamond"/>
        </w:rPr>
        <w:t xml:space="preserve"> and shortcuts encourage keeping rather than cancelling the account. </w:t>
      </w:r>
      <w:r w:rsidRPr="00305372">
        <w:rPr>
          <w:rFonts w:ascii="Garamond" w:hAnsi="Garamond"/>
        </w:rPr>
        <w:br/>
      </w:r>
      <w:r w:rsidRPr="00305372">
        <w:rPr>
          <w:rFonts w:ascii="Garamond" w:hAnsi="Garamond"/>
        </w:rPr>
        <w:br/>
      </w:r>
      <w:r w:rsidRPr="00305372">
        <w:rPr>
          <w:rFonts w:ascii="Garamond" w:hAnsi="Garamond"/>
        </w:rPr>
        <w:t>Figure 3 was created by a human auditor.</w:t>
      </w:r>
      <w:r w:rsidRPr="00305372">
        <w:rPr>
          <w:rFonts w:ascii="Garamond" w:hAnsi="Garamond"/>
        </w:rPr>
        <w:t xml:space="preserve"> This may have several disadvantages. The human auditor provides a limited number of perspectives </w:t>
      </w:r>
      <w:r w:rsidRPr="00305372">
        <w:rPr>
          <w:rFonts w:ascii="Garamond" w:hAnsi="Garamond"/>
        </w:rPr>
        <w:t>and</w:t>
      </w:r>
      <w:r w:rsidRPr="00305372">
        <w:rPr>
          <w:rFonts w:ascii="Garamond" w:hAnsi="Garamond"/>
        </w:rPr>
        <w:t xml:space="preserve"> </w:t>
      </w:r>
      <w:r w:rsidRPr="00305372">
        <w:rPr>
          <w:rFonts w:ascii="Garamond" w:hAnsi="Garamond"/>
        </w:rPr>
        <w:t>is</w:t>
      </w:r>
      <w:r w:rsidRPr="00305372">
        <w:rPr>
          <w:rFonts w:ascii="Garamond" w:hAnsi="Garamond"/>
        </w:rPr>
        <w:t xml:space="preserve"> unlikely to </w:t>
      </w:r>
      <w:r w:rsidRPr="00305372">
        <w:rPr>
          <w:rFonts w:ascii="Garamond" w:hAnsi="Garamond"/>
        </w:rPr>
        <w:t>be able to take multiple perspectives on the OCA. For example</w:t>
      </w:r>
      <w:r w:rsidRPr="00305372">
        <w:rPr>
          <w:rFonts w:ascii="Garamond" w:hAnsi="Garamond"/>
        </w:rPr>
        <w:t>,</w:t>
      </w:r>
      <w:r w:rsidRPr="00305372">
        <w:rPr>
          <w:rFonts w:ascii="Garamond" w:hAnsi="Garamond"/>
        </w:rPr>
        <w:t xml:space="preserve"> will a highly digitally skilled </w:t>
      </w:r>
      <w:r w:rsidRPr="00305372">
        <w:rPr>
          <w:rFonts w:ascii="Garamond" w:hAnsi="Garamond"/>
        </w:rPr>
        <w:t xml:space="preserve">OCA auditor be able to </w:t>
      </w:r>
      <w:r w:rsidRPr="00305372">
        <w:rPr>
          <w:rFonts w:ascii="Garamond" w:hAnsi="Garamond"/>
        </w:rPr>
        <w:t>audit</w:t>
      </w:r>
      <w:r w:rsidRPr="00305372">
        <w:rPr>
          <w:rFonts w:ascii="Garamond" w:hAnsi="Garamond"/>
        </w:rPr>
        <w:t xml:space="preserve"> the OCA as</w:t>
      </w:r>
      <w:r w:rsidRPr="00305372">
        <w:rPr>
          <w:rFonts w:ascii="Garamond" w:hAnsi="Garamond"/>
        </w:rPr>
        <w:t xml:space="preserve"> if they were</w:t>
      </w:r>
      <w:r w:rsidRPr="00305372">
        <w:rPr>
          <w:rFonts w:ascii="Garamond" w:hAnsi="Garamond"/>
        </w:rPr>
        <w:t xml:space="preserve"> a digitally</w:t>
      </w:r>
      <w:r w:rsidRPr="00305372">
        <w:rPr>
          <w:rFonts w:ascii="Garamond" w:hAnsi="Garamond"/>
        </w:rPr>
        <w:t xml:space="preserve"> </w:t>
      </w:r>
      <w:r w:rsidRPr="00305372">
        <w:rPr>
          <w:rFonts w:ascii="Garamond" w:hAnsi="Garamond"/>
        </w:rPr>
        <w:t>inexperienced first</w:t>
      </w:r>
      <w:r w:rsidRPr="00305372">
        <w:rPr>
          <w:rFonts w:ascii="Garamond" w:hAnsi="Garamond"/>
        </w:rPr>
        <w:t>-</w:t>
      </w:r>
      <w:r w:rsidRPr="00305372">
        <w:rPr>
          <w:rFonts w:ascii="Garamond" w:hAnsi="Garamond"/>
        </w:rPr>
        <w:t>time user?</w:t>
      </w:r>
      <w:r w:rsidRPr="00305372">
        <w:rPr>
          <w:rFonts w:ascii="Garamond" w:hAnsi="Garamond"/>
        </w:rPr>
        <w:t xml:space="preserve"> </w:t>
      </w:r>
      <w:r w:rsidRPr="00305372">
        <w:rPr>
          <w:rFonts w:ascii="Garamond" w:hAnsi="Garamond"/>
        </w:rPr>
        <w:t xml:space="preserve">We propose </w:t>
      </w:r>
      <w:r w:rsidRPr="00305372">
        <w:rPr>
          <w:rFonts w:ascii="Garamond" w:hAnsi="Garamond"/>
        </w:rPr>
        <w:t xml:space="preserve">(see </w:t>
      </w:r>
      <w:r w:rsidRPr="00305372">
        <w:rPr>
          <w:rFonts w:ascii="Garamond" w:hAnsi="Garamond"/>
          <w:noProof/>
        </w:rPr>
        <w:t>(Mills &amp; Whittle, 2023)</w:t>
      </w:r>
      <w:r w:rsidRPr="00305372">
        <w:rPr>
          <w:rFonts w:ascii="Garamond" w:hAnsi="Garamond"/>
        </w:rPr>
        <w:t xml:space="preserve"> and (Whittle &amp; Mills, 2025) </w:t>
      </w:r>
      <w:r w:rsidRPr="00305372">
        <w:rPr>
          <w:rFonts w:ascii="Garamond" w:hAnsi="Garamond"/>
        </w:rPr>
        <w:t xml:space="preserve">a generative AI approach </w:t>
      </w:r>
      <w:r w:rsidRPr="00305372">
        <w:rPr>
          <w:rFonts w:ascii="Garamond" w:hAnsi="Garamond"/>
        </w:rPr>
        <w:t>to auditing</w:t>
      </w:r>
      <w:r w:rsidRPr="00305372">
        <w:rPr>
          <w:rFonts w:ascii="Garamond" w:hAnsi="Garamond"/>
        </w:rPr>
        <w:t xml:space="preserve"> OCA. Generative AI can </w:t>
      </w:r>
      <w:r w:rsidRPr="00305372">
        <w:rPr>
          <w:rFonts w:ascii="Garamond" w:hAnsi="Garamond"/>
        </w:rPr>
        <w:t xml:space="preserve">competently assume various required personas and complete an audit of </w:t>
      </w:r>
      <w:r w:rsidRPr="00305372">
        <w:rPr>
          <w:rFonts w:ascii="Garamond" w:hAnsi="Garamond"/>
        </w:rPr>
        <w:t>an online process</w:t>
      </w:r>
      <w:r w:rsidRPr="00305372">
        <w:rPr>
          <w:rFonts w:ascii="Garamond" w:hAnsi="Garamond"/>
        </w:rPr>
        <w:t xml:space="preserve"> as that persona. </w:t>
      </w:r>
      <w:r w:rsidRPr="00305372">
        <w:rPr>
          <w:rFonts w:ascii="Garamond" w:hAnsi="Garamond"/>
        </w:rPr>
        <w:t xml:space="preserve">Besides overcoming experiential challenges, generative AI is likely to provide substantial cost advantages </w:t>
      </w:r>
      <w:r w:rsidRPr="00305372">
        <w:rPr>
          <w:rFonts w:ascii="Garamond" w:hAnsi="Garamond"/>
        </w:rPr>
        <w:t>also, supporting regulatory capacity.</w:t>
      </w:r>
      <w:r w:rsidRPr="00305372">
        <w:rPr>
          <w:rFonts w:ascii="Garamond" w:hAnsi="Garamond"/>
        </w:rPr>
        <w:br/>
      </w:r>
      <w:r w:rsidRPr="00305372">
        <w:rPr>
          <w:rFonts w:ascii="Garamond" w:hAnsi="Garamond"/>
        </w:rPr>
        <w:br/>
      </w:r>
      <w:r w:rsidRPr="00305372">
        <w:rPr>
          <w:rStyle w:val="Heading2Char"/>
          <w:b/>
          <w:bCs/>
          <w:sz w:val="24"/>
          <w:szCs w:val="24"/>
        </w:rPr>
        <w:t>Generative AI and OCA audits</w:t>
      </w:r>
      <w:r w:rsidRPr="00305372">
        <w:rPr>
          <w:rFonts w:ascii="Garamond" w:hAnsi="Garamond"/>
        </w:rPr>
        <w:br/>
      </w:r>
      <w:r w:rsidRPr="00305372">
        <w:rPr>
          <w:rFonts w:ascii="Garamond" w:hAnsi="Garamond"/>
        </w:rPr>
        <w:br/>
      </w:r>
      <w:r w:rsidRPr="00305372">
        <w:rPr>
          <w:rFonts w:ascii="Garamond" w:hAnsi="Garamond"/>
        </w:rPr>
        <w:t xml:space="preserve"> </w:t>
      </w:r>
      <w:r w:rsidRPr="00305372">
        <w:rPr>
          <w:rFonts w:ascii="Garamond" w:hAnsi="Garamond"/>
        </w:rPr>
        <w:t>Whittle &amp; Mills (2025)</w:t>
      </w:r>
      <w:r w:rsidRPr="00305372">
        <w:rPr>
          <w:rFonts w:ascii="Garamond" w:hAnsi="Garamond"/>
        </w:rPr>
        <w:t xml:space="preserve"> </w:t>
      </w:r>
      <w:r w:rsidRPr="00305372">
        <w:rPr>
          <w:rFonts w:ascii="Garamond" w:hAnsi="Garamond"/>
        </w:rPr>
        <w:t>compare two premium Gnerative</w:t>
      </w:r>
      <w:r w:rsidRPr="00305372">
        <w:rPr>
          <w:rFonts w:ascii="Garamond" w:hAnsi="Garamond"/>
        </w:rPr>
        <w:t xml:space="preserve"> </w:t>
      </w:r>
      <w:r w:rsidRPr="00305372">
        <w:rPr>
          <w:rFonts w:ascii="Garamond" w:hAnsi="Garamond"/>
        </w:rPr>
        <w:t xml:space="preserve">AI models against human </w:t>
      </w:r>
      <w:r w:rsidRPr="00305372">
        <w:rPr>
          <w:rFonts w:ascii="Garamond" w:hAnsi="Garamond"/>
        </w:rPr>
        <w:t xml:space="preserve">behavioural auditors in </w:t>
      </w:r>
      <w:r w:rsidRPr="00305372">
        <w:rPr>
          <w:rFonts w:ascii="Garamond" w:hAnsi="Garamond"/>
        </w:rPr>
        <w:t>a number of</w:t>
      </w:r>
      <w:r w:rsidRPr="00305372">
        <w:rPr>
          <w:rFonts w:ascii="Garamond" w:hAnsi="Garamond"/>
        </w:rPr>
        <w:t xml:space="preserve"> scenarios. </w:t>
      </w:r>
      <w:r w:rsidRPr="00305372">
        <w:rPr>
          <w:rFonts w:ascii="Garamond" w:hAnsi="Garamond"/>
        </w:rPr>
        <w:t xml:space="preserve">In terms of navigating two different </w:t>
      </w:r>
      <w:r w:rsidRPr="00305372">
        <w:rPr>
          <w:rFonts w:ascii="Garamond" w:hAnsi="Garamond"/>
        </w:rPr>
        <w:t>online cancellation processes</w:t>
      </w:r>
      <w:r w:rsidRPr="00305372">
        <w:rPr>
          <w:rFonts w:ascii="Garamond" w:hAnsi="Garamond"/>
        </w:rPr>
        <w:t>,</w:t>
      </w:r>
      <w:r w:rsidRPr="00305372">
        <w:rPr>
          <w:rFonts w:ascii="Garamond" w:hAnsi="Garamond"/>
        </w:rPr>
        <w:t xml:space="preserve"> </w:t>
      </w:r>
      <w:r w:rsidRPr="00305372">
        <w:rPr>
          <w:rFonts w:ascii="Garamond" w:hAnsi="Garamond"/>
        </w:rPr>
        <w:t xml:space="preserve">the Generative AI models followed comparable paths to the human </w:t>
      </w:r>
      <w:r w:rsidRPr="00305372">
        <w:rPr>
          <w:rFonts w:ascii="Garamond" w:hAnsi="Garamond"/>
        </w:rPr>
        <w:t xml:space="preserve">users </w:t>
      </w:r>
      <w:r w:rsidRPr="00305372">
        <w:rPr>
          <w:rFonts w:ascii="Garamond" w:hAnsi="Garamond"/>
        </w:rPr>
        <w:t>and highly similar assessments of harmful OCA to a human auditor</w:t>
      </w:r>
      <w:r w:rsidRPr="00305372">
        <w:rPr>
          <w:rFonts w:ascii="Garamond" w:hAnsi="Garamond"/>
        </w:rPr>
        <w:t xml:space="preserve"> (see appendix)</w:t>
      </w:r>
      <w:r w:rsidRPr="00305372">
        <w:rPr>
          <w:rFonts w:ascii="Garamond" w:hAnsi="Garamond"/>
        </w:rPr>
        <w:t>.</w:t>
      </w:r>
      <w:r w:rsidRPr="00305372">
        <w:rPr>
          <w:rFonts w:ascii="Garamond" w:hAnsi="Garamond"/>
        </w:rPr>
        <w:br/>
      </w:r>
      <w:r w:rsidRPr="00305372">
        <w:rPr>
          <w:rFonts w:ascii="Garamond" w:hAnsi="Garamond"/>
        </w:rPr>
        <w:br/>
        <w:t xml:space="preserve">Additionally the models were able to comprehensively </w:t>
      </w:r>
      <w:r w:rsidRPr="00305372">
        <w:rPr>
          <w:rFonts w:ascii="Garamond" w:hAnsi="Garamond"/>
        </w:rPr>
        <w:t>describe each step of the cancellation process facilitating the production of pathway plots</w:t>
      </w:r>
      <w:r w:rsidRPr="00305372">
        <w:rPr>
          <w:rFonts w:ascii="Garamond" w:hAnsi="Garamond"/>
        </w:rPr>
        <w:t xml:space="preserve"> </w:t>
      </w:r>
      <w:r w:rsidRPr="00305372">
        <w:rPr>
          <w:rFonts w:ascii="Garamond" w:hAnsi="Garamond"/>
        </w:rPr>
        <w:t>similar to</w:t>
      </w:r>
      <w:r w:rsidRPr="00305372">
        <w:rPr>
          <w:rFonts w:ascii="Garamond" w:hAnsi="Garamond"/>
        </w:rPr>
        <w:t xml:space="preserve"> figure 3.</w:t>
      </w:r>
      <w:r w:rsidRPr="00305372">
        <w:rPr>
          <w:rFonts w:ascii="Garamond" w:hAnsi="Garamond"/>
        </w:rPr>
        <w:t xml:space="preserve"> </w:t>
      </w:r>
      <w:r w:rsidRPr="00305372">
        <w:rPr>
          <w:rFonts w:ascii="Garamond" w:hAnsi="Garamond"/>
        </w:rPr>
        <w:t>An example is below.</w:t>
      </w:r>
      <w:r w:rsidRPr="00305372">
        <w:rPr>
          <w:rFonts w:ascii="Garamond" w:hAnsi="Garamond"/>
        </w:rPr>
        <w:br/>
      </w:r>
    </w:p>
    <w:p w:rsidR="00305372" w:rsidRPr="00305372" w:rsidP="00864368">
      <w:pPr>
        <w:rPr>
          <w:rFonts w:ascii="Garamond" w:hAnsi="Garamond"/>
        </w:rPr>
      </w:pPr>
      <w:r w:rsidRPr="00305372">
        <w:rPr>
          <w:rFonts w:ascii="Garamond" w:hAnsi="Garamond"/>
          <w:i/>
          <w:iCs/>
        </w:rPr>
        <w:t>Figure</w:t>
      </w:r>
      <w:r w:rsidRPr="00305372">
        <w:rPr>
          <w:rFonts w:ascii="Garamond" w:hAnsi="Garamond"/>
          <w:i/>
          <w:iCs/>
        </w:rPr>
        <w:t xml:space="preserve"> 4: A </w:t>
      </w:r>
      <w:r w:rsidRPr="00305372">
        <w:rPr>
          <w:rFonts w:ascii="Garamond" w:hAnsi="Garamond"/>
          <w:i/>
          <w:iCs/>
        </w:rPr>
        <w:t>Claude Sonnet 3.5</w:t>
      </w:r>
      <w:r w:rsidRPr="00305372">
        <w:rPr>
          <w:rFonts w:ascii="Garamond" w:hAnsi="Garamond"/>
          <w:i/>
          <w:iCs/>
        </w:rPr>
        <w:t xml:space="preserve"> pathway plot of a cancellation process</w:t>
      </w:r>
      <w:r w:rsidRPr="00305372">
        <w:rPr>
          <w:rFonts w:ascii="Garamond" w:hAnsi="Garamond"/>
        </w:rPr>
        <w:br/>
      </w:r>
      <w:r w:rsidRPr="00305372">
        <w:rPr>
          <w:rFonts w:ascii="Garamond" w:hAnsi="Garamond"/>
          <w:noProof/>
        </w:rPr>
        <w:drawing>
          <wp:inline distT="0" distB="0" distL="0" distR="0">
            <wp:extent cx="5730875" cy="3907790"/>
            <wp:effectExtent l="0" t="0" r="3175" b="0"/>
            <wp:docPr id="5566954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5730875" cy="3907790"/>
                    </a:xfrm>
                    <a:prstGeom prst="rect">
                      <a:avLst/>
                    </a:prstGeom>
                    <a:noFill/>
                  </pic:spPr>
                </pic:pic>
              </a:graphicData>
            </a:graphic>
          </wp:inline>
        </w:drawing>
      </w:r>
    </w:p>
    <w:p w:rsidR="00305372" w:rsidRPr="00305372" w:rsidP="009E6888">
      <w:pPr>
        <w:jc w:val="right"/>
        <w:rPr>
          <w:rFonts w:ascii="Garamond" w:hAnsi="Garamond"/>
        </w:rPr>
      </w:pPr>
      <w:r w:rsidRPr="00305372">
        <w:rPr>
          <w:rFonts w:ascii="Garamond" w:hAnsi="Garamond"/>
        </w:rPr>
        <w:t xml:space="preserve">Source: </w:t>
      </w:r>
      <w:r w:rsidRPr="00305372">
        <w:rPr>
          <w:rFonts w:ascii="Garamond" w:hAnsi="Garamond"/>
        </w:rPr>
        <w:t>Whittle &amp; Mills (2025)</w:t>
      </w:r>
    </w:p>
    <w:p w:rsidR="00305372" w:rsidRPr="00305372" w:rsidP="00C542FA">
      <w:pPr>
        <w:rPr>
          <w:rFonts w:ascii="Garamond" w:hAnsi="Garamond"/>
        </w:rPr>
      </w:pPr>
      <w:r w:rsidRPr="00305372">
        <w:rPr>
          <w:rFonts w:ascii="Garamond" w:hAnsi="Garamond"/>
        </w:rPr>
        <w:t xml:space="preserve">Generative AI </w:t>
      </w:r>
      <w:r w:rsidRPr="00305372">
        <w:rPr>
          <w:rFonts w:ascii="Garamond" w:hAnsi="Garamond"/>
        </w:rPr>
        <w:t>m</w:t>
      </w:r>
      <w:r w:rsidRPr="00305372">
        <w:rPr>
          <w:rFonts w:ascii="Garamond" w:hAnsi="Garamond"/>
        </w:rPr>
        <w:t xml:space="preserve">odels, as a minimum, can suggest areas of focus </w:t>
      </w:r>
      <w:r w:rsidRPr="00305372">
        <w:rPr>
          <w:rFonts w:ascii="Garamond" w:hAnsi="Garamond"/>
        </w:rPr>
        <w:t xml:space="preserve">for human auditors. However, a </w:t>
      </w:r>
      <w:r w:rsidRPr="00305372">
        <w:rPr>
          <w:rFonts w:ascii="Garamond" w:hAnsi="Garamond"/>
        </w:rPr>
        <w:t xml:space="preserve">use directly addressing the committee’s focus is </w:t>
      </w:r>
      <w:r w:rsidRPr="00305372">
        <w:rPr>
          <w:rFonts w:ascii="Garamond" w:hAnsi="Garamond"/>
        </w:rPr>
        <w:t>in</w:t>
      </w:r>
      <w:r w:rsidRPr="00305372">
        <w:rPr>
          <w:rFonts w:ascii="Garamond" w:hAnsi="Garamond"/>
        </w:rPr>
        <w:t xml:space="preserve"> auditing OCA from the perspective of </w:t>
      </w:r>
      <w:r w:rsidRPr="00305372">
        <w:rPr>
          <w:rFonts w:ascii="Garamond" w:hAnsi="Garamond"/>
        </w:rPr>
        <w:t xml:space="preserve">vulnerable </w:t>
      </w:r>
      <w:r w:rsidRPr="00305372">
        <w:rPr>
          <w:rFonts w:ascii="Garamond" w:hAnsi="Garamond"/>
        </w:rPr>
        <w:t xml:space="preserve">customers. Mills &amp; Whittle (2023) use </w:t>
      </w:r>
      <w:r w:rsidRPr="00305372">
        <w:rPr>
          <w:rFonts w:ascii="Garamond" w:hAnsi="Garamond"/>
        </w:rPr>
        <w:t xml:space="preserve">Generative AI to audit a social media account </w:t>
      </w:r>
      <w:r w:rsidRPr="00305372">
        <w:rPr>
          <w:rFonts w:ascii="Garamond" w:hAnsi="Garamond"/>
        </w:rPr>
        <w:t>deletion</w:t>
      </w:r>
      <w:r w:rsidRPr="00305372">
        <w:rPr>
          <w:rFonts w:ascii="Garamond" w:hAnsi="Garamond"/>
        </w:rPr>
        <w:t xml:space="preserve"> process from the perspective of a</w:t>
      </w:r>
      <w:r w:rsidRPr="00305372">
        <w:rPr>
          <w:rFonts w:ascii="Garamond" w:hAnsi="Garamond"/>
        </w:rPr>
        <w:t xml:space="preserve">n individual with low digital skills. </w:t>
      </w:r>
      <w:r w:rsidRPr="00305372">
        <w:rPr>
          <w:rFonts w:ascii="Garamond" w:hAnsi="Garamond"/>
        </w:rPr>
        <w:br/>
      </w:r>
      <w:r w:rsidRPr="00305372">
        <w:rPr>
          <w:rFonts w:ascii="Garamond" w:hAnsi="Garamond"/>
        </w:rPr>
        <w:br/>
        <w:t>The output is illuminating</w:t>
      </w:r>
      <w:r w:rsidRPr="00305372">
        <w:rPr>
          <w:rFonts w:ascii="Garamond" w:hAnsi="Garamond"/>
        </w:rPr>
        <w:t xml:space="preserve">. In the first </w:t>
      </w:r>
      <w:r w:rsidRPr="00305372">
        <w:rPr>
          <w:rFonts w:ascii="Garamond" w:hAnsi="Garamond"/>
        </w:rPr>
        <w:t xml:space="preserve">test, all personas </w:t>
      </w:r>
      <w:r w:rsidRPr="00305372">
        <w:rPr>
          <w:rFonts w:ascii="Garamond" w:hAnsi="Garamond"/>
        </w:rPr>
        <w:t>(</w:t>
      </w:r>
      <w:r w:rsidRPr="00305372">
        <w:rPr>
          <w:rFonts w:ascii="Garamond" w:hAnsi="Garamond"/>
        </w:rPr>
        <w:t xml:space="preserve">Low Digitally Skilled (LDS), Average Digitally Skilled (ADS) </w:t>
      </w:r>
      <w:r w:rsidRPr="00305372">
        <w:rPr>
          <w:rFonts w:ascii="Garamond" w:hAnsi="Garamond"/>
        </w:rPr>
        <w:t>and Highly Digitally Skilled (HDS)</w:t>
      </w:r>
      <w:r w:rsidRPr="00305372">
        <w:rPr>
          <w:rFonts w:ascii="Garamond" w:hAnsi="Garamond"/>
        </w:rPr>
        <w:t>)</w:t>
      </w:r>
      <w:r w:rsidRPr="00305372">
        <w:rPr>
          <w:rFonts w:ascii="Garamond" w:hAnsi="Garamond"/>
        </w:rPr>
        <w:t xml:space="preserve"> were instructed to create a Facebook Account</w:t>
      </w:r>
      <w:r>
        <w:rPr>
          <w:rStyle w:val="FootnoteReference"/>
          <w:rFonts w:ascii="Garamond" w:hAnsi="Garamond"/>
        </w:rPr>
        <w:footnoteReference w:id="6"/>
      </w:r>
      <w:r w:rsidRPr="00305372">
        <w:rPr>
          <w:rFonts w:ascii="Garamond" w:hAnsi="Garamond"/>
        </w:rPr>
        <w:t>. The persona journeys are shown below.</w:t>
      </w:r>
      <w:r w:rsidRPr="00305372">
        <w:rPr>
          <w:rFonts w:ascii="Garamond" w:hAnsi="Garamond"/>
        </w:rPr>
        <w:br/>
      </w:r>
      <w:r w:rsidRPr="00305372">
        <w:rPr>
          <w:rFonts w:ascii="Garamond" w:hAnsi="Garamond"/>
        </w:rPr>
        <w:br/>
      </w:r>
      <w:r w:rsidRPr="00305372">
        <w:rPr>
          <w:rFonts w:ascii="Garamond" w:hAnsi="Garamond"/>
          <w:i/>
          <w:iCs/>
        </w:rPr>
        <w:t xml:space="preserve">Figure 5: </w:t>
      </w:r>
      <w:r w:rsidRPr="00305372">
        <w:rPr>
          <w:rFonts w:ascii="Garamond" w:hAnsi="Garamond"/>
          <w:i/>
          <w:iCs/>
        </w:rPr>
        <w:t>Facebook Account Opening for various GenAI Personas.</w:t>
      </w:r>
      <w:r w:rsidRPr="00305372">
        <w:rPr>
          <w:rFonts w:ascii="Garamond" w:hAnsi="Garamond"/>
        </w:rPr>
        <w:t xml:space="preserve"> </w:t>
      </w:r>
      <w:r w:rsidRPr="00305372">
        <w:rPr>
          <w:rFonts w:ascii="Garamond" w:hAnsi="Garamond"/>
        </w:rPr>
        <w:br/>
      </w:r>
      <w:r w:rsidRPr="00305372">
        <w:rPr>
          <w:rFonts w:ascii="Garamond" w:hAnsi="Garamond"/>
        </w:rPr>
        <w:br/>
      </w:r>
      <w:r w:rsidRPr="00305372">
        <w:rPr>
          <w:rFonts w:ascii="Garamond" w:hAnsi="Garamond"/>
          <w:noProof/>
        </w:rPr>
        <w:drawing>
          <wp:inline distT="0" distB="0" distL="0" distR="0">
            <wp:extent cx="4223369" cy="3806890"/>
            <wp:effectExtent l="0" t="0" r="6350" b="3175"/>
            <wp:docPr id="9105558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rcRect/>
                    <a:stretch>
                      <a:fillRect/>
                    </a:stretch>
                  </pic:blipFill>
                  <pic:spPr bwMode="auto">
                    <a:xfrm>
                      <a:off x="0" y="0"/>
                      <a:ext cx="4257101" cy="3837296"/>
                    </a:xfrm>
                    <a:prstGeom prst="rect">
                      <a:avLst/>
                    </a:prstGeom>
                    <a:noFill/>
                  </pic:spPr>
                </pic:pic>
              </a:graphicData>
            </a:graphic>
          </wp:inline>
        </w:drawing>
      </w:r>
      <w:r w:rsidRPr="00305372">
        <w:rPr>
          <w:rFonts w:ascii="Garamond" w:hAnsi="Garamond"/>
        </w:rPr>
        <w:br/>
      </w:r>
    </w:p>
    <w:p w:rsidR="00305372" w:rsidRPr="00305372" w:rsidP="004420B5">
      <w:pPr>
        <w:jc w:val="right"/>
        <w:rPr>
          <w:rFonts w:ascii="Garamond" w:hAnsi="Garamond"/>
        </w:rPr>
      </w:pPr>
      <w:r w:rsidRPr="00305372">
        <w:rPr>
          <w:rFonts w:ascii="Garamond" w:hAnsi="Garamond"/>
        </w:rPr>
        <w:t>Source: Mills &amp; Whittle (2023)</w:t>
      </w:r>
    </w:p>
    <w:p w:rsidR="00305372" w:rsidRPr="00305372" w:rsidP="00864368">
      <w:pPr>
        <w:rPr>
          <w:rFonts w:ascii="Garamond" w:hAnsi="Garamond"/>
          <w:i/>
          <w:iCs/>
        </w:rPr>
      </w:pPr>
      <w:r w:rsidRPr="00305372">
        <w:rPr>
          <w:rFonts w:ascii="Garamond" w:hAnsi="Garamond"/>
        </w:rPr>
        <w:t>Each persona successfully completes the task</w:t>
      </w:r>
      <w:r w:rsidRPr="00305372">
        <w:rPr>
          <w:rFonts w:ascii="Garamond" w:hAnsi="Garamond"/>
        </w:rPr>
        <w:t xml:space="preserve"> and creates a Facebook account</w:t>
      </w:r>
      <w:r w:rsidRPr="00305372">
        <w:rPr>
          <w:rFonts w:ascii="Garamond" w:hAnsi="Garamond"/>
        </w:rPr>
        <w:t>. T</w:t>
      </w:r>
      <w:r w:rsidRPr="00305372">
        <w:rPr>
          <w:rFonts w:ascii="Garamond" w:hAnsi="Garamond"/>
        </w:rPr>
        <w:t>he main difference</w:t>
      </w:r>
      <w:r w:rsidRPr="00305372">
        <w:rPr>
          <w:rFonts w:ascii="Garamond" w:hAnsi="Garamond"/>
        </w:rPr>
        <w:t xml:space="preserve"> </w:t>
      </w:r>
      <w:r w:rsidRPr="00305372">
        <w:rPr>
          <w:rFonts w:ascii="Garamond" w:hAnsi="Garamond"/>
        </w:rPr>
        <w:t xml:space="preserve">between the personas </w:t>
      </w:r>
      <w:r w:rsidRPr="00305372">
        <w:rPr>
          <w:rFonts w:ascii="Garamond" w:hAnsi="Garamond"/>
        </w:rPr>
        <w:t>is</w:t>
      </w:r>
      <w:r w:rsidRPr="00305372">
        <w:rPr>
          <w:rFonts w:ascii="Garamond" w:hAnsi="Garamond"/>
        </w:rPr>
        <w:t xml:space="preserve"> that</w:t>
      </w:r>
      <w:r w:rsidRPr="00305372">
        <w:rPr>
          <w:rFonts w:ascii="Garamond" w:hAnsi="Garamond"/>
        </w:rPr>
        <w:t xml:space="preserve"> </w:t>
      </w:r>
      <w:r w:rsidRPr="00305372">
        <w:rPr>
          <w:rFonts w:ascii="Garamond" w:hAnsi="Garamond"/>
        </w:rPr>
        <w:t xml:space="preserve">the HDS persona declines </w:t>
      </w:r>
      <w:r w:rsidRPr="00305372">
        <w:rPr>
          <w:rFonts w:ascii="Garamond" w:hAnsi="Garamond"/>
        </w:rPr>
        <w:t>optional cookies whereas the ADS and LDS persona</w:t>
      </w:r>
      <w:r w:rsidRPr="00305372">
        <w:rPr>
          <w:rFonts w:ascii="Garamond" w:hAnsi="Garamond"/>
        </w:rPr>
        <w:t>s</w:t>
      </w:r>
      <w:r w:rsidRPr="00305372">
        <w:rPr>
          <w:rFonts w:ascii="Garamond" w:hAnsi="Garamond"/>
        </w:rPr>
        <w:t xml:space="preserve"> accept them</w:t>
      </w:r>
      <w:r w:rsidRPr="00305372">
        <w:rPr>
          <w:rFonts w:ascii="Garamond" w:hAnsi="Garamond"/>
        </w:rPr>
        <w:t xml:space="preserve">. The GenAI model provides different reasoning for these different personas </w:t>
      </w:r>
      <w:r w:rsidRPr="00305372">
        <w:rPr>
          <w:rFonts w:ascii="Garamond" w:hAnsi="Garamond"/>
        </w:rPr>
        <w:t>making the same choice. The LDS person accepts optional cookies reasoning this wil</w:t>
      </w:r>
      <w:r w:rsidRPr="00305372">
        <w:rPr>
          <w:rFonts w:ascii="Garamond" w:hAnsi="Garamond"/>
        </w:rPr>
        <w:t>l</w:t>
      </w:r>
      <w:r w:rsidRPr="00305372">
        <w:rPr>
          <w:rFonts w:ascii="Garamond" w:hAnsi="Garamond"/>
        </w:rPr>
        <w:t xml:space="preserve"> give them a better </w:t>
      </w:r>
      <w:r w:rsidRPr="00305372">
        <w:rPr>
          <w:rFonts w:ascii="Garamond" w:hAnsi="Garamond"/>
        </w:rPr>
        <w:t>overall experience, whereas the ADS persona accepts cookies as that person ‘spends more time online</w:t>
      </w:r>
      <w:r w:rsidRPr="00305372">
        <w:rPr>
          <w:rFonts w:ascii="Garamond" w:hAnsi="Garamond"/>
        </w:rPr>
        <w:t>’</w:t>
      </w:r>
      <w:r w:rsidRPr="00305372">
        <w:rPr>
          <w:rFonts w:ascii="Garamond" w:hAnsi="Garamond"/>
        </w:rPr>
        <w:t xml:space="preserve"> </w:t>
      </w:r>
      <w:r w:rsidRPr="00305372">
        <w:rPr>
          <w:rFonts w:ascii="Garamond" w:hAnsi="Garamond"/>
        </w:rPr>
        <w:t>and</w:t>
      </w:r>
      <w:r w:rsidRPr="00305372">
        <w:rPr>
          <w:rFonts w:ascii="Garamond" w:hAnsi="Garamond"/>
        </w:rPr>
        <w:t xml:space="preserve"> has become habituated to accepting cookies</w:t>
      </w:r>
      <w:r w:rsidRPr="00305372">
        <w:rPr>
          <w:rFonts w:ascii="Garamond" w:hAnsi="Garamond"/>
        </w:rPr>
        <w:t>,</w:t>
      </w:r>
      <w:r w:rsidRPr="00305372">
        <w:rPr>
          <w:rFonts w:ascii="Garamond" w:hAnsi="Garamond"/>
        </w:rPr>
        <w:t xml:space="preserve"> doing so ‘unthinkingly’.</w:t>
      </w:r>
      <w:r w:rsidRPr="00305372">
        <w:rPr>
          <w:rFonts w:ascii="Garamond" w:hAnsi="Garamond"/>
        </w:rPr>
        <w:t xml:space="preserve"> </w:t>
      </w:r>
      <w:r w:rsidRPr="00305372">
        <w:rPr>
          <w:rFonts w:ascii="Garamond" w:hAnsi="Garamond"/>
        </w:rPr>
        <w:t xml:space="preserve">The account deletion process is </w:t>
      </w:r>
      <w:r w:rsidRPr="00305372">
        <w:rPr>
          <w:rFonts w:ascii="Garamond" w:hAnsi="Garamond"/>
        </w:rPr>
        <w:t>however quite variable between personas (shown below).</w:t>
      </w:r>
      <w:r w:rsidRPr="00305372">
        <w:rPr>
          <w:rFonts w:ascii="Garamond" w:hAnsi="Garamond"/>
        </w:rPr>
        <w:t xml:space="preserve"> The HDS persona rejects cookies following a greater understanding of cookie technology and reasoned opposition to the online tracking cookies enable.</w:t>
      </w:r>
      <w:r w:rsidRPr="00305372">
        <w:rPr>
          <w:rFonts w:ascii="Garamond" w:hAnsi="Garamond"/>
        </w:rPr>
        <w:br/>
      </w:r>
      <w:r w:rsidRPr="00305372">
        <w:rPr>
          <w:rFonts w:ascii="Garamond" w:hAnsi="Garamond"/>
        </w:rPr>
        <w:br/>
      </w:r>
    </w:p>
    <w:p w:rsidR="00305372" w:rsidRPr="00305372" w:rsidP="00864368">
      <w:pPr>
        <w:rPr>
          <w:rFonts w:ascii="Garamond" w:hAnsi="Garamond"/>
          <w:i/>
          <w:iCs/>
        </w:rPr>
      </w:pPr>
    </w:p>
    <w:p w:rsidR="00305372" w:rsidRPr="00305372" w:rsidP="00864368">
      <w:pPr>
        <w:rPr>
          <w:rFonts w:ascii="Garamond" w:hAnsi="Garamond"/>
        </w:rPr>
      </w:pPr>
      <w:r w:rsidRPr="00305372">
        <w:rPr>
          <w:rFonts w:ascii="Garamond" w:hAnsi="Garamond"/>
          <w:i/>
          <w:iCs/>
        </w:rPr>
        <w:t xml:space="preserve">Figure 6: </w:t>
      </w:r>
      <w:r w:rsidRPr="00305372">
        <w:rPr>
          <w:rFonts w:ascii="Garamond" w:hAnsi="Garamond"/>
          <w:i/>
          <w:iCs/>
        </w:rPr>
        <w:t>Generated Person</w:t>
      </w:r>
      <w:r w:rsidRPr="00305372">
        <w:rPr>
          <w:rFonts w:ascii="Garamond" w:hAnsi="Garamond"/>
          <w:i/>
          <w:iCs/>
        </w:rPr>
        <w:t>as</w:t>
      </w:r>
      <w:r w:rsidRPr="00305372">
        <w:rPr>
          <w:rFonts w:ascii="Garamond" w:hAnsi="Garamond"/>
          <w:i/>
          <w:iCs/>
        </w:rPr>
        <w:t xml:space="preserve"> permanently deleting a Facebook account</w:t>
      </w:r>
      <w:r w:rsidRPr="00305372">
        <w:rPr>
          <w:rFonts w:ascii="Garamond" w:hAnsi="Garamond"/>
        </w:rPr>
        <w:br/>
      </w:r>
      <w:r w:rsidRPr="00305372">
        <w:rPr>
          <w:rFonts w:ascii="Garamond" w:hAnsi="Garamond"/>
        </w:rPr>
        <w:br/>
      </w:r>
      <w:r w:rsidRPr="00305372">
        <w:rPr>
          <w:rFonts w:ascii="Garamond" w:hAnsi="Garamond"/>
          <w:noProof/>
        </w:rPr>
        <w:drawing>
          <wp:inline distT="0" distB="0" distL="0" distR="0">
            <wp:extent cx="5655258" cy="8089641"/>
            <wp:effectExtent l="0" t="0" r="3175" b="6985"/>
            <wp:docPr id="1537939767"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39767" name="Picture 1" descr="A diagram of a flowchart&#10;&#10;AI-generated content may be incorrect."/>
                    <pic:cNvPicPr/>
                  </pic:nvPicPr>
                  <pic:blipFill>
                    <a:blip xmlns:r="http://schemas.openxmlformats.org/officeDocument/2006/relationships" r:embed="rId11"/>
                    <a:stretch>
                      <a:fillRect/>
                    </a:stretch>
                  </pic:blipFill>
                  <pic:spPr>
                    <a:xfrm>
                      <a:off x="0" y="0"/>
                      <a:ext cx="5673935" cy="8116358"/>
                    </a:xfrm>
                    <a:prstGeom prst="rect">
                      <a:avLst/>
                    </a:prstGeom>
                  </pic:spPr>
                </pic:pic>
              </a:graphicData>
            </a:graphic>
          </wp:inline>
        </w:drawing>
      </w:r>
    </w:p>
    <w:p w:rsidR="00305372" w:rsidRPr="00305372" w:rsidP="00864368">
      <w:pPr>
        <w:rPr>
          <w:rFonts w:ascii="Garamond" w:hAnsi="Garamond"/>
        </w:rPr>
      </w:pPr>
    </w:p>
    <w:p w:rsidR="00305372" w:rsidRPr="00305372" w:rsidP="00864368">
      <w:pPr>
        <w:rPr>
          <w:rFonts w:ascii="Garamond" w:hAnsi="Garamond"/>
        </w:rPr>
      </w:pPr>
      <w:r w:rsidRPr="00305372">
        <w:rPr>
          <w:rFonts w:ascii="Garamond" w:hAnsi="Garamond"/>
        </w:rPr>
        <w:t>While these nuances are interesting, the most compelling consequence of this approach is that it</w:t>
      </w:r>
      <w:r w:rsidRPr="00305372">
        <w:rPr>
          <w:rFonts w:ascii="Garamond" w:hAnsi="Garamond"/>
        </w:rPr>
        <w:t xml:space="preserve"> allows an assessment of the Equal Clicks Principle from </w:t>
      </w:r>
      <w:r w:rsidRPr="00305372">
        <w:rPr>
          <w:rFonts w:ascii="Garamond" w:hAnsi="Garamond"/>
        </w:rPr>
        <w:t>many different perspectives (personas)</w:t>
      </w:r>
      <w:r w:rsidRPr="00305372">
        <w:rPr>
          <w:rFonts w:ascii="Garamond" w:hAnsi="Garamond"/>
        </w:rPr>
        <w:t xml:space="preserve">. In </w:t>
      </w:r>
      <w:r w:rsidRPr="00305372">
        <w:rPr>
          <w:rFonts w:ascii="Garamond" w:hAnsi="Garamond"/>
        </w:rPr>
        <w:t xml:space="preserve">figures 5 and 6, each arrow repreents a click. </w:t>
      </w:r>
      <w:r w:rsidRPr="00305372">
        <w:rPr>
          <w:rFonts w:ascii="Garamond" w:hAnsi="Garamond"/>
        </w:rPr>
        <w:t>A dashed arrow is an incorrect click</w:t>
      </w:r>
      <w:r w:rsidRPr="00305372">
        <w:rPr>
          <w:rFonts w:ascii="Garamond" w:hAnsi="Garamond"/>
        </w:rPr>
        <w:t xml:space="preserve"> (prompting back-tracking)</w:t>
      </w:r>
      <w:r w:rsidRPr="00305372">
        <w:rPr>
          <w:rFonts w:ascii="Garamond" w:hAnsi="Garamond"/>
        </w:rPr>
        <w:t>,</w:t>
      </w:r>
      <w:r w:rsidRPr="00305372">
        <w:rPr>
          <w:rFonts w:ascii="Garamond" w:hAnsi="Garamond"/>
        </w:rPr>
        <w:t xml:space="preserve"> while</w:t>
      </w:r>
      <w:r w:rsidRPr="00305372">
        <w:rPr>
          <w:rFonts w:ascii="Garamond" w:hAnsi="Garamond"/>
        </w:rPr>
        <w:t xml:space="preserve"> a blue arrow is a repeated click.</w:t>
      </w:r>
      <w:r w:rsidRPr="00305372">
        <w:rPr>
          <w:rFonts w:ascii="Garamond" w:hAnsi="Garamond"/>
        </w:rPr>
        <w:t xml:space="preserve"> Each persona requires 6 clicks to create their account,</w:t>
      </w:r>
      <w:r w:rsidRPr="00305372">
        <w:rPr>
          <w:rFonts w:ascii="Garamond" w:hAnsi="Garamond"/>
        </w:rPr>
        <w:t xml:space="preserve"> but</w:t>
      </w:r>
      <w:r w:rsidRPr="00305372">
        <w:rPr>
          <w:rFonts w:ascii="Garamond" w:hAnsi="Garamond"/>
        </w:rPr>
        <w:t xml:space="preserve"> </w:t>
      </w:r>
      <w:r w:rsidRPr="00305372">
        <w:rPr>
          <w:rFonts w:ascii="Garamond" w:hAnsi="Garamond"/>
        </w:rPr>
        <w:t xml:space="preserve">HDS requires 19 clicks to delete, ADS 20 clicks </w:t>
      </w:r>
      <w:r w:rsidRPr="00305372">
        <w:rPr>
          <w:rFonts w:ascii="Garamond" w:hAnsi="Garamond"/>
        </w:rPr>
        <w:t>and LDS 40.</w:t>
      </w:r>
      <w:r w:rsidRPr="00305372">
        <w:rPr>
          <w:rFonts w:ascii="Garamond" w:hAnsi="Garamond"/>
        </w:rPr>
        <w:t xml:space="preserve"> Thus, even accounting for different skill levels, one can be confident that some violation of the ECP is arising in this process. T</w:t>
      </w:r>
      <w:r w:rsidRPr="00305372">
        <w:rPr>
          <w:rFonts w:ascii="Garamond" w:hAnsi="Garamond"/>
        </w:rPr>
        <w:t>he model also provides an estimation of time</w:t>
      </w:r>
      <w:r w:rsidRPr="00305372">
        <w:rPr>
          <w:rFonts w:ascii="Garamond" w:hAnsi="Garamond"/>
        </w:rPr>
        <w:t xml:space="preserve">. </w:t>
      </w:r>
      <w:r w:rsidRPr="00305372">
        <w:rPr>
          <w:rFonts w:ascii="Garamond" w:hAnsi="Garamond"/>
        </w:rPr>
        <w:t>In terms of clicks</w:t>
      </w:r>
      <w:r w:rsidRPr="00305372">
        <w:rPr>
          <w:rFonts w:ascii="Garamond" w:hAnsi="Garamond"/>
        </w:rPr>
        <w:t>,</w:t>
      </w:r>
      <w:r w:rsidRPr="00305372">
        <w:rPr>
          <w:rFonts w:ascii="Garamond" w:hAnsi="Garamond"/>
        </w:rPr>
        <w:t xml:space="preserve"> deleting an account for a HDS persona is</w:t>
      </w:r>
      <w:r w:rsidRPr="00305372">
        <w:rPr>
          <w:rFonts w:ascii="Garamond" w:hAnsi="Garamond"/>
        </w:rPr>
        <w:t xml:space="preserve"> estimated to be</w:t>
      </w:r>
      <w:r w:rsidRPr="00305372">
        <w:rPr>
          <w:rFonts w:ascii="Garamond" w:hAnsi="Garamond"/>
        </w:rPr>
        <w:t xml:space="preserve"> around </w:t>
      </w:r>
      <w:r w:rsidRPr="00305372">
        <w:rPr>
          <w:rFonts w:ascii="Garamond" w:hAnsi="Garamond"/>
        </w:rPr>
        <w:t>3 times more effortful than</w:t>
      </w:r>
      <w:r w:rsidRPr="00305372">
        <w:rPr>
          <w:rFonts w:ascii="Garamond" w:hAnsi="Garamond"/>
        </w:rPr>
        <w:t xml:space="preserve"> creating an account,</w:t>
      </w:r>
      <w:r w:rsidRPr="00305372">
        <w:rPr>
          <w:rFonts w:ascii="Garamond" w:hAnsi="Garamond"/>
        </w:rPr>
        <w:t xml:space="preserve"> and</w:t>
      </w:r>
      <w:r w:rsidRPr="00305372">
        <w:rPr>
          <w:rFonts w:ascii="Garamond" w:hAnsi="Garamond"/>
        </w:rPr>
        <w:t xml:space="preserve"> for </w:t>
      </w:r>
      <w:r w:rsidRPr="00305372">
        <w:rPr>
          <w:rFonts w:ascii="Garamond" w:hAnsi="Garamond"/>
        </w:rPr>
        <w:t>a</w:t>
      </w:r>
      <w:r w:rsidRPr="00305372">
        <w:rPr>
          <w:rFonts w:ascii="Garamond" w:hAnsi="Garamond"/>
        </w:rPr>
        <w:t xml:space="preserve"> LDS persona it is nearly 7 times as effortful</w:t>
      </w:r>
      <w:r w:rsidRPr="00305372">
        <w:rPr>
          <w:rFonts w:ascii="Garamond" w:hAnsi="Garamond"/>
        </w:rPr>
        <w:t xml:space="preserve">. </w:t>
      </w:r>
      <w:r w:rsidRPr="00305372">
        <w:rPr>
          <w:rFonts w:ascii="Garamond" w:hAnsi="Garamond"/>
        </w:rPr>
        <w:br/>
      </w:r>
      <w:r w:rsidRPr="00305372">
        <w:rPr>
          <w:rFonts w:ascii="Garamond" w:hAnsi="Garamond"/>
        </w:rPr>
        <w:br/>
        <w:t>Using Generated Person</w:t>
      </w:r>
      <w:r w:rsidRPr="00305372">
        <w:rPr>
          <w:rFonts w:ascii="Garamond" w:hAnsi="Garamond"/>
        </w:rPr>
        <w:t>as provides additonal insight from a variety of perspectives</w:t>
      </w:r>
      <w:r w:rsidRPr="00305372">
        <w:rPr>
          <w:rFonts w:ascii="Garamond" w:hAnsi="Garamond"/>
        </w:rPr>
        <w:t xml:space="preserve">. </w:t>
      </w:r>
      <w:r w:rsidRPr="00305372">
        <w:rPr>
          <w:rFonts w:ascii="Garamond" w:hAnsi="Garamond"/>
        </w:rPr>
        <w:t xml:space="preserve">Figure 6 shows a replication of a human </w:t>
      </w:r>
      <w:r w:rsidRPr="00305372">
        <w:rPr>
          <w:rFonts w:ascii="Garamond" w:hAnsi="Garamond"/>
        </w:rPr>
        <w:t xml:space="preserve">audit conducted in Mills et al (2023). It </w:t>
      </w:r>
      <w:r w:rsidRPr="00305372">
        <w:rPr>
          <w:rFonts w:ascii="Garamond" w:hAnsi="Garamond"/>
        </w:rPr>
        <w:t>provides insight into the LDS persona not discovered by the human auditors</w:t>
      </w:r>
      <w:r w:rsidRPr="00305372">
        <w:rPr>
          <w:rFonts w:ascii="Garamond" w:hAnsi="Garamond"/>
        </w:rPr>
        <w:t xml:space="preserve">. It is also </w:t>
      </w:r>
      <w:r w:rsidRPr="00305372">
        <w:rPr>
          <w:rFonts w:ascii="Garamond" w:hAnsi="Garamond"/>
        </w:rPr>
        <w:t>significantly quicker and cheaper.</w:t>
      </w:r>
      <w:r w:rsidRPr="00305372">
        <w:rPr>
          <w:noProof/>
        </w:rPr>
        <w:t xml:space="preserve"> </w:t>
      </w:r>
      <w:r w:rsidRPr="00305372">
        <w:rPr>
          <w:noProof/>
        </w:rPr>
        <w:br/>
      </w:r>
      <w:r w:rsidRPr="00305372">
        <w:rPr>
          <w:noProof/>
          <w:sz w:val="24"/>
          <w:szCs w:val="24"/>
        </w:rPr>
        <w:br/>
      </w:r>
      <w:r w:rsidRPr="00305372">
        <w:rPr>
          <w:rStyle w:val="Heading2Char"/>
          <w:b/>
          <w:bCs/>
          <w:sz w:val="24"/>
          <w:szCs w:val="24"/>
        </w:rPr>
        <w:t>Conclusion</w:t>
      </w:r>
    </w:p>
    <w:p w:rsidR="00305372" w:rsidRPr="00305372" w:rsidP="00CB1A6E">
      <w:pPr>
        <w:rPr>
          <w:rFonts w:ascii="Garamond" w:hAnsi="Garamond"/>
        </w:rPr>
      </w:pPr>
      <w:r w:rsidRPr="00305372">
        <w:rPr>
          <w:rFonts w:ascii="Garamond" w:hAnsi="Garamond"/>
        </w:rPr>
        <w:t>Generative AI when used as a companion to human auditors can provide</w:t>
      </w:r>
      <w:r w:rsidRPr="00305372">
        <w:rPr>
          <w:rFonts w:ascii="Garamond" w:hAnsi="Garamond"/>
        </w:rPr>
        <w:t xml:space="preserve"> </w:t>
      </w:r>
      <w:r w:rsidRPr="00305372">
        <w:rPr>
          <w:rFonts w:ascii="Garamond" w:hAnsi="Garamond"/>
        </w:rPr>
        <w:t xml:space="preserve">cost effective support to protect consumers and vulnerable customers in UK Financial Services whilst supporting </w:t>
      </w:r>
      <w:r w:rsidRPr="00305372">
        <w:rPr>
          <w:rFonts w:ascii="Garamond" w:hAnsi="Garamond"/>
        </w:rPr>
        <w:t>the regulator in enforcing the Consumer Duty.</w:t>
      </w:r>
    </w:p>
    <w:p w:rsidR="00305372" w:rsidP="00864368">
      <w:pPr>
        <w:rPr>
          <w:rFonts w:ascii="Garamond" w:hAnsi="Garamond"/>
        </w:rPr>
      </w:pPr>
    </w:p>
    <w:p w:rsidR="00305372" w:rsidRPr="00305372" w:rsidP="00864368">
      <w:pPr>
        <w:rPr>
          <w:b/>
          <w:bCs/>
          <w:i/>
          <w:iCs/>
          <w:noProof/>
          <w:sz w:val="24"/>
          <w:szCs w:val="24"/>
        </w:rPr>
      </w:pPr>
      <w:r w:rsidRPr="00305372">
        <w:rPr>
          <w:rFonts w:ascii="Garamond" w:hAnsi="Garamond"/>
          <w:b/>
          <w:bCs/>
          <w:i/>
          <w:iCs/>
          <w:sz w:val="24"/>
          <w:szCs w:val="24"/>
        </w:rPr>
        <w:t>March 2025</w:t>
      </w:r>
    </w:p>
    <w:p w:rsidR="00305372" w:rsidRP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P="00864368">
      <w:pPr>
        <w:rPr>
          <w:rFonts w:ascii="Garamond" w:hAnsi="Garamond"/>
          <w:b/>
          <w:bCs/>
          <w:i/>
          <w:iCs/>
          <w:sz w:val="24"/>
          <w:szCs w:val="24"/>
        </w:rPr>
      </w:pPr>
    </w:p>
    <w:p w:rsidR="00305372" w:rsidRPr="00305372" w:rsidP="00864368">
      <w:pPr>
        <w:rPr>
          <w:rFonts w:ascii="Garamond" w:hAnsi="Garamond"/>
          <w:b/>
          <w:bCs/>
          <w:i/>
          <w:iCs/>
          <w:sz w:val="24"/>
          <w:szCs w:val="24"/>
        </w:rPr>
      </w:pPr>
      <w:r w:rsidRPr="00305372">
        <w:rPr>
          <w:rFonts w:ascii="Garamond" w:hAnsi="Garamond"/>
          <w:b/>
          <w:bCs/>
          <w:i/>
          <w:iCs/>
          <w:sz w:val="24"/>
          <w:szCs w:val="24"/>
        </w:rPr>
        <w:br w:type="textWrapping" w:clear="all"/>
      </w:r>
    </w:p>
    <w:p w:rsidR="00305372" w:rsidRPr="00305372" w:rsidP="00F203A5">
      <w:pPr>
        <w:pStyle w:val="Heading2"/>
        <w:rPr>
          <w:b/>
          <w:bCs/>
          <w:sz w:val="22"/>
          <w:szCs w:val="22"/>
        </w:rPr>
      </w:pPr>
      <w:r w:rsidRPr="00305372">
        <w:rPr>
          <w:b/>
          <w:bCs/>
          <w:sz w:val="22"/>
          <w:szCs w:val="22"/>
        </w:rPr>
        <w:t>References</w:t>
      </w:r>
    </w:p>
    <w:p w:rsidR="00305372" w:rsidRPr="00305372" w:rsidP="00CD7578">
      <w:pPr>
        <w:pStyle w:val="EndNoteBibliography"/>
        <w:spacing w:after="0"/>
        <w:ind w:left="720" w:hanging="720"/>
      </w:pPr>
      <w:r w:rsidRPr="00305372">
        <w:t>Authority, C. M. (2022). Online Choice Architecture: How Digital Design Can Harm Competition and Consumers. In: Discussion Paper.</w:t>
      </w:r>
    </w:p>
    <w:p w:rsidR="00305372" w:rsidRPr="00305372" w:rsidP="00CD7578">
      <w:pPr>
        <w:pStyle w:val="EndNoteBibliography"/>
        <w:spacing w:after="0"/>
        <w:ind w:left="720" w:hanging="720"/>
      </w:pPr>
      <w:r w:rsidRPr="00305372">
        <w:t xml:space="preserve">Authority, F. C. (2022). Finalised Guidance: FG22/5 Final </w:t>
      </w:r>
      <w:r w:rsidRPr="00305372">
        <w:t>non-Handbook Guidance for firms on the Consumer Duty. In: Guidance Paper, July.</w:t>
      </w:r>
    </w:p>
    <w:p w:rsidR="00305372" w:rsidRPr="00305372" w:rsidP="00CD7578">
      <w:pPr>
        <w:pStyle w:val="EndNoteBibliography"/>
        <w:spacing w:after="0"/>
        <w:ind w:left="720" w:hanging="720"/>
      </w:pPr>
      <w:r w:rsidRPr="00305372">
        <w:t xml:space="preserve">Balasubramnian, B., &amp; Sargent, C. S. (2020). Impact of inflated perceptions of financial literacy on financial decision making. </w:t>
      </w:r>
      <w:r w:rsidRPr="00305372">
        <w:rPr>
          <w:i/>
        </w:rPr>
        <w:t>Journal of Economic Psychology</w:t>
      </w:r>
      <w:r w:rsidRPr="00305372">
        <w:t>,</w:t>
      </w:r>
      <w:r w:rsidRPr="00305372">
        <w:rPr>
          <w:i/>
        </w:rPr>
        <w:t xml:space="preserve"> 80</w:t>
      </w:r>
      <w:r w:rsidRPr="00305372">
        <w:t xml:space="preserve">, 102306. </w:t>
      </w:r>
    </w:p>
    <w:p w:rsidR="00305372" w:rsidRPr="00305372" w:rsidP="00CD7578">
      <w:pPr>
        <w:pStyle w:val="EndNoteBibliography"/>
        <w:spacing w:after="0"/>
        <w:ind w:left="720" w:hanging="720"/>
      </w:pPr>
      <w:r w:rsidRPr="00305372">
        <w:t xml:space="preserve">Brignull, H. (2011). Dark patterns: Deception vs. honesty in UI design. </w:t>
      </w:r>
      <w:r w:rsidRPr="00305372">
        <w:rPr>
          <w:i/>
        </w:rPr>
        <w:t>Interaction Design, Usability</w:t>
      </w:r>
      <w:r w:rsidRPr="00305372">
        <w:t>,</w:t>
      </w:r>
      <w:r w:rsidRPr="00305372">
        <w:rPr>
          <w:i/>
        </w:rPr>
        <w:t xml:space="preserve"> 338</w:t>
      </w:r>
      <w:r w:rsidRPr="00305372">
        <w:t xml:space="preserve">, 2-4. </w:t>
      </w:r>
    </w:p>
    <w:p w:rsidR="00305372" w:rsidRPr="00305372" w:rsidP="00CD7578">
      <w:pPr>
        <w:pStyle w:val="EndNoteBibliography"/>
        <w:spacing w:after="0"/>
        <w:ind w:left="720" w:hanging="720"/>
      </w:pPr>
      <w:r w:rsidRPr="00305372">
        <w:t xml:space="preserve">Brown, G., &amp; Whittle, R. (2020). Bitcoin’s Threat to the Global Financial System Is Probably at an End’. </w:t>
      </w:r>
      <w:r w:rsidRPr="00305372">
        <w:rPr>
          <w:i/>
        </w:rPr>
        <w:t>The Conversation</w:t>
      </w:r>
      <w:r w:rsidRPr="00305372">
        <w:t>,</w:t>
      </w:r>
      <w:r w:rsidRPr="00305372">
        <w:rPr>
          <w:i/>
        </w:rPr>
        <w:t xml:space="preserve"> 6</w:t>
      </w:r>
      <w:r w:rsidRPr="00305372">
        <w:t xml:space="preserve">(1). </w:t>
      </w:r>
    </w:p>
    <w:p w:rsidR="00305372" w:rsidRPr="00305372" w:rsidP="00CD7578">
      <w:pPr>
        <w:pStyle w:val="EndNoteBibliography"/>
        <w:spacing w:after="0"/>
        <w:ind w:left="720" w:hanging="720"/>
      </w:pPr>
      <w:r w:rsidRPr="00305372">
        <w:t xml:space="preserve">Kruger, J., &amp; Dunning, D. (1999). Unskilled and unaware of it: how difficulties in recognizing one's own incompetence lead to inflated self-assessments. </w:t>
      </w:r>
      <w:r w:rsidRPr="00305372">
        <w:rPr>
          <w:i/>
        </w:rPr>
        <w:t>Journal of personality and social psychology</w:t>
      </w:r>
      <w:r w:rsidRPr="00305372">
        <w:t>,</w:t>
      </w:r>
      <w:r w:rsidRPr="00305372">
        <w:rPr>
          <w:i/>
        </w:rPr>
        <w:t xml:space="preserve"> 77</w:t>
      </w:r>
      <w:r w:rsidRPr="00305372">
        <w:t xml:space="preserve">(6), 1121. </w:t>
      </w:r>
    </w:p>
    <w:p w:rsidR="00305372" w:rsidRPr="00305372" w:rsidP="00CD7578">
      <w:pPr>
        <w:pStyle w:val="EndNoteBibliography"/>
        <w:spacing w:after="0"/>
        <w:ind w:left="720" w:hanging="720"/>
      </w:pPr>
      <w:r w:rsidRPr="00305372">
        <w:t xml:space="preserve">Mills, S. (2024a). Being good and doing good in behavioral policymaking. </w:t>
      </w:r>
      <w:r w:rsidRPr="00305372">
        <w:rPr>
          <w:i/>
        </w:rPr>
        <w:t>Public Administration Review</w:t>
      </w:r>
      <w:r w:rsidRPr="00305372">
        <w:t xml:space="preserve">. </w:t>
      </w:r>
    </w:p>
    <w:p w:rsidR="00305372" w:rsidRPr="00305372" w:rsidP="00CD7578">
      <w:pPr>
        <w:pStyle w:val="EndNoteBibliography"/>
        <w:spacing w:after="0"/>
        <w:ind w:left="720" w:hanging="720"/>
      </w:pPr>
      <w:r w:rsidRPr="00305372">
        <w:t>Mills, S. (2024b). Deceptive choice architecture and behavioral audits: A principles</w:t>
      </w:r>
      <w:r w:rsidRPr="00305372">
        <w:rPr>
          <w:rFonts w:ascii="Cambria Math" w:hAnsi="Cambria Math" w:cs="Cambria Math"/>
        </w:rPr>
        <w:t>‐</w:t>
      </w:r>
      <w:r w:rsidRPr="00305372">
        <w:t xml:space="preserve">based approach. </w:t>
      </w:r>
      <w:r w:rsidRPr="00305372">
        <w:rPr>
          <w:i/>
        </w:rPr>
        <w:t>Regulation &amp; Governance</w:t>
      </w:r>
      <w:r w:rsidRPr="00305372">
        <w:t xml:space="preserve">. </w:t>
      </w:r>
    </w:p>
    <w:p w:rsidR="00305372" w:rsidRPr="00305372" w:rsidP="00CD7578">
      <w:pPr>
        <w:pStyle w:val="EndNoteBibliography"/>
        <w:spacing w:after="0"/>
        <w:ind w:left="720" w:hanging="720"/>
      </w:pPr>
      <w:r w:rsidRPr="00305372">
        <w:t xml:space="preserve">Mills, S., &amp; Whittle, R. (2023). Detecting Dark Patterns Using Generative AI: Some Preliminary Results. </w:t>
      </w:r>
      <w:r w:rsidRPr="00305372">
        <w:rPr>
          <w:i/>
        </w:rPr>
        <w:t>Available at SSRN</w:t>
      </w:r>
      <w:r w:rsidRPr="00305372">
        <w:t xml:space="preserve">. </w:t>
      </w:r>
    </w:p>
    <w:p w:rsidR="00305372" w:rsidRPr="00305372" w:rsidP="00CD7578">
      <w:pPr>
        <w:pStyle w:val="EndNoteBibliography"/>
        <w:spacing w:after="0"/>
        <w:ind w:left="720" w:hanging="720"/>
      </w:pPr>
      <w:r w:rsidRPr="00305372">
        <w:t xml:space="preserve">Mills, S., Whittle, R., Ahmed, R., Walsh, T., &amp; Wessel, M. (2023). Dark patterns and sludge audits: an integrated approach. </w:t>
      </w:r>
      <w:r w:rsidRPr="00305372">
        <w:rPr>
          <w:i/>
        </w:rPr>
        <w:t>Behavioural Public Policy</w:t>
      </w:r>
      <w:r w:rsidRPr="00305372">
        <w:t xml:space="preserve">. </w:t>
      </w:r>
    </w:p>
    <w:p w:rsidR="00305372" w:rsidRPr="00305372" w:rsidP="00CD7578">
      <w:pPr>
        <w:pStyle w:val="EndNoteBibliography"/>
        <w:spacing w:after="0"/>
        <w:ind w:left="720" w:hanging="720"/>
      </w:pPr>
      <w:r w:rsidRPr="00305372">
        <w:t xml:space="preserve">Mills, S., Whittle, R., &amp; Brown, G. (2021). The implications of a crisis-driven societal shift to online consumption. In </w:t>
      </w:r>
      <w:r w:rsidRPr="00305372">
        <w:rPr>
          <w:i/>
        </w:rPr>
        <w:t>Productivity and the Pandemic</w:t>
      </w:r>
      <w:r w:rsidRPr="00305372">
        <w:t xml:space="preserve">. Edward Elgar Publishing. </w:t>
      </w:r>
    </w:p>
    <w:p w:rsidR="00305372" w:rsidRPr="00305372" w:rsidP="00CD7578">
      <w:pPr>
        <w:pStyle w:val="EndNoteBibliography"/>
        <w:spacing w:after="0"/>
        <w:ind w:left="720" w:hanging="720"/>
      </w:pPr>
      <w:r w:rsidRPr="00305372">
        <w:t xml:space="preserve">Mills, S., Whittle, R., &amp; Brown, G. (2024). The Behavioural Dynamics of Social Retail Traders. </w:t>
      </w:r>
      <w:r w:rsidRPr="00305372">
        <w:rPr>
          <w:i/>
        </w:rPr>
        <w:t>Available at SSRN 4831157</w:t>
      </w:r>
      <w:r w:rsidRPr="00305372">
        <w:t xml:space="preserve">. </w:t>
      </w:r>
    </w:p>
    <w:p w:rsidR="00305372" w:rsidRPr="00305372" w:rsidP="00CD7578">
      <w:pPr>
        <w:pStyle w:val="EndNoteBibliography"/>
        <w:spacing w:after="0"/>
        <w:ind w:left="720" w:hanging="720"/>
      </w:pPr>
      <w:r w:rsidRPr="00305372">
        <w:t xml:space="preserve">Newall, P. W. S., &amp; Weiss-Cohen, L. (2022). The gamblification of investing: How a new generation of investors is being born to lose. </w:t>
      </w:r>
      <w:r w:rsidRPr="00305372">
        <w:rPr>
          <w:i/>
        </w:rPr>
        <w:t>International Journal of Environmental Research and Public Health</w:t>
      </w:r>
      <w:r w:rsidRPr="00305372">
        <w:t>,</w:t>
      </w:r>
      <w:r w:rsidRPr="00305372">
        <w:rPr>
          <w:i/>
        </w:rPr>
        <w:t xml:space="preserve"> 19</w:t>
      </w:r>
      <w:r w:rsidRPr="00305372">
        <w:t xml:space="preserve">(9), 5391. </w:t>
      </w:r>
    </w:p>
    <w:p w:rsidR="00305372" w:rsidRPr="00305372" w:rsidP="00CD7578">
      <w:pPr>
        <w:pStyle w:val="EndNoteBibliography"/>
        <w:spacing w:after="0"/>
        <w:ind w:left="720" w:hanging="720"/>
      </w:pPr>
      <w:r w:rsidRPr="00305372">
        <w:t xml:space="preserve">Packin, N. G., Kliger, D., Reichman, A., &amp; Rabinovitz, S. (2024). Hooked and Hustled: The Predatory Allure of Gamblified Finance. </w:t>
      </w:r>
      <w:r w:rsidRPr="00305372">
        <w:rPr>
          <w:i/>
        </w:rPr>
        <w:t>Available at SSRN 5090194</w:t>
      </w:r>
      <w:r w:rsidRPr="00305372">
        <w:t xml:space="preserve">. </w:t>
      </w:r>
    </w:p>
    <w:p w:rsidR="00305372" w:rsidRPr="00305372" w:rsidP="00CD7578">
      <w:pPr>
        <w:pStyle w:val="EndNoteBibliography"/>
        <w:spacing w:after="0"/>
        <w:ind w:left="720" w:hanging="720"/>
      </w:pPr>
      <w:r w:rsidRPr="00305372">
        <w:t xml:space="preserve">Paez, K. A., &amp; Mallery, C. J. (2014). A little knowledge is a risky thing: Wide gap in what people think they know about health insurance and what they actually know. </w:t>
      </w:r>
      <w:r w:rsidRPr="00305372">
        <w:rPr>
          <w:i/>
        </w:rPr>
        <w:t>American Institutes for Research Issue Brief</w:t>
      </w:r>
      <w:r w:rsidRPr="00305372">
        <w:t xml:space="preserve">, 1-6. </w:t>
      </w:r>
    </w:p>
    <w:p w:rsidR="00305372" w:rsidRPr="00305372" w:rsidP="00CD7578">
      <w:pPr>
        <w:pStyle w:val="EndNoteBibliography"/>
        <w:spacing w:after="0"/>
        <w:ind w:left="720" w:hanging="720"/>
      </w:pPr>
      <w:r w:rsidRPr="00305372">
        <w:t xml:space="preserve">Pompian, M. M. (2012). </w:t>
      </w:r>
      <w:r w:rsidRPr="00305372">
        <w:rPr>
          <w:i/>
        </w:rPr>
        <w:t>Behavioral finance and wealth management: how to build investment strategies that account for investor biases</w:t>
      </w:r>
      <w:r w:rsidRPr="00305372">
        <w:t xml:space="preserve"> (Vol. 667). John Wiley &amp; Sons. </w:t>
      </w:r>
    </w:p>
    <w:p w:rsidR="00305372" w:rsidRPr="00305372" w:rsidP="00CD7578">
      <w:pPr>
        <w:pStyle w:val="EndNoteBibliography"/>
        <w:spacing w:after="0"/>
        <w:ind w:left="720" w:hanging="720"/>
      </w:pPr>
      <w:r w:rsidRPr="00305372">
        <w:t xml:space="preserve">Simister, J., &amp; Whittle, R. (2013). Ethical investment and portfolio theory: Using factor analysis to select a portfolio. </w:t>
      </w:r>
      <w:r w:rsidRPr="00305372">
        <w:rPr>
          <w:i/>
        </w:rPr>
        <w:t>Journal of Mathematical Finance</w:t>
      </w:r>
      <w:r w:rsidRPr="00305372">
        <w:t>,</w:t>
      </w:r>
      <w:r w:rsidRPr="00305372">
        <w:rPr>
          <w:i/>
        </w:rPr>
        <w:t xml:space="preserve"> 3</w:t>
      </w:r>
      <w:r w:rsidRPr="00305372">
        <w:t xml:space="preserve">(1), 145-152. </w:t>
      </w:r>
    </w:p>
    <w:p w:rsidR="00305372" w:rsidRPr="00305372" w:rsidP="00EC6499">
      <w:pPr>
        <w:pStyle w:val="EndNoteBibliography"/>
        <w:spacing w:after="0"/>
        <w:ind w:left="720" w:hanging="720"/>
      </w:pPr>
      <w:r w:rsidRPr="00305372">
        <w:t xml:space="preserve">Whittle, R. (2024). The Consumer Duty: Behavioural Context and Practical Strategies to support informed decision making. </w:t>
      </w:r>
      <w:r w:rsidRPr="00305372">
        <w:t>Available at SSRN 4810846</w:t>
      </w:r>
      <w:r w:rsidRPr="00305372">
        <w:t xml:space="preserve">. </w:t>
      </w:r>
    </w:p>
    <w:p w:rsidR="00305372" w:rsidRPr="00305372" w:rsidP="00477BBB">
      <w:pPr>
        <w:pStyle w:val="EndNoteBibliography"/>
        <w:spacing w:after="0"/>
        <w:ind w:left="720" w:hanging="720"/>
      </w:pPr>
      <w:r w:rsidRPr="00305372">
        <w:t xml:space="preserve">Whittle, R., &amp; Mills, S. (2025). </w:t>
      </w:r>
      <w:r w:rsidRPr="00305372">
        <w:t>Hard-to-cancel subscriptions: A preliminary exploration of using Generative AI as a behavioural auditing sidekick</w:t>
      </w:r>
      <w:r w:rsidRPr="00305372">
        <w:t>.</w:t>
      </w:r>
    </w:p>
    <w:sectPr>
      <w:headerReference w:type="default" r:id="rI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05372" w:rsidP="00A66953">
      <w:pPr>
        <w:spacing w:after="0" w:line="240" w:lineRule="auto"/>
      </w:pPr>
      <w:r>
        <w:separator/>
      </w:r>
    </w:p>
  </w:footnote>
  <w:footnote w:type="continuationSeparator" w:id="1">
    <w:p w:rsidR="00305372" w:rsidP="00A66953">
      <w:pPr>
        <w:spacing w:after="0" w:line="240" w:lineRule="auto"/>
      </w:pPr>
      <w:r>
        <w:continuationSeparator/>
      </w:r>
    </w:p>
  </w:footnote>
  <w:footnote w:id="2">
    <w:p w:rsidR="00305372">
      <w:pPr>
        <w:pStyle w:val="FootnoteText"/>
      </w:pPr>
      <w:r>
        <w:rPr>
          <w:rStyle w:val="FootnoteReference"/>
        </w:rPr>
        <w:footnoteRef/>
      </w:r>
      <w:r>
        <w:t xml:space="preserve"> No aspect of this submission should be interpreted as the view of West Yorkshire Combined Authority.</w:t>
      </w:r>
    </w:p>
  </w:footnote>
  <w:footnote w:id="3">
    <w:p w:rsidR="00305372">
      <w:pPr>
        <w:pStyle w:val="FootnoteText"/>
      </w:pPr>
      <w:r>
        <w:rPr>
          <w:rStyle w:val="FootnoteReference"/>
        </w:rPr>
        <w:footnoteRef/>
      </w:r>
      <w:r>
        <w:t xml:space="preserve"> No aspect of this submission should be considered </w:t>
      </w:r>
      <w:r>
        <w:t xml:space="preserve">as </w:t>
      </w:r>
      <w:r>
        <w:t>the view of Manchester City Council.</w:t>
      </w:r>
    </w:p>
  </w:footnote>
  <w:footnote w:id="4">
    <w:p w:rsidR="00305372">
      <w:pPr>
        <w:pStyle w:val="FootnoteText"/>
      </w:pPr>
      <w:r>
        <w:rPr>
          <w:rStyle w:val="FootnoteReference"/>
        </w:rPr>
        <w:footnoteRef/>
      </w:r>
      <w:r>
        <w:t xml:space="preserve"> No aspect of this submission should be considered as the view of the OECD or this advisory group. </w:t>
      </w:r>
    </w:p>
  </w:footnote>
  <w:footnote w:id="5">
    <w:p w:rsidR="00305372">
      <w:pPr>
        <w:pStyle w:val="FootnoteText"/>
      </w:pPr>
      <w:r>
        <w:rPr>
          <w:rStyle w:val="FootnoteReference"/>
        </w:rPr>
        <w:footnoteRef/>
      </w:r>
      <w:r>
        <w:t xml:space="preserve"> </w:t>
      </w:r>
      <w:r w:rsidRPr="00092C85">
        <w:t>https://www.brownejacobson.com/insights/consumer-law-enforcement-hot-topics-harmful-online-choice-architecture-and-dark-patterns</w:t>
      </w:r>
    </w:p>
  </w:footnote>
  <w:footnote w:id="6">
    <w:p w:rsidR="00305372">
      <w:pPr>
        <w:pStyle w:val="FootnoteText"/>
      </w:pPr>
      <w:r>
        <w:rPr>
          <w:rStyle w:val="FootnoteReference"/>
        </w:rPr>
        <w:footnoteRef/>
      </w:r>
      <w:r>
        <w:t xml:space="preserve"> </w:t>
      </w:r>
      <w:r>
        <w:t>For full details of this process see Mills &amp; Whittle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372">
    <w:pPr>
      <w:pStyle w:val="Header"/>
    </w:pPr>
    <w:r>
      <w:t>AIFS0020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66953"/>
    <w:pPr>
      <w:keepNext/>
      <w:keepLines/>
      <w:spacing w:before="360" w:after="80"/>
      <w:outlineLvl w:val="0"/>
    </w:pPr>
    <w:rPr>
      <w:rFonts w:ascii="Garamond" w:hAnsi="Garamond" w:eastAsiaTheme="majorEastAsia" w:cstheme="majorBidi"/>
      <w:color w:val="000000" w:themeColor="text1"/>
      <w:sz w:val="40"/>
      <w:szCs w:val="40"/>
    </w:rPr>
  </w:style>
  <w:style w:type="paragraph" w:styleId="Heading2">
    <w:name w:val="heading 2"/>
    <w:basedOn w:val="Normal"/>
    <w:next w:val="Normal"/>
    <w:link w:val="Heading2Char"/>
    <w:uiPriority w:val="9"/>
    <w:unhideWhenUsed/>
    <w:qFormat/>
    <w:rsid w:val="00A66953"/>
    <w:pPr>
      <w:keepNext/>
      <w:keepLines/>
      <w:spacing w:before="160" w:after="80"/>
      <w:outlineLvl w:val="1"/>
    </w:pPr>
    <w:rPr>
      <w:rFonts w:ascii="Garamond" w:hAnsi="Garamond" w:eastAsiaTheme="majorEastAsia" w:cstheme="majorBidi"/>
      <w:color w:val="000000" w:themeColor="text1"/>
      <w:sz w:val="32"/>
      <w:szCs w:val="32"/>
    </w:rPr>
  </w:style>
  <w:style w:type="paragraph" w:styleId="Heading3">
    <w:name w:val="heading 3"/>
    <w:basedOn w:val="Normal"/>
    <w:next w:val="Normal"/>
    <w:link w:val="Heading3Char"/>
    <w:uiPriority w:val="9"/>
    <w:semiHidden/>
    <w:unhideWhenUsed/>
    <w:qFormat/>
    <w:rsid w:val="00A669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69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69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69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9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9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9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953"/>
    <w:rPr>
      <w:rFonts w:ascii="Garamond" w:hAnsi="Garamond" w:eastAsiaTheme="majorEastAsia" w:cstheme="majorBidi"/>
      <w:color w:val="000000" w:themeColor="text1"/>
      <w:sz w:val="40"/>
      <w:szCs w:val="40"/>
    </w:rPr>
  </w:style>
  <w:style w:type="character" w:customStyle="1" w:styleId="Heading2Char">
    <w:name w:val="Heading 2 Char"/>
    <w:basedOn w:val="DefaultParagraphFont"/>
    <w:link w:val="Heading2"/>
    <w:uiPriority w:val="9"/>
    <w:rsid w:val="00A66953"/>
    <w:rPr>
      <w:rFonts w:ascii="Garamond" w:hAnsi="Garamond" w:eastAsiaTheme="majorEastAsia" w:cstheme="majorBidi"/>
      <w:color w:val="000000" w:themeColor="text1"/>
      <w:sz w:val="32"/>
      <w:szCs w:val="32"/>
    </w:rPr>
  </w:style>
  <w:style w:type="character" w:customStyle="1" w:styleId="Heading3Char">
    <w:name w:val="Heading 3 Char"/>
    <w:basedOn w:val="DefaultParagraphFont"/>
    <w:link w:val="Heading3"/>
    <w:uiPriority w:val="9"/>
    <w:semiHidden/>
    <w:rsid w:val="00A669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9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69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69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9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9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953"/>
    <w:rPr>
      <w:rFonts w:eastAsiaTheme="majorEastAsia" w:cstheme="majorBidi"/>
      <w:color w:val="272727" w:themeColor="text1" w:themeTint="D8"/>
    </w:rPr>
  </w:style>
  <w:style w:type="paragraph" w:styleId="Title">
    <w:name w:val="Title"/>
    <w:basedOn w:val="Normal"/>
    <w:next w:val="Normal"/>
    <w:link w:val="TitleChar"/>
    <w:uiPriority w:val="10"/>
    <w:qFormat/>
    <w:rsid w:val="00A66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9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953"/>
    <w:pPr>
      <w:spacing w:before="160"/>
      <w:jc w:val="center"/>
    </w:pPr>
    <w:rPr>
      <w:i/>
      <w:iCs/>
      <w:color w:val="404040" w:themeColor="text1" w:themeTint="BF"/>
    </w:rPr>
  </w:style>
  <w:style w:type="character" w:customStyle="1" w:styleId="QuoteChar">
    <w:name w:val="Quote Char"/>
    <w:basedOn w:val="DefaultParagraphFont"/>
    <w:link w:val="Quote"/>
    <w:uiPriority w:val="29"/>
    <w:rsid w:val="00A66953"/>
    <w:rPr>
      <w:i/>
      <w:iCs/>
      <w:color w:val="404040" w:themeColor="text1" w:themeTint="BF"/>
    </w:rPr>
  </w:style>
  <w:style w:type="paragraph" w:styleId="ListParagraph">
    <w:name w:val="List Paragraph"/>
    <w:basedOn w:val="Normal"/>
    <w:uiPriority w:val="34"/>
    <w:qFormat/>
    <w:rsid w:val="00A66953"/>
    <w:pPr>
      <w:ind w:left="720"/>
      <w:contextualSpacing/>
    </w:pPr>
  </w:style>
  <w:style w:type="character" w:styleId="IntenseEmphasis">
    <w:name w:val="Intense Emphasis"/>
    <w:basedOn w:val="DefaultParagraphFont"/>
    <w:uiPriority w:val="21"/>
    <w:qFormat/>
    <w:rsid w:val="00A66953"/>
    <w:rPr>
      <w:i/>
      <w:iCs/>
      <w:color w:val="0F4761" w:themeColor="accent1" w:themeShade="BF"/>
    </w:rPr>
  </w:style>
  <w:style w:type="paragraph" w:styleId="IntenseQuote">
    <w:name w:val="Intense Quote"/>
    <w:basedOn w:val="Normal"/>
    <w:next w:val="Normal"/>
    <w:link w:val="IntenseQuoteChar"/>
    <w:uiPriority w:val="30"/>
    <w:qFormat/>
    <w:rsid w:val="00A66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6953"/>
    <w:rPr>
      <w:i/>
      <w:iCs/>
      <w:color w:val="0F4761" w:themeColor="accent1" w:themeShade="BF"/>
    </w:rPr>
  </w:style>
  <w:style w:type="character" w:styleId="IntenseReference">
    <w:name w:val="Intense Reference"/>
    <w:basedOn w:val="DefaultParagraphFont"/>
    <w:uiPriority w:val="32"/>
    <w:qFormat/>
    <w:rsid w:val="00A66953"/>
    <w:rPr>
      <w:b/>
      <w:bCs/>
      <w:smallCaps/>
      <w:color w:val="0F4761" w:themeColor="accent1" w:themeShade="BF"/>
      <w:spacing w:val="5"/>
    </w:rPr>
  </w:style>
  <w:style w:type="paragraph" w:styleId="FootnoteText">
    <w:name w:val="footnote text"/>
    <w:basedOn w:val="Normal"/>
    <w:link w:val="FootnoteTextChar"/>
    <w:uiPriority w:val="99"/>
    <w:semiHidden/>
    <w:unhideWhenUsed/>
    <w:rsid w:val="00A66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6953"/>
    <w:rPr>
      <w:sz w:val="20"/>
      <w:szCs w:val="20"/>
    </w:rPr>
  </w:style>
  <w:style w:type="character" w:styleId="FootnoteReference">
    <w:name w:val="footnote reference"/>
    <w:basedOn w:val="DefaultParagraphFont"/>
    <w:uiPriority w:val="99"/>
    <w:semiHidden/>
    <w:unhideWhenUsed/>
    <w:rsid w:val="00A66953"/>
    <w:rPr>
      <w:vertAlign w:val="superscript"/>
    </w:rPr>
  </w:style>
  <w:style w:type="paragraph" w:customStyle="1" w:styleId="EndNoteBibliographyTitle">
    <w:name w:val="EndNote Bibliography Title"/>
    <w:basedOn w:val="Normal"/>
    <w:link w:val="EndNoteBibliographyTitleChar"/>
    <w:rsid w:val="00963C5B"/>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963C5B"/>
    <w:rPr>
      <w:rFonts w:ascii="Aptos" w:hAnsi="Aptos"/>
      <w:noProof/>
      <w:lang w:val="en-US"/>
    </w:rPr>
  </w:style>
  <w:style w:type="paragraph" w:customStyle="1" w:styleId="EndNoteBibliography">
    <w:name w:val="EndNote Bibliography"/>
    <w:basedOn w:val="Normal"/>
    <w:link w:val="EndNoteBibliographyChar"/>
    <w:rsid w:val="00963C5B"/>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963C5B"/>
    <w:rPr>
      <w:rFonts w:ascii="Aptos" w:hAnsi="Aptos"/>
      <w:noProof/>
      <w:lang w:val="en-US"/>
    </w:rPr>
  </w:style>
  <w:style w:type="character" w:styleId="Hyperlink">
    <w:name w:val="Hyperlink"/>
    <w:basedOn w:val="DefaultParagraphFont"/>
    <w:uiPriority w:val="99"/>
    <w:unhideWhenUsed/>
    <w:rsid w:val="00F87D23"/>
    <w:rPr>
      <w:color w:val="467886" w:themeColor="hyperlink"/>
      <w:u w:val="single"/>
    </w:rPr>
  </w:style>
  <w:style w:type="character" w:customStyle="1" w:styleId="UnresolvedMention1">
    <w:name w:val="Unresolved Mention1"/>
    <w:basedOn w:val="DefaultParagraphFont"/>
    <w:uiPriority w:val="99"/>
    <w:semiHidden/>
    <w:unhideWhenUsed/>
    <w:rsid w:val="00F87D23"/>
    <w:rPr>
      <w:color w:val="605E5C"/>
      <w:shd w:val="clear" w:color="auto" w:fill="E1DFDD"/>
    </w:rPr>
  </w:style>
  <w:style w:type="paragraph" w:styleId="NoSpacing">
    <w:name w:val="No Spacing"/>
    <w:uiPriority w:val="1"/>
    <w:qFormat/>
    <w:rsid w:val="00893BED"/>
    <w:pPr>
      <w:spacing w:after="0" w:line="240" w:lineRule="auto"/>
    </w:pPr>
  </w:style>
  <w:style w:type="table" w:styleId="TableGrid">
    <w:name w:val="Table Grid"/>
    <w:basedOn w:val="TableNormal"/>
    <w:uiPriority w:val="39"/>
    <w:rsid w:val="000C7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5E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EAC"/>
  </w:style>
  <w:style w:type="paragraph" w:styleId="Footer">
    <w:name w:val="footer"/>
    <w:basedOn w:val="Normal"/>
    <w:link w:val="FooterChar"/>
    <w:uiPriority w:val="99"/>
    <w:unhideWhenUsed/>
    <w:rsid w:val="004E5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EAC"/>
  </w:style>
  <w:style w:type="character" w:styleId="CommentReference">
    <w:name w:val="annotation reference"/>
    <w:basedOn w:val="DefaultParagraphFont"/>
    <w:uiPriority w:val="99"/>
    <w:semiHidden/>
    <w:unhideWhenUsed/>
    <w:rsid w:val="00DD74DE"/>
    <w:rPr>
      <w:sz w:val="16"/>
      <w:szCs w:val="16"/>
    </w:rPr>
  </w:style>
  <w:style w:type="paragraph" w:styleId="CommentText">
    <w:name w:val="annotation text"/>
    <w:basedOn w:val="Normal"/>
    <w:link w:val="CommentTextChar"/>
    <w:uiPriority w:val="99"/>
    <w:unhideWhenUsed/>
    <w:rsid w:val="00DD74DE"/>
    <w:pPr>
      <w:spacing w:line="240" w:lineRule="auto"/>
    </w:pPr>
    <w:rPr>
      <w:sz w:val="20"/>
      <w:szCs w:val="20"/>
    </w:rPr>
  </w:style>
  <w:style w:type="character" w:customStyle="1" w:styleId="CommentTextChar">
    <w:name w:val="Comment Text Char"/>
    <w:basedOn w:val="DefaultParagraphFont"/>
    <w:link w:val="CommentText"/>
    <w:uiPriority w:val="99"/>
    <w:rsid w:val="00DD74DE"/>
    <w:rPr>
      <w:sz w:val="20"/>
      <w:szCs w:val="20"/>
    </w:rPr>
  </w:style>
  <w:style w:type="paragraph" w:styleId="CommentSubject">
    <w:name w:val="annotation subject"/>
    <w:basedOn w:val="CommentText"/>
    <w:next w:val="CommentText"/>
    <w:link w:val="CommentSubjectChar"/>
    <w:uiPriority w:val="99"/>
    <w:semiHidden/>
    <w:unhideWhenUsed/>
    <w:rsid w:val="00DD74DE"/>
    <w:rPr>
      <w:b/>
      <w:bCs/>
    </w:rPr>
  </w:style>
  <w:style w:type="character" w:customStyle="1" w:styleId="CommentSubjectChar">
    <w:name w:val="Comment Subject Char"/>
    <w:basedOn w:val="CommentTextChar"/>
    <w:link w:val="CommentSubject"/>
    <w:uiPriority w:val="99"/>
    <w:semiHidden/>
    <w:rsid w:val="00DD74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62956-3394-43A2-AFE3-E71CD2DA5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