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797F14" w:rsidP="00E17629">
      <w:pPr>
        <w:pStyle w:val="NoSpacing"/>
        <w:rPr>
          <w:sz w:val="10"/>
          <w:szCs w:val="10"/>
        </w:rPr>
      </w:pPr>
    </w:p>
    <w:p w:rsidR="00137EB2" w:rsidP="00137EB2">
      <w:pPr>
        <w:spacing w:after="0"/>
        <w:jc w:val="center"/>
        <w:rPr>
          <w:rFonts w:ascii="Arial" w:hAnsi="Arial" w:cs="Arial"/>
          <w:b/>
          <w:bCs/>
        </w:rPr>
      </w:pPr>
      <w:r>
        <w:rPr>
          <w:rFonts w:ascii="Arial" w:hAnsi="Arial" w:cs="Arial"/>
          <w:b/>
          <w:bCs/>
        </w:rPr>
        <w:t xml:space="preserve">Written evidence submitted by </w:t>
      </w:r>
      <w:r w:rsidRPr="00137EB2">
        <w:rPr>
          <w:rFonts w:ascii="Arial" w:hAnsi="Arial" w:cs="Arial"/>
          <w:b/>
          <w:bCs/>
        </w:rPr>
        <w:t>Lieutenant Commander Matthew Brown</w:t>
      </w:r>
    </w:p>
    <w:p w:rsidR="00137EB2" w:rsidP="00137EB2">
      <w:pPr>
        <w:spacing w:after="0"/>
        <w:jc w:val="center"/>
        <w:rPr>
          <w:rFonts w:ascii="Arial" w:hAnsi="Arial" w:cs="Arial"/>
          <w:b/>
          <w:bCs/>
        </w:rPr>
      </w:pPr>
    </w:p>
    <w:p w:rsidR="00137EB2" w:rsidRPr="00137EB2" w:rsidP="00137EB2">
      <w:pPr>
        <w:jc w:val="center"/>
        <w:rPr>
          <w:rFonts w:ascii="Arial" w:hAnsi="Arial" w:cs="Arial"/>
        </w:rPr>
      </w:pPr>
      <w:r w:rsidRPr="00137EB2">
        <w:rPr>
          <w:rFonts w:ascii="Arial" w:hAnsi="Arial" w:cs="Arial"/>
        </w:rPr>
        <w:t>How vulnerable is the UK to undersea cable attacks?</w:t>
      </w:r>
    </w:p>
    <w:p w:rsidR="00000000" w:rsidRPr="00066425">
      <w:pPr>
        <w:rPr>
          <w:rFonts w:ascii="Arial" w:hAnsi="Arial" w:cs="Arial"/>
          <w:b/>
          <w:bCs/>
        </w:rPr>
      </w:pPr>
      <w:r w:rsidRPr="00066425">
        <w:rPr>
          <w:rFonts w:ascii="Arial" w:hAnsi="Arial" w:cs="Arial"/>
          <w:b/>
          <w:bCs/>
        </w:rPr>
        <w:t>Author and context of submission:</w:t>
      </w:r>
    </w:p>
    <w:p w:rsidR="00000000" w:rsidRPr="00066425">
      <w:pPr>
        <w:rPr>
          <w:rFonts w:ascii="Arial" w:hAnsi="Arial" w:cs="Arial"/>
        </w:rPr>
      </w:pPr>
      <w:r w:rsidRPr="00066425">
        <w:rPr>
          <w:rFonts w:ascii="Arial" w:hAnsi="Arial" w:cs="Arial"/>
        </w:rPr>
        <w:t>This note is submitted to the Committee on an individual basis by the author, as a former full-time member of the Armed Forces, having conduced a combined study as part of their routine employment within the Royal Navy in parallel with completing an MSc thesis.</w:t>
      </w:r>
    </w:p>
    <w:p w:rsidR="00000000" w:rsidRPr="00066425">
      <w:pPr>
        <w:rPr>
          <w:rFonts w:ascii="Arial" w:hAnsi="Arial" w:cs="Arial"/>
        </w:rPr>
      </w:pPr>
      <w:r w:rsidRPr="00066425">
        <w:rPr>
          <w:rFonts w:ascii="Arial" w:hAnsi="Arial" w:cs="Arial"/>
        </w:rPr>
        <w:t xml:space="preserve">Specifically, the author was invited to investigate the rationalisation of the organisation’s current approach </w:t>
      </w:r>
      <w:r w:rsidRPr="00066425">
        <w:rPr>
          <w:rFonts w:ascii="Arial" w:hAnsi="Arial" w:cs="Arial"/>
        </w:rPr>
        <w:t>to the development and acquisition of Seabed Warfare capability by their employing unit.</w:t>
      </w:r>
      <w:r w:rsidRPr="00066425">
        <w:rPr>
          <w:rFonts w:ascii="Arial" w:hAnsi="Arial" w:cs="Arial"/>
        </w:rPr>
        <w:t xml:space="preserve"> </w:t>
      </w:r>
      <w:r w:rsidRPr="00066425">
        <w:rPr>
          <w:rFonts w:ascii="Arial" w:hAnsi="Arial" w:cs="Arial"/>
        </w:rPr>
        <w:t>Th</w:t>
      </w:r>
      <w:r w:rsidRPr="00066425">
        <w:rPr>
          <w:rFonts w:ascii="Arial" w:hAnsi="Arial" w:cs="Arial"/>
        </w:rPr>
        <w:t>is</w:t>
      </w:r>
      <w:r w:rsidRPr="00066425">
        <w:rPr>
          <w:rFonts w:ascii="Arial" w:hAnsi="Arial" w:cs="Arial"/>
        </w:rPr>
        <w:t xml:space="preserve"> afforded a unique opportunity</w:t>
      </w:r>
      <w:r w:rsidRPr="00066425">
        <w:rPr>
          <w:rFonts w:ascii="Arial" w:hAnsi="Arial" w:cs="Arial"/>
        </w:rPr>
        <w:t xml:space="preserve"> </w:t>
      </w:r>
      <w:r w:rsidRPr="00066425">
        <w:rPr>
          <w:rFonts w:ascii="Arial" w:hAnsi="Arial" w:cs="Arial"/>
        </w:rPr>
        <w:t>through</w:t>
      </w:r>
      <w:r w:rsidRPr="00066425">
        <w:rPr>
          <w:rFonts w:ascii="Arial" w:hAnsi="Arial" w:cs="Arial"/>
        </w:rPr>
        <w:t xml:space="preserve"> the synthesis of</w:t>
      </w:r>
      <w:r w:rsidRPr="00066425">
        <w:rPr>
          <w:rFonts w:ascii="Arial" w:hAnsi="Arial" w:cs="Arial"/>
        </w:rPr>
        <w:t xml:space="preserve"> privileged access</w:t>
      </w:r>
      <w:r w:rsidRPr="00066425">
        <w:rPr>
          <w:rFonts w:ascii="Arial" w:hAnsi="Arial" w:cs="Arial"/>
        </w:rPr>
        <w:t>, combined with</w:t>
      </w:r>
      <w:r w:rsidRPr="00066425">
        <w:rPr>
          <w:rFonts w:ascii="Arial" w:hAnsi="Arial" w:cs="Arial"/>
        </w:rPr>
        <w:t xml:space="preserve"> </w:t>
      </w:r>
      <w:r w:rsidRPr="00066425">
        <w:rPr>
          <w:rFonts w:ascii="Arial" w:hAnsi="Arial" w:cs="Arial"/>
        </w:rPr>
        <w:t>over a decade</w:t>
      </w:r>
      <w:r w:rsidRPr="00066425">
        <w:rPr>
          <w:rFonts w:ascii="Arial" w:hAnsi="Arial" w:cs="Arial"/>
        </w:rPr>
        <w:t xml:space="preserve"> of </w:t>
      </w:r>
      <w:r w:rsidRPr="00066425">
        <w:rPr>
          <w:rFonts w:ascii="Arial" w:hAnsi="Arial" w:cs="Arial"/>
        </w:rPr>
        <w:t xml:space="preserve">professional experience </w:t>
      </w:r>
      <w:r w:rsidRPr="00066425">
        <w:rPr>
          <w:rFonts w:ascii="Arial" w:hAnsi="Arial" w:cs="Arial"/>
        </w:rPr>
        <w:t>in military</w:t>
      </w:r>
      <w:r w:rsidRPr="00066425">
        <w:rPr>
          <w:rFonts w:ascii="Arial" w:hAnsi="Arial" w:cs="Arial"/>
        </w:rPr>
        <w:t xml:space="preserve"> </w:t>
      </w:r>
      <w:r w:rsidRPr="00066425">
        <w:rPr>
          <w:rFonts w:ascii="Arial" w:hAnsi="Arial" w:cs="Arial"/>
        </w:rPr>
        <w:t>seabed</w:t>
      </w:r>
      <w:r w:rsidRPr="00066425">
        <w:rPr>
          <w:rFonts w:ascii="Arial" w:hAnsi="Arial" w:cs="Arial"/>
        </w:rPr>
        <w:t xml:space="preserve"> operations</w:t>
      </w:r>
      <w:r w:rsidRPr="00066425">
        <w:rPr>
          <w:rFonts w:ascii="Arial" w:hAnsi="Arial" w:cs="Arial"/>
        </w:rPr>
        <w:t>,</w:t>
      </w:r>
      <w:r w:rsidRPr="00066425">
        <w:rPr>
          <w:rFonts w:ascii="Arial" w:hAnsi="Arial" w:cs="Arial"/>
        </w:rPr>
        <w:t xml:space="preserve"> </w:t>
      </w:r>
      <w:r w:rsidRPr="00066425">
        <w:rPr>
          <w:rFonts w:ascii="Arial" w:hAnsi="Arial" w:cs="Arial"/>
        </w:rPr>
        <w:t xml:space="preserve">and </w:t>
      </w:r>
      <w:r w:rsidRPr="00066425">
        <w:rPr>
          <w:rFonts w:ascii="Arial" w:hAnsi="Arial" w:cs="Arial"/>
        </w:rPr>
        <w:t>the application of academic process.</w:t>
      </w:r>
    </w:p>
    <w:p w:rsidR="00000000" w:rsidRPr="00066425">
      <w:pPr>
        <w:rPr>
          <w:rFonts w:ascii="Arial" w:hAnsi="Arial" w:cs="Arial"/>
        </w:rPr>
      </w:pPr>
      <w:r w:rsidRPr="00066425">
        <w:rPr>
          <w:rFonts w:ascii="Arial" w:hAnsi="Arial" w:cs="Arial"/>
        </w:rPr>
        <w:t>Its output was the generation of</w:t>
      </w:r>
      <w:r w:rsidRPr="00066425">
        <w:rPr>
          <w:rFonts w:ascii="Arial" w:hAnsi="Arial" w:cs="Arial"/>
        </w:rPr>
        <w:t xml:space="preserve"> thematic observations made via privileged access to open-source and protected materials, working groups, workshops, planning estimates</w:t>
      </w:r>
      <w:r w:rsidRPr="00066425">
        <w:rPr>
          <w:rFonts w:ascii="Arial" w:hAnsi="Arial" w:cs="Arial"/>
        </w:rPr>
        <w:t xml:space="preserve"> and interviews</w:t>
      </w:r>
      <w:r w:rsidRPr="00066425">
        <w:rPr>
          <w:rFonts w:ascii="Arial" w:hAnsi="Arial" w:cs="Arial"/>
        </w:rPr>
        <w:t xml:space="preserve">. </w:t>
      </w:r>
      <w:r w:rsidRPr="00066425">
        <w:rPr>
          <w:rFonts w:ascii="Arial" w:hAnsi="Arial" w:cs="Arial"/>
        </w:rPr>
        <w:t xml:space="preserve">These, in turn, were used to generate insights and recommendations </w:t>
      </w:r>
      <w:r w:rsidRPr="00066425">
        <w:rPr>
          <w:rFonts w:ascii="Arial" w:hAnsi="Arial" w:cs="Arial"/>
        </w:rPr>
        <w:t>from the perspective of a neutral</w:t>
      </w:r>
      <w:r w:rsidRPr="00066425">
        <w:rPr>
          <w:rFonts w:ascii="Arial" w:hAnsi="Arial" w:cs="Arial"/>
        </w:rPr>
        <w:t>, independent observer with no specific agenda or mandated output.</w:t>
      </w:r>
    </w:p>
    <w:p w:rsidR="00000000">
      <w:pPr>
        <w:pBdr>
          <w:bottom w:val="single" w:sz="6" w:space="1" w:color="auto"/>
        </w:pBdr>
        <w:rPr>
          <w:rFonts w:ascii="Arial" w:hAnsi="Arial" w:cs="Arial"/>
        </w:rPr>
      </w:pPr>
      <w:r w:rsidRPr="00066425">
        <w:rPr>
          <w:rFonts w:ascii="Arial" w:hAnsi="Arial" w:cs="Arial"/>
        </w:rPr>
        <w:t xml:space="preserve">Those </w:t>
      </w:r>
      <w:r w:rsidRPr="00066425">
        <w:rPr>
          <w:rFonts w:ascii="Arial" w:hAnsi="Arial" w:cs="Arial"/>
        </w:rPr>
        <w:t>insights</w:t>
      </w:r>
      <w:r w:rsidRPr="00066425">
        <w:rPr>
          <w:rFonts w:ascii="Arial" w:hAnsi="Arial" w:cs="Arial"/>
        </w:rPr>
        <w:t xml:space="preserve"> believed to be relevant in response to the questions</w:t>
      </w:r>
      <w:r w:rsidRPr="00066425">
        <w:rPr>
          <w:rFonts w:ascii="Arial" w:hAnsi="Arial" w:cs="Arial"/>
        </w:rPr>
        <w:t xml:space="preserve"> detailed in the Committee’s call for evidence</w:t>
      </w:r>
      <w:r w:rsidRPr="00066425">
        <w:rPr>
          <w:rFonts w:ascii="Arial" w:hAnsi="Arial" w:cs="Arial"/>
        </w:rPr>
        <w:t xml:space="preserve"> </w:t>
      </w:r>
      <w:r w:rsidRPr="00066425">
        <w:rPr>
          <w:rFonts w:ascii="Arial" w:hAnsi="Arial" w:cs="Arial"/>
        </w:rPr>
        <w:t xml:space="preserve">and </w:t>
      </w:r>
      <w:r w:rsidRPr="00066425">
        <w:rPr>
          <w:rFonts w:ascii="Arial" w:hAnsi="Arial" w:cs="Arial"/>
        </w:rPr>
        <w:t xml:space="preserve">permissible for publication </w:t>
      </w:r>
      <w:r w:rsidRPr="00066425">
        <w:rPr>
          <w:rFonts w:ascii="Arial" w:hAnsi="Arial" w:cs="Arial"/>
        </w:rPr>
        <w:t xml:space="preserve">are detailed here. They represent the view of the author as an individual, </w:t>
      </w:r>
      <w:r w:rsidRPr="00066425">
        <w:rPr>
          <w:rFonts w:ascii="Arial" w:hAnsi="Arial" w:cs="Arial"/>
        </w:rPr>
        <w:t>with the support and endorsement of the tasking unit,</w:t>
      </w:r>
      <w:r w:rsidRPr="00066425">
        <w:rPr>
          <w:rFonts w:ascii="Arial" w:hAnsi="Arial" w:cs="Arial"/>
        </w:rPr>
        <w:t xml:space="preserve"> </w:t>
      </w:r>
      <w:r w:rsidRPr="00066425">
        <w:rPr>
          <w:rFonts w:ascii="Arial" w:hAnsi="Arial" w:cs="Arial"/>
        </w:rPr>
        <w:t xml:space="preserve">not that </w:t>
      </w:r>
      <w:r w:rsidRPr="00066425">
        <w:rPr>
          <w:rFonts w:ascii="Arial" w:hAnsi="Arial" w:cs="Arial"/>
        </w:rPr>
        <w:t>of the</w:t>
      </w:r>
      <w:r w:rsidRPr="00066425">
        <w:rPr>
          <w:rFonts w:ascii="Arial" w:hAnsi="Arial" w:cs="Arial"/>
        </w:rPr>
        <w:t xml:space="preserve"> wider organisation</w:t>
      </w:r>
      <w:r w:rsidRPr="00066425">
        <w:rPr>
          <w:rFonts w:ascii="Arial" w:hAnsi="Arial" w:cs="Arial"/>
        </w:rPr>
        <w:t xml:space="preserve"> or policy</w:t>
      </w:r>
      <w:r w:rsidRPr="00066425">
        <w:rPr>
          <w:rFonts w:ascii="Arial" w:hAnsi="Arial" w:cs="Arial"/>
        </w:rPr>
        <w:t>; and</w:t>
      </w:r>
      <w:r w:rsidRPr="00066425">
        <w:rPr>
          <w:rFonts w:ascii="Arial" w:hAnsi="Arial" w:cs="Arial"/>
        </w:rPr>
        <w:t xml:space="preserve"> </w:t>
      </w:r>
      <w:r w:rsidRPr="00066425">
        <w:rPr>
          <w:rFonts w:ascii="Arial" w:hAnsi="Arial" w:cs="Arial"/>
        </w:rPr>
        <w:t xml:space="preserve">are submitted to the Committee in </w:t>
      </w:r>
      <w:r w:rsidRPr="00066425">
        <w:rPr>
          <w:rFonts w:ascii="Arial" w:hAnsi="Arial" w:cs="Arial"/>
        </w:rPr>
        <w:t>a complimentary</w:t>
      </w:r>
      <w:r w:rsidRPr="00066425">
        <w:rPr>
          <w:rFonts w:ascii="Arial" w:hAnsi="Arial" w:cs="Arial"/>
        </w:rPr>
        <w:t xml:space="preserve">, </w:t>
      </w:r>
      <w:r w:rsidRPr="00066425">
        <w:rPr>
          <w:rFonts w:ascii="Arial" w:hAnsi="Arial" w:cs="Arial"/>
        </w:rPr>
        <w:t>constructive,</w:t>
      </w:r>
      <w:r w:rsidRPr="00066425">
        <w:rPr>
          <w:rFonts w:ascii="Arial" w:hAnsi="Arial" w:cs="Arial"/>
        </w:rPr>
        <w:t xml:space="preserve"> and collaborative spirit</w:t>
      </w:r>
      <w:r w:rsidRPr="00066425">
        <w:rPr>
          <w:rFonts w:ascii="Arial" w:hAnsi="Arial" w:cs="Arial"/>
        </w:rPr>
        <w:t xml:space="preserve"> of good will</w:t>
      </w:r>
      <w:r w:rsidRPr="00066425">
        <w:rPr>
          <w:rFonts w:ascii="Arial" w:hAnsi="Arial" w:cs="Arial"/>
        </w:rPr>
        <w:t>,</w:t>
      </w:r>
      <w:r w:rsidRPr="00066425">
        <w:rPr>
          <w:rFonts w:ascii="Arial" w:hAnsi="Arial" w:cs="Arial"/>
        </w:rPr>
        <w:t xml:space="preserve"> </w:t>
      </w:r>
      <w:r w:rsidRPr="00066425">
        <w:rPr>
          <w:rFonts w:ascii="Arial" w:hAnsi="Arial" w:cs="Arial"/>
        </w:rPr>
        <w:t xml:space="preserve">not as a </w:t>
      </w:r>
      <w:r w:rsidRPr="00066425">
        <w:rPr>
          <w:rFonts w:ascii="Arial" w:hAnsi="Arial" w:cs="Arial"/>
        </w:rPr>
        <w:t>critique</w:t>
      </w:r>
      <w:r w:rsidRPr="00066425">
        <w:rPr>
          <w:rFonts w:ascii="Arial" w:hAnsi="Arial" w:cs="Arial"/>
        </w:rPr>
        <w:t>.</w:t>
      </w:r>
    </w:p>
    <w:p w:rsidR="00000000" w:rsidRPr="00797F14">
      <w:pPr>
        <w:pBdr>
          <w:bottom w:val="single" w:sz="6" w:space="1" w:color="auto"/>
        </w:pBdr>
        <w:rPr>
          <w:rFonts w:ascii="Arial" w:hAnsi="Arial" w:cs="Arial"/>
          <w:sz w:val="10"/>
          <w:szCs w:val="10"/>
        </w:rPr>
      </w:pPr>
    </w:p>
    <w:p w:rsidR="00000000" w:rsidRPr="00797F14" w:rsidP="002A61D8">
      <w:pPr>
        <w:pStyle w:val="NoSpacing"/>
        <w:rPr>
          <w:sz w:val="10"/>
          <w:szCs w:val="10"/>
        </w:rPr>
      </w:pPr>
    </w:p>
    <w:p w:rsidR="00000000" w:rsidRPr="00066425">
      <w:pPr>
        <w:rPr>
          <w:rFonts w:ascii="Arial" w:hAnsi="Arial" w:cs="Arial"/>
          <w:b/>
          <w:bCs/>
        </w:rPr>
      </w:pPr>
      <w:r w:rsidRPr="00066425">
        <w:rPr>
          <w:rFonts w:ascii="Arial" w:hAnsi="Arial" w:cs="Arial"/>
          <w:b/>
          <w:bCs/>
        </w:rPr>
        <w:t>Introduction</w:t>
      </w:r>
    </w:p>
    <w:p w:rsidR="00000000" w:rsidRPr="00066425">
      <w:pPr>
        <w:rPr>
          <w:rFonts w:ascii="Arial" w:hAnsi="Arial" w:cs="Arial"/>
        </w:rPr>
      </w:pPr>
      <w:r w:rsidRPr="00066425">
        <w:rPr>
          <w:rFonts w:ascii="Arial" w:hAnsi="Arial" w:cs="Arial"/>
        </w:rPr>
        <w:t>The</w:t>
      </w:r>
      <w:r w:rsidRPr="00066425">
        <w:rPr>
          <w:rFonts w:ascii="Arial" w:hAnsi="Arial" w:cs="Arial"/>
        </w:rPr>
        <w:t xml:space="preserve"> applicable observations </w:t>
      </w:r>
      <w:r w:rsidRPr="00066425">
        <w:rPr>
          <w:rFonts w:ascii="Arial" w:hAnsi="Arial" w:cs="Arial"/>
        </w:rPr>
        <w:t xml:space="preserve">and insights </w:t>
      </w:r>
      <w:r w:rsidRPr="00066425">
        <w:rPr>
          <w:rFonts w:ascii="Arial" w:hAnsi="Arial" w:cs="Arial"/>
        </w:rPr>
        <w:t>drawn from the investigation</w:t>
      </w:r>
      <w:r w:rsidRPr="00066425">
        <w:rPr>
          <w:rFonts w:ascii="Arial" w:hAnsi="Arial" w:cs="Arial"/>
        </w:rPr>
        <w:t xml:space="preserve"> </w:t>
      </w:r>
      <w:r w:rsidRPr="00066425">
        <w:rPr>
          <w:rFonts w:ascii="Arial" w:hAnsi="Arial" w:cs="Arial"/>
        </w:rPr>
        <w:t>are broken down into two sections</w:t>
      </w:r>
      <w:r w:rsidRPr="00066425">
        <w:rPr>
          <w:rFonts w:ascii="Arial" w:hAnsi="Arial" w:cs="Arial"/>
        </w:rPr>
        <w:t>, each of which</w:t>
      </w:r>
      <w:r w:rsidRPr="00066425">
        <w:rPr>
          <w:rFonts w:ascii="Arial" w:hAnsi="Arial" w:cs="Arial"/>
        </w:rPr>
        <w:t xml:space="preserve"> addresses</w:t>
      </w:r>
      <w:r w:rsidRPr="00066425">
        <w:rPr>
          <w:rFonts w:ascii="Arial" w:hAnsi="Arial" w:cs="Arial"/>
        </w:rPr>
        <w:t xml:space="preserve"> one of the questions posed by the Committee. </w:t>
      </w:r>
    </w:p>
    <w:p w:rsidR="00000000" w:rsidRPr="00066425">
      <w:pPr>
        <w:rPr>
          <w:rFonts w:ascii="Arial" w:hAnsi="Arial" w:cs="Arial"/>
        </w:rPr>
      </w:pPr>
      <w:r w:rsidRPr="00066425">
        <w:rPr>
          <w:rFonts w:ascii="Arial" w:hAnsi="Arial" w:cs="Arial"/>
        </w:rPr>
        <w:t xml:space="preserve">They discuss issues pertaining to the protection of critical national undersea infrastructure in a generic context, not </w:t>
      </w:r>
      <w:r w:rsidRPr="00066425">
        <w:rPr>
          <w:rFonts w:ascii="Arial" w:hAnsi="Arial" w:cs="Arial"/>
        </w:rPr>
        <w:t>exclusively through the lens of “</w:t>
      </w:r>
      <w:r w:rsidRPr="00066425">
        <w:rPr>
          <w:rFonts w:ascii="Arial" w:hAnsi="Arial" w:cs="Arial"/>
          <w:i/>
          <w:iCs/>
        </w:rPr>
        <w:t>seabed warfare</w:t>
      </w:r>
      <w:r w:rsidRPr="00066425">
        <w:rPr>
          <w:rFonts w:ascii="Arial" w:hAnsi="Arial" w:cs="Arial"/>
        </w:rPr>
        <w:t>”</w:t>
      </w:r>
      <w:r w:rsidRPr="00066425">
        <w:rPr>
          <w:rFonts w:ascii="Arial" w:hAnsi="Arial" w:cs="Arial"/>
        </w:rPr>
        <w:t xml:space="preserve"> as p</w:t>
      </w:r>
      <w:r w:rsidRPr="00066425">
        <w:rPr>
          <w:rFonts w:ascii="Arial" w:hAnsi="Arial" w:cs="Arial"/>
        </w:rPr>
        <w:t>er</w:t>
      </w:r>
      <w:r w:rsidRPr="00066425">
        <w:rPr>
          <w:rFonts w:ascii="Arial" w:hAnsi="Arial" w:cs="Arial"/>
        </w:rPr>
        <w:t xml:space="preserve"> the initial mandate of the </w:t>
      </w:r>
      <w:r w:rsidRPr="00066425">
        <w:rPr>
          <w:rFonts w:ascii="Arial" w:hAnsi="Arial" w:cs="Arial"/>
        </w:rPr>
        <w:t>investigation</w:t>
      </w:r>
      <w:r w:rsidRPr="00066425">
        <w:rPr>
          <w:rFonts w:ascii="Arial" w:hAnsi="Arial" w:cs="Arial"/>
        </w:rPr>
        <w:t>.</w:t>
      </w:r>
    </w:p>
    <w:p w:rsidR="00000000" w:rsidRPr="00066425">
      <w:pPr>
        <w:rPr>
          <w:rFonts w:ascii="Arial" w:hAnsi="Arial" w:cs="Arial"/>
        </w:rPr>
      </w:pPr>
      <w:r w:rsidRPr="00066425">
        <w:rPr>
          <w:rFonts w:ascii="Arial" w:hAnsi="Arial" w:cs="Arial"/>
        </w:rPr>
        <w:t xml:space="preserve">The first </w:t>
      </w:r>
      <w:r w:rsidRPr="00066425">
        <w:rPr>
          <w:rFonts w:ascii="Arial" w:hAnsi="Arial" w:cs="Arial"/>
        </w:rPr>
        <w:t>section discusse</w:t>
      </w:r>
      <w:r w:rsidRPr="00066425">
        <w:rPr>
          <w:rFonts w:ascii="Arial" w:hAnsi="Arial" w:cs="Arial"/>
        </w:rPr>
        <w:t xml:space="preserve">s </w:t>
      </w:r>
      <w:r w:rsidRPr="00066425">
        <w:rPr>
          <w:rFonts w:ascii="Arial" w:hAnsi="Arial" w:cs="Arial"/>
        </w:rPr>
        <w:t>issues of scope, bounding, and primacy</w:t>
      </w:r>
      <w:r w:rsidRPr="00066425">
        <w:rPr>
          <w:rFonts w:ascii="Arial" w:hAnsi="Arial" w:cs="Arial"/>
        </w:rPr>
        <w:t xml:space="preserve"> </w:t>
      </w:r>
      <w:r w:rsidRPr="00066425">
        <w:rPr>
          <w:rFonts w:ascii="Arial" w:hAnsi="Arial" w:cs="Arial"/>
        </w:rPr>
        <w:t>relating to the</w:t>
      </w:r>
      <w:r w:rsidRPr="00066425">
        <w:rPr>
          <w:rFonts w:ascii="Arial" w:hAnsi="Arial" w:cs="Arial"/>
        </w:rPr>
        <w:t xml:space="preserve"> </w:t>
      </w:r>
      <w:r w:rsidRPr="00066425">
        <w:rPr>
          <w:rFonts w:ascii="Arial" w:hAnsi="Arial" w:cs="Arial"/>
        </w:rPr>
        <w:t>subject matter</w:t>
      </w:r>
      <w:r w:rsidRPr="00066425">
        <w:rPr>
          <w:rFonts w:ascii="Arial" w:hAnsi="Arial" w:cs="Arial"/>
        </w:rPr>
        <w:t xml:space="preserve"> as a broad topic</w:t>
      </w:r>
      <w:r w:rsidRPr="00066425">
        <w:rPr>
          <w:rFonts w:ascii="Arial" w:hAnsi="Arial" w:cs="Arial"/>
        </w:rPr>
        <w:t>. The second</w:t>
      </w:r>
      <w:r w:rsidRPr="00066425">
        <w:rPr>
          <w:rFonts w:ascii="Arial" w:hAnsi="Arial" w:cs="Arial"/>
        </w:rPr>
        <w:t xml:space="preserve">, </w:t>
      </w:r>
      <w:r w:rsidRPr="00066425">
        <w:rPr>
          <w:rFonts w:ascii="Arial" w:hAnsi="Arial" w:cs="Arial"/>
        </w:rPr>
        <w:t xml:space="preserve">addressing </w:t>
      </w:r>
      <w:r w:rsidRPr="00066425">
        <w:rPr>
          <w:rFonts w:ascii="Arial" w:hAnsi="Arial" w:cs="Arial"/>
        </w:rPr>
        <w:t xml:space="preserve">observed gaps in the </w:t>
      </w:r>
      <w:r w:rsidRPr="00066425">
        <w:rPr>
          <w:rFonts w:ascii="Arial" w:hAnsi="Arial" w:cs="Arial"/>
        </w:rPr>
        <w:t>current approach to fielding a credible</w:t>
      </w:r>
      <w:r w:rsidRPr="00066425">
        <w:rPr>
          <w:rFonts w:ascii="Arial" w:hAnsi="Arial" w:cs="Arial"/>
        </w:rPr>
        <w:t xml:space="preserve"> and effective</w:t>
      </w:r>
      <w:r w:rsidRPr="00066425">
        <w:rPr>
          <w:rFonts w:ascii="Arial" w:hAnsi="Arial" w:cs="Arial"/>
        </w:rPr>
        <w:t xml:space="preserve"> deterrent</w:t>
      </w:r>
      <w:r w:rsidRPr="00066425">
        <w:rPr>
          <w:rFonts w:ascii="Arial" w:hAnsi="Arial" w:cs="Arial"/>
        </w:rPr>
        <w:t xml:space="preserve"> </w:t>
      </w:r>
      <w:r w:rsidRPr="00066425">
        <w:rPr>
          <w:rFonts w:ascii="Arial" w:hAnsi="Arial" w:cs="Arial"/>
        </w:rPr>
        <w:t>through economy of effort.</w:t>
      </w:r>
    </w:p>
    <w:p w:rsidR="00000000" w:rsidRPr="00066425">
      <w:pPr>
        <w:rPr>
          <w:rFonts w:ascii="Arial" w:hAnsi="Arial" w:cs="Arial"/>
        </w:rPr>
      </w:pPr>
      <w:r w:rsidRPr="00066425">
        <w:rPr>
          <w:rFonts w:ascii="Arial" w:hAnsi="Arial" w:cs="Arial"/>
        </w:rPr>
        <w:t xml:space="preserve">They are intentionally </w:t>
      </w:r>
      <w:r w:rsidRPr="00066425">
        <w:rPr>
          <w:rFonts w:ascii="Arial" w:hAnsi="Arial" w:cs="Arial"/>
        </w:rPr>
        <w:t>w</w:t>
      </w:r>
      <w:r w:rsidRPr="00066425">
        <w:rPr>
          <w:rFonts w:ascii="Arial" w:hAnsi="Arial" w:cs="Arial"/>
        </w:rPr>
        <w:t>ritten in plain English for the purposes of accessibility.</w:t>
      </w:r>
    </w:p>
    <w:p w:rsidR="00000000" w:rsidRPr="00066425" w:rsidP="0098221E">
      <w:pPr>
        <w:rPr>
          <w:rFonts w:ascii="Arial" w:hAnsi="Arial" w:cs="Arial"/>
        </w:rPr>
      </w:pPr>
      <w:r w:rsidRPr="00066425">
        <w:rPr>
          <w:rFonts w:ascii="Arial" w:hAnsi="Arial" w:cs="Arial"/>
          <w:b/>
          <w:bCs/>
        </w:rPr>
        <w:t xml:space="preserve">Section 1: </w:t>
      </w:r>
      <w:r w:rsidRPr="00066425">
        <w:rPr>
          <w:rFonts w:ascii="Arial" w:hAnsi="Arial" w:cs="Arial"/>
          <w:b/>
          <w:bCs/>
          <w:i/>
          <w:iCs/>
        </w:rPr>
        <w:t>S</w:t>
      </w:r>
      <w:r w:rsidRPr="00066425">
        <w:rPr>
          <w:rFonts w:ascii="Arial" w:hAnsi="Arial" w:cs="Arial"/>
          <w:b/>
          <w:bCs/>
          <w:i/>
          <w:iCs/>
        </w:rPr>
        <w:t>cope, bounding</w:t>
      </w:r>
      <w:r w:rsidRPr="00066425">
        <w:rPr>
          <w:rFonts w:ascii="Arial" w:hAnsi="Arial" w:cs="Arial"/>
          <w:b/>
          <w:bCs/>
          <w:i/>
          <w:iCs/>
        </w:rPr>
        <w:t xml:space="preserve"> and </w:t>
      </w:r>
      <w:r w:rsidRPr="00066425">
        <w:rPr>
          <w:rFonts w:ascii="Arial" w:hAnsi="Arial" w:cs="Arial"/>
          <w:b/>
          <w:bCs/>
          <w:i/>
          <w:iCs/>
        </w:rPr>
        <w:t>primacy</w:t>
      </w:r>
      <w:r w:rsidRPr="00066425">
        <w:rPr>
          <w:rFonts w:ascii="Arial" w:hAnsi="Arial" w:cs="Arial"/>
          <w:b/>
          <w:bCs/>
        </w:rPr>
        <w:t>.</w:t>
      </w:r>
    </w:p>
    <w:p w:rsidR="00000000" w:rsidRPr="00066425" w:rsidP="0098221E">
      <w:pPr>
        <w:rPr>
          <w:rFonts w:ascii="Arial" w:hAnsi="Arial" w:cs="Arial"/>
        </w:rPr>
      </w:pPr>
      <w:r w:rsidRPr="00066425">
        <w:rPr>
          <w:rFonts w:ascii="Arial" w:hAnsi="Arial" w:cs="Arial"/>
        </w:rPr>
        <w:t xml:space="preserve">This section pertains to </w:t>
      </w:r>
      <w:r w:rsidRPr="00066425">
        <w:rPr>
          <w:rFonts w:ascii="Arial" w:hAnsi="Arial" w:cs="Arial"/>
        </w:rPr>
        <w:t>discussions relating to Question 6 posed by the committee:</w:t>
      </w:r>
    </w:p>
    <w:p w:rsidR="00000000" w:rsidRPr="00066425" w:rsidP="0098221E">
      <w:pPr>
        <w:rPr>
          <w:rFonts w:ascii="Arial" w:hAnsi="Arial" w:cs="Arial"/>
          <w:i/>
          <w:iCs/>
        </w:rPr>
      </w:pPr>
      <w:r w:rsidRPr="00066425">
        <w:rPr>
          <w:rFonts w:ascii="Arial" w:hAnsi="Arial" w:cs="Arial"/>
          <w:i/>
          <w:iCs/>
        </w:rPr>
        <w:t>(6). How well is policy and co-ordination working across Whitehall departments, law enforcement and private sector actors? Are any changes needed?</w:t>
      </w:r>
    </w:p>
    <w:p w:rsidR="00000000" w:rsidRPr="00066425" w:rsidP="00CD0B0B">
      <w:pPr>
        <w:rPr>
          <w:rFonts w:ascii="Arial" w:hAnsi="Arial" w:cs="Arial"/>
        </w:rPr>
      </w:pPr>
      <w:r w:rsidRPr="00066425">
        <w:rPr>
          <w:rFonts w:ascii="Arial" w:hAnsi="Arial" w:cs="Arial"/>
          <w:b/>
          <w:bCs/>
        </w:rPr>
        <w:t>1.1 General Issue</w:t>
      </w:r>
      <w:r w:rsidRPr="00066425">
        <w:rPr>
          <w:rFonts w:ascii="Arial" w:hAnsi="Arial" w:cs="Arial"/>
        </w:rPr>
        <w:t xml:space="preserve">. </w:t>
      </w:r>
    </w:p>
    <w:p w:rsidR="00000000" w:rsidRPr="00066425" w:rsidP="00CD0B0B">
      <w:pPr>
        <w:rPr>
          <w:rFonts w:ascii="Arial" w:hAnsi="Arial" w:cs="Arial"/>
        </w:rPr>
      </w:pPr>
      <w:r w:rsidRPr="00066425">
        <w:rPr>
          <w:rFonts w:ascii="Arial" w:hAnsi="Arial" w:cs="Arial"/>
        </w:rPr>
        <w:t xml:space="preserve">The first and principle thematic observation omnipresent across all documentation reviewed and workshops observed, regardless of if they were discussing seabed warfare (SBW), underwater domain awareness (UDA), or a broader </w:t>
      </w:r>
      <w:r w:rsidRPr="00066425">
        <w:rPr>
          <w:rFonts w:ascii="Arial" w:hAnsi="Arial" w:cs="Arial"/>
        </w:rPr>
        <w:t xml:space="preserve">dialogue </w:t>
      </w:r>
      <w:r w:rsidRPr="00066425">
        <w:rPr>
          <w:rFonts w:ascii="Arial" w:hAnsi="Arial" w:cs="Arial"/>
        </w:rPr>
        <w:t xml:space="preserve">relating to the protection of critical undersea </w:t>
      </w:r>
      <w:r w:rsidRPr="00066425">
        <w:rPr>
          <w:rFonts w:ascii="Arial" w:hAnsi="Arial" w:cs="Arial"/>
        </w:rPr>
        <w:t>infrastructure at a generic level</w:t>
      </w:r>
      <w:r w:rsidRPr="00066425">
        <w:rPr>
          <w:rFonts w:ascii="Arial" w:hAnsi="Arial" w:cs="Arial"/>
        </w:rPr>
        <w:t xml:space="preserve">, was the </w:t>
      </w:r>
      <w:r w:rsidRPr="00066425">
        <w:rPr>
          <w:rFonts w:ascii="Arial" w:hAnsi="Arial" w:cs="Arial"/>
        </w:rPr>
        <w:t xml:space="preserve">difficulty </w:t>
      </w:r>
      <w:r w:rsidRPr="00066425">
        <w:rPr>
          <w:rFonts w:ascii="Arial" w:hAnsi="Arial" w:cs="Arial"/>
        </w:rPr>
        <w:t>in</w:t>
      </w:r>
      <w:r w:rsidRPr="00066425">
        <w:rPr>
          <w:rFonts w:ascii="Arial" w:hAnsi="Arial" w:cs="Arial"/>
        </w:rPr>
        <w:t xml:space="preserve"> framing </w:t>
      </w:r>
      <w:r w:rsidRPr="00066425">
        <w:rPr>
          <w:rFonts w:ascii="Arial" w:hAnsi="Arial" w:cs="Arial"/>
        </w:rPr>
        <w:t>the issue</w:t>
      </w:r>
      <w:r w:rsidRPr="00066425">
        <w:rPr>
          <w:rFonts w:ascii="Arial" w:hAnsi="Arial" w:cs="Arial"/>
        </w:rPr>
        <w:t>/topic</w:t>
      </w:r>
      <w:r w:rsidRPr="00066425">
        <w:rPr>
          <w:rFonts w:ascii="Arial" w:hAnsi="Arial" w:cs="Arial"/>
        </w:rPr>
        <w:t xml:space="preserve"> </w:t>
      </w:r>
      <w:r w:rsidRPr="00066425">
        <w:rPr>
          <w:rFonts w:ascii="Arial" w:hAnsi="Arial" w:cs="Arial"/>
        </w:rPr>
        <w:t>being discussed</w:t>
      </w:r>
      <w:r w:rsidRPr="00066425">
        <w:rPr>
          <w:rFonts w:ascii="Arial" w:hAnsi="Arial" w:cs="Arial"/>
        </w:rPr>
        <w:t xml:space="preserve">. And subsequently, a lack of </w:t>
      </w:r>
      <w:r w:rsidRPr="00066425">
        <w:rPr>
          <w:rFonts w:ascii="Arial" w:hAnsi="Arial" w:cs="Arial"/>
        </w:rPr>
        <w:t>bounding and scope</w:t>
      </w:r>
      <w:r w:rsidRPr="00066425">
        <w:rPr>
          <w:rFonts w:ascii="Arial" w:hAnsi="Arial" w:cs="Arial"/>
        </w:rPr>
        <w:t xml:space="preserve"> throughout.</w:t>
      </w:r>
    </w:p>
    <w:p w:rsidR="00000000" w:rsidRPr="00066425" w:rsidP="00CD0B0B">
      <w:pPr>
        <w:rPr>
          <w:rFonts w:ascii="Arial" w:hAnsi="Arial" w:cs="Arial"/>
        </w:rPr>
      </w:pPr>
      <w:r w:rsidRPr="00066425">
        <w:rPr>
          <w:rFonts w:ascii="Arial" w:hAnsi="Arial" w:cs="Arial"/>
        </w:rPr>
        <w:t>This was for myriad reasons attesting to the severe complexity of the problem set and human factors. However, there was a clearly observable link between this phenomenon and a lack of clarity or understanding attributable to issues of primacy and jurisdiction across government departments and/or stakeholder groups.</w:t>
      </w:r>
    </w:p>
    <w:p w:rsidR="00000000" w:rsidRPr="00066425" w:rsidP="00CD0B0B">
      <w:pPr>
        <w:rPr>
          <w:rFonts w:ascii="Arial" w:hAnsi="Arial" w:cs="Arial"/>
        </w:rPr>
      </w:pPr>
      <w:r w:rsidRPr="00066425">
        <w:rPr>
          <w:rFonts w:ascii="Arial" w:hAnsi="Arial" w:cs="Arial"/>
        </w:rPr>
        <w:t>It also points towards a broader difficulty in conceptualising roles and responsibilities linked to the protection of critical undersea infrastructure at a more generic level, both publicly and privately.</w:t>
      </w:r>
    </w:p>
    <w:p w:rsidR="00000000" w:rsidRPr="00066425" w:rsidP="00CD0B0B">
      <w:pPr>
        <w:spacing w:line="276" w:lineRule="auto"/>
        <w:rPr>
          <w:rFonts w:ascii="Arial" w:hAnsi="Arial" w:cs="Arial"/>
        </w:rPr>
      </w:pPr>
      <w:r w:rsidRPr="00066425">
        <w:rPr>
          <w:rFonts w:ascii="Arial" w:hAnsi="Arial" w:cs="Arial"/>
        </w:rPr>
        <w:t>Employing a level of creative licence to highlight this issue through a</w:t>
      </w:r>
      <w:r w:rsidRPr="00066425">
        <w:rPr>
          <w:rFonts w:ascii="Arial" w:hAnsi="Arial" w:cs="Arial"/>
        </w:rPr>
        <w:t xml:space="preserve">n intentionally simplified analogy for illustrative purposes: let us briefly imagine that a nefarious actor were to commit an attack on a piece of critical national infrastructure on British soil, such as severely damaging an electrical sub-station so as to interrupt energy supply to a geographical area. </w:t>
      </w:r>
    </w:p>
    <w:p w:rsidR="00000000" w:rsidRPr="00066425" w:rsidP="00CD0B0B">
      <w:pPr>
        <w:spacing w:line="276" w:lineRule="auto"/>
        <w:rPr>
          <w:rFonts w:ascii="Arial" w:hAnsi="Arial" w:cs="Arial"/>
        </w:rPr>
      </w:pPr>
      <w:r w:rsidRPr="00066425">
        <w:rPr>
          <w:rFonts w:ascii="Arial" w:hAnsi="Arial" w:cs="Arial"/>
        </w:rPr>
        <w:t xml:space="preserve">In this instance, it is not difficult for most people (policy makers, academics, media, members of the public, or otherwise) to conceptualise the departments and/or functions that would be employed in response to this scenario and their primacy. In the immediate aftermath, this would be the emergency services (fire, police, and ambulance), other category one responders, such as the environment agency, national grid, power company, and an emergency planning officer (EPO) on behalf of the local authority. A local Command would be established in order to oversee the response using the UK’s Gold/Silver/Bronze hierarchy, and in extremis this would report directly to </w:t>
      </w:r>
      <w:r w:rsidRPr="00066425">
        <w:rPr>
          <w:rFonts w:ascii="Arial" w:hAnsi="Arial" w:cs="Arial"/>
        </w:rPr>
        <w:t xml:space="preserve">the Cabinet Office and </w:t>
      </w:r>
      <w:r w:rsidRPr="00066425">
        <w:rPr>
          <w:rFonts w:ascii="Arial" w:hAnsi="Arial" w:cs="Arial"/>
        </w:rPr>
        <w:t xml:space="preserve">COBRA. </w:t>
      </w:r>
      <w:r w:rsidRPr="00066425">
        <w:rPr>
          <w:rFonts w:ascii="Arial" w:hAnsi="Arial" w:cs="Arial"/>
        </w:rPr>
        <w:t>And, thereafter, the investigations and attribution will be a combined effort with, or handed over completely, to the UK Intelligence Community (UKIC) if necessary.</w:t>
      </w:r>
    </w:p>
    <w:p w:rsidR="00000000" w:rsidRPr="00066425" w:rsidP="00CD0B0B">
      <w:pPr>
        <w:spacing w:line="276" w:lineRule="auto"/>
        <w:rPr>
          <w:rFonts w:ascii="Arial" w:hAnsi="Arial" w:cs="Arial"/>
        </w:rPr>
      </w:pPr>
      <w:r w:rsidRPr="00066425">
        <w:rPr>
          <w:rFonts w:ascii="Arial" w:hAnsi="Arial" w:cs="Arial"/>
        </w:rPr>
        <w:t xml:space="preserve">In short, the majority of the response would be a </w:t>
      </w:r>
      <w:r w:rsidRPr="00066425">
        <w:rPr>
          <w:rFonts w:ascii="Arial" w:hAnsi="Arial" w:cs="Arial"/>
          <w:b/>
          <w:bCs/>
        </w:rPr>
        <w:t>civil</w:t>
      </w:r>
      <w:r w:rsidRPr="00066425">
        <w:rPr>
          <w:rFonts w:ascii="Arial" w:hAnsi="Arial" w:cs="Arial"/>
        </w:rPr>
        <w:t xml:space="preserve"> issue. Or, put another way, in all but the most extreme </w:t>
      </w:r>
      <w:r w:rsidRPr="00066425">
        <w:rPr>
          <w:rFonts w:ascii="Arial" w:hAnsi="Arial" w:cs="Arial"/>
        </w:rPr>
        <w:t xml:space="preserve">circumstances, it would </w:t>
      </w:r>
      <w:r w:rsidRPr="00066425">
        <w:rPr>
          <w:rFonts w:ascii="Arial" w:hAnsi="Arial" w:cs="Arial"/>
          <w:b/>
          <w:bCs/>
        </w:rPr>
        <w:t>not</w:t>
      </w:r>
      <w:r w:rsidRPr="00066425">
        <w:rPr>
          <w:rFonts w:ascii="Arial" w:hAnsi="Arial" w:cs="Arial"/>
        </w:rPr>
        <w:t xml:space="preserve"> be the MOD or Army being called to protect this infrastructure preventatively in advance by patrolling or guarding it; nor be part of the immediate response; nor to be responsible for the repair of the infrastructure assets thereafter.</w:t>
      </w:r>
    </w:p>
    <w:p w:rsidR="00000000" w:rsidRPr="00066425" w:rsidP="00CD0B0B">
      <w:pPr>
        <w:spacing w:line="276" w:lineRule="auto"/>
        <w:rPr>
          <w:rFonts w:ascii="Arial" w:hAnsi="Arial" w:cs="Arial"/>
        </w:rPr>
      </w:pPr>
      <w:r w:rsidRPr="00066425">
        <w:rPr>
          <w:rFonts w:ascii="Arial" w:hAnsi="Arial" w:cs="Arial"/>
        </w:rPr>
        <w:t xml:space="preserve">By contrast, let us now imagine a comparable scenario where an attack were to take place only, in this instance, it is on a </w:t>
      </w:r>
      <w:r w:rsidRPr="00066425">
        <w:rPr>
          <w:rFonts w:ascii="Arial" w:hAnsi="Arial" w:cs="Arial"/>
        </w:rPr>
        <w:t>fibreoptic telecommunication cable in the Atlantic Ocean running between the UK and USA, at a depth of 4000m, and located outside of territorial waters (TTW) or exclusive economic zones (EEZ). Here, the author suggests, it is significantly harder for people (again: policy makers, academics, media, members of the public, or otherwise) to conceptualise the organisations and/or functions that would be employed in prevention or response, their jurisdiction, and their primacy.</w:t>
      </w:r>
    </w:p>
    <w:p w:rsidR="00000000" w:rsidRPr="00066425" w:rsidP="00CD0B0B">
      <w:pPr>
        <w:rPr>
          <w:rFonts w:ascii="Arial" w:hAnsi="Arial" w:cs="Arial"/>
        </w:rPr>
      </w:pPr>
      <w:r w:rsidRPr="00066425">
        <w:rPr>
          <w:rFonts w:ascii="Arial" w:hAnsi="Arial" w:cs="Arial"/>
        </w:rPr>
        <w:t xml:space="preserve">In this absence of understanding and clarity, there is an observable propensity for individuals and organisations to default to the assumption this is therefore a </w:t>
      </w:r>
      <w:r w:rsidRPr="00066425">
        <w:rPr>
          <w:rFonts w:ascii="Arial" w:hAnsi="Arial" w:cs="Arial"/>
          <w:b/>
          <w:bCs/>
        </w:rPr>
        <w:t>military</w:t>
      </w:r>
      <w:r w:rsidRPr="00066425">
        <w:rPr>
          <w:rFonts w:ascii="Arial" w:hAnsi="Arial" w:cs="Arial"/>
        </w:rPr>
        <w:t xml:space="preserve"> issue in isolation. Primarily, under the jurisdiction of the MOD and Royal Navy. Which, when compared to the role of the MOD and Army in the former scenario, is a paradoxical contradiction – with the inherent risk of collective groupthink.</w:t>
      </w:r>
    </w:p>
    <w:p w:rsidR="00000000" w:rsidRPr="00066425" w:rsidP="00CD0B0B">
      <w:pPr>
        <w:rPr>
          <w:rFonts w:ascii="Arial" w:hAnsi="Arial" w:cs="Arial"/>
        </w:rPr>
      </w:pPr>
      <w:r w:rsidRPr="00066425">
        <w:rPr>
          <w:rFonts w:ascii="Arial" w:hAnsi="Arial" w:cs="Arial"/>
        </w:rPr>
        <w:t xml:space="preserve">This is not to say the MOD and the Royal Navy do not have a central role to play in response to this increasing threat vector. Quite to the contrary. However, it is vitally important to recognise that this is as much a </w:t>
      </w:r>
      <w:r w:rsidRPr="00066425">
        <w:rPr>
          <w:rFonts w:ascii="Arial" w:hAnsi="Arial" w:cs="Arial"/>
          <w:b/>
          <w:bCs/>
        </w:rPr>
        <w:t xml:space="preserve">civil </w:t>
      </w:r>
      <w:r w:rsidRPr="00066425">
        <w:rPr>
          <w:rFonts w:ascii="Arial" w:hAnsi="Arial" w:cs="Arial"/>
        </w:rPr>
        <w:t xml:space="preserve">issue as it is a </w:t>
      </w:r>
      <w:r w:rsidRPr="00066425">
        <w:rPr>
          <w:rFonts w:ascii="Arial" w:hAnsi="Arial" w:cs="Arial"/>
          <w:b/>
          <w:bCs/>
        </w:rPr>
        <w:t xml:space="preserve">military </w:t>
      </w:r>
      <w:r w:rsidRPr="00066425">
        <w:rPr>
          <w:rFonts w:ascii="Arial" w:hAnsi="Arial" w:cs="Arial"/>
        </w:rPr>
        <w:t xml:space="preserve">one. </w:t>
      </w:r>
      <w:r w:rsidRPr="00066425">
        <w:rPr>
          <w:rFonts w:ascii="Arial" w:hAnsi="Arial" w:cs="Arial"/>
        </w:rPr>
        <w:t>And thus, the response requires collaboration and coherency across Whitehall departments, of which the MOD is a fundamental component, but not so in isolation. This issue of primacy and jurisdiction is addressed further at (</w:t>
      </w:r>
      <w:r w:rsidRPr="00066425">
        <w:rPr>
          <w:rFonts w:ascii="Arial" w:hAnsi="Arial" w:cs="Arial"/>
        </w:rPr>
        <w:t>1.3).</w:t>
      </w:r>
    </w:p>
    <w:p w:rsidR="00000000" w:rsidRPr="00066425" w:rsidP="00CD0B0B">
      <w:pPr>
        <w:rPr>
          <w:rFonts w:ascii="Arial" w:hAnsi="Arial" w:cs="Arial"/>
        </w:rPr>
      </w:pPr>
      <w:r w:rsidRPr="00066425">
        <w:rPr>
          <w:rFonts w:ascii="Arial" w:hAnsi="Arial" w:cs="Arial"/>
          <w:b/>
          <w:bCs/>
        </w:rPr>
        <w:t xml:space="preserve">1.2 </w:t>
      </w:r>
      <w:r w:rsidRPr="00066425">
        <w:rPr>
          <w:rFonts w:ascii="Arial" w:hAnsi="Arial" w:cs="Arial"/>
          <w:b/>
          <w:bCs/>
        </w:rPr>
        <w:t>Use of the Seabed Warfar</w:t>
      </w:r>
      <w:r w:rsidRPr="00066425">
        <w:rPr>
          <w:rFonts w:ascii="Arial" w:hAnsi="Arial" w:cs="Arial"/>
          <w:b/>
          <w:bCs/>
        </w:rPr>
        <w:t>e moniker.</w:t>
      </w:r>
    </w:p>
    <w:p w:rsidR="00000000" w:rsidRPr="00066425" w:rsidP="00CD0B0B">
      <w:pPr>
        <w:rPr>
          <w:rFonts w:ascii="Arial" w:hAnsi="Arial" w:cs="Arial"/>
        </w:rPr>
      </w:pPr>
      <w:r w:rsidRPr="00066425">
        <w:rPr>
          <w:rFonts w:ascii="Arial" w:hAnsi="Arial" w:cs="Arial"/>
        </w:rPr>
        <w:t xml:space="preserve">Prior to proceeding, it is </w:t>
      </w:r>
      <w:r w:rsidRPr="00066425">
        <w:rPr>
          <w:rFonts w:ascii="Arial" w:hAnsi="Arial" w:cs="Arial"/>
        </w:rPr>
        <w:t>also important to address issues pertaining to the adoption and use of the term “</w:t>
      </w:r>
      <w:r w:rsidRPr="00066425">
        <w:rPr>
          <w:rFonts w:ascii="Arial" w:hAnsi="Arial" w:cs="Arial"/>
          <w:i/>
          <w:iCs/>
        </w:rPr>
        <w:t>Seabed Warfare</w:t>
      </w:r>
      <w:r w:rsidRPr="00066425">
        <w:rPr>
          <w:rFonts w:ascii="Arial" w:hAnsi="Arial" w:cs="Arial"/>
        </w:rPr>
        <w:t>” (</w:t>
      </w:r>
      <w:r w:rsidRPr="00066425">
        <w:rPr>
          <w:rFonts w:ascii="Arial" w:hAnsi="Arial" w:cs="Arial"/>
          <w:i/>
          <w:iCs/>
        </w:rPr>
        <w:t>SBW</w:t>
      </w:r>
      <w:r w:rsidRPr="00066425">
        <w:rPr>
          <w:rFonts w:ascii="Arial" w:hAnsi="Arial" w:cs="Arial"/>
        </w:rPr>
        <w:t xml:space="preserve">) when discussing the protection of critical undersea infrastructure, and the contributions this makes to the observed </w:t>
      </w:r>
      <w:r w:rsidRPr="00066425">
        <w:rPr>
          <w:rFonts w:ascii="Arial" w:hAnsi="Arial" w:cs="Arial"/>
        </w:rPr>
        <w:t>issues</w:t>
      </w:r>
      <w:r w:rsidRPr="00066425">
        <w:rPr>
          <w:rFonts w:ascii="Arial" w:hAnsi="Arial" w:cs="Arial"/>
        </w:rPr>
        <w:t xml:space="preserve"> around perception, primacy</w:t>
      </w:r>
      <w:r w:rsidRPr="00066425">
        <w:rPr>
          <w:rFonts w:ascii="Arial" w:hAnsi="Arial" w:cs="Arial"/>
        </w:rPr>
        <w:t>,</w:t>
      </w:r>
      <w:r w:rsidRPr="00066425">
        <w:rPr>
          <w:rFonts w:ascii="Arial" w:hAnsi="Arial" w:cs="Arial"/>
        </w:rPr>
        <w:t xml:space="preserve"> and jurisdiction</w:t>
      </w:r>
      <w:r w:rsidRPr="00066425">
        <w:rPr>
          <w:rFonts w:ascii="Arial" w:hAnsi="Arial" w:cs="Arial"/>
        </w:rPr>
        <w:t>.</w:t>
      </w:r>
    </w:p>
    <w:p w:rsidR="00000000" w:rsidRPr="00066425" w:rsidP="00CD0B0B">
      <w:pPr>
        <w:rPr>
          <w:rFonts w:ascii="Arial" w:hAnsi="Arial" w:cs="Arial"/>
        </w:rPr>
      </w:pPr>
      <w:r w:rsidRPr="00066425">
        <w:rPr>
          <w:rFonts w:ascii="Arial" w:hAnsi="Arial" w:cs="Arial"/>
        </w:rPr>
        <w:t>Principally, this is derived from the fact that the term “</w:t>
      </w:r>
      <w:r w:rsidRPr="00066425">
        <w:rPr>
          <w:rFonts w:ascii="Arial" w:hAnsi="Arial" w:cs="Arial"/>
          <w:i/>
          <w:iCs/>
        </w:rPr>
        <w:t>SBW</w:t>
      </w:r>
      <w:r w:rsidRPr="00066425">
        <w:rPr>
          <w:rFonts w:ascii="Arial" w:hAnsi="Arial" w:cs="Arial"/>
        </w:rPr>
        <w:t xml:space="preserve">” is a neologism with no unilaterally agreed or ratified definition across partner nations, allies, industry, </w:t>
      </w:r>
      <w:r w:rsidRPr="00066425">
        <w:rPr>
          <w:rFonts w:ascii="Arial" w:hAnsi="Arial" w:cs="Arial"/>
        </w:rPr>
        <w:t>or academia; only ad-hoc national definitions, such as that of the French Ministère des Armées (Ministry for the Armed Forces)</w:t>
      </w:r>
      <w:r>
        <w:rPr>
          <w:rStyle w:val="FootnoteReference"/>
          <w:rFonts w:ascii="Arial" w:hAnsi="Arial" w:cs="Arial"/>
        </w:rPr>
        <w:footnoteReference w:id="2"/>
      </w:r>
      <w:r w:rsidRPr="00066425">
        <w:rPr>
          <w:rFonts w:ascii="Arial" w:hAnsi="Arial" w:cs="Arial"/>
        </w:rPr>
        <w:t xml:space="preserve"> exist; and that a UK national definition, drafted in late 2024, remains protectively marked and inaccessible in the </w:t>
      </w:r>
      <w:r w:rsidRPr="00066425">
        <w:rPr>
          <w:rFonts w:ascii="Arial" w:hAnsi="Arial" w:cs="Arial"/>
        </w:rPr>
        <w:t>public domain.</w:t>
      </w:r>
    </w:p>
    <w:p w:rsidR="00000000" w:rsidRPr="00066425" w:rsidP="00CD0B0B">
      <w:pPr>
        <w:rPr>
          <w:rFonts w:ascii="Arial" w:hAnsi="Arial" w:cs="Arial"/>
        </w:rPr>
      </w:pPr>
      <w:r w:rsidRPr="00066425">
        <w:rPr>
          <w:rFonts w:ascii="Arial" w:hAnsi="Arial" w:cs="Arial"/>
        </w:rPr>
        <w:t xml:space="preserve">Subsequently, the term is often used synonymously and interchangeably with the protection of critical undersea infrastructure, without a clear or concise understanding of what this means, what is being discussed, or its bounding. </w:t>
      </w:r>
    </w:p>
    <w:p w:rsidR="00000000" w:rsidRPr="00066425" w:rsidP="00CD0B0B">
      <w:pPr>
        <w:rPr>
          <w:rFonts w:ascii="Arial" w:hAnsi="Arial" w:cs="Arial"/>
        </w:rPr>
      </w:pPr>
      <w:r w:rsidRPr="00066425">
        <w:rPr>
          <w:rFonts w:ascii="Arial" w:hAnsi="Arial" w:cs="Arial"/>
        </w:rPr>
        <w:t>Resultantly, this often manifests in the observable phenomenon of parallax when the term “</w:t>
      </w:r>
      <w:r w:rsidRPr="00066425">
        <w:rPr>
          <w:rFonts w:ascii="Arial" w:hAnsi="Arial" w:cs="Arial"/>
          <w:i/>
          <w:iCs/>
        </w:rPr>
        <w:t>SBW</w:t>
      </w:r>
      <w:r w:rsidRPr="00066425">
        <w:rPr>
          <w:rFonts w:ascii="Arial" w:hAnsi="Arial" w:cs="Arial"/>
        </w:rPr>
        <w:t xml:space="preserve">” is discussed in meetings, workshops, or working groups – with every party having a different, subjective perception of what is being deliberated, depending upon their personal experience, understanding, or position on </w:t>
      </w:r>
      <w:r w:rsidRPr="00066425">
        <w:rPr>
          <w:rFonts w:ascii="Arial" w:hAnsi="Arial" w:cs="Arial"/>
        </w:rPr>
        <w:t xml:space="preserve">what </w:t>
      </w:r>
      <w:r w:rsidRPr="00066425">
        <w:rPr>
          <w:rFonts w:ascii="Arial" w:hAnsi="Arial" w:cs="Arial"/>
        </w:rPr>
        <w:t xml:space="preserve">constitutes </w:t>
      </w:r>
      <w:r w:rsidRPr="00066425">
        <w:rPr>
          <w:rFonts w:ascii="Arial" w:hAnsi="Arial" w:cs="Arial"/>
        </w:rPr>
        <w:t>“</w:t>
      </w:r>
      <w:r w:rsidRPr="00066425">
        <w:rPr>
          <w:rFonts w:ascii="Arial" w:hAnsi="Arial" w:cs="Arial"/>
          <w:i/>
          <w:iCs/>
        </w:rPr>
        <w:t>SBW</w:t>
      </w:r>
      <w:r w:rsidRPr="00066425">
        <w:rPr>
          <w:rFonts w:ascii="Arial" w:hAnsi="Arial" w:cs="Arial"/>
        </w:rPr>
        <w:t>”. Thus, further compounding issues when comprehending the provision of jurisdiction</w:t>
      </w:r>
      <w:r w:rsidRPr="00066425">
        <w:rPr>
          <w:rFonts w:ascii="Arial" w:hAnsi="Arial" w:cs="Arial"/>
        </w:rPr>
        <w:t xml:space="preserve"> and primacy.</w:t>
      </w:r>
    </w:p>
    <w:p w:rsidR="00000000" w:rsidRPr="00066425" w:rsidP="00CD0B0B">
      <w:pPr>
        <w:rPr>
          <w:rFonts w:ascii="Arial" w:hAnsi="Arial" w:cs="Arial"/>
        </w:rPr>
      </w:pPr>
      <w:r w:rsidRPr="00066425">
        <w:rPr>
          <w:rFonts w:ascii="Arial" w:hAnsi="Arial" w:cs="Arial"/>
        </w:rPr>
        <w:t>Furthermore, the inclusion of the word “</w:t>
      </w:r>
      <w:r w:rsidRPr="00066425">
        <w:rPr>
          <w:rFonts w:ascii="Arial" w:hAnsi="Arial" w:cs="Arial"/>
          <w:i/>
          <w:iCs/>
        </w:rPr>
        <w:t>Warfare</w:t>
      </w:r>
      <w:r w:rsidRPr="00066425">
        <w:rPr>
          <w:rFonts w:ascii="Arial" w:hAnsi="Arial" w:cs="Arial"/>
        </w:rPr>
        <w:t xml:space="preserve">” in the term is again synonymous with this being a </w:t>
      </w:r>
      <w:r w:rsidRPr="00066425">
        <w:rPr>
          <w:rFonts w:ascii="Arial" w:hAnsi="Arial" w:cs="Arial"/>
          <w:b/>
          <w:bCs/>
        </w:rPr>
        <w:t>military</w:t>
      </w:r>
      <w:r w:rsidRPr="00066425">
        <w:rPr>
          <w:rFonts w:ascii="Arial" w:hAnsi="Arial" w:cs="Arial"/>
        </w:rPr>
        <w:t xml:space="preserve"> issue in isolation. Especially when this is used to characterise the collective national response to the threat vector, such as the “</w:t>
      </w:r>
      <w:r w:rsidRPr="00066425">
        <w:rPr>
          <w:rFonts w:ascii="Arial" w:hAnsi="Arial" w:cs="Arial"/>
          <w:i/>
          <w:iCs/>
        </w:rPr>
        <w:t>whole of system seabed warfare strategy</w:t>
      </w:r>
      <w:r w:rsidRPr="00066425">
        <w:rPr>
          <w:rFonts w:ascii="Arial" w:hAnsi="Arial" w:cs="Arial"/>
        </w:rPr>
        <w:t>” proposed by Hendriks and Halem</w:t>
      </w:r>
      <w:r>
        <w:rPr>
          <w:rStyle w:val="FootnoteReference"/>
          <w:rFonts w:ascii="Arial" w:hAnsi="Arial" w:cs="Arial"/>
        </w:rPr>
        <w:footnoteReference w:id="3"/>
      </w:r>
      <w:r w:rsidRPr="00066425">
        <w:rPr>
          <w:rFonts w:ascii="Arial" w:hAnsi="Arial" w:cs="Arial"/>
        </w:rPr>
        <w:t>. Here, it may be beneficial to use more inclusive alternatives, such as “</w:t>
      </w:r>
      <w:r w:rsidRPr="00066425">
        <w:rPr>
          <w:rFonts w:ascii="Arial" w:hAnsi="Arial" w:cs="Arial"/>
          <w:i/>
          <w:iCs/>
        </w:rPr>
        <w:t>protection</w:t>
      </w:r>
      <w:r w:rsidRPr="00066425">
        <w:rPr>
          <w:rFonts w:ascii="Arial" w:hAnsi="Arial" w:cs="Arial"/>
        </w:rPr>
        <w:t>” or “</w:t>
      </w:r>
      <w:r w:rsidRPr="00066425">
        <w:rPr>
          <w:rFonts w:ascii="Arial" w:hAnsi="Arial" w:cs="Arial"/>
          <w:i/>
          <w:iCs/>
        </w:rPr>
        <w:t>operations</w:t>
      </w:r>
      <w:r w:rsidRPr="00066425">
        <w:rPr>
          <w:rFonts w:ascii="Arial" w:hAnsi="Arial" w:cs="Arial"/>
        </w:rPr>
        <w:t>” in pace of “</w:t>
      </w:r>
      <w:r w:rsidRPr="00066425">
        <w:rPr>
          <w:rFonts w:ascii="Arial" w:hAnsi="Arial" w:cs="Arial"/>
          <w:i/>
          <w:iCs/>
        </w:rPr>
        <w:t>warfare</w:t>
      </w:r>
      <w:r w:rsidRPr="00066425">
        <w:rPr>
          <w:rFonts w:ascii="Arial" w:hAnsi="Arial" w:cs="Arial"/>
        </w:rPr>
        <w:t>”, to enhance collective conceptualisation and responsibility.</w:t>
      </w:r>
    </w:p>
    <w:p w:rsidR="00000000" w:rsidRPr="00066425" w:rsidP="0098221E">
      <w:pPr>
        <w:rPr>
          <w:rFonts w:ascii="Arial" w:hAnsi="Arial" w:cs="Arial"/>
        </w:rPr>
      </w:pPr>
      <w:r w:rsidRPr="00066425">
        <w:rPr>
          <w:rFonts w:ascii="Arial" w:hAnsi="Arial" w:cs="Arial"/>
          <w:b/>
          <w:bCs/>
        </w:rPr>
        <w:t xml:space="preserve">1.3 </w:t>
      </w:r>
      <w:r w:rsidRPr="00066425">
        <w:rPr>
          <w:rFonts w:ascii="Arial" w:hAnsi="Arial" w:cs="Arial"/>
          <w:b/>
          <w:bCs/>
        </w:rPr>
        <w:t>Jurisdiction and Primacy</w:t>
      </w:r>
    </w:p>
    <w:p w:rsidR="00000000" w:rsidRPr="00066425" w:rsidP="0098221E">
      <w:pPr>
        <w:rPr>
          <w:rFonts w:ascii="Arial" w:hAnsi="Arial" w:cs="Arial"/>
        </w:rPr>
      </w:pPr>
      <w:r w:rsidRPr="00066425">
        <w:rPr>
          <w:rFonts w:ascii="Arial" w:hAnsi="Arial" w:cs="Arial"/>
        </w:rPr>
        <w:t xml:space="preserve">Collectively, these causal </w:t>
      </w:r>
      <w:r w:rsidRPr="00066425">
        <w:rPr>
          <w:rFonts w:ascii="Arial" w:hAnsi="Arial" w:cs="Arial"/>
        </w:rPr>
        <w:t xml:space="preserve">factors </w:t>
      </w:r>
      <w:r w:rsidRPr="00066425">
        <w:rPr>
          <w:rFonts w:ascii="Arial" w:hAnsi="Arial" w:cs="Arial"/>
        </w:rPr>
        <w:t xml:space="preserve">contribute to </w:t>
      </w:r>
      <w:r w:rsidRPr="00066425">
        <w:rPr>
          <w:rFonts w:ascii="Arial" w:hAnsi="Arial" w:cs="Arial"/>
        </w:rPr>
        <w:t>a palpable</w:t>
      </w:r>
      <w:r w:rsidRPr="00066425">
        <w:rPr>
          <w:rFonts w:ascii="Arial" w:hAnsi="Arial" w:cs="Arial"/>
        </w:rPr>
        <w:t xml:space="preserve"> </w:t>
      </w:r>
      <w:r w:rsidRPr="00066425">
        <w:rPr>
          <w:rFonts w:ascii="Arial" w:hAnsi="Arial" w:cs="Arial"/>
        </w:rPr>
        <w:t>uncertainty</w:t>
      </w:r>
      <w:r w:rsidRPr="00066425">
        <w:rPr>
          <w:rFonts w:ascii="Arial" w:hAnsi="Arial" w:cs="Arial"/>
        </w:rPr>
        <w:t xml:space="preserve"> </w:t>
      </w:r>
      <w:r w:rsidRPr="00066425">
        <w:rPr>
          <w:rFonts w:ascii="Arial" w:hAnsi="Arial" w:cs="Arial"/>
        </w:rPr>
        <w:t>that</w:t>
      </w:r>
      <w:r w:rsidRPr="00066425">
        <w:rPr>
          <w:rFonts w:ascii="Arial" w:hAnsi="Arial" w:cs="Arial"/>
        </w:rPr>
        <w:t xml:space="preserve"> appears to</w:t>
      </w:r>
      <w:r w:rsidRPr="00066425">
        <w:rPr>
          <w:rFonts w:ascii="Arial" w:hAnsi="Arial" w:cs="Arial"/>
        </w:rPr>
        <w:t xml:space="preserve"> transcend</w:t>
      </w:r>
      <w:r w:rsidRPr="00066425">
        <w:rPr>
          <w:rFonts w:ascii="Arial" w:hAnsi="Arial" w:cs="Arial"/>
        </w:rPr>
        <w:t xml:space="preserve"> </w:t>
      </w:r>
      <w:r w:rsidRPr="00066425">
        <w:rPr>
          <w:rFonts w:ascii="Arial" w:hAnsi="Arial" w:cs="Arial"/>
        </w:rPr>
        <w:t>Whitehall</w:t>
      </w:r>
      <w:r w:rsidRPr="00066425">
        <w:rPr>
          <w:rFonts w:ascii="Arial" w:hAnsi="Arial" w:cs="Arial"/>
        </w:rPr>
        <w:t xml:space="preserve"> both </w:t>
      </w:r>
      <w:r w:rsidRPr="00066425">
        <w:rPr>
          <w:rFonts w:ascii="Arial" w:hAnsi="Arial" w:cs="Arial"/>
        </w:rPr>
        <w:t>horizontally and vertically</w:t>
      </w:r>
      <w:r w:rsidRPr="00066425">
        <w:rPr>
          <w:rFonts w:ascii="Arial" w:hAnsi="Arial" w:cs="Arial"/>
        </w:rPr>
        <w:t xml:space="preserve"> with respect to ambiguity of jurisdiction and primacy </w:t>
      </w:r>
      <w:r w:rsidRPr="00066425">
        <w:rPr>
          <w:rFonts w:ascii="Arial" w:hAnsi="Arial" w:cs="Arial"/>
        </w:rPr>
        <w:t xml:space="preserve">between departments </w:t>
      </w:r>
      <w:r w:rsidRPr="00066425">
        <w:rPr>
          <w:rFonts w:ascii="Arial" w:hAnsi="Arial" w:cs="Arial"/>
        </w:rPr>
        <w:t xml:space="preserve">when viewed through the optics of </w:t>
      </w:r>
      <w:r w:rsidRPr="00066425">
        <w:rPr>
          <w:rFonts w:ascii="Arial" w:hAnsi="Arial" w:cs="Arial"/>
        </w:rPr>
        <w:t>a neutral</w:t>
      </w:r>
      <w:r w:rsidRPr="00066425">
        <w:rPr>
          <w:rFonts w:ascii="Arial" w:hAnsi="Arial" w:cs="Arial"/>
        </w:rPr>
        <w:t xml:space="preserve"> and</w:t>
      </w:r>
      <w:r w:rsidRPr="00066425">
        <w:rPr>
          <w:rFonts w:ascii="Arial" w:hAnsi="Arial" w:cs="Arial"/>
        </w:rPr>
        <w:t xml:space="preserve"> impartial observer.</w:t>
      </w:r>
    </w:p>
    <w:p w:rsidR="00000000" w:rsidRPr="00066425" w:rsidP="0098221E">
      <w:pPr>
        <w:rPr>
          <w:rFonts w:ascii="Arial" w:hAnsi="Arial" w:cs="Arial"/>
        </w:rPr>
      </w:pPr>
      <w:r w:rsidRPr="00066425">
        <w:rPr>
          <w:rFonts w:ascii="Arial" w:hAnsi="Arial" w:cs="Arial"/>
        </w:rPr>
        <w:t>Figure (1) below</w:t>
      </w:r>
      <w:r w:rsidRPr="00066425">
        <w:rPr>
          <w:rFonts w:ascii="Arial" w:hAnsi="Arial" w:cs="Arial"/>
        </w:rPr>
        <w:t xml:space="preserve"> </w:t>
      </w:r>
      <w:r w:rsidRPr="00066425">
        <w:rPr>
          <w:rFonts w:ascii="Arial" w:hAnsi="Arial" w:cs="Arial"/>
        </w:rPr>
        <w:t>depicts</w:t>
      </w:r>
      <w:r w:rsidRPr="00066425">
        <w:rPr>
          <w:rFonts w:ascii="Arial" w:hAnsi="Arial" w:cs="Arial"/>
        </w:rPr>
        <w:t xml:space="preserve"> this phenomenon</w:t>
      </w:r>
      <w:r w:rsidRPr="00066425">
        <w:rPr>
          <w:rFonts w:ascii="Arial" w:hAnsi="Arial" w:cs="Arial"/>
        </w:rPr>
        <w:t xml:space="preserve"> visually</w:t>
      </w:r>
      <w:r w:rsidRPr="00066425">
        <w:rPr>
          <w:rFonts w:ascii="Arial" w:hAnsi="Arial" w:cs="Arial"/>
        </w:rPr>
        <w:t xml:space="preserve">, noting </w:t>
      </w:r>
      <w:r w:rsidRPr="00066425">
        <w:rPr>
          <w:rFonts w:ascii="Arial" w:hAnsi="Arial" w:cs="Arial"/>
        </w:rPr>
        <w:t xml:space="preserve">the caveats </w:t>
      </w:r>
      <w:r w:rsidRPr="00066425">
        <w:rPr>
          <w:rFonts w:ascii="Arial" w:hAnsi="Arial" w:cs="Arial"/>
        </w:rPr>
        <w:t xml:space="preserve">that it is </w:t>
      </w:r>
      <w:r w:rsidRPr="00066425">
        <w:rPr>
          <w:rFonts w:ascii="Arial" w:hAnsi="Arial" w:cs="Arial"/>
        </w:rPr>
        <w:t>non</w:t>
      </w:r>
      <w:r w:rsidRPr="00066425">
        <w:rPr>
          <w:rFonts w:ascii="Arial" w:hAnsi="Arial" w:cs="Arial"/>
        </w:rPr>
        <w:t xml:space="preserve">-exhaustive and only intended </w:t>
      </w:r>
      <w:r w:rsidRPr="00066425">
        <w:rPr>
          <w:rFonts w:ascii="Arial" w:hAnsi="Arial" w:cs="Arial"/>
        </w:rPr>
        <w:t>to illustrate this observation</w:t>
      </w:r>
      <w:r w:rsidRPr="00066425">
        <w:rPr>
          <w:rFonts w:ascii="Arial" w:hAnsi="Arial" w:cs="Arial"/>
        </w:rPr>
        <w:t xml:space="preserve">. </w:t>
      </w:r>
    </w:p>
    <w:p w:rsidR="00000000" w:rsidRPr="00066425" w:rsidP="0098221E">
      <w:pPr>
        <w:rPr>
          <w:rFonts w:ascii="Arial" w:hAnsi="Arial" w:cs="Arial"/>
        </w:rPr>
      </w:pPr>
      <w:r w:rsidRPr="00066425">
        <w:rPr>
          <w:rFonts w:ascii="Arial" w:hAnsi="Arial" w:cs="Arial"/>
        </w:rPr>
        <w:t>Vertically, it is broken down into three</w:t>
      </w:r>
      <w:r w:rsidRPr="00066425">
        <w:rPr>
          <w:rFonts w:ascii="Arial" w:hAnsi="Arial" w:cs="Arial"/>
        </w:rPr>
        <w:t xml:space="preserve"> tiers </w:t>
      </w:r>
      <w:r w:rsidRPr="00066425">
        <w:rPr>
          <w:rFonts w:ascii="Arial" w:hAnsi="Arial" w:cs="Arial"/>
        </w:rPr>
        <w:t>at the macro, meso, and micro levels</w:t>
      </w:r>
      <w:r w:rsidRPr="00066425">
        <w:rPr>
          <w:rFonts w:ascii="Arial" w:hAnsi="Arial" w:cs="Arial"/>
        </w:rPr>
        <w:t xml:space="preserve"> </w:t>
      </w:r>
      <w:r w:rsidRPr="00066425">
        <w:rPr>
          <w:rFonts w:ascii="Arial" w:hAnsi="Arial" w:cs="Arial"/>
        </w:rPr>
        <w:t>from the viewpoint</w:t>
      </w:r>
      <w:r w:rsidRPr="00066425">
        <w:rPr>
          <w:rFonts w:ascii="Arial" w:hAnsi="Arial" w:cs="Arial"/>
        </w:rPr>
        <w:t xml:space="preserve"> of the author from within the MOD.</w:t>
      </w:r>
    </w:p>
    <w:p w:rsidR="00000000" w:rsidRPr="00066425" w:rsidP="0098221E">
      <w:pPr>
        <w:rPr>
          <w:rFonts w:ascii="Arial" w:hAnsi="Arial" w:cs="Arial"/>
        </w:rPr>
      </w:pPr>
      <w:r w:rsidRPr="00066425">
        <w:rPr>
          <w:rFonts w:ascii="Arial" w:hAnsi="Arial" w:cs="Arial"/>
        </w:rPr>
        <w:t>From an organisational perspective, a</w:t>
      </w:r>
      <w:r w:rsidRPr="00066425">
        <w:rPr>
          <w:rFonts w:ascii="Arial" w:hAnsi="Arial" w:cs="Arial"/>
        </w:rPr>
        <w:t>t the top</w:t>
      </w:r>
      <w:r w:rsidRPr="00066425">
        <w:rPr>
          <w:rFonts w:ascii="Arial" w:hAnsi="Arial" w:cs="Arial"/>
        </w:rPr>
        <w:t xml:space="preserve">, macro level there are no less than </w:t>
      </w:r>
      <w:r w:rsidRPr="00066425">
        <w:rPr>
          <w:rFonts w:ascii="Arial" w:hAnsi="Arial" w:cs="Arial"/>
        </w:rPr>
        <w:t xml:space="preserve">9 </w:t>
      </w:r>
      <w:r w:rsidRPr="00066425">
        <w:rPr>
          <w:rFonts w:ascii="Arial" w:hAnsi="Arial" w:cs="Arial"/>
        </w:rPr>
        <w:t xml:space="preserve">government departments and/or organisations </w:t>
      </w:r>
      <w:r w:rsidRPr="00066425">
        <w:rPr>
          <w:rFonts w:ascii="Arial" w:hAnsi="Arial" w:cs="Arial"/>
        </w:rPr>
        <w:t xml:space="preserve">with vested interests </w:t>
      </w:r>
      <w:r w:rsidRPr="00066425">
        <w:rPr>
          <w:rFonts w:ascii="Arial" w:hAnsi="Arial" w:cs="Arial"/>
        </w:rPr>
        <w:t xml:space="preserve">in the provision of the protection of critical undersea infrastructure. These include, but are not limited </w:t>
      </w:r>
      <w:r w:rsidRPr="00066425">
        <w:rPr>
          <w:rFonts w:ascii="Arial" w:hAnsi="Arial" w:cs="Arial"/>
        </w:rPr>
        <w:t>to</w:t>
      </w:r>
      <w:r w:rsidRPr="00066425">
        <w:rPr>
          <w:rFonts w:ascii="Arial" w:hAnsi="Arial" w:cs="Arial"/>
        </w:rPr>
        <w:t>, The Cabinet Office</w:t>
      </w:r>
      <w:r w:rsidRPr="00066425">
        <w:rPr>
          <w:rFonts w:ascii="Arial" w:hAnsi="Arial" w:cs="Arial"/>
        </w:rPr>
        <w:t xml:space="preserve">; Home Office; </w:t>
      </w:r>
      <w:r w:rsidRPr="00066425">
        <w:rPr>
          <w:rFonts w:ascii="Arial" w:hAnsi="Arial" w:cs="Arial"/>
        </w:rPr>
        <w:t xml:space="preserve">The </w:t>
      </w:r>
      <w:r w:rsidRPr="00066425">
        <w:rPr>
          <w:rFonts w:ascii="Arial" w:hAnsi="Arial" w:cs="Arial"/>
        </w:rPr>
        <w:t>Foreign</w:t>
      </w:r>
      <w:r w:rsidRPr="00066425">
        <w:rPr>
          <w:rFonts w:ascii="Arial" w:hAnsi="Arial" w:cs="Arial"/>
        </w:rPr>
        <w:t>,</w:t>
      </w:r>
      <w:r w:rsidRPr="00066425">
        <w:rPr>
          <w:rFonts w:ascii="Arial" w:hAnsi="Arial" w:cs="Arial"/>
        </w:rPr>
        <w:t xml:space="preserve"> Commonwealth</w:t>
      </w:r>
      <w:r w:rsidRPr="00066425">
        <w:rPr>
          <w:rFonts w:ascii="Arial" w:hAnsi="Arial" w:cs="Arial"/>
        </w:rPr>
        <w:t>, and Development</w:t>
      </w:r>
      <w:r w:rsidRPr="00066425">
        <w:rPr>
          <w:rFonts w:ascii="Arial" w:hAnsi="Arial" w:cs="Arial"/>
        </w:rPr>
        <w:t xml:space="preserve"> Office; Ministry of Defence; Department for Science, </w:t>
      </w:r>
      <w:r w:rsidRPr="00066425">
        <w:rPr>
          <w:rFonts w:ascii="Arial" w:hAnsi="Arial" w:cs="Arial"/>
        </w:rPr>
        <w:t>Innovation</w:t>
      </w:r>
      <w:r w:rsidRPr="00066425">
        <w:rPr>
          <w:rFonts w:ascii="Arial" w:hAnsi="Arial" w:cs="Arial"/>
        </w:rPr>
        <w:t xml:space="preserve">, </w:t>
      </w:r>
      <w:r w:rsidRPr="00066425">
        <w:rPr>
          <w:rFonts w:ascii="Arial" w:hAnsi="Arial" w:cs="Arial"/>
        </w:rPr>
        <w:t xml:space="preserve">and Technology; Department for Energy </w:t>
      </w:r>
      <w:r w:rsidRPr="00066425">
        <w:rPr>
          <w:rFonts w:ascii="Arial" w:hAnsi="Arial" w:cs="Arial"/>
        </w:rPr>
        <w:t>Security and Net Zero; Department for Transport;</w:t>
      </w:r>
      <w:r w:rsidRPr="00066425">
        <w:rPr>
          <w:rFonts w:ascii="Arial" w:hAnsi="Arial" w:cs="Arial"/>
        </w:rPr>
        <w:t xml:space="preserve"> Department for Business, Energy, and Industrial Strategy; and The</w:t>
      </w:r>
      <w:r w:rsidRPr="00066425">
        <w:rPr>
          <w:rFonts w:ascii="Arial" w:hAnsi="Arial" w:cs="Arial"/>
        </w:rPr>
        <w:t xml:space="preserve"> Crown Estate</w:t>
      </w:r>
      <w:r w:rsidRPr="00066425">
        <w:rPr>
          <w:rFonts w:ascii="Arial" w:hAnsi="Arial" w:cs="Arial"/>
        </w:rPr>
        <w:t xml:space="preserve"> (HM Treasury)</w:t>
      </w:r>
      <w:r w:rsidRPr="00066425">
        <w:rPr>
          <w:rFonts w:ascii="Arial" w:hAnsi="Arial" w:cs="Arial"/>
        </w:rPr>
        <w:t xml:space="preserve">. However, </w:t>
      </w:r>
      <w:r w:rsidRPr="00066425">
        <w:rPr>
          <w:rFonts w:ascii="Arial" w:hAnsi="Arial" w:cs="Arial"/>
        </w:rPr>
        <w:t>of</w:t>
      </w:r>
      <w:r w:rsidRPr="00066425">
        <w:rPr>
          <w:rFonts w:ascii="Arial" w:hAnsi="Arial" w:cs="Arial"/>
        </w:rPr>
        <w:t xml:space="preserve"> these</w:t>
      </w:r>
      <w:r w:rsidRPr="00066425">
        <w:rPr>
          <w:rFonts w:ascii="Arial" w:hAnsi="Arial" w:cs="Arial"/>
        </w:rPr>
        <w:t xml:space="preserve"> stakeholders</w:t>
      </w:r>
      <w:r w:rsidRPr="00066425">
        <w:rPr>
          <w:rFonts w:ascii="Arial" w:hAnsi="Arial" w:cs="Arial"/>
        </w:rPr>
        <w:t xml:space="preserve">, </w:t>
      </w:r>
      <w:r w:rsidRPr="00066425">
        <w:rPr>
          <w:rFonts w:ascii="Arial" w:hAnsi="Arial" w:cs="Arial"/>
        </w:rPr>
        <w:t>it is not</w:t>
      </w:r>
      <w:r w:rsidRPr="00066425">
        <w:rPr>
          <w:rFonts w:ascii="Arial" w:hAnsi="Arial" w:cs="Arial"/>
        </w:rPr>
        <w:t xml:space="preserve"> overtly</w:t>
      </w:r>
      <w:r w:rsidRPr="00066425">
        <w:rPr>
          <w:rFonts w:ascii="Arial" w:hAnsi="Arial" w:cs="Arial"/>
        </w:rPr>
        <w:t xml:space="preserve"> clear which is responsible for </w:t>
      </w:r>
      <w:r w:rsidRPr="00066425">
        <w:rPr>
          <w:rFonts w:ascii="Arial" w:hAnsi="Arial" w:cs="Arial"/>
        </w:rPr>
        <w:t xml:space="preserve">the different </w:t>
      </w:r>
      <w:r w:rsidRPr="00066425">
        <w:rPr>
          <w:rFonts w:ascii="Arial" w:hAnsi="Arial" w:cs="Arial"/>
        </w:rPr>
        <w:t xml:space="preserve">components of the collective </w:t>
      </w:r>
      <w:r w:rsidRPr="00066425">
        <w:rPr>
          <w:rFonts w:ascii="Arial" w:hAnsi="Arial" w:cs="Arial"/>
        </w:rPr>
        <w:t>response</w:t>
      </w:r>
      <w:r w:rsidRPr="00066425">
        <w:rPr>
          <w:rFonts w:ascii="Arial" w:hAnsi="Arial" w:cs="Arial"/>
        </w:rPr>
        <w:t>, or owner</w:t>
      </w:r>
      <w:r w:rsidRPr="00066425">
        <w:rPr>
          <w:rFonts w:ascii="Arial" w:hAnsi="Arial" w:cs="Arial"/>
        </w:rPr>
        <w:t xml:space="preserve">ship of </w:t>
      </w:r>
      <w:r w:rsidRPr="00066425">
        <w:rPr>
          <w:rFonts w:ascii="Arial" w:hAnsi="Arial" w:cs="Arial"/>
        </w:rPr>
        <w:t xml:space="preserve">how this is </w:t>
      </w:r>
      <w:r w:rsidRPr="00066425">
        <w:rPr>
          <w:rFonts w:ascii="Arial" w:hAnsi="Arial" w:cs="Arial"/>
        </w:rPr>
        <w:t>distributed across them</w:t>
      </w:r>
      <w:r w:rsidRPr="00066425">
        <w:rPr>
          <w:rFonts w:ascii="Arial" w:hAnsi="Arial" w:cs="Arial"/>
        </w:rPr>
        <w:t xml:space="preserve"> </w:t>
      </w:r>
      <w:r w:rsidRPr="00066425">
        <w:rPr>
          <w:rFonts w:ascii="Arial" w:hAnsi="Arial" w:cs="Arial"/>
        </w:rPr>
        <w:t xml:space="preserve">from </w:t>
      </w:r>
      <w:r w:rsidRPr="00066425">
        <w:rPr>
          <w:rFonts w:ascii="Arial" w:hAnsi="Arial" w:cs="Arial"/>
        </w:rPr>
        <w:t xml:space="preserve">published policy </w:t>
      </w:r>
      <w:r w:rsidRPr="00066425">
        <w:rPr>
          <w:rFonts w:ascii="Arial" w:hAnsi="Arial" w:cs="Arial"/>
        </w:rPr>
        <w:t>or</w:t>
      </w:r>
      <w:r w:rsidRPr="00066425">
        <w:rPr>
          <w:rFonts w:ascii="Arial" w:hAnsi="Arial" w:cs="Arial"/>
        </w:rPr>
        <w:t xml:space="preserve"> </w:t>
      </w:r>
      <w:r w:rsidRPr="00066425">
        <w:rPr>
          <w:rFonts w:ascii="Arial" w:hAnsi="Arial" w:cs="Arial"/>
        </w:rPr>
        <w:t>the literature.</w:t>
      </w:r>
    </w:p>
    <w:p w:rsidR="00000000" w:rsidRPr="00066425" w:rsidP="0098221E">
      <w:pPr>
        <w:rPr>
          <w:rFonts w:ascii="Arial" w:hAnsi="Arial" w:cs="Arial"/>
        </w:rPr>
      </w:pPr>
      <w:r w:rsidRPr="00066425">
        <w:rPr>
          <w:rFonts w:ascii="Arial" w:hAnsi="Arial" w:cs="Arial"/>
        </w:rPr>
        <w:t>Below</w:t>
      </w:r>
      <w:r w:rsidRPr="00066425">
        <w:rPr>
          <w:rFonts w:ascii="Arial" w:hAnsi="Arial" w:cs="Arial"/>
        </w:rPr>
        <w:t xml:space="preserve"> this, at the </w:t>
      </w:r>
      <w:r w:rsidRPr="00066425">
        <w:rPr>
          <w:rFonts w:ascii="Arial" w:hAnsi="Arial" w:cs="Arial"/>
        </w:rPr>
        <w:t xml:space="preserve">meso </w:t>
      </w:r>
      <w:r w:rsidRPr="00066425">
        <w:rPr>
          <w:rFonts w:ascii="Arial" w:hAnsi="Arial" w:cs="Arial"/>
        </w:rPr>
        <w:t>level</w:t>
      </w:r>
      <w:r w:rsidRPr="00066425">
        <w:rPr>
          <w:rFonts w:ascii="Arial" w:hAnsi="Arial" w:cs="Arial"/>
        </w:rPr>
        <w:t xml:space="preserve">, </w:t>
      </w:r>
      <w:r w:rsidRPr="00066425">
        <w:rPr>
          <w:rFonts w:ascii="Arial" w:hAnsi="Arial" w:cs="Arial"/>
        </w:rPr>
        <w:t>the</w:t>
      </w:r>
      <w:r w:rsidRPr="00066425">
        <w:rPr>
          <w:rFonts w:ascii="Arial" w:hAnsi="Arial" w:cs="Arial"/>
        </w:rPr>
        <w:t xml:space="preserve"> effect is duplicated</w:t>
      </w:r>
      <w:r w:rsidRPr="00066425">
        <w:rPr>
          <w:rFonts w:ascii="Arial" w:hAnsi="Arial" w:cs="Arial"/>
        </w:rPr>
        <w:t xml:space="preserve"> and multiplied</w:t>
      </w:r>
      <w:r w:rsidRPr="00066425">
        <w:rPr>
          <w:rFonts w:ascii="Arial" w:hAnsi="Arial" w:cs="Arial"/>
        </w:rPr>
        <w:t xml:space="preserve">. Using the MOD as </w:t>
      </w:r>
      <w:r w:rsidRPr="00066425">
        <w:rPr>
          <w:rFonts w:ascii="Arial" w:hAnsi="Arial" w:cs="Arial"/>
        </w:rPr>
        <w:t>the</w:t>
      </w:r>
      <w:r w:rsidRPr="00066425">
        <w:rPr>
          <w:rFonts w:ascii="Arial" w:hAnsi="Arial" w:cs="Arial"/>
        </w:rPr>
        <w:t xml:space="preserve"> example in Figure (1), there are a minimum </w:t>
      </w:r>
      <w:r w:rsidRPr="00066425">
        <w:rPr>
          <w:rFonts w:ascii="Arial" w:hAnsi="Arial" w:cs="Arial"/>
        </w:rPr>
        <w:t xml:space="preserve">of a further </w:t>
      </w:r>
      <w:r w:rsidRPr="00066425">
        <w:rPr>
          <w:rFonts w:ascii="Arial" w:hAnsi="Arial" w:cs="Arial"/>
        </w:rPr>
        <w:t>7</w:t>
      </w:r>
      <w:r w:rsidRPr="00066425">
        <w:rPr>
          <w:rFonts w:ascii="Arial" w:hAnsi="Arial" w:cs="Arial"/>
        </w:rPr>
        <w:t xml:space="preserve"> sub-divisions/</w:t>
      </w:r>
      <w:r w:rsidRPr="00066425">
        <w:rPr>
          <w:rFonts w:ascii="Arial" w:hAnsi="Arial" w:cs="Arial"/>
        </w:rPr>
        <w:t>sub-</w:t>
      </w:r>
      <w:r w:rsidRPr="00066425">
        <w:rPr>
          <w:rFonts w:ascii="Arial" w:hAnsi="Arial" w:cs="Arial"/>
        </w:rPr>
        <w:t xml:space="preserve">departments </w:t>
      </w:r>
      <w:r w:rsidRPr="00066425">
        <w:rPr>
          <w:rFonts w:ascii="Arial" w:hAnsi="Arial" w:cs="Arial"/>
        </w:rPr>
        <w:t>in</w:t>
      </w:r>
      <w:r w:rsidRPr="00066425">
        <w:rPr>
          <w:rFonts w:ascii="Arial" w:hAnsi="Arial" w:cs="Arial"/>
        </w:rPr>
        <w:t xml:space="preserve"> the MOD</w:t>
      </w:r>
      <w:r w:rsidRPr="00066425">
        <w:rPr>
          <w:rFonts w:ascii="Arial" w:hAnsi="Arial" w:cs="Arial"/>
        </w:rPr>
        <w:t xml:space="preserve"> with </w:t>
      </w:r>
      <w:r w:rsidRPr="00066425">
        <w:rPr>
          <w:rFonts w:ascii="Arial" w:hAnsi="Arial" w:cs="Arial"/>
        </w:rPr>
        <w:t>potential interests</w:t>
      </w:r>
      <w:r w:rsidRPr="00066425">
        <w:rPr>
          <w:rFonts w:ascii="Arial" w:hAnsi="Arial" w:cs="Arial"/>
        </w:rPr>
        <w:t xml:space="preserve"> or responsibilities. These </w:t>
      </w:r>
      <w:r w:rsidRPr="00066425">
        <w:rPr>
          <w:rFonts w:ascii="Arial" w:hAnsi="Arial" w:cs="Arial"/>
        </w:rPr>
        <w:t>include but</w:t>
      </w:r>
      <w:r w:rsidRPr="00066425">
        <w:rPr>
          <w:rFonts w:ascii="Arial" w:hAnsi="Arial" w:cs="Arial"/>
        </w:rPr>
        <w:t xml:space="preserve"> are not limited to: STRA</w:t>
      </w:r>
      <w:r w:rsidRPr="00066425">
        <w:rPr>
          <w:rFonts w:ascii="Arial" w:hAnsi="Arial" w:cs="Arial"/>
        </w:rPr>
        <w:t xml:space="preserve">TCOM; The Royal Navy; Defence Intelligence; The UK </w:t>
      </w:r>
      <w:r w:rsidRPr="00066425">
        <w:rPr>
          <w:rFonts w:ascii="Arial" w:hAnsi="Arial" w:cs="Arial"/>
        </w:rPr>
        <w:t xml:space="preserve">Intelligence Community </w:t>
      </w:r>
      <w:r w:rsidRPr="00066425">
        <w:rPr>
          <w:rFonts w:ascii="Arial" w:hAnsi="Arial" w:cs="Arial"/>
        </w:rPr>
        <w:t xml:space="preserve">/ Government Communication Headquarters; </w:t>
      </w:r>
      <w:r w:rsidRPr="00066425">
        <w:rPr>
          <w:rFonts w:ascii="Arial" w:hAnsi="Arial" w:cs="Arial"/>
        </w:rPr>
        <w:t>The Defence Science and Technology Laboratory</w:t>
      </w:r>
      <w:r w:rsidRPr="00066425">
        <w:rPr>
          <w:rFonts w:ascii="Arial" w:hAnsi="Arial" w:cs="Arial"/>
        </w:rPr>
        <w:t xml:space="preserve">; United Kingdom Hydrographic Office; </w:t>
      </w:r>
      <w:r w:rsidRPr="00066425">
        <w:rPr>
          <w:rFonts w:ascii="Arial" w:hAnsi="Arial" w:cs="Arial"/>
        </w:rPr>
        <w:t>and the Joint Maritime Security Centre</w:t>
      </w:r>
      <w:r w:rsidRPr="00066425">
        <w:rPr>
          <w:rFonts w:ascii="Arial" w:hAnsi="Arial" w:cs="Arial"/>
        </w:rPr>
        <w:t>.</w:t>
      </w:r>
      <w:r w:rsidRPr="00066425">
        <w:rPr>
          <w:rFonts w:ascii="Arial" w:hAnsi="Arial" w:cs="Arial"/>
        </w:rPr>
        <w:t xml:space="preserve"> </w:t>
      </w:r>
      <w:r w:rsidRPr="00066425">
        <w:rPr>
          <w:rFonts w:ascii="Arial" w:hAnsi="Arial" w:cs="Arial"/>
        </w:rPr>
        <w:t>Here</w:t>
      </w:r>
      <w:r w:rsidRPr="00066425">
        <w:rPr>
          <w:rFonts w:ascii="Arial" w:hAnsi="Arial" w:cs="Arial"/>
        </w:rPr>
        <w:t>, a</w:t>
      </w:r>
      <w:r w:rsidRPr="00066425">
        <w:rPr>
          <w:rFonts w:ascii="Arial" w:hAnsi="Arial" w:cs="Arial"/>
        </w:rPr>
        <w:t>gain, there lacks clari</w:t>
      </w:r>
      <w:r w:rsidRPr="00066425">
        <w:rPr>
          <w:rFonts w:ascii="Arial" w:hAnsi="Arial" w:cs="Arial"/>
        </w:rPr>
        <w:t>t</w:t>
      </w:r>
      <w:r w:rsidRPr="00066425">
        <w:rPr>
          <w:rFonts w:ascii="Arial" w:hAnsi="Arial" w:cs="Arial"/>
        </w:rPr>
        <w:t xml:space="preserve">y on the provision of jurisdiction </w:t>
      </w:r>
      <w:r w:rsidRPr="00066425">
        <w:rPr>
          <w:rFonts w:ascii="Arial" w:hAnsi="Arial" w:cs="Arial"/>
        </w:rPr>
        <w:t>across these.</w:t>
      </w:r>
    </w:p>
    <w:p w:rsidR="00000000" w:rsidRPr="00066425" w:rsidP="0098221E">
      <w:pPr>
        <w:rPr>
          <w:rFonts w:ascii="Arial" w:hAnsi="Arial" w:cs="Arial"/>
        </w:rPr>
      </w:pPr>
      <w:r w:rsidRPr="00066425">
        <w:rPr>
          <w:rFonts w:ascii="Arial" w:hAnsi="Arial" w:cs="Arial"/>
        </w:rPr>
        <w:t xml:space="preserve">Finally, </w:t>
      </w:r>
      <w:r w:rsidRPr="00066425">
        <w:rPr>
          <w:rFonts w:ascii="Arial" w:hAnsi="Arial" w:cs="Arial"/>
        </w:rPr>
        <w:t>at the micro lev</w:t>
      </w:r>
      <w:r w:rsidRPr="00066425">
        <w:rPr>
          <w:rFonts w:ascii="Arial" w:hAnsi="Arial" w:cs="Arial"/>
        </w:rPr>
        <w:t>el</w:t>
      </w:r>
      <w:r w:rsidRPr="00066425">
        <w:rPr>
          <w:rFonts w:ascii="Arial" w:hAnsi="Arial" w:cs="Arial"/>
        </w:rPr>
        <w:t>,</w:t>
      </w:r>
      <w:r w:rsidRPr="00066425">
        <w:rPr>
          <w:rFonts w:ascii="Arial" w:hAnsi="Arial" w:cs="Arial"/>
        </w:rPr>
        <w:t xml:space="preserve"> this effect is then </w:t>
      </w:r>
      <w:r w:rsidRPr="00066425">
        <w:rPr>
          <w:rFonts w:ascii="Arial" w:hAnsi="Arial" w:cs="Arial"/>
        </w:rPr>
        <w:t>magnified and compounded further</w:t>
      </w:r>
      <w:r w:rsidRPr="00066425">
        <w:rPr>
          <w:rFonts w:ascii="Arial" w:hAnsi="Arial" w:cs="Arial"/>
        </w:rPr>
        <w:t xml:space="preserve"> within sub-departments. </w:t>
      </w:r>
      <w:r w:rsidRPr="00066425">
        <w:rPr>
          <w:rFonts w:ascii="Arial" w:hAnsi="Arial" w:cs="Arial"/>
        </w:rPr>
        <w:t>Using the Royal Navy (RN) as the example</w:t>
      </w:r>
      <w:r w:rsidRPr="00066425">
        <w:rPr>
          <w:rFonts w:ascii="Arial" w:hAnsi="Arial" w:cs="Arial"/>
        </w:rPr>
        <w:t xml:space="preserve"> in Figure (1)</w:t>
      </w:r>
      <w:r w:rsidRPr="00066425">
        <w:rPr>
          <w:rFonts w:ascii="Arial" w:hAnsi="Arial" w:cs="Arial"/>
        </w:rPr>
        <w:t xml:space="preserve">, its collective response to the </w:t>
      </w:r>
      <w:r w:rsidRPr="00066425">
        <w:rPr>
          <w:rFonts w:ascii="Arial" w:hAnsi="Arial" w:cs="Arial"/>
        </w:rPr>
        <w:t>requirement is conceptualised using the “</w:t>
      </w:r>
      <w:r w:rsidRPr="00066425">
        <w:rPr>
          <w:rFonts w:ascii="Arial" w:hAnsi="Arial" w:cs="Arial"/>
          <w:i/>
          <w:iCs/>
        </w:rPr>
        <w:t>Seabed Warfare</w:t>
      </w:r>
      <w:r w:rsidRPr="00066425">
        <w:rPr>
          <w:rFonts w:ascii="Arial" w:hAnsi="Arial" w:cs="Arial"/>
        </w:rPr>
        <w:t xml:space="preserve">” neologism. </w:t>
      </w:r>
      <w:r w:rsidRPr="00066425">
        <w:rPr>
          <w:rFonts w:ascii="Arial" w:hAnsi="Arial" w:cs="Arial"/>
        </w:rPr>
        <w:t xml:space="preserve">However, the organisation </w:t>
      </w:r>
      <w:r w:rsidRPr="00066425">
        <w:rPr>
          <w:rFonts w:ascii="Arial" w:hAnsi="Arial" w:cs="Arial"/>
        </w:rPr>
        <w:t>has yet to decide if “</w:t>
      </w:r>
      <w:r w:rsidRPr="00066425">
        <w:rPr>
          <w:rFonts w:ascii="Arial" w:hAnsi="Arial" w:cs="Arial"/>
          <w:i/>
          <w:iCs/>
        </w:rPr>
        <w:t>SBW</w:t>
      </w:r>
      <w:r w:rsidRPr="00066425">
        <w:rPr>
          <w:rFonts w:ascii="Arial" w:hAnsi="Arial" w:cs="Arial"/>
        </w:rPr>
        <w:t>” is a component</w:t>
      </w:r>
      <w:r w:rsidRPr="00066425">
        <w:rPr>
          <w:rFonts w:ascii="Arial" w:hAnsi="Arial" w:cs="Arial"/>
        </w:rPr>
        <w:t>,</w:t>
      </w:r>
      <w:r w:rsidRPr="00066425">
        <w:rPr>
          <w:rFonts w:ascii="Arial" w:hAnsi="Arial" w:cs="Arial"/>
        </w:rPr>
        <w:t xml:space="preserve"> extension</w:t>
      </w:r>
      <w:r w:rsidRPr="00066425">
        <w:rPr>
          <w:rFonts w:ascii="Arial" w:hAnsi="Arial" w:cs="Arial"/>
        </w:rPr>
        <w:t>, or evolution</w:t>
      </w:r>
      <w:r w:rsidRPr="00066425">
        <w:rPr>
          <w:rFonts w:ascii="Arial" w:hAnsi="Arial" w:cs="Arial"/>
        </w:rPr>
        <w:t xml:space="preserve"> of </w:t>
      </w:r>
      <w:r w:rsidRPr="00066425">
        <w:rPr>
          <w:rFonts w:ascii="Arial" w:hAnsi="Arial" w:cs="Arial"/>
        </w:rPr>
        <w:t xml:space="preserve">one of </w:t>
      </w:r>
      <w:r w:rsidRPr="00066425">
        <w:rPr>
          <w:rFonts w:ascii="Arial" w:hAnsi="Arial" w:cs="Arial"/>
        </w:rPr>
        <w:t xml:space="preserve">organisation’s existing branches, such as </w:t>
      </w:r>
      <w:r w:rsidRPr="00066425">
        <w:rPr>
          <w:rFonts w:ascii="Arial" w:hAnsi="Arial" w:cs="Arial"/>
        </w:rPr>
        <w:t>Mine Warfare</w:t>
      </w:r>
      <w:r w:rsidRPr="00066425">
        <w:rPr>
          <w:rFonts w:ascii="Arial" w:hAnsi="Arial" w:cs="Arial"/>
        </w:rPr>
        <w:t>,</w:t>
      </w:r>
      <w:r w:rsidRPr="00066425">
        <w:rPr>
          <w:rFonts w:ascii="Arial" w:hAnsi="Arial" w:cs="Arial"/>
        </w:rPr>
        <w:t xml:space="preserve"> Hydrography</w:t>
      </w:r>
      <w:r w:rsidRPr="00066425">
        <w:rPr>
          <w:rFonts w:ascii="Arial" w:hAnsi="Arial" w:cs="Arial"/>
        </w:rPr>
        <w:t xml:space="preserve">, </w:t>
      </w:r>
      <w:r w:rsidRPr="00066425">
        <w:rPr>
          <w:rFonts w:ascii="Arial" w:hAnsi="Arial" w:cs="Arial"/>
        </w:rPr>
        <w:t>or Anti-Submarine Warfare</w:t>
      </w:r>
      <w:r w:rsidRPr="00066425">
        <w:rPr>
          <w:rFonts w:ascii="Arial" w:hAnsi="Arial" w:cs="Arial"/>
        </w:rPr>
        <w:t>;</w:t>
      </w:r>
      <w:r w:rsidRPr="00066425">
        <w:rPr>
          <w:rFonts w:ascii="Arial" w:hAnsi="Arial" w:cs="Arial"/>
        </w:rPr>
        <w:t xml:space="preserve"> </w:t>
      </w:r>
      <w:r w:rsidRPr="00066425">
        <w:rPr>
          <w:rFonts w:ascii="Arial" w:hAnsi="Arial" w:cs="Arial"/>
        </w:rPr>
        <w:t>a</w:t>
      </w:r>
      <w:r w:rsidRPr="00066425">
        <w:rPr>
          <w:rFonts w:ascii="Arial" w:hAnsi="Arial" w:cs="Arial"/>
        </w:rPr>
        <w:t xml:space="preserve">n amalgamation and </w:t>
      </w:r>
      <w:r w:rsidRPr="00066425">
        <w:rPr>
          <w:rFonts w:ascii="Arial" w:hAnsi="Arial" w:cs="Arial"/>
        </w:rPr>
        <w:t xml:space="preserve">evolution of a number of these into a new </w:t>
      </w:r>
      <w:r w:rsidRPr="00066425">
        <w:rPr>
          <w:rFonts w:ascii="Arial" w:hAnsi="Arial" w:cs="Arial"/>
        </w:rPr>
        <w:t>hybrid</w:t>
      </w:r>
      <w:r w:rsidRPr="00066425">
        <w:rPr>
          <w:rFonts w:ascii="Arial" w:hAnsi="Arial" w:cs="Arial"/>
        </w:rPr>
        <w:t>;</w:t>
      </w:r>
      <w:r w:rsidRPr="00066425">
        <w:rPr>
          <w:rFonts w:ascii="Arial" w:hAnsi="Arial" w:cs="Arial"/>
        </w:rPr>
        <w:t xml:space="preserve"> </w:t>
      </w:r>
      <w:r w:rsidRPr="00066425">
        <w:rPr>
          <w:rFonts w:ascii="Arial" w:hAnsi="Arial" w:cs="Arial"/>
        </w:rPr>
        <w:t>o</w:t>
      </w:r>
      <w:r w:rsidRPr="00066425">
        <w:rPr>
          <w:rFonts w:ascii="Arial" w:hAnsi="Arial" w:cs="Arial"/>
        </w:rPr>
        <w:t>r, if “</w:t>
      </w:r>
      <w:r w:rsidRPr="00066425">
        <w:rPr>
          <w:rFonts w:ascii="Arial" w:hAnsi="Arial" w:cs="Arial"/>
          <w:i/>
          <w:iCs/>
        </w:rPr>
        <w:t>SBW</w:t>
      </w:r>
      <w:r w:rsidRPr="00066425">
        <w:rPr>
          <w:rFonts w:ascii="Arial" w:hAnsi="Arial" w:cs="Arial"/>
        </w:rPr>
        <w:t xml:space="preserve">” will form its own new </w:t>
      </w:r>
      <w:r w:rsidRPr="00066425">
        <w:rPr>
          <w:rFonts w:ascii="Arial" w:hAnsi="Arial" w:cs="Arial"/>
        </w:rPr>
        <w:t xml:space="preserve">standalone </w:t>
      </w:r>
      <w:r w:rsidRPr="00066425">
        <w:rPr>
          <w:rFonts w:ascii="Arial" w:hAnsi="Arial" w:cs="Arial"/>
        </w:rPr>
        <w:t xml:space="preserve">Branch </w:t>
      </w:r>
      <w:r w:rsidRPr="00066425">
        <w:rPr>
          <w:rFonts w:ascii="Arial" w:hAnsi="Arial" w:cs="Arial"/>
        </w:rPr>
        <w:t>that sits in parallel to these</w:t>
      </w:r>
      <w:r w:rsidRPr="00066425">
        <w:rPr>
          <w:rFonts w:ascii="Arial" w:hAnsi="Arial" w:cs="Arial"/>
        </w:rPr>
        <w:t xml:space="preserve"> entirely</w:t>
      </w:r>
      <w:r w:rsidRPr="00066425">
        <w:rPr>
          <w:rFonts w:ascii="Arial" w:hAnsi="Arial" w:cs="Arial"/>
        </w:rPr>
        <w:t>.</w:t>
      </w:r>
    </w:p>
    <w:p w:rsidR="00000000" w:rsidRPr="00066425" w:rsidP="00C73217">
      <w:pPr>
        <w:keepNext/>
        <w:jc w:val="center"/>
        <w:rPr>
          <w:rFonts w:ascii="Arial" w:hAnsi="Arial" w:cs="Arial"/>
        </w:rPr>
      </w:pPr>
      <w:r w:rsidRPr="00066425">
        <w:rPr>
          <w:rFonts w:ascii="Arial" w:hAnsi="Arial" w:cs="Arial"/>
          <w:noProof/>
        </w:rPr>
        <w:drawing>
          <wp:inline distT="0" distB="0" distL="0" distR="0">
            <wp:extent cx="6120130" cy="3877945"/>
            <wp:effectExtent l="0" t="0" r="0" b="8255"/>
            <wp:docPr id="1604609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609801" name=""/>
                    <pic:cNvPicPr/>
                  </pic:nvPicPr>
                  <pic:blipFill>
                    <a:blip xmlns:r="http://schemas.openxmlformats.org/officeDocument/2006/relationships" r:embed="rId6"/>
                    <a:stretch>
                      <a:fillRect/>
                    </a:stretch>
                  </pic:blipFill>
                  <pic:spPr>
                    <a:xfrm>
                      <a:off x="0" y="0"/>
                      <a:ext cx="6120130" cy="3877945"/>
                    </a:xfrm>
                    <a:prstGeom prst="rect">
                      <a:avLst/>
                    </a:prstGeom>
                  </pic:spPr>
                </pic:pic>
              </a:graphicData>
            </a:graphic>
          </wp:inline>
        </w:drawing>
      </w:r>
    </w:p>
    <w:p w:rsidR="00000000" w:rsidRPr="00066425" w:rsidP="009C05D4">
      <w:pPr>
        <w:pStyle w:val="Caption"/>
        <w:jc w:val="center"/>
        <w:rPr>
          <w:rFonts w:ascii="Arial" w:hAnsi="Arial" w:cs="Arial"/>
        </w:rPr>
      </w:pPr>
      <w:r w:rsidRPr="00066425">
        <w:rPr>
          <w:rFonts w:ascii="Arial" w:hAnsi="Arial" w:cs="Arial"/>
          <w:color w:val="auto"/>
        </w:rPr>
        <w:t xml:space="preserve">Figure </w:t>
      </w:r>
      <w:r w:rsidRPr="00066425">
        <w:rPr>
          <w:rFonts w:ascii="Arial" w:hAnsi="Arial" w:cs="Arial"/>
          <w:color w:val="auto"/>
        </w:rPr>
        <w:fldChar w:fldCharType="begin"/>
      </w:r>
      <w:r w:rsidRPr="00066425">
        <w:rPr>
          <w:rFonts w:ascii="Arial" w:hAnsi="Arial" w:cs="Arial"/>
          <w:color w:val="auto"/>
        </w:rPr>
        <w:instrText xml:space="preserve"> SEQ Figure \* ARABIC </w:instrText>
      </w:r>
      <w:r w:rsidRPr="00066425">
        <w:rPr>
          <w:rFonts w:ascii="Arial" w:hAnsi="Arial" w:cs="Arial"/>
          <w:color w:val="auto"/>
        </w:rPr>
        <w:fldChar w:fldCharType="separate"/>
      </w:r>
      <w:r w:rsidRPr="00066425">
        <w:rPr>
          <w:rFonts w:ascii="Arial" w:hAnsi="Arial" w:cs="Arial"/>
          <w:noProof/>
          <w:color w:val="auto"/>
        </w:rPr>
        <w:t>1</w:t>
      </w:r>
      <w:r w:rsidRPr="00066425">
        <w:rPr>
          <w:rFonts w:ascii="Arial" w:hAnsi="Arial" w:cs="Arial"/>
          <w:color w:val="auto"/>
        </w:rPr>
        <w:fldChar w:fldCharType="end"/>
      </w:r>
      <w:r w:rsidRPr="00066425">
        <w:rPr>
          <w:rFonts w:ascii="Arial" w:hAnsi="Arial" w:cs="Arial"/>
          <w:color w:val="auto"/>
        </w:rPr>
        <w:t>: Ambiguity of jurisdiction and primacy across departments.</w:t>
      </w:r>
    </w:p>
    <w:p w:rsidR="00000000" w:rsidRPr="00066425" w:rsidP="0098221E">
      <w:pPr>
        <w:rPr>
          <w:rFonts w:ascii="Arial" w:hAnsi="Arial" w:cs="Arial"/>
        </w:rPr>
      </w:pPr>
      <w:r w:rsidRPr="00066425">
        <w:rPr>
          <w:rFonts w:ascii="Arial" w:hAnsi="Arial" w:cs="Arial"/>
        </w:rPr>
        <w:t xml:space="preserve">In summary, you have multiple layers of complexity, </w:t>
      </w:r>
      <w:r w:rsidRPr="00066425">
        <w:rPr>
          <w:rFonts w:ascii="Arial" w:hAnsi="Arial" w:cs="Arial"/>
        </w:rPr>
        <w:t xml:space="preserve">that are then subsequently </w:t>
      </w:r>
      <w:r w:rsidRPr="00066425">
        <w:rPr>
          <w:rFonts w:ascii="Arial" w:hAnsi="Arial" w:cs="Arial"/>
        </w:rPr>
        <w:t>amplified</w:t>
      </w:r>
      <w:r w:rsidRPr="00066425">
        <w:rPr>
          <w:rFonts w:ascii="Arial" w:hAnsi="Arial" w:cs="Arial"/>
        </w:rPr>
        <w:t xml:space="preserve"> further when considered</w:t>
      </w:r>
      <w:r w:rsidRPr="00066425">
        <w:rPr>
          <w:rFonts w:ascii="Arial" w:hAnsi="Arial" w:cs="Arial"/>
        </w:rPr>
        <w:t xml:space="preserve"> against the provision of policy, which mirrors </w:t>
      </w:r>
      <w:r w:rsidRPr="00066425">
        <w:rPr>
          <w:rFonts w:ascii="Arial" w:hAnsi="Arial" w:cs="Arial"/>
        </w:rPr>
        <w:t xml:space="preserve">the </w:t>
      </w:r>
      <w:r w:rsidRPr="00066425">
        <w:rPr>
          <w:rFonts w:ascii="Arial" w:hAnsi="Arial" w:cs="Arial"/>
        </w:rPr>
        <w:t>organisational tiers</w:t>
      </w:r>
      <w:r w:rsidRPr="00066425">
        <w:rPr>
          <w:rFonts w:ascii="Arial" w:hAnsi="Arial" w:cs="Arial"/>
        </w:rPr>
        <w:t xml:space="preserve"> on one side</w:t>
      </w:r>
      <w:r w:rsidRPr="00066425">
        <w:rPr>
          <w:rFonts w:ascii="Arial" w:hAnsi="Arial" w:cs="Arial"/>
        </w:rPr>
        <w:t xml:space="preserve">, and </w:t>
      </w:r>
      <w:r w:rsidRPr="00066425">
        <w:rPr>
          <w:rFonts w:ascii="Arial" w:hAnsi="Arial" w:cs="Arial"/>
        </w:rPr>
        <w:t xml:space="preserve">the </w:t>
      </w:r>
      <w:r w:rsidRPr="00066425">
        <w:rPr>
          <w:rFonts w:ascii="Arial" w:hAnsi="Arial" w:cs="Arial"/>
        </w:rPr>
        <w:t>interface</w:t>
      </w:r>
      <w:r w:rsidRPr="00066425">
        <w:rPr>
          <w:rFonts w:ascii="Arial" w:hAnsi="Arial" w:cs="Arial"/>
        </w:rPr>
        <w:t>s</w:t>
      </w:r>
      <w:r w:rsidRPr="00066425">
        <w:rPr>
          <w:rFonts w:ascii="Arial" w:hAnsi="Arial" w:cs="Arial"/>
        </w:rPr>
        <w:t xml:space="preserve"> with </w:t>
      </w:r>
      <w:r w:rsidRPr="00066425">
        <w:rPr>
          <w:rFonts w:ascii="Arial" w:hAnsi="Arial" w:cs="Arial"/>
        </w:rPr>
        <w:t>both a</w:t>
      </w:r>
      <w:r w:rsidRPr="00066425">
        <w:rPr>
          <w:rFonts w:ascii="Arial" w:hAnsi="Arial" w:cs="Arial"/>
        </w:rPr>
        <w:t>cademia and industr</w:t>
      </w:r>
      <w:r w:rsidRPr="00066425">
        <w:rPr>
          <w:rFonts w:ascii="Arial" w:hAnsi="Arial" w:cs="Arial"/>
        </w:rPr>
        <w:t>y</w:t>
      </w:r>
      <w:r w:rsidRPr="00066425">
        <w:rPr>
          <w:rFonts w:ascii="Arial" w:hAnsi="Arial" w:cs="Arial"/>
        </w:rPr>
        <w:t>,</w:t>
      </w:r>
      <w:r w:rsidRPr="00066425">
        <w:rPr>
          <w:rFonts w:ascii="Arial" w:hAnsi="Arial" w:cs="Arial"/>
        </w:rPr>
        <w:t xml:space="preserve"> </w:t>
      </w:r>
      <w:r w:rsidRPr="00066425">
        <w:rPr>
          <w:rFonts w:ascii="Arial" w:hAnsi="Arial" w:cs="Arial"/>
        </w:rPr>
        <w:t>that</w:t>
      </w:r>
      <w:r w:rsidRPr="00066425">
        <w:rPr>
          <w:rFonts w:ascii="Arial" w:hAnsi="Arial" w:cs="Arial"/>
        </w:rPr>
        <w:t xml:space="preserve"> interact with </w:t>
      </w:r>
      <w:r w:rsidRPr="00066425">
        <w:rPr>
          <w:rFonts w:ascii="Arial" w:hAnsi="Arial" w:cs="Arial"/>
        </w:rPr>
        <w:t xml:space="preserve">the </w:t>
      </w:r>
      <w:r w:rsidRPr="00066425">
        <w:rPr>
          <w:rFonts w:ascii="Arial" w:hAnsi="Arial" w:cs="Arial"/>
        </w:rPr>
        <w:t xml:space="preserve">stakeholder groups </w:t>
      </w:r>
      <w:r w:rsidRPr="00066425">
        <w:rPr>
          <w:rFonts w:ascii="Arial" w:hAnsi="Arial" w:cs="Arial"/>
        </w:rPr>
        <w:t xml:space="preserve">across the </w:t>
      </w:r>
      <w:r w:rsidRPr="00066425">
        <w:rPr>
          <w:rFonts w:ascii="Arial" w:hAnsi="Arial" w:cs="Arial"/>
        </w:rPr>
        <w:t>different levels</w:t>
      </w:r>
      <w:r w:rsidRPr="00066425">
        <w:rPr>
          <w:rFonts w:ascii="Arial" w:hAnsi="Arial" w:cs="Arial"/>
        </w:rPr>
        <w:t>,</w:t>
      </w:r>
      <w:r w:rsidRPr="00066425">
        <w:rPr>
          <w:rFonts w:ascii="Arial" w:hAnsi="Arial" w:cs="Arial"/>
        </w:rPr>
        <w:t xml:space="preserve"> on the other.</w:t>
      </w:r>
    </w:p>
    <w:p w:rsidR="00000000" w:rsidRPr="00066425" w:rsidP="0098221E">
      <w:pPr>
        <w:rPr>
          <w:rFonts w:ascii="Arial" w:hAnsi="Arial" w:cs="Arial"/>
        </w:rPr>
      </w:pPr>
      <w:r w:rsidRPr="00066425">
        <w:rPr>
          <w:rFonts w:ascii="Arial" w:hAnsi="Arial" w:cs="Arial"/>
        </w:rPr>
        <w:t xml:space="preserve">Without the application of clear </w:t>
      </w:r>
      <w:r w:rsidRPr="00066425">
        <w:rPr>
          <w:rFonts w:ascii="Arial" w:hAnsi="Arial" w:cs="Arial"/>
        </w:rPr>
        <w:t>a strategy, comprehensive stakeholder mapping</w:t>
      </w:r>
      <w:r w:rsidRPr="00066425">
        <w:rPr>
          <w:rFonts w:ascii="Arial" w:hAnsi="Arial" w:cs="Arial"/>
        </w:rPr>
        <w:t xml:space="preserve"> and management</w:t>
      </w:r>
      <w:r w:rsidRPr="00066425">
        <w:rPr>
          <w:rFonts w:ascii="Arial" w:hAnsi="Arial" w:cs="Arial"/>
        </w:rPr>
        <w:t xml:space="preserve">, and a </w:t>
      </w:r>
      <w:r w:rsidRPr="00066425">
        <w:rPr>
          <w:rFonts w:ascii="Arial" w:hAnsi="Arial" w:cs="Arial"/>
        </w:rPr>
        <w:t>systems approach</w:t>
      </w:r>
      <w:r>
        <w:rPr>
          <w:rStyle w:val="FootnoteReference"/>
          <w:rFonts w:ascii="Arial" w:hAnsi="Arial" w:cs="Arial"/>
        </w:rPr>
        <w:footnoteReference w:id="4"/>
      </w:r>
      <w:r w:rsidRPr="00066425">
        <w:rPr>
          <w:rFonts w:ascii="Arial" w:hAnsi="Arial" w:cs="Arial"/>
        </w:rPr>
        <w:t xml:space="preserve"> to </w:t>
      </w:r>
      <w:r w:rsidRPr="00066425">
        <w:rPr>
          <w:rFonts w:ascii="Arial" w:hAnsi="Arial" w:cs="Arial"/>
        </w:rPr>
        <w:t xml:space="preserve">manage governance and leadership </w:t>
      </w:r>
      <w:r w:rsidRPr="00066425">
        <w:rPr>
          <w:rFonts w:ascii="Arial" w:hAnsi="Arial" w:cs="Arial"/>
        </w:rPr>
        <w:t>across this extensive and complex ecosystem, there exist</w:t>
      </w:r>
      <w:r w:rsidRPr="00066425">
        <w:rPr>
          <w:rFonts w:ascii="Arial" w:hAnsi="Arial" w:cs="Arial"/>
        </w:rPr>
        <w:t>s the potential for</w:t>
      </w:r>
      <w:r w:rsidRPr="00066425">
        <w:rPr>
          <w:rFonts w:ascii="Arial" w:hAnsi="Arial" w:cs="Arial"/>
        </w:rPr>
        <w:t xml:space="preserve"> significant risk</w:t>
      </w:r>
      <w:r w:rsidRPr="00066425">
        <w:rPr>
          <w:rFonts w:ascii="Arial" w:hAnsi="Arial" w:cs="Arial"/>
        </w:rPr>
        <w:t>s to coherency</w:t>
      </w:r>
      <w:r w:rsidRPr="00066425">
        <w:rPr>
          <w:rFonts w:ascii="Arial" w:hAnsi="Arial" w:cs="Arial"/>
        </w:rPr>
        <w:t>, efficiency</w:t>
      </w:r>
      <w:r w:rsidRPr="00066425">
        <w:rPr>
          <w:rFonts w:ascii="Arial" w:hAnsi="Arial" w:cs="Arial"/>
        </w:rPr>
        <w:t>,</w:t>
      </w:r>
      <w:r w:rsidRPr="00066425">
        <w:rPr>
          <w:rFonts w:ascii="Arial" w:hAnsi="Arial" w:cs="Arial"/>
        </w:rPr>
        <w:t xml:space="preserve"> and collaboration across the collective undertaking. </w:t>
      </w:r>
    </w:p>
    <w:p w:rsidR="00000000" w:rsidRPr="00066425" w:rsidP="0098221E">
      <w:pPr>
        <w:rPr>
          <w:rFonts w:ascii="Arial" w:hAnsi="Arial" w:cs="Arial"/>
        </w:rPr>
      </w:pPr>
      <w:r>
        <w:rPr>
          <w:rFonts w:ascii="Arial" w:hAnsi="Arial" w:cs="Arial"/>
          <w:b/>
          <w:bCs/>
        </w:rPr>
        <w:t xml:space="preserve">1.4 </w:t>
      </w:r>
      <w:r w:rsidRPr="00066425">
        <w:rPr>
          <w:rFonts w:ascii="Arial" w:hAnsi="Arial" w:cs="Arial"/>
          <w:b/>
          <w:bCs/>
        </w:rPr>
        <w:t>Recommendations</w:t>
      </w:r>
      <w:r w:rsidRPr="00066425">
        <w:rPr>
          <w:rFonts w:ascii="Arial" w:hAnsi="Arial" w:cs="Arial"/>
          <w:b/>
          <w:bCs/>
        </w:rPr>
        <w:t>:</w:t>
      </w:r>
      <w:r w:rsidRPr="00066425">
        <w:rPr>
          <w:rFonts w:ascii="Arial" w:hAnsi="Arial" w:cs="Arial"/>
          <w:b/>
          <w:bCs/>
        </w:rPr>
        <w:t xml:space="preserve"> </w:t>
      </w:r>
      <w:r w:rsidRPr="00066425">
        <w:rPr>
          <w:rFonts w:ascii="Arial" w:hAnsi="Arial" w:cs="Arial"/>
          <w:b/>
          <w:bCs/>
          <w:i/>
          <w:iCs/>
        </w:rPr>
        <w:t>Choice</w:t>
      </w:r>
      <w:r w:rsidRPr="00066425">
        <w:rPr>
          <w:rFonts w:ascii="Arial" w:hAnsi="Arial" w:cs="Arial"/>
          <w:b/>
          <w:bCs/>
          <w:i/>
          <w:iCs/>
        </w:rPr>
        <w:t xml:space="preserve"> </w:t>
      </w:r>
      <w:r w:rsidRPr="00066425">
        <w:rPr>
          <w:rFonts w:ascii="Arial" w:hAnsi="Arial" w:cs="Arial"/>
          <w:b/>
          <w:bCs/>
          <w:i/>
          <w:iCs/>
        </w:rPr>
        <w:t>Vocabulary and the adoption of a Programmatic Approach</w:t>
      </w:r>
      <w:r w:rsidRPr="00066425">
        <w:rPr>
          <w:rFonts w:ascii="Arial" w:hAnsi="Arial" w:cs="Arial"/>
          <w:b/>
          <w:bCs/>
        </w:rPr>
        <w:t>.</w:t>
      </w:r>
    </w:p>
    <w:p w:rsidR="00000000" w:rsidRPr="00066425" w:rsidP="0098221E">
      <w:pPr>
        <w:rPr>
          <w:rFonts w:ascii="Arial" w:hAnsi="Arial" w:cs="Arial"/>
        </w:rPr>
      </w:pPr>
      <w:r w:rsidRPr="00066425">
        <w:rPr>
          <w:rFonts w:ascii="Arial" w:hAnsi="Arial" w:cs="Arial"/>
        </w:rPr>
        <w:t xml:space="preserve">The author supports </w:t>
      </w:r>
      <w:r w:rsidRPr="00066425">
        <w:rPr>
          <w:rFonts w:ascii="Arial" w:hAnsi="Arial" w:cs="Arial"/>
        </w:rPr>
        <w:t xml:space="preserve">the recommendations made by </w:t>
      </w:r>
      <w:r w:rsidRPr="00066425">
        <w:rPr>
          <w:rFonts w:ascii="Arial" w:hAnsi="Arial" w:cs="Arial"/>
        </w:rPr>
        <w:t>Hendriks and Halem</w:t>
      </w:r>
      <w:r>
        <w:rPr>
          <w:rStyle w:val="FootnoteReference"/>
          <w:rFonts w:ascii="Arial" w:hAnsi="Arial" w:cs="Arial"/>
        </w:rPr>
        <w:footnoteReference w:id="5"/>
      </w:r>
      <w:r w:rsidRPr="00066425">
        <w:rPr>
          <w:rFonts w:ascii="Arial" w:hAnsi="Arial" w:cs="Arial"/>
        </w:rPr>
        <w:t xml:space="preserve"> that there is requirement for a “</w:t>
      </w:r>
      <w:r w:rsidRPr="00066425">
        <w:rPr>
          <w:rFonts w:ascii="Arial" w:hAnsi="Arial" w:cs="Arial"/>
          <w:i/>
          <w:iCs/>
        </w:rPr>
        <w:t>whole of system</w:t>
      </w:r>
      <w:r w:rsidRPr="00066425">
        <w:rPr>
          <w:rFonts w:ascii="Arial" w:hAnsi="Arial" w:cs="Arial"/>
        </w:rPr>
        <w:t xml:space="preserve">” strategy </w:t>
      </w:r>
      <w:r w:rsidRPr="00066425">
        <w:rPr>
          <w:rFonts w:ascii="Arial" w:hAnsi="Arial" w:cs="Arial"/>
        </w:rPr>
        <w:t>to cohere the response to the collective protection of critical undersea infrastructure across Whitehall depart</w:t>
      </w:r>
      <w:r w:rsidRPr="00066425">
        <w:rPr>
          <w:rFonts w:ascii="Arial" w:hAnsi="Arial" w:cs="Arial"/>
        </w:rPr>
        <w:t>ments as discussed by the</w:t>
      </w:r>
      <w:r w:rsidRPr="00066425">
        <w:rPr>
          <w:rFonts w:ascii="Arial" w:hAnsi="Arial" w:cs="Arial"/>
        </w:rPr>
        <w:t xml:space="preserve"> Committee.</w:t>
      </w:r>
      <w:r w:rsidRPr="00066425">
        <w:rPr>
          <w:rFonts w:ascii="Arial" w:hAnsi="Arial" w:cs="Arial"/>
        </w:rPr>
        <w:t xml:space="preserve"> </w:t>
      </w:r>
      <w:r w:rsidRPr="00066425">
        <w:rPr>
          <w:rFonts w:ascii="Arial" w:hAnsi="Arial" w:cs="Arial"/>
        </w:rPr>
        <w:t>However, this is with two notable caveats as recommendations.</w:t>
      </w:r>
    </w:p>
    <w:p w:rsidR="00000000" w:rsidRPr="00066425" w:rsidP="0098221E">
      <w:pPr>
        <w:rPr>
          <w:rFonts w:ascii="Arial" w:hAnsi="Arial" w:cs="Arial"/>
        </w:rPr>
      </w:pPr>
      <w:r w:rsidRPr="00066425">
        <w:rPr>
          <w:rFonts w:ascii="Arial" w:hAnsi="Arial" w:cs="Arial"/>
        </w:rPr>
        <w:t>Firstly, a</w:t>
      </w:r>
      <w:r w:rsidRPr="00066425">
        <w:rPr>
          <w:rFonts w:ascii="Arial" w:hAnsi="Arial" w:cs="Arial"/>
        </w:rPr>
        <w:t xml:space="preserve">s previously discussed, </w:t>
      </w:r>
      <w:r w:rsidRPr="00066425">
        <w:rPr>
          <w:rFonts w:ascii="Arial" w:hAnsi="Arial" w:cs="Arial"/>
        </w:rPr>
        <w:t xml:space="preserve">it is the view of the author that </w:t>
      </w:r>
      <w:r w:rsidRPr="00066425">
        <w:rPr>
          <w:rFonts w:ascii="Arial" w:hAnsi="Arial" w:cs="Arial"/>
        </w:rPr>
        <w:t>the collective undertaking</w:t>
      </w:r>
      <w:r w:rsidRPr="00066425">
        <w:rPr>
          <w:rFonts w:ascii="Arial" w:hAnsi="Arial" w:cs="Arial"/>
        </w:rPr>
        <w:t xml:space="preserve"> should </w:t>
      </w:r>
      <w:r w:rsidRPr="00066425">
        <w:rPr>
          <w:rFonts w:ascii="Arial" w:hAnsi="Arial" w:cs="Arial"/>
        </w:rPr>
        <w:t xml:space="preserve">be </w:t>
      </w:r>
      <w:r w:rsidRPr="00066425">
        <w:rPr>
          <w:rFonts w:ascii="Arial" w:hAnsi="Arial" w:cs="Arial"/>
        </w:rPr>
        <w:t xml:space="preserve">overtly de-latched </w:t>
      </w:r>
      <w:r w:rsidRPr="00066425">
        <w:rPr>
          <w:rFonts w:ascii="Arial" w:hAnsi="Arial" w:cs="Arial"/>
        </w:rPr>
        <w:t>from the conceptual</w:t>
      </w:r>
      <w:r w:rsidRPr="00066425">
        <w:rPr>
          <w:rFonts w:ascii="Arial" w:hAnsi="Arial" w:cs="Arial"/>
        </w:rPr>
        <w:t>isation</w:t>
      </w:r>
      <w:r w:rsidRPr="00066425">
        <w:rPr>
          <w:rFonts w:ascii="Arial" w:hAnsi="Arial" w:cs="Arial"/>
        </w:rPr>
        <w:t xml:space="preserve"> that </w:t>
      </w:r>
      <w:r w:rsidRPr="00066425">
        <w:rPr>
          <w:rFonts w:ascii="Arial" w:hAnsi="Arial" w:cs="Arial"/>
        </w:rPr>
        <w:t xml:space="preserve">because this is a security issue, </w:t>
      </w:r>
      <w:r w:rsidRPr="00066425">
        <w:rPr>
          <w:rFonts w:ascii="Arial" w:hAnsi="Arial" w:cs="Arial"/>
        </w:rPr>
        <w:t>it</w:t>
      </w:r>
      <w:r w:rsidRPr="00066425">
        <w:rPr>
          <w:rFonts w:ascii="Arial" w:hAnsi="Arial" w:cs="Arial"/>
        </w:rPr>
        <w:t xml:space="preserve"> </w:t>
      </w:r>
      <w:r w:rsidRPr="00066425">
        <w:rPr>
          <w:rFonts w:ascii="Arial" w:hAnsi="Arial" w:cs="Arial"/>
        </w:rPr>
        <w:t>therefore</w:t>
      </w:r>
      <w:r w:rsidRPr="00066425">
        <w:rPr>
          <w:rFonts w:ascii="Arial" w:hAnsi="Arial" w:cs="Arial"/>
        </w:rPr>
        <w:t xml:space="preserve"> </w:t>
      </w:r>
      <w:r w:rsidRPr="00066425">
        <w:rPr>
          <w:rFonts w:ascii="Arial" w:hAnsi="Arial" w:cs="Arial"/>
        </w:rPr>
        <w:t xml:space="preserve">defaults to being </w:t>
      </w:r>
      <w:r w:rsidRPr="00066425">
        <w:rPr>
          <w:rFonts w:ascii="Arial" w:hAnsi="Arial" w:cs="Arial"/>
        </w:rPr>
        <w:t>a</w:t>
      </w:r>
      <w:r w:rsidRPr="00066425">
        <w:rPr>
          <w:rFonts w:ascii="Arial" w:hAnsi="Arial" w:cs="Arial"/>
        </w:rPr>
        <w:t xml:space="preserve"> military issue </w:t>
      </w:r>
      <w:r w:rsidRPr="00066425">
        <w:rPr>
          <w:rFonts w:ascii="Arial" w:hAnsi="Arial" w:cs="Arial"/>
        </w:rPr>
        <w:t xml:space="preserve">under the jurisdiction of the MOD by </w:t>
      </w:r>
      <w:r w:rsidRPr="00066425">
        <w:rPr>
          <w:rFonts w:ascii="Arial" w:hAnsi="Arial" w:cs="Arial"/>
        </w:rPr>
        <w:t>default</w:t>
      </w:r>
      <w:r w:rsidRPr="00066425">
        <w:rPr>
          <w:rFonts w:ascii="Arial" w:hAnsi="Arial" w:cs="Arial"/>
        </w:rPr>
        <w:t>. And that this may be achieved by ensuring the</w:t>
      </w:r>
      <w:r w:rsidRPr="00066425">
        <w:rPr>
          <w:rFonts w:ascii="Arial" w:hAnsi="Arial" w:cs="Arial"/>
        </w:rPr>
        <w:t xml:space="preserve"> use of </w:t>
      </w:r>
      <w:r w:rsidRPr="00066425">
        <w:rPr>
          <w:rFonts w:ascii="Arial" w:hAnsi="Arial" w:cs="Arial"/>
        </w:rPr>
        <w:t>choice language to reflect this</w:t>
      </w:r>
      <w:r w:rsidRPr="00066425">
        <w:rPr>
          <w:rFonts w:ascii="Arial" w:hAnsi="Arial" w:cs="Arial"/>
        </w:rPr>
        <w:t>.</w:t>
      </w:r>
      <w:r w:rsidRPr="00066425">
        <w:rPr>
          <w:rFonts w:ascii="Arial" w:hAnsi="Arial" w:cs="Arial"/>
        </w:rPr>
        <w:t xml:space="preserve"> </w:t>
      </w:r>
      <w:r w:rsidRPr="00066425">
        <w:rPr>
          <w:rFonts w:ascii="Arial" w:hAnsi="Arial" w:cs="Arial"/>
        </w:rPr>
        <w:t>Including</w:t>
      </w:r>
      <w:r w:rsidRPr="00066425">
        <w:rPr>
          <w:rFonts w:ascii="Arial" w:hAnsi="Arial" w:cs="Arial"/>
        </w:rPr>
        <w:t>, but not limited to</w:t>
      </w:r>
      <w:r w:rsidRPr="00066425">
        <w:rPr>
          <w:rFonts w:ascii="Arial" w:hAnsi="Arial" w:cs="Arial"/>
        </w:rPr>
        <w:t>:</w:t>
      </w:r>
      <w:r w:rsidRPr="00066425">
        <w:rPr>
          <w:rFonts w:ascii="Arial" w:hAnsi="Arial" w:cs="Arial"/>
        </w:rPr>
        <w:t xml:space="preserve"> replacing </w:t>
      </w:r>
      <w:r w:rsidRPr="00066425">
        <w:rPr>
          <w:rFonts w:ascii="Arial" w:hAnsi="Arial" w:cs="Arial"/>
        </w:rPr>
        <w:t>military linked terminology such as “</w:t>
      </w:r>
      <w:r w:rsidRPr="00066425">
        <w:rPr>
          <w:rFonts w:ascii="Arial" w:hAnsi="Arial" w:cs="Arial"/>
          <w:i/>
          <w:iCs/>
        </w:rPr>
        <w:t>warfare</w:t>
      </w:r>
      <w:r w:rsidRPr="00066425">
        <w:rPr>
          <w:rFonts w:ascii="Arial" w:hAnsi="Arial" w:cs="Arial"/>
        </w:rPr>
        <w:t xml:space="preserve">” to </w:t>
      </w:r>
      <w:r w:rsidRPr="00066425">
        <w:rPr>
          <w:rFonts w:ascii="Arial" w:hAnsi="Arial" w:cs="Arial"/>
        </w:rPr>
        <w:t>more inclusive</w:t>
      </w:r>
      <w:r w:rsidRPr="00066425">
        <w:rPr>
          <w:rFonts w:ascii="Arial" w:hAnsi="Arial" w:cs="Arial"/>
        </w:rPr>
        <w:t xml:space="preserve"> </w:t>
      </w:r>
      <w:r w:rsidRPr="00066425">
        <w:rPr>
          <w:rFonts w:ascii="Arial" w:hAnsi="Arial" w:cs="Arial"/>
        </w:rPr>
        <w:t>language</w:t>
      </w:r>
      <w:r w:rsidRPr="00066425">
        <w:rPr>
          <w:rFonts w:ascii="Arial" w:hAnsi="Arial" w:cs="Arial"/>
        </w:rPr>
        <w:t xml:space="preserve"> in recognition of the broad church of stakeholder departments</w:t>
      </w:r>
      <w:r w:rsidRPr="00066425">
        <w:rPr>
          <w:rFonts w:ascii="Arial" w:hAnsi="Arial" w:cs="Arial"/>
        </w:rPr>
        <w:t xml:space="preserve"> involved</w:t>
      </w:r>
      <w:r w:rsidRPr="00066425">
        <w:rPr>
          <w:rFonts w:ascii="Arial" w:hAnsi="Arial" w:cs="Arial"/>
        </w:rPr>
        <w:t>; a</w:t>
      </w:r>
      <w:r w:rsidRPr="00066425">
        <w:rPr>
          <w:rFonts w:ascii="Arial" w:hAnsi="Arial" w:cs="Arial"/>
        </w:rPr>
        <w:t>nd/o</w:t>
      </w:r>
      <w:r w:rsidRPr="00066425">
        <w:rPr>
          <w:rFonts w:ascii="Arial" w:hAnsi="Arial" w:cs="Arial"/>
        </w:rPr>
        <w:t xml:space="preserve">r, </w:t>
      </w:r>
      <w:r w:rsidRPr="00066425">
        <w:rPr>
          <w:rFonts w:ascii="Arial" w:hAnsi="Arial" w:cs="Arial"/>
        </w:rPr>
        <w:t xml:space="preserve">clearly </w:t>
      </w:r>
      <w:r w:rsidRPr="00066425">
        <w:rPr>
          <w:rFonts w:ascii="Arial" w:hAnsi="Arial" w:cs="Arial"/>
        </w:rPr>
        <w:t>bounding the use of the term</w:t>
      </w:r>
      <w:r w:rsidRPr="00066425">
        <w:rPr>
          <w:rFonts w:ascii="Arial" w:hAnsi="Arial" w:cs="Arial"/>
        </w:rPr>
        <w:t>s such as</w:t>
      </w:r>
      <w:r w:rsidRPr="00066425">
        <w:rPr>
          <w:rFonts w:ascii="Arial" w:hAnsi="Arial" w:cs="Arial"/>
        </w:rPr>
        <w:t xml:space="preserve"> “</w:t>
      </w:r>
      <w:r w:rsidRPr="00066425">
        <w:rPr>
          <w:rFonts w:ascii="Arial" w:hAnsi="Arial" w:cs="Arial"/>
          <w:i/>
          <w:iCs/>
        </w:rPr>
        <w:t>Seabed Warfare</w:t>
      </w:r>
      <w:r w:rsidRPr="00066425">
        <w:rPr>
          <w:rFonts w:ascii="Arial" w:hAnsi="Arial" w:cs="Arial"/>
        </w:rPr>
        <w:t xml:space="preserve">” exclusively </w:t>
      </w:r>
      <w:r w:rsidRPr="00066425">
        <w:rPr>
          <w:rFonts w:ascii="Arial" w:hAnsi="Arial" w:cs="Arial"/>
        </w:rPr>
        <w:t>to the</w:t>
      </w:r>
      <w:r w:rsidRPr="00066425">
        <w:rPr>
          <w:rFonts w:ascii="Arial" w:hAnsi="Arial" w:cs="Arial"/>
        </w:rPr>
        <w:t xml:space="preserve"> </w:t>
      </w:r>
      <w:r w:rsidRPr="00066425">
        <w:rPr>
          <w:rFonts w:ascii="Arial" w:hAnsi="Arial" w:cs="Arial"/>
        </w:rPr>
        <w:t>operational components of the collective response</w:t>
      </w:r>
      <w:r w:rsidRPr="00066425">
        <w:rPr>
          <w:rFonts w:ascii="Arial" w:hAnsi="Arial" w:cs="Arial"/>
        </w:rPr>
        <w:t xml:space="preserve"> to </w:t>
      </w:r>
      <w:r w:rsidRPr="00066425">
        <w:rPr>
          <w:rFonts w:ascii="Arial" w:hAnsi="Arial" w:cs="Arial"/>
        </w:rPr>
        <w:t xml:space="preserve">which they apply, in order to </w:t>
      </w:r>
      <w:r w:rsidRPr="00066425">
        <w:rPr>
          <w:rFonts w:ascii="Arial" w:hAnsi="Arial" w:cs="Arial"/>
        </w:rPr>
        <w:t>avoid instances of parallax and ambiguity.</w:t>
      </w:r>
    </w:p>
    <w:p w:rsidR="00000000" w:rsidRPr="00066425" w:rsidP="0098221E">
      <w:pPr>
        <w:rPr>
          <w:rFonts w:ascii="Arial" w:hAnsi="Arial" w:cs="Arial"/>
        </w:rPr>
      </w:pPr>
      <w:r w:rsidRPr="00066425">
        <w:rPr>
          <w:rFonts w:ascii="Arial" w:hAnsi="Arial" w:cs="Arial"/>
        </w:rPr>
        <w:t xml:space="preserve">Secondly, that </w:t>
      </w:r>
      <w:r w:rsidRPr="00066425">
        <w:rPr>
          <w:rFonts w:ascii="Arial" w:hAnsi="Arial" w:cs="Arial"/>
        </w:rPr>
        <w:t>this “</w:t>
      </w:r>
      <w:r w:rsidRPr="00066425">
        <w:rPr>
          <w:rFonts w:ascii="Arial" w:hAnsi="Arial" w:cs="Arial"/>
          <w:i/>
          <w:iCs/>
        </w:rPr>
        <w:t>whole of system</w:t>
      </w:r>
      <w:r w:rsidRPr="00066425">
        <w:rPr>
          <w:rFonts w:ascii="Arial" w:hAnsi="Arial" w:cs="Arial"/>
        </w:rPr>
        <w:t>”</w:t>
      </w:r>
      <w:r w:rsidRPr="00066425">
        <w:rPr>
          <w:rFonts w:ascii="Arial" w:hAnsi="Arial" w:cs="Arial"/>
        </w:rPr>
        <w:t xml:space="preserve"> strategy should be complimented by the</w:t>
      </w:r>
      <w:r w:rsidRPr="00066425">
        <w:rPr>
          <w:rFonts w:ascii="Arial" w:hAnsi="Arial" w:cs="Arial"/>
        </w:rPr>
        <w:t xml:space="preserve"> parallel</w:t>
      </w:r>
      <w:r w:rsidRPr="00066425">
        <w:rPr>
          <w:rFonts w:ascii="Arial" w:hAnsi="Arial" w:cs="Arial"/>
        </w:rPr>
        <w:t xml:space="preserve"> </w:t>
      </w:r>
      <w:r w:rsidRPr="00066425">
        <w:rPr>
          <w:rFonts w:ascii="Arial" w:hAnsi="Arial" w:cs="Arial"/>
        </w:rPr>
        <w:t xml:space="preserve">creation </w:t>
      </w:r>
      <w:r w:rsidRPr="00066425">
        <w:rPr>
          <w:rFonts w:ascii="Arial" w:hAnsi="Arial" w:cs="Arial"/>
        </w:rPr>
        <w:t xml:space="preserve">of a </w:t>
      </w:r>
      <w:r w:rsidRPr="00066425">
        <w:rPr>
          <w:rFonts w:ascii="Arial" w:hAnsi="Arial" w:cs="Arial"/>
        </w:rPr>
        <w:t xml:space="preserve">United Kingdom Seabed Protection Portfolio </w:t>
      </w:r>
      <w:r w:rsidRPr="00066425">
        <w:rPr>
          <w:rFonts w:ascii="Arial" w:hAnsi="Arial" w:cs="Arial"/>
        </w:rPr>
        <w:t xml:space="preserve">through </w:t>
      </w:r>
      <w:r w:rsidRPr="00066425">
        <w:rPr>
          <w:rFonts w:ascii="Arial" w:hAnsi="Arial" w:cs="Arial"/>
        </w:rPr>
        <w:t xml:space="preserve">the </w:t>
      </w:r>
      <w:r w:rsidRPr="00066425">
        <w:rPr>
          <w:rFonts w:ascii="Arial" w:hAnsi="Arial" w:cs="Arial"/>
        </w:rPr>
        <w:t xml:space="preserve">adoption and application of a programmatic </w:t>
      </w:r>
      <w:r w:rsidRPr="00066425">
        <w:rPr>
          <w:rFonts w:ascii="Arial" w:hAnsi="Arial" w:cs="Arial"/>
        </w:rPr>
        <w:t>approach</w:t>
      </w:r>
      <w:r w:rsidRPr="00066425">
        <w:rPr>
          <w:rFonts w:ascii="Arial" w:hAnsi="Arial" w:cs="Arial"/>
        </w:rPr>
        <w:t xml:space="preserve">, </w:t>
      </w:r>
      <w:r w:rsidRPr="00066425">
        <w:rPr>
          <w:rFonts w:ascii="Arial" w:hAnsi="Arial" w:cs="Arial"/>
        </w:rPr>
        <w:t xml:space="preserve">drawing on </w:t>
      </w:r>
      <w:r w:rsidRPr="00066425">
        <w:rPr>
          <w:rFonts w:ascii="Arial" w:hAnsi="Arial" w:cs="Arial"/>
        </w:rPr>
        <w:t xml:space="preserve">the </w:t>
      </w:r>
      <w:r w:rsidRPr="00066425">
        <w:rPr>
          <w:rFonts w:ascii="Arial" w:hAnsi="Arial" w:cs="Arial"/>
        </w:rPr>
        <w:t xml:space="preserve">UK’s extensive and </w:t>
      </w:r>
      <w:r w:rsidRPr="00066425">
        <w:rPr>
          <w:rFonts w:ascii="Arial" w:hAnsi="Arial" w:cs="Arial"/>
        </w:rPr>
        <w:t xml:space="preserve">highly successful heritage in project, programme, and portfolio management </w:t>
      </w:r>
      <w:r w:rsidRPr="00066425">
        <w:rPr>
          <w:rFonts w:ascii="Arial" w:hAnsi="Arial" w:cs="Arial"/>
        </w:rPr>
        <w:t>(P3M)</w:t>
      </w:r>
      <w:r w:rsidRPr="00066425">
        <w:rPr>
          <w:rFonts w:ascii="Arial" w:hAnsi="Arial" w:cs="Arial"/>
        </w:rPr>
        <w:t>.</w:t>
      </w:r>
    </w:p>
    <w:p w:rsidR="00000000" w:rsidRPr="00066425" w:rsidP="0098221E">
      <w:pPr>
        <w:rPr>
          <w:rFonts w:ascii="Arial" w:hAnsi="Arial" w:cs="Arial"/>
        </w:rPr>
      </w:pPr>
      <w:r w:rsidRPr="00066425">
        <w:rPr>
          <w:rFonts w:ascii="Arial" w:hAnsi="Arial" w:cs="Arial"/>
        </w:rPr>
        <w:t>T</w:t>
      </w:r>
      <w:r w:rsidRPr="00066425">
        <w:rPr>
          <w:rFonts w:ascii="Arial" w:hAnsi="Arial" w:cs="Arial"/>
        </w:rPr>
        <w:t xml:space="preserve">his may then </w:t>
      </w:r>
      <w:r w:rsidRPr="00066425">
        <w:rPr>
          <w:rFonts w:ascii="Arial" w:hAnsi="Arial" w:cs="Arial"/>
        </w:rPr>
        <w:t xml:space="preserve">be </w:t>
      </w:r>
      <w:r w:rsidRPr="00066425">
        <w:rPr>
          <w:rFonts w:ascii="Arial" w:hAnsi="Arial" w:cs="Arial"/>
        </w:rPr>
        <w:t>used</w:t>
      </w:r>
      <w:r w:rsidRPr="00066425">
        <w:rPr>
          <w:rFonts w:ascii="Arial" w:hAnsi="Arial" w:cs="Arial"/>
        </w:rPr>
        <w:t xml:space="preserve"> </w:t>
      </w:r>
      <w:r w:rsidRPr="00066425">
        <w:rPr>
          <w:rFonts w:ascii="Arial" w:hAnsi="Arial" w:cs="Arial"/>
        </w:rPr>
        <w:t xml:space="preserve">map the </w:t>
      </w:r>
      <w:r w:rsidRPr="00066425">
        <w:rPr>
          <w:rFonts w:ascii="Arial" w:hAnsi="Arial" w:cs="Arial"/>
        </w:rPr>
        <w:t xml:space="preserve">military and </w:t>
      </w:r>
      <w:r w:rsidRPr="00066425">
        <w:rPr>
          <w:rFonts w:ascii="Arial" w:hAnsi="Arial" w:cs="Arial"/>
        </w:rPr>
        <w:t xml:space="preserve">civil </w:t>
      </w:r>
      <w:r w:rsidRPr="00066425">
        <w:rPr>
          <w:rFonts w:ascii="Arial" w:hAnsi="Arial" w:cs="Arial"/>
        </w:rPr>
        <w:t xml:space="preserve">programmatic </w:t>
      </w:r>
      <w:r w:rsidRPr="00066425">
        <w:rPr>
          <w:rFonts w:ascii="Arial" w:hAnsi="Arial" w:cs="Arial"/>
        </w:rPr>
        <w:t xml:space="preserve">components of the </w:t>
      </w:r>
      <w:r w:rsidRPr="00066425">
        <w:rPr>
          <w:rFonts w:ascii="Arial" w:hAnsi="Arial" w:cs="Arial"/>
        </w:rPr>
        <w:t>collective response through the employment</w:t>
      </w:r>
      <w:r w:rsidRPr="00066425">
        <w:rPr>
          <w:rFonts w:ascii="Arial" w:hAnsi="Arial" w:cs="Arial"/>
        </w:rPr>
        <w:t xml:space="preserve"> of a formalised work breakdown structure (WBS), such as </w:t>
      </w:r>
      <w:r w:rsidRPr="00066425">
        <w:rPr>
          <w:rFonts w:ascii="Arial" w:hAnsi="Arial" w:cs="Arial"/>
        </w:rPr>
        <w:t xml:space="preserve">below in Figure (2) as an </w:t>
      </w:r>
      <w:r w:rsidRPr="00066425">
        <w:rPr>
          <w:rFonts w:ascii="Arial" w:hAnsi="Arial" w:cs="Arial"/>
        </w:rPr>
        <w:t>illustrative</w:t>
      </w:r>
      <w:r w:rsidRPr="00066425">
        <w:rPr>
          <w:rFonts w:ascii="Arial" w:hAnsi="Arial" w:cs="Arial"/>
        </w:rPr>
        <w:t xml:space="preserve"> example</w:t>
      </w:r>
      <w:r w:rsidRPr="00066425">
        <w:rPr>
          <w:rFonts w:ascii="Arial" w:hAnsi="Arial" w:cs="Arial"/>
        </w:rPr>
        <w:t>:</w:t>
      </w:r>
    </w:p>
    <w:p w:rsidR="00000000" w:rsidRPr="00066425" w:rsidP="00C73217">
      <w:pPr>
        <w:keepNext/>
        <w:jc w:val="center"/>
        <w:rPr>
          <w:rFonts w:ascii="Arial" w:hAnsi="Arial" w:cs="Arial"/>
        </w:rPr>
      </w:pPr>
      <w:r w:rsidRPr="00066425">
        <w:rPr>
          <w:rFonts w:ascii="Arial" w:hAnsi="Arial" w:cs="Arial"/>
          <w:noProof/>
        </w:rPr>
        <w:drawing>
          <wp:inline distT="0" distB="0" distL="0" distR="0">
            <wp:extent cx="6120130" cy="2261235"/>
            <wp:effectExtent l="0" t="0" r="0" b="5715"/>
            <wp:docPr id="2101361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361141" name=""/>
                    <pic:cNvPicPr/>
                  </pic:nvPicPr>
                  <pic:blipFill>
                    <a:blip xmlns:r="http://schemas.openxmlformats.org/officeDocument/2006/relationships" r:embed="rId7"/>
                    <a:stretch>
                      <a:fillRect/>
                    </a:stretch>
                  </pic:blipFill>
                  <pic:spPr>
                    <a:xfrm>
                      <a:off x="0" y="0"/>
                      <a:ext cx="6120130" cy="2261235"/>
                    </a:xfrm>
                    <a:prstGeom prst="rect">
                      <a:avLst/>
                    </a:prstGeom>
                  </pic:spPr>
                </pic:pic>
              </a:graphicData>
            </a:graphic>
          </wp:inline>
        </w:drawing>
      </w:r>
    </w:p>
    <w:p w:rsidR="00000000" w:rsidRPr="00066425" w:rsidP="007F13A9">
      <w:pPr>
        <w:pStyle w:val="Caption"/>
        <w:jc w:val="center"/>
        <w:rPr>
          <w:rFonts w:ascii="Arial" w:hAnsi="Arial" w:cs="Arial"/>
        </w:rPr>
      </w:pPr>
      <w:r w:rsidRPr="00066425">
        <w:rPr>
          <w:rFonts w:ascii="Arial" w:hAnsi="Arial" w:cs="Arial"/>
          <w:color w:val="auto"/>
        </w:rPr>
        <w:t xml:space="preserve">Figure </w:t>
      </w:r>
      <w:r w:rsidRPr="00066425">
        <w:rPr>
          <w:rFonts w:ascii="Arial" w:hAnsi="Arial" w:cs="Arial"/>
          <w:color w:val="auto"/>
        </w:rPr>
        <w:fldChar w:fldCharType="begin"/>
      </w:r>
      <w:r w:rsidRPr="00066425">
        <w:rPr>
          <w:rFonts w:ascii="Arial" w:hAnsi="Arial" w:cs="Arial"/>
          <w:color w:val="auto"/>
        </w:rPr>
        <w:instrText xml:space="preserve"> SEQ Figure \* ARABIC </w:instrText>
      </w:r>
      <w:r w:rsidRPr="00066425">
        <w:rPr>
          <w:rFonts w:ascii="Arial" w:hAnsi="Arial" w:cs="Arial"/>
          <w:color w:val="auto"/>
        </w:rPr>
        <w:fldChar w:fldCharType="separate"/>
      </w:r>
      <w:r w:rsidRPr="00066425">
        <w:rPr>
          <w:rFonts w:ascii="Arial" w:hAnsi="Arial" w:cs="Arial"/>
          <w:noProof/>
          <w:color w:val="auto"/>
        </w:rPr>
        <w:t>2</w:t>
      </w:r>
      <w:r w:rsidRPr="00066425">
        <w:rPr>
          <w:rFonts w:ascii="Arial" w:hAnsi="Arial" w:cs="Arial"/>
          <w:color w:val="auto"/>
        </w:rPr>
        <w:fldChar w:fldCharType="end"/>
      </w:r>
      <w:r w:rsidRPr="00066425">
        <w:rPr>
          <w:rFonts w:ascii="Arial" w:hAnsi="Arial" w:cs="Arial"/>
          <w:color w:val="auto"/>
        </w:rPr>
        <w:t>: UK Seabed Protection Portfolio.</w:t>
      </w:r>
    </w:p>
    <w:p w:rsidR="00000000" w:rsidRPr="00066425" w:rsidP="0098221E">
      <w:pPr>
        <w:rPr>
          <w:rFonts w:ascii="Arial" w:hAnsi="Arial" w:cs="Arial"/>
        </w:rPr>
      </w:pPr>
      <w:r w:rsidRPr="00066425">
        <w:rPr>
          <w:rFonts w:ascii="Arial" w:hAnsi="Arial" w:cs="Arial"/>
        </w:rPr>
        <w:t xml:space="preserve">The </w:t>
      </w:r>
      <w:r w:rsidRPr="00066425">
        <w:rPr>
          <w:rFonts w:ascii="Arial" w:hAnsi="Arial" w:cs="Arial"/>
        </w:rPr>
        <w:t xml:space="preserve">author believes the adoption of </w:t>
      </w:r>
      <w:r w:rsidRPr="00066425">
        <w:rPr>
          <w:rFonts w:ascii="Arial" w:hAnsi="Arial" w:cs="Arial"/>
        </w:rPr>
        <w:t xml:space="preserve">this as approach </w:t>
      </w:r>
      <w:r w:rsidRPr="00066425">
        <w:rPr>
          <w:rFonts w:ascii="Arial" w:hAnsi="Arial" w:cs="Arial"/>
        </w:rPr>
        <w:t xml:space="preserve">would have myriad benefits. Firstly, a </w:t>
      </w:r>
      <w:r w:rsidRPr="00066425">
        <w:rPr>
          <w:rFonts w:ascii="Arial" w:hAnsi="Arial" w:cs="Arial"/>
        </w:rPr>
        <w:t>directorate to act as a sing</w:t>
      </w:r>
      <w:r w:rsidRPr="00066425">
        <w:rPr>
          <w:rFonts w:ascii="Arial" w:hAnsi="Arial" w:cs="Arial"/>
        </w:rPr>
        <w:t>ular</w:t>
      </w:r>
      <w:r w:rsidRPr="00066425">
        <w:rPr>
          <w:rFonts w:ascii="Arial" w:hAnsi="Arial" w:cs="Arial"/>
        </w:rPr>
        <w:t xml:space="preserve"> point of authority for the oversight and </w:t>
      </w:r>
      <w:r w:rsidRPr="00066425">
        <w:rPr>
          <w:rFonts w:ascii="Arial" w:hAnsi="Arial" w:cs="Arial"/>
        </w:rPr>
        <w:t>execution</w:t>
      </w:r>
      <w:r w:rsidRPr="00066425">
        <w:rPr>
          <w:rFonts w:ascii="Arial" w:hAnsi="Arial" w:cs="Arial"/>
        </w:rPr>
        <w:t xml:space="preserve"> of the proposed holistic strategy</w:t>
      </w:r>
      <w:r w:rsidRPr="00066425">
        <w:rPr>
          <w:rFonts w:ascii="Arial" w:hAnsi="Arial" w:cs="Arial"/>
        </w:rPr>
        <w:t xml:space="preserve"> across stakeholder government departments</w:t>
      </w:r>
      <w:r w:rsidRPr="00066425">
        <w:rPr>
          <w:rFonts w:ascii="Arial" w:hAnsi="Arial" w:cs="Arial"/>
        </w:rPr>
        <w:t>,</w:t>
      </w:r>
      <w:r w:rsidRPr="00066425">
        <w:rPr>
          <w:rFonts w:ascii="Arial" w:hAnsi="Arial" w:cs="Arial"/>
        </w:rPr>
        <w:t xml:space="preserve"> including providing clarity over which departments hold primacy and jurisdiction over which components of the collective response</w:t>
      </w:r>
      <w:r w:rsidRPr="00066425">
        <w:rPr>
          <w:rFonts w:ascii="Arial" w:hAnsi="Arial" w:cs="Arial"/>
        </w:rPr>
        <w:t xml:space="preserve">, </w:t>
      </w:r>
      <w:r w:rsidRPr="00066425">
        <w:rPr>
          <w:rFonts w:ascii="Arial" w:hAnsi="Arial" w:cs="Arial"/>
        </w:rPr>
        <w:t xml:space="preserve">whilst simultaneously providing </w:t>
      </w:r>
      <w:r w:rsidRPr="00066425">
        <w:rPr>
          <w:rFonts w:ascii="Arial" w:hAnsi="Arial" w:cs="Arial"/>
        </w:rPr>
        <w:t>a</w:t>
      </w:r>
      <w:r w:rsidRPr="00066425">
        <w:rPr>
          <w:rFonts w:ascii="Arial" w:hAnsi="Arial" w:cs="Arial"/>
        </w:rPr>
        <w:t xml:space="preserve"> focal point </w:t>
      </w:r>
      <w:r w:rsidRPr="00066425">
        <w:rPr>
          <w:rFonts w:ascii="Arial" w:hAnsi="Arial" w:cs="Arial"/>
        </w:rPr>
        <w:t>and interface for coordination with internation partners.</w:t>
      </w:r>
    </w:p>
    <w:p w:rsidR="00000000" w:rsidRPr="00066425" w:rsidP="0098221E">
      <w:pPr>
        <w:rPr>
          <w:rFonts w:ascii="Arial" w:hAnsi="Arial" w:cs="Arial"/>
        </w:rPr>
      </w:pPr>
      <w:r w:rsidRPr="00066425">
        <w:rPr>
          <w:rFonts w:ascii="Arial" w:hAnsi="Arial" w:cs="Arial"/>
        </w:rPr>
        <w:t xml:space="preserve">Furthermore, the </w:t>
      </w:r>
      <w:r w:rsidRPr="00066425">
        <w:rPr>
          <w:rFonts w:ascii="Arial" w:hAnsi="Arial" w:cs="Arial"/>
        </w:rPr>
        <w:t xml:space="preserve">application of </w:t>
      </w:r>
      <w:r w:rsidRPr="00066425">
        <w:rPr>
          <w:rFonts w:ascii="Arial" w:hAnsi="Arial" w:cs="Arial"/>
        </w:rPr>
        <w:t xml:space="preserve">governance and </w:t>
      </w:r>
      <w:r w:rsidRPr="00066425">
        <w:rPr>
          <w:rFonts w:ascii="Arial" w:hAnsi="Arial" w:cs="Arial"/>
        </w:rPr>
        <w:t xml:space="preserve">stakeholder mapping/management </w:t>
      </w:r>
      <w:r w:rsidRPr="00066425">
        <w:rPr>
          <w:rFonts w:ascii="Arial" w:hAnsi="Arial" w:cs="Arial"/>
        </w:rPr>
        <w:t>would improve collective understanding across government, academic, and industrial partners</w:t>
      </w:r>
      <w:r w:rsidRPr="00066425">
        <w:rPr>
          <w:rFonts w:ascii="Arial" w:hAnsi="Arial" w:cs="Arial"/>
        </w:rPr>
        <w:t>;</w:t>
      </w:r>
      <w:r w:rsidRPr="00066425">
        <w:rPr>
          <w:rFonts w:ascii="Arial" w:hAnsi="Arial" w:cs="Arial"/>
        </w:rPr>
        <w:t xml:space="preserve"> </w:t>
      </w:r>
      <w:r w:rsidRPr="00066425">
        <w:rPr>
          <w:rFonts w:ascii="Arial" w:hAnsi="Arial" w:cs="Arial"/>
        </w:rPr>
        <w:t xml:space="preserve">help </w:t>
      </w:r>
      <w:r w:rsidRPr="00066425">
        <w:rPr>
          <w:rFonts w:ascii="Arial" w:hAnsi="Arial" w:cs="Arial"/>
        </w:rPr>
        <w:t>i</w:t>
      </w:r>
      <w:r w:rsidRPr="00066425">
        <w:rPr>
          <w:rFonts w:ascii="Arial" w:hAnsi="Arial" w:cs="Arial"/>
        </w:rPr>
        <w:t xml:space="preserve">dentify </w:t>
      </w:r>
      <w:r w:rsidRPr="00066425">
        <w:rPr>
          <w:rFonts w:ascii="Arial" w:hAnsi="Arial" w:cs="Arial"/>
        </w:rPr>
        <w:t>opportunities</w:t>
      </w:r>
      <w:r w:rsidRPr="00066425">
        <w:rPr>
          <w:rFonts w:ascii="Arial" w:hAnsi="Arial" w:cs="Arial"/>
        </w:rPr>
        <w:t xml:space="preserve"> for collaboration</w:t>
      </w:r>
      <w:r w:rsidRPr="00066425">
        <w:rPr>
          <w:rFonts w:ascii="Arial" w:hAnsi="Arial" w:cs="Arial"/>
        </w:rPr>
        <w:t>;</w:t>
      </w:r>
      <w:r w:rsidRPr="00066425">
        <w:rPr>
          <w:rFonts w:ascii="Arial" w:hAnsi="Arial" w:cs="Arial"/>
        </w:rPr>
        <w:t xml:space="preserve"> </w:t>
      </w:r>
      <w:r w:rsidRPr="00066425">
        <w:rPr>
          <w:rFonts w:ascii="Arial" w:hAnsi="Arial" w:cs="Arial"/>
        </w:rPr>
        <w:t xml:space="preserve">reduce the possibility of </w:t>
      </w:r>
      <w:r w:rsidRPr="00066425">
        <w:rPr>
          <w:rFonts w:ascii="Arial" w:hAnsi="Arial" w:cs="Arial"/>
        </w:rPr>
        <w:t>duplicatio</w:t>
      </w:r>
      <w:r w:rsidRPr="00066425">
        <w:rPr>
          <w:rFonts w:ascii="Arial" w:hAnsi="Arial" w:cs="Arial"/>
        </w:rPr>
        <w:t>n</w:t>
      </w:r>
      <w:r w:rsidRPr="00066425">
        <w:rPr>
          <w:rFonts w:ascii="Arial" w:hAnsi="Arial" w:cs="Arial"/>
        </w:rPr>
        <w:t xml:space="preserve"> or </w:t>
      </w:r>
      <w:r w:rsidRPr="00066425">
        <w:rPr>
          <w:rFonts w:ascii="Arial" w:hAnsi="Arial" w:cs="Arial"/>
        </w:rPr>
        <w:t>contradiction</w:t>
      </w:r>
      <w:r w:rsidRPr="00066425">
        <w:rPr>
          <w:rFonts w:ascii="Arial" w:hAnsi="Arial" w:cs="Arial"/>
        </w:rPr>
        <w:t>;</w:t>
      </w:r>
      <w:r w:rsidRPr="00066425">
        <w:rPr>
          <w:rFonts w:ascii="Arial" w:hAnsi="Arial" w:cs="Arial"/>
        </w:rPr>
        <w:t xml:space="preserve"> and i</w:t>
      </w:r>
      <w:r w:rsidRPr="00066425">
        <w:rPr>
          <w:rFonts w:ascii="Arial" w:hAnsi="Arial" w:cs="Arial"/>
        </w:rPr>
        <w:t>ncrease efficiency.</w:t>
      </w:r>
    </w:p>
    <w:p w:rsidR="00000000" w:rsidRPr="00066425" w:rsidP="0098221E">
      <w:pPr>
        <w:rPr>
          <w:rFonts w:ascii="Arial" w:hAnsi="Arial" w:cs="Arial"/>
        </w:rPr>
      </w:pPr>
      <w:r w:rsidRPr="00066425">
        <w:rPr>
          <w:rFonts w:ascii="Arial" w:hAnsi="Arial" w:cs="Arial"/>
        </w:rPr>
        <w:t xml:space="preserve">Such an approach would not be without </w:t>
      </w:r>
      <w:r w:rsidRPr="00066425">
        <w:rPr>
          <w:rFonts w:ascii="Arial" w:hAnsi="Arial" w:cs="Arial"/>
        </w:rPr>
        <w:t xml:space="preserve">challenges, notwithstanding the sensitive </w:t>
      </w:r>
      <w:r w:rsidRPr="00066425">
        <w:rPr>
          <w:rFonts w:ascii="Arial" w:hAnsi="Arial" w:cs="Arial"/>
        </w:rPr>
        <w:t xml:space="preserve">nature and security considerations </w:t>
      </w:r>
      <w:r w:rsidRPr="00066425">
        <w:rPr>
          <w:rFonts w:ascii="Arial" w:hAnsi="Arial" w:cs="Arial"/>
        </w:rPr>
        <w:t xml:space="preserve">involved with such an undertaking, but </w:t>
      </w:r>
      <w:r w:rsidRPr="00066425">
        <w:rPr>
          <w:rFonts w:ascii="Arial" w:hAnsi="Arial" w:cs="Arial"/>
        </w:rPr>
        <w:t xml:space="preserve">with </w:t>
      </w:r>
      <w:r w:rsidRPr="00066425">
        <w:rPr>
          <w:rFonts w:ascii="Arial" w:hAnsi="Arial" w:cs="Arial"/>
        </w:rPr>
        <w:t xml:space="preserve">consideration for these and </w:t>
      </w:r>
      <w:r w:rsidRPr="00066425">
        <w:rPr>
          <w:rFonts w:ascii="Arial" w:hAnsi="Arial" w:cs="Arial"/>
        </w:rPr>
        <w:t>application of considered managemen</w:t>
      </w:r>
      <w:r w:rsidRPr="00066425">
        <w:rPr>
          <w:rFonts w:ascii="Arial" w:hAnsi="Arial" w:cs="Arial"/>
        </w:rPr>
        <w:t>t</w:t>
      </w:r>
      <w:r w:rsidRPr="00066425">
        <w:rPr>
          <w:rFonts w:ascii="Arial" w:hAnsi="Arial" w:cs="Arial"/>
        </w:rPr>
        <w:t xml:space="preserve"> and systems leadership,</w:t>
      </w:r>
      <w:r w:rsidRPr="00066425">
        <w:rPr>
          <w:rFonts w:ascii="Arial" w:hAnsi="Arial" w:cs="Arial"/>
        </w:rPr>
        <w:t xml:space="preserve"> </w:t>
      </w:r>
      <w:r w:rsidRPr="00066425">
        <w:rPr>
          <w:rFonts w:ascii="Arial" w:hAnsi="Arial" w:cs="Arial"/>
        </w:rPr>
        <w:t>the author</w:t>
      </w:r>
      <w:r w:rsidRPr="00066425">
        <w:rPr>
          <w:rFonts w:ascii="Arial" w:hAnsi="Arial" w:cs="Arial"/>
        </w:rPr>
        <w:t xml:space="preserve"> believes these can be overcome and</w:t>
      </w:r>
      <w:r w:rsidRPr="00066425">
        <w:rPr>
          <w:rFonts w:ascii="Arial" w:hAnsi="Arial" w:cs="Arial"/>
        </w:rPr>
        <w:t xml:space="preserve"> commends </w:t>
      </w:r>
      <w:r w:rsidRPr="00066425">
        <w:rPr>
          <w:rFonts w:ascii="Arial" w:hAnsi="Arial" w:cs="Arial"/>
        </w:rPr>
        <w:t xml:space="preserve">this </w:t>
      </w:r>
      <w:r w:rsidRPr="00066425">
        <w:rPr>
          <w:rFonts w:ascii="Arial" w:hAnsi="Arial" w:cs="Arial"/>
        </w:rPr>
        <w:t xml:space="preserve">as a constructive </w:t>
      </w:r>
      <w:r w:rsidRPr="00066425">
        <w:rPr>
          <w:rFonts w:ascii="Arial" w:hAnsi="Arial" w:cs="Arial"/>
        </w:rPr>
        <w:t>proposal to the committee</w:t>
      </w:r>
      <w:r w:rsidRPr="00066425">
        <w:rPr>
          <w:rFonts w:ascii="Arial" w:hAnsi="Arial" w:cs="Arial"/>
        </w:rPr>
        <w:t>’s consideration.</w:t>
      </w:r>
    </w:p>
    <w:p w:rsidR="00000000" w:rsidRPr="00066425" w:rsidP="0098221E">
      <w:pPr>
        <w:rPr>
          <w:rFonts w:ascii="Arial" w:hAnsi="Arial" w:cs="Arial"/>
          <w:i/>
          <w:iCs/>
        </w:rPr>
      </w:pPr>
      <w:r w:rsidRPr="00066425">
        <w:rPr>
          <w:rFonts w:ascii="Arial" w:hAnsi="Arial" w:cs="Arial"/>
          <w:b/>
          <w:bCs/>
        </w:rPr>
        <w:t>Section 2:</w:t>
      </w:r>
      <w:r w:rsidRPr="00066425">
        <w:rPr>
          <w:rFonts w:ascii="Arial" w:hAnsi="Arial" w:cs="Arial"/>
          <w:b/>
          <w:bCs/>
        </w:rPr>
        <w:t xml:space="preserve"> </w:t>
      </w:r>
      <w:r w:rsidRPr="00066425">
        <w:rPr>
          <w:rFonts w:ascii="Arial" w:hAnsi="Arial" w:cs="Arial"/>
          <w:b/>
          <w:bCs/>
          <w:i/>
          <w:iCs/>
        </w:rPr>
        <w:t>Asymmetry, Attribution, and Efficiency</w:t>
      </w:r>
    </w:p>
    <w:p w:rsidR="00000000" w:rsidRPr="00066425" w:rsidP="00FC4392">
      <w:pPr>
        <w:rPr>
          <w:rFonts w:ascii="Arial" w:hAnsi="Arial" w:cs="Arial"/>
        </w:rPr>
      </w:pPr>
      <w:r w:rsidRPr="00066425">
        <w:rPr>
          <w:rFonts w:ascii="Arial" w:hAnsi="Arial" w:cs="Arial"/>
        </w:rPr>
        <w:t xml:space="preserve">This section pertains to discussions relating to Question </w:t>
      </w:r>
      <w:r w:rsidRPr="00066425">
        <w:rPr>
          <w:rFonts w:ascii="Arial" w:hAnsi="Arial" w:cs="Arial"/>
        </w:rPr>
        <w:t>7 posed by the committee:</w:t>
      </w:r>
    </w:p>
    <w:p w:rsidR="00000000" w:rsidRPr="00066425" w:rsidP="0098221E">
      <w:pPr>
        <w:rPr>
          <w:rFonts w:ascii="Arial" w:hAnsi="Arial" w:cs="Arial"/>
        </w:rPr>
      </w:pPr>
      <w:r w:rsidRPr="00066425">
        <w:rPr>
          <w:rFonts w:ascii="Arial" w:hAnsi="Arial" w:cs="Arial"/>
          <w:i/>
          <w:iCs/>
        </w:rPr>
        <w:t>(</w:t>
      </w:r>
      <w:r w:rsidRPr="00066425">
        <w:rPr>
          <w:rFonts w:ascii="Arial" w:hAnsi="Arial" w:cs="Arial"/>
          <w:i/>
          <w:iCs/>
        </w:rPr>
        <w:t xml:space="preserve">7). </w:t>
      </w:r>
      <w:r w:rsidRPr="00066425">
        <w:rPr>
          <w:rFonts w:ascii="Arial" w:hAnsi="Arial" w:cs="Arial"/>
          <w:i/>
          <w:iCs/>
        </w:rPr>
        <w:t>In the context of limited resources, what is the appropriate balance to strike between enhancing domestic resilience on the one hand, and improving detection and interdiction on the other?</w:t>
      </w:r>
      <w:r w:rsidRPr="00066425">
        <w:rPr>
          <w:rFonts w:ascii="Arial" w:hAnsi="Arial" w:cs="Arial"/>
          <w:i/>
          <w:iCs/>
        </w:rPr>
        <w:t xml:space="preserve"> How should these be accounted for in the Strategic Defence Review, and the Resilience Review?</w:t>
      </w:r>
    </w:p>
    <w:p w:rsidR="00000000" w:rsidRPr="00066425" w:rsidP="0098221E">
      <w:pPr>
        <w:rPr>
          <w:rFonts w:ascii="Arial" w:hAnsi="Arial" w:cs="Arial"/>
        </w:rPr>
      </w:pPr>
      <w:r w:rsidRPr="00066425">
        <w:rPr>
          <w:rFonts w:ascii="Arial" w:hAnsi="Arial" w:cs="Arial"/>
          <w:b/>
          <w:bCs/>
        </w:rPr>
        <w:t>2.1 General Issue</w:t>
      </w:r>
    </w:p>
    <w:p w:rsidR="00000000" w:rsidRPr="00066425" w:rsidP="0098221E">
      <w:pPr>
        <w:rPr>
          <w:rFonts w:ascii="Arial" w:hAnsi="Arial" w:cs="Arial"/>
        </w:rPr>
      </w:pPr>
      <w:r w:rsidRPr="00066425">
        <w:rPr>
          <w:rFonts w:ascii="Arial" w:hAnsi="Arial" w:cs="Arial"/>
        </w:rPr>
        <w:t>Section 2</w:t>
      </w:r>
      <w:r w:rsidRPr="00066425">
        <w:rPr>
          <w:rFonts w:ascii="Arial" w:hAnsi="Arial" w:cs="Arial"/>
        </w:rPr>
        <w:t xml:space="preserve"> responds to </w:t>
      </w:r>
      <w:r w:rsidRPr="00066425">
        <w:rPr>
          <w:rFonts w:ascii="Arial" w:hAnsi="Arial" w:cs="Arial"/>
        </w:rPr>
        <w:t>the</w:t>
      </w:r>
      <w:r w:rsidRPr="00066425">
        <w:rPr>
          <w:rFonts w:ascii="Arial" w:hAnsi="Arial" w:cs="Arial"/>
        </w:rPr>
        <w:t xml:space="preserve"> question posed by</w:t>
      </w:r>
      <w:r w:rsidRPr="00066425">
        <w:rPr>
          <w:rFonts w:ascii="Arial" w:hAnsi="Arial" w:cs="Arial"/>
        </w:rPr>
        <w:t xml:space="preserve"> the committee </w:t>
      </w:r>
      <w:r w:rsidRPr="00066425">
        <w:rPr>
          <w:rFonts w:ascii="Arial" w:hAnsi="Arial" w:cs="Arial"/>
        </w:rPr>
        <w:t xml:space="preserve">through the lens of </w:t>
      </w:r>
      <w:r w:rsidRPr="00066425">
        <w:rPr>
          <w:rFonts w:ascii="Arial" w:hAnsi="Arial" w:cs="Arial"/>
        </w:rPr>
        <w:t>generic context</w:t>
      </w:r>
      <w:r w:rsidRPr="00066425">
        <w:rPr>
          <w:rFonts w:ascii="Arial" w:hAnsi="Arial" w:cs="Arial"/>
        </w:rPr>
        <w:t xml:space="preserve">, suggesting that a polarising view </w:t>
      </w:r>
      <w:r w:rsidRPr="00066425">
        <w:rPr>
          <w:rFonts w:ascii="Arial" w:hAnsi="Arial" w:cs="Arial"/>
        </w:rPr>
        <w:t xml:space="preserve">pitting </w:t>
      </w:r>
      <w:r w:rsidRPr="00066425">
        <w:rPr>
          <w:rFonts w:ascii="Arial" w:hAnsi="Arial" w:cs="Arial"/>
        </w:rPr>
        <w:t xml:space="preserve">domestic resilience </w:t>
      </w:r>
      <w:r w:rsidRPr="00066425">
        <w:rPr>
          <w:rFonts w:ascii="Arial" w:hAnsi="Arial" w:cs="Arial"/>
        </w:rPr>
        <w:t xml:space="preserve">on one hand, </w:t>
      </w:r>
      <w:r w:rsidRPr="00066425">
        <w:rPr>
          <w:rFonts w:ascii="Arial" w:hAnsi="Arial" w:cs="Arial"/>
        </w:rPr>
        <w:t xml:space="preserve">versus </w:t>
      </w:r>
      <w:r w:rsidRPr="00066425">
        <w:rPr>
          <w:rFonts w:ascii="Arial" w:hAnsi="Arial" w:cs="Arial"/>
        </w:rPr>
        <w:t>detection and interdiction on the other</w:t>
      </w:r>
      <w:r w:rsidRPr="00066425">
        <w:rPr>
          <w:rFonts w:ascii="Arial" w:hAnsi="Arial" w:cs="Arial"/>
        </w:rPr>
        <w:t xml:space="preserve"> </w:t>
      </w:r>
      <w:r w:rsidRPr="00066425">
        <w:rPr>
          <w:rFonts w:ascii="Arial" w:hAnsi="Arial" w:cs="Arial"/>
        </w:rPr>
        <w:t>in light of limited resources</w:t>
      </w:r>
      <w:r w:rsidRPr="00066425">
        <w:rPr>
          <w:rFonts w:ascii="Arial" w:hAnsi="Arial" w:cs="Arial"/>
        </w:rPr>
        <w:t>,</w:t>
      </w:r>
      <w:r w:rsidRPr="00066425">
        <w:rPr>
          <w:rFonts w:ascii="Arial" w:hAnsi="Arial" w:cs="Arial"/>
        </w:rPr>
        <w:t xml:space="preserve"> may not </w:t>
      </w:r>
      <w:r w:rsidRPr="00066425">
        <w:rPr>
          <w:rFonts w:ascii="Arial" w:hAnsi="Arial" w:cs="Arial"/>
        </w:rPr>
        <w:t>be the most effective narrative</w:t>
      </w:r>
      <w:r w:rsidRPr="00066425">
        <w:rPr>
          <w:rFonts w:ascii="Arial" w:hAnsi="Arial" w:cs="Arial"/>
        </w:rPr>
        <w:t xml:space="preserve">. And, instead, a focus on economy of effort, based upon a conceptualisation </w:t>
      </w:r>
      <w:r w:rsidRPr="00066425">
        <w:rPr>
          <w:rFonts w:ascii="Arial" w:hAnsi="Arial" w:cs="Arial"/>
        </w:rPr>
        <w:t xml:space="preserve">of why </w:t>
      </w:r>
      <w:r w:rsidRPr="00066425">
        <w:rPr>
          <w:rFonts w:ascii="Arial" w:hAnsi="Arial" w:cs="Arial"/>
        </w:rPr>
        <w:t>such activity is appealing to an adversarial peer</w:t>
      </w:r>
      <w:r w:rsidRPr="00066425">
        <w:rPr>
          <w:rFonts w:ascii="Arial" w:hAnsi="Arial" w:cs="Arial"/>
        </w:rPr>
        <w:t>,</w:t>
      </w:r>
      <w:r w:rsidRPr="00066425">
        <w:rPr>
          <w:rFonts w:ascii="Arial" w:hAnsi="Arial" w:cs="Arial"/>
        </w:rPr>
        <w:t xml:space="preserve"> may be more effective</w:t>
      </w:r>
      <w:r w:rsidRPr="00066425">
        <w:rPr>
          <w:rFonts w:ascii="Arial" w:hAnsi="Arial" w:cs="Arial"/>
        </w:rPr>
        <w:t xml:space="preserve">. It intentionally builds upon and </w:t>
      </w:r>
      <w:r w:rsidRPr="00066425">
        <w:rPr>
          <w:rFonts w:ascii="Arial" w:hAnsi="Arial" w:cs="Arial"/>
        </w:rPr>
        <w:t>compliments the recommendations outlined in Section 1.</w:t>
      </w:r>
    </w:p>
    <w:p w:rsidR="00000000" w:rsidRPr="00066425" w:rsidP="0098221E">
      <w:pPr>
        <w:rPr>
          <w:rFonts w:ascii="Arial" w:hAnsi="Arial" w:cs="Arial"/>
        </w:rPr>
      </w:pPr>
      <w:r w:rsidRPr="00066425">
        <w:rPr>
          <w:rFonts w:ascii="Arial" w:hAnsi="Arial" w:cs="Arial"/>
          <w:b/>
          <w:bCs/>
        </w:rPr>
        <w:t xml:space="preserve">2.2 Asymmetry </w:t>
      </w:r>
      <w:r w:rsidRPr="00066425">
        <w:rPr>
          <w:rFonts w:ascii="Arial" w:hAnsi="Arial" w:cs="Arial"/>
          <w:b/>
          <w:bCs/>
        </w:rPr>
        <w:t>and Attribution</w:t>
      </w:r>
    </w:p>
    <w:p w:rsidR="00000000" w:rsidRPr="00066425" w:rsidP="0098221E">
      <w:pPr>
        <w:rPr>
          <w:rFonts w:ascii="Arial" w:hAnsi="Arial" w:cs="Arial"/>
        </w:rPr>
      </w:pPr>
      <w:r w:rsidRPr="00066425">
        <w:rPr>
          <w:rFonts w:ascii="Arial" w:hAnsi="Arial" w:cs="Arial"/>
        </w:rPr>
        <w:t xml:space="preserve">Here it is important to ask </w:t>
      </w:r>
      <w:r w:rsidRPr="00066425">
        <w:rPr>
          <w:rFonts w:ascii="Arial" w:hAnsi="Arial" w:cs="Arial"/>
        </w:rPr>
        <w:t xml:space="preserve">the question: </w:t>
      </w:r>
      <w:r w:rsidRPr="00066425">
        <w:rPr>
          <w:rFonts w:ascii="Arial" w:hAnsi="Arial" w:cs="Arial"/>
          <w:i/>
          <w:iCs/>
        </w:rPr>
        <w:t>Why is interacting with</w:t>
      </w:r>
      <w:r w:rsidRPr="00066425">
        <w:rPr>
          <w:rFonts w:ascii="Arial" w:hAnsi="Arial" w:cs="Arial"/>
          <w:i/>
          <w:iCs/>
        </w:rPr>
        <w:t>,</w:t>
      </w:r>
      <w:r w:rsidRPr="00066425">
        <w:rPr>
          <w:rFonts w:ascii="Arial" w:hAnsi="Arial" w:cs="Arial"/>
          <w:i/>
          <w:iCs/>
        </w:rPr>
        <w:t xml:space="preserve"> and holding a</w:t>
      </w:r>
      <w:r w:rsidRPr="00066425">
        <w:rPr>
          <w:rFonts w:ascii="Arial" w:hAnsi="Arial" w:cs="Arial"/>
          <w:i/>
          <w:iCs/>
        </w:rPr>
        <w:t>t risk</w:t>
      </w:r>
      <w:r w:rsidRPr="00066425">
        <w:rPr>
          <w:rFonts w:ascii="Arial" w:hAnsi="Arial" w:cs="Arial"/>
          <w:i/>
          <w:iCs/>
        </w:rPr>
        <w:t>,</w:t>
      </w:r>
      <w:r w:rsidRPr="00066425">
        <w:rPr>
          <w:rFonts w:ascii="Arial" w:hAnsi="Arial" w:cs="Arial"/>
          <w:i/>
          <w:iCs/>
        </w:rPr>
        <w:t xml:space="preserve"> </w:t>
      </w:r>
      <w:r w:rsidRPr="00066425">
        <w:rPr>
          <w:rFonts w:ascii="Arial" w:hAnsi="Arial" w:cs="Arial"/>
          <w:i/>
          <w:iCs/>
        </w:rPr>
        <w:t>the UK’s</w:t>
      </w:r>
      <w:r w:rsidRPr="00066425">
        <w:rPr>
          <w:rFonts w:ascii="Arial" w:hAnsi="Arial" w:cs="Arial"/>
          <w:i/>
          <w:iCs/>
        </w:rPr>
        <w:t xml:space="preserve"> undersea critical national infrastructure attractive to adversarial actors</w:t>
      </w:r>
      <w:r w:rsidRPr="00066425">
        <w:rPr>
          <w:rFonts w:ascii="Arial" w:hAnsi="Arial" w:cs="Arial"/>
        </w:rPr>
        <w:t>?</w:t>
      </w:r>
    </w:p>
    <w:p w:rsidR="00000000" w:rsidRPr="00066425" w:rsidP="0098221E">
      <w:pPr>
        <w:rPr>
          <w:rFonts w:ascii="Arial" w:hAnsi="Arial" w:cs="Arial"/>
        </w:rPr>
      </w:pPr>
      <w:r w:rsidRPr="00066425">
        <w:rPr>
          <w:rFonts w:ascii="Arial" w:hAnsi="Arial" w:cs="Arial"/>
        </w:rPr>
        <w:t>In the view of the author, this is for two principal reasons:</w:t>
      </w:r>
    </w:p>
    <w:p w:rsidR="00000000" w:rsidRPr="00066425" w:rsidP="00A33203">
      <w:pPr>
        <w:pStyle w:val="ListParagraph"/>
        <w:numPr>
          <w:ilvl w:val="0"/>
          <w:numId w:val="2"/>
        </w:numPr>
        <w:rPr>
          <w:rFonts w:ascii="Arial" w:hAnsi="Arial" w:cs="Arial"/>
        </w:rPr>
      </w:pPr>
      <w:r w:rsidRPr="00066425">
        <w:rPr>
          <w:rFonts w:ascii="Arial" w:hAnsi="Arial" w:cs="Arial"/>
          <w:b/>
          <w:bCs/>
        </w:rPr>
        <w:t>Asymmetry</w:t>
      </w:r>
      <w:r w:rsidRPr="00066425">
        <w:rPr>
          <w:rFonts w:ascii="Arial" w:hAnsi="Arial" w:cs="Arial"/>
        </w:rPr>
        <w:t>. It is an asymmetric threat</w:t>
      </w:r>
      <w:r w:rsidRPr="00066425">
        <w:rPr>
          <w:rFonts w:ascii="Arial" w:hAnsi="Arial" w:cs="Arial"/>
        </w:rPr>
        <w:t xml:space="preserve">. </w:t>
      </w:r>
      <w:r w:rsidRPr="00066425">
        <w:rPr>
          <w:rFonts w:ascii="Arial" w:hAnsi="Arial" w:cs="Arial"/>
        </w:rPr>
        <w:t xml:space="preserve">The cost of developing and fielding </w:t>
      </w:r>
      <w:r w:rsidRPr="00066425">
        <w:rPr>
          <w:rFonts w:ascii="Arial" w:hAnsi="Arial" w:cs="Arial"/>
        </w:rPr>
        <w:t xml:space="preserve">such </w:t>
      </w:r>
      <w:r w:rsidRPr="00066425">
        <w:rPr>
          <w:rFonts w:ascii="Arial" w:hAnsi="Arial" w:cs="Arial"/>
        </w:rPr>
        <w:t xml:space="preserve">a capability </w:t>
      </w:r>
      <w:r w:rsidRPr="00066425">
        <w:rPr>
          <w:rFonts w:ascii="Arial" w:hAnsi="Arial" w:cs="Arial"/>
        </w:rPr>
        <w:t xml:space="preserve">is not a small investment. However, proportionally relative to </w:t>
      </w:r>
      <w:r w:rsidRPr="00066425">
        <w:rPr>
          <w:rFonts w:ascii="Arial" w:hAnsi="Arial" w:cs="Arial"/>
        </w:rPr>
        <w:t xml:space="preserve">level of threat/risk it imposes upon </w:t>
      </w:r>
      <w:r w:rsidRPr="00066425">
        <w:rPr>
          <w:rFonts w:ascii="Arial" w:hAnsi="Arial" w:cs="Arial"/>
        </w:rPr>
        <w:t>the United Kingdom</w:t>
      </w:r>
      <w:r w:rsidRPr="00066425">
        <w:rPr>
          <w:rFonts w:ascii="Arial" w:hAnsi="Arial" w:cs="Arial"/>
        </w:rPr>
        <w:t xml:space="preserve">, and the </w:t>
      </w:r>
      <w:r w:rsidRPr="00066425">
        <w:rPr>
          <w:rFonts w:ascii="Arial" w:hAnsi="Arial" w:cs="Arial"/>
        </w:rPr>
        <w:t>cost of mitigating against</w:t>
      </w:r>
      <w:r w:rsidRPr="00066425">
        <w:rPr>
          <w:rFonts w:ascii="Arial" w:hAnsi="Arial" w:cs="Arial"/>
        </w:rPr>
        <w:t xml:space="preserve"> it</w:t>
      </w:r>
      <w:r w:rsidRPr="00066425">
        <w:rPr>
          <w:rFonts w:ascii="Arial" w:hAnsi="Arial" w:cs="Arial"/>
        </w:rPr>
        <w:t xml:space="preserve"> </w:t>
      </w:r>
      <w:r w:rsidRPr="00066425">
        <w:rPr>
          <w:rFonts w:ascii="Arial" w:hAnsi="Arial" w:cs="Arial"/>
        </w:rPr>
        <w:t xml:space="preserve">– as is being discussed in this review </w:t>
      </w:r>
      <w:r w:rsidRPr="00066425">
        <w:rPr>
          <w:rFonts w:ascii="Arial" w:hAnsi="Arial" w:cs="Arial"/>
        </w:rPr>
        <w:t>–</w:t>
      </w:r>
      <w:r w:rsidRPr="00066425">
        <w:rPr>
          <w:rFonts w:ascii="Arial" w:hAnsi="Arial" w:cs="Arial"/>
        </w:rPr>
        <w:t xml:space="preserve"> </w:t>
      </w:r>
      <w:r w:rsidRPr="00066425">
        <w:rPr>
          <w:rFonts w:ascii="Arial" w:hAnsi="Arial" w:cs="Arial"/>
        </w:rPr>
        <w:t>is disproportionately high.</w:t>
      </w:r>
    </w:p>
    <w:p w:rsidR="00000000" w:rsidRPr="00066425" w:rsidP="001B651D">
      <w:pPr>
        <w:pStyle w:val="ListParagraph"/>
        <w:rPr>
          <w:rFonts w:ascii="Arial" w:hAnsi="Arial" w:cs="Arial"/>
        </w:rPr>
      </w:pPr>
    </w:p>
    <w:p w:rsidR="00000000" w:rsidRPr="00066425" w:rsidP="00A33203">
      <w:pPr>
        <w:pStyle w:val="ListParagraph"/>
        <w:numPr>
          <w:ilvl w:val="0"/>
          <w:numId w:val="2"/>
        </w:numPr>
        <w:rPr>
          <w:rFonts w:ascii="Arial" w:hAnsi="Arial" w:cs="Arial"/>
        </w:rPr>
      </w:pPr>
      <w:r w:rsidRPr="00066425">
        <w:rPr>
          <w:rFonts w:ascii="Arial" w:hAnsi="Arial" w:cs="Arial"/>
          <w:b/>
          <w:bCs/>
        </w:rPr>
        <w:t>Attribution</w:t>
      </w:r>
      <w:r w:rsidRPr="00066425">
        <w:rPr>
          <w:rFonts w:ascii="Arial" w:hAnsi="Arial" w:cs="Arial"/>
        </w:rPr>
        <w:t xml:space="preserve">. </w:t>
      </w:r>
      <w:r w:rsidRPr="00066425">
        <w:rPr>
          <w:rFonts w:ascii="Arial" w:hAnsi="Arial" w:cs="Arial"/>
        </w:rPr>
        <w:t xml:space="preserve">Such activity is also extremely hard to attribute. </w:t>
      </w:r>
      <w:r w:rsidRPr="00066425">
        <w:rPr>
          <w:rFonts w:ascii="Arial" w:hAnsi="Arial" w:cs="Arial"/>
        </w:rPr>
        <w:t xml:space="preserve">Evidencing activity that has taken place in thousands of metres of water is exceptionally hard to </w:t>
      </w:r>
      <w:r w:rsidRPr="00066425">
        <w:rPr>
          <w:rFonts w:ascii="Arial" w:hAnsi="Arial" w:cs="Arial"/>
        </w:rPr>
        <w:t xml:space="preserve">decern. This is then multiplied when </w:t>
      </w:r>
      <w:r w:rsidRPr="00066425">
        <w:rPr>
          <w:rFonts w:ascii="Arial" w:hAnsi="Arial" w:cs="Arial"/>
        </w:rPr>
        <w:t xml:space="preserve">considered against the threshold of reasonable doubt in the international theatre, and therefore such activity </w:t>
      </w:r>
      <w:r w:rsidRPr="00066425">
        <w:rPr>
          <w:rFonts w:ascii="Arial" w:hAnsi="Arial" w:cs="Arial"/>
        </w:rPr>
        <w:t>resides within the ‘</w:t>
      </w:r>
      <w:r w:rsidRPr="00066425">
        <w:rPr>
          <w:rFonts w:ascii="Arial" w:hAnsi="Arial" w:cs="Arial"/>
          <w:i/>
          <w:iCs/>
        </w:rPr>
        <w:t>grey zone</w:t>
      </w:r>
      <w:r w:rsidRPr="00066425">
        <w:rPr>
          <w:rFonts w:ascii="Arial" w:hAnsi="Arial" w:cs="Arial"/>
        </w:rPr>
        <w:t>’ of sub-threshold actions.</w:t>
      </w:r>
    </w:p>
    <w:p w:rsidR="00000000" w:rsidRPr="00066425" w:rsidP="00A33203">
      <w:pPr>
        <w:rPr>
          <w:rFonts w:ascii="Arial" w:hAnsi="Arial" w:cs="Arial"/>
        </w:rPr>
      </w:pPr>
      <w:r w:rsidRPr="00066425">
        <w:rPr>
          <w:rFonts w:ascii="Arial" w:hAnsi="Arial" w:cs="Arial"/>
        </w:rPr>
        <w:t>With this context in mind, if we were to reverse our position</w:t>
      </w:r>
      <w:r w:rsidRPr="00066425">
        <w:rPr>
          <w:rFonts w:ascii="Arial" w:hAnsi="Arial" w:cs="Arial"/>
        </w:rPr>
        <w:t xml:space="preserve"> to that of an </w:t>
      </w:r>
      <w:r w:rsidRPr="00066425">
        <w:rPr>
          <w:rFonts w:ascii="Arial" w:hAnsi="Arial" w:cs="Arial"/>
        </w:rPr>
        <w:t>adversaries’</w:t>
      </w:r>
      <w:r w:rsidRPr="00066425">
        <w:rPr>
          <w:rFonts w:ascii="Arial" w:hAnsi="Arial" w:cs="Arial"/>
        </w:rPr>
        <w:t xml:space="preserve"> and</w:t>
      </w:r>
      <w:r w:rsidRPr="00066425">
        <w:rPr>
          <w:rFonts w:ascii="Arial" w:hAnsi="Arial" w:cs="Arial"/>
        </w:rPr>
        <w:t xml:space="preserve"> consider </w:t>
      </w:r>
      <w:r w:rsidRPr="00066425">
        <w:rPr>
          <w:rFonts w:ascii="Arial" w:hAnsi="Arial" w:cs="Arial"/>
        </w:rPr>
        <w:t xml:space="preserve">what </w:t>
      </w:r>
      <w:r w:rsidRPr="00066425">
        <w:rPr>
          <w:rFonts w:ascii="Arial" w:hAnsi="Arial" w:cs="Arial"/>
        </w:rPr>
        <w:t>mitigations</w:t>
      </w:r>
      <w:r w:rsidRPr="00066425">
        <w:rPr>
          <w:rFonts w:ascii="Arial" w:hAnsi="Arial" w:cs="Arial"/>
        </w:rPr>
        <w:t xml:space="preserve"> may deter</w:t>
      </w:r>
      <w:r w:rsidRPr="00066425">
        <w:rPr>
          <w:rFonts w:ascii="Arial" w:hAnsi="Arial" w:cs="Arial"/>
        </w:rPr>
        <w:t xml:space="preserve"> us from</w:t>
      </w:r>
      <w:r w:rsidRPr="00066425">
        <w:rPr>
          <w:rFonts w:ascii="Arial" w:hAnsi="Arial" w:cs="Arial"/>
        </w:rPr>
        <w:t xml:space="preserve"> </w:t>
      </w:r>
      <w:r w:rsidRPr="00066425">
        <w:rPr>
          <w:rFonts w:ascii="Arial" w:hAnsi="Arial" w:cs="Arial"/>
        </w:rPr>
        <w:t xml:space="preserve">such activity from the perspective of an adversarial </w:t>
      </w:r>
      <w:r w:rsidRPr="00066425">
        <w:rPr>
          <w:rFonts w:ascii="Arial" w:hAnsi="Arial" w:cs="Arial"/>
        </w:rPr>
        <w:t>aggressor</w:t>
      </w:r>
      <w:r w:rsidRPr="00066425">
        <w:rPr>
          <w:rFonts w:ascii="Arial" w:hAnsi="Arial" w:cs="Arial"/>
        </w:rPr>
        <w:t xml:space="preserve">, </w:t>
      </w:r>
      <w:r w:rsidRPr="00066425">
        <w:rPr>
          <w:rFonts w:ascii="Arial" w:hAnsi="Arial" w:cs="Arial"/>
        </w:rPr>
        <w:t xml:space="preserve">the author argues that </w:t>
      </w:r>
      <w:r w:rsidRPr="00066425">
        <w:rPr>
          <w:rFonts w:ascii="Arial" w:hAnsi="Arial" w:cs="Arial"/>
        </w:rPr>
        <w:t xml:space="preserve">negating these two factors </w:t>
      </w:r>
      <w:r w:rsidRPr="00066425">
        <w:rPr>
          <w:rFonts w:ascii="Arial" w:hAnsi="Arial" w:cs="Arial"/>
        </w:rPr>
        <w:t>may be the most effective form of deterrence.</w:t>
      </w:r>
    </w:p>
    <w:p w:rsidR="00000000" w:rsidRPr="00066425" w:rsidP="00A33203">
      <w:pPr>
        <w:rPr>
          <w:rFonts w:ascii="Arial" w:hAnsi="Arial" w:cs="Arial"/>
        </w:rPr>
      </w:pPr>
      <w:r w:rsidRPr="00066425">
        <w:rPr>
          <w:rFonts w:ascii="Arial" w:hAnsi="Arial" w:cs="Arial"/>
        </w:rPr>
        <w:t xml:space="preserve">Thus, the greatest threat to the attractiveness of </w:t>
      </w:r>
      <w:r w:rsidRPr="00066425">
        <w:rPr>
          <w:rFonts w:ascii="Arial" w:hAnsi="Arial" w:cs="Arial"/>
        </w:rPr>
        <w:t xml:space="preserve">this activity from the perspective of an aggressor would be the requirement </w:t>
      </w:r>
      <w:r w:rsidRPr="00066425">
        <w:rPr>
          <w:rFonts w:ascii="Arial" w:hAnsi="Arial" w:cs="Arial"/>
        </w:rPr>
        <w:t xml:space="preserve">to have to </w:t>
      </w:r>
      <w:r w:rsidRPr="00066425">
        <w:rPr>
          <w:rFonts w:ascii="Arial" w:hAnsi="Arial" w:cs="Arial"/>
          <w:b/>
          <w:bCs/>
        </w:rPr>
        <w:t xml:space="preserve">scale </w:t>
      </w:r>
      <w:r w:rsidRPr="00066425">
        <w:rPr>
          <w:rFonts w:ascii="Arial" w:hAnsi="Arial" w:cs="Arial"/>
        </w:rPr>
        <w:t xml:space="preserve">it. </w:t>
      </w:r>
    </w:p>
    <w:p w:rsidR="00000000" w:rsidRPr="00066425" w:rsidP="00A33203">
      <w:pPr>
        <w:rPr>
          <w:rFonts w:ascii="Arial" w:hAnsi="Arial" w:cs="Arial"/>
        </w:rPr>
      </w:pPr>
      <w:r w:rsidRPr="00066425">
        <w:rPr>
          <w:rFonts w:ascii="Arial" w:hAnsi="Arial" w:cs="Arial"/>
        </w:rPr>
        <w:t xml:space="preserve">That is to say, </w:t>
      </w:r>
      <w:r w:rsidRPr="00066425">
        <w:rPr>
          <w:rFonts w:ascii="Arial" w:hAnsi="Arial" w:cs="Arial"/>
        </w:rPr>
        <w:t xml:space="preserve">if </w:t>
      </w:r>
      <w:r w:rsidRPr="00066425">
        <w:rPr>
          <w:rFonts w:ascii="Arial" w:hAnsi="Arial" w:cs="Arial"/>
        </w:rPr>
        <w:t>an adversary</w:t>
      </w:r>
      <w:r w:rsidRPr="00066425">
        <w:rPr>
          <w:rFonts w:ascii="Arial" w:hAnsi="Arial" w:cs="Arial"/>
        </w:rPr>
        <w:t xml:space="preserve"> had to increase </w:t>
      </w:r>
      <w:r w:rsidRPr="00066425">
        <w:rPr>
          <w:rFonts w:ascii="Arial" w:hAnsi="Arial" w:cs="Arial"/>
        </w:rPr>
        <w:t xml:space="preserve">the </w:t>
      </w:r>
      <w:r w:rsidRPr="00066425">
        <w:rPr>
          <w:rFonts w:ascii="Arial" w:hAnsi="Arial" w:cs="Arial"/>
          <w:b/>
          <w:bCs/>
        </w:rPr>
        <w:t>scale</w:t>
      </w:r>
      <w:r w:rsidRPr="00066425">
        <w:rPr>
          <w:rFonts w:ascii="Arial" w:hAnsi="Arial" w:cs="Arial"/>
        </w:rPr>
        <w:t xml:space="preserve"> of such activity by either </w:t>
      </w:r>
      <w:r w:rsidRPr="00066425">
        <w:rPr>
          <w:rFonts w:ascii="Arial" w:hAnsi="Arial" w:cs="Arial"/>
        </w:rPr>
        <w:t xml:space="preserve">volume </w:t>
      </w:r>
      <w:r w:rsidRPr="00066425">
        <w:rPr>
          <w:rFonts w:ascii="Arial" w:hAnsi="Arial" w:cs="Arial"/>
        </w:rPr>
        <w:t>and/</w:t>
      </w:r>
      <w:r w:rsidRPr="00066425">
        <w:rPr>
          <w:rFonts w:ascii="Arial" w:hAnsi="Arial" w:cs="Arial"/>
        </w:rPr>
        <w:t xml:space="preserve">or </w:t>
      </w:r>
      <w:r w:rsidRPr="00066425">
        <w:rPr>
          <w:rFonts w:ascii="Arial" w:hAnsi="Arial" w:cs="Arial"/>
        </w:rPr>
        <w:t>frequency</w:t>
      </w:r>
      <w:r w:rsidRPr="00066425">
        <w:rPr>
          <w:rFonts w:ascii="Arial" w:hAnsi="Arial" w:cs="Arial"/>
        </w:rPr>
        <w:t xml:space="preserve">, </w:t>
      </w:r>
      <w:r w:rsidRPr="00066425">
        <w:rPr>
          <w:rFonts w:ascii="Arial" w:hAnsi="Arial" w:cs="Arial"/>
        </w:rPr>
        <w:t xml:space="preserve">firstly it would no longer be asymmetric: the </w:t>
      </w:r>
      <w:r w:rsidRPr="00066425">
        <w:rPr>
          <w:rFonts w:ascii="Arial" w:hAnsi="Arial" w:cs="Arial"/>
        </w:rPr>
        <w:t xml:space="preserve">cost ratio of the investment relative to the effect would </w:t>
      </w:r>
      <w:r w:rsidRPr="00066425">
        <w:rPr>
          <w:rFonts w:ascii="Arial" w:hAnsi="Arial" w:cs="Arial"/>
        </w:rPr>
        <w:t xml:space="preserve">no longer be so disproportional </w:t>
      </w:r>
      <w:r w:rsidRPr="00066425">
        <w:rPr>
          <w:rFonts w:ascii="Arial" w:hAnsi="Arial" w:cs="Arial"/>
        </w:rPr>
        <w:t>in favour of the aggressor; and, secondly</w:t>
      </w:r>
      <w:r w:rsidRPr="00066425">
        <w:rPr>
          <w:rFonts w:ascii="Arial" w:hAnsi="Arial" w:cs="Arial"/>
        </w:rPr>
        <w:t>:</w:t>
      </w:r>
      <w:r w:rsidRPr="00066425">
        <w:rPr>
          <w:rFonts w:ascii="Arial" w:hAnsi="Arial" w:cs="Arial"/>
        </w:rPr>
        <w:t xml:space="preserve"> </w:t>
      </w:r>
      <w:r w:rsidRPr="00066425">
        <w:rPr>
          <w:rFonts w:ascii="Arial" w:hAnsi="Arial" w:cs="Arial"/>
        </w:rPr>
        <w:t>it would</w:t>
      </w:r>
      <w:r w:rsidRPr="00066425">
        <w:rPr>
          <w:rFonts w:ascii="Arial" w:hAnsi="Arial" w:cs="Arial"/>
        </w:rPr>
        <w:t xml:space="preserve"> increase </w:t>
      </w:r>
      <w:r w:rsidRPr="00066425">
        <w:rPr>
          <w:rFonts w:ascii="Arial" w:hAnsi="Arial" w:cs="Arial"/>
        </w:rPr>
        <w:t>the probability and risk of attribution</w:t>
      </w:r>
      <w:r w:rsidRPr="00066425">
        <w:rPr>
          <w:rFonts w:ascii="Arial" w:hAnsi="Arial" w:cs="Arial"/>
        </w:rPr>
        <w:t xml:space="preserve">. </w:t>
      </w:r>
    </w:p>
    <w:p w:rsidR="00000000" w:rsidRPr="00066425" w:rsidP="00A33203">
      <w:pPr>
        <w:rPr>
          <w:rFonts w:ascii="Arial" w:hAnsi="Arial" w:cs="Arial"/>
        </w:rPr>
      </w:pPr>
      <w:r w:rsidRPr="00066425">
        <w:rPr>
          <w:rFonts w:ascii="Arial" w:hAnsi="Arial" w:cs="Arial"/>
        </w:rPr>
        <w:t xml:space="preserve">Based upon this, it may be beneficial for the </w:t>
      </w:r>
      <w:r w:rsidRPr="00066425">
        <w:rPr>
          <w:rFonts w:ascii="Arial" w:hAnsi="Arial" w:cs="Arial"/>
        </w:rPr>
        <w:t xml:space="preserve">Committee to consider the </w:t>
      </w:r>
      <w:r w:rsidRPr="00066425">
        <w:rPr>
          <w:rFonts w:ascii="Arial" w:hAnsi="Arial" w:cs="Arial"/>
        </w:rPr>
        <w:t>most effective way of militating the risks posed, with consideration for the context of limited resources, through this lens.</w:t>
      </w:r>
    </w:p>
    <w:p w:rsidR="00000000" w:rsidRPr="00066425" w:rsidP="00A33203">
      <w:pPr>
        <w:rPr>
          <w:rFonts w:ascii="Arial" w:hAnsi="Arial" w:cs="Arial"/>
          <w:b/>
          <w:bCs/>
        </w:rPr>
      </w:pPr>
      <w:r w:rsidRPr="00066425">
        <w:rPr>
          <w:rFonts w:ascii="Arial" w:hAnsi="Arial" w:cs="Arial"/>
          <w:b/>
          <w:bCs/>
        </w:rPr>
        <w:t>2.3 Fielding a credible deterrence</w:t>
      </w:r>
    </w:p>
    <w:p w:rsidR="00000000" w:rsidRPr="00066425" w:rsidP="0098221E">
      <w:pPr>
        <w:rPr>
          <w:rFonts w:ascii="Arial" w:hAnsi="Arial" w:cs="Arial"/>
        </w:rPr>
      </w:pPr>
      <w:r w:rsidRPr="00066425">
        <w:rPr>
          <w:rFonts w:ascii="Arial" w:hAnsi="Arial" w:cs="Arial"/>
        </w:rPr>
        <w:t xml:space="preserve">Here, this conceptual </w:t>
      </w:r>
      <w:r w:rsidRPr="00066425">
        <w:rPr>
          <w:rFonts w:ascii="Arial" w:hAnsi="Arial" w:cs="Arial"/>
        </w:rPr>
        <w:t>observation may be synthesised with the second principal observation drawn from the author’s investigation</w:t>
      </w:r>
      <w:r w:rsidRPr="00066425">
        <w:rPr>
          <w:rFonts w:ascii="Arial" w:hAnsi="Arial" w:cs="Arial"/>
        </w:rPr>
        <w:t>, specifically with respect to the procurement of a “</w:t>
      </w:r>
      <w:r w:rsidRPr="00066425">
        <w:rPr>
          <w:rFonts w:ascii="Arial" w:hAnsi="Arial" w:cs="Arial"/>
          <w:i/>
          <w:iCs/>
        </w:rPr>
        <w:t>Seabed Warfare</w:t>
      </w:r>
      <w:r w:rsidRPr="00066425">
        <w:rPr>
          <w:rFonts w:ascii="Arial" w:hAnsi="Arial" w:cs="Arial"/>
        </w:rPr>
        <w:t xml:space="preserve">” capability. </w:t>
      </w:r>
      <w:r w:rsidRPr="00066425">
        <w:rPr>
          <w:rFonts w:ascii="Arial" w:hAnsi="Arial" w:cs="Arial"/>
        </w:rPr>
        <w:t>It</w:t>
      </w:r>
      <w:r w:rsidRPr="00066425">
        <w:rPr>
          <w:rFonts w:ascii="Arial" w:hAnsi="Arial" w:cs="Arial"/>
        </w:rPr>
        <w:t xml:space="preserve"> is also a further echo of the Hendriks and Halem’s paper</w:t>
      </w:r>
      <w:r>
        <w:rPr>
          <w:rStyle w:val="FootnoteReference"/>
          <w:rFonts w:ascii="Arial" w:hAnsi="Arial" w:cs="Arial"/>
        </w:rPr>
        <w:footnoteReference w:id="6"/>
      </w:r>
      <w:r w:rsidRPr="00066425">
        <w:rPr>
          <w:rFonts w:ascii="Arial" w:hAnsi="Arial" w:cs="Arial"/>
        </w:rPr>
        <w:t>,</w:t>
      </w:r>
      <w:r w:rsidRPr="00066425">
        <w:rPr>
          <w:rFonts w:ascii="Arial" w:hAnsi="Arial" w:cs="Arial"/>
        </w:rPr>
        <w:t xml:space="preserve"> and</w:t>
      </w:r>
      <w:r w:rsidRPr="00066425">
        <w:rPr>
          <w:rFonts w:ascii="Arial" w:hAnsi="Arial" w:cs="Arial"/>
        </w:rPr>
        <w:t xml:space="preserve"> </w:t>
      </w:r>
      <w:r w:rsidRPr="00066425">
        <w:rPr>
          <w:rFonts w:ascii="Arial" w:hAnsi="Arial" w:cs="Arial"/>
        </w:rPr>
        <w:t xml:space="preserve">supports </w:t>
      </w:r>
      <w:r w:rsidRPr="00066425">
        <w:rPr>
          <w:rFonts w:ascii="Arial" w:hAnsi="Arial" w:cs="Arial"/>
        </w:rPr>
        <w:t>their observation and proposition that a holistic approach to strategy, synthesising and leveraging different components of an operational response, is necessary to field an effective and credible deterrence</w:t>
      </w:r>
      <w:r w:rsidRPr="00066425">
        <w:rPr>
          <w:rFonts w:ascii="Arial" w:hAnsi="Arial" w:cs="Arial"/>
        </w:rPr>
        <w:t>.</w:t>
      </w:r>
      <w:r w:rsidRPr="00066425">
        <w:rPr>
          <w:rFonts w:ascii="Arial" w:hAnsi="Arial" w:cs="Arial"/>
        </w:rPr>
        <w:t xml:space="preserve"> </w:t>
      </w:r>
    </w:p>
    <w:p w:rsidR="00000000" w:rsidRPr="00066425" w:rsidP="00FB2D42">
      <w:pPr>
        <w:rPr>
          <w:rFonts w:ascii="Arial" w:hAnsi="Arial" w:cs="Arial"/>
        </w:rPr>
      </w:pPr>
      <w:r w:rsidRPr="00066425">
        <w:rPr>
          <w:rFonts w:ascii="Arial" w:hAnsi="Arial" w:cs="Arial"/>
        </w:rPr>
        <w:t xml:space="preserve">The nuanced observation here, however, being that currently there has been </w:t>
      </w:r>
      <w:r w:rsidRPr="00066425">
        <w:rPr>
          <w:rFonts w:ascii="Arial" w:hAnsi="Arial" w:cs="Arial"/>
        </w:rPr>
        <w:t xml:space="preserve">a disproportional focus to respond to </w:t>
      </w:r>
      <w:r w:rsidRPr="00066425">
        <w:rPr>
          <w:rFonts w:ascii="Arial" w:hAnsi="Arial" w:cs="Arial"/>
        </w:rPr>
        <w:t xml:space="preserve">the now well-articulated </w:t>
      </w:r>
      <w:r w:rsidRPr="00066425">
        <w:rPr>
          <w:rFonts w:ascii="Arial" w:hAnsi="Arial" w:cs="Arial"/>
        </w:rPr>
        <w:t xml:space="preserve">threat vector through the procurement and development of </w:t>
      </w:r>
      <w:r w:rsidRPr="00066425">
        <w:rPr>
          <w:rFonts w:ascii="Arial" w:hAnsi="Arial" w:cs="Arial"/>
        </w:rPr>
        <w:t>material</w:t>
      </w:r>
      <w:r w:rsidRPr="00066425">
        <w:rPr>
          <w:rFonts w:ascii="Arial" w:hAnsi="Arial" w:cs="Arial"/>
        </w:rPr>
        <w:t xml:space="preserve"> capability</w:t>
      </w:r>
      <w:r w:rsidRPr="00066425">
        <w:rPr>
          <w:rFonts w:ascii="Arial" w:hAnsi="Arial" w:cs="Arial"/>
        </w:rPr>
        <w:t xml:space="preserve">, relative </w:t>
      </w:r>
      <w:r w:rsidRPr="00066425">
        <w:rPr>
          <w:rFonts w:ascii="Arial" w:hAnsi="Arial" w:cs="Arial"/>
        </w:rPr>
        <w:t>proportionally to how effectively field and task it.</w:t>
      </w:r>
      <w:r w:rsidRPr="00066425">
        <w:rPr>
          <w:rFonts w:ascii="Arial" w:hAnsi="Arial" w:cs="Arial"/>
        </w:rPr>
        <w:t xml:space="preserve"> </w:t>
      </w:r>
    </w:p>
    <w:p w:rsidR="00000000" w:rsidRPr="00066425" w:rsidP="00FB2D42">
      <w:pPr>
        <w:rPr>
          <w:rFonts w:ascii="Arial" w:hAnsi="Arial" w:cs="Arial"/>
        </w:rPr>
      </w:pPr>
      <w:r w:rsidRPr="00066425">
        <w:rPr>
          <w:rFonts w:ascii="Arial" w:hAnsi="Arial" w:cs="Arial"/>
        </w:rPr>
        <w:t xml:space="preserve">Or, </w:t>
      </w:r>
      <w:r w:rsidRPr="00066425">
        <w:rPr>
          <w:rFonts w:ascii="Arial" w:hAnsi="Arial" w:cs="Arial"/>
        </w:rPr>
        <w:t>in plain language:</w:t>
      </w:r>
      <w:r w:rsidRPr="00066425">
        <w:rPr>
          <w:rFonts w:ascii="Arial" w:hAnsi="Arial" w:cs="Arial"/>
        </w:rPr>
        <w:t xml:space="preserve"> </w:t>
      </w:r>
      <w:r w:rsidRPr="00066425">
        <w:rPr>
          <w:rFonts w:ascii="Arial" w:hAnsi="Arial" w:cs="Arial"/>
        </w:rPr>
        <w:t xml:space="preserve">that </w:t>
      </w:r>
      <w:r w:rsidRPr="00066425">
        <w:rPr>
          <w:rFonts w:ascii="Arial" w:hAnsi="Arial" w:cs="Arial"/>
        </w:rPr>
        <w:t xml:space="preserve">possessing </w:t>
      </w:r>
      <w:r w:rsidRPr="00066425">
        <w:rPr>
          <w:rFonts w:ascii="Arial" w:hAnsi="Arial" w:cs="Arial"/>
        </w:rPr>
        <w:t>hardware</w:t>
      </w:r>
      <w:r w:rsidRPr="00066425">
        <w:rPr>
          <w:rFonts w:ascii="Arial" w:hAnsi="Arial" w:cs="Arial"/>
        </w:rPr>
        <w:t xml:space="preserve"> in isolation</w:t>
      </w:r>
      <w:r w:rsidRPr="00066425">
        <w:rPr>
          <w:rFonts w:ascii="Arial" w:hAnsi="Arial" w:cs="Arial"/>
        </w:rPr>
        <w:t xml:space="preserve">, such as the MROS </w:t>
      </w:r>
      <w:r w:rsidRPr="00066425">
        <w:rPr>
          <w:rFonts w:ascii="Arial" w:hAnsi="Arial" w:cs="Arial"/>
        </w:rPr>
        <w:t>programme/platform</w:t>
      </w:r>
      <w:r w:rsidRPr="00066425">
        <w:rPr>
          <w:rFonts w:ascii="Arial" w:hAnsi="Arial" w:cs="Arial"/>
        </w:rPr>
        <w:t>(s)</w:t>
      </w:r>
      <w:r w:rsidRPr="00066425">
        <w:rPr>
          <w:rFonts w:ascii="Arial" w:hAnsi="Arial" w:cs="Arial"/>
        </w:rPr>
        <w:t xml:space="preserve"> and associated capabilities</w:t>
      </w:r>
      <w:r>
        <w:rPr>
          <w:rStyle w:val="FootnoteReference"/>
          <w:rFonts w:ascii="Arial" w:hAnsi="Arial" w:cs="Arial"/>
        </w:rPr>
        <w:footnoteReference w:id="7"/>
      </w:r>
      <w:r w:rsidRPr="00066425">
        <w:rPr>
          <w:rFonts w:ascii="Arial" w:hAnsi="Arial" w:cs="Arial"/>
        </w:rPr>
        <w:t xml:space="preserve">, </w:t>
      </w:r>
      <w:r w:rsidRPr="00066425">
        <w:rPr>
          <w:rFonts w:ascii="Arial" w:hAnsi="Arial" w:cs="Arial"/>
        </w:rPr>
        <w:t xml:space="preserve">is not enough. </w:t>
      </w:r>
      <w:r w:rsidRPr="00066425">
        <w:rPr>
          <w:rFonts w:ascii="Arial" w:hAnsi="Arial" w:cs="Arial"/>
        </w:rPr>
        <w:t xml:space="preserve">It </w:t>
      </w:r>
      <w:r w:rsidRPr="00066425">
        <w:rPr>
          <w:rFonts w:ascii="Arial" w:hAnsi="Arial" w:cs="Arial"/>
        </w:rPr>
        <w:t xml:space="preserve">is </w:t>
      </w:r>
      <w:r w:rsidRPr="00066425">
        <w:rPr>
          <w:rFonts w:ascii="Arial" w:hAnsi="Arial" w:cs="Arial"/>
        </w:rPr>
        <w:t xml:space="preserve">only useful if </w:t>
      </w:r>
      <w:r w:rsidRPr="00066425">
        <w:rPr>
          <w:rFonts w:ascii="Arial" w:hAnsi="Arial" w:cs="Arial"/>
        </w:rPr>
        <w:t>the platforms</w:t>
      </w:r>
      <w:r w:rsidRPr="00066425">
        <w:rPr>
          <w:rFonts w:ascii="Arial" w:hAnsi="Arial" w:cs="Arial"/>
        </w:rPr>
        <w:t xml:space="preserve"> are able to be in exactly the right place, at exactly the right </w:t>
      </w:r>
      <w:r w:rsidRPr="00066425">
        <w:rPr>
          <w:rFonts w:ascii="Arial" w:hAnsi="Arial" w:cs="Arial"/>
        </w:rPr>
        <w:t>time</w:t>
      </w:r>
      <w:r w:rsidRPr="00066425">
        <w:rPr>
          <w:rFonts w:ascii="Arial" w:hAnsi="Arial" w:cs="Arial"/>
        </w:rPr>
        <w:t>. Be this preventatively</w:t>
      </w:r>
      <w:r w:rsidRPr="00066425">
        <w:rPr>
          <w:rFonts w:ascii="Arial" w:hAnsi="Arial" w:cs="Arial"/>
        </w:rPr>
        <w:t xml:space="preserve">, or reactively, </w:t>
      </w:r>
      <w:r w:rsidRPr="00066425">
        <w:rPr>
          <w:rFonts w:ascii="Arial" w:hAnsi="Arial" w:cs="Arial"/>
        </w:rPr>
        <w:t xml:space="preserve">in order to mitigate against the attractiveness of </w:t>
      </w:r>
      <w:r w:rsidRPr="00066425">
        <w:rPr>
          <w:rFonts w:ascii="Arial" w:hAnsi="Arial" w:cs="Arial"/>
        </w:rPr>
        <w:t xml:space="preserve">asymmetry and attribution to an aggressor. Especially </w:t>
      </w:r>
      <w:r w:rsidRPr="00066425">
        <w:rPr>
          <w:rFonts w:ascii="Arial" w:hAnsi="Arial" w:cs="Arial"/>
        </w:rPr>
        <w:t xml:space="preserve">considering the tens of thousands of miles of infrastructure that they </w:t>
      </w:r>
      <w:r w:rsidRPr="00066425">
        <w:rPr>
          <w:rFonts w:ascii="Arial" w:hAnsi="Arial" w:cs="Arial"/>
        </w:rPr>
        <w:t>any defensive “</w:t>
      </w:r>
      <w:r w:rsidRPr="00066425">
        <w:rPr>
          <w:rFonts w:ascii="Arial" w:hAnsi="Arial" w:cs="Arial"/>
          <w:i/>
          <w:iCs/>
        </w:rPr>
        <w:t>Seabed Warfare</w:t>
      </w:r>
      <w:r w:rsidRPr="00066425">
        <w:rPr>
          <w:rFonts w:ascii="Arial" w:hAnsi="Arial" w:cs="Arial"/>
        </w:rPr>
        <w:t>” capability is required</w:t>
      </w:r>
      <w:r w:rsidRPr="00066425">
        <w:rPr>
          <w:rFonts w:ascii="Arial" w:hAnsi="Arial" w:cs="Arial"/>
        </w:rPr>
        <w:t xml:space="preserve"> to protect.</w:t>
      </w:r>
    </w:p>
    <w:p w:rsidR="00000000" w:rsidRPr="00066425" w:rsidP="0098221E">
      <w:pPr>
        <w:rPr>
          <w:rFonts w:ascii="Arial" w:hAnsi="Arial" w:cs="Arial"/>
          <w:b/>
          <w:bCs/>
        </w:rPr>
      </w:pPr>
      <w:r w:rsidRPr="00066425">
        <w:rPr>
          <w:rFonts w:ascii="Arial" w:hAnsi="Arial" w:cs="Arial"/>
          <w:b/>
          <w:bCs/>
        </w:rPr>
        <w:t xml:space="preserve">2.4 </w:t>
      </w:r>
      <w:r w:rsidRPr="00066425">
        <w:rPr>
          <w:rFonts w:ascii="Arial" w:hAnsi="Arial" w:cs="Arial"/>
          <w:b/>
          <w:bCs/>
        </w:rPr>
        <w:t>Recommendations</w:t>
      </w:r>
    </w:p>
    <w:p w:rsidR="00000000" w:rsidRPr="00066425" w:rsidP="0098221E">
      <w:pPr>
        <w:rPr>
          <w:rFonts w:ascii="Arial" w:hAnsi="Arial" w:cs="Arial"/>
        </w:rPr>
      </w:pPr>
      <w:r w:rsidRPr="00066425">
        <w:rPr>
          <w:rFonts w:ascii="Arial" w:hAnsi="Arial" w:cs="Arial"/>
        </w:rPr>
        <w:t>The recommendation to the committee here</w:t>
      </w:r>
      <w:r w:rsidRPr="00066425">
        <w:rPr>
          <w:rFonts w:ascii="Arial" w:hAnsi="Arial" w:cs="Arial"/>
        </w:rPr>
        <w:t xml:space="preserve">, </w:t>
      </w:r>
      <w:r w:rsidRPr="00066425">
        <w:rPr>
          <w:rFonts w:ascii="Arial" w:hAnsi="Arial" w:cs="Arial"/>
        </w:rPr>
        <w:t xml:space="preserve">at the grass-roots level, is that complimentary </w:t>
      </w:r>
      <w:r w:rsidRPr="00066425">
        <w:rPr>
          <w:rFonts w:ascii="Arial" w:hAnsi="Arial" w:cs="Arial"/>
        </w:rPr>
        <w:t xml:space="preserve">ISR and Data </w:t>
      </w:r>
      <w:r w:rsidRPr="00066425">
        <w:rPr>
          <w:rFonts w:ascii="Arial" w:hAnsi="Arial" w:cs="Arial"/>
        </w:rPr>
        <w:t>capabilities</w:t>
      </w:r>
      <w:r w:rsidRPr="00066425">
        <w:rPr>
          <w:rFonts w:ascii="Arial" w:hAnsi="Arial" w:cs="Arial"/>
        </w:rPr>
        <w:t xml:space="preserve"> </w:t>
      </w:r>
      <w:r w:rsidRPr="00066425">
        <w:rPr>
          <w:rFonts w:ascii="Arial" w:hAnsi="Arial" w:cs="Arial"/>
        </w:rPr>
        <w:t xml:space="preserve">such </w:t>
      </w:r>
      <w:r w:rsidRPr="00066425">
        <w:rPr>
          <w:rFonts w:ascii="Arial" w:hAnsi="Arial" w:cs="Arial"/>
        </w:rPr>
        <w:t>as those</w:t>
      </w:r>
      <w:r w:rsidRPr="00066425">
        <w:rPr>
          <w:rFonts w:ascii="Arial" w:hAnsi="Arial" w:cs="Arial"/>
        </w:rPr>
        <w:t xml:space="preserve"> </w:t>
      </w:r>
      <w:r w:rsidRPr="00066425">
        <w:rPr>
          <w:rFonts w:ascii="Arial" w:hAnsi="Arial" w:cs="Arial"/>
        </w:rPr>
        <w:t xml:space="preserve">that may be used as force multipliers </w:t>
      </w:r>
      <w:r w:rsidRPr="00066425">
        <w:rPr>
          <w:rFonts w:ascii="Arial" w:hAnsi="Arial" w:cs="Arial"/>
        </w:rPr>
        <w:t xml:space="preserve">to effectively position </w:t>
      </w:r>
      <w:r w:rsidRPr="00066425">
        <w:rPr>
          <w:rFonts w:ascii="Arial" w:hAnsi="Arial" w:cs="Arial"/>
        </w:rPr>
        <w:t>material capability</w:t>
      </w:r>
      <w:r w:rsidRPr="00066425">
        <w:rPr>
          <w:rFonts w:ascii="Arial" w:hAnsi="Arial" w:cs="Arial"/>
        </w:rPr>
        <w:t>,</w:t>
      </w:r>
      <w:r w:rsidRPr="00066425">
        <w:rPr>
          <w:rFonts w:ascii="Arial" w:hAnsi="Arial" w:cs="Arial"/>
        </w:rPr>
        <w:t xml:space="preserve"> are just as</w:t>
      </w:r>
      <w:r w:rsidRPr="00066425">
        <w:rPr>
          <w:rFonts w:ascii="Arial" w:hAnsi="Arial" w:cs="Arial"/>
        </w:rPr>
        <w:t xml:space="preserve"> -</w:t>
      </w:r>
      <w:r w:rsidRPr="00066425">
        <w:rPr>
          <w:rFonts w:ascii="Arial" w:hAnsi="Arial" w:cs="Arial"/>
        </w:rPr>
        <w:t xml:space="preserve"> if not more </w:t>
      </w:r>
      <w:r w:rsidRPr="00066425">
        <w:rPr>
          <w:rFonts w:ascii="Arial" w:hAnsi="Arial" w:cs="Arial"/>
        </w:rPr>
        <w:t xml:space="preserve">- </w:t>
      </w:r>
      <w:r w:rsidRPr="00066425">
        <w:rPr>
          <w:rFonts w:ascii="Arial" w:hAnsi="Arial" w:cs="Arial"/>
        </w:rPr>
        <w:t xml:space="preserve">important than the acquisition/development </w:t>
      </w:r>
      <w:r w:rsidRPr="00066425">
        <w:rPr>
          <w:rFonts w:ascii="Arial" w:hAnsi="Arial" w:cs="Arial"/>
        </w:rPr>
        <w:t xml:space="preserve">of </w:t>
      </w:r>
      <w:r w:rsidRPr="00066425">
        <w:rPr>
          <w:rFonts w:ascii="Arial" w:hAnsi="Arial" w:cs="Arial"/>
        </w:rPr>
        <w:t>“</w:t>
      </w:r>
      <w:r w:rsidRPr="00066425">
        <w:rPr>
          <w:rFonts w:ascii="Arial" w:hAnsi="Arial" w:cs="Arial"/>
          <w:i/>
          <w:iCs/>
        </w:rPr>
        <w:t>Seabed Warfare</w:t>
      </w:r>
      <w:r w:rsidRPr="00066425">
        <w:rPr>
          <w:rFonts w:ascii="Arial" w:hAnsi="Arial" w:cs="Arial"/>
        </w:rPr>
        <w:t xml:space="preserve">” platforms and their embarked </w:t>
      </w:r>
      <w:r w:rsidRPr="00066425">
        <w:rPr>
          <w:rFonts w:ascii="Arial" w:hAnsi="Arial" w:cs="Arial"/>
        </w:rPr>
        <w:t>capabilities</w:t>
      </w:r>
      <w:r w:rsidRPr="00066425">
        <w:rPr>
          <w:rFonts w:ascii="Arial" w:hAnsi="Arial" w:cs="Arial"/>
        </w:rPr>
        <w:t xml:space="preserve"> </w:t>
      </w:r>
      <w:r w:rsidRPr="00066425">
        <w:rPr>
          <w:rFonts w:ascii="Arial" w:hAnsi="Arial" w:cs="Arial"/>
        </w:rPr>
        <w:t xml:space="preserve">in isolation. And that this should </w:t>
      </w:r>
      <w:r w:rsidRPr="00066425">
        <w:rPr>
          <w:rFonts w:ascii="Arial" w:hAnsi="Arial" w:cs="Arial"/>
        </w:rPr>
        <w:t>form a</w:t>
      </w:r>
      <w:r w:rsidRPr="00066425">
        <w:rPr>
          <w:rFonts w:ascii="Arial" w:hAnsi="Arial" w:cs="Arial"/>
        </w:rPr>
        <w:t xml:space="preserve"> standalone</w:t>
      </w:r>
      <w:r w:rsidRPr="00066425">
        <w:rPr>
          <w:rFonts w:ascii="Arial" w:hAnsi="Arial" w:cs="Arial"/>
        </w:rPr>
        <w:t xml:space="preserve"> component of the miliary </w:t>
      </w:r>
      <w:r w:rsidRPr="00066425">
        <w:rPr>
          <w:rFonts w:ascii="Arial" w:hAnsi="Arial" w:cs="Arial"/>
        </w:rPr>
        <w:t>programme within a UK Seabed Protection Portfolio, as detailed in Figure (1).</w:t>
      </w:r>
      <w:r w:rsidRPr="00066425">
        <w:rPr>
          <w:rFonts w:ascii="Arial" w:hAnsi="Arial" w:cs="Arial"/>
        </w:rPr>
        <w:t xml:space="preserve"> Especially when considered against the necessity to mitigate against the factors of asymmetry and attribution through fielding a credible deterrence.</w:t>
      </w:r>
    </w:p>
    <w:p w:rsidR="00000000" w:rsidP="00137EB2">
      <w:pPr>
        <w:spacing w:after="0"/>
        <w:rPr>
          <w:rFonts w:ascii="Arial" w:hAnsi="Arial" w:cs="Arial"/>
        </w:rPr>
      </w:pPr>
      <w:r w:rsidRPr="00066425">
        <w:rPr>
          <w:rFonts w:ascii="Arial" w:hAnsi="Arial" w:cs="Arial"/>
        </w:rPr>
        <w:t xml:space="preserve">Furthermore, that this </w:t>
      </w:r>
      <w:r w:rsidRPr="00066425">
        <w:rPr>
          <w:rFonts w:ascii="Arial" w:hAnsi="Arial" w:cs="Arial"/>
        </w:rPr>
        <w:t xml:space="preserve">logic </w:t>
      </w:r>
      <w:r w:rsidRPr="00066425">
        <w:rPr>
          <w:rFonts w:ascii="Arial" w:hAnsi="Arial" w:cs="Arial"/>
        </w:rPr>
        <w:t>of mitigation may also be extrapolated out and applied to other components and aspects of the collective response, in</w:t>
      </w:r>
      <w:r w:rsidRPr="00066425">
        <w:rPr>
          <w:rFonts w:ascii="Arial" w:hAnsi="Arial" w:cs="Arial"/>
        </w:rPr>
        <w:t xml:space="preserve"> light of the committees consideration for limited resources within the context of its review. In short, that it</w:t>
      </w:r>
      <w:r w:rsidRPr="00066425">
        <w:rPr>
          <w:rFonts w:ascii="Arial" w:hAnsi="Arial" w:cs="Arial"/>
        </w:rPr>
        <w:t xml:space="preserve"> is the economical, effective, and efficient use of what we have that is important, vice the </w:t>
      </w:r>
      <w:r w:rsidRPr="00066425">
        <w:rPr>
          <w:rFonts w:ascii="Arial" w:hAnsi="Arial" w:cs="Arial"/>
        </w:rPr>
        <w:t xml:space="preserve">acquisition </w:t>
      </w:r>
      <w:r w:rsidRPr="00066425">
        <w:rPr>
          <w:rFonts w:ascii="Arial" w:hAnsi="Arial" w:cs="Arial"/>
        </w:rPr>
        <w:t xml:space="preserve">of new capability </w:t>
      </w:r>
      <w:r w:rsidRPr="00066425">
        <w:rPr>
          <w:rFonts w:ascii="Arial" w:hAnsi="Arial" w:cs="Arial"/>
        </w:rPr>
        <w:t>by process of volume, which is both expensive, and ineffective in isolation.</w:t>
      </w:r>
    </w:p>
    <w:p w:rsidR="00137EB2" w:rsidP="00137EB2">
      <w:pPr>
        <w:spacing w:after="0"/>
        <w:rPr>
          <w:rFonts w:ascii="Arial" w:hAnsi="Arial" w:cs="Arial"/>
        </w:rPr>
      </w:pPr>
    </w:p>
    <w:p w:rsidR="00137EB2" w:rsidRPr="00137EB2" w:rsidP="0098221E">
      <w:pPr>
        <w:rPr>
          <w:rFonts w:ascii="Arial" w:hAnsi="Arial" w:cs="Arial"/>
          <w:i/>
          <w:iCs/>
        </w:rPr>
      </w:pPr>
      <w:r w:rsidRPr="00137EB2">
        <w:rPr>
          <w:rFonts w:ascii="Arial" w:hAnsi="Arial" w:cs="Arial"/>
          <w:i/>
          <w:iCs/>
        </w:rPr>
        <w:t>12 March 2025</w:t>
      </w:r>
    </w:p>
    <w:sectPr w:rsidSect="00137EB2">
      <w:headerReference w:type="default" r:id="rId8"/>
      <w:footerReference w:type="default" r:id="rId9"/>
      <w:pgSz w:w="11906" w:h="16838"/>
      <w:pgMar w:top="1276" w:right="1021" w:bottom="1021"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55864871"/>
      <w:docPartObj>
        <w:docPartGallery w:val="Page Numbers (Bottom of Page)"/>
        <w:docPartUnique/>
      </w:docPartObj>
    </w:sdtPr>
    <w:sdtContent>
      <w:sdt>
        <w:sdtPr>
          <w:id w:val="-1769616900"/>
          <w:docPartObj>
            <w:docPartGallery w:val="Page Numbers (Top of Page)"/>
            <w:docPartUnique/>
          </w:docPartObj>
        </w:sdtPr>
        <w:sdtContent>
          <w:p w:rsidR="00000000">
            <w:pPr>
              <w:pStyle w:val="Footer"/>
              <w:jc w:val="right"/>
            </w:pPr>
          </w:p>
          <w:p w:rsidR="00000000">
            <w:pPr>
              <w:pStyle w:val="Footer"/>
              <w:jc w:val="right"/>
            </w:pPr>
          </w:p>
        </w:sdtContent>
      </w:sdt>
    </w:sdtContent>
  </w:sdt>
  <w:p w:rsidR="000000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1215C" w:rsidP="00CD0B0B">
      <w:pPr>
        <w:spacing w:after="0" w:line="240" w:lineRule="auto"/>
      </w:pPr>
      <w:r>
        <w:separator/>
      </w:r>
    </w:p>
  </w:footnote>
  <w:footnote w:type="continuationSeparator" w:id="1">
    <w:p w:rsidR="0011215C" w:rsidP="00CD0B0B">
      <w:pPr>
        <w:spacing w:after="0" w:line="240" w:lineRule="auto"/>
      </w:pPr>
      <w:r>
        <w:continuationSeparator/>
      </w:r>
    </w:p>
  </w:footnote>
  <w:footnote w:id="2">
    <w:p w:rsidR="00000000" w:rsidRPr="001A3D8E" w:rsidP="00CD0B0B">
      <w:pPr>
        <w:pStyle w:val="FootnoteText"/>
      </w:pPr>
      <w:r>
        <w:rPr>
          <w:rStyle w:val="FootnoteReference"/>
        </w:rPr>
        <w:footnoteRef/>
      </w:r>
      <w:r>
        <w:t xml:space="preserve"> French Ministry of Armed Forces (2022) </w:t>
      </w:r>
      <w:r>
        <w:rPr>
          <w:i/>
          <w:iCs/>
        </w:rPr>
        <w:t xml:space="preserve">Seabed Warfare </w:t>
      </w:r>
      <w:r w:rsidRPr="001A3D8E">
        <w:rPr>
          <w:i/>
          <w:iCs/>
        </w:rPr>
        <w:t>Strategy</w:t>
      </w:r>
      <w:r w:rsidRPr="001A3D8E">
        <w:t>. Ministère des Armées.</w:t>
      </w:r>
      <w:r>
        <w:t xml:space="preserve"> </w:t>
      </w:r>
      <w:r>
        <w:fldChar w:fldCharType="begin"/>
      </w:r>
      <w:r>
        <w:instrText xml:space="preserve"> HYPERLINK "https://www.archives.defense.gouv.fr/content/download/636001/10511909/file/20220214_FRENCH%20SEABED%20STRATEGY.pdf" </w:instrText>
      </w:r>
      <w:r>
        <w:fldChar w:fldCharType="separate"/>
      </w:r>
      <w:r w:rsidRPr="001A3D8E">
        <w:rPr>
          <w:rStyle w:val="Hyperlink"/>
        </w:rPr>
        <w:t>Online</w:t>
      </w:r>
      <w:r>
        <w:fldChar w:fldCharType="end"/>
      </w:r>
      <w:r>
        <w:t>.</w:t>
      </w:r>
    </w:p>
  </w:footnote>
  <w:footnote w:id="3">
    <w:p w:rsidR="00000000" w:rsidRPr="00DA0B1B" w:rsidP="00CD0B0B">
      <w:pPr>
        <w:pStyle w:val="FootnoteText"/>
      </w:pPr>
      <w:r>
        <w:rPr>
          <w:rStyle w:val="FootnoteReference"/>
        </w:rPr>
        <w:footnoteRef/>
      </w:r>
      <w:r>
        <w:t xml:space="preserve"> Hendriks, M., S. and Halem, H. (2024) </w:t>
      </w:r>
      <w:r>
        <w:rPr>
          <w:i/>
          <w:iCs/>
        </w:rPr>
        <w:t>From Space to seabed. Protecting the UK’s undersea cables from hostile actors</w:t>
      </w:r>
      <w:r>
        <w:t xml:space="preserve">. Policy Exchange. London. </w:t>
      </w:r>
      <w:r>
        <w:fldChar w:fldCharType="begin"/>
      </w:r>
      <w:r>
        <w:instrText xml:space="preserve"> HYPERLINK "https://policyexchange.org.uk/wp-content/uploads/From-space-to-seabed.pdf" </w:instrText>
      </w:r>
      <w:r>
        <w:fldChar w:fldCharType="separate"/>
      </w:r>
      <w:r w:rsidRPr="002C06CB">
        <w:rPr>
          <w:rStyle w:val="Hyperlink"/>
        </w:rPr>
        <w:t>Online</w:t>
      </w:r>
      <w:r>
        <w:fldChar w:fldCharType="end"/>
      </w:r>
      <w:r>
        <w:t>.</w:t>
      </w:r>
    </w:p>
  </w:footnote>
  <w:footnote w:id="4">
    <w:p w:rsidR="00000000" w:rsidRPr="00DD7853">
      <w:pPr>
        <w:pStyle w:val="FootnoteText"/>
      </w:pPr>
      <w:r>
        <w:rPr>
          <w:rStyle w:val="FootnoteReference"/>
        </w:rPr>
        <w:footnoteRef/>
      </w:r>
      <w:r>
        <w:t xml:space="preserve"> HM Government (2023) </w:t>
      </w:r>
      <w:r>
        <w:rPr>
          <w:i/>
          <w:iCs/>
        </w:rPr>
        <w:t>Systems Leadership Guide: how to be a systems leader</w:t>
      </w:r>
      <w:r>
        <w:t xml:space="preserve">. DESNZ, DBEIS. </w:t>
      </w:r>
      <w:r>
        <w:fldChar w:fldCharType="begin"/>
      </w:r>
      <w:r>
        <w:instrText xml:space="preserve"> HYPERLINK "https://www.gov.uk/government/publications/systems-leadership-guide-for-civil-servants/systems-leadership-guide-how-to-be-a-systems-leader" </w:instrText>
      </w:r>
      <w:r>
        <w:fldChar w:fldCharType="separate"/>
      </w:r>
      <w:r w:rsidRPr="00DD7853">
        <w:rPr>
          <w:rStyle w:val="Hyperlink"/>
        </w:rPr>
        <w:t>Online</w:t>
      </w:r>
      <w:r>
        <w:fldChar w:fldCharType="end"/>
      </w:r>
      <w:r>
        <w:t>.</w:t>
      </w:r>
    </w:p>
  </w:footnote>
  <w:footnote w:id="5">
    <w:p w:rsidR="00000000" w:rsidRPr="00DA0B1B" w:rsidP="00E110C1">
      <w:pPr>
        <w:pStyle w:val="FootnoteText"/>
      </w:pPr>
      <w:r>
        <w:rPr>
          <w:rStyle w:val="FootnoteReference"/>
        </w:rPr>
        <w:footnoteRef/>
      </w:r>
      <w:r>
        <w:t xml:space="preserve"> Hendriks, M., S. and Halem, H. (2024) </w:t>
      </w:r>
      <w:r>
        <w:rPr>
          <w:i/>
          <w:iCs/>
        </w:rPr>
        <w:t>From Space to seabed. Protecting the UK’s undersea cables from hostile actors</w:t>
      </w:r>
      <w:r>
        <w:t xml:space="preserve">. Policy Exchange. London. </w:t>
      </w:r>
      <w:r>
        <w:fldChar w:fldCharType="begin"/>
      </w:r>
      <w:r>
        <w:instrText xml:space="preserve"> HYPERLINK "https://policyexchange.org.uk/wp-content/uploads/From-space-to-seabed.pdf" </w:instrText>
      </w:r>
      <w:r>
        <w:fldChar w:fldCharType="separate"/>
      </w:r>
      <w:r w:rsidRPr="002C06CB">
        <w:rPr>
          <w:rStyle w:val="Hyperlink"/>
        </w:rPr>
        <w:t>Online</w:t>
      </w:r>
      <w:r>
        <w:fldChar w:fldCharType="end"/>
      </w:r>
      <w:r>
        <w:t>.</w:t>
      </w:r>
    </w:p>
  </w:footnote>
  <w:footnote w:id="6">
    <w:p w:rsidR="00000000" w:rsidP="000412E4">
      <w:pPr>
        <w:pStyle w:val="FootnoteText"/>
      </w:pPr>
      <w:r>
        <w:rPr>
          <w:rStyle w:val="FootnoteReference"/>
        </w:rPr>
        <w:footnoteRef/>
      </w:r>
      <w:r>
        <w:t xml:space="preserve"> Hendriks, M., S. and Halem, H. (2024)</w:t>
      </w:r>
    </w:p>
  </w:footnote>
  <w:footnote w:id="7">
    <w:p w:rsidR="00000000">
      <w:pPr>
        <w:pStyle w:val="FootnoteText"/>
      </w:pPr>
      <w:r>
        <w:rPr>
          <w:rStyle w:val="FootnoteReference"/>
        </w:rPr>
        <w:footnoteRef/>
      </w:r>
      <w:r>
        <w:t xml:space="preserve"> </w:t>
      </w:r>
      <w:r>
        <w:t xml:space="preserve">Brooke-Holland, L. (2023) Seabed warfare: Protecting the UK’s undersea infrastructure. House of Commons Library. </w:t>
      </w:r>
      <w:r>
        <w:fldChar w:fldCharType="begin"/>
      </w:r>
      <w:r>
        <w:instrText xml:space="preserve"> HYPERLINK "https://commonslibrary.parliament.uk/seabed-warfare-protecting-the-uks-undersea-infrastructure/" </w:instrText>
      </w:r>
      <w:r>
        <w:fldChar w:fldCharType="separate"/>
      </w:r>
      <w:r w:rsidRPr="00C66A8A">
        <w:rPr>
          <w:rStyle w:val="Hyperlink"/>
        </w:rPr>
        <w:t>Online</w:t>
      </w:r>
      <w:r>
        <w:fldChar w:fldCharType="end"/>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7EB2" w:rsidP="00137EB2">
    <w:pPr>
      <w:pStyle w:val="Header"/>
      <w:jc w:val="right"/>
    </w:pPr>
    <w:r>
      <w:t>USC0036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56B20"/>
    <w:multiLevelType w:val="hybridMultilevel"/>
    <w:tmpl w:val="35BE396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B854C83"/>
    <w:multiLevelType w:val="hybridMultilevel"/>
    <w:tmpl w:val="08E0EBC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481B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1B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B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B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B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B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B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B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B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B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1B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B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B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B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B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B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B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B78"/>
    <w:rPr>
      <w:rFonts w:eastAsiaTheme="majorEastAsia" w:cstheme="majorBidi"/>
      <w:color w:val="272727" w:themeColor="text1" w:themeTint="D8"/>
    </w:rPr>
  </w:style>
  <w:style w:type="paragraph" w:styleId="Title">
    <w:name w:val="Title"/>
    <w:basedOn w:val="Normal"/>
    <w:next w:val="Normal"/>
    <w:link w:val="TitleChar"/>
    <w:uiPriority w:val="10"/>
    <w:qFormat/>
    <w:rsid w:val="00481B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B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B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B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B78"/>
    <w:pPr>
      <w:spacing w:before="160"/>
      <w:jc w:val="center"/>
    </w:pPr>
    <w:rPr>
      <w:i/>
      <w:iCs/>
      <w:color w:val="404040" w:themeColor="text1" w:themeTint="BF"/>
    </w:rPr>
  </w:style>
  <w:style w:type="character" w:customStyle="1" w:styleId="QuoteChar">
    <w:name w:val="Quote Char"/>
    <w:basedOn w:val="DefaultParagraphFont"/>
    <w:link w:val="Quote"/>
    <w:uiPriority w:val="29"/>
    <w:rsid w:val="00481B78"/>
    <w:rPr>
      <w:i/>
      <w:iCs/>
      <w:color w:val="404040" w:themeColor="text1" w:themeTint="BF"/>
    </w:rPr>
  </w:style>
  <w:style w:type="paragraph" w:styleId="ListParagraph">
    <w:name w:val="List Paragraph"/>
    <w:basedOn w:val="Normal"/>
    <w:uiPriority w:val="34"/>
    <w:qFormat/>
    <w:rsid w:val="00481B78"/>
    <w:pPr>
      <w:ind w:left="720"/>
      <w:contextualSpacing/>
    </w:pPr>
  </w:style>
  <w:style w:type="character" w:styleId="IntenseEmphasis">
    <w:name w:val="Intense Emphasis"/>
    <w:basedOn w:val="DefaultParagraphFont"/>
    <w:uiPriority w:val="21"/>
    <w:qFormat/>
    <w:rsid w:val="00481B78"/>
    <w:rPr>
      <w:i/>
      <w:iCs/>
      <w:color w:val="0F4761" w:themeColor="accent1" w:themeShade="BF"/>
    </w:rPr>
  </w:style>
  <w:style w:type="paragraph" w:styleId="IntenseQuote">
    <w:name w:val="Intense Quote"/>
    <w:basedOn w:val="Normal"/>
    <w:next w:val="Normal"/>
    <w:link w:val="IntenseQuoteChar"/>
    <w:uiPriority w:val="30"/>
    <w:qFormat/>
    <w:rsid w:val="00481B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B78"/>
    <w:rPr>
      <w:i/>
      <w:iCs/>
      <w:color w:val="0F4761" w:themeColor="accent1" w:themeShade="BF"/>
    </w:rPr>
  </w:style>
  <w:style w:type="character" w:styleId="IntenseReference">
    <w:name w:val="Intense Reference"/>
    <w:basedOn w:val="DefaultParagraphFont"/>
    <w:uiPriority w:val="32"/>
    <w:qFormat/>
    <w:rsid w:val="00481B78"/>
    <w:rPr>
      <w:b/>
      <w:bCs/>
      <w:smallCaps/>
      <w:color w:val="0F4761" w:themeColor="accent1" w:themeShade="BF"/>
      <w:spacing w:val="5"/>
    </w:rPr>
  </w:style>
  <w:style w:type="paragraph" w:styleId="FootnoteText">
    <w:name w:val="footnote text"/>
    <w:basedOn w:val="Normal"/>
    <w:link w:val="FootnoteTextChar"/>
    <w:uiPriority w:val="99"/>
    <w:semiHidden/>
    <w:unhideWhenUsed/>
    <w:rsid w:val="00CD0B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D0B0B"/>
    <w:rPr>
      <w:sz w:val="20"/>
      <w:szCs w:val="20"/>
    </w:rPr>
  </w:style>
  <w:style w:type="character" w:styleId="FootnoteReference">
    <w:name w:val="footnote reference"/>
    <w:basedOn w:val="DefaultParagraphFont"/>
    <w:uiPriority w:val="99"/>
    <w:semiHidden/>
    <w:unhideWhenUsed/>
    <w:rsid w:val="00CD0B0B"/>
    <w:rPr>
      <w:vertAlign w:val="superscript"/>
    </w:rPr>
  </w:style>
  <w:style w:type="character" w:styleId="Hyperlink">
    <w:name w:val="Hyperlink"/>
    <w:basedOn w:val="DefaultParagraphFont"/>
    <w:uiPriority w:val="99"/>
    <w:unhideWhenUsed/>
    <w:rsid w:val="00CD0B0B"/>
    <w:rPr>
      <w:color w:val="467886" w:themeColor="hyperlink"/>
      <w:u w:val="single"/>
    </w:rPr>
  </w:style>
  <w:style w:type="paragraph" w:styleId="Header">
    <w:name w:val="header"/>
    <w:basedOn w:val="Normal"/>
    <w:link w:val="HeaderChar"/>
    <w:uiPriority w:val="99"/>
    <w:unhideWhenUsed/>
    <w:rsid w:val="00DD50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086"/>
  </w:style>
  <w:style w:type="paragraph" w:styleId="Footer">
    <w:name w:val="footer"/>
    <w:basedOn w:val="Normal"/>
    <w:link w:val="FooterChar"/>
    <w:uiPriority w:val="99"/>
    <w:unhideWhenUsed/>
    <w:rsid w:val="00DD50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086"/>
  </w:style>
  <w:style w:type="character" w:customStyle="1" w:styleId="UnresolvedMention1">
    <w:name w:val="Unresolved Mention1"/>
    <w:basedOn w:val="DefaultParagraphFont"/>
    <w:uiPriority w:val="99"/>
    <w:semiHidden/>
    <w:unhideWhenUsed/>
    <w:rsid w:val="00DD7853"/>
    <w:rPr>
      <w:color w:val="605E5C"/>
      <w:shd w:val="clear" w:color="auto" w:fill="E1DFDD"/>
    </w:rPr>
  </w:style>
  <w:style w:type="paragraph" w:styleId="Caption">
    <w:name w:val="caption"/>
    <w:basedOn w:val="Normal"/>
    <w:next w:val="Normal"/>
    <w:uiPriority w:val="35"/>
    <w:unhideWhenUsed/>
    <w:qFormat/>
    <w:rsid w:val="009C05D4"/>
    <w:pPr>
      <w:spacing w:after="200" w:line="240" w:lineRule="auto"/>
    </w:pPr>
    <w:rPr>
      <w:i/>
      <w:iCs/>
      <w:color w:val="0E2841" w:themeColor="text2"/>
      <w:sz w:val="18"/>
      <w:szCs w:val="18"/>
    </w:rPr>
  </w:style>
  <w:style w:type="paragraph" w:styleId="NoSpacing">
    <w:name w:val="No Spacing"/>
    <w:uiPriority w:val="1"/>
    <w:qFormat/>
    <w:rsid w:val="00E176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F4410-EC1E-4632-9808-432A78AE3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