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7353F" w:rsidP="00F12C2C">
      <w:pPr>
        <w:pStyle w:val="ListParagraph"/>
        <w:spacing w:line="276" w:lineRule="auto"/>
        <w:ind w:left="1440"/>
        <w:jc w:val="center"/>
        <w:rPr>
          <w:rFonts w:ascii="Calibri" w:hAnsi="Calibri" w:cs="Calibri"/>
          <w:b/>
          <w:bCs/>
        </w:rPr>
      </w:pPr>
      <w:r w:rsidRPr="00F12C2C">
        <w:rPr>
          <w:rFonts w:ascii="Calibri" w:hAnsi="Calibri" w:cs="Calibri"/>
          <w:b/>
          <w:bCs/>
        </w:rPr>
        <w:t>Written evidence submitted by The Bell Foundation (FES0173)</w:t>
      </w:r>
    </w:p>
    <w:p w:rsidR="00A70EBA" w:rsidRPr="00F12C2C" w:rsidP="00F12C2C">
      <w:pPr>
        <w:pStyle w:val="ListParagraph"/>
        <w:spacing w:line="276" w:lineRule="auto"/>
        <w:ind w:left="1440"/>
        <w:jc w:val="center"/>
        <w:rPr>
          <w:rFonts w:ascii="Calibri" w:hAnsi="Calibri" w:cs="Calibri"/>
          <w:b/>
          <w:bCs/>
        </w:rPr>
      </w:pPr>
    </w:p>
    <w:p w:rsidR="00A70EBA" w:rsidRPr="00A70EBA" w:rsidP="00A70EBA">
      <w:pPr>
        <w:spacing w:line="276" w:lineRule="auto"/>
        <w:rPr>
          <w:rFonts w:ascii="Calibri" w:hAnsi="Calibri" w:cs="Calibri"/>
          <w:b/>
          <w:bCs/>
        </w:rPr>
      </w:pPr>
      <w:r w:rsidRPr="00A70EBA">
        <w:rPr>
          <w:rFonts w:ascii="Calibri" w:hAnsi="Calibri" w:cs="Calibri"/>
          <w:b/>
          <w:bCs/>
        </w:rPr>
        <w:t>Further Education</w:t>
      </w:r>
    </w:p>
    <w:p w:rsidR="0087353F" w:rsidRPr="00F12C2C" w:rsidP="006D6053">
      <w:pPr>
        <w:pStyle w:val="ListParagraph"/>
        <w:spacing w:line="276" w:lineRule="auto"/>
        <w:ind w:left="1440"/>
        <w:rPr>
          <w:rFonts w:ascii="Calibri" w:hAnsi="Calibri" w:cs="Calibri"/>
          <w:b/>
          <w:bCs/>
        </w:rPr>
      </w:pPr>
    </w:p>
    <w:p w:rsidR="0087353F" w:rsidRPr="00F12C2C" w:rsidP="006D6053">
      <w:pPr>
        <w:pStyle w:val="ListParagraph"/>
        <w:spacing w:line="276" w:lineRule="auto"/>
        <w:rPr>
          <w:rFonts w:ascii="Calibri" w:hAnsi="Calibri" w:cs="Calibri"/>
          <w:b/>
          <w:bCs/>
        </w:rPr>
      </w:pPr>
      <w:r w:rsidRPr="00F12C2C">
        <w:rPr>
          <w:rFonts w:ascii="Calibri" w:hAnsi="Calibri" w:cs="Calibri"/>
          <w:b/>
          <w:bCs/>
        </w:rPr>
        <w:t>Introduction</w:t>
      </w:r>
    </w:p>
    <w:p w:rsidR="0087353F" w:rsidRPr="00F12C2C" w:rsidP="203256A6">
      <w:pPr>
        <w:pStyle w:val="ListParagraph"/>
        <w:numPr>
          <w:ilvl w:val="0"/>
          <w:numId w:val="14"/>
        </w:numPr>
        <w:spacing w:line="276" w:lineRule="auto"/>
        <w:rPr>
          <w:rFonts w:ascii="Calibri" w:hAnsi="Calibri" w:cs="Calibri"/>
          <w:color w:val="000000"/>
          <w:bdr w:val="nil"/>
          <w:lang w:val="en-GB"/>
        </w:rPr>
      </w:pPr>
      <w:r w:rsidRPr="00F12C2C">
        <w:rPr>
          <w:rFonts w:ascii="Calibri" w:hAnsi="Calibri" w:cs="Calibri"/>
          <w:color w:val="000000"/>
          <w:bdr w:val="nil"/>
        </w:rPr>
        <w:t xml:space="preserve">This submission sets out The Bell Foundation’s </w:t>
      </w:r>
      <w:r w:rsidRPr="00F12C2C">
        <w:rPr>
          <w:rFonts w:ascii="Calibri" w:hAnsi="Calibri" w:cs="Calibri"/>
          <w:color w:val="000000"/>
          <w:bdr w:val="nil"/>
        </w:rPr>
        <w:t xml:space="preserve">evidence and research on further education and skills in the context of the provision of English for speakers of other languages (ESOL) programmes. The Bell Foundation is a charity which aims to overcome exclusion through language education by working with partners on innovation, research, training and practical interventions. </w:t>
      </w:r>
      <w:r w:rsidRPr="00F12C2C">
        <w:rPr>
          <w:rFonts w:ascii="Calibri" w:hAnsi="Calibri" w:cs="Calibri"/>
          <w:color w:val="000000"/>
          <w:bdr w:val="nil"/>
          <w:lang w:val="en-GB"/>
        </w:rPr>
        <w:t xml:space="preserve">The sections below set out key points on the provision and quality of provision for learners of ESOL. </w:t>
      </w:r>
    </w:p>
    <w:p w:rsidR="0087353F" w:rsidRPr="00F12C2C" w:rsidP="00EB2E09">
      <w:pPr>
        <w:pStyle w:val="ListParagraph"/>
        <w:spacing w:line="276" w:lineRule="auto"/>
        <w:rPr>
          <w:rFonts w:ascii="Calibri" w:hAnsi="Calibri" w:cs="Calibri"/>
        </w:rPr>
      </w:pPr>
    </w:p>
    <w:p w:rsidR="0087353F" w:rsidRPr="00F12C2C" w:rsidP="203256A6">
      <w:pPr>
        <w:pStyle w:val="ListParagraph"/>
        <w:numPr>
          <w:ilvl w:val="0"/>
          <w:numId w:val="14"/>
        </w:numPr>
        <w:spacing w:after="0" w:line="276" w:lineRule="auto"/>
        <w:rPr>
          <w:rFonts w:ascii="Calibri" w:hAnsi="Calibri" w:cs="Calibri"/>
        </w:rPr>
      </w:pPr>
      <w:r w:rsidRPr="00F12C2C">
        <w:rPr>
          <w:rFonts w:ascii="Calibri" w:hAnsi="Calibri" w:cs="Calibri"/>
        </w:rPr>
        <w:t xml:space="preserve">For many speakers of English as a second or additional language in the UK, effective language provision can be lifechanging – the key to unlocking education, employment, and social opportunities. According to the 2021 Census data for England and Wales, there are more than one million people who do not speak English “well” or “at all”, more than one-third of whom are UK citizens with skills, knowledge, and experience that are unrecognised and underutilised because of the language barriers they face. </w:t>
      </w:r>
      <w:r w:rsidRPr="00F12C2C">
        <w:rPr>
          <w:rFonts w:ascii="Calibri" w:eastAsia="Arial" w:hAnsi="Calibri" w:cs="Calibri"/>
        </w:rPr>
        <w:t>Migrants and refugees bring a considerable knowledge and skills dividend. For example, the proportion of people with tertiary qualifications is high: in 2021, 50% were educated at tertiary level (compared to 39% of UK-born citizens)</w:t>
      </w:r>
      <w:r w:rsidRPr="00F12C2C">
        <w:rPr>
          <w:rFonts w:ascii="Calibri" w:eastAsia="Arial" w:hAnsi="Calibri" w:cs="Calibri"/>
          <w:vertAlign w:val="superscript"/>
        </w:rPr>
        <w:t>1</w:t>
      </w:r>
      <w:r w:rsidRPr="00F12C2C">
        <w:rPr>
          <w:rFonts w:ascii="Calibri" w:hAnsi="Calibri" w:cs="Calibri"/>
          <w:lang w:eastAsia="en-GB"/>
        </w:rPr>
        <w:t xml:space="preserve">; </w:t>
      </w:r>
      <w:r w:rsidRPr="00F12C2C">
        <w:rPr>
          <w:rFonts w:ascii="Calibri" w:eastAsia="Arial" w:hAnsi="Calibri" w:cs="Calibri"/>
        </w:rPr>
        <w:t>and the percentage of migrants with degrees increased by 8% in the decade leading up to 2020.</w:t>
      </w:r>
      <w:r w:rsidRPr="00F12C2C">
        <w:rPr>
          <w:rFonts w:ascii="Calibri" w:hAnsi="Calibri" w:cs="Calibri"/>
        </w:rPr>
        <w:t xml:space="preserve"> All too often this potential remains untapped because of language provision that is insufficient or inappropriate, leaving learners without the skills they need. </w:t>
      </w:r>
    </w:p>
    <w:p w:rsidR="0087353F" w:rsidRPr="00F12C2C" w:rsidP="203256A6">
      <w:pPr>
        <w:pStyle w:val="ListParagraph"/>
        <w:spacing w:after="0" w:line="276" w:lineRule="auto"/>
        <w:rPr>
          <w:rFonts w:ascii="Calibri" w:hAnsi="Calibri" w:cs="Calibri"/>
        </w:rPr>
      </w:pPr>
    </w:p>
    <w:p w:rsidR="0087353F" w:rsidRPr="00F12C2C" w:rsidP="203256A6">
      <w:pPr>
        <w:spacing w:after="0" w:line="276" w:lineRule="auto"/>
        <w:rPr>
          <w:rFonts w:ascii="Calibri" w:hAnsi="Calibri" w:cs="Calibri"/>
        </w:rPr>
      </w:pPr>
    </w:p>
    <w:p w:rsidR="0087353F" w:rsidRPr="00F12C2C" w:rsidP="006D6053">
      <w:pPr>
        <w:spacing w:after="0" w:line="276" w:lineRule="auto"/>
        <w:rPr>
          <w:rFonts w:ascii="Calibri" w:hAnsi="Calibri" w:cs="Calibri"/>
          <w:b/>
          <w:bCs/>
          <w:lang w:val="en-GB"/>
        </w:rPr>
      </w:pPr>
      <w:r w:rsidRPr="00F12C2C">
        <w:rPr>
          <w:rFonts w:ascii="Calibri" w:hAnsi="Calibri" w:cs="Calibri"/>
          <w:b/>
          <w:bCs/>
          <w:lang w:val="en-GB"/>
        </w:rPr>
        <w:t>Curriculum and qualifications in FE</w:t>
      </w:r>
    </w:p>
    <w:p w:rsidR="0087353F" w:rsidRPr="00F12C2C" w:rsidP="006D6053">
      <w:pPr>
        <w:pStyle w:val="ListParagraph"/>
        <w:spacing w:after="0" w:line="276" w:lineRule="auto"/>
        <w:rPr>
          <w:rFonts w:ascii="Calibri" w:hAnsi="Calibri" w:cs="Calibri"/>
          <w:b/>
          <w:bCs/>
          <w:lang w:val="en-GB"/>
        </w:rPr>
      </w:pPr>
    </w:p>
    <w:p w:rsidR="0087353F" w:rsidRPr="00F12C2C" w:rsidP="203256A6">
      <w:pPr>
        <w:pStyle w:val="ListParagraph"/>
        <w:numPr>
          <w:ilvl w:val="0"/>
          <w:numId w:val="14"/>
        </w:numPr>
        <w:rPr>
          <w:rFonts w:ascii="Calibri" w:hAnsi="Calibri" w:cs="Calibri"/>
          <w:lang w:val="en-GB"/>
        </w:rPr>
      </w:pPr>
      <w:r w:rsidRPr="00F12C2C">
        <w:rPr>
          <w:rFonts w:ascii="Calibri" w:hAnsi="Calibri" w:cs="Calibri"/>
          <w:lang w:val="en-GB"/>
        </w:rPr>
        <w:t>The data above exemplify the considerable potential of second language speakers who are UK citizens and/or are resident and have settled in the UK. However, the current curriculum, qualifications, teaching, learning and assessment do not always allow learners to learn effectively or at the right pace so that they can thrive in society and access further education and employment. Employers therefore are unable to recruit otherwise suitable employees because they lack sufficient English language skills. The f</w:t>
      </w:r>
      <w:r w:rsidRPr="00F12C2C">
        <w:rPr>
          <w:rFonts w:ascii="Calibri" w:hAnsi="Calibri" w:cs="Calibri"/>
          <w:lang w:val="en-GB"/>
        </w:rPr>
        <w:t>ollowing points identify areas for improvement, how they can be achieved and their benefits to the individual, society and the economy.</w:t>
      </w:r>
    </w:p>
    <w:p w:rsidR="0087353F" w:rsidRPr="00F12C2C" w:rsidP="006D6053">
      <w:pPr>
        <w:pStyle w:val="ListParagraph"/>
        <w:rPr>
          <w:rFonts w:ascii="Calibri" w:hAnsi="Calibri" w:cs="Calibri"/>
          <w:lang w:val="en-GB"/>
        </w:rPr>
      </w:pPr>
    </w:p>
    <w:p w:rsidR="0087353F" w:rsidRPr="00F12C2C" w:rsidP="69741C94">
      <w:pPr>
        <w:pStyle w:val="ListParagraph"/>
        <w:numPr>
          <w:ilvl w:val="0"/>
          <w:numId w:val="14"/>
        </w:numPr>
        <w:spacing w:after="0" w:line="276" w:lineRule="auto"/>
        <w:rPr>
          <w:rFonts w:ascii="Calibri" w:hAnsi="Calibri" w:cs="Calibri"/>
          <w:lang w:val="en-GB"/>
        </w:rPr>
      </w:pPr>
      <w:r w:rsidRPr="00F12C2C">
        <w:rPr>
          <w:rFonts w:ascii="Calibri" w:hAnsi="Calibri" w:cs="Calibri"/>
          <w:lang w:val="en-GB"/>
        </w:rPr>
        <w:t>The ESOL core curriculum is almost 25 years old, out of date and no longer in line with research evidence on second language acquisition. The curriculum is based on the national literacy standards for first-language English speakers resulting in learning goals which do not align with the needs of people whose first language is not English. This alignment of the ESOL curriculum with the literacy standards has led to  an overemphasis on literacy at the expense of oracy, ultimately having in a detrimental effe</w:t>
      </w:r>
      <w:r w:rsidRPr="00F12C2C">
        <w:rPr>
          <w:rFonts w:ascii="Calibri" w:hAnsi="Calibri" w:cs="Calibri"/>
          <w:lang w:val="en-GB"/>
        </w:rPr>
        <w:t>ct on the quality of provision and wasting learners’ time.</w:t>
      </w:r>
    </w:p>
    <w:p w:rsidR="0087353F" w:rsidRPr="00F12C2C" w:rsidP="01A4DC5E">
      <w:pPr>
        <w:pStyle w:val="ListParagraph"/>
        <w:spacing w:after="0" w:line="276" w:lineRule="auto"/>
        <w:rPr>
          <w:rFonts w:ascii="Calibri" w:hAnsi="Calibri" w:cs="Calibri"/>
          <w:lang w:val="en-GB"/>
        </w:rPr>
      </w:pPr>
    </w:p>
    <w:p w:rsidR="0087353F" w:rsidRPr="00F12C2C" w:rsidP="006D6053">
      <w:pPr>
        <w:pStyle w:val="ListParagraph"/>
        <w:numPr>
          <w:ilvl w:val="0"/>
          <w:numId w:val="14"/>
        </w:numPr>
        <w:rPr>
          <w:rFonts w:ascii="Calibri" w:hAnsi="Calibri" w:cs="Calibri"/>
          <w:lang w:val="en-GB"/>
        </w:rPr>
      </w:pPr>
      <w:r w:rsidRPr="00F12C2C">
        <w:rPr>
          <w:rFonts w:ascii="Calibri" w:hAnsi="Calibri" w:cs="Calibri"/>
          <w:lang w:val="en-GB"/>
        </w:rPr>
        <w:t xml:space="preserve">The grouping of oracy skills (listening and speaking) as one in the ESOL curriculum, and their assessment as one skill with one certificate for both is particularly problematic. As a result, the skill of listening is hardly taught and poorly examined. Listening is </w:t>
      </w:r>
      <w:r w:rsidRPr="00F12C2C">
        <w:rPr>
          <w:rFonts w:ascii="Calibri" w:hAnsi="Calibri" w:cs="Calibri"/>
          <w:i/>
          <w:iCs/>
          <w:lang w:val="en-GB"/>
        </w:rPr>
        <w:t xml:space="preserve">the </w:t>
      </w:r>
      <w:r w:rsidRPr="00F12C2C">
        <w:rPr>
          <w:rFonts w:ascii="Calibri" w:hAnsi="Calibri" w:cs="Calibri"/>
          <w:lang w:val="en-GB"/>
        </w:rPr>
        <w:t xml:space="preserve">key skill which underpins the development of language skills, as prolonged amounts of exposure to a language are a prerequisite to a person’s ability to speak that language. Without many hours of listening to a given language, learners will face a significant barrier to learning, especially in the early stages of learning English.  </w:t>
      </w:r>
    </w:p>
    <w:p w:rsidR="0087353F" w:rsidRPr="00F12C2C" w:rsidP="006D6053">
      <w:pPr>
        <w:pStyle w:val="ListParagraph"/>
        <w:spacing w:after="0" w:line="276" w:lineRule="auto"/>
        <w:rPr>
          <w:rFonts w:ascii="Calibri" w:hAnsi="Calibri" w:cs="Calibri"/>
          <w:lang w:val="en-GB"/>
        </w:rPr>
      </w:pPr>
    </w:p>
    <w:p w:rsidR="0087353F" w:rsidRPr="00F12C2C" w:rsidP="006D6053">
      <w:pPr>
        <w:pStyle w:val="ListParagraph"/>
        <w:numPr>
          <w:ilvl w:val="0"/>
          <w:numId w:val="14"/>
        </w:numPr>
        <w:rPr>
          <w:rFonts w:ascii="Calibri" w:hAnsi="Calibri" w:cs="Calibri"/>
          <w:lang w:val="en-GB"/>
        </w:rPr>
      </w:pPr>
      <w:r w:rsidRPr="00F12C2C">
        <w:rPr>
          <w:rFonts w:ascii="Calibri" w:hAnsi="Calibri" w:cs="Calibri"/>
          <w:lang w:val="en-GB"/>
        </w:rPr>
        <w:t>Having to work with an out-of-date ESOL core curriculum has affected teachers’ subject-specific knowledge and skills, and the quality of teaching, learning, and especially assessment. Initial and in-service training lack focus on the assessment of learners’ language skills as key to the planning and monitoring of learning. In addition, the long-term funding focus on beginner learners has affected the capacity of many teachers to teach the higher levels of English required to achieve ESOL Levels 1 and 2. Thi</w:t>
      </w:r>
      <w:r w:rsidRPr="00F12C2C">
        <w:rPr>
          <w:rFonts w:ascii="Calibri" w:hAnsi="Calibri" w:cs="Calibri"/>
          <w:lang w:val="en-GB"/>
        </w:rPr>
        <w:t xml:space="preserve">s means that there is work to do to upskill the teaching workforce. </w:t>
      </w:r>
    </w:p>
    <w:p w:rsidR="0087353F" w:rsidRPr="00F12C2C" w:rsidP="006D6053">
      <w:pPr>
        <w:pStyle w:val="ListParagraph"/>
        <w:spacing w:after="0" w:line="276" w:lineRule="auto"/>
        <w:rPr>
          <w:rFonts w:ascii="Calibri" w:hAnsi="Calibri" w:cs="Calibri"/>
          <w:lang w:val="en-GB"/>
        </w:rPr>
      </w:pPr>
    </w:p>
    <w:p w:rsidR="0087353F" w:rsidRPr="00F12C2C" w:rsidP="006D6053">
      <w:pPr>
        <w:pStyle w:val="ListParagraph"/>
        <w:numPr>
          <w:ilvl w:val="0"/>
          <w:numId w:val="14"/>
        </w:numPr>
        <w:rPr>
          <w:rFonts w:ascii="Calibri" w:hAnsi="Calibri" w:cs="Calibri"/>
          <w:lang w:val="en-GB"/>
        </w:rPr>
      </w:pPr>
      <w:r w:rsidRPr="00F12C2C">
        <w:rPr>
          <w:rFonts w:ascii="Calibri" w:hAnsi="Calibri" w:cs="Calibri"/>
          <w:lang w:val="en-GB"/>
        </w:rPr>
        <w:t xml:space="preserve">The focus on the 2001 ESOL core curriculum was on language for survival, and integration e.g. home and family, shopping, the use of public services and health care, with a much-reduced focus on language for study and employment, which leaves learners unprepared for progression onto vocational training and work.  This is an area for improvement under the government’s Skills for Growth agenda. </w:t>
      </w:r>
    </w:p>
    <w:p w:rsidR="0087353F" w:rsidRPr="00F12C2C" w:rsidP="006D6053">
      <w:pPr>
        <w:pStyle w:val="ListParagraph"/>
        <w:spacing w:after="0" w:line="276" w:lineRule="auto"/>
        <w:rPr>
          <w:rFonts w:ascii="Calibri" w:hAnsi="Calibri" w:cs="Calibri"/>
          <w:lang w:val="en-GB"/>
        </w:rPr>
      </w:pPr>
    </w:p>
    <w:p w:rsidR="0087353F" w:rsidRPr="00F12C2C" w:rsidP="006D6053">
      <w:pPr>
        <w:pStyle w:val="ListParagraph"/>
        <w:numPr>
          <w:ilvl w:val="0"/>
          <w:numId w:val="14"/>
        </w:numPr>
        <w:rPr>
          <w:rFonts w:ascii="Calibri" w:hAnsi="Calibri" w:cs="Calibri"/>
          <w:lang w:val="en-GB"/>
        </w:rPr>
      </w:pPr>
      <w:r w:rsidRPr="00F12C2C">
        <w:rPr>
          <w:rFonts w:ascii="Calibri" w:hAnsi="Calibri" w:cs="Calibri"/>
          <w:lang w:val="en-GB"/>
        </w:rPr>
        <w:t>Incorporating language for study will meet many learners’ aspirations to progress to mainstream</w:t>
      </w:r>
      <w:r>
        <w:rPr>
          <w:rFonts w:ascii="Calibri" w:hAnsi="Calibri" w:cs="Calibri"/>
          <w:vertAlign w:val="superscript"/>
          <w:lang w:val="en-GB"/>
        </w:rPr>
        <w:footnoteReference w:id="2"/>
      </w:r>
      <w:r w:rsidRPr="00F12C2C">
        <w:rPr>
          <w:rFonts w:ascii="Calibri" w:hAnsi="Calibri" w:cs="Calibri"/>
          <w:lang w:val="en-GB"/>
        </w:rPr>
        <w:t xml:space="preserve"> courses, such as health and social care, engineering and construction, IT, and childcare. Others need to take GCSEs to (re)qualify as nurses, social workers, and scientists. </w:t>
      </w:r>
    </w:p>
    <w:p w:rsidR="0087353F" w:rsidRPr="00F12C2C" w:rsidP="006D6053">
      <w:pPr>
        <w:pStyle w:val="ListParagraph"/>
        <w:spacing w:after="0" w:line="276" w:lineRule="auto"/>
        <w:rPr>
          <w:rFonts w:ascii="Calibri" w:hAnsi="Calibri" w:cs="Calibri"/>
          <w:lang w:val="en-GB"/>
        </w:rPr>
      </w:pPr>
    </w:p>
    <w:p w:rsidR="0087353F" w:rsidRPr="00F12C2C" w:rsidP="01A4DC5E">
      <w:pPr>
        <w:pStyle w:val="ListParagraph"/>
        <w:numPr>
          <w:ilvl w:val="0"/>
          <w:numId w:val="14"/>
        </w:numPr>
        <w:rPr>
          <w:rFonts w:ascii="Calibri" w:hAnsi="Calibri" w:cs="Calibri"/>
        </w:rPr>
      </w:pPr>
      <w:r w:rsidRPr="00F12C2C">
        <w:rPr>
          <w:rFonts w:ascii="Calibri" w:hAnsi="Calibri" w:cs="Calibri"/>
        </w:rPr>
        <w:t>Functional skills English (FSE), a qualification that was originally designed for learners who speak English as their first language, has become the default qualification for especially 16–19-year-olds on study programmes, once they have achieved Entry 3 ESOL.  Research</w:t>
      </w:r>
      <w:r>
        <w:rPr>
          <w:rFonts w:ascii="Calibri" w:hAnsi="Calibri" w:cs="Calibri"/>
          <w:vertAlign w:val="superscript"/>
        </w:rPr>
        <w:footnoteReference w:id="3"/>
      </w:r>
      <w:r w:rsidRPr="00F12C2C">
        <w:rPr>
          <w:rFonts w:ascii="Calibri" w:hAnsi="Calibri" w:cs="Calibri"/>
        </w:rPr>
        <w:t xml:space="preserve"> indicates that in many colleges there are more ESL learners on FSE provision than there are first language speakers. However, provision in many FES settings has not adapted to address the demographic changes in FSE cohorts. As a result, both FSE teachers who have not been trained to teach ESOL and those ESL learners who are not given the learning support that they need struggle with the current arrangements, and the latter do not always make the progress of which they are capable.  </w:t>
      </w:r>
    </w:p>
    <w:p w:rsidR="0087353F" w:rsidRPr="00F12C2C" w:rsidP="006D6053">
      <w:pPr>
        <w:pStyle w:val="ListParagraph"/>
        <w:rPr>
          <w:rFonts w:ascii="Calibri" w:hAnsi="Calibri" w:cs="Calibri"/>
          <w:lang w:val="en-GB"/>
        </w:rPr>
      </w:pPr>
    </w:p>
    <w:p w:rsidR="0087353F" w:rsidRPr="00F12C2C" w:rsidP="006D6053">
      <w:pPr>
        <w:pStyle w:val="ListParagraph"/>
        <w:numPr>
          <w:ilvl w:val="0"/>
          <w:numId w:val="14"/>
        </w:numPr>
        <w:rPr>
          <w:rFonts w:ascii="Calibri" w:hAnsi="Calibri" w:cs="Calibri"/>
          <w:lang w:val="en-GB"/>
        </w:rPr>
      </w:pPr>
      <w:r w:rsidRPr="00F12C2C">
        <w:rPr>
          <w:rFonts w:ascii="Calibri" w:hAnsi="Calibri" w:cs="Calibri"/>
          <w:lang w:val="en-GB"/>
        </w:rPr>
        <w:t xml:space="preserve">The quality of careers advice and guidance to ESOL learners requires improvement.  Providers do not always establish learners’ prior education, skills and experience, and their short and long-term aspirations. Learners report </w:t>
      </w:r>
      <w:r w:rsidRPr="00F12C2C">
        <w:rPr>
          <w:rFonts w:ascii="Calibri" w:hAnsi="Calibri" w:cs="Calibri"/>
        </w:rPr>
        <w:t xml:space="preserve">unclear or inaccurate information about accessing FE as a barrier to FE, are not always given </w:t>
      </w:r>
      <w:r w:rsidRPr="00F12C2C">
        <w:rPr>
          <w:rFonts w:ascii="Calibri" w:hAnsi="Calibri" w:cs="Calibri"/>
          <w:lang w:val="en-GB"/>
        </w:rPr>
        <w:t xml:space="preserve">advice and guidance on the likely level of language skills needed to achieve their long-term goals, as well as the best course options available. Providers should apply the Careers Education, Information, Advice and Guidance </w:t>
      </w:r>
      <w:r w:rsidRPr="00F12C2C">
        <w:rPr>
          <w:rFonts w:ascii="Calibri" w:hAnsi="Calibri" w:cs="Calibri"/>
          <w:lang w:val="en-GB"/>
        </w:rPr>
        <w:t>(CEIAG) principles and the Gatsby benchmarks</w:t>
      </w:r>
      <w:r w:rsidRPr="00F12C2C">
        <w:rPr>
          <w:rFonts w:ascii="Calibri" w:hAnsi="Calibri" w:cs="Calibri"/>
          <w:vertAlign w:val="superscript"/>
          <w:lang w:val="en-GB"/>
        </w:rPr>
        <w:t>2,3</w:t>
      </w:r>
      <w:r w:rsidRPr="00F12C2C">
        <w:rPr>
          <w:rFonts w:ascii="Calibri" w:hAnsi="Calibri" w:cs="Calibri"/>
          <w:lang w:val="en-GB"/>
        </w:rPr>
        <w:t xml:space="preserve"> used in the sector for learners whose first language is not English.</w:t>
      </w:r>
    </w:p>
    <w:p w:rsidR="0087353F" w:rsidRPr="00F12C2C" w:rsidP="006D6053">
      <w:pPr>
        <w:pStyle w:val="ListParagraph"/>
        <w:rPr>
          <w:rFonts w:ascii="Calibri" w:hAnsi="Calibri" w:cs="Calibri"/>
          <w:b/>
          <w:bCs/>
          <w:color w:val="0070C0"/>
        </w:rPr>
      </w:pPr>
    </w:p>
    <w:p w:rsidR="0087353F" w:rsidRPr="00F12C2C" w:rsidP="006D6053">
      <w:pPr>
        <w:pStyle w:val="ListParagraph"/>
        <w:numPr>
          <w:ilvl w:val="0"/>
          <w:numId w:val="14"/>
        </w:numPr>
        <w:rPr>
          <w:rFonts w:ascii="Calibri" w:hAnsi="Calibri" w:cs="Calibri"/>
          <w:lang w:val="en-GB"/>
        </w:rPr>
      </w:pPr>
      <w:r w:rsidRPr="00F12C2C">
        <w:rPr>
          <w:rFonts w:ascii="Calibri" w:hAnsi="Calibri" w:cs="Calibri"/>
        </w:rPr>
        <w:t>The following recommendations are likely to improve ESOL provision in FES settings:</w:t>
      </w:r>
    </w:p>
    <w:p w:rsidR="0087353F" w:rsidRPr="00F12C2C" w:rsidP="006D6053">
      <w:pPr>
        <w:pStyle w:val="ListParagraph"/>
        <w:numPr>
          <w:ilvl w:val="0"/>
          <w:numId w:val="15"/>
        </w:numPr>
        <w:spacing w:line="256" w:lineRule="auto"/>
        <w:rPr>
          <w:rFonts w:ascii="Calibri" w:hAnsi="Calibri" w:cs="Calibri"/>
        </w:rPr>
      </w:pPr>
      <w:r w:rsidRPr="00F12C2C">
        <w:rPr>
          <w:rFonts w:ascii="Calibri" w:hAnsi="Calibri" w:cs="Calibri"/>
        </w:rPr>
        <w:t>The development of standards which are ESOL language-specific and based on attested research. Standards are essential to arrive at rigorous qualifications which can be regulated by Ofqual, and from which curricula for learning can be constructed.</w:t>
      </w:r>
    </w:p>
    <w:p w:rsidR="0087353F" w:rsidRPr="00F12C2C" w:rsidP="006D6053">
      <w:pPr>
        <w:pStyle w:val="ListParagraph"/>
        <w:numPr>
          <w:ilvl w:val="0"/>
          <w:numId w:val="15"/>
        </w:numPr>
        <w:spacing w:line="256" w:lineRule="auto"/>
        <w:rPr>
          <w:rFonts w:ascii="Calibri" w:hAnsi="Calibri" w:cs="Calibri"/>
        </w:rPr>
      </w:pPr>
      <w:r w:rsidRPr="00F12C2C">
        <w:rPr>
          <w:rFonts w:ascii="Calibri" w:hAnsi="Calibri" w:cs="Calibri"/>
        </w:rPr>
        <w:t>Initial teacher education and continuing professional development programmes that cover up-to-date and evidence-informed subject-knowledge, teaching methodology and the assessment and its use to plan and monitor learning.</w:t>
      </w:r>
    </w:p>
    <w:p w:rsidR="0087353F" w:rsidRPr="00F12C2C" w:rsidP="006D6053">
      <w:pPr>
        <w:pStyle w:val="ListParagraph"/>
        <w:numPr>
          <w:ilvl w:val="0"/>
          <w:numId w:val="15"/>
        </w:numPr>
        <w:spacing w:line="256" w:lineRule="auto"/>
        <w:rPr>
          <w:rFonts w:ascii="Calibri" w:hAnsi="Calibri" w:cs="Calibri"/>
        </w:rPr>
      </w:pPr>
      <w:r w:rsidRPr="00F12C2C">
        <w:rPr>
          <w:rFonts w:ascii="Calibri" w:hAnsi="Calibri" w:cs="Calibri"/>
        </w:rPr>
        <w:t xml:space="preserve">Careers advice and guidance which are based on learners’ prior experience, skills and knowledge and which set out short- and long-term steps towards achieving goals. This should include language assessment across listening, speaking, reading and writing, as well as grammar and vocabulary knowledge. </w:t>
      </w:r>
    </w:p>
    <w:p w:rsidR="0087353F" w:rsidRPr="00F12C2C" w:rsidP="006D6053">
      <w:pPr>
        <w:pStyle w:val="ListParagraph"/>
        <w:numPr>
          <w:ilvl w:val="0"/>
          <w:numId w:val="15"/>
        </w:numPr>
        <w:spacing w:line="256" w:lineRule="auto"/>
        <w:rPr>
          <w:rFonts w:ascii="Calibri" w:hAnsi="Calibri" w:cs="Calibri"/>
        </w:rPr>
      </w:pPr>
      <w:r w:rsidRPr="00F12C2C">
        <w:rPr>
          <w:rFonts w:ascii="Calibri" w:hAnsi="Calibri" w:cs="Calibri"/>
        </w:rPr>
        <w:t>A balanced approach in the standards (and curricula) to language for daily life, study and employment, with an explicit focus on progression to vocational training and employment.</w:t>
      </w:r>
    </w:p>
    <w:p w:rsidR="0087353F" w:rsidRPr="00F12C2C" w:rsidP="006D6053">
      <w:pPr>
        <w:pStyle w:val="ListParagraph"/>
        <w:numPr>
          <w:ilvl w:val="0"/>
          <w:numId w:val="15"/>
        </w:numPr>
        <w:spacing w:line="256" w:lineRule="auto"/>
        <w:rPr>
          <w:rFonts w:ascii="Calibri" w:hAnsi="Calibri" w:cs="Calibri"/>
        </w:rPr>
      </w:pPr>
      <w:r w:rsidRPr="00F12C2C">
        <w:rPr>
          <w:rFonts w:ascii="Calibri" w:hAnsi="Calibri" w:cs="Calibri"/>
        </w:rPr>
        <w:t xml:space="preserve">The withdrawal of functional skills English as a qualification for people whose first language is not English.  </w:t>
      </w:r>
    </w:p>
    <w:p w:rsidR="0087353F" w:rsidRPr="00F12C2C" w:rsidP="006D6053">
      <w:pPr>
        <w:pStyle w:val="ListParagraph"/>
        <w:rPr>
          <w:rFonts w:ascii="Calibri" w:hAnsi="Calibri" w:cs="Calibri"/>
          <w:lang w:val="en-GB"/>
        </w:rPr>
      </w:pPr>
    </w:p>
    <w:p w:rsidR="0087353F" w:rsidRPr="00F12C2C" w:rsidP="006D6053">
      <w:pPr>
        <w:pStyle w:val="ListParagraph"/>
        <w:spacing w:after="0" w:line="276" w:lineRule="auto"/>
        <w:rPr>
          <w:rFonts w:ascii="Calibri" w:hAnsi="Calibri" w:cs="Calibri"/>
          <w:lang w:val="en-GB"/>
        </w:rPr>
      </w:pPr>
    </w:p>
    <w:p w:rsidR="0087353F" w:rsidRPr="00F12C2C" w:rsidP="006D6053">
      <w:pPr>
        <w:spacing w:after="0" w:line="276" w:lineRule="auto"/>
        <w:rPr>
          <w:rFonts w:ascii="Calibri" w:hAnsi="Calibri" w:cs="Calibri"/>
          <w:b/>
          <w:bCs/>
          <w:lang w:val="en-GB"/>
        </w:rPr>
      </w:pPr>
      <w:r w:rsidRPr="00F12C2C">
        <w:rPr>
          <w:rFonts w:ascii="Calibri" w:hAnsi="Calibri" w:cs="Calibri"/>
          <w:b/>
          <w:bCs/>
          <w:lang w:val="en-GB"/>
        </w:rPr>
        <w:t xml:space="preserve">Delivering FE </w:t>
      </w:r>
    </w:p>
    <w:p w:rsidR="0087353F" w:rsidRPr="00F12C2C" w:rsidP="006D6053">
      <w:pPr>
        <w:pStyle w:val="ListParagraph"/>
        <w:spacing w:after="0" w:line="276" w:lineRule="auto"/>
        <w:rPr>
          <w:rFonts w:ascii="Calibri" w:hAnsi="Calibri" w:cs="Calibri"/>
          <w:b/>
          <w:bCs/>
          <w:lang w:val="en-GB"/>
        </w:rPr>
      </w:pPr>
    </w:p>
    <w:p w:rsidR="0087353F" w:rsidRPr="00F12C2C" w:rsidP="006D6053">
      <w:pPr>
        <w:pStyle w:val="ListParagraph"/>
        <w:numPr>
          <w:ilvl w:val="0"/>
          <w:numId w:val="14"/>
        </w:numPr>
        <w:spacing w:after="0" w:line="276" w:lineRule="auto"/>
        <w:rPr>
          <w:rFonts w:ascii="Calibri" w:hAnsi="Calibri" w:cs="Calibri"/>
        </w:rPr>
      </w:pPr>
      <w:r w:rsidRPr="00F12C2C">
        <w:rPr>
          <w:rFonts w:ascii="Calibri" w:hAnsi="Calibri" w:cs="Calibri"/>
        </w:rPr>
        <w:t>ESOL provision has been negatively affected by cuts in funding from 2010, both in terms of funding per learner and the number of places available.</w:t>
      </w:r>
      <w:r w:rsidRPr="00F12C2C">
        <w:rPr>
          <w:rFonts w:ascii="Calibri" w:hAnsi="Calibri" w:cs="Calibri"/>
          <w:color w:val="57595A"/>
          <w:shd w:val="clear" w:color="auto" w:fill="FFFFFF"/>
        </w:rPr>
        <w:t xml:space="preserve"> </w:t>
      </w:r>
      <w:r w:rsidRPr="00F12C2C">
        <w:rPr>
          <w:rFonts w:ascii="Calibri" w:hAnsi="Calibri" w:cs="Calibri"/>
        </w:rPr>
        <w:t>Although demand for ESOL is rising (up by 17% since 2021), funding from the Adult Skills Fund (the ASF, formerly the Adult Education Budget) declined by 56% in real terms during the same period. However, this is against an increase in the number of new arrivals and continued low funding rates for ESOL provision. Yet the need for a skilled labour force with proficiency in the English language is greater than ever, as high demand in the labour market shows. The extra £300 million announced by the Chancellor i</w:t>
      </w:r>
      <w:r w:rsidRPr="00F12C2C">
        <w:rPr>
          <w:rFonts w:ascii="Calibri" w:hAnsi="Calibri" w:cs="Calibri"/>
        </w:rPr>
        <w:t xml:space="preserve">n the 2024 Budget is overshadowed by the recently announced 2% cut (£30 million) to the devolved ASF.  While the additional money provided will benefit learners aged 16 to 19, this excludes the majority of ESOL learners who begin studying after 19. </w:t>
      </w:r>
    </w:p>
    <w:p w:rsidR="0087353F" w:rsidRPr="00F12C2C" w:rsidP="006D6053">
      <w:pPr>
        <w:pStyle w:val="ListParagraph"/>
        <w:spacing w:after="0" w:line="276" w:lineRule="auto"/>
        <w:rPr>
          <w:rFonts w:ascii="Calibri" w:hAnsi="Calibri" w:cs="Calibri"/>
        </w:rPr>
      </w:pPr>
    </w:p>
    <w:p w:rsidR="0087353F" w:rsidRPr="00F12C2C" w:rsidP="006D6053">
      <w:pPr>
        <w:pStyle w:val="ListParagraph"/>
        <w:numPr>
          <w:ilvl w:val="0"/>
          <w:numId w:val="14"/>
        </w:numPr>
        <w:spacing w:after="0" w:line="276" w:lineRule="auto"/>
        <w:rPr>
          <w:rFonts w:ascii="Calibri" w:hAnsi="Calibri" w:cs="Calibri"/>
        </w:rPr>
      </w:pPr>
      <w:r w:rsidRPr="00F12C2C">
        <w:rPr>
          <w:rFonts w:ascii="Calibri" w:hAnsi="Calibri" w:cs="Calibri"/>
        </w:rPr>
        <w:t>The effective delivery of ESOL suffers from ESOL learners’ the absence of data currently being collected by the Department for Education on the number of 16–18-year-old learners on study programmes, despite the fact that many FE colleges have significant numbers of young learners in full-time ESOL provision. The lack of available and published data on ESOL learners affects not just 16-18 study programmes provision. The same problem arises with other further education and skills (FES) programmes: adult non-E</w:t>
      </w:r>
      <w:r w:rsidRPr="00F12C2C">
        <w:rPr>
          <w:rFonts w:ascii="Calibri" w:hAnsi="Calibri" w:cs="Calibri"/>
        </w:rPr>
        <w:t>SOL courses, vocational training/apprenticeships, functional skills qualifications, and provision for learners with high needs. This means that neither Government departments, providers nor Ofsted have information on the vast majority of second language learners, their numbers, progress, retention, and achievement.</w:t>
      </w:r>
    </w:p>
    <w:p w:rsidR="0087353F" w:rsidRPr="00F12C2C" w:rsidP="006D6053">
      <w:pPr>
        <w:spacing w:after="0" w:line="276" w:lineRule="auto"/>
        <w:rPr>
          <w:rFonts w:ascii="Calibri" w:hAnsi="Calibri" w:cs="Calibri"/>
        </w:rPr>
      </w:pPr>
    </w:p>
    <w:p w:rsidR="0087353F" w:rsidRPr="00F12C2C" w:rsidP="006D6053">
      <w:pPr>
        <w:pStyle w:val="ListParagraph"/>
        <w:numPr>
          <w:ilvl w:val="0"/>
          <w:numId w:val="14"/>
        </w:numPr>
        <w:spacing w:after="0" w:line="276" w:lineRule="auto"/>
        <w:rPr>
          <w:rFonts w:ascii="Calibri" w:hAnsi="Calibri" w:cs="Calibri"/>
          <w:b/>
          <w:bCs/>
        </w:rPr>
      </w:pPr>
      <w:r w:rsidRPr="00F12C2C">
        <w:rPr>
          <w:rFonts w:ascii="Calibri" w:hAnsi="Calibri" w:cs="Calibri"/>
          <w:b/>
          <w:bCs/>
        </w:rPr>
        <w:t xml:space="preserve">The Bell Foundation recommends the DfE should add an additional field marker to the Individualised Learner Record (ILR) which identifies learners whose first language is not English across the learning journey, from discrete ESOL to vocational/apprenticeships and educational courses. This is also key for Mayoral Combined Authorities who need data to align ESOL provision and outcomes to local, regional and national economic priorities. </w:t>
      </w:r>
    </w:p>
    <w:p w:rsidR="0087353F" w:rsidRPr="00F12C2C" w:rsidP="006D6053">
      <w:pPr>
        <w:pStyle w:val="ListParagraph"/>
        <w:spacing w:after="0" w:line="276" w:lineRule="auto"/>
        <w:rPr>
          <w:rFonts w:ascii="Calibri" w:hAnsi="Calibri" w:cs="Calibri"/>
        </w:rPr>
      </w:pPr>
    </w:p>
    <w:p w:rsidR="0087353F" w:rsidRPr="00F12C2C" w:rsidP="203256A6">
      <w:pPr>
        <w:spacing w:after="0" w:line="276" w:lineRule="auto"/>
        <w:ind w:left="720"/>
        <w:rPr>
          <w:rFonts w:ascii="Calibri" w:hAnsi="Calibri" w:cs="Calibri"/>
          <w:lang w:val="en-GB"/>
        </w:rPr>
      </w:pPr>
    </w:p>
    <w:p w:rsidR="0087353F" w:rsidRPr="00F12C2C" w:rsidP="006D6053">
      <w:pPr>
        <w:spacing w:line="276" w:lineRule="auto"/>
        <w:rPr>
          <w:rFonts w:ascii="Calibri" w:hAnsi="Calibri" w:cs="Calibri"/>
          <w:b/>
          <w:bCs/>
          <w:lang w:val="en-GB"/>
        </w:rPr>
      </w:pPr>
      <w:r w:rsidRPr="00F12C2C">
        <w:rPr>
          <w:rFonts w:ascii="Calibri" w:hAnsi="Calibri" w:cs="Calibri"/>
          <w:b/>
          <w:bCs/>
          <w:lang w:val="en-GB"/>
        </w:rPr>
        <w:t xml:space="preserve">Skills and Apprenticeships </w:t>
      </w:r>
    </w:p>
    <w:p w:rsidR="0087353F" w:rsidRPr="00F12C2C" w:rsidP="006D6053">
      <w:pPr>
        <w:pStyle w:val="ListParagraph"/>
        <w:spacing w:line="276" w:lineRule="auto"/>
        <w:rPr>
          <w:rFonts w:ascii="Calibri" w:hAnsi="Calibri" w:cs="Calibri"/>
          <w:b/>
          <w:bCs/>
          <w:lang w:val="en-GB"/>
        </w:rPr>
      </w:pPr>
    </w:p>
    <w:p w:rsidR="0087353F" w:rsidRPr="00F12C2C" w:rsidP="006D6053">
      <w:pPr>
        <w:pStyle w:val="ListParagraph"/>
        <w:numPr>
          <w:ilvl w:val="0"/>
          <w:numId w:val="14"/>
        </w:numPr>
        <w:spacing w:line="276" w:lineRule="auto"/>
        <w:rPr>
          <w:rFonts w:ascii="Calibri" w:hAnsi="Calibri" w:cs="Calibri"/>
        </w:rPr>
      </w:pPr>
      <w:r w:rsidRPr="00F12C2C">
        <w:rPr>
          <w:rFonts w:ascii="Calibri" w:hAnsi="Calibri" w:cs="Calibri"/>
        </w:rPr>
        <w:t>Many second language speakers already have work-related skills and experience which are of value to the UK economy and may serve to address existing skills gaps, especially among those who are UK citizens. They need appropriate English language provision to unlock their capacity to work and to contribute to meet industrial labour targets. This was recognised in last year’s ‘Get Britain Working’ white paper, which highlighted the role of ESOL alongside up-skilling individuals with digital skills and Maths de</w:t>
      </w:r>
      <w:r w:rsidRPr="00F12C2C">
        <w:rPr>
          <w:rFonts w:ascii="Calibri" w:hAnsi="Calibri" w:cs="Calibri"/>
        </w:rPr>
        <w:t xml:space="preserve">ficits as key areas for helping people re-engage in learning to upskill, retrain and progress into sustained employment. </w:t>
      </w:r>
    </w:p>
    <w:p w:rsidR="0087353F" w:rsidRPr="00F12C2C" w:rsidP="006D6053">
      <w:pPr>
        <w:pStyle w:val="ListParagraph"/>
        <w:spacing w:line="276" w:lineRule="auto"/>
        <w:ind w:left="780"/>
        <w:rPr>
          <w:rFonts w:ascii="Calibri" w:hAnsi="Calibri" w:cs="Calibri"/>
        </w:rPr>
      </w:pPr>
    </w:p>
    <w:p w:rsidR="0087353F" w:rsidRPr="00F12C2C" w:rsidP="006D6053">
      <w:pPr>
        <w:pStyle w:val="ListParagraph"/>
        <w:numPr>
          <w:ilvl w:val="0"/>
          <w:numId w:val="14"/>
        </w:numPr>
        <w:spacing w:after="0" w:line="276" w:lineRule="auto"/>
        <w:rPr>
          <w:rFonts w:ascii="Calibri" w:hAnsi="Calibri" w:cs="Calibri"/>
        </w:rPr>
      </w:pPr>
      <w:r w:rsidRPr="00F12C2C">
        <w:rPr>
          <w:rFonts w:ascii="Calibri" w:hAnsi="Calibri" w:cs="Calibri"/>
        </w:rPr>
        <w:t>The Bell Foundation welcomes the Government’s intent to bring together the forecasting and delivery of skills and Skills England’s role in delivering this. Second language speakers with existing skills and experience can be instrumental to filling jobs. Skills England is well placed to facilitate a national strategy for ESOL, in the face of recent years where ESOL policy, strategy, and funding have lacked clarity and direction and have been characterised by stop-start initiatives, cuts in funding, and chang</w:t>
      </w:r>
      <w:r w:rsidRPr="00F12C2C">
        <w:rPr>
          <w:rFonts w:ascii="Calibri" w:hAnsi="Calibri" w:cs="Calibri"/>
        </w:rPr>
        <w:t xml:space="preserve">es to eligibility criteria and multiple funding streams. This has resulted in a lack of coherence and direction. </w:t>
      </w:r>
    </w:p>
    <w:p w:rsidR="0087353F" w:rsidRPr="00F12C2C" w:rsidP="01A4DC5E">
      <w:pPr>
        <w:pStyle w:val="ListParagraph"/>
        <w:spacing w:after="0" w:line="276" w:lineRule="auto"/>
        <w:rPr>
          <w:rFonts w:ascii="Calibri" w:hAnsi="Calibri" w:cs="Calibri"/>
        </w:rPr>
      </w:pPr>
    </w:p>
    <w:p w:rsidR="0087353F" w:rsidRPr="00F12C2C" w:rsidP="006D6053">
      <w:pPr>
        <w:pStyle w:val="ListParagraph"/>
        <w:numPr>
          <w:ilvl w:val="0"/>
          <w:numId w:val="14"/>
        </w:numPr>
        <w:spacing w:after="0" w:line="276" w:lineRule="auto"/>
        <w:rPr>
          <w:rFonts w:ascii="Calibri" w:hAnsi="Calibri" w:cs="Calibri"/>
        </w:rPr>
      </w:pPr>
      <w:r w:rsidRPr="00F12C2C">
        <w:rPr>
          <w:rFonts w:ascii="Calibri" w:hAnsi="Calibri" w:cs="Calibri"/>
        </w:rPr>
        <w:t>While responsibility for the delivery of ESOL is increasingly decided at a local and regional level, a need remains for an overarching vision, strategy and plan for the future of ESOL provision. There is a need to identify where responsibility for this strategy will sit, and Skills England’s cross-government remit provides an opportunity to correspond with the very many departments and organisations involved with aspects such as policy, standards, qualifications, delivery, funding, examinations, teacher tra</w:t>
      </w:r>
      <w:r w:rsidRPr="00F12C2C">
        <w:rPr>
          <w:rFonts w:ascii="Calibri" w:hAnsi="Calibri" w:cs="Calibri"/>
        </w:rPr>
        <w:t>ining, audit, inspection and, lately, the mayoral combined authorities.</w:t>
      </w:r>
    </w:p>
    <w:p w:rsidR="0087353F" w:rsidRPr="00F12C2C" w:rsidP="203256A6">
      <w:pPr>
        <w:spacing w:after="0" w:line="276" w:lineRule="auto"/>
        <w:rPr>
          <w:rFonts w:ascii="Calibri" w:hAnsi="Calibri" w:cs="Calibri"/>
          <w:lang w:val="en-GB"/>
        </w:rPr>
      </w:pPr>
    </w:p>
    <w:p w:rsidR="0087353F" w:rsidRPr="00F12C2C" w:rsidP="203256A6">
      <w:pPr>
        <w:spacing w:after="0" w:line="276" w:lineRule="auto"/>
        <w:rPr>
          <w:rFonts w:ascii="Calibri" w:hAnsi="Calibri" w:cs="Calibri"/>
        </w:rPr>
      </w:pPr>
    </w:p>
    <w:p w:rsidR="0087353F" w:rsidRPr="00F12C2C" w:rsidP="203256A6">
      <w:pPr>
        <w:spacing w:after="0" w:line="276" w:lineRule="auto"/>
        <w:rPr>
          <w:rFonts w:ascii="Calibri" w:hAnsi="Calibri" w:cs="Calibri"/>
          <w:b/>
          <w:bCs/>
          <w:lang w:val="en-GB"/>
        </w:rPr>
      </w:pPr>
      <w:r w:rsidRPr="00F12C2C">
        <w:rPr>
          <w:rFonts w:ascii="Calibri" w:hAnsi="Calibri" w:cs="Calibri"/>
          <w:b/>
          <w:bCs/>
          <w:lang w:val="en-GB"/>
        </w:rPr>
        <w:t>Supporting young people and widening access.</w:t>
      </w:r>
    </w:p>
    <w:p w:rsidR="0087353F" w:rsidRPr="00F12C2C" w:rsidP="006D6053">
      <w:pPr>
        <w:pStyle w:val="ListParagraph"/>
        <w:spacing w:after="0" w:line="276" w:lineRule="auto"/>
        <w:rPr>
          <w:rFonts w:ascii="Calibri" w:hAnsi="Calibri" w:cs="Calibri"/>
        </w:rPr>
      </w:pPr>
    </w:p>
    <w:p w:rsidR="0087353F" w:rsidRPr="00F12C2C" w:rsidP="01A4DC5E">
      <w:pPr>
        <w:pStyle w:val="ListParagraph"/>
        <w:numPr>
          <w:ilvl w:val="0"/>
          <w:numId w:val="14"/>
        </w:numPr>
        <w:spacing w:after="0" w:line="276" w:lineRule="auto"/>
        <w:rPr>
          <w:rFonts w:ascii="Calibri" w:hAnsi="Calibri" w:cs="Calibri"/>
        </w:rPr>
      </w:pPr>
      <w:r w:rsidRPr="00F12C2C">
        <w:rPr>
          <w:rFonts w:ascii="Calibri" w:hAnsi="Calibri" w:cs="Calibri"/>
          <w:lang w:val="en-GB"/>
        </w:rPr>
        <w:t>While the language barriers to accessing FE for all people who are new to English or at the early stages of language acquisition are apparent, young people who arrive late in the UK education system as refugees or asylum seekers face particularly pronounced challenges. The Bell Foundation has supported Refugee Education UK’s report ‘Education for Late Arrivals’ which presents the findings of a study which surveyed</w:t>
      </w:r>
      <w:r w:rsidRPr="00F12C2C">
        <w:rPr>
          <w:rFonts w:ascii="Calibri" w:hAnsi="Calibri" w:cs="Calibri"/>
        </w:rPr>
        <w:t xml:space="preserve"> more than 400 individuals, predominantly charity, education and local government stakeholders.</w:t>
      </w:r>
    </w:p>
    <w:p w:rsidR="0087353F" w:rsidRPr="00F12C2C" w:rsidP="006D6053">
      <w:pPr>
        <w:pStyle w:val="ListParagraph"/>
        <w:spacing w:after="0" w:line="276" w:lineRule="auto"/>
        <w:rPr>
          <w:rFonts w:ascii="Calibri" w:hAnsi="Calibri" w:cs="Calibri"/>
        </w:rPr>
      </w:pPr>
    </w:p>
    <w:p w:rsidR="0087353F" w:rsidRPr="00F12C2C" w:rsidP="006D6053">
      <w:pPr>
        <w:pStyle w:val="ListParagraph"/>
        <w:numPr>
          <w:ilvl w:val="0"/>
          <w:numId w:val="14"/>
        </w:numPr>
        <w:spacing w:after="0" w:line="276" w:lineRule="auto"/>
        <w:rPr>
          <w:rFonts w:ascii="Calibri" w:hAnsi="Calibri" w:cs="Calibri"/>
        </w:rPr>
      </w:pPr>
      <w:r w:rsidRPr="00F12C2C">
        <w:rPr>
          <w:rFonts w:ascii="Calibri" w:hAnsi="Calibri" w:cs="Calibri"/>
        </w:rPr>
        <w:t>This research found that late arriving pupils encountered a number of common barriers to access. First among these is the lack of available FE spaces, with ESOL provision being full at the start of the year, making it difficult for in-year arrivals to access their desired course. This barrier may be addressed through the implementation of rolling enrolment for college courses, so that young people who arrive in an area in the middle of the year (including because of dispersal) are able to access education m</w:t>
      </w:r>
      <w:r w:rsidRPr="00F12C2C">
        <w:rPr>
          <w:rFonts w:ascii="Calibri" w:hAnsi="Calibri" w:cs="Calibri"/>
        </w:rPr>
        <w:t>ore quickly.</w:t>
      </w:r>
    </w:p>
    <w:p w:rsidR="0087353F" w:rsidRPr="00F12C2C" w:rsidP="006D6053">
      <w:pPr>
        <w:spacing w:after="0" w:line="276" w:lineRule="auto"/>
        <w:rPr>
          <w:rFonts w:ascii="Calibri" w:hAnsi="Calibri" w:cs="Calibri"/>
        </w:rPr>
      </w:pPr>
    </w:p>
    <w:p w:rsidR="0087353F" w:rsidRPr="00F12C2C" w:rsidP="006D6053">
      <w:pPr>
        <w:pStyle w:val="ListParagraph"/>
        <w:numPr>
          <w:ilvl w:val="0"/>
          <w:numId w:val="14"/>
        </w:numPr>
        <w:spacing w:after="0" w:line="276" w:lineRule="auto"/>
        <w:rPr>
          <w:rFonts w:ascii="Calibri" w:hAnsi="Calibri" w:cs="Calibri"/>
        </w:rPr>
      </w:pPr>
      <w:r w:rsidRPr="00F12C2C">
        <w:rPr>
          <w:rFonts w:ascii="Calibri" w:hAnsi="Calibri" w:cs="Calibri"/>
        </w:rPr>
        <w:t xml:space="preserve">Over half of survey respondents had encountered changes to or uncertainty with accommodation placements as a barrier to FE for late arrivals, while a lack of clear or accurate information about accessing FE and the complexity of admissions processes were also highlighted as common issues. </w:t>
      </w:r>
    </w:p>
    <w:p w:rsidR="0087353F" w:rsidRPr="00F12C2C" w:rsidP="006D6053">
      <w:pPr>
        <w:spacing w:after="0" w:line="276" w:lineRule="auto"/>
        <w:rPr>
          <w:rFonts w:ascii="Calibri" w:hAnsi="Calibri" w:cs="Calibri"/>
        </w:rPr>
      </w:pPr>
    </w:p>
    <w:p w:rsidR="0087353F" w:rsidRPr="00F12C2C" w:rsidP="203256A6">
      <w:pPr>
        <w:pStyle w:val="ListParagraph"/>
        <w:numPr>
          <w:ilvl w:val="0"/>
          <w:numId w:val="14"/>
        </w:numPr>
        <w:spacing w:after="0" w:line="276" w:lineRule="auto"/>
        <w:rPr>
          <w:rFonts w:ascii="Calibri" w:hAnsi="Calibri" w:cs="Calibri"/>
        </w:rPr>
      </w:pPr>
      <w:r w:rsidRPr="00F12C2C">
        <w:rPr>
          <w:rFonts w:ascii="Calibri" w:hAnsi="Calibri" w:cs="Calibri"/>
        </w:rPr>
        <w:t xml:space="preserve">Areas of good practice were identified in some colleges – notably Wirral Met College, the Warwickshire College Group, and the Heart of Yorkshire Education Group. These colleges demonstrated the benefits of enhanced and bespoke ESOL provision in college settings which is referred to as ‘ESOL Plus’. ESOL plus courses offer ESOL provision alongside subject-specific or vocational elements, including ESOL from Entry Level 1 through to Level 2 alongside qualifications or courses in different subjects – including </w:t>
      </w:r>
      <w:r w:rsidRPr="00F12C2C">
        <w:rPr>
          <w:rFonts w:ascii="Calibri" w:hAnsi="Calibri" w:cs="Calibri"/>
        </w:rPr>
        <w:t>Maths, digital skills, functional skills and science. This provides young people with the opportunity to develop their English language skills while also furthering their academic development and progression. The courses focus on progression, whether into other college courses or employment. For example, once students have made meaningful progress in ESOL early in the year, Warwickshire College Group collaborates with vocational course teachers across the wider college environment to provide taster sessions</w:t>
      </w:r>
      <w:r w:rsidRPr="00F12C2C">
        <w:rPr>
          <w:rFonts w:ascii="Calibri" w:hAnsi="Calibri" w:cs="Calibri"/>
        </w:rPr>
        <w:t xml:space="preserve"> in courses that students are interested in (such as engineering, ICT, plumbing or business). These taster courses help students develop the skills and knowledge they need to be accepted onto those vocational courses once they have graduated from the ESOL programme. </w:t>
      </w:r>
    </w:p>
    <w:p w:rsidR="0087353F" w:rsidRPr="00F12C2C" w:rsidP="203256A6">
      <w:pPr>
        <w:pStyle w:val="ListParagraph"/>
        <w:spacing w:after="0" w:line="276" w:lineRule="auto"/>
        <w:rPr>
          <w:rFonts w:ascii="Calibri" w:hAnsi="Calibri" w:cs="Calibri"/>
        </w:rPr>
      </w:pPr>
    </w:p>
    <w:p w:rsidR="0087353F" w:rsidRPr="00F12C2C" w:rsidP="203256A6">
      <w:pPr>
        <w:spacing w:after="0" w:line="276" w:lineRule="auto"/>
        <w:rPr>
          <w:rFonts w:ascii="Calibri" w:hAnsi="Calibri" w:cs="Calibri"/>
          <w:b/>
          <w:bCs/>
        </w:rPr>
      </w:pPr>
      <w:r w:rsidRPr="00F12C2C">
        <w:rPr>
          <w:rFonts w:ascii="Calibri" w:hAnsi="Calibri" w:cs="Calibri"/>
          <w:b/>
          <w:bCs/>
        </w:rPr>
        <w:t xml:space="preserve">Annex: ESOL Qualifications </w:t>
      </w:r>
    </w:p>
    <w:p w:rsidR="0087353F" w:rsidRPr="00F12C2C" w:rsidP="203256A6">
      <w:pPr>
        <w:spacing w:after="0" w:line="276" w:lineRule="auto"/>
        <w:rPr>
          <w:rFonts w:ascii="Calibri" w:hAnsi="Calibri" w:cs="Calibri"/>
          <w:b/>
          <w:bCs/>
        </w:rPr>
      </w:pPr>
    </w:p>
    <w:p w:rsidR="0087353F" w:rsidRPr="00F12C2C" w:rsidP="203256A6">
      <w:pPr>
        <w:pStyle w:val="ListParagraph"/>
        <w:numPr>
          <w:ilvl w:val="0"/>
          <w:numId w:val="14"/>
        </w:numPr>
        <w:spacing w:after="0" w:line="276" w:lineRule="auto"/>
        <w:rPr>
          <w:rFonts w:ascii="Calibri" w:hAnsi="Calibri" w:cs="Calibri"/>
        </w:rPr>
      </w:pPr>
      <w:r w:rsidRPr="00F12C2C">
        <w:rPr>
          <w:rFonts w:ascii="Calibri" w:hAnsi="Calibri" w:cs="Calibri"/>
        </w:rPr>
        <w:t>In the further education system, provision for second language English speakers is made through English for speakers of other languages (ESOL) courses. ESOL is fully funded for 16–18-year-old learners as part of their study programme. It can be the main element of a study programme or delivered alongside other qualifications (vocational courses, GCSEs, or Functional Skills). The number of 16–18-year-old learners enrolled in ESOL classes is unknown, because DfE data tables do not provide information on the n</w:t>
      </w:r>
      <w:r w:rsidRPr="00F12C2C">
        <w:rPr>
          <w:rFonts w:ascii="Calibri" w:hAnsi="Calibri" w:cs="Calibri"/>
        </w:rPr>
        <w:t>umber of young ESOL learners on study programmes. ESOL provision is fully funded only for specific groups of learners aged over 19: those who are unemployed and actively seeking work; those in low-paid work, if their annual earnings are below a set threshold, which varies by region; and asylum seekers who have been in the UK for at least six months and are waiting for a decision on their claim. Those learners who are not eligible for full funding have to pay a fee. 168,030 adults participated on an ESOL cou</w:t>
      </w:r>
      <w:r w:rsidRPr="00F12C2C">
        <w:rPr>
          <w:rFonts w:ascii="Calibri" w:hAnsi="Calibri" w:cs="Calibri"/>
        </w:rPr>
        <w:t>rse in 2024/2025 (DfE, 2025).</w:t>
      </w:r>
    </w:p>
    <w:p w:rsidR="0087353F" w:rsidRPr="00F12C2C" w:rsidP="203256A6">
      <w:pPr>
        <w:spacing w:after="0" w:line="276" w:lineRule="auto"/>
        <w:rPr>
          <w:rFonts w:ascii="Calibri" w:hAnsi="Calibri" w:cs="Calibri"/>
          <w:b/>
          <w:bCs/>
        </w:rPr>
      </w:pPr>
    </w:p>
    <w:p w:rsidR="0087353F" w:rsidRPr="00F12C2C" w:rsidP="203256A6">
      <w:pPr>
        <w:spacing w:after="0" w:line="276" w:lineRule="auto"/>
        <w:rPr>
          <w:rFonts w:ascii="Calibri" w:hAnsi="Calibri" w:cs="Calibri"/>
          <w:b/>
          <w:bCs/>
        </w:rPr>
      </w:pPr>
    </w:p>
    <w:p w:rsidR="0087353F" w:rsidRPr="00F12C2C" w:rsidP="203256A6">
      <w:pPr>
        <w:pStyle w:val="ListParagraph"/>
        <w:numPr>
          <w:ilvl w:val="0"/>
          <w:numId w:val="14"/>
        </w:numPr>
        <w:spacing w:after="0" w:line="276" w:lineRule="auto"/>
        <w:rPr>
          <w:rFonts w:ascii="Calibri" w:hAnsi="Calibri" w:cs="Calibri"/>
        </w:rPr>
      </w:pPr>
      <w:r w:rsidRPr="00F12C2C">
        <w:rPr>
          <w:rFonts w:ascii="Calibri" w:hAnsi="Calibri" w:cs="Calibri"/>
        </w:rPr>
        <w:t xml:space="preserve">In England, ESOL Skills for Life (ESOL SfL) is the main type of public fundable qualifications specifically intended for ESOL learners. These qualifications are available at five levels: Entry 1, Entry 2, Entry 3, Level 1 (the equivalent to </w:t>
      </w:r>
      <w:r w:rsidRPr="00F12C2C">
        <w:rPr>
          <w:rFonts w:ascii="Calibri" w:hAnsi="Calibri" w:cs="Calibri"/>
          <w:lang w:val="en-GB"/>
        </w:rPr>
        <w:t>GCSE grades 3, 2, 1 or grades D, E, F, G) a</w:t>
      </w:r>
      <w:r w:rsidRPr="00F12C2C">
        <w:rPr>
          <w:rFonts w:ascii="Calibri" w:hAnsi="Calibri" w:cs="Calibri"/>
        </w:rPr>
        <w:t xml:space="preserve">nd Level 2 (the equivalent to </w:t>
      </w:r>
      <w:r w:rsidRPr="00F12C2C">
        <w:rPr>
          <w:rFonts w:ascii="Calibri" w:hAnsi="Calibri" w:cs="Calibri"/>
          <w:lang w:val="en-GB"/>
        </w:rPr>
        <w:t>GCSE grades 9, 8, 7, 6, 5, 4 or grades A*, A, B, C)</w:t>
      </w:r>
      <w:r w:rsidRPr="00F12C2C">
        <w:rPr>
          <w:rFonts w:ascii="Calibri" w:hAnsi="Calibri" w:cs="Calibri"/>
        </w:rPr>
        <w:t xml:space="preserve">. They are derived from the Adult Literacy Standards for England and align with the Adult ESOL Core Curriculum. </w:t>
      </w:r>
    </w:p>
    <w:p w:rsidR="0087353F" w:rsidRPr="00F12C2C" w:rsidP="203256A6">
      <w:pPr>
        <w:pStyle w:val="ListParagraph"/>
        <w:rPr>
          <w:rFonts w:ascii="Calibri" w:hAnsi="Calibri" w:cs="Calibri"/>
        </w:rPr>
      </w:pPr>
    </w:p>
    <w:p w:rsidR="0087353F" w:rsidRPr="00F12C2C" w:rsidP="203256A6">
      <w:pPr>
        <w:pStyle w:val="ListParagraph"/>
        <w:numPr>
          <w:ilvl w:val="0"/>
          <w:numId w:val="14"/>
        </w:numPr>
        <w:spacing w:after="0" w:line="276" w:lineRule="auto"/>
        <w:rPr>
          <w:rFonts w:ascii="Calibri" w:hAnsi="Calibri" w:cs="Calibri"/>
        </w:rPr>
      </w:pPr>
      <w:r w:rsidRPr="00F12C2C">
        <w:rPr>
          <w:rFonts w:ascii="Calibri" w:hAnsi="Calibri" w:cs="Calibri"/>
        </w:rPr>
        <w:t xml:space="preserve">ESOL learners are sometimes encouraged to work towards qualifications designed primarily for first-language English speakers – e.g. Functional Skills English, Essential Communication Skills, Essential Skills Communication/Literacy or GCSE English. </w:t>
      </w:r>
      <w:r w:rsidRPr="00F12C2C">
        <w:rPr>
          <w:rFonts w:ascii="Calibri" w:hAnsi="Calibri" w:cs="Calibri"/>
          <w:lang w:val="en-GB"/>
        </w:rPr>
        <w:t xml:space="preserve">Where ESOL learners are </w:t>
      </w:r>
      <w:r w:rsidRPr="00F12C2C">
        <w:rPr>
          <w:rFonts w:ascii="Calibri" w:hAnsi="Calibri" w:cs="Calibri"/>
        </w:rPr>
        <w:t xml:space="preserve">not </w:t>
      </w:r>
      <w:r w:rsidRPr="00F12C2C">
        <w:rPr>
          <w:rFonts w:ascii="Calibri" w:hAnsi="Calibri" w:cs="Calibri"/>
          <w:lang w:val="en-GB"/>
        </w:rPr>
        <w:t>working towards a regulated qualification, it is usual for the progress they have made as a result of their course to be recognised in some way. Some awarding bodies offer non-regulated accreditation for Pre-Entry (below Entry 1) learners, although non-accredited provision might also involve internal mechanisms such as a ‘college certificate.’ Any publicly funded ESOL provision that does not involve achievement of regulated qualifications is normally tracked through a process kno</w:t>
      </w:r>
      <w:r w:rsidRPr="00F12C2C">
        <w:rPr>
          <w:rFonts w:ascii="Calibri" w:hAnsi="Calibri" w:cs="Calibri"/>
          <w:lang w:val="en-GB"/>
        </w:rPr>
        <w:t>wn as RARPA (Recognising And Recording Progress and Achievement).</w:t>
      </w:r>
    </w:p>
    <w:p w:rsidR="0087353F" w:rsidRPr="00F12C2C" w:rsidP="006D6053">
      <w:pPr>
        <w:spacing w:after="0" w:line="276" w:lineRule="auto"/>
        <w:rPr>
          <w:rFonts w:ascii="Calibri" w:hAnsi="Calibri" w:cs="Calibri"/>
        </w:rPr>
      </w:pPr>
    </w:p>
    <w:p w:rsidR="0087353F" w:rsidRPr="00F12C2C" w:rsidP="006D6053">
      <w:pPr>
        <w:spacing w:after="0" w:line="276" w:lineRule="auto"/>
        <w:rPr>
          <w:rFonts w:ascii="Calibri" w:hAnsi="Calibri" w:cs="Calibri"/>
          <w:lang w:val="en-GB"/>
        </w:rPr>
      </w:pPr>
    </w:p>
    <w:p w:rsidR="0087353F" w:rsidRPr="00A70EBA" w:rsidP="006D6053">
      <w:pPr>
        <w:spacing w:after="0" w:line="276" w:lineRule="auto"/>
        <w:rPr>
          <w:rFonts w:ascii="Calibri" w:hAnsi="Calibri" w:cs="Calibri"/>
          <w:i/>
          <w:iCs/>
          <w:lang w:val="en-GB"/>
        </w:rPr>
      </w:pPr>
      <w:r w:rsidRPr="00A70EBA">
        <w:rPr>
          <w:rFonts w:ascii="Calibri" w:hAnsi="Calibri" w:cs="Calibri"/>
          <w:i/>
          <w:iCs/>
          <w:lang w:val="en-GB"/>
        </w:rPr>
        <w:t>March 2025</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70EBA" w:rsidP="000E2ED9">
      <w:pPr>
        <w:spacing w:after="0" w:line="240" w:lineRule="auto"/>
      </w:pPr>
      <w:r>
        <w:separator/>
      </w:r>
    </w:p>
  </w:footnote>
  <w:footnote w:type="continuationSeparator" w:id="1">
    <w:p w:rsidR="00A70EBA" w:rsidP="000E2ED9">
      <w:pPr>
        <w:spacing w:after="0" w:line="240" w:lineRule="auto"/>
      </w:pPr>
      <w:r>
        <w:continuationSeparator/>
      </w:r>
    </w:p>
  </w:footnote>
  <w:footnote w:id="2">
    <w:p w:rsidR="0087353F" w:rsidRPr="00CA16FD" w:rsidP="00CA16FD">
      <w:pPr>
        <w:pStyle w:val="FootnoteText"/>
        <w:rPr>
          <w:rFonts w:ascii="Arial" w:hAnsi="Arial" w:cs="Arial"/>
        </w:rPr>
      </w:pPr>
      <w:r w:rsidRPr="00CA16FD">
        <w:rPr>
          <w:rStyle w:val="FootnoteReference"/>
          <w:rFonts w:ascii="Arial" w:hAnsi="Arial" w:cs="Arial"/>
        </w:rPr>
        <w:footnoteRef/>
      </w:r>
      <w:r w:rsidRPr="00CA16FD">
        <w:rPr>
          <w:rFonts w:ascii="Arial" w:hAnsi="Arial" w:cs="Arial"/>
        </w:rPr>
        <w:t xml:space="preserve"> The term “mainstream” provision is commonly used to refer to general vocational and educational courses</w:t>
      </w:r>
    </w:p>
  </w:footnote>
  <w:footnote w:id="3">
    <w:p w:rsidR="0087353F" w:rsidRPr="00CA16FD" w:rsidP="00CA16FD">
      <w:pPr>
        <w:pStyle w:val="FootnoteText"/>
        <w:rPr>
          <w:rFonts w:ascii="Arial" w:hAnsi="Arial" w:cs="Arial"/>
        </w:rPr>
      </w:pPr>
      <w:r w:rsidRPr="00CA16FD">
        <w:rPr>
          <w:rStyle w:val="FootnoteReference"/>
          <w:rFonts w:ascii="Arial" w:hAnsi="Arial" w:cs="Arial"/>
        </w:rPr>
        <w:footnoteRef/>
      </w:r>
      <w:r w:rsidRPr="00CA16FD">
        <w:rPr>
          <w:rFonts w:ascii="Arial" w:hAnsi="Arial" w:cs="Arial"/>
        </w:rPr>
        <w:t xml:space="preserve"> </w:t>
      </w:r>
      <w:r>
        <w:fldChar w:fldCharType="begin"/>
      </w:r>
      <w:r>
        <w:instrText xml:space="preserve"> HYPERLINK "https://www.et-foundation.co.uk/wp-content/uploads/2021/04/ESOL-Learners-and-Functional-Skills-English-2021.pdf" </w:instrText>
      </w:r>
      <w:r>
        <w:fldChar w:fldCharType="separate"/>
      </w:r>
      <w:r w:rsidRPr="00CA16FD">
        <w:rPr>
          <w:rStyle w:val="Hyperlink"/>
          <w:rFonts w:ascii="Arial" w:eastAsia="Times New Roman" w:hAnsi="Arial" w:cs="Arial"/>
          <w:color w:val="50585A"/>
          <w:lang w:eastAsia="en-GB"/>
        </w:rPr>
        <w:t>Participation of ESOL learners on Functional Skills (FS) English courses</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747CF9"/>
    <w:multiLevelType w:val="hybridMultilevel"/>
    <w:tmpl w:val="14043EB6"/>
    <w:lvl w:ilvl="0">
      <w:start w:val="1"/>
      <w:numFmt w:val="bullet"/>
      <w:lvlText w:val=""/>
      <w:lvlJc w:val="left"/>
      <w:pPr>
        <w:ind w:left="1211" w:hanging="360"/>
      </w:pPr>
      <w:rPr>
        <w:rFonts w:ascii="Symbol" w:hAnsi="Symbol" w:hint="default"/>
        <w:b w:val="0"/>
        <w:bCs w:val="0"/>
      </w:rPr>
    </w:lvl>
    <w:lvl w:ilvl="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1">
    <w:nsid w:val="06F5037D"/>
    <w:multiLevelType w:val="multilevel"/>
    <w:tmpl w:val="FD3A2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E15B75"/>
    <w:multiLevelType w:val="hybridMultilevel"/>
    <w:tmpl w:val="A2ECC6C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04C0CC2"/>
    <w:multiLevelType w:val="hybridMultilevel"/>
    <w:tmpl w:val="2BD8513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166527F"/>
    <w:multiLevelType w:val="multilevel"/>
    <w:tmpl w:val="2160D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287C61"/>
    <w:multiLevelType w:val="hybridMultilevel"/>
    <w:tmpl w:val="AD5C47B0"/>
    <w:lvl w:ilvl="0">
      <w:start w:val="0"/>
      <w:numFmt w:val="bullet"/>
      <w:lvlText w:val="-"/>
      <w:lvlJc w:val="left"/>
      <w:pPr>
        <w:ind w:left="720" w:hanging="360"/>
      </w:pPr>
      <w:rPr>
        <w:rFonts w:ascii="Aptos" w:hAnsi="Aptos" w:eastAsiaTheme="minorEastAsia"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92C5ECB"/>
    <w:multiLevelType w:val="hybridMultilevel"/>
    <w:tmpl w:val="DB5C144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B005F1B"/>
    <w:multiLevelType w:val="hybridMultilevel"/>
    <w:tmpl w:val="A7086A86"/>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3516027"/>
    <w:multiLevelType w:val="multilevel"/>
    <w:tmpl w:val="14D46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4DA4B99"/>
    <w:multiLevelType w:val="multilevel"/>
    <w:tmpl w:val="F9D02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83C0E3F"/>
    <w:multiLevelType w:val="multilevel"/>
    <w:tmpl w:val="8682A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89564F3"/>
    <w:multiLevelType w:val="hybridMultilevel"/>
    <w:tmpl w:val="CE422F3A"/>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7397410F"/>
    <w:multiLevelType w:val="multilevel"/>
    <w:tmpl w:val="25884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AA30E16"/>
    <w:multiLevelType w:val="hybridMultilevel"/>
    <w:tmpl w:val="0D78F02A"/>
    <w:lvl w:ilvl="0">
      <w:start w:val="1"/>
      <w:numFmt w:val="bullet"/>
      <w:lvlText w:val=""/>
      <w:lvlJc w:val="left"/>
      <w:pPr>
        <w:ind w:left="1069" w:hanging="360"/>
      </w:pPr>
      <w:rPr>
        <w:rFonts w:ascii="Symbol" w:hAnsi="Symbol"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8"/>
  </w:num>
  <w:num w:numId="2">
    <w:abstractNumId w:val="4"/>
  </w:num>
  <w:num w:numId="3">
    <w:abstractNumId w:val="12"/>
  </w:num>
  <w:num w:numId="4">
    <w:abstractNumId w:val="1"/>
  </w:num>
  <w:num w:numId="5">
    <w:abstractNumId w:val="5"/>
  </w:num>
  <w:num w:numId="6">
    <w:abstractNumId w:val="9"/>
  </w:num>
  <w:num w:numId="7">
    <w:abstractNumId w:val="2"/>
  </w:num>
  <w:num w:numId="8">
    <w:abstractNumId w:val="1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3"/>
  </w:num>
  <w:num w:numId="12">
    <w:abstractNumId w:val="3"/>
  </w:num>
  <w:num w:numId="13">
    <w:abstractNumId w:val="6"/>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BE62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62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62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62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62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62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62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62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62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221"/>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E6221"/>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E6221"/>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E6221"/>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E6221"/>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E6221"/>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E6221"/>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E6221"/>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E6221"/>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E62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221"/>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E62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221"/>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E6221"/>
    <w:pPr>
      <w:spacing w:before="160"/>
      <w:jc w:val="center"/>
    </w:pPr>
    <w:rPr>
      <w:i/>
      <w:iCs/>
      <w:color w:val="404040" w:themeColor="text1" w:themeTint="BF"/>
    </w:rPr>
  </w:style>
  <w:style w:type="character" w:customStyle="1" w:styleId="QuoteChar">
    <w:name w:val="Quote Char"/>
    <w:basedOn w:val="DefaultParagraphFont"/>
    <w:link w:val="Quote"/>
    <w:uiPriority w:val="29"/>
    <w:rsid w:val="00BE6221"/>
    <w:rPr>
      <w:i/>
      <w:iCs/>
      <w:color w:val="404040" w:themeColor="text1" w:themeTint="BF"/>
      <w:lang w:val="en-US"/>
    </w:rPr>
  </w:style>
  <w:style w:type="paragraph" w:styleId="ListParagraph">
    <w:name w:val="List Paragraph"/>
    <w:basedOn w:val="Normal"/>
    <w:uiPriority w:val="34"/>
    <w:qFormat/>
    <w:rsid w:val="00BE6221"/>
    <w:pPr>
      <w:ind w:left="720"/>
      <w:contextualSpacing/>
    </w:pPr>
  </w:style>
  <w:style w:type="character" w:styleId="IntenseEmphasis">
    <w:name w:val="Intense Emphasis"/>
    <w:basedOn w:val="DefaultParagraphFont"/>
    <w:uiPriority w:val="21"/>
    <w:qFormat/>
    <w:rsid w:val="00BE6221"/>
    <w:rPr>
      <w:i/>
      <w:iCs/>
      <w:color w:val="0F4761" w:themeColor="accent1" w:themeShade="BF"/>
    </w:rPr>
  </w:style>
  <w:style w:type="paragraph" w:styleId="IntenseQuote">
    <w:name w:val="Intense Quote"/>
    <w:basedOn w:val="Normal"/>
    <w:next w:val="Normal"/>
    <w:link w:val="IntenseQuoteChar"/>
    <w:uiPriority w:val="30"/>
    <w:qFormat/>
    <w:rsid w:val="00BE62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221"/>
    <w:rPr>
      <w:i/>
      <w:iCs/>
      <w:color w:val="0F4761" w:themeColor="accent1" w:themeShade="BF"/>
      <w:lang w:val="en-US"/>
    </w:rPr>
  </w:style>
  <w:style w:type="character" w:styleId="IntenseReference">
    <w:name w:val="Intense Reference"/>
    <w:basedOn w:val="DefaultParagraphFont"/>
    <w:uiPriority w:val="32"/>
    <w:qFormat/>
    <w:rsid w:val="00BE6221"/>
    <w:rPr>
      <w:b/>
      <w:bCs/>
      <w:smallCaps/>
      <w:color w:val="0F4761" w:themeColor="accent1" w:themeShade="BF"/>
      <w:spacing w:val="5"/>
    </w:rPr>
  </w:style>
  <w:style w:type="character" w:styleId="Hyperlink">
    <w:name w:val="Hyperlink"/>
    <w:basedOn w:val="DefaultParagraphFont"/>
    <w:uiPriority w:val="99"/>
    <w:unhideWhenUsed/>
    <w:rsid w:val="004C6222"/>
    <w:rPr>
      <w:color w:val="467886" w:themeColor="hyperlink"/>
      <w:u w:val="single"/>
    </w:rPr>
  </w:style>
  <w:style w:type="character" w:customStyle="1" w:styleId="UnresolvedMention1">
    <w:name w:val="Unresolved Mention1"/>
    <w:basedOn w:val="DefaultParagraphFont"/>
    <w:uiPriority w:val="99"/>
    <w:semiHidden/>
    <w:unhideWhenUsed/>
    <w:rsid w:val="004C6222"/>
    <w:rPr>
      <w:color w:val="605E5C"/>
      <w:shd w:val="clear" w:color="auto" w:fill="E1DFDD"/>
    </w:rPr>
  </w:style>
  <w:style w:type="paragraph" w:styleId="FootnoteText">
    <w:name w:val="footnote text"/>
    <w:basedOn w:val="Normal"/>
    <w:link w:val="FootnoteTextChar"/>
    <w:uiPriority w:val="99"/>
    <w:semiHidden/>
    <w:unhideWhenUsed/>
    <w:rsid w:val="000E2E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2ED9"/>
    <w:rPr>
      <w:sz w:val="20"/>
      <w:szCs w:val="20"/>
      <w:lang w:val="en-US"/>
    </w:rPr>
  </w:style>
  <w:style w:type="character" w:styleId="FootnoteReference">
    <w:name w:val="footnote reference"/>
    <w:basedOn w:val="DefaultParagraphFont"/>
    <w:uiPriority w:val="99"/>
    <w:semiHidden/>
    <w:unhideWhenUsed/>
    <w:rsid w:val="000E2ED9"/>
    <w:rPr>
      <w:vertAlign w:val="superscript"/>
    </w:rPr>
  </w:style>
  <w:style w:type="character" w:customStyle="1" w:styleId="normaltextrun">
    <w:name w:val="normaltextrun"/>
    <w:basedOn w:val="DefaultParagraphFont"/>
    <w:rsid w:val="000A2046"/>
  </w:style>
  <w:style w:type="paragraph" w:styleId="Header">
    <w:name w:val="header"/>
    <w:basedOn w:val="Normal"/>
    <w:link w:val="HeaderChar"/>
    <w:uiPriority w:val="99"/>
    <w:unhideWhenUsed/>
    <w:rsid w:val="007F4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15C"/>
    <w:rPr>
      <w:lang w:val="en-US"/>
    </w:rPr>
  </w:style>
  <w:style w:type="paragraph" w:styleId="Footer">
    <w:name w:val="footer"/>
    <w:basedOn w:val="Normal"/>
    <w:link w:val="FooterChar"/>
    <w:uiPriority w:val="99"/>
    <w:unhideWhenUsed/>
    <w:rsid w:val="007F4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15C"/>
    <w:rPr>
      <w:lang w:val="en-US"/>
    </w:rPr>
  </w:style>
  <w:style w:type="character" w:styleId="CommentReference">
    <w:name w:val="annotation reference"/>
    <w:basedOn w:val="DefaultParagraphFont"/>
    <w:uiPriority w:val="99"/>
    <w:semiHidden/>
    <w:unhideWhenUsed/>
    <w:rsid w:val="007F415C"/>
    <w:rPr>
      <w:sz w:val="16"/>
      <w:szCs w:val="16"/>
    </w:rPr>
  </w:style>
  <w:style w:type="paragraph" w:styleId="CommentText">
    <w:name w:val="annotation text"/>
    <w:basedOn w:val="Normal"/>
    <w:link w:val="CommentTextChar"/>
    <w:uiPriority w:val="99"/>
    <w:unhideWhenUsed/>
    <w:rsid w:val="007F415C"/>
    <w:pPr>
      <w:spacing w:line="240" w:lineRule="auto"/>
    </w:pPr>
    <w:rPr>
      <w:sz w:val="20"/>
      <w:szCs w:val="20"/>
    </w:rPr>
  </w:style>
  <w:style w:type="character" w:customStyle="1" w:styleId="CommentTextChar">
    <w:name w:val="Comment Text Char"/>
    <w:basedOn w:val="DefaultParagraphFont"/>
    <w:link w:val="CommentText"/>
    <w:uiPriority w:val="99"/>
    <w:rsid w:val="007F415C"/>
    <w:rPr>
      <w:sz w:val="20"/>
      <w:szCs w:val="20"/>
      <w:lang w:val="en-US"/>
    </w:rPr>
  </w:style>
  <w:style w:type="paragraph" w:styleId="CommentSubject">
    <w:name w:val="annotation subject"/>
    <w:basedOn w:val="CommentText"/>
    <w:next w:val="CommentText"/>
    <w:link w:val="CommentSubjectChar"/>
    <w:uiPriority w:val="99"/>
    <w:semiHidden/>
    <w:unhideWhenUsed/>
    <w:rsid w:val="007F415C"/>
    <w:rPr>
      <w:b/>
      <w:bCs/>
    </w:rPr>
  </w:style>
  <w:style w:type="character" w:customStyle="1" w:styleId="CommentSubjectChar">
    <w:name w:val="Comment Subject Char"/>
    <w:basedOn w:val="CommentTextChar"/>
    <w:link w:val="CommentSubject"/>
    <w:uiPriority w:val="99"/>
    <w:semiHidden/>
    <w:rsid w:val="007F415C"/>
    <w:rPr>
      <w:b/>
      <w:bCs/>
      <w:sz w:val="20"/>
      <w:szCs w:val="20"/>
      <w:lang w:val="en-US"/>
    </w:rPr>
  </w:style>
  <w:style w:type="paragraph" w:styleId="Revision">
    <w:name w:val="Revision"/>
    <w:hidden/>
    <w:uiPriority w:val="99"/>
    <w:semiHidden/>
    <w:rsid w:val="00BC765A"/>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FDACD269452A4295C1763A3A0137C4" ma:contentTypeVersion="10" ma:contentTypeDescription="Create a new document." ma:contentTypeScope="" ma:versionID="1842eb14c422d76e1423f04498e487e5">
  <xsd:schema xmlns:xsd="http://www.w3.org/2001/XMLSchema" xmlns:xs="http://www.w3.org/2001/XMLSchema" xmlns:p="http://schemas.microsoft.com/office/2006/metadata/properties" xmlns:ns2="812d8eb1-b0a6-41fc-a4a7-c82664e205db" xmlns:ns3="4792f64d-3483-4bfd-a8dd-90820385f9c5" targetNamespace="http://schemas.microsoft.com/office/2006/metadata/properties" ma:root="true" ma:fieldsID="948cb0bc76138c339a7f275706c6546b" ns2:_="" ns3:_="">
    <xsd:import namespace="812d8eb1-b0a6-41fc-a4a7-c82664e205db"/>
    <xsd:import namespace="4792f64d-3483-4bfd-a8dd-90820385f9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2d8eb1-b0a6-41fc-a4a7-c82664e205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92f64d-3483-4bfd-a8dd-90820385f9c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871B03-E7F1-4B33-997D-336C7F1937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F2AA7F-B976-4EEC-B0A9-57CB62E45623}">
  <ds:schemaRefs>
    <ds:schemaRef ds:uri="http://schemas.openxmlformats.org/officeDocument/2006/bibliography"/>
  </ds:schemaRefs>
</ds:datastoreItem>
</file>

<file path=customXml/itemProps3.xml><?xml version="1.0" encoding="utf-8"?>
<ds:datastoreItem xmlns:ds="http://schemas.openxmlformats.org/officeDocument/2006/customXml" ds:itemID="{55D107B2-5FA2-4CE0-ACA8-A2D3CCB22042}">
  <ds:schemaRefs>
    <ds:schemaRef ds:uri="http://schemas.microsoft.com/sharepoint/v3/contenttype/forms"/>
  </ds:schemaRefs>
</ds:datastoreItem>
</file>

<file path=customXml/itemProps4.xml><?xml version="1.0" encoding="utf-8"?>
<ds:datastoreItem xmlns:ds="http://schemas.openxmlformats.org/officeDocument/2006/customXml" ds:itemID="{FBD92640-9934-4823-A881-8B6D8DDF0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2d8eb1-b0a6-41fc-a4a7-c82664e205db"/>
    <ds:schemaRef ds:uri="4792f64d-3483-4bfd-a8dd-90820385f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