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6995" w:rsidRPr="00E250E5" w:rsidP="007A5048">
      <w:pPr>
        <w:jc w:val="center"/>
        <w:rPr>
          <w:rFonts w:ascii="Minion Pro" w:hAnsi="Minion Pro" w:cs="Times New Roman"/>
          <w:b/>
          <w:bCs/>
          <w:sz w:val="24"/>
          <w:szCs w:val="24"/>
        </w:rPr>
      </w:pPr>
      <w:r w:rsidRPr="00E250E5">
        <w:rPr>
          <w:rFonts w:ascii="Minion Pro" w:hAnsi="Minion Pro" w:cs="Times New Roman"/>
          <w:b/>
          <w:bCs/>
          <w:sz w:val="24"/>
          <w:szCs w:val="24"/>
        </w:rPr>
        <w:t>Written evidence from Professor Norman Fenton, Professor Martin Neil, Dr Scott McLachlan, Queen Mary University of London (DTA 37)</w:t>
      </w:r>
    </w:p>
    <w:p w:rsidR="00E250E5" w:rsidRPr="00E250E5" w:rsidP="00E250E5">
      <w:pPr>
        <w:jc w:val="both"/>
        <w:rPr>
          <w:rFonts w:ascii="Minion Pro" w:hAnsi="Minion Pro"/>
          <w:b/>
          <w:bCs/>
          <w:color w:val="000000"/>
          <w:sz w:val="24"/>
          <w:szCs w:val="24"/>
        </w:rPr>
      </w:pPr>
    </w:p>
    <w:p w:rsidR="00E250E5" w:rsidRPr="00E250E5" w:rsidP="00E250E5">
      <w:pPr>
        <w:jc w:val="both"/>
        <w:rPr>
          <w:rFonts w:ascii="Minion Pro" w:hAnsi="Minion Pro"/>
          <w:b/>
          <w:bCs/>
          <w:color w:val="000000"/>
          <w:sz w:val="24"/>
          <w:szCs w:val="24"/>
        </w:rPr>
      </w:pPr>
      <w:r w:rsidRPr="00E250E5">
        <w:rPr>
          <w:rFonts w:ascii="Minion Pro" w:hAnsi="Minion Pro"/>
          <w:b/>
          <w:bCs/>
          <w:color w:val="000000"/>
          <w:sz w:val="24"/>
          <w:szCs w:val="24"/>
        </w:rPr>
        <w:t>Public Administration and Constitutional Affairs Committee</w:t>
      </w:r>
    </w:p>
    <w:p w:rsidR="00E250E5" w:rsidRPr="00E250E5" w:rsidP="00E250E5">
      <w:pPr>
        <w:jc w:val="both"/>
        <w:rPr>
          <w:rFonts w:ascii="Minion Pro" w:hAnsi="Minion Pro"/>
          <w:b/>
          <w:bCs/>
          <w:color w:val="000000"/>
          <w:sz w:val="24"/>
          <w:szCs w:val="24"/>
        </w:rPr>
      </w:pPr>
      <w:r w:rsidRPr="00E250E5">
        <w:rPr>
          <w:rFonts w:ascii="Minion Pro" w:hAnsi="Minion Pro"/>
          <w:b/>
          <w:bCs/>
          <w:color w:val="000000"/>
          <w:sz w:val="24"/>
          <w:szCs w:val="24"/>
        </w:rPr>
        <w:t>Data Transparency and Accountability: Covid 19</w:t>
      </w:r>
    </w:p>
    <w:p w:rsidR="00E250E5" w:rsidRPr="00E250E5" w:rsidP="007A5048">
      <w:pPr>
        <w:jc w:val="center"/>
        <w:rPr>
          <w:rFonts w:ascii="Minion Pro" w:hAnsi="Minion Pro" w:cs="Times New Roman"/>
          <w:b/>
          <w:bCs/>
          <w:sz w:val="24"/>
          <w:szCs w:val="24"/>
        </w:rPr>
      </w:pPr>
    </w:p>
    <w:p w:rsidR="00D94E00" w:rsidRPr="00E250E5" w:rsidP="007A5048">
      <w:pPr>
        <w:jc w:val="both"/>
        <w:rPr>
          <w:rFonts w:ascii="Minion Pro" w:hAnsi="Minion Pro" w:cs="Times New Roman"/>
          <w:sz w:val="24"/>
          <w:szCs w:val="24"/>
        </w:rPr>
      </w:pPr>
    </w:p>
    <w:p w:rsidR="00236995" w:rsidRPr="00E250E5" w:rsidP="007A5048">
      <w:pPr>
        <w:jc w:val="both"/>
        <w:rPr>
          <w:rFonts w:ascii="Minion Pro" w:hAnsi="Minion Pro" w:cs="Times New Roman"/>
          <w:sz w:val="24"/>
          <w:szCs w:val="24"/>
        </w:rPr>
      </w:pPr>
      <w:r w:rsidRPr="00E250E5">
        <w:rPr>
          <w:rFonts w:ascii="Minion Pro" w:hAnsi="Minion Pro" w:cs="Times New Roman"/>
          <w:sz w:val="24"/>
          <w:szCs w:val="24"/>
        </w:rPr>
        <w:t xml:space="preserve">Apropos the </w:t>
      </w:r>
      <w:r w:rsidRPr="00E250E5">
        <w:rPr>
          <w:rFonts w:ascii="Minion Pro" w:hAnsi="Minion Pro" w:cs="Times New Roman"/>
          <w:i/>
          <w:iCs/>
          <w:sz w:val="24"/>
          <w:szCs w:val="24"/>
        </w:rPr>
        <w:t>call for evidence</w:t>
      </w:r>
      <w:r w:rsidRPr="00E250E5">
        <w:rPr>
          <w:rFonts w:ascii="Minion Pro" w:hAnsi="Minion Pro" w:cs="Times New Roman"/>
          <w:sz w:val="24"/>
          <w:szCs w:val="24"/>
        </w:rPr>
        <w:t xml:space="preserve"> concerning data transparency and accountability during the COVID-19 crisis. </w:t>
      </w:r>
    </w:p>
    <w:p w:rsidR="00236995" w:rsidRPr="00E250E5" w:rsidP="007A5048">
      <w:pPr>
        <w:jc w:val="both"/>
        <w:rPr>
          <w:rFonts w:ascii="Minion Pro" w:hAnsi="Minion Pro" w:cs="Times New Roman"/>
          <w:sz w:val="24"/>
          <w:szCs w:val="24"/>
        </w:rPr>
      </w:pPr>
    </w:p>
    <w:p w:rsidR="00D94E00" w:rsidRPr="00E250E5" w:rsidP="007A5048">
      <w:pPr>
        <w:jc w:val="both"/>
        <w:rPr>
          <w:rFonts w:ascii="Minion Pro" w:hAnsi="Minion Pro" w:cs="Times New Roman"/>
          <w:sz w:val="24"/>
          <w:szCs w:val="24"/>
        </w:rPr>
      </w:pPr>
      <w:r w:rsidRPr="00E250E5">
        <w:rPr>
          <w:rFonts w:ascii="Minion Pro" w:hAnsi="Minion Pro" w:cs="Times New Roman"/>
          <w:sz w:val="24"/>
          <w:szCs w:val="24"/>
        </w:rPr>
        <w:t>We respond;</w:t>
      </w:r>
    </w:p>
    <w:p w:rsidR="00D94E00" w:rsidRPr="00E250E5" w:rsidP="007A5048">
      <w:pPr>
        <w:jc w:val="both"/>
        <w:rPr>
          <w:rFonts w:ascii="Minion Pro" w:hAnsi="Minion Pro" w:cs="Times New Roman"/>
          <w:sz w:val="24"/>
          <w:szCs w:val="24"/>
        </w:rPr>
      </w:pPr>
    </w:p>
    <w:p w:rsidR="00095C08" w:rsidRPr="00E250E5" w:rsidP="007A5048">
      <w:pPr>
        <w:pStyle w:val="ListParagraph"/>
        <w:numPr>
          <w:ilvl w:val="0"/>
          <w:numId w:val="7"/>
        </w:numPr>
        <w:snapToGrid w:val="0"/>
        <w:spacing w:after="100"/>
        <w:ind w:left="851" w:right="-46" w:hanging="357"/>
        <w:contextualSpacing w:val="0"/>
        <w:jc w:val="both"/>
        <w:rPr>
          <w:rFonts w:ascii="Minion Pro" w:hAnsi="Minion Pro" w:cs="Times New Roman"/>
          <w:sz w:val="24"/>
          <w:szCs w:val="24"/>
        </w:rPr>
      </w:pPr>
      <w:r w:rsidRPr="00E250E5">
        <w:rPr>
          <w:rFonts w:ascii="Minion Pro" w:hAnsi="Minion Pro" w:cs="Times New Roman"/>
          <w:sz w:val="24"/>
          <w:szCs w:val="24"/>
        </w:rPr>
        <w:t xml:space="preserve">We are a group of </w:t>
      </w:r>
      <w:r w:rsidRPr="00E250E5">
        <w:rPr>
          <w:rFonts w:ascii="Minion Pro" w:hAnsi="Minion Pro" w:cs="Times New Roman"/>
          <w:sz w:val="24"/>
          <w:szCs w:val="24"/>
        </w:rPr>
        <w:t xml:space="preserve">senior </w:t>
      </w:r>
      <w:r w:rsidRPr="00E250E5">
        <w:rPr>
          <w:rFonts w:ascii="Minion Pro" w:hAnsi="Minion Pro" w:cs="Times New Roman"/>
          <w:sz w:val="24"/>
          <w:szCs w:val="24"/>
        </w:rPr>
        <w:t>researchers in risk assessment, probability, statistics, and public health technologies based at Queen Mary University of London. Since Mar</w:t>
      </w:r>
      <w:r w:rsidRPr="00E250E5">
        <w:rPr>
          <w:rFonts w:ascii="Minion Pro" w:hAnsi="Minion Pro" w:cs="Times New Roman"/>
          <w:sz w:val="24"/>
          <w:szCs w:val="24"/>
        </w:rPr>
        <w:t>ch 2020, we have produced 23 articles/reports</w:t>
      </w:r>
      <w:r>
        <w:rPr>
          <w:rStyle w:val="FootnoteReference"/>
          <w:rFonts w:ascii="Minion Pro" w:hAnsi="Minion Pro" w:cs="Times New Roman"/>
          <w:sz w:val="24"/>
          <w:szCs w:val="24"/>
        </w:rPr>
        <w:footnoteReference w:id="2"/>
      </w:r>
      <w:r w:rsidRPr="00E250E5">
        <w:rPr>
          <w:rFonts w:ascii="Minion Pro" w:hAnsi="Minion Pro" w:cs="Times New Roman"/>
          <w:sz w:val="24"/>
          <w:szCs w:val="24"/>
        </w:rPr>
        <w:t xml:space="preserve"> (of which 5 have been published in peer reviewed journals) analysing the publicly available </w:t>
      </w:r>
      <w:r w:rsidRPr="00E250E5">
        <w:rPr>
          <w:rFonts w:ascii="Minion Pro" w:hAnsi="Minion Pro" w:cs="Times New Roman"/>
          <w:sz w:val="24"/>
          <w:szCs w:val="24"/>
        </w:rPr>
        <w:t xml:space="preserve">COVID-19 </w:t>
      </w:r>
      <w:r w:rsidRPr="00E250E5">
        <w:rPr>
          <w:rFonts w:ascii="Minion Pro" w:hAnsi="Minion Pro" w:cs="Times New Roman"/>
          <w:sz w:val="24"/>
          <w:szCs w:val="24"/>
        </w:rPr>
        <w:t xml:space="preserve">statistics and producing risk assessments and models. </w:t>
      </w:r>
    </w:p>
    <w:p w:rsidR="00C75265" w:rsidRPr="00E250E5" w:rsidP="007A5048">
      <w:pPr>
        <w:pStyle w:val="ListParagraph"/>
        <w:numPr>
          <w:ilvl w:val="0"/>
          <w:numId w:val="7"/>
        </w:numPr>
        <w:snapToGrid w:val="0"/>
        <w:spacing w:after="100"/>
        <w:ind w:left="851" w:right="-46" w:hanging="357"/>
        <w:contextualSpacing w:val="0"/>
        <w:jc w:val="both"/>
        <w:rPr>
          <w:rFonts w:ascii="Minion Pro" w:hAnsi="Minion Pro" w:cs="Times New Roman"/>
          <w:sz w:val="24"/>
          <w:szCs w:val="24"/>
        </w:rPr>
      </w:pPr>
      <w:bookmarkStart w:id="0" w:name="_Hlk55036424"/>
      <w:r w:rsidRPr="00E250E5">
        <w:rPr>
          <w:rFonts w:ascii="Minion Pro" w:hAnsi="Minion Pro" w:cs="Times New Roman"/>
          <w:sz w:val="24"/>
          <w:szCs w:val="24"/>
        </w:rPr>
        <w:t>We believe that the statistics provided to and by the</w:t>
      </w:r>
      <w:r w:rsidRPr="00E250E5">
        <w:rPr>
          <w:rFonts w:ascii="Minion Pro" w:hAnsi="Minion Pro" w:cs="Times New Roman"/>
          <w:sz w:val="24"/>
          <w:szCs w:val="24"/>
        </w:rPr>
        <w:t xml:space="preserve"> Government during the </w:t>
      </w:r>
      <w:r w:rsidRPr="00E250E5">
        <w:rPr>
          <w:rFonts w:ascii="Minion Pro" w:hAnsi="Minion Pro" w:cs="Times New Roman"/>
          <w:sz w:val="24"/>
          <w:szCs w:val="24"/>
        </w:rPr>
        <w:t xml:space="preserve">COVID-19 </w:t>
      </w:r>
      <w:r w:rsidRPr="00E250E5">
        <w:rPr>
          <w:rFonts w:ascii="Minion Pro" w:hAnsi="Minion Pro" w:cs="Times New Roman"/>
          <w:sz w:val="24"/>
          <w:szCs w:val="24"/>
        </w:rPr>
        <w:t xml:space="preserve"> crisis have been inadequate and have been too easily used by influencers and decision-makers to fit particular narratives that have exaggerated the scale of the crisis. </w:t>
      </w:r>
    </w:p>
    <w:p w:rsidR="005257F7" w:rsidRPr="00E250E5" w:rsidP="007A5048">
      <w:pPr>
        <w:pStyle w:val="ListParagraph"/>
        <w:numPr>
          <w:ilvl w:val="0"/>
          <w:numId w:val="7"/>
        </w:numPr>
        <w:snapToGrid w:val="0"/>
        <w:spacing w:after="100"/>
        <w:ind w:left="851" w:right="-46" w:hanging="357"/>
        <w:contextualSpacing w:val="0"/>
        <w:jc w:val="both"/>
        <w:rPr>
          <w:rFonts w:ascii="Minion Pro" w:hAnsi="Minion Pro" w:cs="Times New Roman"/>
          <w:sz w:val="24"/>
          <w:szCs w:val="24"/>
        </w:rPr>
      </w:pPr>
      <w:r w:rsidRPr="00E250E5">
        <w:rPr>
          <w:rFonts w:ascii="Minion Pro" w:hAnsi="Minion Pro" w:cs="Times New Roman"/>
          <w:sz w:val="24"/>
          <w:szCs w:val="24"/>
        </w:rPr>
        <w:t>Statistics and data are observed phenomena arising fr</w:t>
      </w:r>
      <w:r w:rsidRPr="00E250E5">
        <w:rPr>
          <w:rFonts w:ascii="Minion Pro" w:hAnsi="Minion Pro" w:cs="Times New Roman"/>
          <w:sz w:val="24"/>
          <w:szCs w:val="24"/>
        </w:rPr>
        <w:t xml:space="preserve">om unobserved processes and their interactions (including causal explanations) as shown in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_Ref54886126 \h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Figure 1</w:t>
      </w:r>
      <w:r w:rsidRPr="00E250E5">
        <w:rPr>
          <w:rFonts w:ascii="Minion Pro" w:hAnsi="Minion Pro" w:cs="Times New Roman"/>
          <w:sz w:val="24"/>
          <w:szCs w:val="24"/>
        </w:rPr>
        <w:fldChar w:fldCharType="end"/>
      </w:r>
      <w:r w:rsidRPr="00E250E5">
        <w:rPr>
          <w:rFonts w:ascii="Minion Pro" w:hAnsi="Minion Pro" w:cs="Times New Roman"/>
          <w:sz w:val="24"/>
          <w:szCs w:val="24"/>
        </w:rPr>
        <w:t xml:space="preserve">. The number of observed </w:t>
      </w:r>
      <w:r w:rsidRPr="00E250E5">
        <w:rPr>
          <w:rFonts w:ascii="Minion Pro" w:hAnsi="Minion Pro" w:cs="Times New Roman"/>
          <w:sz w:val="24"/>
          <w:szCs w:val="24"/>
        </w:rPr>
        <w:t>COVID-19</w:t>
      </w:r>
      <w:r w:rsidRPr="00E250E5">
        <w:rPr>
          <w:rFonts w:ascii="Minion Pro" w:hAnsi="Minion Pro" w:cs="Times New Roman"/>
          <w:sz w:val="24"/>
          <w:szCs w:val="24"/>
        </w:rPr>
        <w:t xml:space="preserve"> ‘cases’ clearly depends on how a ‘case’ is defined and the population infection rate, but it </w:t>
      </w:r>
      <w:r w:rsidRPr="00E250E5">
        <w:rPr>
          <w:rFonts w:ascii="Minion Pro" w:hAnsi="Minion Pro" w:cs="Times New Roman"/>
          <w:sz w:val="24"/>
          <w:szCs w:val="24"/>
        </w:rPr>
        <w:t xml:space="preserve">is </w:t>
      </w:r>
      <w:r w:rsidRPr="00E250E5">
        <w:rPr>
          <w:rFonts w:ascii="Minion Pro" w:hAnsi="Minion Pro" w:cs="Times New Roman"/>
          <w:sz w:val="24"/>
          <w:szCs w:val="24"/>
        </w:rPr>
        <w:t>also influenced by many (normally unreported) causal factors su</w:t>
      </w:r>
      <w:r w:rsidRPr="00E250E5">
        <w:rPr>
          <w:rFonts w:ascii="Minion Pro" w:hAnsi="Minion Pro" w:cs="Times New Roman"/>
          <w:sz w:val="24"/>
          <w:szCs w:val="24"/>
        </w:rPr>
        <w:t xml:space="preserve">ch as how many tests are being performed, who is being tested and why, and the accuracy of the testing. Similarly, while the number of observed </w:t>
      </w:r>
      <w:r w:rsidRPr="00E250E5">
        <w:rPr>
          <w:rFonts w:ascii="Minion Pro" w:hAnsi="Minion Pro" w:cs="Times New Roman"/>
          <w:sz w:val="24"/>
          <w:szCs w:val="24"/>
        </w:rPr>
        <w:t xml:space="preserve">COVID-19 </w:t>
      </w:r>
      <w:r w:rsidRPr="00E250E5">
        <w:rPr>
          <w:rFonts w:ascii="Minion Pro" w:hAnsi="Minion Pro" w:cs="Times New Roman"/>
          <w:sz w:val="24"/>
          <w:szCs w:val="24"/>
        </w:rPr>
        <w:t xml:space="preserve"> ‘deaths’ clearly depends on how a </w:t>
      </w:r>
      <w:r w:rsidRPr="00E250E5">
        <w:rPr>
          <w:rFonts w:ascii="Minion Pro" w:hAnsi="Minion Pro" w:cs="Times New Roman"/>
          <w:sz w:val="24"/>
          <w:szCs w:val="24"/>
        </w:rPr>
        <w:t xml:space="preserve">COVID-19 </w:t>
      </w:r>
      <w:r w:rsidRPr="00E250E5">
        <w:rPr>
          <w:rFonts w:ascii="Minion Pro" w:hAnsi="Minion Pro" w:cs="Times New Roman"/>
          <w:sz w:val="24"/>
          <w:szCs w:val="24"/>
        </w:rPr>
        <w:t xml:space="preserve"> d</w:t>
      </w:r>
      <w:bookmarkStart w:id="1" w:name="_GoBack"/>
      <w:bookmarkEnd w:id="1"/>
      <w:r w:rsidRPr="00E250E5">
        <w:rPr>
          <w:rFonts w:ascii="Minion Pro" w:hAnsi="Minion Pro" w:cs="Times New Roman"/>
          <w:sz w:val="24"/>
          <w:szCs w:val="24"/>
        </w:rPr>
        <w:t>eath is defined</w:t>
      </w:r>
      <w:r w:rsidRPr="00E250E5">
        <w:rPr>
          <w:rFonts w:ascii="Minion Pro" w:hAnsi="Minion Pro" w:cs="Times New Roman"/>
          <w:sz w:val="24"/>
          <w:szCs w:val="24"/>
        </w:rPr>
        <w:t xml:space="preserve"> and reported</w:t>
      </w:r>
      <w:r w:rsidRPr="00E250E5">
        <w:rPr>
          <w:rFonts w:ascii="Minion Pro" w:hAnsi="Minion Pro" w:cs="Times New Roman"/>
          <w:sz w:val="24"/>
          <w:szCs w:val="24"/>
        </w:rPr>
        <w:t xml:space="preserve">, it </w:t>
      </w:r>
      <w:r w:rsidRPr="00E250E5">
        <w:rPr>
          <w:rFonts w:ascii="Minion Pro" w:hAnsi="Minion Pro" w:cs="Times New Roman"/>
          <w:sz w:val="24"/>
          <w:szCs w:val="24"/>
        </w:rPr>
        <w:t xml:space="preserve">is </w:t>
      </w:r>
      <w:r w:rsidRPr="00E250E5">
        <w:rPr>
          <w:rFonts w:ascii="Minion Pro" w:hAnsi="Minion Pro" w:cs="Times New Roman"/>
          <w:sz w:val="24"/>
          <w:szCs w:val="24"/>
        </w:rPr>
        <w:t>also influenced by th</w:t>
      </w:r>
      <w:r w:rsidRPr="00E250E5">
        <w:rPr>
          <w:rFonts w:ascii="Minion Pro" w:hAnsi="Minion Pro" w:cs="Times New Roman"/>
          <w:sz w:val="24"/>
          <w:szCs w:val="24"/>
        </w:rPr>
        <w:t xml:space="preserve">e population demographics, quality of healthcare etc. Hence, contrary to popular conception, data do not ‘speak for themselves’. </w:t>
      </w:r>
    </w:p>
    <w:p w:rsidR="0084777E" w:rsidRPr="00E250E5" w:rsidP="007A5048">
      <w:pPr>
        <w:pStyle w:val="ListParagraph"/>
        <w:numPr>
          <w:ilvl w:val="0"/>
          <w:numId w:val="7"/>
        </w:numPr>
        <w:snapToGrid w:val="0"/>
        <w:spacing w:after="100"/>
        <w:ind w:left="851"/>
        <w:contextualSpacing w:val="0"/>
        <w:jc w:val="both"/>
        <w:rPr>
          <w:rFonts w:ascii="Minion Pro" w:hAnsi="Minion Pro" w:cs="Times New Roman"/>
          <w:sz w:val="24"/>
          <w:szCs w:val="24"/>
        </w:rPr>
      </w:pPr>
      <w:bookmarkEnd w:id="0"/>
      <w:r w:rsidRPr="00E250E5">
        <w:rPr>
          <w:rFonts w:ascii="Minion Pro" w:hAnsi="Minion Pro" w:cs="Times New Roman"/>
          <w:sz w:val="24"/>
          <w:szCs w:val="24"/>
        </w:rPr>
        <w:t>For example, in March and April (as we pointed out in</w:t>
      </w:r>
      <w:r>
        <w:rPr>
          <w:rStyle w:val="FootnoteReference"/>
          <w:rFonts w:ascii="Minion Pro" w:hAnsi="Minion Pro" w:cs="Times New Roman"/>
          <w:sz w:val="24"/>
          <w:szCs w:val="24"/>
        </w:rPr>
        <w:footnoteReference w:id="3"/>
      </w:r>
      <w:r w:rsidRPr="00E250E5">
        <w:rPr>
          <w:rFonts w:ascii="Minion Pro" w:hAnsi="Minion Pro" w:cs="Times New Roman"/>
          <w:sz w:val="24"/>
          <w:szCs w:val="24"/>
          <w:vertAlign w:val="superscript"/>
        </w:rPr>
        <w:t>,</w:t>
      </w:r>
      <w:r>
        <w:rPr>
          <w:rStyle w:val="FootnoteReference"/>
          <w:rFonts w:ascii="Minion Pro" w:hAnsi="Minion Pro" w:cs="Times New Roman"/>
          <w:sz w:val="24"/>
          <w:szCs w:val="24"/>
        </w:rPr>
        <w:footnoteReference w:id="4"/>
      </w:r>
      <w:r w:rsidRPr="00E250E5">
        <w:rPr>
          <w:rFonts w:ascii="Minion Pro" w:hAnsi="Minion Pro" w:cs="Times New Roman"/>
          <w:sz w:val="24"/>
          <w:szCs w:val="24"/>
          <w:vertAlign w:val="superscript"/>
        </w:rPr>
        <w:t>,</w:t>
      </w:r>
      <w:r>
        <w:rPr>
          <w:rStyle w:val="FootnoteReference"/>
          <w:rFonts w:ascii="Minion Pro" w:hAnsi="Minion Pro" w:cs="Times New Roman"/>
          <w:sz w:val="24"/>
          <w:szCs w:val="24"/>
        </w:rPr>
        <w:footnoteReference w:id="5"/>
      </w:r>
      <w:r w:rsidRPr="00E250E5">
        <w:rPr>
          <w:rFonts w:ascii="Minion Pro" w:hAnsi="Minion Pro" w:cs="Times New Roman"/>
          <w:sz w:val="24"/>
          <w:szCs w:val="24"/>
        </w:rPr>
        <w:t xml:space="preserve">), by focusing only on simple counts of ‘cases’, ‘hospitalisations’ </w:t>
      </w:r>
      <w:r w:rsidRPr="00E250E5">
        <w:rPr>
          <w:rFonts w:ascii="Minion Pro" w:hAnsi="Minion Pro" w:cs="Times New Roman"/>
          <w:sz w:val="24"/>
          <w:szCs w:val="24"/>
        </w:rPr>
        <w:t>and ‘deaths’, the public was misled into believing that the virus was more deadly than it really was. At that stage testing was essentially limited to those who were either already hospitalized with severe symptoms or were frontline healthcare workers. The</w:t>
      </w:r>
      <w:r w:rsidRPr="00E250E5">
        <w:rPr>
          <w:rFonts w:ascii="Minion Pro" w:hAnsi="Minion Pro" w:cs="Times New Roman"/>
          <w:sz w:val="24"/>
          <w:szCs w:val="24"/>
        </w:rPr>
        <w:t xml:space="preserve"> reported high death (and hospitalisation) rates of those infected (calculated by simply dividing the number of deaths by the number of ‘cases’) were in part explained by the limited testing regime that was essentially only ‘finding’ the most severe ‘cases</w:t>
      </w:r>
      <w:r w:rsidRPr="00E250E5">
        <w:rPr>
          <w:rFonts w:ascii="Minion Pro" w:hAnsi="Minion Pro" w:cs="Times New Roman"/>
          <w:sz w:val="24"/>
          <w:szCs w:val="24"/>
        </w:rPr>
        <w:t>’.</w:t>
      </w:r>
    </w:p>
    <w:p w:rsidR="005257F7"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bookmarkStart w:id="2" w:name="_Hlk55043404"/>
      <w:r w:rsidRPr="00E250E5">
        <w:rPr>
          <w:rFonts w:ascii="Minion Pro" w:hAnsi="Minion Pro" w:cs="Times New Roman"/>
          <w:sz w:val="24"/>
          <w:szCs w:val="24"/>
        </w:rPr>
        <w:t xml:space="preserve">Similarly, the scale of the ‘second wave’ has been continually exaggerated by focusing on increased ‘cases’ without considering the simple causal explanation of massively increased testing. When this is done – as shown in the plots of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_Ref55039371 </w:instrText>
      </w:r>
      <w:r w:rsidRPr="00E250E5">
        <w:rPr>
          <w:rFonts w:ascii="Minion Pro" w:hAnsi="Minion Pro" w:cs="Times New Roman"/>
          <w:sz w:val="24"/>
          <w:szCs w:val="24"/>
        </w:rPr>
        <w:instrText xml:space="preserve">\h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 xml:space="preserve">Figure </w:t>
      </w:r>
      <w:r w:rsidRPr="00E250E5">
        <w:rPr>
          <w:rFonts w:ascii="Minion Pro" w:hAnsi="Minion Pro" w:cs="Times New Roman"/>
          <w:noProof/>
          <w:sz w:val="24"/>
          <w:szCs w:val="24"/>
        </w:rPr>
        <w:t>2</w:t>
      </w:r>
      <w:r w:rsidRPr="00E250E5">
        <w:rPr>
          <w:rFonts w:ascii="Minion Pro" w:hAnsi="Minion Pro" w:cs="Times New Roman"/>
          <w:sz w:val="24"/>
          <w:szCs w:val="24"/>
        </w:rPr>
        <w:fldChar w:fldCharType="end"/>
      </w:r>
      <w:r w:rsidRPr="00E250E5">
        <w:rPr>
          <w:rFonts w:ascii="Minion Pro" w:hAnsi="Minion Pro" w:cs="Times New Roman"/>
          <w:sz w:val="24"/>
          <w:szCs w:val="24"/>
        </w:rPr>
        <w:t xml:space="preserve"> –the trends for cases, hospitalizations and deaths look far less worrying than those presented at </w:t>
      </w:r>
      <w:r>
        <w:fldChar w:fldCharType="begin"/>
      </w:r>
      <w:r>
        <w:instrText xml:space="preserve"> HYPERLINK "https://coronavirus.data.gov.uk" </w:instrText>
      </w:r>
      <w:r>
        <w:fldChar w:fldCharType="separate"/>
      </w:r>
      <w:r w:rsidRPr="00E250E5">
        <w:rPr>
          <w:rStyle w:val="Hyperlink"/>
          <w:rFonts w:ascii="Minion Pro" w:hAnsi="Minion Pro" w:cs="Times New Roman"/>
          <w:sz w:val="24"/>
          <w:szCs w:val="24"/>
        </w:rPr>
        <w:t>https://coronavirus.data.gov.uk</w:t>
      </w:r>
      <w:r>
        <w:fldChar w:fldCharType="end"/>
      </w:r>
      <w:r w:rsidRPr="00E250E5">
        <w:rPr>
          <w:rFonts w:ascii="Minion Pro" w:hAnsi="Minion Pro" w:cs="Times New Roman"/>
          <w:sz w:val="24"/>
          <w:szCs w:val="24"/>
        </w:rPr>
        <w:t xml:space="preserve"> using exactly the same data.</w:t>
      </w:r>
    </w:p>
    <w:p w:rsidR="005257F7"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bookmarkEnd w:id="2"/>
      <w:r w:rsidRPr="00E250E5">
        <w:rPr>
          <w:rFonts w:ascii="Minion Pro" w:hAnsi="Minion Pro" w:cs="Times New Roman"/>
          <w:sz w:val="24"/>
          <w:szCs w:val="24"/>
        </w:rPr>
        <w:t>At the root of the data problem there has been a fundamental misunderstanding about the meaning of terms ‘</w:t>
      </w:r>
      <w:r w:rsidRPr="00E250E5">
        <w:rPr>
          <w:rFonts w:ascii="Minion Pro" w:hAnsi="Minion Pro" w:cs="Times New Roman"/>
          <w:sz w:val="24"/>
          <w:szCs w:val="24"/>
        </w:rPr>
        <w:t xml:space="preserve">COVID-19 </w:t>
      </w:r>
      <w:r w:rsidRPr="00E250E5">
        <w:rPr>
          <w:rFonts w:ascii="Minion Pro" w:hAnsi="Minion Pro" w:cs="Times New Roman"/>
          <w:sz w:val="24"/>
          <w:szCs w:val="24"/>
        </w:rPr>
        <w:t>cases’ and ‘</w:t>
      </w:r>
      <w:r w:rsidRPr="00E250E5">
        <w:rPr>
          <w:rFonts w:ascii="Minion Pro" w:hAnsi="Minion Pro" w:cs="Times New Roman"/>
          <w:sz w:val="24"/>
          <w:szCs w:val="24"/>
        </w:rPr>
        <w:t xml:space="preserve">COVID-19 </w:t>
      </w:r>
      <w:r w:rsidRPr="00E250E5">
        <w:rPr>
          <w:rFonts w:ascii="Minion Pro" w:hAnsi="Minion Pro" w:cs="Times New Roman"/>
          <w:sz w:val="24"/>
          <w:szCs w:val="24"/>
        </w:rPr>
        <w:t>deaths’, and what can be interpreted from statistics tha</w:t>
      </w:r>
      <w:r w:rsidRPr="00E250E5">
        <w:rPr>
          <w:rFonts w:ascii="Minion Pro" w:hAnsi="Minion Pro" w:cs="Times New Roman"/>
          <w:sz w:val="24"/>
          <w:szCs w:val="24"/>
        </w:rPr>
        <w:t xml:space="preserve">t use these terms.  Even small changes in how these are </w:t>
      </w:r>
      <w:r w:rsidRPr="00E250E5">
        <w:rPr>
          <w:rFonts w:ascii="Minion Pro" w:hAnsi="Minion Pro" w:cs="Times New Roman"/>
          <w:sz w:val="24"/>
          <w:szCs w:val="24"/>
        </w:rPr>
        <w:t>defined and classified (as has happened several times since March) lead to very different trends and conclusions.</w:t>
      </w:r>
    </w:p>
    <w:p w:rsidR="005257F7"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r w:rsidRPr="00E250E5">
        <w:rPr>
          <w:rFonts w:ascii="Minion Pro" w:hAnsi="Minion Pro" w:cs="Times New Roman"/>
          <w:sz w:val="24"/>
          <w:szCs w:val="24"/>
        </w:rPr>
        <w:t xml:space="preserve">The definition of a </w:t>
      </w:r>
      <w:r w:rsidRPr="00E250E5">
        <w:rPr>
          <w:rFonts w:ascii="Minion Pro" w:hAnsi="Minion Pro" w:cs="Times New Roman"/>
          <w:sz w:val="24"/>
          <w:szCs w:val="24"/>
        </w:rPr>
        <w:t>COVID-19</w:t>
      </w:r>
      <w:r w:rsidRPr="00E250E5">
        <w:rPr>
          <w:rFonts w:ascii="Minion Pro" w:hAnsi="Minion Pro" w:cs="Times New Roman"/>
          <w:sz w:val="24"/>
          <w:szCs w:val="24"/>
        </w:rPr>
        <w:t xml:space="preserve"> ‘case’ is especially concerning. In epidemiology, a case </w:t>
      </w:r>
      <w:r w:rsidRPr="00E250E5">
        <w:rPr>
          <w:rFonts w:ascii="Minion Pro" w:hAnsi="Minion Pro" w:cs="Times New Roman"/>
          <w:sz w:val="24"/>
          <w:szCs w:val="24"/>
        </w:rPr>
        <w:t xml:space="preserve">definition includes criteria for </w:t>
      </w:r>
      <w:r w:rsidRPr="00E250E5">
        <w:rPr>
          <w:rFonts w:ascii="Minion Pro" w:hAnsi="Minion Pro" w:cs="Times New Roman"/>
          <w:b/>
          <w:bCs/>
          <w:i/>
          <w:iCs/>
          <w:sz w:val="24"/>
          <w:szCs w:val="24"/>
        </w:rPr>
        <w:t>person</w:t>
      </w:r>
      <w:r w:rsidRPr="00E250E5">
        <w:rPr>
          <w:rFonts w:ascii="Minion Pro" w:hAnsi="Minion Pro" w:cs="Times New Roman"/>
          <w:sz w:val="24"/>
          <w:szCs w:val="24"/>
        </w:rPr>
        <w:t xml:space="preserve"> (e.g. gender, race, age, or exclusion criteria), </w:t>
      </w:r>
      <w:r w:rsidRPr="00E250E5">
        <w:rPr>
          <w:rFonts w:ascii="Minion Pro" w:hAnsi="Minion Pro" w:cs="Times New Roman"/>
          <w:b/>
          <w:bCs/>
          <w:i/>
          <w:iCs/>
          <w:sz w:val="24"/>
          <w:szCs w:val="24"/>
        </w:rPr>
        <w:t>place</w:t>
      </w:r>
      <w:r w:rsidRPr="00E250E5">
        <w:rPr>
          <w:rFonts w:ascii="Minion Pro" w:hAnsi="Minion Pro" w:cs="Times New Roman"/>
          <w:sz w:val="24"/>
          <w:szCs w:val="24"/>
        </w:rPr>
        <w:t xml:space="preserve"> (such as that associated with the outbreak of a disease), </w:t>
      </w:r>
      <w:r w:rsidRPr="00E250E5">
        <w:rPr>
          <w:rFonts w:ascii="Minion Pro" w:hAnsi="Minion Pro" w:cs="Times New Roman"/>
          <w:b/>
          <w:bCs/>
          <w:i/>
          <w:iCs/>
          <w:sz w:val="24"/>
          <w:szCs w:val="24"/>
        </w:rPr>
        <w:t>time</w:t>
      </w:r>
      <w:r w:rsidRPr="00E250E5">
        <w:rPr>
          <w:rFonts w:ascii="Minion Pro" w:hAnsi="Minion Pro" w:cs="Times New Roman"/>
          <w:sz w:val="24"/>
          <w:szCs w:val="24"/>
        </w:rPr>
        <w:t xml:space="preserve"> (when illness started) and </w:t>
      </w:r>
      <w:r w:rsidRPr="00E250E5">
        <w:rPr>
          <w:rFonts w:ascii="Minion Pro" w:hAnsi="Minion Pro" w:cs="Times New Roman"/>
          <w:b/>
          <w:bCs/>
          <w:i/>
          <w:iCs/>
          <w:sz w:val="24"/>
          <w:szCs w:val="24"/>
        </w:rPr>
        <w:t>clinical features</w:t>
      </w:r>
      <w:r w:rsidRPr="00E250E5">
        <w:rPr>
          <w:rFonts w:ascii="Minion Pro" w:hAnsi="Minion Pro" w:cs="Times New Roman"/>
          <w:sz w:val="24"/>
          <w:szCs w:val="24"/>
        </w:rPr>
        <w:t xml:space="preserve">. Clinical features are initially normally simple and </w:t>
      </w:r>
      <w:r w:rsidRPr="00E250E5">
        <w:rPr>
          <w:rFonts w:ascii="Minion Pro" w:hAnsi="Minion Pro" w:cs="Times New Roman"/>
          <w:sz w:val="24"/>
          <w:szCs w:val="24"/>
        </w:rPr>
        <w:t xml:space="preserve">objective such as ‘sudden onset of fever and cough’ but should later be characterised by confirmed presence of specific laboratory findings, such as ‘ground-glass opacity on Chest CT and positive culture for SARS-CoV-2’. </w:t>
      </w:r>
      <w:r w:rsidRPr="00E250E5">
        <w:rPr>
          <w:rFonts w:ascii="Minion Pro" w:hAnsi="Minion Pro" w:cs="Times New Roman"/>
          <w:b/>
          <w:bCs/>
          <w:sz w:val="24"/>
          <w:szCs w:val="24"/>
        </w:rPr>
        <w:t xml:space="preserve">During this crisis, a positive PCR </w:t>
      </w:r>
      <w:r w:rsidRPr="00E250E5">
        <w:rPr>
          <w:rFonts w:ascii="Minion Pro" w:hAnsi="Minion Pro" w:cs="Times New Roman"/>
          <w:b/>
          <w:bCs/>
          <w:sz w:val="24"/>
          <w:szCs w:val="24"/>
        </w:rPr>
        <w:t>test has improperly become the surrogate replacing all four aspects of case definition</w:t>
      </w:r>
      <w:r w:rsidRPr="00E250E5">
        <w:rPr>
          <w:rFonts w:ascii="Minion Pro" w:hAnsi="Minion Pro" w:cs="Times New Roman"/>
          <w:sz w:val="24"/>
          <w:szCs w:val="24"/>
        </w:rPr>
        <w:t xml:space="preserve">. A PCR test may be positive: (i) before clinical features arise; (ii) long after clinical features have abated; or even (iii) when a person has simply come into contact </w:t>
      </w:r>
      <w:r w:rsidRPr="00E250E5">
        <w:rPr>
          <w:rFonts w:ascii="Minion Pro" w:hAnsi="Minion Pro" w:cs="Times New Roman"/>
          <w:sz w:val="24"/>
          <w:szCs w:val="24"/>
        </w:rPr>
        <w:t>with the disease but without them ever becoming infected. Some argue that reporting cycle threshold (Ct) values may help clinical decision-makers identify at which of these three stages an asymptomatic person may present; however, given that almost all so-</w:t>
      </w:r>
      <w:r w:rsidRPr="00E250E5">
        <w:rPr>
          <w:rFonts w:ascii="Minion Pro" w:hAnsi="Minion Pro" w:cs="Times New Roman"/>
          <w:sz w:val="24"/>
          <w:szCs w:val="24"/>
        </w:rPr>
        <w:t>called asymptomatic cases never develop active disease, if we leave aside issues with false positives (which increase for high Ct values), we submit that many ‘cases’ must be type (iii) and therefore did not meet the normal epidemiological standard to be c</w:t>
      </w:r>
      <w:r w:rsidRPr="00E250E5">
        <w:rPr>
          <w:rFonts w:ascii="Minion Pro" w:hAnsi="Minion Pro" w:cs="Times New Roman"/>
          <w:sz w:val="24"/>
          <w:szCs w:val="24"/>
        </w:rPr>
        <w:t xml:space="preserve">lassified or counted as </w:t>
      </w:r>
      <w:r w:rsidRPr="00E250E5">
        <w:rPr>
          <w:rFonts w:ascii="Minion Pro" w:hAnsi="Minion Pro" w:cs="Times New Roman"/>
          <w:i/>
          <w:iCs/>
          <w:sz w:val="24"/>
          <w:szCs w:val="24"/>
        </w:rPr>
        <w:t>a case</w:t>
      </w:r>
      <w:r w:rsidRPr="00E250E5">
        <w:rPr>
          <w:rFonts w:ascii="Minion Pro" w:hAnsi="Minion Pro" w:cs="Times New Roman"/>
          <w:sz w:val="24"/>
          <w:szCs w:val="24"/>
        </w:rPr>
        <w:t>.</w:t>
      </w:r>
    </w:p>
    <w:p w:rsidR="005257F7"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r w:rsidRPr="00E250E5">
        <w:rPr>
          <w:rFonts w:ascii="Minion Pro" w:hAnsi="Minion Pro" w:cs="Times New Roman"/>
          <w:sz w:val="24"/>
          <w:szCs w:val="24"/>
        </w:rPr>
        <w:t xml:space="preserve">Confusion about the definition of a </w:t>
      </w:r>
      <w:r w:rsidRPr="00E250E5">
        <w:rPr>
          <w:rFonts w:ascii="Minion Pro" w:hAnsi="Minion Pro" w:cs="Times New Roman"/>
          <w:sz w:val="24"/>
          <w:szCs w:val="24"/>
        </w:rPr>
        <w:t>COVID-19</w:t>
      </w:r>
      <w:r w:rsidRPr="00E250E5">
        <w:rPr>
          <w:rFonts w:ascii="Minion Pro" w:hAnsi="Minion Pro" w:cs="Times New Roman"/>
          <w:sz w:val="24"/>
          <w:szCs w:val="24"/>
        </w:rPr>
        <w:t xml:space="preserve"> ‘death’ also persist. It is now clear that Government-reported deaths include not just those who died as a direct result of the disease, but also all of those who have died ‘with </w:t>
      </w:r>
      <w:r w:rsidRPr="00E250E5">
        <w:rPr>
          <w:rFonts w:ascii="Minion Pro" w:hAnsi="Minion Pro" w:cs="Times New Roman"/>
          <w:sz w:val="24"/>
          <w:szCs w:val="24"/>
        </w:rPr>
        <w:t>it’</w:t>
      </w:r>
      <w:r w:rsidRPr="00E250E5">
        <w:rPr>
          <w:rFonts w:ascii="Minion Pro" w:hAnsi="Minion Pro" w:cs="Times New Roman"/>
          <w:sz w:val="24"/>
          <w:szCs w:val="24"/>
        </w:rPr>
        <w:t>, thus leading to inflation of the fatality figures</w:t>
      </w:r>
      <w:r w:rsidRPr="00E250E5">
        <w:rPr>
          <w:rFonts w:ascii="Minion Pro" w:hAnsi="Minion Pro" w:cs="Times New Roman"/>
          <w:sz w:val="24"/>
          <w:szCs w:val="24"/>
        </w:rPr>
        <w:t>. Several studies have also suggested that reported deaths from other pneumonias, influenzas and even lung cancer have dropped well below normal annual levels since March. As such there are questions su</w:t>
      </w:r>
      <w:r w:rsidRPr="00E250E5">
        <w:rPr>
          <w:rFonts w:ascii="Minion Pro" w:hAnsi="Minion Pro" w:cs="Times New Roman"/>
          <w:sz w:val="24"/>
          <w:szCs w:val="24"/>
        </w:rPr>
        <w:t xml:space="preserve">rrounding whether people who died of these similar conditions were incorrectly classified as </w:t>
      </w:r>
      <w:r w:rsidRPr="00E250E5">
        <w:rPr>
          <w:rFonts w:ascii="Minion Pro" w:hAnsi="Minion Pro" w:cs="Times New Roman"/>
          <w:sz w:val="24"/>
          <w:szCs w:val="24"/>
        </w:rPr>
        <w:t>COVID-19</w:t>
      </w:r>
      <w:r w:rsidRPr="00E250E5">
        <w:rPr>
          <w:rFonts w:ascii="Minion Pro" w:hAnsi="Minion Pro" w:cs="Times New Roman"/>
          <w:sz w:val="24"/>
          <w:szCs w:val="24"/>
        </w:rPr>
        <w:t xml:space="preserve"> deaths.</w:t>
      </w:r>
    </w:p>
    <w:p w:rsidR="0042441F"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r w:rsidRPr="00E250E5">
        <w:rPr>
          <w:rFonts w:ascii="Minion Pro" w:hAnsi="Minion Pro" w:cs="Times New Roman"/>
          <w:sz w:val="24"/>
          <w:szCs w:val="24"/>
        </w:rPr>
        <w:t>With the massive increase in testing since August, uncertainty about the testing accuracy -  especially the false positive rate of PCR tests</w:t>
      </w:r>
      <w:r>
        <w:rPr>
          <w:rStyle w:val="FootnoteReference"/>
          <w:rFonts w:ascii="Minion Pro" w:hAnsi="Minion Pro" w:cs="Times New Roman"/>
          <w:sz w:val="24"/>
          <w:szCs w:val="24"/>
        </w:rPr>
        <w:footnoteReference w:id="6"/>
      </w:r>
      <w:r w:rsidRPr="00E250E5">
        <w:rPr>
          <w:rFonts w:ascii="Minion Pro" w:hAnsi="Minion Pro" w:cs="Times New Roman"/>
          <w:sz w:val="24"/>
          <w:szCs w:val="24"/>
        </w:rPr>
        <w:t xml:space="preserve">   - </w:t>
      </w:r>
      <w:r w:rsidRPr="00E250E5">
        <w:rPr>
          <w:rFonts w:ascii="Minion Pro" w:hAnsi="Minion Pro" w:cs="Times New Roman"/>
          <w:sz w:val="24"/>
          <w:szCs w:val="24"/>
        </w:rPr>
        <w:t xml:space="preserve">means that almost nothing meaningful can be concluded about the increasing cases or fatality rate – see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_Ref54889782 \h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 xml:space="preserve">Figure </w:t>
      </w:r>
      <w:r w:rsidRPr="00E250E5">
        <w:rPr>
          <w:rFonts w:ascii="Minion Pro" w:hAnsi="Minion Pro" w:cs="Times New Roman"/>
          <w:noProof/>
          <w:sz w:val="24"/>
          <w:szCs w:val="24"/>
        </w:rPr>
        <w:t>3</w:t>
      </w:r>
      <w:r w:rsidRPr="00E250E5">
        <w:rPr>
          <w:rFonts w:ascii="Minion Pro" w:hAnsi="Minion Pro" w:cs="Times New Roman"/>
          <w:sz w:val="24"/>
          <w:szCs w:val="24"/>
        </w:rPr>
        <w:fldChar w:fldCharType="end"/>
      </w:r>
      <w:r w:rsidRPr="00E250E5">
        <w:rPr>
          <w:rFonts w:ascii="Minion Pro" w:hAnsi="Minion Pro" w:cs="Times New Roman"/>
          <w:sz w:val="24"/>
          <w:szCs w:val="24"/>
        </w:rPr>
        <w:t>.  The vast majority tested have no symptoms at all, so in the absence of data provided about the proportion of asymptom</w:t>
      </w:r>
      <w:r w:rsidRPr="00E250E5">
        <w:rPr>
          <w:rFonts w:ascii="Minion Pro" w:hAnsi="Minion Pro" w:cs="Times New Roman"/>
          <w:sz w:val="24"/>
          <w:szCs w:val="24"/>
        </w:rPr>
        <w:t>at</w:t>
      </w:r>
      <w:r w:rsidRPr="00E250E5">
        <w:rPr>
          <w:rFonts w:ascii="Minion Pro" w:hAnsi="Minion Pro" w:cs="Times New Roman"/>
          <w:sz w:val="24"/>
          <w:szCs w:val="24"/>
        </w:rPr>
        <w:t>ic</w:t>
      </w:r>
      <w:r w:rsidRPr="00E250E5">
        <w:rPr>
          <w:rFonts w:ascii="Minion Pro" w:hAnsi="Minion Pro" w:cs="Times New Roman"/>
          <w:sz w:val="24"/>
          <w:szCs w:val="24"/>
        </w:rPr>
        <w:t xml:space="preserve"> people who were</w:t>
      </w:r>
      <w:r w:rsidRPr="00E250E5">
        <w:rPr>
          <w:rFonts w:ascii="Minion Pro" w:hAnsi="Minion Pro" w:cs="Times New Roman"/>
          <w:sz w:val="24"/>
          <w:szCs w:val="24"/>
        </w:rPr>
        <w:t xml:space="preserve"> tested and tested positive (as well as the other mis</w:t>
      </w:r>
      <w:r w:rsidRPr="00E250E5">
        <w:rPr>
          <w:rFonts w:ascii="Minion Pro" w:hAnsi="Minion Pro" w:cs="Times New Roman"/>
          <w:sz w:val="24"/>
          <w:szCs w:val="24"/>
        </w:rPr>
        <w:t xml:space="preserve">sing information shown in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_Ref54889782 \h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 xml:space="preserve">Figure </w:t>
      </w:r>
      <w:r w:rsidRPr="00E250E5">
        <w:rPr>
          <w:rFonts w:ascii="Minion Pro" w:hAnsi="Minion Pro" w:cs="Times New Roman"/>
          <w:noProof/>
          <w:sz w:val="24"/>
          <w:szCs w:val="24"/>
        </w:rPr>
        <w:t>3</w:t>
      </w:r>
      <w:r w:rsidRPr="00E250E5">
        <w:rPr>
          <w:rFonts w:ascii="Minion Pro" w:hAnsi="Minion Pro" w:cs="Times New Roman"/>
          <w:sz w:val="24"/>
          <w:szCs w:val="24"/>
        </w:rPr>
        <w:fldChar w:fldCharType="end"/>
      </w:r>
      <w:r w:rsidRPr="00E250E5">
        <w:rPr>
          <w:rFonts w:ascii="Minion Pro" w:hAnsi="Minion Pro" w:cs="Times New Roman"/>
          <w:sz w:val="24"/>
          <w:szCs w:val="24"/>
        </w:rPr>
        <w:t xml:space="preserve">), we do not know what proportion of new ‘cases’ and reported ‘deaths’ are people infected with </w:t>
      </w:r>
      <w:r w:rsidRPr="00E250E5">
        <w:rPr>
          <w:rFonts w:ascii="Minion Pro" w:hAnsi="Minion Pro" w:cs="Times New Roman"/>
          <w:sz w:val="24"/>
          <w:szCs w:val="24"/>
        </w:rPr>
        <w:t xml:space="preserve">COVID-19 </w:t>
      </w:r>
      <w:r w:rsidRPr="00E250E5">
        <w:rPr>
          <w:rFonts w:ascii="Minion Pro" w:hAnsi="Minion Pro" w:cs="Times New Roman"/>
          <w:sz w:val="24"/>
          <w:szCs w:val="24"/>
        </w:rPr>
        <w:t xml:space="preserve"> at all. A fal</w:t>
      </w:r>
      <w:r w:rsidRPr="00E250E5">
        <w:rPr>
          <w:rFonts w:ascii="Minion Pro" w:hAnsi="Minion Pro" w:cs="Times New Roman"/>
          <w:sz w:val="24"/>
          <w:szCs w:val="24"/>
        </w:rPr>
        <w:t>se positive rate of even just 1% would, together with the massively increased testing, provide a causal explanation for the increase in cases even if the virus has largely subsided</w:t>
      </w:r>
      <w:r>
        <w:rPr>
          <w:rStyle w:val="FootnoteReference"/>
          <w:rFonts w:ascii="Minion Pro" w:hAnsi="Minion Pro" w:cs="Times New Roman"/>
          <w:sz w:val="24"/>
          <w:szCs w:val="24"/>
        </w:rPr>
        <w:footnoteReference w:id="7"/>
      </w:r>
      <w:r w:rsidRPr="00E250E5">
        <w:rPr>
          <w:rFonts w:ascii="Minion Pro" w:hAnsi="Minion Pro" w:cs="Times New Roman"/>
          <w:sz w:val="24"/>
          <w:szCs w:val="24"/>
        </w:rPr>
        <w:t>. But, yet again, the narrative presented – and the one on which lockdown d</w:t>
      </w:r>
      <w:r w:rsidRPr="00E250E5">
        <w:rPr>
          <w:rFonts w:ascii="Minion Pro" w:hAnsi="Minion Pro" w:cs="Times New Roman"/>
          <w:sz w:val="24"/>
          <w:szCs w:val="24"/>
        </w:rPr>
        <w:t xml:space="preserve">ecisions are based – is that of a massive ‘second wave’. </w:t>
      </w:r>
    </w:p>
    <w:p w:rsidR="004A59AB"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r w:rsidRPr="00E250E5">
        <w:rPr>
          <w:rFonts w:ascii="Minion Pro" w:hAnsi="Minion Pro" w:cs="Times New Roman"/>
          <w:sz w:val="24"/>
          <w:szCs w:val="24"/>
        </w:rPr>
        <w:t>Closed loop thinking means that, once a particular narrative is ‘believed’, alternative explanations for the observed data are never entertained. Indeed, the lack of data, unscientific closed-shop m</w:t>
      </w:r>
      <w:r w:rsidRPr="00E250E5">
        <w:rPr>
          <w:rFonts w:ascii="Minion Pro" w:hAnsi="Minion Pro" w:cs="Times New Roman"/>
          <w:sz w:val="24"/>
          <w:szCs w:val="24"/>
        </w:rPr>
        <w:t>odels, fundamental misunderstandings by decision</w:t>
      </w:r>
      <w:r w:rsidRPr="00E250E5">
        <w:rPr>
          <w:rFonts w:ascii="Minion Pro" w:hAnsi="Minion Pro" w:cs="Times New Roman"/>
          <w:sz w:val="24"/>
          <w:szCs w:val="24"/>
        </w:rPr>
        <w:t>-makers</w:t>
      </w:r>
      <w:r w:rsidRPr="00E250E5">
        <w:rPr>
          <w:rFonts w:ascii="Minion Pro" w:hAnsi="Minion Pro" w:cs="Times New Roman"/>
          <w:sz w:val="24"/>
          <w:szCs w:val="24"/>
        </w:rPr>
        <w:t>, manipulation of underlying reporting processes, contradictory goals or the potential for malign intent are all feasible explanations for the observed data and chaotic analysis. The lack of data trans</w:t>
      </w:r>
      <w:r w:rsidRPr="00E250E5">
        <w:rPr>
          <w:rFonts w:ascii="Minion Pro" w:hAnsi="Minion Pro" w:cs="Times New Roman"/>
          <w:sz w:val="24"/>
          <w:szCs w:val="24"/>
        </w:rPr>
        <w:t>parency gives credence to these explanations and leads to a lack of trust in government statistics and decisions made using those statistics.</w:t>
      </w:r>
    </w:p>
    <w:p w:rsidR="002A76BB" w:rsidRPr="00E250E5" w:rsidP="007A5048">
      <w:pPr>
        <w:pStyle w:val="ListParagraph"/>
        <w:numPr>
          <w:ilvl w:val="0"/>
          <w:numId w:val="7"/>
        </w:numPr>
        <w:snapToGrid w:val="0"/>
        <w:spacing w:after="100"/>
        <w:ind w:left="850" w:right="95" w:hanging="357"/>
        <w:contextualSpacing w:val="0"/>
        <w:jc w:val="both"/>
        <w:rPr>
          <w:rFonts w:ascii="Minion Pro" w:hAnsi="Minion Pro" w:cs="Times New Roman"/>
          <w:sz w:val="24"/>
          <w:szCs w:val="24"/>
        </w:rPr>
      </w:pPr>
      <w:r w:rsidRPr="00E250E5">
        <w:rPr>
          <w:rFonts w:ascii="Minion Pro" w:hAnsi="Minion Pro" w:cs="Times New Roman"/>
          <w:sz w:val="24"/>
          <w:szCs w:val="24"/>
        </w:rPr>
        <w:t>There are many examples of how the crude data, and failure to consider alternative causal explanations, has been u</w:t>
      </w:r>
      <w:r w:rsidRPr="00E250E5">
        <w:rPr>
          <w:rFonts w:ascii="Minion Pro" w:hAnsi="Minion Pro" w:cs="Times New Roman"/>
          <w:sz w:val="24"/>
          <w:szCs w:val="24"/>
        </w:rPr>
        <w:t>sed for inappropriate decision-making and even scare-mongering. These include:</w:t>
      </w:r>
    </w:p>
    <w:p w:rsidR="001B0DDC"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 xml:space="preserve">Using ‘100 new cases per 100,000 people’ as a threshold beyond which a local borough </w:t>
      </w:r>
      <w:r w:rsidRPr="00E250E5">
        <w:rPr>
          <w:rFonts w:ascii="Minion Pro" w:hAnsi="Minion Pro" w:cs="Times New Roman"/>
          <w:sz w:val="24"/>
          <w:szCs w:val="24"/>
        </w:rPr>
        <w:t xml:space="preserve">is required to move to lockdown. With this metric the threshold can be avoided or reached simply by decreasing/increasing the number of tests carried out. </w:t>
      </w:r>
    </w:p>
    <w:p w:rsidR="001B0DDC"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 xml:space="preserve">As explained above (and in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_Ref55039371 \h </w:instrText>
      </w:r>
      <w:r w:rsidRPr="00E250E5">
        <w:rPr>
          <w:rFonts w:ascii="Minion Pro" w:hAnsi="Minion Pro" w:cs="Times New Roman"/>
          <w:sz w:val="24"/>
          <w:szCs w:val="24"/>
        </w:rPr>
        <w:instrText xml:space="preserve">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 xml:space="preserve">Figure </w:t>
      </w:r>
      <w:r w:rsidRPr="00E250E5">
        <w:rPr>
          <w:rFonts w:ascii="Minion Pro" w:hAnsi="Minion Pro" w:cs="Times New Roman"/>
          <w:noProof/>
          <w:sz w:val="24"/>
          <w:szCs w:val="24"/>
        </w:rPr>
        <w:t>2</w:t>
      </w:r>
      <w:r w:rsidRPr="00E250E5">
        <w:rPr>
          <w:rFonts w:ascii="Minion Pro" w:hAnsi="Minion Pro" w:cs="Times New Roman"/>
          <w:sz w:val="24"/>
          <w:szCs w:val="24"/>
        </w:rPr>
        <w:fldChar w:fldCharType="end"/>
      </w:r>
      <w:r w:rsidRPr="00E250E5">
        <w:rPr>
          <w:rFonts w:ascii="Minion Pro" w:hAnsi="Minion Pro" w:cs="Times New Roman"/>
          <w:sz w:val="24"/>
          <w:szCs w:val="24"/>
        </w:rPr>
        <w:t xml:space="preserve">) the headline figures and graphs – as presented for example, at </w:t>
      </w:r>
      <w:r>
        <w:fldChar w:fldCharType="begin"/>
      </w:r>
      <w:r>
        <w:instrText xml:space="preserve"> HYPERLINK "https://coronavirus.data.gov.uk/" </w:instrText>
      </w:r>
      <w:r>
        <w:fldChar w:fldCharType="separate"/>
      </w:r>
      <w:r w:rsidRPr="00E250E5">
        <w:rPr>
          <w:rStyle w:val="Hyperlink"/>
          <w:rFonts w:ascii="Minion Pro" w:hAnsi="Minion Pro" w:cs="Times New Roman"/>
          <w:color w:val="auto"/>
          <w:sz w:val="24"/>
          <w:szCs w:val="24"/>
        </w:rPr>
        <w:t>https://coronavirus.data.gov.uk/</w:t>
      </w:r>
      <w:r>
        <w:fldChar w:fldCharType="end"/>
      </w:r>
      <w:r w:rsidRPr="00E250E5">
        <w:rPr>
          <w:rFonts w:ascii="Minion Pro" w:hAnsi="Minion Pro" w:cs="Times New Roman"/>
          <w:sz w:val="24"/>
          <w:szCs w:val="24"/>
        </w:rPr>
        <w:t xml:space="preserve"> do not factor in the increase in testing. For example, the recent ‘exp</w:t>
      </w:r>
      <w:r w:rsidRPr="00E250E5">
        <w:rPr>
          <w:rFonts w:ascii="Minion Pro" w:hAnsi="Minion Pro" w:cs="Times New Roman"/>
          <w:sz w:val="24"/>
          <w:szCs w:val="24"/>
        </w:rPr>
        <w:t>onential’ increase in number of cases – which has driven the ‘second wave narrative’ does not look at all serious when we plot it as number of cases per 1000 tests. The same is true of hospital admissions and deaths; for example,  contrary to the frighteni</w:t>
      </w:r>
      <w:r w:rsidRPr="00E250E5">
        <w:rPr>
          <w:rFonts w:ascii="Minion Pro" w:hAnsi="Minion Pro" w:cs="Times New Roman"/>
          <w:sz w:val="24"/>
          <w:szCs w:val="24"/>
        </w:rPr>
        <w:t>ng ‘absolute’ increase in hospital cases since September, it turns out that the number of hospital admissions per 1000 cases has remained stable – and may even be decreasing when we factor in the false positives and those admitted for non-COVID reasons who</w:t>
      </w:r>
      <w:r w:rsidRPr="00E250E5">
        <w:rPr>
          <w:rFonts w:ascii="Minion Pro" w:hAnsi="Minion Pro" w:cs="Times New Roman"/>
          <w:sz w:val="24"/>
          <w:szCs w:val="24"/>
        </w:rPr>
        <w:t xml:space="preserve"> happen to get a positive COVID test after admission. </w:t>
      </w:r>
    </w:p>
    <w:p w:rsidR="000942CE"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The ONS report</w:t>
      </w:r>
      <w:r>
        <w:rPr>
          <w:rStyle w:val="FootnoteReference"/>
          <w:rFonts w:ascii="Minion Pro" w:hAnsi="Minion Pro" w:cs="Times New Roman"/>
          <w:sz w:val="24"/>
          <w:szCs w:val="24"/>
        </w:rPr>
        <w:footnoteReference w:id="8"/>
      </w:r>
      <w:r w:rsidRPr="00E250E5">
        <w:rPr>
          <w:rFonts w:ascii="Minion Pro" w:hAnsi="Minion Pro" w:cs="Times New Roman"/>
          <w:sz w:val="24"/>
          <w:szCs w:val="24"/>
        </w:rPr>
        <w:t xml:space="preserve"> on COVID-19 deaths by ethnicity is one of many that have produced misleading conclusions without even revealing all relevant data. This particular report exaggerated</w:t>
      </w:r>
      <w:r>
        <w:rPr>
          <w:rStyle w:val="FootnoteReference"/>
          <w:rFonts w:ascii="Minion Pro" w:hAnsi="Minion Pro" w:cs="Times New Roman"/>
          <w:sz w:val="24"/>
          <w:szCs w:val="24"/>
        </w:rPr>
        <w:footnoteReference w:id="9"/>
      </w:r>
      <w:r w:rsidRPr="00E250E5">
        <w:rPr>
          <w:rFonts w:ascii="Minion Pro" w:hAnsi="Minion Pro" w:cs="Times New Roman"/>
          <w:sz w:val="24"/>
          <w:szCs w:val="24"/>
        </w:rPr>
        <w:t xml:space="preserve"> the increased risk</w:t>
      </w:r>
      <w:r w:rsidRPr="00E250E5">
        <w:rPr>
          <w:rFonts w:ascii="Minion Pro" w:hAnsi="Minion Pro" w:cs="Times New Roman"/>
          <w:sz w:val="24"/>
          <w:szCs w:val="24"/>
        </w:rPr>
        <w:t xml:space="preserve"> to people from the BAME community by using ‘relative risk’ to summarise the findings, rather than ‘absolute risk’ as continually  recommended for communicating risk to the public, by Royal Statistical Society Chairman (and member of SAGE) Professor Sir Da</w:t>
      </w:r>
      <w:r w:rsidRPr="00E250E5">
        <w:rPr>
          <w:rFonts w:ascii="Minion Pro" w:hAnsi="Minion Pro" w:cs="Times New Roman"/>
          <w:sz w:val="24"/>
          <w:szCs w:val="24"/>
        </w:rPr>
        <w:t>vid Spiegelhalter</w:t>
      </w:r>
      <w:r>
        <w:rPr>
          <w:rStyle w:val="FootnoteReference"/>
          <w:rFonts w:ascii="Minion Pro" w:hAnsi="Minion Pro" w:cs="Times New Roman"/>
          <w:sz w:val="24"/>
          <w:szCs w:val="24"/>
        </w:rPr>
        <w:footnoteReference w:id="10"/>
      </w:r>
      <w:r w:rsidRPr="00E250E5">
        <w:rPr>
          <w:rFonts w:ascii="Minion Pro" w:hAnsi="Minion Pro" w:cs="Times New Roman"/>
          <w:sz w:val="24"/>
          <w:szCs w:val="24"/>
        </w:rPr>
        <w:t>. Moreover, we noted</w:t>
      </w:r>
      <w:r>
        <w:rPr>
          <w:rStyle w:val="FootnoteReference"/>
          <w:rFonts w:ascii="Minion Pro" w:hAnsi="Minion Pro" w:cs="Times New Roman"/>
          <w:sz w:val="24"/>
          <w:szCs w:val="24"/>
        </w:rPr>
        <w:footnoteReference w:id="11"/>
      </w:r>
      <w:r w:rsidRPr="00E250E5">
        <w:rPr>
          <w:rFonts w:ascii="Minion Pro" w:hAnsi="Minion Pro" w:cs="Times New Roman"/>
          <w:sz w:val="24"/>
          <w:szCs w:val="24"/>
          <w:vertAlign w:val="superscript"/>
        </w:rPr>
        <w:t>,</w:t>
      </w:r>
      <w:r w:rsidRPr="00E250E5">
        <w:rPr>
          <w:rFonts w:ascii="Minion Pro" w:hAnsi="Minion Pro" w:cs="Times New Roman"/>
          <w:sz w:val="24"/>
          <w:szCs w:val="24"/>
        </w:rPr>
        <w:t xml:space="preserve"> that the claims were almost certainly further exaggerated as they were likely based on out of date demographic information (the ONS failed to respond to our request to identify what data were used). Hence the ONS re</w:t>
      </w:r>
      <w:r w:rsidRPr="00E250E5">
        <w:rPr>
          <w:rFonts w:ascii="Minion Pro" w:hAnsi="Minion Pro" w:cs="Times New Roman"/>
          <w:sz w:val="24"/>
          <w:szCs w:val="24"/>
        </w:rPr>
        <w:t xml:space="preserve">port – which was widely quoted in the media – was likely to </w:t>
      </w:r>
      <w:r w:rsidRPr="00E250E5">
        <w:rPr>
          <w:rFonts w:ascii="Minion Pro" w:hAnsi="Minion Pro" w:cs="Times New Roman"/>
          <w:sz w:val="24"/>
          <w:szCs w:val="24"/>
        </w:rPr>
        <w:t>create an unjustified level of fear and anxiety among the BAME community</w:t>
      </w:r>
      <w:r w:rsidRPr="00E250E5">
        <w:rPr>
          <w:rFonts w:ascii="Minion Pro" w:hAnsi="Minion Pro" w:cs="Times New Roman"/>
          <w:sz w:val="24"/>
          <w:szCs w:val="24"/>
        </w:rPr>
        <w:t xml:space="preserve">. </w:t>
      </w:r>
      <w:r w:rsidRPr="00E250E5">
        <w:rPr>
          <w:rFonts w:ascii="Minion Pro" w:hAnsi="Minion Pro" w:cs="Times New Roman"/>
          <w:sz w:val="24"/>
          <w:szCs w:val="24"/>
        </w:rPr>
        <w:t>Failure to identify causal explanations for data bias has</w:t>
      </w:r>
      <w:r w:rsidRPr="00E250E5">
        <w:rPr>
          <w:rFonts w:ascii="Minion Pro" w:hAnsi="Minion Pro" w:cs="Times New Roman"/>
          <w:sz w:val="24"/>
          <w:szCs w:val="24"/>
        </w:rPr>
        <w:t xml:space="preserve"> also</w:t>
      </w:r>
      <w:r w:rsidRPr="00E250E5">
        <w:rPr>
          <w:rFonts w:ascii="Minion Pro" w:hAnsi="Minion Pro" w:cs="Times New Roman"/>
          <w:sz w:val="24"/>
          <w:szCs w:val="24"/>
        </w:rPr>
        <w:t xml:space="preserve"> led to multiple well-publicised studies with exaggerated</w:t>
      </w:r>
      <w:r>
        <w:rPr>
          <w:rStyle w:val="FootnoteReference"/>
          <w:rFonts w:ascii="Minion Pro" w:hAnsi="Minion Pro" w:cs="Times New Roman"/>
          <w:sz w:val="24"/>
          <w:szCs w:val="24"/>
        </w:rPr>
        <w:footnoteReference w:id="12"/>
      </w:r>
      <w:r w:rsidRPr="00E250E5">
        <w:rPr>
          <w:rFonts w:ascii="Minion Pro" w:hAnsi="Minion Pro" w:cs="Times New Roman"/>
          <w:sz w:val="24"/>
          <w:szCs w:val="24"/>
          <w:vertAlign w:val="superscript"/>
        </w:rPr>
        <w:t>,</w:t>
      </w:r>
      <w:r>
        <w:rPr>
          <w:rStyle w:val="FootnoteReference"/>
          <w:rFonts w:ascii="Minion Pro" w:hAnsi="Minion Pro" w:cs="Times New Roman"/>
          <w:sz w:val="24"/>
          <w:szCs w:val="24"/>
        </w:rPr>
        <w:footnoteReference w:id="13"/>
      </w:r>
      <w:r w:rsidRPr="00E250E5">
        <w:rPr>
          <w:rFonts w:ascii="Minion Pro" w:hAnsi="Minion Pro" w:cs="Times New Roman"/>
          <w:sz w:val="24"/>
          <w:szCs w:val="24"/>
        </w:rPr>
        <w:t xml:space="preserve"> - or even flawed</w:t>
      </w:r>
      <w:r>
        <w:rPr>
          <w:rStyle w:val="FootnoteReference"/>
          <w:rFonts w:ascii="Minion Pro" w:hAnsi="Minion Pro" w:cs="Times New Roman"/>
          <w:sz w:val="24"/>
          <w:szCs w:val="24"/>
        </w:rPr>
        <w:footnoteReference w:id="14"/>
      </w:r>
      <w:r w:rsidRPr="00E250E5">
        <w:rPr>
          <w:rFonts w:ascii="Minion Pro" w:hAnsi="Minion Pro" w:cs="Times New Roman"/>
          <w:sz w:val="24"/>
          <w:szCs w:val="24"/>
        </w:rPr>
        <w:t xml:space="preserve"> -  claims that certain communities, or people with certain attributes or habits, are at much higher risk of </w:t>
      </w:r>
      <w:r w:rsidRPr="00E250E5">
        <w:rPr>
          <w:rFonts w:ascii="Minion Pro" w:hAnsi="Minion Pro" w:cs="Times New Roman"/>
          <w:sz w:val="24"/>
          <w:szCs w:val="24"/>
        </w:rPr>
        <w:t>COVID-19</w:t>
      </w:r>
      <w:r w:rsidRPr="00E250E5">
        <w:rPr>
          <w:rFonts w:ascii="Minion Pro" w:hAnsi="Minion Pro" w:cs="Times New Roman"/>
          <w:sz w:val="24"/>
          <w:szCs w:val="24"/>
        </w:rPr>
        <w:t xml:space="preserve">. </w:t>
      </w:r>
    </w:p>
    <w:p w:rsidR="00EF4157"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 xml:space="preserve">In early October news broke of under-reporting of almost 16,000 positive PCR tests and that, as a result, as many as </w:t>
      </w:r>
      <w:r w:rsidRPr="00E250E5">
        <w:rPr>
          <w:rFonts w:ascii="Minion Pro" w:hAnsi="Minion Pro" w:cs="Times New Roman"/>
          <w:sz w:val="24"/>
          <w:szCs w:val="24"/>
        </w:rPr>
        <w:t>48,000 people may not have been informed of their exposure due to close contact with these undisclosed ‘cases’</w:t>
      </w:r>
      <w:r>
        <w:rPr>
          <w:rStyle w:val="FootnoteReference"/>
          <w:rFonts w:ascii="Minion Pro" w:hAnsi="Minion Pro" w:cs="Times New Roman"/>
          <w:sz w:val="24"/>
          <w:szCs w:val="24"/>
        </w:rPr>
        <w:footnoteReference w:id="15"/>
      </w:r>
      <w:r w:rsidRPr="00E250E5">
        <w:rPr>
          <w:rFonts w:ascii="Minion Pro" w:hAnsi="Minion Pro" w:cs="Times New Roman"/>
          <w:sz w:val="24"/>
          <w:szCs w:val="24"/>
        </w:rPr>
        <w:t>. PHE blamed Microsoft’s Excel software</w:t>
      </w:r>
      <w:r>
        <w:rPr>
          <w:rStyle w:val="FootnoteReference"/>
          <w:rFonts w:ascii="Minion Pro" w:hAnsi="Minion Pro" w:cs="Times New Roman"/>
          <w:sz w:val="24"/>
          <w:szCs w:val="24"/>
        </w:rPr>
        <w:footnoteReference w:id="16"/>
      </w:r>
      <w:r w:rsidRPr="00E250E5">
        <w:rPr>
          <w:rFonts w:ascii="Minion Pro" w:hAnsi="Minion Pro" w:cs="Times New Roman"/>
          <w:sz w:val="24"/>
          <w:szCs w:val="24"/>
        </w:rPr>
        <w:t>, but this disingenuous admonition did more to highlight PHE’s: (a) reliance on almost 25yr old technolog</w:t>
      </w:r>
      <w:r w:rsidRPr="00E250E5">
        <w:rPr>
          <w:rFonts w:ascii="Minion Pro" w:hAnsi="Minion Pro" w:cs="Times New Roman"/>
          <w:sz w:val="24"/>
          <w:szCs w:val="24"/>
        </w:rPr>
        <w:t>y; (b) ignorance of and failure to maintain pace with technology; and (c) lack of any reliable approach to checking and validating data they collect and report. Data security experts describe this as one in a long string of data and information security fa</w:t>
      </w:r>
      <w:r w:rsidRPr="00E250E5">
        <w:rPr>
          <w:rFonts w:ascii="Minion Pro" w:hAnsi="Minion Pro" w:cs="Times New Roman"/>
          <w:sz w:val="24"/>
          <w:szCs w:val="24"/>
        </w:rPr>
        <w:t>ilings by PHE and the Government and have used it to support eschewing use of the proposed NHSx track and trace apps</w:t>
      </w:r>
      <w:r>
        <w:rPr>
          <w:rStyle w:val="FootnoteReference"/>
          <w:rFonts w:ascii="Minion Pro" w:hAnsi="Minion Pro" w:cs="Times New Roman"/>
          <w:sz w:val="24"/>
          <w:szCs w:val="24"/>
        </w:rPr>
        <w:footnoteReference w:id="17"/>
      </w:r>
      <w:r w:rsidRPr="00E250E5">
        <w:rPr>
          <w:rFonts w:ascii="Minion Pro" w:hAnsi="Minion Pro" w:cs="Times New Roman"/>
          <w:sz w:val="24"/>
          <w:szCs w:val="24"/>
        </w:rPr>
        <w:t>.</w:t>
      </w:r>
    </w:p>
    <w:p w:rsidR="00EF4157"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Removal or sanitising of flu incidence/death data from 1999 and all previous years from the ONS website making comparisons almost impossi</w:t>
      </w:r>
      <w:r w:rsidRPr="00E250E5">
        <w:rPr>
          <w:rFonts w:ascii="Minion Pro" w:hAnsi="Minion Pro" w:cs="Times New Roman"/>
          <w:sz w:val="24"/>
          <w:szCs w:val="24"/>
        </w:rPr>
        <w:t>ble and giving the impression that the ‘past is being rewritten or expunged’.</w:t>
      </w:r>
    </w:p>
    <w:p w:rsidR="00EF4157" w:rsidRPr="00E250E5" w:rsidP="007A5048">
      <w:pPr>
        <w:pStyle w:val="ListParagraph"/>
        <w:numPr>
          <w:ilvl w:val="1"/>
          <w:numId w:val="12"/>
        </w:numPr>
        <w:snapToGrid w:val="0"/>
        <w:spacing w:after="100"/>
        <w:ind w:right="521"/>
        <w:contextualSpacing w:val="0"/>
        <w:jc w:val="both"/>
        <w:rPr>
          <w:rFonts w:ascii="Minion Pro" w:hAnsi="Minion Pro" w:cs="Times New Roman"/>
          <w:sz w:val="24"/>
          <w:szCs w:val="24"/>
        </w:rPr>
      </w:pPr>
      <w:r w:rsidRPr="00E250E5">
        <w:rPr>
          <w:rFonts w:ascii="Minion Pro" w:hAnsi="Minion Pro" w:cs="Times New Roman"/>
          <w:sz w:val="24"/>
          <w:szCs w:val="24"/>
        </w:rPr>
        <w:t xml:space="preserve">Constant changing of scales and metrics used in data reporting. For example, deaths were recorded as </w:t>
      </w:r>
      <w:r w:rsidRPr="00E250E5">
        <w:rPr>
          <w:rFonts w:ascii="Minion Pro" w:hAnsi="Minion Pro" w:cs="Times New Roman"/>
          <w:sz w:val="24"/>
          <w:szCs w:val="24"/>
        </w:rPr>
        <w:t xml:space="preserve">COVID-19 </w:t>
      </w:r>
      <w:r w:rsidRPr="00E250E5">
        <w:rPr>
          <w:rFonts w:ascii="Minion Pro" w:hAnsi="Minion Pro" w:cs="Times New Roman"/>
          <w:sz w:val="24"/>
          <w:szCs w:val="24"/>
        </w:rPr>
        <w:t>deaths if they occurred within 2</w:t>
      </w:r>
      <w:r w:rsidRPr="00E250E5">
        <w:rPr>
          <w:rFonts w:ascii="Minion Pro" w:hAnsi="Minion Pro" w:cs="Times New Roman"/>
          <w:sz w:val="24"/>
          <w:szCs w:val="24"/>
        </w:rPr>
        <w:t>8</w:t>
      </w:r>
      <w:r w:rsidRPr="00E250E5">
        <w:rPr>
          <w:rFonts w:ascii="Minion Pro" w:hAnsi="Minion Pro" w:cs="Times New Roman"/>
          <w:sz w:val="24"/>
          <w:szCs w:val="24"/>
        </w:rPr>
        <w:t xml:space="preserve"> days of a positive test and this h</w:t>
      </w:r>
      <w:r w:rsidRPr="00E250E5">
        <w:rPr>
          <w:rFonts w:ascii="Minion Pro" w:hAnsi="Minion Pro" w:cs="Times New Roman"/>
          <w:sz w:val="24"/>
          <w:szCs w:val="24"/>
        </w:rPr>
        <w:t xml:space="preserve">as recently been changed to 60 days </w:t>
      </w:r>
      <w:r w:rsidRPr="00E250E5">
        <w:rPr>
          <w:rFonts w:ascii="Minion Pro" w:hAnsi="Minion Pro" w:cs="Times New Roman"/>
          <w:sz w:val="24"/>
          <w:szCs w:val="24"/>
        </w:rPr>
        <w:t xml:space="preserve">if COVID-19 appears on the death certificate. This change was done in reaction to a recommendation that the period should be reduced to 21 days. The change was made with no accompanying  </w:t>
      </w:r>
      <w:r w:rsidRPr="00E250E5">
        <w:rPr>
          <w:rFonts w:ascii="Minion Pro" w:hAnsi="Minion Pro" w:cs="Times New Roman"/>
          <w:sz w:val="24"/>
          <w:szCs w:val="24"/>
        </w:rPr>
        <w:t xml:space="preserve"> explanation</w:t>
      </w:r>
      <w:r w:rsidRPr="00E250E5">
        <w:rPr>
          <w:rFonts w:ascii="Minion Pro" w:hAnsi="Minion Pro" w:cs="Times New Roman"/>
          <w:sz w:val="24"/>
          <w:szCs w:val="24"/>
        </w:rPr>
        <w:t xml:space="preserve"> of why it was increa</w:t>
      </w:r>
      <w:r w:rsidRPr="00E250E5">
        <w:rPr>
          <w:rFonts w:ascii="Minion Pro" w:hAnsi="Minion Pro" w:cs="Times New Roman"/>
          <w:sz w:val="24"/>
          <w:szCs w:val="24"/>
        </w:rPr>
        <w:t>sed rather than decreased</w:t>
      </w:r>
      <w:r>
        <w:rPr>
          <w:rStyle w:val="FootnoteReference"/>
          <w:rFonts w:ascii="Minion Pro" w:hAnsi="Minion Pro" w:cs="Times New Roman"/>
          <w:sz w:val="24"/>
          <w:szCs w:val="24"/>
        </w:rPr>
        <w:footnoteReference w:id="18"/>
      </w:r>
      <w:r w:rsidRPr="00E250E5">
        <w:rPr>
          <w:rFonts w:ascii="Minion Pro" w:hAnsi="Minion Pro" w:cs="Times New Roman"/>
          <w:sz w:val="24"/>
          <w:szCs w:val="24"/>
        </w:rPr>
        <w:t>.</w:t>
      </w:r>
      <w:r w:rsidRPr="00E250E5">
        <w:rPr>
          <w:rFonts w:ascii="Minion Pro" w:hAnsi="Minion Pro" w:cs="Times New Roman"/>
          <w:sz w:val="24"/>
          <w:szCs w:val="24"/>
        </w:rPr>
        <w:t xml:space="preserve"> </w:t>
      </w:r>
    </w:p>
    <w:p w:rsidR="00483D90" w:rsidRPr="00E250E5" w:rsidP="007A5048">
      <w:pPr>
        <w:pStyle w:val="ListParagraph"/>
        <w:numPr>
          <w:ilvl w:val="0"/>
          <w:numId w:val="7"/>
        </w:numPr>
        <w:snapToGrid w:val="0"/>
        <w:spacing w:after="100"/>
        <w:ind w:left="850" w:right="-46" w:hanging="357"/>
        <w:contextualSpacing w:val="0"/>
        <w:jc w:val="both"/>
        <w:rPr>
          <w:rFonts w:ascii="Minion Pro" w:hAnsi="Minion Pro" w:cs="Times New Roman"/>
          <w:sz w:val="24"/>
          <w:szCs w:val="24"/>
        </w:rPr>
      </w:pPr>
      <w:r w:rsidRPr="00E250E5">
        <w:rPr>
          <w:rFonts w:ascii="Minion Pro" w:hAnsi="Minion Pro" w:cs="Times New Roman"/>
          <w:sz w:val="24"/>
          <w:szCs w:val="24"/>
        </w:rPr>
        <w:t xml:space="preserve">Ultimately the only way to achieve accurate estimates of the critical population infection rate at any given time is to provide the missing – but easy to obtain data shown in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_Ref54900625 \h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Figure 4</w:t>
      </w:r>
      <w:r w:rsidRPr="00E250E5">
        <w:rPr>
          <w:rFonts w:ascii="Minion Pro" w:hAnsi="Minion Pro" w:cs="Times New Roman"/>
          <w:sz w:val="24"/>
          <w:szCs w:val="24"/>
        </w:rPr>
        <w:fldChar w:fldCharType="end"/>
      </w:r>
      <w:r w:rsidRPr="00E250E5">
        <w:rPr>
          <w:rFonts w:ascii="Minion Pro" w:hAnsi="Minion Pro" w:cs="Times New Roman"/>
          <w:sz w:val="24"/>
          <w:szCs w:val="24"/>
        </w:rPr>
        <w:t>.</w:t>
      </w:r>
    </w:p>
    <w:p w:rsidR="001B0DDC" w:rsidRPr="00E250E5" w:rsidP="007A5048">
      <w:pPr>
        <w:pStyle w:val="ListParagraph"/>
        <w:numPr>
          <w:ilvl w:val="0"/>
          <w:numId w:val="7"/>
        </w:numPr>
        <w:snapToGrid w:val="0"/>
        <w:spacing w:after="100"/>
        <w:ind w:left="850" w:right="-46" w:hanging="357"/>
        <w:contextualSpacing w:val="0"/>
        <w:jc w:val="both"/>
        <w:rPr>
          <w:rFonts w:ascii="Minion Pro" w:hAnsi="Minion Pro" w:cs="Times New Roman"/>
          <w:sz w:val="24"/>
          <w:szCs w:val="24"/>
        </w:rPr>
      </w:pPr>
      <w:r w:rsidRPr="00E250E5">
        <w:rPr>
          <w:rFonts w:ascii="Minion Pro" w:hAnsi="Minion Pro" w:cs="Times New Roman"/>
          <w:sz w:val="24"/>
          <w:szCs w:val="24"/>
        </w:rPr>
        <w:t xml:space="preserve">Decisions about lockdown require data to support the evidence shown in  </w:t>
      </w:r>
      <w:r w:rsidRPr="00E250E5">
        <w:rPr>
          <w:rFonts w:ascii="Minion Pro" w:hAnsi="Minion Pro" w:cs="Times New Roman"/>
          <w:sz w:val="24"/>
          <w:szCs w:val="24"/>
        </w:rPr>
        <w:fldChar w:fldCharType="begin"/>
      </w:r>
      <w:r w:rsidRPr="00E250E5">
        <w:rPr>
          <w:rFonts w:ascii="Minion Pro" w:hAnsi="Minion Pro" w:cs="Times New Roman"/>
          <w:sz w:val="24"/>
          <w:szCs w:val="24"/>
        </w:rPr>
        <w:instrText xml:space="preserve"> REF _Ref54900805 \h  \* MERGEFORMAT </w:instrText>
      </w:r>
      <w:r w:rsidRPr="00E250E5">
        <w:rPr>
          <w:rFonts w:ascii="Minion Pro" w:hAnsi="Minion Pro" w:cs="Times New Roman"/>
          <w:sz w:val="24"/>
          <w:szCs w:val="24"/>
        </w:rPr>
        <w:fldChar w:fldCharType="separate"/>
      </w:r>
      <w:r w:rsidRPr="00E250E5">
        <w:rPr>
          <w:rFonts w:ascii="Minion Pro" w:hAnsi="Minion Pro" w:cs="Times New Roman"/>
          <w:sz w:val="24"/>
          <w:szCs w:val="24"/>
        </w:rPr>
        <w:t>Figure 5</w:t>
      </w:r>
      <w:r w:rsidRPr="00E250E5">
        <w:rPr>
          <w:rFonts w:ascii="Minion Pro" w:hAnsi="Minion Pro" w:cs="Times New Roman"/>
          <w:sz w:val="24"/>
          <w:szCs w:val="24"/>
        </w:rPr>
        <w:fldChar w:fldCharType="end"/>
      </w:r>
      <w:r w:rsidRPr="00E250E5">
        <w:rPr>
          <w:rFonts w:ascii="Minion Pro" w:hAnsi="Minion Pro" w:cs="Times New Roman"/>
          <w:sz w:val="24"/>
          <w:szCs w:val="24"/>
        </w:rPr>
        <w:t>. If these data have been considered in Government decisions, they have certainly not been made public.</w:t>
      </w:r>
    </w:p>
    <w:p w:rsidR="00483D90" w:rsidRPr="00E250E5" w:rsidP="007A5048">
      <w:pPr>
        <w:ind w:right="-46"/>
        <w:jc w:val="both"/>
        <w:rPr>
          <w:rFonts w:ascii="Minion Pro" w:hAnsi="Minion Pro" w:cs="Times New Roman"/>
          <w:sz w:val="24"/>
          <w:szCs w:val="24"/>
        </w:rPr>
      </w:pPr>
    </w:p>
    <w:p w:rsidR="00D40E96" w:rsidRPr="00E250E5" w:rsidP="007A5048">
      <w:pPr>
        <w:ind w:right="-46"/>
        <w:jc w:val="both"/>
        <w:rPr>
          <w:rFonts w:ascii="Minion Pro" w:hAnsi="Minion Pro" w:cs="Times New Roman"/>
          <w:sz w:val="24"/>
          <w:szCs w:val="24"/>
        </w:rPr>
      </w:pPr>
    </w:p>
    <w:p w:rsidR="0043312E" w:rsidRPr="00E250E5" w:rsidP="007A5048">
      <w:pPr>
        <w:ind w:right="-46"/>
        <w:jc w:val="both"/>
        <w:rPr>
          <w:rFonts w:ascii="Minion Pro" w:hAnsi="Minion Pro" w:cs="Times New Roman"/>
          <w:sz w:val="24"/>
          <w:szCs w:val="24"/>
        </w:rPr>
      </w:pPr>
      <w:r w:rsidRPr="00E250E5">
        <w:rPr>
          <w:rFonts w:ascii="Minion Pro" w:hAnsi="Minion Pro" w:cs="Times New Roman"/>
          <w:sz w:val="24"/>
          <w:szCs w:val="24"/>
        </w:rPr>
        <w:t xml:space="preserve">In summary, and supported by the arguments above our responses to the </w:t>
      </w:r>
      <w:r w:rsidRPr="00E250E5">
        <w:rPr>
          <w:rFonts w:ascii="Minion Pro" w:hAnsi="Minion Pro" w:cs="Times New Roman"/>
          <w:sz w:val="24"/>
          <w:szCs w:val="24"/>
        </w:rPr>
        <w:t>eight</w:t>
      </w:r>
      <w:r w:rsidRPr="00E250E5">
        <w:rPr>
          <w:rFonts w:ascii="Minion Pro" w:hAnsi="Minion Pro" w:cs="Times New Roman"/>
          <w:sz w:val="24"/>
          <w:szCs w:val="24"/>
        </w:rPr>
        <w:t xml:space="preserve"> issues iden</w:t>
      </w:r>
      <w:r w:rsidRPr="00E250E5">
        <w:rPr>
          <w:rFonts w:ascii="Minion Pro" w:hAnsi="Minion Pro" w:cs="Times New Roman"/>
          <w:sz w:val="24"/>
          <w:szCs w:val="24"/>
        </w:rPr>
        <w:t xml:space="preserve">tified in the public call are: </w:t>
      </w:r>
    </w:p>
    <w:p w:rsidR="0043312E" w:rsidRPr="00E250E5" w:rsidP="007A5048">
      <w:pPr>
        <w:ind w:left="851" w:right="-46"/>
        <w:jc w:val="both"/>
        <w:rPr>
          <w:rFonts w:ascii="Minion Pro" w:hAnsi="Minion Pro" w:cs="Times New Roman"/>
          <w:sz w:val="24"/>
          <w:szCs w:val="24"/>
        </w:rPr>
      </w:pPr>
    </w:p>
    <w:p w:rsidR="00420825"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In response to Issue 1:</w:t>
      </w:r>
      <w:r w:rsidRPr="00E250E5">
        <w:rPr>
          <w:rFonts w:ascii="Minion Pro" w:hAnsi="Minion Pro" w:cs="Times New Roman"/>
          <w:i/>
          <w:iCs/>
          <w:sz w:val="24"/>
          <w:szCs w:val="24"/>
        </w:rPr>
        <w:t xml:space="preserve"> Did the Government have good enough data to make decisions in response to Coronavirus, and how quickly were the Government able to gather new data?</w:t>
      </w:r>
      <w:r w:rsidRPr="00E250E5">
        <w:rPr>
          <w:rFonts w:ascii="Minion Pro" w:hAnsi="Minion Pro" w:cs="Times New Roman"/>
          <w:sz w:val="24"/>
          <w:szCs w:val="24"/>
        </w:rPr>
        <w:t xml:space="preserve"> </w:t>
      </w:r>
    </w:p>
    <w:p w:rsidR="007C4618" w:rsidRPr="00E250E5" w:rsidP="007A5048">
      <w:pPr>
        <w:snapToGrid w:val="0"/>
        <w:spacing w:after="100"/>
        <w:ind w:left="1134" w:right="-46"/>
        <w:jc w:val="both"/>
        <w:rPr>
          <w:rFonts w:ascii="Minion Pro" w:hAnsi="Minion Pro" w:cs="Times New Roman"/>
          <w:sz w:val="24"/>
          <w:szCs w:val="24"/>
        </w:rPr>
      </w:pPr>
      <w:r w:rsidRPr="00E250E5">
        <w:rPr>
          <w:rFonts w:ascii="Minion Pro" w:hAnsi="Minion Pro" w:cs="Times New Roman"/>
          <w:sz w:val="24"/>
          <w:szCs w:val="24"/>
        </w:rPr>
        <w:t>Data provided by several departments including PHE</w:t>
      </w:r>
      <w:r w:rsidRPr="00E250E5">
        <w:rPr>
          <w:rFonts w:ascii="Minion Pro" w:hAnsi="Minion Pro" w:cs="Times New Roman"/>
          <w:sz w:val="24"/>
          <w:szCs w:val="24"/>
        </w:rPr>
        <w:t>, NHS and ONS for Government decision-making was observed to be ever-changing, unreliable, and of such poor quality and so inappropriately framed as to be insufficient to support the public health, policy and legislative decisions that resulted.</w:t>
      </w:r>
    </w:p>
    <w:p w:rsidR="00420825"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In respons</w:t>
      </w:r>
      <w:r w:rsidRPr="00E250E5">
        <w:rPr>
          <w:rFonts w:ascii="Minion Pro" w:hAnsi="Minion Pro" w:cs="Times New Roman"/>
          <w:sz w:val="24"/>
          <w:szCs w:val="24"/>
        </w:rPr>
        <w:t>e to Issue 2:</w:t>
      </w:r>
      <w:r w:rsidRPr="00E250E5">
        <w:rPr>
          <w:rFonts w:ascii="Minion Pro" w:hAnsi="Minion Pro" w:cs="Times New Roman"/>
          <w:i/>
          <w:iCs/>
          <w:sz w:val="24"/>
          <w:szCs w:val="24"/>
        </w:rPr>
        <w:t xml:space="preserve"> Was data for decision-making sufficiently joined up across departments? </w:t>
      </w:r>
    </w:p>
    <w:p w:rsidR="00420825" w:rsidRPr="00E250E5" w:rsidP="007A5048">
      <w:pPr>
        <w:snapToGrid w:val="0"/>
        <w:spacing w:after="100"/>
        <w:ind w:left="1134" w:right="-46"/>
        <w:jc w:val="both"/>
        <w:rPr>
          <w:rFonts w:ascii="Minion Pro" w:hAnsi="Minion Pro" w:cs="Times New Roman"/>
          <w:sz w:val="24"/>
          <w:szCs w:val="24"/>
        </w:rPr>
      </w:pPr>
      <w:r w:rsidRPr="00E250E5">
        <w:rPr>
          <w:rFonts w:ascii="Minion Pro" w:hAnsi="Minion Pro" w:cs="Times New Roman"/>
          <w:sz w:val="24"/>
          <w:szCs w:val="24"/>
        </w:rPr>
        <w:t>Where multiple actors are responsible for collecting and reporting data that will be aggregated and used to direct public policy:</w:t>
      </w:r>
      <w:r w:rsidRPr="00E250E5">
        <w:rPr>
          <w:rFonts w:ascii="Minion Pro" w:hAnsi="Minion Pro" w:cs="Times New Roman"/>
          <w:sz w:val="24"/>
          <w:szCs w:val="24"/>
        </w:rPr>
        <w:t xml:space="preserve"> definitions, thresholds and processes must observe a consistent standard. The central aggregator, in this case the ONS, should have been responsible for both dictating and enforcing that standard. </w:t>
      </w:r>
    </w:p>
    <w:p w:rsidR="007C4618" w:rsidRPr="00E250E5" w:rsidP="007A5048">
      <w:pPr>
        <w:snapToGrid w:val="0"/>
        <w:spacing w:after="100"/>
        <w:ind w:left="1134" w:right="-46"/>
        <w:jc w:val="both"/>
        <w:rPr>
          <w:rFonts w:ascii="Minion Pro" w:hAnsi="Minion Pro" w:cs="Times New Roman"/>
          <w:sz w:val="24"/>
          <w:szCs w:val="24"/>
        </w:rPr>
      </w:pPr>
      <w:r w:rsidRPr="00E250E5">
        <w:rPr>
          <w:rFonts w:ascii="Minion Pro" w:hAnsi="Minion Pro" w:cs="Times New Roman"/>
          <w:sz w:val="24"/>
          <w:szCs w:val="24"/>
        </w:rPr>
        <w:t>As evidenced by anomalies and misrepresentations identifi</w:t>
      </w:r>
      <w:r w:rsidRPr="00E250E5">
        <w:rPr>
          <w:rFonts w:ascii="Minion Pro" w:hAnsi="Minion Pro" w:cs="Times New Roman"/>
          <w:sz w:val="24"/>
          <w:szCs w:val="24"/>
        </w:rPr>
        <w:t>ed above, the efforts of PHE, NHS and ONS were not sufficiently joined up, fell short of due standards, and severely undermined Government decision-making, independent scrutiny, and ultimately public confidence.</w:t>
      </w:r>
    </w:p>
    <w:p w:rsidR="00420825"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In response to Issue 3:</w:t>
      </w:r>
      <w:r w:rsidRPr="00E250E5">
        <w:rPr>
          <w:rFonts w:ascii="Minion Pro" w:hAnsi="Minion Pro" w:cs="Times New Roman"/>
          <w:i/>
          <w:iCs/>
          <w:sz w:val="24"/>
          <w:szCs w:val="24"/>
        </w:rPr>
        <w:t xml:space="preserve"> Was relevant data di</w:t>
      </w:r>
      <w:r w:rsidRPr="00E250E5">
        <w:rPr>
          <w:rFonts w:ascii="Minion Pro" w:hAnsi="Minion Pro" w:cs="Times New Roman"/>
          <w:i/>
          <w:iCs/>
          <w:sz w:val="24"/>
          <w:szCs w:val="24"/>
        </w:rPr>
        <w:t>sseminated to key decision-makers in: Central and Local Government; other public services (like schools); businesses; and interested members of the public?</w:t>
      </w:r>
      <w:r w:rsidRPr="00E250E5">
        <w:rPr>
          <w:rFonts w:ascii="Minion Pro" w:hAnsi="Minion Pro" w:cs="Times New Roman"/>
          <w:sz w:val="24"/>
          <w:szCs w:val="24"/>
        </w:rPr>
        <w:t xml:space="preserve"> </w:t>
      </w:r>
    </w:p>
    <w:p w:rsidR="00AB50A6" w:rsidRPr="00E250E5" w:rsidP="007A5048">
      <w:pPr>
        <w:snapToGrid w:val="0"/>
        <w:spacing w:after="100"/>
        <w:ind w:left="1134" w:right="-46"/>
        <w:jc w:val="both"/>
        <w:rPr>
          <w:rFonts w:ascii="Minion Pro" w:hAnsi="Minion Pro" w:cs="Times New Roman"/>
          <w:sz w:val="24"/>
          <w:szCs w:val="24"/>
        </w:rPr>
      </w:pPr>
      <w:r w:rsidRPr="00E250E5">
        <w:rPr>
          <w:rFonts w:ascii="Minion Pro" w:hAnsi="Minion Pro" w:cs="Times New Roman"/>
          <w:sz w:val="24"/>
          <w:szCs w:val="24"/>
        </w:rPr>
        <w:t>To be relevant, data must be capable of informing the decision-making process. Relevant data is tha</w:t>
      </w:r>
      <w:r w:rsidRPr="00E250E5">
        <w:rPr>
          <w:rFonts w:ascii="Minion Pro" w:hAnsi="Minion Pro" w:cs="Times New Roman"/>
          <w:sz w:val="24"/>
          <w:szCs w:val="24"/>
        </w:rPr>
        <w:t xml:space="preserve">t which is </w:t>
      </w:r>
      <w:r w:rsidRPr="00E250E5">
        <w:rPr>
          <w:rFonts w:ascii="Minion Pro" w:hAnsi="Minion Pro" w:cs="Times New Roman"/>
          <w:i/>
          <w:iCs/>
          <w:sz w:val="24"/>
          <w:szCs w:val="24"/>
        </w:rPr>
        <w:t>accurate</w:t>
      </w:r>
      <w:r w:rsidRPr="00E250E5">
        <w:rPr>
          <w:rFonts w:ascii="Minion Pro" w:hAnsi="Minion Pro" w:cs="Times New Roman"/>
          <w:sz w:val="24"/>
          <w:szCs w:val="24"/>
        </w:rPr>
        <w:t xml:space="preserve">, </w:t>
      </w:r>
      <w:r w:rsidRPr="00E250E5">
        <w:rPr>
          <w:rFonts w:ascii="Minion Pro" w:hAnsi="Minion Pro" w:cs="Times New Roman"/>
          <w:i/>
          <w:iCs/>
          <w:sz w:val="24"/>
          <w:szCs w:val="24"/>
        </w:rPr>
        <w:t>timely</w:t>
      </w:r>
      <w:r w:rsidRPr="00E250E5">
        <w:rPr>
          <w:rFonts w:ascii="Minion Pro" w:hAnsi="Minion Pro" w:cs="Times New Roman"/>
          <w:sz w:val="24"/>
          <w:szCs w:val="24"/>
        </w:rPr>
        <w:t xml:space="preserve">, </w:t>
      </w:r>
      <w:r w:rsidRPr="00E250E5">
        <w:rPr>
          <w:rFonts w:ascii="Minion Pro" w:hAnsi="Minion Pro" w:cs="Times New Roman"/>
          <w:i/>
          <w:iCs/>
          <w:sz w:val="24"/>
          <w:szCs w:val="24"/>
        </w:rPr>
        <w:t>indisputable</w:t>
      </w:r>
      <w:r w:rsidRPr="00E250E5">
        <w:rPr>
          <w:rFonts w:ascii="Minion Pro" w:hAnsi="Minion Pro" w:cs="Times New Roman"/>
          <w:sz w:val="24"/>
          <w:szCs w:val="24"/>
        </w:rPr>
        <w:t xml:space="preserve">, </w:t>
      </w:r>
      <w:r w:rsidRPr="00E250E5">
        <w:rPr>
          <w:rFonts w:ascii="Minion Pro" w:hAnsi="Minion Pro" w:cs="Times New Roman"/>
          <w:i/>
          <w:iCs/>
          <w:sz w:val="24"/>
          <w:szCs w:val="24"/>
        </w:rPr>
        <w:t>optimised</w:t>
      </w:r>
      <w:r w:rsidRPr="00E250E5">
        <w:rPr>
          <w:rFonts w:ascii="Minion Pro" w:hAnsi="Minion Pro" w:cs="Times New Roman"/>
          <w:sz w:val="24"/>
          <w:szCs w:val="24"/>
        </w:rPr>
        <w:t xml:space="preserve"> and </w:t>
      </w:r>
      <w:r w:rsidRPr="00E250E5">
        <w:rPr>
          <w:rFonts w:ascii="Minion Pro" w:hAnsi="Minion Pro" w:cs="Times New Roman"/>
          <w:i/>
          <w:iCs/>
          <w:sz w:val="24"/>
          <w:szCs w:val="24"/>
        </w:rPr>
        <w:t>fit to inform the known purposes for which it may be used</w:t>
      </w:r>
      <w:r w:rsidRPr="00E250E5">
        <w:rPr>
          <w:rFonts w:ascii="Minion Pro" w:hAnsi="Minion Pro" w:cs="Times New Roman"/>
          <w:sz w:val="24"/>
          <w:szCs w:val="24"/>
        </w:rPr>
        <w:t xml:space="preserve">. </w:t>
      </w:r>
    </w:p>
    <w:p w:rsidR="00874265" w:rsidRPr="00E250E5" w:rsidP="007A5048">
      <w:pPr>
        <w:snapToGrid w:val="0"/>
        <w:spacing w:after="100"/>
        <w:ind w:left="1134" w:right="-46"/>
        <w:jc w:val="both"/>
        <w:rPr>
          <w:rFonts w:ascii="Minion Pro" w:hAnsi="Minion Pro" w:cs="Times New Roman"/>
          <w:sz w:val="24"/>
          <w:szCs w:val="24"/>
        </w:rPr>
      </w:pPr>
      <w:r w:rsidRPr="00E250E5">
        <w:rPr>
          <w:rFonts w:ascii="Minion Pro" w:hAnsi="Minion Pro" w:cs="Times New Roman"/>
          <w:sz w:val="24"/>
          <w:szCs w:val="24"/>
        </w:rPr>
        <w:t>Given that Government was aware most members of the public consume only limited ‘views’ of such data as are presented in the media, its pre</w:t>
      </w:r>
      <w:r w:rsidRPr="00E250E5">
        <w:rPr>
          <w:rFonts w:ascii="Minion Pro" w:hAnsi="Minion Pro" w:cs="Times New Roman"/>
          <w:sz w:val="24"/>
          <w:szCs w:val="24"/>
        </w:rPr>
        <w:t>sentation, accuracy and fitness for purpose should have received greater consideration. While data was made available via the ONS website, for the reasons discussed above the relevance of this data has remained questionable.</w:t>
      </w:r>
    </w:p>
    <w:p w:rsidR="00B66877"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 xml:space="preserve">In response to </w:t>
      </w:r>
      <w:r w:rsidRPr="00E250E5">
        <w:rPr>
          <w:rFonts w:ascii="Minion Pro" w:hAnsi="Minion Pro" w:cs="Times New Roman"/>
          <w:i/>
          <w:iCs/>
          <w:sz w:val="24"/>
          <w:szCs w:val="24"/>
        </w:rPr>
        <w:t>Issue 4: Were ke</w:t>
      </w:r>
      <w:r w:rsidRPr="00E250E5">
        <w:rPr>
          <w:rFonts w:ascii="Minion Pro" w:hAnsi="Minion Pro" w:cs="Times New Roman"/>
          <w:i/>
          <w:iCs/>
          <w:sz w:val="24"/>
          <w:szCs w:val="24"/>
        </w:rPr>
        <w:t>y decisions (such as ‘lockdowns’) underpinned by good data and was data-led decision-making timely, clear and transparently presented to the public?</w:t>
      </w:r>
      <w:r w:rsidRPr="00E250E5">
        <w:rPr>
          <w:rFonts w:ascii="Minion Pro" w:hAnsi="Minion Pro" w:cs="Times New Roman"/>
          <w:sz w:val="24"/>
          <w:szCs w:val="24"/>
        </w:rPr>
        <w:t xml:space="preserve"> </w:t>
      </w:r>
    </w:p>
    <w:p w:rsidR="00C20A82"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Government decisions impacting the liberty and freedoms of individuals appear to have been made haphazardl</w:t>
      </w:r>
      <w:r w:rsidRPr="00E250E5">
        <w:rPr>
          <w:rFonts w:ascii="Minion Pro" w:hAnsi="Minion Pro" w:cs="Times New Roman"/>
          <w:sz w:val="24"/>
          <w:szCs w:val="24"/>
        </w:rPr>
        <w:t>y</w:t>
      </w:r>
      <w:bookmarkStart w:id="3" w:name="_Hlk55218923"/>
      <w:r w:rsidRPr="00E250E5">
        <w:rPr>
          <w:rFonts w:ascii="Minion Pro" w:hAnsi="Minion Pro" w:cs="Times New Roman"/>
          <w:sz w:val="24"/>
          <w:szCs w:val="24"/>
        </w:rPr>
        <w:t xml:space="preserve">. </w:t>
      </w:r>
      <w:bookmarkEnd w:id="3"/>
      <w:r w:rsidRPr="00E250E5">
        <w:rPr>
          <w:rFonts w:ascii="Minion Pro" w:hAnsi="Minion Pro" w:cs="Times New Roman"/>
          <w:sz w:val="24"/>
          <w:szCs w:val="24"/>
        </w:rPr>
        <w:t>While each came supported by justifications, it was claimed, that they were ‘led by the science’, more often it could be argued this was not the case.</w:t>
      </w:r>
    </w:p>
    <w:p w:rsidR="00A05502"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Decision making has been presented as being the result of</w:t>
      </w:r>
      <w:r w:rsidRPr="00E250E5">
        <w:rPr>
          <w:rFonts w:ascii="Minion Pro" w:hAnsi="Minion Pro" w:cs="Times New Roman"/>
          <w:sz w:val="24"/>
          <w:szCs w:val="24"/>
        </w:rPr>
        <w:t xml:space="preserve"> “the science” </w:t>
      </w:r>
      <w:r w:rsidRPr="00E250E5">
        <w:rPr>
          <w:rFonts w:ascii="Minion Pro" w:hAnsi="Minion Pro" w:cs="Times New Roman"/>
          <w:sz w:val="24"/>
          <w:szCs w:val="24"/>
        </w:rPr>
        <w:t>with the goal of delivering ‘c</w:t>
      </w:r>
      <w:r w:rsidRPr="00E250E5">
        <w:rPr>
          <w:rFonts w:ascii="Minion Pro" w:hAnsi="Minion Pro" w:cs="Times New Roman"/>
          <w:sz w:val="24"/>
          <w:szCs w:val="24"/>
        </w:rPr>
        <w:t>onsensus’.</w:t>
      </w:r>
      <w:r w:rsidRPr="00E250E5">
        <w:rPr>
          <w:rFonts w:ascii="Minion Pro" w:hAnsi="Minion Pro" w:cs="Times New Roman"/>
          <w:sz w:val="24"/>
          <w:szCs w:val="24"/>
        </w:rPr>
        <w:t xml:space="preserve"> </w:t>
      </w:r>
      <w:r w:rsidRPr="00E250E5">
        <w:rPr>
          <w:rFonts w:ascii="Minion Pro" w:hAnsi="Minion Pro" w:cs="Times New Roman"/>
          <w:sz w:val="24"/>
          <w:szCs w:val="24"/>
        </w:rPr>
        <w:t>However, science does not operate as a consensus making mechanism and it is not monolithic. T</w:t>
      </w:r>
      <w:r w:rsidRPr="00E250E5">
        <w:rPr>
          <w:rFonts w:ascii="Minion Pro" w:hAnsi="Minion Pro" w:cs="Times New Roman"/>
          <w:sz w:val="24"/>
          <w:szCs w:val="24"/>
        </w:rPr>
        <w:t>he current crisis has demonstrated that groups like SAGE</w:t>
      </w:r>
      <w:r w:rsidRPr="00E250E5">
        <w:rPr>
          <w:rFonts w:ascii="Minion Pro" w:hAnsi="Minion Pro" w:cs="Times New Roman"/>
          <w:sz w:val="24"/>
          <w:szCs w:val="24"/>
        </w:rPr>
        <w:t xml:space="preserve"> and the Joint Biosecurity Centre are not following scientific norms of behaviour. Analysis and </w:t>
      </w:r>
      <w:r w:rsidRPr="00E250E5">
        <w:rPr>
          <w:rFonts w:ascii="Minion Pro" w:hAnsi="Minion Pro" w:cs="Times New Roman"/>
          <w:sz w:val="24"/>
          <w:szCs w:val="24"/>
        </w:rPr>
        <w:t>policy formulation</w:t>
      </w:r>
      <w:r w:rsidRPr="00E250E5">
        <w:rPr>
          <w:rFonts w:ascii="Minion Pro" w:hAnsi="Minion Pro" w:cs="Times New Roman"/>
          <w:sz w:val="24"/>
          <w:szCs w:val="24"/>
        </w:rPr>
        <w:t xml:space="preserve"> </w:t>
      </w:r>
      <w:r w:rsidRPr="00E250E5">
        <w:rPr>
          <w:rFonts w:ascii="Minion Pro" w:hAnsi="Minion Pro" w:cs="Times New Roman"/>
          <w:sz w:val="24"/>
          <w:szCs w:val="24"/>
        </w:rPr>
        <w:t>need</w:t>
      </w:r>
      <w:r w:rsidRPr="00E250E5">
        <w:rPr>
          <w:rFonts w:ascii="Minion Pro" w:hAnsi="Minion Pro" w:cs="Times New Roman"/>
          <w:sz w:val="24"/>
          <w:szCs w:val="24"/>
        </w:rPr>
        <w:t xml:space="preserve"> </w:t>
      </w:r>
      <w:r w:rsidRPr="00E250E5">
        <w:rPr>
          <w:rFonts w:ascii="Minion Pro" w:hAnsi="Minion Pro" w:cs="Times New Roman"/>
          <w:sz w:val="24"/>
          <w:szCs w:val="24"/>
        </w:rPr>
        <w:t xml:space="preserve">more </w:t>
      </w:r>
      <w:r w:rsidRPr="00E250E5">
        <w:rPr>
          <w:rFonts w:ascii="Minion Pro" w:hAnsi="Minion Pro" w:cs="Times New Roman"/>
          <w:sz w:val="24"/>
          <w:szCs w:val="24"/>
        </w:rPr>
        <w:t>stringent oversi</w:t>
      </w:r>
      <w:r w:rsidRPr="00E250E5">
        <w:rPr>
          <w:rFonts w:ascii="Minion Pro" w:hAnsi="Minion Pro" w:cs="Times New Roman"/>
          <w:sz w:val="24"/>
          <w:szCs w:val="24"/>
        </w:rPr>
        <w:t xml:space="preserve">ght in a way that invites and delivers scientific debate from both within and also outside the group. </w:t>
      </w:r>
    </w:p>
    <w:p w:rsidR="0095740F"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 xml:space="preserve">In response to </w:t>
      </w:r>
      <w:r w:rsidRPr="00E250E5">
        <w:rPr>
          <w:rFonts w:ascii="Minion Pro" w:hAnsi="Minion Pro" w:cs="Times New Roman"/>
          <w:i/>
          <w:iCs/>
          <w:sz w:val="24"/>
          <w:szCs w:val="24"/>
        </w:rPr>
        <w:t xml:space="preserve">Issue 5: Was data shared across the devolved administrations and local authorities to </w:t>
      </w:r>
      <w:r w:rsidRPr="00E250E5">
        <w:rPr>
          <w:rFonts w:ascii="Minion Pro" w:hAnsi="Minion Pro" w:cs="Times New Roman"/>
          <w:i/>
          <w:iCs/>
          <w:sz w:val="24"/>
          <w:szCs w:val="24"/>
        </w:rPr>
        <w:t>enable mutually beneficial decision-making?</w:t>
      </w:r>
      <w:r w:rsidRPr="00E250E5">
        <w:rPr>
          <w:rFonts w:ascii="Minion Pro" w:hAnsi="Minion Pro" w:cs="Times New Roman"/>
          <w:sz w:val="24"/>
          <w:szCs w:val="24"/>
        </w:rPr>
        <w:t xml:space="preserve"> </w:t>
      </w:r>
    </w:p>
    <w:p w:rsidR="002263D1"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If this were the case it has not been made clear to the public, and in any case, it is likely that the shared data suffered from all of the limitations we have highlighted.</w:t>
      </w:r>
    </w:p>
    <w:p w:rsidR="0095740F"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 xml:space="preserve">In response to </w:t>
      </w:r>
      <w:r w:rsidRPr="00E250E5">
        <w:rPr>
          <w:rFonts w:ascii="Minion Pro" w:hAnsi="Minion Pro" w:cs="Times New Roman"/>
          <w:i/>
          <w:iCs/>
          <w:sz w:val="24"/>
          <w:szCs w:val="24"/>
        </w:rPr>
        <w:t xml:space="preserve">Issue 6: Is the public </w:t>
      </w:r>
      <w:r w:rsidRPr="00E250E5">
        <w:rPr>
          <w:rFonts w:ascii="Minion Pro" w:hAnsi="Minion Pro" w:cs="Times New Roman"/>
          <w:i/>
          <w:iCs/>
          <w:sz w:val="24"/>
          <w:szCs w:val="24"/>
        </w:rPr>
        <w:t xml:space="preserve">able to comprehend the data published during the pandemic. Is there sufficient understanding among journalists and parliamentarians to enable them to present and interpret data accurately, and ask informed questions of Government? </w:t>
      </w:r>
    </w:p>
    <w:p w:rsidR="002263D1"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It is difficult to ensur</w:t>
      </w:r>
      <w:r w:rsidRPr="00E250E5">
        <w:rPr>
          <w:rFonts w:ascii="Minion Pro" w:hAnsi="Minion Pro" w:cs="Times New Roman"/>
          <w:sz w:val="24"/>
          <w:szCs w:val="24"/>
        </w:rPr>
        <w:t xml:space="preserve">e accurate comprehension in circumstances where, as discussed earlier, relevantly framed data has not been provided. Continued reliance on journalists to identify meaning from data has only resulted in sensational headlines that amplified public ignorance </w:t>
      </w:r>
      <w:r w:rsidRPr="00E250E5">
        <w:rPr>
          <w:rFonts w:ascii="Minion Pro" w:hAnsi="Minion Pro" w:cs="Times New Roman"/>
          <w:sz w:val="24"/>
          <w:szCs w:val="24"/>
        </w:rPr>
        <w:t>and promulgated fear.</w:t>
      </w:r>
    </w:p>
    <w:p w:rsidR="00193B40" w:rsidRPr="00E250E5" w:rsidP="007A5048">
      <w:pPr>
        <w:pStyle w:val="ListParagraph"/>
        <w:snapToGrid w:val="0"/>
        <w:spacing w:after="100"/>
        <w:ind w:left="851" w:right="-46"/>
        <w:contextualSpacing w:val="0"/>
        <w:jc w:val="both"/>
        <w:rPr>
          <w:rFonts w:ascii="Minion Pro" w:hAnsi="Minion Pro" w:cs="Times New Roman"/>
          <w:i/>
          <w:iCs/>
          <w:sz w:val="24"/>
          <w:szCs w:val="24"/>
        </w:rPr>
      </w:pPr>
      <w:r w:rsidRPr="00E250E5">
        <w:rPr>
          <w:rFonts w:ascii="Minion Pro" w:hAnsi="Minion Pro" w:cs="Times New Roman"/>
          <w:i/>
          <w:iCs/>
          <w:sz w:val="24"/>
          <w:szCs w:val="24"/>
        </w:rPr>
        <w:t xml:space="preserve">What could have been done to improve understanding and who could take responsibility for this? </w:t>
      </w:r>
    </w:p>
    <w:p w:rsidR="002263D1"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The current crisis has demonstrated Government must take additional steps to provide context and meaning capable of supporting</w:t>
      </w:r>
      <w:r w:rsidRPr="00E250E5">
        <w:rPr>
          <w:rFonts w:ascii="Minion Pro" w:hAnsi="Minion Pro" w:cs="Times New Roman"/>
          <w:sz w:val="24"/>
          <w:szCs w:val="24"/>
        </w:rPr>
        <w:t xml:space="preserve"> differing</w:t>
      </w:r>
      <w:r w:rsidRPr="00E250E5">
        <w:rPr>
          <w:rFonts w:ascii="Minion Pro" w:hAnsi="Minion Pro" w:cs="Times New Roman"/>
          <w:sz w:val="24"/>
          <w:szCs w:val="24"/>
        </w:rPr>
        <w:t xml:space="preserve"> i</w:t>
      </w:r>
      <w:r w:rsidRPr="00E250E5">
        <w:rPr>
          <w:rFonts w:ascii="Minion Pro" w:hAnsi="Minion Pro" w:cs="Times New Roman"/>
          <w:sz w:val="24"/>
          <w:szCs w:val="24"/>
        </w:rPr>
        <w:t xml:space="preserve">nterpretations they wish the public should draw from published data. </w:t>
      </w:r>
      <w:r w:rsidRPr="00E250E5">
        <w:rPr>
          <w:rFonts w:ascii="Minion Pro" w:hAnsi="Minion Pro" w:cs="Times New Roman"/>
          <w:sz w:val="24"/>
          <w:szCs w:val="24"/>
        </w:rPr>
        <w:t>The public should be trusted to understand nuance and scientific disagreement about what the data might be telling them.</w:t>
      </w:r>
    </w:p>
    <w:p w:rsidR="00193B40"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 xml:space="preserve">In response to </w:t>
      </w:r>
      <w:r w:rsidRPr="00E250E5">
        <w:rPr>
          <w:rFonts w:ascii="Minion Pro" w:hAnsi="Minion Pro" w:cs="Times New Roman"/>
          <w:i/>
          <w:iCs/>
          <w:sz w:val="24"/>
          <w:szCs w:val="24"/>
        </w:rPr>
        <w:t>Issue 7: Does the Government have a good enough und</w:t>
      </w:r>
      <w:r w:rsidRPr="00E250E5">
        <w:rPr>
          <w:rFonts w:ascii="Minion Pro" w:hAnsi="Minion Pro" w:cs="Times New Roman"/>
          <w:i/>
          <w:iCs/>
          <w:sz w:val="24"/>
          <w:szCs w:val="24"/>
        </w:rPr>
        <w:t xml:space="preserve">erstanding of data security, and do the public have confidence in the government’s data handling? </w:t>
      </w:r>
    </w:p>
    <w:p w:rsidR="002263D1"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The policies and approaches of Government do not seem to have reflected prevailing opinions and wishes of the public. This has never been more obvious than d</w:t>
      </w:r>
      <w:r w:rsidRPr="00E250E5">
        <w:rPr>
          <w:rFonts w:ascii="Minion Pro" w:hAnsi="Minion Pro" w:cs="Times New Roman"/>
          <w:sz w:val="24"/>
          <w:szCs w:val="24"/>
        </w:rPr>
        <w:t xml:space="preserve">uring development and release of both versions of the NHSx Track and Trace smartphone app, and when vision-based population proximity monitoring AI systems were deployed around London suburbs, and once exposed in the media, hastily removed. It seems there </w:t>
      </w:r>
      <w:r w:rsidRPr="00E250E5">
        <w:rPr>
          <w:rFonts w:ascii="Minion Pro" w:hAnsi="Minion Pro" w:cs="Times New Roman"/>
          <w:sz w:val="24"/>
          <w:szCs w:val="24"/>
        </w:rPr>
        <w:t>is little public confidence in the current approach to securing public and personal data</w:t>
      </w:r>
      <w:r w:rsidRPr="00E250E5">
        <w:rPr>
          <w:rFonts w:ascii="Minion Pro" w:hAnsi="Minion Pro" w:cs="Times New Roman"/>
          <w:sz w:val="24"/>
          <w:szCs w:val="24"/>
        </w:rPr>
        <w:t xml:space="preserve"> and indeed the potential for increased suspicion of the government’s motives in this regard</w:t>
      </w:r>
      <w:r w:rsidRPr="00E250E5">
        <w:rPr>
          <w:rFonts w:ascii="Minion Pro" w:hAnsi="Minion Pro" w:cs="Times New Roman"/>
          <w:sz w:val="24"/>
          <w:szCs w:val="24"/>
        </w:rPr>
        <w:t>.</w:t>
      </w:r>
    </w:p>
    <w:p w:rsidR="00193B40" w:rsidRPr="00E250E5" w:rsidP="007A5048">
      <w:pPr>
        <w:pStyle w:val="ListParagraph"/>
        <w:numPr>
          <w:ilvl w:val="0"/>
          <w:numId w:val="7"/>
        </w:numPr>
        <w:snapToGrid w:val="0"/>
        <w:spacing w:after="100"/>
        <w:ind w:left="851" w:right="-46"/>
        <w:contextualSpacing w:val="0"/>
        <w:jc w:val="both"/>
        <w:rPr>
          <w:rFonts w:ascii="Minion Pro" w:hAnsi="Minion Pro" w:cs="Times New Roman"/>
          <w:sz w:val="24"/>
          <w:szCs w:val="24"/>
        </w:rPr>
      </w:pPr>
      <w:r w:rsidRPr="00E250E5">
        <w:rPr>
          <w:rFonts w:ascii="Minion Pro" w:hAnsi="Minion Pro" w:cs="Times New Roman"/>
          <w:sz w:val="24"/>
          <w:szCs w:val="24"/>
        </w:rPr>
        <w:t xml:space="preserve">In response to </w:t>
      </w:r>
      <w:r w:rsidRPr="00E250E5">
        <w:rPr>
          <w:rFonts w:ascii="Minion Pro" w:hAnsi="Minion Pro" w:cs="Times New Roman"/>
          <w:i/>
          <w:iCs/>
          <w:sz w:val="24"/>
          <w:szCs w:val="24"/>
        </w:rPr>
        <w:t>Issue 8: How will the change in responsibility for Governme</w:t>
      </w:r>
      <w:r w:rsidRPr="00E250E5">
        <w:rPr>
          <w:rFonts w:ascii="Minion Pro" w:hAnsi="Minion Pro" w:cs="Times New Roman"/>
          <w:i/>
          <w:iCs/>
          <w:sz w:val="24"/>
          <w:szCs w:val="24"/>
        </w:rPr>
        <w:t>nt data impact future decision-making?</w:t>
      </w:r>
      <w:r w:rsidRPr="00E250E5">
        <w:rPr>
          <w:rFonts w:ascii="Minion Pro" w:hAnsi="Minion Pro" w:cs="Times New Roman"/>
          <w:sz w:val="24"/>
          <w:szCs w:val="24"/>
        </w:rPr>
        <w:t xml:space="preserve"> </w:t>
      </w:r>
    </w:p>
    <w:p w:rsidR="00F900BE" w:rsidRPr="00E250E5" w:rsidP="007A5048">
      <w:pPr>
        <w:pStyle w:val="ListParagraph"/>
        <w:snapToGrid w:val="0"/>
        <w:spacing w:after="100"/>
        <w:ind w:left="1134" w:right="-46"/>
        <w:contextualSpacing w:val="0"/>
        <w:jc w:val="both"/>
        <w:rPr>
          <w:rFonts w:ascii="Minion Pro" w:hAnsi="Minion Pro" w:cs="Times New Roman"/>
          <w:sz w:val="24"/>
          <w:szCs w:val="24"/>
        </w:rPr>
      </w:pPr>
      <w:r w:rsidRPr="00E250E5">
        <w:rPr>
          <w:rFonts w:ascii="Minion Pro" w:hAnsi="Minion Pro" w:cs="Times New Roman"/>
          <w:sz w:val="24"/>
          <w:szCs w:val="24"/>
        </w:rPr>
        <w:t>It is not clear what the change in responsibility is</w:t>
      </w:r>
      <w:r w:rsidRPr="00E250E5">
        <w:rPr>
          <w:rFonts w:ascii="Minion Pro" w:hAnsi="Minion Pro" w:cs="Times New Roman"/>
          <w:sz w:val="24"/>
          <w:szCs w:val="24"/>
        </w:rPr>
        <w:t xml:space="preserve"> and the motivation for it. Any change in responsibility might simply be akin to ‘rearranging the deckchairs on the Titanic’.</w:t>
      </w:r>
    </w:p>
    <w:p w:rsidR="00EF4157" w:rsidRPr="00E250E5" w:rsidP="007A5048">
      <w:pPr>
        <w:ind w:left="851" w:right="379"/>
        <w:jc w:val="both"/>
        <w:rPr>
          <w:rFonts w:ascii="Minion Pro" w:hAnsi="Minion Pro" w:cs="Times New Roman"/>
          <w:sz w:val="24"/>
          <w:szCs w:val="24"/>
        </w:rPr>
      </w:pPr>
    </w:p>
    <w:p w:rsidR="00C02ADF" w:rsidRPr="00E250E5" w:rsidP="007A5048">
      <w:pPr>
        <w:ind w:left="851" w:right="379"/>
        <w:jc w:val="both"/>
        <w:rPr>
          <w:rFonts w:ascii="Minion Pro" w:hAnsi="Minion Pro" w:cs="Times New Roman"/>
          <w:sz w:val="24"/>
          <w:szCs w:val="24"/>
        </w:rPr>
      </w:pPr>
      <w:r w:rsidRPr="00E250E5">
        <w:rPr>
          <w:rFonts w:ascii="Minion Pro" w:hAnsi="Minion Pro" w:cs="Times New Roman"/>
          <w:sz w:val="24"/>
          <w:szCs w:val="24"/>
        </w:rPr>
        <w:t xml:space="preserve"> </w:t>
      </w:r>
    </w:p>
    <w:p w:rsidR="005257F7" w:rsidRPr="00E250E5" w:rsidP="007A5048">
      <w:pPr>
        <w:snapToGrid w:val="0"/>
        <w:spacing w:after="100"/>
        <w:ind w:right="380"/>
        <w:jc w:val="both"/>
        <w:rPr>
          <w:rFonts w:ascii="Minion Pro" w:hAnsi="Minion Pro" w:cs="Times New Roman"/>
          <w:sz w:val="24"/>
          <w:szCs w:val="24"/>
        </w:rPr>
      </w:pPr>
    </w:p>
    <w:p w:rsidR="005257F7" w:rsidRPr="00E250E5" w:rsidP="007A5048">
      <w:pPr>
        <w:snapToGrid w:val="0"/>
        <w:spacing w:after="100"/>
        <w:ind w:right="380"/>
        <w:jc w:val="both"/>
        <w:rPr>
          <w:rFonts w:ascii="Minion Pro" w:hAnsi="Minion Pro" w:cs="Times New Roman"/>
          <w:sz w:val="24"/>
          <w:szCs w:val="24"/>
        </w:rPr>
      </w:pPr>
    </w:p>
    <w:p w:rsidR="005257F7" w:rsidRPr="00E250E5" w:rsidP="007A5048">
      <w:pPr>
        <w:snapToGrid w:val="0"/>
        <w:spacing w:after="100"/>
        <w:ind w:right="380"/>
        <w:jc w:val="both"/>
        <w:rPr>
          <w:rFonts w:ascii="Minion Pro" w:hAnsi="Minion Pro" w:cs="Times New Roman"/>
          <w:sz w:val="24"/>
          <w:szCs w:val="24"/>
        </w:rPr>
      </w:pPr>
    </w:p>
    <w:p w:rsidR="00F473FF" w:rsidRPr="00E250E5" w:rsidP="007A5048">
      <w:pPr>
        <w:spacing w:after="160" w:line="259" w:lineRule="auto"/>
        <w:jc w:val="both"/>
        <w:rPr>
          <w:rFonts w:ascii="Minion Pro" w:hAnsi="Minion Pro" w:cs="Times New Roman"/>
          <w:sz w:val="24"/>
          <w:szCs w:val="24"/>
        </w:rPr>
      </w:pPr>
      <w:r w:rsidRPr="00E250E5">
        <w:rPr>
          <w:rFonts w:ascii="Minion Pro" w:hAnsi="Minion Pro" w:cs="Times New Roman"/>
          <w:sz w:val="24"/>
          <w:szCs w:val="24"/>
        </w:rPr>
        <w:br w:type="page"/>
      </w:r>
    </w:p>
    <w:p w:rsidR="00C02ADF" w:rsidRPr="00E250E5" w:rsidP="007A5048">
      <w:pPr>
        <w:jc w:val="both"/>
        <w:rPr>
          <w:rFonts w:ascii="Minion Pro" w:hAnsi="Minion Pro" w:cs="Times New Roman"/>
          <w:b/>
          <w:bCs/>
          <w:sz w:val="24"/>
          <w:szCs w:val="24"/>
        </w:rPr>
      </w:pPr>
      <w:r w:rsidRPr="00E250E5">
        <w:rPr>
          <w:rFonts w:ascii="Minion Pro" w:hAnsi="Minion Pro" w:cs="Times New Roman"/>
          <w:b/>
          <w:bCs/>
          <w:sz w:val="24"/>
          <w:szCs w:val="24"/>
        </w:rPr>
        <w:t>FIGURES</w:t>
      </w:r>
    </w:p>
    <w:p w:rsidR="007C4053" w:rsidRPr="00E250E5" w:rsidP="007A5048">
      <w:pPr>
        <w:jc w:val="both"/>
        <w:rPr>
          <w:rFonts w:ascii="Minion Pro" w:hAnsi="Minion Pro" w:cs="Times New Roman"/>
          <w:b/>
          <w:bCs/>
          <w:sz w:val="24"/>
          <w:szCs w:val="24"/>
        </w:rPr>
      </w:pPr>
    </w:p>
    <w:p w:rsidR="007C4053" w:rsidRPr="00E250E5" w:rsidP="007A5048">
      <w:pPr>
        <w:jc w:val="both"/>
        <w:rPr>
          <w:rFonts w:ascii="Minion Pro" w:hAnsi="Minion Pro" w:cs="Times New Roman"/>
          <w:b/>
          <w:bCs/>
          <w:sz w:val="24"/>
          <w:szCs w:val="24"/>
        </w:rPr>
      </w:pPr>
    </w:p>
    <w:p w:rsidR="007C4053" w:rsidRPr="00E250E5" w:rsidP="007A5048">
      <w:pPr>
        <w:jc w:val="both"/>
        <w:rPr>
          <w:rFonts w:ascii="Minion Pro" w:hAnsi="Minion Pro" w:cs="Times New Roman"/>
          <w:b/>
          <w:bCs/>
          <w:sz w:val="24"/>
          <w:szCs w:val="24"/>
        </w:rPr>
      </w:pPr>
    </w:p>
    <w:p w:rsidR="007C4053" w:rsidRPr="00E250E5" w:rsidP="007A5048">
      <w:pPr>
        <w:jc w:val="both"/>
        <w:rPr>
          <w:rFonts w:ascii="Minion Pro" w:hAnsi="Minion Pro" w:cs="Times New Roman"/>
          <w:b/>
          <w:bCs/>
          <w:sz w:val="24"/>
          <w:szCs w:val="24"/>
        </w:rPr>
      </w:pPr>
    </w:p>
    <w:p w:rsidR="007C4053" w:rsidRPr="00E250E5" w:rsidP="007A5048">
      <w:pPr>
        <w:jc w:val="both"/>
        <w:rPr>
          <w:rFonts w:ascii="Minion Pro" w:hAnsi="Minion Pro" w:cs="Times New Roman"/>
          <w:b/>
          <w:bCs/>
          <w:sz w:val="24"/>
          <w:szCs w:val="24"/>
        </w:rPr>
      </w:pPr>
    </w:p>
    <w:p w:rsidR="00F473FF" w:rsidRPr="00E250E5" w:rsidP="007A5048">
      <w:pPr>
        <w:jc w:val="both"/>
        <w:rPr>
          <w:rFonts w:ascii="Minion Pro" w:hAnsi="Minion Pro" w:cs="Times New Roman"/>
          <w:sz w:val="24"/>
          <w:szCs w:val="24"/>
        </w:rPr>
      </w:pPr>
    </w:p>
    <w:p w:rsidR="00970AF1" w:rsidRPr="00E250E5" w:rsidP="007A5048">
      <w:pPr>
        <w:keepNext/>
        <w:jc w:val="both"/>
        <w:rPr>
          <w:rFonts w:ascii="Minion Pro" w:hAnsi="Minion Pro" w:cs="Times New Roman"/>
          <w:sz w:val="24"/>
          <w:szCs w:val="24"/>
        </w:rPr>
      </w:pPr>
      <w:r w:rsidRPr="00E250E5">
        <w:rPr>
          <w:rFonts w:ascii="Minion Pro" w:hAnsi="Minion Pro" w:cs="Times New Roman"/>
          <w:noProof/>
          <w:sz w:val="24"/>
          <w:szCs w:val="24"/>
        </w:rPr>
        <w:drawing>
          <wp:inline distT="0" distB="0" distL="0" distR="0">
            <wp:extent cx="6111028" cy="5010150"/>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xmlns:r="http://schemas.openxmlformats.org/officeDocument/2006/relationships" r:embed="rId6">
                      <a:extLst>
                        <a:ext uri="{28A0092B-C50C-407E-A947-70E740481C1C}">
                          <a14:useLocalDpi xmlns:a14="http://schemas.microsoft.com/office/drawing/2010/main" val="0"/>
                        </a:ext>
                      </a:extLst>
                    </a:blip>
                    <a:stretch>
                      <a:fillRect/>
                    </a:stretch>
                  </pic:blipFill>
                  <pic:spPr>
                    <a:xfrm>
                      <a:off x="0" y="0"/>
                      <a:ext cx="6131692" cy="5027092"/>
                    </a:xfrm>
                    <a:prstGeom prst="rect">
                      <a:avLst/>
                    </a:prstGeom>
                  </pic:spPr>
                </pic:pic>
              </a:graphicData>
            </a:graphic>
          </wp:inline>
        </w:drawing>
      </w:r>
    </w:p>
    <w:p w:rsidR="00167608" w:rsidRPr="00E250E5" w:rsidP="007A5048">
      <w:pPr>
        <w:pStyle w:val="Caption"/>
        <w:jc w:val="both"/>
        <w:rPr>
          <w:rFonts w:ascii="Minion Pro" w:hAnsi="Minion Pro" w:cs="Times New Roman"/>
          <w:color w:val="auto"/>
          <w:sz w:val="24"/>
          <w:szCs w:val="24"/>
        </w:rPr>
      </w:pPr>
      <w:bookmarkStart w:id="4" w:name="_Ref54886126"/>
      <w:r w:rsidRPr="00E250E5">
        <w:rPr>
          <w:rFonts w:ascii="Minion Pro" w:hAnsi="Minion Pro" w:cs="Times New Roman"/>
          <w:color w:val="auto"/>
          <w:sz w:val="24"/>
          <w:szCs w:val="24"/>
        </w:rPr>
        <w:t xml:space="preserve">Figure </w:t>
      </w:r>
      <w:r w:rsidRPr="00E250E5">
        <w:rPr>
          <w:rFonts w:ascii="Minion Pro" w:hAnsi="Minion Pro" w:cs="Times New Roman"/>
          <w:color w:val="auto"/>
          <w:sz w:val="24"/>
          <w:szCs w:val="24"/>
        </w:rPr>
        <w:fldChar w:fldCharType="begin"/>
      </w:r>
      <w:r w:rsidRPr="00E250E5">
        <w:rPr>
          <w:rFonts w:ascii="Minion Pro" w:hAnsi="Minion Pro" w:cs="Times New Roman"/>
          <w:color w:val="auto"/>
          <w:sz w:val="24"/>
          <w:szCs w:val="24"/>
        </w:rPr>
        <w:instrText xml:space="preserve"> SEQ Figure \* ARABIC </w:instrText>
      </w:r>
      <w:r w:rsidRPr="00E250E5">
        <w:rPr>
          <w:rFonts w:ascii="Minion Pro" w:hAnsi="Minion Pro" w:cs="Times New Roman"/>
          <w:color w:val="auto"/>
          <w:sz w:val="24"/>
          <w:szCs w:val="24"/>
        </w:rPr>
        <w:fldChar w:fldCharType="separate"/>
      </w:r>
      <w:r w:rsidRPr="00E250E5">
        <w:rPr>
          <w:rFonts w:ascii="Minion Pro" w:hAnsi="Minion Pro" w:cs="Times New Roman"/>
          <w:noProof/>
          <w:color w:val="auto"/>
          <w:sz w:val="24"/>
          <w:szCs w:val="24"/>
        </w:rPr>
        <w:t>1</w:t>
      </w:r>
      <w:r w:rsidRPr="00E250E5">
        <w:rPr>
          <w:rFonts w:ascii="Minion Pro" w:hAnsi="Minion Pro" w:cs="Times New Roman"/>
          <w:color w:val="auto"/>
          <w:sz w:val="24"/>
          <w:szCs w:val="24"/>
        </w:rPr>
        <w:fldChar w:fldCharType="end"/>
      </w:r>
      <w:bookmarkEnd w:id="4"/>
      <w:r w:rsidRPr="00E250E5">
        <w:rPr>
          <w:rFonts w:ascii="Minion Pro" w:hAnsi="Minion Pro" w:cs="Times New Roman"/>
          <w:color w:val="auto"/>
          <w:sz w:val="24"/>
          <w:szCs w:val="24"/>
        </w:rPr>
        <w:t xml:space="preserve"> Causal model explaining observed data</w:t>
      </w:r>
    </w:p>
    <w:p w:rsidR="00970AF1" w:rsidRPr="00E250E5" w:rsidP="007A5048">
      <w:pPr>
        <w:jc w:val="both"/>
        <w:rPr>
          <w:rFonts w:ascii="Minion Pro" w:hAnsi="Minion Pro" w:cs="Times New Roman"/>
          <w:sz w:val="24"/>
          <w:szCs w:val="24"/>
        </w:rPr>
      </w:pPr>
    </w:p>
    <w:p w:rsidR="000274E5" w:rsidRPr="00E250E5" w:rsidP="007A5048">
      <w:pPr>
        <w:keepNext/>
        <w:jc w:val="both"/>
        <w:rPr>
          <w:rFonts w:ascii="Minion Pro" w:hAnsi="Minion Pro" w:cs="Times New Roman"/>
          <w:sz w:val="24"/>
          <w:szCs w:val="24"/>
        </w:rPr>
      </w:pPr>
      <w:r w:rsidRPr="00E250E5">
        <w:rPr>
          <w:rFonts w:ascii="Minion Pro" w:hAnsi="Minion Pro" w:cs="Times New Roman"/>
          <w:noProof/>
          <w:sz w:val="24"/>
          <w:szCs w:val="24"/>
        </w:rPr>
        <w:drawing>
          <wp:inline distT="0" distB="0" distL="0" distR="0">
            <wp:extent cx="4755515" cy="8072120"/>
            <wp:effectExtent l="0" t="0" r="698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4755515" cy="8072120"/>
                    </a:xfrm>
                    <a:prstGeom prst="rect">
                      <a:avLst/>
                    </a:prstGeom>
                    <a:noFill/>
                  </pic:spPr>
                </pic:pic>
              </a:graphicData>
            </a:graphic>
          </wp:inline>
        </w:drawing>
      </w:r>
    </w:p>
    <w:p w:rsidR="000274E5" w:rsidRPr="00E250E5" w:rsidP="007A5048">
      <w:pPr>
        <w:pStyle w:val="Caption"/>
        <w:jc w:val="both"/>
        <w:rPr>
          <w:rFonts w:ascii="Minion Pro" w:hAnsi="Minion Pro" w:cs="Times New Roman"/>
          <w:color w:val="auto"/>
          <w:sz w:val="24"/>
          <w:szCs w:val="24"/>
        </w:rPr>
      </w:pPr>
      <w:bookmarkStart w:id="5" w:name="_Ref55039371"/>
      <w:r w:rsidRPr="00E250E5">
        <w:rPr>
          <w:rFonts w:ascii="Minion Pro" w:hAnsi="Minion Pro" w:cs="Times New Roman"/>
          <w:color w:val="auto"/>
          <w:sz w:val="24"/>
          <w:szCs w:val="24"/>
        </w:rPr>
        <w:t xml:space="preserve">Figure </w:t>
      </w:r>
      <w:r w:rsidRPr="00E250E5">
        <w:rPr>
          <w:rFonts w:ascii="Minion Pro" w:hAnsi="Minion Pro" w:cs="Times New Roman"/>
          <w:color w:val="auto"/>
          <w:sz w:val="24"/>
          <w:szCs w:val="24"/>
        </w:rPr>
        <w:fldChar w:fldCharType="begin"/>
      </w:r>
      <w:r w:rsidRPr="00E250E5">
        <w:rPr>
          <w:rFonts w:ascii="Minion Pro" w:hAnsi="Minion Pro" w:cs="Times New Roman"/>
          <w:color w:val="auto"/>
          <w:sz w:val="24"/>
          <w:szCs w:val="24"/>
        </w:rPr>
        <w:instrText xml:space="preserve"> SEQ Figure \* ARABIC </w:instrText>
      </w:r>
      <w:r w:rsidRPr="00E250E5">
        <w:rPr>
          <w:rFonts w:ascii="Minion Pro" w:hAnsi="Minion Pro" w:cs="Times New Roman"/>
          <w:color w:val="auto"/>
          <w:sz w:val="24"/>
          <w:szCs w:val="24"/>
        </w:rPr>
        <w:fldChar w:fldCharType="separate"/>
      </w:r>
      <w:r w:rsidRPr="00E250E5">
        <w:rPr>
          <w:rFonts w:ascii="Minion Pro" w:hAnsi="Minion Pro" w:cs="Times New Roman"/>
          <w:noProof/>
          <w:color w:val="auto"/>
          <w:sz w:val="24"/>
          <w:szCs w:val="24"/>
        </w:rPr>
        <w:t>2</w:t>
      </w:r>
      <w:r w:rsidRPr="00E250E5">
        <w:rPr>
          <w:rFonts w:ascii="Minion Pro" w:hAnsi="Minion Pro" w:cs="Times New Roman"/>
          <w:color w:val="auto"/>
          <w:sz w:val="24"/>
          <w:szCs w:val="24"/>
        </w:rPr>
        <w:fldChar w:fldCharType="end"/>
      </w:r>
      <w:bookmarkEnd w:id="5"/>
      <w:r w:rsidRPr="00E250E5">
        <w:rPr>
          <w:rFonts w:ascii="Minion Pro" w:hAnsi="Minion Pro" w:cs="Times New Roman"/>
          <w:color w:val="auto"/>
          <w:sz w:val="24"/>
          <w:szCs w:val="24"/>
        </w:rPr>
        <w:t xml:space="preserve"> Simple plots that take account of number of tests and cases</w:t>
      </w:r>
    </w:p>
    <w:p w:rsidR="00167608" w:rsidRPr="00E250E5" w:rsidP="007A5048">
      <w:pPr>
        <w:jc w:val="both"/>
        <w:rPr>
          <w:rFonts w:ascii="Minion Pro" w:hAnsi="Minion Pro" w:cs="Times New Roman"/>
          <w:sz w:val="24"/>
          <w:szCs w:val="24"/>
        </w:rPr>
      </w:pPr>
    </w:p>
    <w:p w:rsidR="00167608" w:rsidRPr="00E250E5" w:rsidP="007A5048">
      <w:pPr>
        <w:keepNext/>
        <w:jc w:val="both"/>
        <w:rPr>
          <w:rFonts w:ascii="Minion Pro" w:hAnsi="Minion Pro" w:cs="Times New Roman"/>
          <w:sz w:val="24"/>
          <w:szCs w:val="24"/>
        </w:rPr>
      </w:pPr>
      <w:r w:rsidRPr="00E250E5">
        <w:rPr>
          <w:rFonts w:ascii="Minion Pro" w:hAnsi="Minion Pro" w:cs="Times New Roman"/>
          <w:noProof/>
          <w:sz w:val="24"/>
          <w:szCs w:val="24"/>
        </w:rPr>
        <w:drawing>
          <wp:inline distT="0" distB="0" distL="0" distR="0">
            <wp:extent cx="5731200" cy="4507200"/>
            <wp:effectExtent l="0" t="0" r="3175" b="8255"/>
            <wp:docPr id="1" name="Picture 1" descr="A picture containing tex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imeline&#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5731200" cy="4507200"/>
                    </a:xfrm>
                    <a:prstGeom prst="rect">
                      <a:avLst/>
                    </a:prstGeom>
                  </pic:spPr>
                </pic:pic>
              </a:graphicData>
            </a:graphic>
          </wp:inline>
        </w:drawing>
      </w:r>
    </w:p>
    <w:p w:rsidR="00B84A0C" w:rsidRPr="00E250E5" w:rsidP="007A5048">
      <w:pPr>
        <w:pStyle w:val="Caption"/>
        <w:jc w:val="both"/>
        <w:rPr>
          <w:rFonts w:ascii="Minion Pro" w:hAnsi="Minion Pro" w:cs="Times New Roman"/>
          <w:color w:val="auto"/>
          <w:sz w:val="24"/>
          <w:szCs w:val="24"/>
        </w:rPr>
      </w:pPr>
      <w:bookmarkStart w:id="6" w:name="_Ref54889782"/>
      <w:r w:rsidRPr="00E250E5">
        <w:rPr>
          <w:rFonts w:ascii="Minion Pro" w:hAnsi="Minion Pro" w:cs="Times New Roman"/>
          <w:color w:val="auto"/>
          <w:sz w:val="24"/>
          <w:szCs w:val="24"/>
        </w:rPr>
        <w:t xml:space="preserve">Figure </w:t>
      </w:r>
      <w:r w:rsidRPr="00E250E5">
        <w:rPr>
          <w:rFonts w:ascii="Minion Pro" w:hAnsi="Minion Pro" w:cs="Times New Roman"/>
          <w:color w:val="auto"/>
          <w:sz w:val="24"/>
          <w:szCs w:val="24"/>
        </w:rPr>
        <w:fldChar w:fldCharType="begin"/>
      </w:r>
      <w:r w:rsidRPr="00E250E5">
        <w:rPr>
          <w:rFonts w:ascii="Minion Pro" w:hAnsi="Minion Pro" w:cs="Times New Roman"/>
          <w:color w:val="auto"/>
          <w:sz w:val="24"/>
          <w:szCs w:val="24"/>
        </w:rPr>
        <w:instrText xml:space="preserve"> SEQ Figure \* ARABIC </w:instrText>
      </w:r>
      <w:r w:rsidRPr="00E250E5">
        <w:rPr>
          <w:rFonts w:ascii="Minion Pro" w:hAnsi="Minion Pro" w:cs="Times New Roman"/>
          <w:color w:val="auto"/>
          <w:sz w:val="24"/>
          <w:szCs w:val="24"/>
        </w:rPr>
        <w:fldChar w:fldCharType="separate"/>
      </w:r>
      <w:r w:rsidRPr="00E250E5">
        <w:rPr>
          <w:rFonts w:ascii="Minion Pro" w:hAnsi="Minion Pro" w:cs="Times New Roman"/>
          <w:noProof/>
          <w:color w:val="auto"/>
          <w:sz w:val="24"/>
          <w:szCs w:val="24"/>
        </w:rPr>
        <w:t>3</w:t>
      </w:r>
      <w:r w:rsidRPr="00E250E5">
        <w:rPr>
          <w:rFonts w:ascii="Minion Pro" w:hAnsi="Minion Pro" w:cs="Times New Roman"/>
          <w:color w:val="auto"/>
          <w:sz w:val="24"/>
          <w:szCs w:val="24"/>
        </w:rPr>
        <w:fldChar w:fldCharType="end"/>
      </w:r>
      <w:bookmarkEnd w:id="6"/>
      <w:r w:rsidRPr="00E250E5">
        <w:rPr>
          <w:rFonts w:ascii="Minion Pro" w:hAnsi="Minion Pro" w:cs="Times New Roman"/>
          <w:color w:val="auto"/>
          <w:sz w:val="24"/>
          <w:szCs w:val="24"/>
        </w:rPr>
        <w:t xml:space="preserve"> Why the daily reported data tell us almost nothing</w:t>
      </w:r>
    </w:p>
    <w:p w:rsidR="00483D90" w:rsidRPr="00E250E5" w:rsidP="007A5048">
      <w:pPr>
        <w:keepNext/>
        <w:jc w:val="both"/>
        <w:rPr>
          <w:rFonts w:ascii="Minion Pro" w:hAnsi="Minion Pro" w:cs="Times New Roman"/>
          <w:sz w:val="24"/>
          <w:szCs w:val="24"/>
        </w:rPr>
      </w:pPr>
      <w:r w:rsidRPr="00E250E5">
        <w:rPr>
          <w:rFonts w:ascii="Minion Pro" w:hAnsi="Minion Pro" w:cs="Times New Roman"/>
          <w:noProof/>
          <w:sz w:val="24"/>
          <w:szCs w:val="24"/>
        </w:rPr>
        <w:drawing>
          <wp:inline distT="0" distB="0" distL="0" distR="0">
            <wp:extent cx="5731510" cy="4476115"/>
            <wp:effectExtent l="0" t="0" r="2540" b="63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5731510" cy="4476115"/>
                    </a:xfrm>
                    <a:prstGeom prst="rect">
                      <a:avLst/>
                    </a:prstGeom>
                  </pic:spPr>
                </pic:pic>
              </a:graphicData>
            </a:graphic>
          </wp:inline>
        </w:drawing>
      </w:r>
    </w:p>
    <w:p w:rsidR="00167608" w:rsidRPr="00E250E5" w:rsidP="007A5048">
      <w:pPr>
        <w:pStyle w:val="Caption"/>
        <w:jc w:val="both"/>
        <w:rPr>
          <w:rFonts w:ascii="Minion Pro" w:hAnsi="Minion Pro" w:cs="Times New Roman"/>
          <w:color w:val="auto"/>
          <w:sz w:val="24"/>
          <w:szCs w:val="24"/>
        </w:rPr>
      </w:pPr>
      <w:bookmarkStart w:id="7" w:name="_Ref54900625"/>
      <w:r w:rsidRPr="00E250E5">
        <w:rPr>
          <w:rFonts w:ascii="Minion Pro" w:hAnsi="Minion Pro" w:cs="Times New Roman"/>
          <w:color w:val="auto"/>
          <w:sz w:val="24"/>
          <w:szCs w:val="24"/>
        </w:rPr>
        <w:t xml:space="preserve">Figure </w:t>
      </w:r>
      <w:r w:rsidRPr="00E250E5">
        <w:rPr>
          <w:rFonts w:ascii="Minion Pro" w:hAnsi="Minion Pro" w:cs="Times New Roman"/>
          <w:color w:val="auto"/>
          <w:sz w:val="24"/>
          <w:szCs w:val="24"/>
        </w:rPr>
        <w:fldChar w:fldCharType="begin"/>
      </w:r>
      <w:r w:rsidRPr="00E250E5">
        <w:rPr>
          <w:rFonts w:ascii="Minion Pro" w:hAnsi="Minion Pro" w:cs="Times New Roman"/>
          <w:color w:val="auto"/>
          <w:sz w:val="24"/>
          <w:szCs w:val="24"/>
        </w:rPr>
        <w:instrText xml:space="preserve"> SEQ Figure \* ARABIC </w:instrText>
      </w:r>
      <w:r w:rsidRPr="00E250E5">
        <w:rPr>
          <w:rFonts w:ascii="Minion Pro" w:hAnsi="Minion Pro" w:cs="Times New Roman"/>
          <w:color w:val="auto"/>
          <w:sz w:val="24"/>
          <w:szCs w:val="24"/>
        </w:rPr>
        <w:fldChar w:fldCharType="separate"/>
      </w:r>
      <w:r w:rsidRPr="00E250E5">
        <w:rPr>
          <w:rFonts w:ascii="Minion Pro" w:hAnsi="Minion Pro" w:cs="Times New Roman"/>
          <w:noProof/>
          <w:color w:val="auto"/>
          <w:sz w:val="24"/>
          <w:szCs w:val="24"/>
        </w:rPr>
        <w:t>4</w:t>
      </w:r>
      <w:r w:rsidRPr="00E250E5">
        <w:rPr>
          <w:rFonts w:ascii="Minion Pro" w:hAnsi="Minion Pro" w:cs="Times New Roman"/>
          <w:color w:val="auto"/>
          <w:sz w:val="24"/>
          <w:szCs w:val="24"/>
        </w:rPr>
        <w:fldChar w:fldCharType="end"/>
      </w:r>
      <w:bookmarkEnd w:id="7"/>
      <w:r w:rsidRPr="00E250E5">
        <w:rPr>
          <w:rFonts w:ascii="Minion Pro" w:hAnsi="Minion Pro" w:cs="Times New Roman"/>
          <w:color w:val="auto"/>
          <w:sz w:val="24"/>
          <w:szCs w:val="24"/>
        </w:rPr>
        <w:t xml:space="preserve"> Missing data needed to accurate estimation of population infection rate</w:t>
      </w:r>
    </w:p>
    <w:p w:rsidR="00C02ADF" w:rsidRPr="00E250E5" w:rsidP="007A5048">
      <w:pPr>
        <w:jc w:val="both"/>
        <w:rPr>
          <w:rFonts w:ascii="Minion Pro" w:hAnsi="Minion Pro" w:cs="Times New Roman"/>
          <w:sz w:val="24"/>
          <w:szCs w:val="24"/>
        </w:rPr>
      </w:pPr>
    </w:p>
    <w:p w:rsidR="00545EE4" w:rsidRPr="00E250E5" w:rsidP="007A5048">
      <w:pPr>
        <w:jc w:val="both"/>
        <w:rPr>
          <w:rFonts w:ascii="Minion Pro" w:hAnsi="Minion Pro" w:cs="Times New Roman"/>
          <w:sz w:val="24"/>
          <w:szCs w:val="24"/>
        </w:rPr>
      </w:pPr>
    </w:p>
    <w:p w:rsidR="001B0DDC" w:rsidRPr="00E250E5" w:rsidP="007A5048">
      <w:pPr>
        <w:jc w:val="both"/>
        <w:rPr>
          <w:rFonts w:ascii="Minion Pro" w:hAnsi="Minion Pro" w:cs="Times New Roman"/>
          <w:sz w:val="24"/>
          <w:szCs w:val="24"/>
        </w:rPr>
      </w:pPr>
    </w:p>
    <w:p w:rsidR="002147F2" w:rsidRPr="00E250E5" w:rsidP="007A5048">
      <w:pPr>
        <w:keepNext/>
        <w:jc w:val="both"/>
        <w:rPr>
          <w:rFonts w:ascii="Minion Pro" w:hAnsi="Minion Pro" w:cs="Times New Roman"/>
          <w:sz w:val="24"/>
          <w:szCs w:val="24"/>
        </w:rPr>
      </w:pPr>
      <w:r w:rsidRPr="00E250E5">
        <w:rPr>
          <w:rFonts w:ascii="Minion Pro" w:hAnsi="Minion Pro" w:cs="Times New Roman"/>
          <w:noProof/>
          <w:sz w:val="24"/>
          <w:szCs w:val="24"/>
        </w:rPr>
        <w:drawing>
          <wp:inline distT="0" distB="0" distL="0" distR="0">
            <wp:extent cx="5731510" cy="3101975"/>
            <wp:effectExtent l="0" t="0" r="2540" b="317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731510" cy="3101975"/>
                    </a:xfrm>
                    <a:prstGeom prst="rect">
                      <a:avLst/>
                    </a:prstGeom>
                  </pic:spPr>
                </pic:pic>
              </a:graphicData>
            </a:graphic>
          </wp:inline>
        </w:drawing>
      </w:r>
    </w:p>
    <w:p w:rsidR="002147F2" w:rsidRPr="00E250E5" w:rsidP="007A5048">
      <w:pPr>
        <w:pStyle w:val="Caption"/>
        <w:jc w:val="both"/>
        <w:rPr>
          <w:rFonts w:ascii="Minion Pro" w:hAnsi="Minion Pro" w:cs="Times New Roman"/>
          <w:color w:val="auto"/>
          <w:sz w:val="24"/>
          <w:szCs w:val="24"/>
        </w:rPr>
      </w:pPr>
      <w:bookmarkStart w:id="8" w:name="_Ref54900805"/>
      <w:r w:rsidRPr="00E250E5">
        <w:rPr>
          <w:rFonts w:ascii="Minion Pro" w:hAnsi="Minion Pro" w:cs="Times New Roman"/>
          <w:color w:val="auto"/>
          <w:sz w:val="24"/>
          <w:szCs w:val="24"/>
        </w:rPr>
        <w:t xml:space="preserve">Figure </w:t>
      </w:r>
      <w:r w:rsidRPr="00E250E5">
        <w:rPr>
          <w:rFonts w:ascii="Minion Pro" w:hAnsi="Minion Pro" w:cs="Times New Roman"/>
          <w:color w:val="auto"/>
          <w:sz w:val="24"/>
          <w:szCs w:val="24"/>
        </w:rPr>
        <w:fldChar w:fldCharType="begin"/>
      </w:r>
      <w:r w:rsidRPr="00E250E5">
        <w:rPr>
          <w:rFonts w:ascii="Minion Pro" w:hAnsi="Minion Pro" w:cs="Times New Roman"/>
          <w:color w:val="auto"/>
          <w:sz w:val="24"/>
          <w:szCs w:val="24"/>
        </w:rPr>
        <w:instrText xml:space="preserve"> SEQ Figure \* ARABIC </w:instrText>
      </w:r>
      <w:r w:rsidRPr="00E250E5">
        <w:rPr>
          <w:rFonts w:ascii="Minion Pro" w:hAnsi="Minion Pro" w:cs="Times New Roman"/>
          <w:color w:val="auto"/>
          <w:sz w:val="24"/>
          <w:szCs w:val="24"/>
        </w:rPr>
        <w:fldChar w:fldCharType="separate"/>
      </w:r>
      <w:r w:rsidRPr="00E250E5">
        <w:rPr>
          <w:rFonts w:ascii="Minion Pro" w:hAnsi="Minion Pro" w:cs="Times New Roman"/>
          <w:noProof/>
          <w:color w:val="auto"/>
          <w:sz w:val="24"/>
          <w:szCs w:val="24"/>
        </w:rPr>
        <w:t>5</w:t>
      </w:r>
      <w:r w:rsidRPr="00E250E5">
        <w:rPr>
          <w:rFonts w:ascii="Minion Pro" w:hAnsi="Minion Pro" w:cs="Times New Roman"/>
          <w:color w:val="auto"/>
          <w:sz w:val="24"/>
          <w:szCs w:val="24"/>
        </w:rPr>
        <w:fldChar w:fldCharType="end"/>
      </w:r>
      <w:bookmarkEnd w:id="8"/>
      <w:r w:rsidRPr="00E250E5">
        <w:rPr>
          <w:rFonts w:ascii="Minion Pro" w:hAnsi="Minion Pro" w:cs="Times New Roman"/>
          <w:color w:val="auto"/>
          <w:sz w:val="24"/>
          <w:szCs w:val="24"/>
        </w:rPr>
        <w:t xml:space="preserve"> The evidence we need to demonstrate why lockdowns are needed</w:t>
      </w:r>
    </w:p>
    <w:p w:rsidR="00095C08" w:rsidRPr="00E250E5" w:rsidP="007A5048">
      <w:pPr>
        <w:jc w:val="both"/>
        <w:rPr>
          <w:rFonts w:ascii="Minion Pro" w:hAnsi="Minion Pro" w:cs="Times New Roman"/>
          <w:i/>
          <w:iCs/>
          <w:sz w:val="24"/>
          <w:szCs w:val="24"/>
        </w:rPr>
      </w:pPr>
      <w:r w:rsidRPr="00E250E5">
        <w:rPr>
          <w:rFonts w:ascii="Minion Pro" w:hAnsi="Minion Pro" w:cs="Times New Roman"/>
          <w:i/>
          <w:iCs/>
          <w:sz w:val="24"/>
          <w:szCs w:val="24"/>
        </w:rPr>
        <w:t>November 2020</w:t>
      </w:r>
    </w:p>
    <w:sectPr w:rsidSect="000E3AE7">
      <w:headerReference w:type="even" r:id="rId11"/>
      <w:headerReference w:type="default" r:id="rId12"/>
      <w:footerReference w:type="even" r:id="rId13"/>
      <w:footerReference w:type="default" r:id="rId14"/>
      <w:headerReference w:type="first" r:id="rId15"/>
      <w:footerReference w:type="first" r:id="rId16"/>
      <w:pgSz w:w="11906" w:h="16838"/>
      <w:pgMar w:top="141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inion Pro">
    <w:panose1 w:val="02040503050201020203"/>
    <w:charset w:val="00"/>
    <w:family w:val="roman"/>
    <w:notTrueType/>
    <w:pitch w:val="variable"/>
    <w:sig w:usb0="E00002AF" w:usb1="5000205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0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1F09">
    <w:pPr>
      <w:pStyle w:val="Footer"/>
      <w:jc w:val="center"/>
    </w:pPr>
  </w:p>
  <w:p w:rsidR="006B1F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47E7" w:rsidP="00C02ADF">
      <w:r>
        <w:separator/>
      </w:r>
    </w:p>
  </w:footnote>
  <w:footnote w:type="continuationSeparator" w:id="1">
    <w:p w:rsidR="008E47E7" w:rsidP="00C02ADF">
      <w:r>
        <w:continuationSeparator/>
      </w:r>
    </w:p>
  </w:footnote>
  <w:footnote w:id="2">
    <w:p w:rsidR="00767917" w:rsidRPr="00E250E5">
      <w:pPr>
        <w:pStyle w:val="FootnoteText"/>
        <w:rPr>
          <w:rFonts w:ascii="Minion Pro" w:hAnsi="Minion Pro" w:cstheme="majorBidi"/>
          <w:lang w:val="en-AU"/>
        </w:rPr>
      </w:pPr>
      <w:r w:rsidRPr="00E250E5">
        <w:rPr>
          <w:rStyle w:val="FootnoteReference"/>
          <w:rFonts w:ascii="Minion Pro" w:hAnsi="Minion Pro" w:cstheme="majorBidi"/>
        </w:rPr>
        <w:footnoteRef/>
      </w:r>
      <w:r w:rsidRPr="00E250E5">
        <w:rPr>
          <w:rFonts w:ascii="Minion Pro" w:hAnsi="Minion Pro" w:cstheme="majorBidi"/>
        </w:rPr>
        <w:t xml:space="preserve"> https://www.eecs.qmul.ac.uk/~norman/all_publications.htm#Papers</w:t>
      </w:r>
    </w:p>
  </w:footnote>
  <w:footnote w:id="3">
    <w:p w:rsidR="002F308D" w:rsidRPr="00E250E5" w:rsidP="002F308D">
      <w:pPr>
        <w:pStyle w:val="FootnoteText"/>
        <w:jc w:val="both"/>
        <w:rPr>
          <w:rFonts w:ascii="Minion Pro" w:hAnsi="Minion Pro" w:cstheme="majorBidi"/>
          <w:lang w:val="en-AU"/>
        </w:rPr>
      </w:pPr>
      <w:r w:rsidRPr="00E250E5">
        <w:rPr>
          <w:rStyle w:val="FootnoteReference"/>
          <w:rFonts w:ascii="Minion Pro" w:hAnsi="Minion Pro" w:cstheme="majorBidi"/>
        </w:rPr>
        <w:footnoteRef/>
      </w:r>
      <w:r w:rsidRPr="00E250E5">
        <w:rPr>
          <w:rFonts w:ascii="Minion Pro" w:hAnsi="Minion Pro" w:cstheme="majorBidi"/>
        </w:rPr>
        <w:t xml:space="preserve"> Fenton, N. E., Neil, M., Osman, M., &amp; McLachlan, S. (2020). "COVID-19 infection and death rates: the need to incorporate causal explanations for the data and avoid bias in testing". Journal of Risk Research, 1–4. </w:t>
      </w:r>
      <w:r>
        <w:fldChar w:fldCharType="begin"/>
      </w:r>
      <w:r>
        <w:instrText xml:space="preserve"> HYPERLINK "https://doi.org/10.1080/13669877.2020.1756381" </w:instrText>
      </w:r>
      <w:r>
        <w:fldChar w:fldCharType="separate"/>
      </w:r>
      <w:r w:rsidRPr="00E250E5">
        <w:rPr>
          <w:rStyle w:val="Hyperlink"/>
          <w:rFonts w:ascii="Minion Pro" w:hAnsi="Minion Pro" w:cstheme="majorBidi"/>
        </w:rPr>
        <w:t>https://doi.org/10.1080/13669877.2020.1756381</w:t>
      </w:r>
      <w:r>
        <w:fldChar w:fldCharType="end"/>
      </w:r>
    </w:p>
  </w:footnote>
  <w:footnote w:id="4">
    <w:p w:rsidR="002F308D" w:rsidRPr="00E250E5" w:rsidP="002F308D">
      <w:pPr>
        <w:pStyle w:val="FootnoteText"/>
        <w:jc w:val="both"/>
        <w:rPr>
          <w:rFonts w:ascii="Minion Pro" w:hAnsi="Minion Pro" w:cstheme="majorBidi"/>
        </w:rPr>
      </w:pPr>
      <w:r w:rsidRPr="00E250E5">
        <w:rPr>
          <w:rStyle w:val="FootnoteReference"/>
          <w:rFonts w:ascii="Minion Pro" w:hAnsi="Minion Pro" w:cstheme="majorBidi"/>
        </w:rPr>
        <w:footnoteRef/>
      </w:r>
      <w:r w:rsidRPr="00E250E5">
        <w:rPr>
          <w:rFonts w:ascii="Minion Pro" w:hAnsi="Minion Pro" w:cstheme="majorBidi"/>
        </w:rPr>
        <w:t xml:space="preserve"> Fenton, N. E., Osman, M., Neil, M., &amp; McLachlan, S. (2020). Coronavirus: country comparisons are pointless unless we account for these biases in testing. The Conversation,  April 2, 2020  </w:t>
      </w:r>
      <w:r>
        <w:fldChar w:fldCharType="begin"/>
      </w:r>
      <w:r>
        <w:instrText xml:space="preserve"> HYPERLINK "https://theconversation.com/coronavirus-country-comparisons-are-pointless-unless-we-account-for-these-biases-in-testing-135464" </w:instrText>
      </w:r>
      <w:r>
        <w:fldChar w:fldCharType="separate"/>
      </w:r>
      <w:r w:rsidRPr="00E250E5">
        <w:rPr>
          <w:rStyle w:val="Hyperlink"/>
          <w:rFonts w:ascii="Minion Pro" w:hAnsi="Minion Pro" w:cstheme="majorBidi"/>
        </w:rPr>
        <w:t>https://theconversation.com/coronavirus-country-comparisons-are-pointless-unless-we-account-for-these-biases-in-test</w:t>
      </w:r>
      <w:r w:rsidRPr="00E250E5">
        <w:rPr>
          <w:rStyle w:val="Hyperlink"/>
          <w:rFonts w:ascii="Minion Pro" w:hAnsi="Minion Pro" w:cstheme="majorBidi"/>
        </w:rPr>
        <w:t>ing-135464</w:t>
      </w:r>
      <w:r>
        <w:fldChar w:fldCharType="end"/>
      </w:r>
    </w:p>
  </w:footnote>
  <w:footnote w:id="5">
    <w:p w:rsidR="002F308D" w:rsidRPr="00E250E5" w:rsidP="002F308D">
      <w:pPr>
        <w:pStyle w:val="FootnoteText"/>
        <w:jc w:val="both"/>
        <w:rPr>
          <w:rFonts w:ascii="Minion Pro" w:hAnsi="Minion Pro"/>
        </w:rPr>
      </w:pPr>
      <w:r w:rsidRPr="00E250E5">
        <w:rPr>
          <w:rStyle w:val="FootnoteReference"/>
          <w:rFonts w:ascii="Minion Pro" w:hAnsi="Minion Pro" w:cstheme="majorBidi"/>
        </w:rPr>
        <w:footnoteRef/>
      </w:r>
      <w:r w:rsidRPr="00E250E5">
        <w:rPr>
          <w:rFonts w:ascii="Minion Pro" w:hAnsi="Minion Pro" w:cstheme="majorBidi"/>
        </w:rPr>
        <w:t xml:space="preserve"> Fenton, N.E., Hitman, G. A., Neil, M., Osman, M., &amp; McLachlan, S. (2020). Causal explanations, error rates, and human judgment biases missing from the COVID-19 narrative and statistics. PsyArXiv Preprints. https://doi.org/10.31234/OSF.IO/P3</w:t>
      </w:r>
      <w:r w:rsidRPr="00E250E5">
        <w:rPr>
          <w:rFonts w:ascii="Minion Pro" w:hAnsi="Minion Pro" w:cstheme="majorBidi"/>
        </w:rPr>
        <w:t>9A4</w:t>
      </w:r>
    </w:p>
  </w:footnote>
  <w:footnote w:id="6">
    <w:p w:rsidR="00F473FF" w:rsidRPr="00E250E5">
      <w:pPr>
        <w:pStyle w:val="FootnoteText"/>
        <w:rPr>
          <w:rFonts w:ascii="Minion Pro" w:hAnsi="Minion Pro"/>
        </w:rPr>
      </w:pPr>
      <w:r w:rsidRPr="00E250E5">
        <w:rPr>
          <w:rStyle w:val="FootnoteReference"/>
          <w:rFonts w:ascii="Minion Pro" w:hAnsi="Minion Pro"/>
        </w:rPr>
        <w:footnoteRef/>
      </w:r>
      <w:r w:rsidRPr="00E250E5">
        <w:rPr>
          <w:rFonts w:ascii="Minion Pro" w:hAnsi="Minion Pro"/>
        </w:rPr>
        <w:t xml:space="preserve"> </w:t>
      </w:r>
      <w:r w:rsidRPr="00E250E5">
        <w:rPr>
          <w:rFonts w:ascii="Minion Pro" w:hAnsi="Minion Pro" w:cstheme="majorBidi"/>
        </w:rPr>
        <w:t>Cohen, A.</w:t>
      </w:r>
      <w:r w:rsidRPr="00E250E5">
        <w:rPr>
          <w:rFonts w:ascii="Minion Pro" w:hAnsi="Minion Pro" w:cstheme="majorBidi"/>
        </w:rPr>
        <w:t xml:space="preserve"> N., Kessel, B., &amp; Milgroom, M. G. (2020). Diagnosing COVID-19 infection: the danger of over-reliance on positive test results. MedRxiv, 2020.04.26.20080911. https://doi.org/10.1101/2020.04.26.20080911</w:t>
      </w:r>
    </w:p>
  </w:footnote>
  <w:footnote w:id="7">
    <w:p w:rsidR="00260970" w:rsidRPr="00E250E5">
      <w:pPr>
        <w:pStyle w:val="FootnoteText"/>
        <w:rPr>
          <w:rFonts w:ascii="Minion Pro" w:hAnsi="Minion Pro"/>
        </w:rPr>
      </w:pPr>
      <w:r w:rsidRPr="00E250E5">
        <w:rPr>
          <w:rStyle w:val="FootnoteReference"/>
          <w:rFonts w:ascii="Minion Pro" w:hAnsi="Minion Pro"/>
        </w:rPr>
        <w:footnoteRef/>
      </w:r>
      <w:r w:rsidRPr="00E250E5">
        <w:rPr>
          <w:rFonts w:ascii="Minion Pro" w:hAnsi="Minion Pro"/>
        </w:rPr>
        <w:t xml:space="preserve"> </w:t>
      </w:r>
      <w:r w:rsidRPr="00E250E5">
        <w:rPr>
          <w:rFonts w:ascii="Minion Pro" w:hAnsi="Minion Pro" w:cstheme="majorBidi"/>
        </w:rPr>
        <w:t>https://probabilityandlaw.blogspot.com/2020/09/the-i</w:t>
      </w:r>
      <w:r w:rsidRPr="00E250E5">
        <w:rPr>
          <w:rFonts w:ascii="Minion Pro" w:hAnsi="Minion Pro" w:cstheme="majorBidi"/>
        </w:rPr>
        <w:t>mpact-of-covid-false-positives.html</w:t>
      </w:r>
    </w:p>
  </w:footnote>
  <w:footnote w:id="8">
    <w:p w:rsidR="008F31B6" w:rsidRPr="00E250E5">
      <w:pPr>
        <w:pStyle w:val="FootnoteText"/>
        <w:rPr>
          <w:rFonts w:ascii="Minion Pro" w:hAnsi="Minion Pro"/>
        </w:rPr>
      </w:pPr>
      <w:r w:rsidRPr="00E250E5">
        <w:rPr>
          <w:rStyle w:val="FootnoteReference"/>
          <w:rFonts w:ascii="Minion Pro" w:hAnsi="Minion Pro"/>
        </w:rPr>
        <w:footnoteRef/>
      </w:r>
      <w:r w:rsidRPr="00E250E5">
        <w:rPr>
          <w:rFonts w:ascii="Minion Pro" w:hAnsi="Minion Pro"/>
        </w:rPr>
        <w:t xml:space="preserve"> </w:t>
      </w:r>
      <w:r w:rsidRPr="00E250E5">
        <w:rPr>
          <w:rFonts w:ascii="Minion Pro" w:hAnsi="Minion Pro" w:cstheme="majorBidi"/>
        </w:rPr>
        <w:t>Office for National Statistics. (2020a). Coronavirus (Covid-19) related deaths by ethnic group, England and Wales -2 March 2020 to 10 April 2020.</w:t>
      </w:r>
    </w:p>
  </w:footnote>
  <w:footnote w:id="9">
    <w:p w:rsidR="00F05C63" w:rsidRPr="00E250E5" w:rsidP="00F05C63">
      <w:pPr>
        <w:pStyle w:val="FootnoteText"/>
        <w:jc w:val="both"/>
        <w:rPr>
          <w:rFonts w:ascii="Minion Pro" w:hAnsi="Minion Pro" w:cs="Times New Roman"/>
        </w:rPr>
      </w:pPr>
      <w:r w:rsidRPr="00E250E5">
        <w:rPr>
          <w:rStyle w:val="FootnoteReference"/>
          <w:rFonts w:ascii="Minion Pro" w:hAnsi="Minion Pro" w:cs="Times New Roman"/>
        </w:rPr>
        <w:footnoteRef/>
      </w:r>
      <w:r w:rsidRPr="00E250E5">
        <w:rPr>
          <w:rFonts w:ascii="Minion Pro" w:hAnsi="Minion Pro" w:cs="Times New Roman"/>
        </w:rPr>
        <w:t xml:space="preserve"> Fenton N. E, Neil M, McLachlan S, Osman M (2020), "Misinterpreting statistical anomalies and risk assessment when analysing Covid-19 deaths by ethnicity". DOI: 10.13140/RG.2.2.18957.5680</w:t>
      </w:r>
    </w:p>
  </w:footnote>
  <w:footnote w:id="10">
    <w:p w:rsidR="00F05C63" w:rsidRPr="00E250E5">
      <w:pPr>
        <w:pStyle w:val="FootnoteText"/>
        <w:rPr>
          <w:rFonts w:ascii="Minion Pro" w:hAnsi="Minion Pro" w:cstheme="majorBidi"/>
        </w:rPr>
      </w:pPr>
      <w:r w:rsidRPr="00E250E5">
        <w:rPr>
          <w:rStyle w:val="FootnoteReference"/>
          <w:rFonts w:ascii="Minion Pro" w:hAnsi="Minion Pro"/>
        </w:rPr>
        <w:footnoteRef/>
      </w:r>
      <w:r w:rsidRPr="00E250E5">
        <w:rPr>
          <w:rFonts w:ascii="Minion Pro" w:hAnsi="Minion Pro"/>
        </w:rPr>
        <w:t xml:space="preserve"> </w:t>
      </w:r>
      <w:r w:rsidRPr="00E250E5">
        <w:rPr>
          <w:rFonts w:ascii="Minion Pro" w:hAnsi="Minion Pro" w:cstheme="majorBidi"/>
        </w:rPr>
        <w:t>https://www.regulation.org.uk/library/2017-Spiegelhalter-Risk_and_</w:t>
      </w:r>
      <w:r w:rsidRPr="00E250E5">
        <w:rPr>
          <w:rFonts w:ascii="Minion Pro" w:hAnsi="Minion Pro" w:cstheme="majorBidi"/>
        </w:rPr>
        <w:t>Uncertainty_Communication.pdf</w:t>
      </w:r>
    </w:p>
  </w:footnote>
  <w:footnote w:id="11">
    <w:p w:rsidR="00067D02" w:rsidRPr="00E250E5" w:rsidP="00067D02">
      <w:pPr>
        <w:pStyle w:val="FootnoteText"/>
        <w:jc w:val="both"/>
        <w:rPr>
          <w:rFonts w:ascii="Minion Pro" w:hAnsi="Minion Pro" w:cs="Times New Roman"/>
        </w:rPr>
      </w:pPr>
      <w:r w:rsidRPr="00E250E5">
        <w:rPr>
          <w:rStyle w:val="FootnoteReference"/>
          <w:rFonts w:ascii="Minion Pro" w:hAnsi="Minion Pro" w:cs="Times New Roman"/>
        </w:rPr>
        <w:footnoteRef/>
      </w:r>
      <w:r w:rsidRPr="00E250E5">
        <w:rPr>
          <w:rFonts w:ascii="Minion Pro" w:hAnsi="Minion Pro" w:cs="Times New Roman"/>
        </w:rPr>
        <w:t xml:space="preserve"> Fenton N. E, Neil M, McLachlan S, Osman M (2020), "Misinterpreting statistical anomalies and risk assessment when analysing Covid-19 deaths by ethnicity". DOI: 10.13140/RG.2.2.18957.5680</w:t>
      </w:r>
    </w:p>
  </w:footnote>
  <w:footnote w:id="12">
    <w:p w:rsidR="002F308D" w:rsidRPr="00E250E5" w:rsidP="00056FE4">
      <w:pPr>
        <w:pStyle w:val="FootnoteText"/>
        <w:jc w:val="both"/>
        <w:rPr>
          <w:rFonts w:ascii="Minion Pro" w:hAnsi="Minion Pro" w:cs="Times New Roman"/>
        </w:rPr>
      </w:pPr>
      <w:r w:rsidRPr="00E250E5">
        <w:rPr>
          <w:rStyle w:val="FootnoteReference"/>
          <w:rFonts w:ascii="Minion Pro" w:hAnsi="Minion Pro" w:cs="Times New Roman"/>
        </w:rPr>
        <w:footnoteRef/>
      </w:r>
      <w:r w:rsidRPr="00E250E5">
        <w:rPr>
          <w:rFonts w:ascii="Minion Pro" w:hAnsi="Minion Pro" w:cs="Times New Roman"/>
        </w:rPr>
        <w:t xml:space="preserve"> Fenton N. E, Neil M, McLachlan S, O</w:t>
      </w:r>
      <w:r w:rsidRPr="00E250E5">
        <w:rPr>
          <w:rFonts w:ascii="Minion Pro" w:hAnsi="Minion Pro" w:cs="Times New Roman"/>
        </w:rPr>
        <w:t>sman M (2020), "Misinterpreting statistical anomalies and risk assessment when analysing Covid-19 deaths by ethnicity". DOI: 10.13140/RG.2.2.18957.5680</w:t>
      </w:r>
    </w:p>
  </w:footnote>
  <w:footnote w:id="13">
    <w:p w:rsidR="00056FE4" w:rsidRPr="00E250E5" w:rsidP="00056FE4">
      <w:pPr>
        <w:pStyle w:val="FootnoteText"/>
        <w:jc w:val="both"/>
        <w:rPr>
          <w:rFonts w:ascii="Minion Pro" w:hAnsi="Minion Pro" w:cs="Times New Roman"/>
        </w:rPr>
      </w:pPr>
      <w:r w:rsidRPr="00E250E5">
        <w:rPr>
          <w:rStyle w:val="FootnoteReference"/>
          <w:rFonts w:ascii="Minion Pro" w:hAnsi="Minion Pro" w:cs="Times New Roman"/>
        </w:rPr>
        <w:footnoteRef/>
      </w:r>
      <w:r w:rsidRPr="00E250E5">
        <w:rPr>
          <w:rFonts w:ascii="Minion Pro" w:hAnsi="Minion Pro" w:cs="Times New Roman"/>
        </w:rPr>
        <w:t xml:space="preserve"> Fenton, N E. (2020). A Note on UK Covid19 death rates by religion: which groups are most at risk? </w:t>
      </w:r>
      <w:r>
        <w:fldChar w:fldCharType="begin"/>
      </w:r>
      <w:r>
        <w:instrText xml:space="preserve"> HYPERLINK "http://arxiv.org/abs/2007.07083" </w:instrText>
      </w:r>
      <w:r>
        <w:fldChar w:fldCharType="separate"/>
      </w:r>
      <w:r w:rsidRPr="00E250E5">
        <w:rPr>
          <w:rStyle w:val="Hyperlink"/>
          <w:rFonts w:ascii="Minion Pro" w:hAnsi="Minion Pro" w:cs="Times New Roman"/>
        </w:rPr>
        <w:t>http://arxiv.org/abs/2007.07083</w:t>
      </w:r>
      <w:r>
        <w:fldChar w:fldCharType="end"/>
      </w:r>
    </w:p>
  </w:footnote>
  <w:footnote w:id="14">
    <w:p w:rsidR="00056FE4" w:rsidRPr="00E250E5" w:rsidP="00056FE4">
      <w:pPr>
        <w:pStyle w:val="FootnoteText"/>
        <w:jc w:val="both"/>
        <w:rPr>
          <w:rFonts w:ascii="Minion Pro" w:hAnsi="Minion Pro"/>
        </w:rPr>
      </w:pPr>
      <w:r w:rsidRPr="00E250E5">
        <w:rPr>
          <w:rStyle w:val="FootnoteReference"/>
          <w:rFonts w:ascii="Minion Pro" w:hAnsi="Minion Pro" w:cs="Times New Roman"/>
        </w:rPr>
        <w:footnoteRef/>
      </w:r>
      <w:r w:rsidRPr="00E250E5">
        <w:rPr>
          <w:rFonts w:ascii="Minion Pro" w:hAnsi="Minion Pro" w:cs="Times New Roman"/>
        </w:rPr>
        <w:t xml:space="preserve"> Fenton, N E (2020), "Why most studies into COVID19 risk factors may be producing flawed conclusions-and how to fix the problem", http://arxiv.org/abs/2005.08608</w:t>
      </w:r>
      <w:r w:rsidRPr="00E250E5">
        <w:rPr>
          <w:rFonts w:ascii="Minion Pro" w:hAnsi="Minion Pro"/>
        </w:rPr>
        <w:t xml:space="preserve">  </w:t>
      </w:r>
    </w:p>
  </w:footnote>
  <w:footnote w:id="15">
    <w:p w:rsidR="00D40E96" w:rsidRPr="00E250E5">
      <w:pPr>
        <w:pStyle w:val="FootnoteText"/>
        <w:rPr>
          <w:rFonts w:ascii="Minion Pro" w:hAnsi="Minion Pro" w:cs="Times New Roman"/>
          <w:lang w:val="en-AU"/>
        </w:rPr>
      </w:pPr>
      <w:r w:rsidRPr="00E250E5">
        <w:rPr>
          <w:rStyle w:val="FootnoteReference"/>
          <w:rFonts w:ascii="Minion Pro" w:hAnsi="Minion Pro" w:cs="Times New Roman"/>
        </w:rPr>
        <w:footnoteRef/>
      </w:r>
      <w:r w:rsidRPr="00E250E5">
        <w:rPr>
          <w:rFonts w:ascii="Minion Pro" w:hAnsi="Minion Pro" w:cs="Times New Roman"/>
        </w:rPr>
        <w:t xml:space="preserve"> </w:t>
      </w:r>
      <w:r>
        <w:fldChar w:fldCharType="begin"/>
      </w:r>
      <w:r>
        <w:instrText xml:space="preserve"> HYPERLINK "https://www.theregister.com/2020/10/05/excel_england_coronavirus_contact_error/" </w:instrText>
      </w:r>
      <w:r>
        <w:fldChar w:fldCharType="separate"/>
      </w:r>
      <w:r w:rsidRPr="00E250E5">
        <w:rPr>
          <w:rStyle w:val="Hyperlink"/>
          <w:rFonts w:ascii="Minion Pro" w:hAnsi="Minion Pro" w:cs="Times New Roman"/>
        </w:rPr>
        <w:t>https://www.theregister.com/2020/10/05/excel_england_coronavirus_contact_error/</w:t>
      </w:r>
      <w:r>
        <w:fldChar w:fldCharType="end"/>
      </w:r>
    </w:p>
  </w:footnote>
  <w:footnote w:id="16">
    <w:p w:rsidR="00D40E96" w:rsidRPr="00E250E5">
      <w:pPr>
        <w:pStyle w:val="FootnoteText"/>
        <w:rPr>
          <w:rFonts w:ascii="Minion Pro" w:hAnsi="Minion Pro" w:cs="Times New Roman"/>
          <w:lang w:val="en-AU"/>
        </w:rPr>
      </w:pPr>
      <w:r w:rsidRPr="00E250E5">
        <w:rPr>
          <w:rStyle w:val="FootnoteReference"/>
          <w:rFonts w:ascii="Minion Pro" w:hAnsi="Minion Pro" w:cs="Times New Roman"/>
        </w:rPr>
        <w:footnoteRef/>
      </w:r>
      <w:r w:rsidRPr="00E250E5">
        <w:rPr>
          <w:rFonts w:ascii="Minion Pro" w:hAnsi="Minion Pro" w:cs="Times New Roman"/>
        </w:rPr>
        <w:t xml:space="preserve"> </w:t>
      </w:r>
      <w:r>
        <w:fldChar w:fldCharType="begin"/>
      </w:r>
      <w:r>
        <w:instrText xml:space="preserve"> HYPERLINK "https://www.bbc.co.uk/news/technology-54423988" </w:instrText>
      </w:r>
      <w:r>
        <w:fldChar w:fldCharType="separate"/>
      </w:r>
      <w:r w:rsidRPr="00E250E5">
        <w:rPr>
          <w:rStyle w:val="Hyperlink"/>
          <w:rFonts w:ascii="Minion Pro" w:hAnsi="Minion Pro" w:cs="Times New Roman"/>
        </w:rPr>
        <w:t>https://www.bbc.co</w:t>
      </w:r>
      <w:r w:rsidRPr="00E250E5">
        <w:rPr>
          <w:rStyle w:val="Hyperlink"/>
          <w:rFonts w:ascii="Minion Pro" w:hAnsi="Minion Pro" w:cs="Times New Roman"/>
        </w:rPr>
        <w:t>.uk/news/technology-54423988</w:t>
      </w:r>
      <w:r>
        <w:fldChar w:fldCharType="end"/>
      </w:r>
    </w:p>
  </w:footnote>
  <w:footnote w:id="17">
    <w:p w:rsidR="0065531F" w:rsidRPr="00E250E5" w:rsidP="00F05C63">
      <w:pPr>
        <w:pStyle w:val="FootnoteText"/>
        <w:jc w:val="both"/>
        <w:rPr>
          <w:rFonts w:ascii="Minion Pro" w:hAnsi="Minion Pro" w:cs="Times New Roman"/>
          <w:lang w:val="en-AU"/>
        </w:rPr>
      </w:pPr>
      <w:r w:rsidRPr="00E250E5">
        <w:rPr>
          <w:rStyle w:val="FootnoteReference"/>
          <w:rFonts w:ascii="Minion Pro" w:hAnsi="Minion Pro" w:cs="Times New Roman"/>
        </w:rPr>
        <w:footnoteRef/>
      </w:r>
      <w:r w:rsidRPr="00E250E5">
        <w:rPr>
          <w:rFonts w:ascii="Minion Pro" w:hAnsi="Minion Pro" w:cs="Times New Roman"/>
        </w:rPr>
        <w:t xml:space="preserve"> </w:t>
      </w:r>
      <w:r>
        <w:fldChar w:fldCharType="begin"/>
      </w:r>
      <w:r>
        <w:instrText xml:space="preserve"> HYPERLINK "https://www.express.co.uk/comment/expresscomment/1344766/NHS-app-NHS-covid-19-contact-tracing-app-download-give-blood" </w:instrText>
      </w:r>
      <w:r>
        <w:fldChar w:fldCharType="separate"/>
      </w:r>
      <w:r w:rsidRPr="00E250E5">
        <w:rPr>
          <w:rStyle w:val="Hyperlink"/>
          <w:rFonts w:ascii="Minion Pro" w:hAnsi="Minion Pro" w:cs="Times New Roman"/>
        </w:rPr>
        <w:t>https://www.express.co.uk/comment/expresscomment/1344766/NHS-app-NHS-covid-19-contact-traci</w:t>
      </w:r>
      <w:r w:rsidRPr="00E250E5">
        <w:rPr>
          <w:rStyle w:val="Hyperlink"/>
          <w:rFonts w:ascii="Minion Pro" w:hAnsi="Minion Pro" w:cs="Times New Roman"/>
        </w:rPr>
        <w:t>ng-app-download-give-blood</w:t>
      </w:r>
      <w:r>
        <w:fldChar w:fldCharType="end"/>
      </w:r>
    </w:p>
  </w:footnote>
  <w:footnote w:id="18">
    <w:p w:rsidR="00F05C63" w:rsidRPr="00E250E5">
      <w:pPr>
        <w:pStyle w:val="FootnoteText"/>
        <w:rPr>
          <w:rFonts w:ascii="Minion Pro" w:hAnsi="Minion Pro"/>
        </w:rPr>
      </w:pPr>
      <w:r w:rsidRPr="00E250E5">
        <w:rPr>
          <w:rStyle w:val="FootnoteReference"/>
          <w:rFonts w:ascii="Minion Pro" w:hAnsi="Minion Pro"/>
        </w:rPr>
        <w:footnoteRef/>
      </w:r>
      <w:r w:rsidRPr="00E250E5">
        <w:rPr>
          <w:rFonts w:ascii="Minion Pro" w:hAnsi="Minion Pro"/>
        </w:rPr>
        <w:t xml:space="preserve"> </w:t>
      </w:r>
      <w:r w:rsidRPr="00E250E5">
        <w:rPr>
          <w:rFonts w:ascii="Minion Pro" w:hAnsi="Minion Pro" w:cs="Times New Roman"/>
          <w:color w:val="FF0000"/>
        </w:rPr>
        <w:t>https://www.gov.uk/government/news/new-uk-wide-methodology-agreed-to-record-covid-19-deaths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0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0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4F1158"/>
    <w:multiLevelType w:val="hybridMultilevel"/>
    <w:tmpl w:val="3386F266"/>
    <w:lvl w:ilvl="0">
      <w:start w:val="1"/>
      <w:numFmt w:val="lowerRoman"/>
      <w:lvlText w:val="%1."/>
      <w:lvlJc w:val="left"/>
      <w:pPr>
        <w:ind w:left="1210" w:hanging="360"/>
      </w:pPr>
      <w:rPr>
        <w:rFonts w:hint="default"/>
      </w:rPr>
    </w:lvl>
    <w:lvl w:ilvl="1" w:tentative="1">
      <w:start w:val="1"/>
      <w:numFmt w:val="lowerLetter"/>
      <w:lvlText w:val="%2."/>
      <w:lvlJc w:val="left"/>
      <w:pPr>
        <w:ind w:left="1930" w:hanging="360"/>
      </w:pPr>
    </w:lvl>
    <w:lvl w:ilvl="2" w:tentative="1">
      <w:start w:val="1"/>
      <w:numFmt w:val="lowerRoman"/>
      <w:lvlText w:val="%3."/>
      <w:lvlJc w:val="right"/>
      <w:pPr>
        <w:ind w:left="2650" w:hanging="180"/>
      </w:pPr>
    </w:lvl>
    <w:lvl w:ilvl="3" w:tentative="1">
      <w:start w:val="1"/>
      <w:numFmt w:val="decimal"/>
      <w:lvlText w:val="%4."/>
      <w:lvlJc w:val="left"/>
      <w:pPr>
        <w:ind w:left="3370" w:hanging="360"/>
      </w:pPr>
    </w:lvl>
    <w:lvl w:ilvl="4" w:tentative="1">
      <w:start w:val="1"/>
      <w:numFmt w:val="lowerLetter"/>
      <w:lvlText w:val="%5."/>
      <w:lvlJc w:val="left"/>
      <w:pPr>
        <w:ind w:left="4090" w:hanging="360"/>
      </w:pPr>
    </w:lvl>
    <w:lvl w:ilvl="5" w:tentative="1">
      <w:start w:val="1"/>
      <w:numFmt w:val="lowerRoman"/>
      <w:lvlText w:val="%6."/>
      <w:lvlJc w:val="right"/>
      <w:pPr>
        <w:ind w:left="4810" w:hanging="180"/>
      </w:pPr>
    </w:lvl>
    <w:lvl w:ilvl="6" w:tentative="1">
      <w:start w:val="1"/>
      <w:numFmt w:val="decimal"/>
      <w:lvlText w:val="%7."/>
      <w:lvlJc w:val="left"/>
      <w:pPr>
        <w:ind w:left="5530" w:hanging="360"/>
      </w:pPr>
    </w:lvl>
    <w:lvl w:ilvl="7" w:tentative="1">
      <w:start w:val="1"/>
      <w:numFmt w:val="lowerLetter"/>
      <w:lvlText w:val="%8."/>
      <w:lvlJc w:val="left"/>
      <w:pPr>
        <w:ind w:left="6250" w:hanging="360"/>
      </w:pPr>
    </w:lvl>
    <w:lvl w:ilvl="8" w:tentative="1">
      <w:start w:val="1"/>
      <w:numFmt w:val="lowerRoman"/>
      <w:lvlText w:val="%9."/>
      <w:lvlJc w:val="right"/>
      <w:pPr>
        <w:ind w:left="6970" w:hanging="180"/>
      </w:pPr>
    </w:lvl>
  </w:abstractNum>
  <w:abstractNum w:abstractNumId="1">
    <w:nsid w:val="12C13940"/>
    <w:multiLevelType w:val="hybridMultilevel"/>
    <w:tmpl w:val="65501C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764EE7"/>
    <w:multiLevelType w:val="hybridMultilevel"/>
    <w:tmpl w:val="6BEEE844"/>
    <w:lvl w:ilvl="0">
      <w:start w:val="1"/>
      <w:numFmt w:val="decimal"/>
      <w:lvlText w:val="%1."/>
      <w:lvlJc w:val="left"/>
      <w:pPr>
        <w:ind w:left="720" w:hanging="360"/>
      </w:p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FC7562"/>
    <w:multiLevelType w:val="hybridMultilevel"/>
    <w:tmpl w:val="111CB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E422E92"/>
    <w:multiLevelType w:val="hybridMultilevel"/>
    <w:tmpl w:val="D50226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6448E0"/>
    <w:multiLevelType w:val="hybridMultilevel"/>
    <w:tmpl w:val="16EA8E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5E644D3"/>
    <w:multiLevelType w:val="hybridMultilevel"/>
    <w:tmpl w:val="FB580710"/>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BE66E63"/>
    <w:multiLevelType w:val="hybridMultilevel"/>
    <w:tmpl w:val="1E5C2C4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55863F56"/>
    <w:multiLevelType w:val="hybridMultilevel"/>
    <w:tmpl w:val="FB58071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B187BEB"/>
    <w:multiLevelType w:val="hybridMultilevel"/>
    <w:tmpl w:val="6C20A210"/>
    <w:lvl w:ilvl="0">
      <w:start w:val="1"/>
      <w:numFmt w:val="lowerRoman"/>
      <w:lvlText w:val="%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0">
    <w:nsid w:val="6E79664C"/>
    <w:multiLevelType w:val="hybridMultilevel"/>
    <w:tmpl w:val="8CB22DF0"/>
    <w:lvl w:ilvl="0">
      <w:start w:val="1"/>
      <w:numFmt w:val="lowerRoman"/>
      <w:lvlText w:val="%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1">
    <w:nsid w:val="79A322C6"/>
    <w:multiLevelType w:val="hybridMultilevel"/>
    <w:tmpl w:val="6FA222B4"/>
    <w:lvl w:ilvl="0">
      <w:start w:val="1"/>
      <w:numFmt w:val="lowerRoman"/>
      <w:lvlText w:val="%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num w:numId="1">
    <w:abstractNumId w:val="8"/>
  </w:num>
  <w:num w:numId="2">
    <w:abstractNumId w:val="7"/>
  </w:num>
  <w:num w:numId="3">
    <w:abstractNumId w:val="6"/>
  </w:num>
  <w:num w:numId="4">
    <w:abstractNumId w:val="4"/>
  </w:num>
  <w:num w:numId="5">
    <w:abstractNumId w:val="5"/>
  </w:num>
  <w:num w:numId="6">
    <w:abstractNumId w:val="3"/>
  </w:num>
  <w:num w:numId="7">
    <w:abstractNumId w:val="1"/>
  </w:num>
  <w:num w:numId="8">
    <w:abstractNumId w:val="11"/>
  </w:num>
  <w:num w:numId="9">
    <w:abstractNumId w:val="9"/>
  </w:num>
  <w:num w:numId="10">
    <w:abstractNumId w:val="10"/>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5C08"/>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5C08"/>
    <w:rPr>
      <w:color w:val="0563C1" w:themeColor="hyperlink"/>
      <w:u w:val="single"/>
    </w:rPr>
  </w:style>
  <w:style w:type="character" w:customStyle="1" w:styleId="UnresolvedMention1">
    <w:name w:val="Unresolved Mention1"/>
    <w:basedOn w:val="DefaultParagraphFont"/>
    <w:uiPriority w:val="99"/>
    <w:semiHidden/>
    <w:unhideWhenUsed/>
    <w:rsid w:val="00095C08"/>
    <w:rPr>
      <w:color w:val="605E5C"/>
      <w:shd w:val="clear" w:color="auto" w:fill="E1DFDD"/>
    </w:rPr>
  </w:style>
  <w:style w:type="paragraph" w:styleId="Caption">
    <w:name w:val="caption"/>
    <w:basedOn w:val="Normal"/>
    <w:next w:val="Normal"/>
    <w:uiPriority w:val="35"/>
    <w:unhideWhenUsed/>
    <w:qFormat/>
    <w:rsid w:val="00167608"/>
    <w:pPr>
      <w:spacing w:after="200"/>
    </w:pPr>
    <w:rPr>
      <w:i/>
      <w:iCs/>
      <w:color w:val="44546A" w:themeColor="text2"/>
      <w:sz w:val="18"/>
      <w:szCs w:val="18"/>
    </w:rPr>
  </w:style>
  <w:style w:type="paragraph" w:styleId="ListParagraph">
    <w:name w:val="List Paragraph"/>
    <w:basedOn w:val="Normal"/>
    <w:uiPriority w:val="34"/>
    <w:qFormat/>
    <w:rsid w:val="009408DC"/>
    <w:pPr>
      <w:ind w:left="720"/>
      <w:contextualSpacing/>
    </w:pPr>
  </w:style>
  <w:style w:type="paragraph" w:styleId="Header">
    <w:name w:val="header"/>
    <w:basedOn w:val="Normal"/>
    <w:link w:val="HeaderChar"/>
    <w:uiPriority w:val="99"/>
    <w:unhideWhenUsed/>
    <w:rsid w:val="00C02ADF"/>
    <w:pPr>
      <w:tabs>
        <w:tab w:val="center" w:pos="4513"/>
        <w:tab w:val="right" w:pos="9026"/>
      </w:tabs>
    </w:pPr>
  </w:style>
  <w:style w:type="character" w:customStyle="1" w:styleId="HeaderChar">
    <w:name w:val="Header Char"/>
    <w:basedOn w:val="DefaultParagraphFont"/>
    <w:link w:val="Header"/>
    <w:uiPriority w:val="99"/>
    <w:rsid w:val="00C02ADF"/>
    <w:rPr>
      <w:rFonts w:ascii="Calibri" w:hAnsi="Calibri" w:cs="Calibri"/>
      <w:lang w:eastAsia="en-GB"/>
    </w:rPr>
  </w:style>
  <w:style w:type="paragraph" w:styleId="Footer">
    <w:name w:val="footer"/>
    <w:basedOn w:val="Normal"/>
    <w:link w:val="FooterChar"/>
    <w:uiPriority w:val="99"/>
    <w:unhideWhenUsed/>
    <w:rsid w:val="00C02ADF"/>
    <w:pPr>
      <w:tabs>
        <w:tab w:val="center" w:pos="4513"/>
        <w:tab w:val="right" w:pos="9026"/>
      </w:tabs>
    </w:pPr>
  </w:style>
  <w:style w:type="character" w:customStyle="1" w:styleId="FooterChar">
    <w:name w:val="Footer Char"/>
    <w:basedOn w:val="DefaultParagraphFont"/>
    <w:link w:val="Footer"/>
    <w:uiPriority w:val="99"/>
    <w:rsid w:val="00C02ADF"/>
    <w:rPr>
      <w:rFonts w:ascii="Calibri" w:hAnsi="Calibri" w:cs="Calibri"/>
      <w:lang w:eastAsia="en-GB"/>
    </w:rPr>
  </w:style>
  <w:style w:type="character" w:styleId="FollowedHyperlink">
    <w:name w:val="FollowedHyperlink"/>
    <w:basedOn w:val="DefaultParagraphFont"/>
    <w:uiPriority w:val="99"/>
    <w:semiHidden/>
    <w:unhideWhenUsed/>
    <w:rsid w:val="009B42EF"/>
    <w:rPr>
      <w:color w:val="954F72" w:themeColor="followedHyperlink"/>
      <w:u w:val="single"/>
    </w:rPr>
  </w:style>
  <w:style w:type="character" w:styleId="CommentReference">
    <w:name w:val="annotation reference"/>
    <w:basedOn w:val="DefaultParagraphFont"/>
    <w:uiPriority w:val="99"/>
    <w:semiHidden/>
    <w:unhideWhenUsed/>
    <w:rsid w:val="009B42EF"/>
    <w:rPr>
      <w:sz w:val="16"/>
      <w:szCs w:val="16"/>
    </w:rPr>
  </w:style>
  <w:style w:type="paragraph" w:styleId="CommentText">
    <w:name w:val="annotation text"/>
    <w:basedOn w:val="Normal"/>
    <w:link w:val="CommentTextChar"/>
    <w:uiPriority w:val="99"/>
    <w:semiHidden/>
    <w:unhideWhenUsed/>
    <w:rsid w:val="009B42EF"/>
    <w:rPr>
      <w:sz w:val="20"/>
      <w:szCs w:val="20"/>
    </w:rPr>
  </w:style>
  <w:style w:type="character" w:customStyle="1" w:styleId="CommentTextChar">
    <w:name w:val="Comment Text Char"/>
    <w:basedOn w:val="DefaultParagraphFont"/>
    <w:link w:val="CommentText"/>
    <w:uiPriority w:val="99"/>
    <w:semiHidden/>
    <w:rsid w:val="009B42EF"/>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9B42EF"/>
    <w:rPr>
      <w:b/>
      <w:bCs/>
    </w:rPr>
  </w:style>
  <w:style w:type="character" w:customStyle="1" w:styleId="CommentSubjectChar">
    <w:name w:val="Comment Subject Char"/>
    <w:basedOn w:val="CommentTextChar"/>
    <w:link w:val="CommentSubject"/>
    <w:uiPriority w:val="99"/>
    <w:semiHidden/>
    <w:rsid w:val="009B42EF"/>
    <w:rPr>
      <w:rFonts w:ascii="Calibri" w:hAnsi="Calibri" w:cs="Calibri"/>
      <w:b/>
      <w:bCs/>
      <w:sz w:val="20"/>
      <w:szCs w:val="20"/>
      <w:lang w:eastAsia="en-GB"/>
    </w:rPr>
  </w:style>
  <w:style w:type="paragraph" w:styleId="BalloonText">
    <w:name w:val="Balloon Text"/>
    <w:basedOn w:val="Normal"/>
    <w:link w:val="BalloonTextChar"/>
    <w:uiPriority w:val="99"/>
    <w:semiHidden/>
    <w:unhideWhenUsed/>
    <w:rsid w:val="009B42E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42EF"/>
    <w:rPr>
      <w:rFonts w:ascii="Times New Roman" w:hAnsi="Times New Roman" w:cs="Times New Roman"/>
      <w:sz w:val="18"/>
      <w:szCs w:val="18"/>
      <w:lang w:eastAsia="en-GB"/>
    </w:rPr>
  </w:style>
  <w:style w:type="paragraph" w:styleId="FootnoteText">
    <w:name w:val="footnote text"/>
    <w:basedOn w:val="Normal"/>
    <w:link w:val="FootnoteTextChar"/>
    <w:uiPriority w:val="99"/>
    <w:semiHidden/>
    <w:unhideWhenUsed/>
    <w:rsid w:val="00274388"/>
    <w:rPr>
      <w:sz w:val="20"/>
      <w:szCs w:val="20"/>
    </w:rPr>
  </w:style>
  <w:style w:type="character" w:customStyle="1" w:styleId="FootnoteTextChar">
    <w:name w:val="Footnote Text Char"/>
    <w:basedOn w:val="DefaultParagraphFont"/>
    <w:link w:val="FootnoteText"/>
    <w:uiPriority w:val="99"/>
    <w:semiHidden/>
    <w:rsid w:val="00274388"/>
    <w:rPr>
      <w:rFonts w:ascii="Calibri" w:hAnsi="Calibri" w:cs="Calibri"/>
      <w:sz w:val="20"/>
      <w:szCs w:val="20"/>
      <w:lang w:eastAsia="en-GB"/>
    </w:rPr>
  </w:style>
  <w:style w:type="character" w:styleId="FootnoteReference">
    <w:name w:val="footnote reference"/>
    <w:basedOn w:val="DefaultParagraphFont"/>
    <w:uiPriority w:val="99"/>
    <w:semiHidden/>
    <w:unhideWhenUsed/>
    <w:rsid w:val="00274388"/>
    <w:rPr>
      <w:vertAlign w:val="superscript"/>
    </w:rPr>
  </w:style>
  <w:style w:type="paragraph" w:customStyle="1" w:styleId="QMWAddress">
    <w:name w:val="QMW Address"/>
    <w:basedOn w:val="Normal"/>
    <w:rsid w:val="00260970"/>
    <w:rPr>
      <w:rFonts w:ascii="Arial" w:eastAsia="Times" w:hAnsi="Arial" w:cs="Times New Roman"/>
      <w:b/>
      <w:color w:val="0000FF"/>
      <w:sz w:val="16"/>
      <w:szCs w:val="20"/>
      <w:lang w:eastAsia="en-US" w:bidi="ar-SA"/>
    </w:rPr>
  </w:style>
  <w:style w:type="paragraph" w:customStyle="1" w:styleId="LetterBody">
    <w:name w:val="Letter Body"/>
    <w:basedOn w:val="Normal"/>
    <w:rsid w:val="00260970"/>
    <w:pPr>
      <w:tabs>
        <w:tab w:val="left" w:pos="10348"/>
      </w:tabs>
      <w:ind w:right="-8"/>
    </w:pPr>
    <w:rPr>
      <w:rFonts w:ascii="Arial" w:eastAsia="Times" w:hAnsi="Arial" w:cs="Times New Roman"/>
      <w:sz w:val="24"/>
      <w:szCs w:val="20"/>
      <w:lang w:eastAsia="en-US" w:bidi="ar-SA"/>
    </w:rPr>
  </w:style>
  <w:style w:type="paragraph" w:customStyle="1" w:styleId="QMWAddresslc">
    <w:name w:val="QMW Address lc"/>
    <w:basedOn w:val="QMWAddress"/>
    <w:rsid w:val="00260970"/>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AD76B79-0E82-497E-ADEA-919F0317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