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22452C" w:rsidP="00693979">
      <w:pPr>
        <w:rPr>
          <w:rFonts w:cstheme="minorHAnsi"/>
          <w:b/>
          <w:bCs/>
        </w:rPr>
      </w:pPr>
    </w:p>
    <w:p w:rsidR="0022452C" w:rsidP="0022452C">
      <w:pPr>
        <w:jc w:val="center"/>
        <w:rPr>
          <w:rFonts w:cstheme="minorHAnsi"/>
          <w:b/>
          <w:bCs/>
        </w:rPr>
      </w:pPr>
      <w:r>
        <w:rPr>
          <w:rFonts w:cstheme="minorHAnsi"/>
          <w:b/>
          <w:bCs/>
        </w:rPr>
        <w:t>Written evidence submitted by The Board of Deputies of British Jews</w:t>
      </w:r>
    </w:p>
    <w:p w:rsidR="00693979" w:rsidRPr="0022452C" w:rsidP="00693979">
      <w:pPr>
        <w:rPr>
          <w:rFonts w:cstheme="minorHAnsi"/>
          <w:b/>
          <w:bCs/>
        </w:rPr>
      </w:pPr>
      <w:r w:rsidRPr="0022452C">
        <w:rPr>
          <w:rFonts w:cstheme="minorHAnsi"/>
          <w:b/>
          <w:bCs/>
        </w:rPr>
        <w:t>Submission to the Culture, Media and Sport Select Committee</w:t>
      </w:r>
    </w:p>
    <w:p w:rsidR="00693979" w:rsidRPr="0022452C" w:rsidP="00693979">
      <w:pPr>
        <w:rPr>
          <w:rFonts w:cstheme="minorHAnsi"/>
        </w:rPr>
      </w:pPr>
    </w:p>
    <w:p w:rsidR="00693979" w:rsidRPr="0022452C" w:rsidP="00693979">
      <w:pPr>
        <w:rPr>
          <w:rFonts w:cstheme="minorHAnsi"/>
        </w:rPr>
      </w:pPr>
      <w:r w:rsidRPr="0022452C">
        <w:rPr>
          <w:rFonts w:cstheme="minorHAnsi"/>
        </w:rPr>
        <w:t xml:space="preserve">The Board of Deputies of British Jews is the democratically elected body which represents the Jewish community in Britain. </w:t>
      </w:r>
    </w:p>
    <w:p w:rsidR="00693979" w:rsidRPr="0022452C" w:rsidP="00693979">
      <w:pPr>
        <w:rPr>
          <w:rFonts w:cstheme="minorHAnsi"/>
        </w:rPr>
      </w:pPr>
      <w:r w:rsidRPr="0022452C">
        <w:rPr>
          <w:rFonts w:cstheme="minorHAnsi"/>
        </w:rPr>
        <w:t xml:space="preserve">We welcome the opportunity to give evidence to this new inquiry from the Culture, Media and Sport Committee examining how to prevent the loss and decline of historic buildings and other sites of heritage amid warnings of the serious financial and practical challenges many </w:t>
      </w:r>
      <w:r w:rsidRPr="0022452C">
        <w:rPr>
          <w:rFonts w:cstheme="minorHAnsi"/>
        </w:rPr>
        <w:t>face</w:t>
      </w:r>
      <w:r w:rsidRPr="0022452C">
        <w:rPr>
          <w:rFonts w:cstheme="minorHAnsi"/>
        </w:rPr>
        <w:t>.</w:t>
      </w:r>
    </w:p>
    <w:p w:rsidR="00693979" w:rsidRPr="0022452C" w:rsidP="00693979">
      <w:pPr>
        <w:rPr>
          <w:rFonts w:cstheme="minorHAnsi"/>
        </w:rPr>
      </w:pPr>
      <w:r w:rsidRPr="0022452C">
        <w:rPr>
          <w:rFonts w:cstheme="minorHAnsi"/>
          <w:i/>
          <w:iCs/>
        </w:rPr>
        <w:t>Jewish Heritage in Britain and Ireland – an architectural guide</w:t>
      </w:r>
      <w:r w:rsidRPr="0022452C">
        <w:rPr>
          <w:rFonts w:cstheme="minorHAnsi"/>
        </w:rPr>
        <w:t xml:space="preserve"> by Sharman </w:t>
      </w:r>
      <w:r w:rsidRPr="0022452C">
        <w:rPr>
          <w:rFonts w:cstheme="minorHAnsi"/>
        </w:rPr>
        <w:t>Kadish  (</w:t>
      </w:r>
      <w:r w:rsidRPr="0022452C">
        <w:rPr>
          <w:rFonts w:cstheme="minorHAnsi"/>
        </w:rPr>
        <w:t xml:space="preserve">published by Historic England in 2006 and then in 2015)  is the ‘Bible’ of Jewish built-heritage in this country. It describes Jewish </w:t>
      </w:r>
      <w:r w:rsidRPr="0022452C">
        <w:rPr>
          <w:rFonts w:cstheme="minorHAnsi"/>
        </w:rPr>
        <w:t>built-heritage</w:t>
      </w:r>
      <w:r w:rsidRPr="0022452C">
        <w:rPr>
          <w:rFonts w:cstheme="minorHAnsi"/>
        </w:rPr>
        <w:t xml:space="preserve"> everywhere from Cornwall to Inverness. Jews first came to England with the Romans, were expelled in 1290 by Edward I and then readmitted to England in 1656. There have been communities here ever since. Our historic synagogues tell this story.</w:t>
      </w:r>
    </w:p>
    <w:p w:rsidR="00693979" w:rsidRPr="0022452C" w:rsidP="00693979">
      <w:pPr>
        <w:rPr>
          <w:rFonts w:cstheme="minorHAnsi"/>
        </w:rPr>
      </w:pPr>
      <w:r w:rsidRPr="0022452C">
        <w:rPr>
          <w:rFonts w:cstheme="minorHAnsi"/>
        </w:rPr>
        <w:t xml:space="preserve">There are 27 listed synagogues in </w:t>
      </w:r>
      <w:r w:rsidRPr="0022452C">
        <w:rPr>
          <w:rFonts w:cstheme="minorHAnsi"/>
        </w:rPr>
        <w:t>Britain;</w:t>
      </w:r>
      <w:r w:rsidRPr="0022452C">
        <w:rPr>
          <w:rFonts w:cstheme="minorHAnsi"/>
        </w:rPr>
        <w:t xml:space="preserve"> in Greater London, Greater Manchester, Leicester, Blackpool, Liverpool, Reading, Brighton, Kent, Hertsmere, Exeter, Plymouth, Birmingham, Grimsby and Brighton, mostly – but not all – Orthodox. They represent examples of magnificent architecture and </w:t>
      </w:r>
      <w:r w:rsidRPr="0022452C">
        <w:rPr>
          <w:rFonts w:cstheme="minorHAnsi"/>
        </w:rPr>
        <w:t>stained glass</w:t>
      </w:r>
      <w:r w:rsidRPr="0022452C">
        <w:rPr>
          <w:rFonts w:cstheme="minorHAnsi"/>
        </w:rPr>
        <w:t xml:space="preserve"> windows.</w:t>
      </w:r>
    </w:p>
    <w:p w:rsidR="00693979" w:rsidRPr="0022452C" w:rsidP="00693979">
      <w:pPr>
        <w:rPr>
          <w:rFonts w:cstheme="minorHAnsi"/>
        </w:rPr>
      </w:pPr>
      <w:r w:rsidRPr="0022452C">
        <w:rPr>
          <w:rFonts w:cstheme="minorHAnsi"/>
        </w:rPr>
        <w:t xml:space="preserve">Although there are Jewish people living in all parts of the country, the majority live in Greater London and Greater Manchester. The laws of the Sabbath and Festivals, as observed by Orthodox communities, preclude travel other than by foot and so a functioning Orthodox synagogue will need to be within walking distance of its community. </w:t>
      </w:r>
    </w:p>
    <w:p w:rsidR="00693979" w:rsidRPr="0022452C" w:rsidP="00693979">
      <w:pPr>
        <w:rPr>
          <w:rFonts w:cstheme="minorHAnsi"/>
        </w:rPr>
      </w:pPr>
      <w:r w:rsidRPr="0022452C">
        <w:rPr>
          <w:rFonts w:cstheme="minorHAnsi"/>
        </w:rPr>
        <w:t>This means that while some of these listed synagogues are home to thriving Jewish communities, others are attached to a dwindling or even no longer extant community. While some of these listed synagogues are affiliated to an organised Jewish denomination such as the United Synagogue or the S&amp;P Sephardi Community, giving them some support, others are entirely independent.</w:t>
      </w:r>
    </w:p>
    <w:p w:rsidR="00693979" w:rsidRPr="0022452C" w:rsidP="00693979">
      <w:pPr>
        <w:rPr>
          <w:rFonts w:cstheme="minorHAnsi"/>
        </w:rPr>
      </w:pPr>
      <w:r w:rsidRPr="0022452C">
        <w:rPr>
          <w:rFonts w:cstheme="minorHAnsi"/>
        </w:rPr>
        <w:t xml:space="preserve"> The burden of maintenance for these listed synagogues often falls on a reducing number, of often aging, volunteers. </w:t>
      </w:r>
    </w:p>
    <w:p w:rsidR="00693979" w:rsidRPr="0022452C" w:rsidP="00693979">
      <w:pPr>
        <w:rPr>
          <w:rFonts w:cstheme="minorHAnsi"/>
        </w:rPr>
      </w:pPr>
      <w:r w:rsidRPr="0022452C">
        <w:rPr>
          <w:rFonts w:cstheme="minorHAnsi"/>
        </w:rPr>
        <w:t>Historic synagogues receive no Government support for their upkeep (aside from the now reduced LPWGS) and are reliant on grants from the National Lottery Heritage fund, philanthropic individuals and organisations where these funds can be secured.  This is an impossible situation. Some have been sold or converted for other use, sometimes in part or entirely as heritage centres. Security concerns, particularly now with the rise in antisemitism, preclude an ‘open door’ policy for functioning synagogues though many are delighted to welcome school and other groups to visit by prior arrangement.</w:t>
      </w:r>
    </w:p>
    <w:p w:rsidR="00693979" w:rsidRPr="0022452C" w:rsidP="00693979">
      <w:pPr>
        <w:rPr>
          <w:rFonts w:cstheme="minorHAnsi"/>
        </w:rPr>
      </w:pPr>
      <w:r w:rsidRPr="0022452C">
        <w:rPr>
          <w:rFonts w:cstheme="minorHAnsi"/>
        </w:rPr>
        <w:t> We are very concerned by the recent renewal of the LPWGS with a lower total “pot” and a £25,000 cap. The LPWGS is essential to support ongoing maintenance and restoration work in many of our historic synagogues.</w:t>
      </w:r>
    </w:p>
    <w:p w:rsidR="00693979" w:rsidRPr="0022452C" w:rsidP="00693979">
      <w:pPr>
        <w:rPr>
          <w:rFonts w:cstheme="minorHAnsi"/>
        </w:rPr>
      </w:pPr>
      <w:r w:rsidRPr="0022452C">
        <w:rPr>
          <w:rFonts w:cstheme="minorHAnsi"/>
        </w:rPr>
        <w:t> The recent restoration of Bevis Marks, the oldest synagogue in the UK, would not have been possible without LPWGS support. Six other synagogues received LPWGS funding in 2022/23.</w:t>
      </w:r>
    </w:p>
    <w:p w:rsidR="00693979" w:rsidRPr="0022452C" w:rsidP="00693979">
      <w:pPr>
        <w:rPr>
          <w:rFonts w:cstheme="minorHAnsi"/>
        </w:rPr>
      </w:pPr>
      <w:r w:rsidRPr="0022452C">
        <w:rPr>
          <w:rFonts w:cstheme="minorHAnsi"/>
        </w:rPr>
        <w:t xml:space="preserve"> We are aware of at least five listed synagogues contemplating or </w:t>
      </w:r>
      <w:r w:rsidRPr="0022452C">
        <w:rPr>
          <w:rFonts w:cstheme="minorHAnsi"/>
        </w:rPr>
        <w:t>newly-committed</w:t>
      </w:r>
      <w:r w:rsidRPr="0022452C">
        <w:rPr>
          <w:rFonts w:cstheme="minorHAnsi"/>
        </w:rPr>
        <w:t xml:space="preserve"> to major projects, which have been thrown into jeopardy by the new limits and longer-term uncertainty around the LPWGS.</w:t>
      </w:r>
    </w:p>
    <w:p w:rsidR="00693979" w:rsidRPr="0022452C" w:rsidP="00693979">
      <w:pPr>
        <w:rPr>
          <w:rFonts w:cstheme="minorHAnsi"/>
        </w:rPr>
      </w:pPr>
      <w:r w:rsidRPr="0022452C">
        <w:rPr>
          <w:rFonts w:cstheme="minorHAnsi"/>
        </w:rPr>
        <w:t xml:space="preserve"> Alongside similar work carried out by colleagues and partners of other faiths, these projects support specialised and </w:t>
      </w:r>
      <w:r w:rsidRPr="0022452C">
        <w:rPr>
          <w:rFonts w:cstheme="minorHAnsi"/>
        </w:rPr>
        <w:t>highly-skilled</w:t>
      </w:r>
      <w:r w:rsidRPr="0022452C">
        <w:rPr>
          <w:rFonts w:cstheme="minorHAnsi"/>
        </w:rPr>
        <w:t xml:space="preserve"> British jobs whose expertise is sought across the world.</w:t>
      </w:r>
    </w:p>
    <w:p w:rsidR="00693979" w:rsidRPr="0022452C" w:rsidP="00693979">
      <w:pPr>
        <w:rPr>
          <w:rFonts w:cstheme="minorHAnsi"/>
        </w:rPr>
      </w:pPr>
      <w:r w:rsidRPr="0022452C">
        <w:rPr>
          <w:rFonts w:cstheme="minorHAnsi"/>
        </w:rPr>
        <w:t> When added to the recent increases in Employers NI and minimum wage, and wider economic pressures, it is likely that these projects will all be delayed, and potentially abandoned entirely, with significant knock-on economic impacts to the industries they support. </w:t>
      </w:r>
    </w:p>
    <w:p w:rsidR="00693979" w:rsidRPr="0022452C" w:rsidP="00693979">
      <w:pPr>
        <w:rPr>
          <w:rFonts w:cstheme="minorHAnsi"/>
        </w:rPr>
      </w:pPr>
      <w:r w:rsidRPr="0022452C">
        <w:rPr>
          <w:rFonts w:cstheme="minorHAnsi"/>
        </w:rPr>
        <w:t> We therefore urge that the LPWGS is renewed at the pre-2025 level of c.£42m (which we understand comprises both a DCMS budget allocation and a Treasury “top up”), and the cap on individual applications is removed.</w:t>
      </w:r>
    </w:p>
    <w:p w:rsidR="00693979" w:rsidRPr="0022452C" w:rsidP="00693979">
      <w:pPr>
        <w:rPr>
          <w:rFonts w:cstheme="minorHAnsi"/>
          <w:b/>
          <w:bCs/>
        </w:rPr>
      </w:pPr>
      <w:r w:rsidRPr="0022452C">
        <w:rPr>
          <w:rFonts w:cstheme="minorHAnsi"/>
          <w:b/>
          <w:bCs/>
        </w:rPr>
        <w:t>Recommendations</w:t>
      </w:r>
    </w:p>
    <w:p w:rsidR="00693979" w:rsidRPr="0022452C" w:rsidP="00693979">
      <w:pPr>
        <w:rPr>
          <w:rFonts w:cstheme="minorHAnsi"/>
          <w:b/>
          <w:bCs/>
        </w:rPr>
      </w:pPr>
      <w:r w:rsidRPr="0022452C">
        <w:rPr>
          <w:rFonts w:cstheme="minorHAnsi"/>
        </w:rPr>
        <w:t>Along with others concerned for the future of religious heritage, our key recommendations to the Committee are:</w:t>
      </w:r>
    </w:p>
    <w:p w:rsidR="00693979" w:rsidRPr="0022452C" w:rsidP="00693979">
      <w:pPr>
        <w:rPr>
          <w:rFonts w:cstheme="minorHAnsi"/>
        </w:rPr>
      </w:pPr>
      <w:r w:rsidRPr="0022452C">
        <w:rPr>
          <w:rFonts w:cstheme="minorHAnsi"/>
        </w:rPr>
        <w:t>•</w:t>
      </w:r>
      <w:r w:rsidRPr="0022452C">
        <w:rPr>
          <w:rFonts w:cstheme="minorHAnsi"/>
        </w:rPr>
        <w:tab/>
        <w:t>Government should recognise its leadership role. It should work cross-party, with the principal denominations, Christian and others, and with civil society to develop a plan of action for the future of historic places of worship.</w:t>
      </w:r>
    </w:p>
    <w:p w:rsidR="00693979" w:rsidRPr="0022452C" w:rsidP="00693979">
      <w:pPr>
        <w:rPr>
          <w:rFonts w:cstheme="minorHAnsi"/>
        </w:rPr>
      </w:pPr>
      <w:r w:rsidRPr="0022452C">
        <w:rPr>
          <w:rFonts w:cstheme="minorHAnsi"/>
        </w:rPr>
        <w:t>•</w:t>
      </w:r>
      <w:r w:rsidRPr="0022452C">
        <w:rPr>
          <w:rFonts w:cstheme="minorHAnsi"/>
        </w:rPr>
        <w:tab/>
        <w:t>Until progress can be made toward a zero VAT regime for repair and maintenance of listed properties, the Listed Places of Worship Grant Scheme should be made permanent, and return to being fully funded without a cap.</w:t>
      </w:r>
    </w:p>
    <w:p w:rsidR="00693979" w:rsidRPr="0022452C" w:rsidP="00693979">
      <w:pPr>
        <w:rPr>
          <w:rFonts w:cstheme="minorHAnsi"/>
        </w:rPr>
      </w:pPr>
      <w:r w:rsidRPr="0022452C">
        <w:rPr>
          <w:rFonts w:cstheme="minorHAnsi"/>
        </w:rPr>
        <w:t>•</w:t>
      </w:r>
      <w:r w:rsidRPr="0022452C">
        <w:rPr>
          <w:rFonts w:cstheme="minorHAnsi"/>
        </w:rPr>
        <w:tab/>
        <w:t xml:space="preserve">We propose a new capital funding scheme for listed buildings of all faiths and denominations, establishing a recurring fund of at least £50 million per year, with proportionate funding provided for the devolved administrations. </w:t>
      </w:r>
      <w:r w:rsidRPr="0022452C">
        <w:rPr>
          <w:rFonts w:cstheme="minorHAnsi"/>
        </w:rPr>
        <w:t>The majority of</w:t>
      </w:r>
      <w:r w:rsidRPr="0022452C">
        <w:rPr>
          <w:rFonts w:cstheme="minorHAnsi"/>
        </w:rPr>
        <w:t xml:space="preserve"> the cost should be covered by the taxpayer and should be administered in collaboration with relevant organisations in the faith buildings and heritage sector.</w:t>
      </w:r>
    </w:p>
    <w:p w:rsidR="00693979" w:rsidRPr="0022452C" w:rsidP="00693979">
      <w:pPr>
        <w:rPr>
          <w:rFonts w:cstheme="minorHAnsi"/>
        </w:rPr>
      </w:pPr>
    </w:p>
    <w:p w:rsidR="0064167E" w:rsidRPr="0022452C" w:rsidP="007F2DDE">
      <w:pPr>
        <w:pStyle w:val="Title"/>
        <w:spacing w:after="0"/>
        <w:contextualSpacing w:val="0"/>
        <w:rPr>
          <w:rFonts w:asciiTheme="minorHAnsi" w:hAnsiTheme="minorHAnsi" w:cstheme="minorHAnsi"/>
          <w:bCs/>
          <w:i/>
          <w:iCs/>
          <w:color w:val="auto"/>
          <w:sz w:val="22"/>
          <w:szCs w:val="22"/>
        </w:rPr>
      </w:pPr>
      <w:r w:rsidRPr="0022452C">
        <w:rPr>
          <w:rFonts w:asciiTheme="minorHAnsi" w:hAnsiTheme="minorHAnsi" w:cstheme="minorHAnsi"/>
          <w:bCs/>
          <w:i/>
          <w:iCs/>
          <w:color w:val="auto"/>
          <w:sz w:val="22"/>
          <w:szCs w:val="22"/>
        </w:rPr>
        <w:t>February 2025</w:t>
      </w:r>
    </w:p>
    <w:sectPr w:rsidSect="00E243C8">
      <w:headerReference w:type="default" r:id="rId7"/>
      <w:footerReference w:type="default" r:id="rId8"/>
      <w:pgSz w:w="11906" w:h="16838"/>
      <w:pgMar w:top="1440" w:right="1440" w:bottom="1440" w:left="1440" w:header="709" w:footer="482"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Roboto">
    <w:charset w:val="00"/>
    <w:family w:val="auto"/>
    <w:pitch w:val="variable"/>
    <w:sig w:usb0="E0000AFF" w:usb1="5000217F" w:usb2="00000021" w:usb3="00000000" w:csb0="0000019F" w:csb1="00000000"/>
  </w:font>
  <w:font w:name="Times New Roman (Headings CS)">
    <w:altName w:val="Times New Roman"/>
    <w:panose1 w:val="00000000000000000000"/>
    <w:charset w:val="00"/>
    <w:family w:val="roman"/>
    <w:notTrueType/>
    <w:pitch w:val="default"/>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2370">
    <w:r w:rsidRPr="007F2DDE">
      <w:rPr>
        <w:rFonts w:ascii="Arial" w:hAnsi="Arial" w:cs="Arial"/>
        <w:b/>
        <w:noProof/>
        <w:sz w:val="24"/>
        <w:szCs w:val="24"/>
      </w:rPr>
      <mc:AlternateContent>
        <mc:Choice Requires="wps">
          <w:drawing>
            <wp:anchor distT="0" distB="0" distL="114300" distR="114300" simplePos="0" relativeHeight="251658240" behindDoc="0" locked="0" layoutInCell="1" allowOverlap="1">
              <wp:simplePos x="0" y="0"/>
              <wp:positionH relativeFrom="column">
                <wp:posOffset>-92710</wp:posOffset>
              </wp:positionH>
              <wp:positionV relativeFrom="paragraph">
                <wp:posOffset>208915</wp:posOffset>
              </wp:positionV>
              <wp:extent cx="5823560" cy="0"/>
              <wp:effectExtent l="0" t="0" r="6350" b="12700"/>
              <wp:wrapNone/>
              <wp:docPr id="908804902" name="Straight Connector 908804902"/>
              <wp:cNvGraphicFramePr/>
              <a:graphic xmlns:a="http://schemas.openxmlformats.org/drawingml/2006/main">
                <a:graphicData uri="http://schemas.microsoft.com/office/word/2010/wordprocessingShape">
                  <wps:wsp xmlns:wps="http://schemas.microsoft.com/office/word/2010/wordprocessingShape">
                    <wps:cNvCnPr/>
                    <wps:spPr>
                      <a:xfrm>
                        <a:off x="0" y="0"/>
                        <a:ext cx="5823560"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908804902" o:spid="_x0000_s2049" style="mso-wrap-distance-bottom:0;mso-wrap-distance-left:9pt;mso-wrap-distance-right:9pt;mso-wrap-distance-top:0;mso-wrap-style:square;position:absolute;visibility:visible;z-index:251659264" from="-7.3pt,16.45pt" to="451.25pt,16.45pt" strokecolor="#4472c4">
              <v:stroke joinstyle="miter"/>
            </v:line>
          </w:pict>
        </mc:Fallback>
      </mc:AlternateContent>
    </w:r>
  </w:p>
  <w:p w:rsidR="00FB31C8" w:rsidP="00C51900">
    <w:pPr>
      <w:pStyle w:val="Footer"/>
      <w:ind w:left="-142"/>
      <w:rPr>
        <w:i/>
        <w:iCs/>
        <w:color w:val="00195C"/>
        <w:spacing w:val="2"/>
        <w:sz w:val="16"/>
        <w:szCs w:val="16"/>
      </w:rPr>
    </w:pPr>
  </w:p>
  <w:p w:rsidR="00FB31C8" w:rsidP="00C51900">
    <w:pPr>
      <w:pStyle w:val="Footer"/>
      <w:ind w:left="-142"/>
      <w:rPr>
        <w:i/>
        <w:iCs/>
        <w:color w:val="00195C"/>
        <w:spacing w:val="2"/>
        <w:sz w:val="16"/>
        <w:szCs w:val="16"/>
      </w:rPr>
    </w:pPr>
  </w:p>
  <w:p w:rsidR="00FB31C8" w:rsidRPr="00C51900" w:rsidP="00C51900">
    <w:pPr>
      <w:pStyle w:val="Footer"/>
      <w:ind w:left="-142"/>
      <w:rPr>
        <w:i/>
        <w:iCs/>
        <w:color w:val="00195C"/>
        <w:spacing w:val="2"/>
        <w:sz w:val="16"/>
        <w:szCs w:val="16"/>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72DF" w:rsidP="0022452C">
    <w:pPr>
      <w:pStyle w:val="Header"/>
    </w:pPr>
    <w:r>
      <w:rPr>
        <w:rFonts w:ascii="Calibri" w:hAnsi="Calibri" w:cs="Calibri"/>
        <w:color w:val="000000"/>
        <w:shd w:val="clear" w:color="auto" w:fill="FFFFFF"/>
      </w:rPr>
      <w:b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8CE80D92"/>
    <w:multiLevelType w:val="hybridMultilevel"/>
    <w:tmpl w:val="0F368915"/>
    <w:lvl w:ilvl="0">
      <w:start w:val="1"/>
      <w:numFmt w:val="bullet"/>
      <w:lvlText w:val="•"/>
      <w:lvlJc w:val="left"/>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1">
    <w:nsid w:val="94B9951F"/>
    <w:multiLevelType w:val="hybridMultilevel"/>
    <w:tmpl w:val="6FAFFFC7"/>
    <w:lvl w:ilvl="0">
      <w:start w:val="1"/>
      <w:numFmt w:val="bullet"/>
      <w:lvlText w:val="•"/>
      <w:lvlJc w:val="left"/>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2">
    <w:nsid w:val="B698AA7D"/>
    <w:multiLevelType w:val="hybridMultilevel"/>
    <w:tmpl w:val="07C5B802"/>
    <w:lvl w:ilvl="0">
      <w:start w:val="1"/>
      <w:numFmt w:val="bullet"/>
      <w:lvlText w:val="•"/>
      <w:lvlJc w:val="left"/>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3">
    <w:nsid w:val="CC7B3577"/>
    <w:multiLevelType w:val="hybridMultilevel"/>
    <w:tmpl w:val="A6294A71"/>
    <w:lvl w:ilvl="0">
      <w:start w:val="1"/>
      <w:numFmt w:val="bullet"/>
      <w:lvlText w:val="•"/>
      <w:lvlJc w:val="left"/>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4">
    <w:nsid w:val="0526807A"/>
    <w:multiLevelType w:val="hybridMultilevel"/>
    <w:tmpl w:val="1D2C5EE0"/>
    <w:lvl w:ilvl="0">
      <w:start w:val="1"/>
      <w:numFmt w:val="bullet"/>
      <w:lvlText w:val="•"/>
      <w:lvlJc w:val="left"/>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5">
    <w:nsid w:val="08265202"/>
    <w:multiLevelType w:val="hybridMultilevel"/>
    <w:tmpl w:val="B1E2ADB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6">
    <w:nsid w:val="093F55BB"/>
    <w:multiLevelType w:val="hybridMultilevel"/>
    <w:tmpl w:val="485EAFEC"/>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7">
    <w:nsid w:val="09663CA6"/>
    <w:multiLevelType w:val="hybridMultilevel"/>
    <w:tmpl w:val="00340C4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8">
    <w:nsid w:val="0C57297B"/>
    <w:multiLevelType w:val="hybridMultilevel"/>
    <w:tmpl w:val="0BCE2C5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9">
    <w:nsid w:val="16C65B5F"/>
    <w:multiLevelType w:val="hybridMultilevel"/>
    <w:tmpl w:val="120EE53C"/>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0">
    <w:nsid w:val="1BCC0A38"/>
    <w:multiLevelType w:val="hybridMultilevel"/>
    <w:tmpl w:val="796C8C5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nsid w:val="1FDC6709"/>
    <w:multiLevelType w:val="hybridMultilevel"/>
    <w:tmpl w:val="44DE720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nsid w:val="2F46ADD3"/>
    <w:multiLevelType w:val="hybridMultilevel"/>
    <w:tmpl w:val="66A58774"/>
    <w:lvl w:ilvl="0">
      <w:start w:val="1"/>
      <w:numFmt w:val="bullet"/>
      <w:lvlText w:val="•"/>
      <w:lvlJc w:val="left"/>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13">
    <w:nsid w:val="3334183E"/>
    <w:multiLevelType w:val="multilevel"/>
    <w:tmpl w:val="D6CAB79E"/>
    <w:lvl w:ilvl="0">
      <w:start w:val="1"/>
      <w:numFmt w:val="decimal"/>
      <w:lvlText w:val="%1."/>
      <w:lvlJc w:val="left"/>
      <w:pPr>
        <w:ind w:left="410" w:hanging="360"/>
      </w:pPr>
    </w:lvl>
    <w:lvl w:ilvl="1">
      <w:start w:val="1"/>
      <w:numFmt w:val="decimal"/>
      <w:isLgl/>
      <w:lvlText w:val="%1.%2"/>
      <w:lvlJc w:val="left"/>
      <w:pPr>
        <w:ind w:left="410" w:hanging="360"/>
      </w:pPr>
      <w:rPr>
        <w:rFonts w:hint="default"/>
      </w:rPr>
    </w:lvl>
    <w:lvl w:ilvl="2">
      <w:start w:val="1"/>
      <w:numFmt w:val="decimal"/>
      <w:isLgl/>
      <w:lvlText w:val="%1.%2.%3"/>
      <w:lvlJc w:val="left"/>
      <w:pPr>
        <w:ind w:left="770" w:hanging="720"/>
      </w:pPr>
      <w:rPr>
        <w:rFonts w:hint="default"/>
      </w:rPr>
    </w:lvl>
    <w:lvl w:ilvl="3">
      <w:start w:val="1"/>
      <w:numFmt w:val="decimal"/>
      <w:isLgl/>
      <w:lvlText w:val="%1.%2.%3.%4"/>
      <w:lvlJc w:val="left"/>
      <w:pPr>
        <w:ind w:left="770" w:hanging="720"/>
      </w:pPr>
      <w:rPr>
        <w:rFonts w:hint="default"/>
      </w:rPr>
    </w:lvl>
    <w:lvl w:ilvl="4">
      <w:start w:val="1"/>
      <w:numFmt w:val="decimal"/>
      <w:isLgl/>
      <w:lvlText w:val="%1.%2.%3.%4.%5"/>
      <w:lvlJc w:val="left"/>
      <w:pPr>
        <w:ind w:left="1130" w:hanging="1080"/>
      </w:pPr>
      <w:rPr>
        <w:rFonts w:hint="default"/>
      </w:rPr>
    </w:lvl>
    <w:lvl w:ilvl="5">
      <w:start w:val="1"/>
      <w:numFmt w:val="decimal"/>
      <w:isLgl/>
      <w:lvlText w:val="%1.%2.%3.%4.%5.%6"/>
      <w:lvlJc w:val="left"/>
      <w:pPr>
        <w:ind w:left="1130" w:hanging="1080"/>
      </w:pPr>
      <w:rPr>
        <w:rFonts w:hint="default"/>
      </w:rPr>
    </w:lvl>
    <w:lvl w:ilvl="6">
      <w:start w:val="1"/>
      <w:numFmt w:val="decimal"/>
      <w:isLgl/>
      <w:lvlText w:val="%1.%2.%3.%4.%5.%6.%7"/>
      <w:lvlJc w:val="left"/>
      <w:pPr>
        <w:ind w:left="1490" w:hanging="1440"/>
      </w:pPr>
      <w:rPr>
        <w:rFonts w:hint="default"/>
      </w:rPr>
    </w:lvl>
    <w:lvl w:ilvl="7">
      <w:start w:val="1"/>
      <w:numFmt w:val="decimal"/>
      <w:isLgl/>
      <w:lvlText w:val="%1.%2.%3.%4.%5.%6.%7.%8"/>
      <w:lvlJc w:val="left"/>
      <w:pPr>
        <w:ind w:left="1490" w:hanging="1440"/>
      </w:pPr>
      <w:rPr>
        <w:rFonts w:hint="default"/>
      </w:rPr>
    </w:lvl>
    <w:lvl w:ilvl="8">
      <w:start w:val="1"/>
      <w:numFmt w:val="decimal"/>
      <w:isLgl/>
      <w:lvlText w:val="%1.%2.%3.%4.%5.%6.%7.%8.%9"/>
      <w:lvlJc w:val="left"/>
      <w:pPr>
        <w:ind w:left="1850" w:hanging="1800"/>
      </w:pPr>
      <w:rPr>
        <w:rFonts w:hint="default"/>
      </w:rPr>
    </w:lvl>
  </w:abstractNum>
  <w:abstractNum w:abstractNumId="14">
    <w:nsid w:val="342A71AA"/>
    <w:multiLevelType w:val="hybridMultilevel"/>
    <w:tmpl w:val="C7244FC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5">
    <w:nsid w:val="4267DC5C"/>
    <w:multiLevelType w:val="hybridMultilevel"/>
    <w:tmpl w:val="77B4EC3D"/>
    <w:lvl w:ilvl="0">
      <w:start w:val="1"/>
      <w:numFmt w:val="bullet"/>
      <w:lvlText w:val="•"/>
      <w:lvlJc w:val="left"/>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16">
    <w:nsid w:val="42D5291D"/>
    <w:multiLevelType w:val="hybridMultilevel"/>
    <w:tmpl w:val="343AE4FC"/>
    <w:lvl w:ilvl="0">
      <w:start w:val="1"/>
      <w:numFmt w:val="bullet"/>
      <w:lvlText w:val=""/>
      <w:lvlJc w:val="left"/>
      <w:pPr>
        <w:ind w:left="720" w:hanging="360"/>
      </w:pPr>
      <w:rPr>
        <w:rFonts w:ascii="Symbol" w:hAnsi="Symbol" w:hint="default"/>
      </w:rPr>
    </w:lvl>
    <w:lvl w:ilvl="1">
      <w:start w:val="0"/>
      <w:numFmt w:val="bullet"/>
      <w:lvlText w:val="•"/>
      <w:lvlJc w:val="left"/>
      <w:pPr>
        <w:ind w:left="1440" w:hanging="360"/>
      </w:pPr>
      <w:rPr>
        <w:rFonts w:ascii="Arial" w:eastAsia="Times New Roman" w:hAnsi="Arial" w:cs="Arial"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nsid w:val="4CE37852"/>
    <w:multiLevelType w:val="hybridMultilevel"/>
    <w:tmpl w:val="6860C322"/>
    <w:lvl w:ilvl="0">
      <w:start w:val="1"/>
      <w:numFmt w:val="bullet"/>
      <w:lvlText w:val=""/>
      <w:lvlJc w:val="left"/>
      <w:pPr>
        <w:ind w:left="780" w:hanging="360"/>
      </w:pPr>
      <w:rPr>
        <w:rFonts w:ascii="Symbol" w:hAnsi="Symbol" w:hint="default"/>
      </w:rPr>
    </w:lvl>
    <w:lvl w:ilvl="1" w:tentative="1">
      <w:start w:val="1"/>
      <w:numFmt w:val="bullet"/>
      <w:lvlText w:val="o"/>
      <w:lvlJc w:val="left"/>
      <w:pPr>
        <w:ind w:left="1500" w:hanging="360"/>
      </w:pPr>
      <w:rPr>
        <w:rFonts w:ascii="Courier New" w:hAnsi="Courier New" w:cs="Courier New" w:hint="default"/>
      </w:rPr>
    </w:lvl>
    <w:lvl w:ilvl="2" w:tentative="1">
      <w:start w:val="1"/>
      <w:numFmt w:val="bullet"/>
      <w:lvlText w:val=""/>
      <w:lvlJc w:val="left"/>
      <w:pPr>
        <w:ind w:left="2220" w:hanging="360"/>
      </w:pPr>
      <w:rPr>
        <w:rFonts w:ascii="Wingdings" w:hAnsi="Wingdings" w:hint="default"/>
      </w:rPr>
    </w:lvl>
    <w:lvl w:ilvl="3" w:tentative="1">
      <w:start w:val="1"/>
      <w:numFmt w:val="bullet"/>
      <w:lvlText w:val=""/>
      <w:lvlJc w:val="left"/>
      <w:pPr>
        <w:ind w:left="2940" w:hanging="360"/>
      </w:pPr>
      <w:rPr>
        <w:rFonts w:ascii="Symbol" w:hAnsi="Symbol" w:hint="default"/>
      </w:rPr>
    </w:lvl>
    <w:lvl w:ilvl="4" w:tentative="1">
      <w:start w:val="1"/>
      <w:numFmt w:val="bullet"/>
      <w:lvlText w:val="o"/>
      <w:lvlJc w:val="left"/>
      <w:pPr>
        <w:ind w:left="3660" w:hanging="360"/>
      </w:pPr>
      <w:rPr>
        <w:rFonts w:ascii="Courier New" w:hAnsi="Courier New" w:cs="Courier New" w:hint="default"/>
      </w:rPr>
    </w:lvl>
    <w:lvl w:ilvl="5" w:tentative="1">
      <w:start w:val="1"/>
      <w:numFmt w:val="bullet"/>
      <w:lvlText w:val=""/>
      <w:lvlJc w:val="left"/>
      <w:pPr>
        <w:ind w:left="4380" w:hanging="360"/>
      </w:pPr>
      <w:rPr>
        <w:rFonts w:ascii="Wingdings" w:hAnsi="Wingdings" w:hint="default"/>
      </w:rPr>
    </w:lvl>
    <w:lvl w:ilvl="6" w:tentative="1">
      <w:start w:val="1"/>
      <w:numFmt w:val="bullet"/>
      <w:lvlText w:val=""/>
      <w:lvlJc w:val="left"/>
      <w:pPr>
        <w:ind w:left="5100" w:hanging="360"/>
      </w:pPr>
      <w:rPr>
        <w:rFonts w:ascii="Symbol" w:hAnsi="Symbol" w:hint="default"/>
      </w:rPr>
    </w:lvl>
    <w:lvl w:ilvl="7" w:tentative="1">
      <w:start w:val="1"/>
      <w:numFmt w:val="bullet"/>
      <w:lvlText w:val="o"/>
      <w:lvlJc w:val="left"/>
      <w:pPr>
        <w:ind w:left="5820" w:hanging="360"/>
      </w:pPr>
      <w:rPr>
        <w:rFonts w:ascii="Courier New" w:hAnsi="Courier New" w:cs="Courier New" w:hint="default"/>
      </w:rPr>
    </w:lvl>
    <w:lvl w:ilvl="8" w:tentative="1">
      <w:start w:val="1"/>
      <w:numFmt w:val="bullet"/>
      <w:lvlText w:val=""/>
      <w:lvlJc w:val="left"/>
      <w:pPr>
        <w:ind w:left="6540" w:hanging="360"/>
      </w:pPr>
      <w:rPr>
        <w:rFonts w:ascii="Wingdings" w:hAnsi="Wingdings" w:hint="default"/>
      </w:rPr>
    </w:lvl>
  </w:abstractNum>
  <w:abstractNum w:abstractNumId="18">
    <w:nsid w:val="4E949488"/>
    <w:multiLevelType w:val="hybridMultilevel"/>
    <w:tmpl w:val="295CBDD3"/>
    <w:lvl w:ilvl="0">
      <w:start w:val="1"/>
      <w:numFmt w:val="bullet"/>
      <w:lvlText w:val="•"/>
      <w:lvlJc w:val="left"/>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19">
    <w:nsid w:val="556BF721"/>
    <w:multiLevelType w:val="hybridMultilevel"/>
    <w:tmpl w:val="7954760B"/>
    <w:lvl w:ilvl="0">
      <w:start w:val="1"/>
      <w:numFmt w:val="lowerLetter"/>
      <w:lvlJc w:val="left"/>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20">
    <w:nsid w:val="591AB0B6"/>
    <w:multiLevelType w:val="hybridMultilevel"/>
    <w:tmpl w:val="25F22532"/>
    <w:lvl w:ilvl="0">
      <w:start w:val="1"/>
      <w:numFmt w:val="bullet"/>
      <w:lvlText w:val="•"/>
      <w:lvlJc w:val="left"/>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21">
    <w:nsid w:val="5B8B279C"/>
    <w:multiLevelType w:val="hybridMultilevel"/>
    <w:tmpl w:val="80B4F63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2">
    <w:nsid w:val="6ED64BC0"/>
    <w:multiLevelType w:val="hybridMultilevel"/>
    <w:tmpl w:val="701A1548"/>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3">
    <w:nsid w:val="72336A02"/>
    <w:multiLevelType w:val="hybridMultilevel"/>
    <w:tmpl w:val="28B8815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4">
    <w:nsid w:val="77D02BCD"/>
    <w:multiLevelType w:val="hybridMultilevel"/>
    <w:tmpl w:val="37F4DE6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5">
    <w:nsid w:val="7C786B8D"/>
    <w:multiLevelType w:val="hybridMultilevel"/>
    <w:tmpl w:val="A8E85D9E"/>
    <w:lvl w:ilvl="0">
      <w:start w:val="1"/>
      <w:numFmt w:val="bullet"/>
      <w:lvlText w:val=""/>
      <w:lvlJc w:val="left"/>
      <w:pPr>
        <w:ind w:left="780" w:hanging="360"/>
      </w:pPr>
      <w:rPr>
        <w:rFonts w:ascii="Symbol" w:hAnsi="Symbol" w:hint="default"/>
      </w:rPr>
    </w:lvl>
    <w:lvl w:ilvl="1" w:tentative="1">
      <w:start w:val="1"/>
      <w:numFmt w:val="bullet"/>
      <w:lvlText w:val="o"/>
      <w:lvlJc w:val="left"/>
      <w:pPr>
        <w:ind w:left="1500" w:hanging="360"/>
      </w:pPr>
      <w:rPr>
        <w:rFonts w:ascii="Courier New" w:hAnsi="Courier New" w:cs="Courier New" w:hint="default"/>
      </w:rPr>
    </w:lvl>
    <w:lvl w:ilvl="2" w:tentative="1">
      <w:start w:val="1"/>
      <w:numFmt w:val="bullet"/>
      <w:lvlText w:val=""/>
      <w:lvlJc w:val="left"/>
      <w:pPr>
        <w:ind w:left="2220" w:hanging="360"/>
      </w:pPr>
      <w:rPr>
        <w:rFonts w:ascii="Wingdings" w:hAnsi="Wingdings" w:hint="default"/>
      </w:rPr>
    </w:lvl>
    <w:lvl w:ilvl="3" w:tentative="1">
      <w:start w:val="1"/>
      <w:numFmt w:val="bullet"/>
      <w:lvlText w:val=""/>
      <w:lvlJc w:val="left"/>
      <w:pPr>
        <w:ind w:left="2940" w:hanging="360"/>
      </w:pPr>
      <w:rPr>
        <w:rFonts w:ascii="Symbol" w:hAnsi="Symbol" w:hint="default"/>
      </w:rPr>
    </w:lvl>
    <w:lvl w:ilvl="4" w:tentative="1">
      <w:start w:val="1"/>
      <w:numFmt w:val="bullet"/>
      <w:lvlText w:val="o"/>
      <w:lvlJc w:val="left"/>
      <w:pPr>
        <w:ind w:left="3660" w:hanging="360"/>
      </w:pPr>
      <w:rPr>
        <w:rFonts w:ascii="Courier New" w:hAnsi="Courier New" w:cs="Courier New" w:hint="default"/>
      </w:rPr>
    </w:lvl>
    <w:lvl w:ilvl="5" w:tentative="1">
      <w:start w:val="1"/>
      <w:numFmt w:val="bullet"/>
      <w:lvlText w:val=""/>
      <w:lvlJc w:val="left"/>
      <w:pPr>
        <w:ind w:left="4380" w:hanging="360"/>
      </w:pPr>
      <w:rPr>
        <w:rFonts w:ascii="Wingdings" w:hAnsi="Wingdings" w:hint="default"/>
      </w:rPr>
    </w:lvl>
    <w:lvl w:ilvl="6" w:tentative="1">
      <w:start w:val="1"/>
      <w:numFmt w:val="bullet"/>
      <w:lvlText w:val=""/>
      <w:lvlJc w:val="left"/>
      <w:pPr>
        <w:ind w:left="5100" w:hanging="360"/>
      </w:pPr>
      <w:rPr>
        <w:rFonts w:ascii="Symbol" w:hAnsi="Symbol" w:hint="default"/>
      </w:rPr>
    </w:lvl>
    <w:lvl w:ilvl="7" w:tentative="1">
      <w:start w:val="1"/>
      <w:numFmt w:val="bullet"/>
      <w:lvlText w:val="o"/>
      <w:lvlJc w:val="left"/>
      <w:pPr>
        <w:ind w:left="5820" w:hanging="360"/>
      </w:pPr>
      <w:rPr>
        <w:rFonts w:ascii="Courier New" w:hAnsi="Courier New" w:cs="Courier New" w:hint="default"/>
      </w:rPr>
    </w:lvl>
    <w:lvl w:ilvl="8" w:tentative="1">
      <w:start w:val="1"/>
      <w:numFmt w:val="bullet"/>
      <w:lvlText w:val=""/>
      <w:lvlJc w:val="left"/>
      <w:pPr>
        <w:ind w:left="6540" w:hanging="360"/>
      </w:pPr>
      <w:rPr>
        <w:rFonts w:ascii="Wingdings" w:hAnsi="Wingdings" w:hint="default"/>
      </w:rPr>
    </w:lvl>
  </w:abstractNum>
  <w:abstractNum w:abstractNumId="26">
    <w:nsid w:val="7EE300C0"/>
    <w:multiLevelType w:val="hybridMultilevel"/>
    <w:tmpl w:val="0E1882B7"/>
    <w:lvl w:ilvl="0">
      <w:start w:val="1"/>
      <w:numFmt w:val="bullet"/>
      <w:lvlText w:val="•"/>
      <w:lvlJc w:val="left"/>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num w:numId="1">
    <w:abstractNumId w:val="19"/>
  </w:num>
  <w:num w:numId="2">
    <w:abstractNumId w:val="15"/>
  </w:num>
  <w:num w:numId="3">
    <w:abstractNumId w:val="1"/>
  </w:num>
  <w:num w:numId="4">
    <w:abstractNumId w:val="26"/>
  </w:num>
  <w:num w:numId="5">
    <w:abstractNumId w:val="0"/>
  </w:num>
  <w:num w:numId="6">
    <w:abstractNumId w:val="18"/>
  </w:num>
  <w:num w:numId="7">
    <w:abstractNumId w:val="4"/>
  </w:num>
  <w:num w:numId="8">
    <w:abstractNumId w:val="2"/>
  </w:num>
  <w:num w:numId="9">
    <w:abstractNumId w:val="20"/>
  </w:num>
  <w:num w:numId="10">
    <w:abstractNumId w:val="12"/>
  </w:num>
  <w:num w:numId="11">
    <w:abstractNumId w:val="3"/>
  </w:num>
  <w:num w:numId="12">
    <w:abstractNumId w:val="24"/>
  </w:num>
  <w:num w:numId="13">
    <w:abstractNumId w:val="8"/>
  </w:num>
  <w:num w:numId="14">
    <w:abstractNumId w:val="11"/>
  </w:num>
  <w:num w:numId="15">
    <w:abstractNumId w:val="16"/>
  </w:num>
  <w:num w:numId="16">
    <w:abstractNumId w:val="14"/>
  </w:num>
  <w:num w:numId="17">
    <w:abstractNumId w:val="23"/>
  </w:num>
  <w:num w:numId="18">
    <w:abstractNumId w:val="10"/>
  </w:num>
  <w:num w:numId="19">
    <w:abstractNumId w:val="5"/>
  </w:num>
  <w:num w:numId="20">
    <w:abstractNumId w:val="21"/>
  </w:num>
  <w:num w:numId="21">
    <w:abstractNumId w:val="17"/>
  </w:num>
  <w:num w:numId="22">
    <w:abstractNumId w:val="9"/>
  </w:num>
  <w:num w:numId="23">
    <w:abstractNumId w:val="22"/>
  </w:num>
  <w:num w:numId="24">
    <w:abstractNumId w:val="13"/>
  </w:num>
  <w:num w:numId="25">
    <w:abstractNumId w:val="7"/>
  </w:num>
  <w:num w:numId="26">
    <w:abstractNumId w:val="6"/>
  </w:num>
  <w:num w:numId="27">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eastAsia="ja-JP" w:bidi="he-IL"/>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36"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3B124F"/>
  </w:style>
  <w:style w:type="paragraph" w:styleId="Heading1">
    <w:name w:val="heading 1"/>
    <w:basedOn w:val="Normal"/>
    <w:next w:val="Normal"/>
    <w:link w:val="Heading1Char"/>
    <w:uiPriority w:val="9"/>
    <w:qFormat/>
    <w:rsid w:val="00DB72DF"/>
    <w:pPr>
      <w:keepNext/>
      <w:keepLines/>
      <w:spacing w:after="0" w:line="560" w:lineRule="exact"/>
      <w:outlineLvl w:val="0"/>
    </w:pPr>
    <w:rPr>
      <w:rFonts w:asciiTheme="majorHAnsi" w:eastAsiaTheme="majorEastAsia" w:hAnsiTheme="majorHAnsi" w:cstheme="majorBidi"/>
      <w:b/>
      <w:bCs/>
      <w:caps/>
      <w:color w:val="44546A" w:themeColor="text2"/>
      <w:sz w:val="50"/>
      <w:szCs w:val="28"/>
    </w:rPr>
  </w:style>
  <w:style w:type="paragraph" w:styleId="Heading2">
    <w:name w:val="heading 2"/>
    <w:basedOn w:val="Normal"/>
    <w:next w:val="Normal"/>
    <w:link w:val="Heading2Char"/>
    <w:uiPriority w:val="9"/>
    <w:semiHidden/>
    <w:unhideWhenUsed/>
    <w:qFormat/>
    <w:rsid w:val="009942C9"/>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B72DF"/>
    <w:pPr>
      <w:tabs>
        <w:tab w:val="center" w:pos="4513"/>
        <w:tab w:val="right" w:pos="9026"/>
      </w:tabs>
      <w:spacing w:after="0" w:line="240" w:lineRule="auto"/>
    </w:pPr>
  </w:style>
  <w:style w:type="character" w:customStyle="1" w:styleId="HeaderChar">
    <w:name w:val="Header Char"/>
    <w:basedOn w:val="DefaultParagraphFont"/>
    <w:link w:val="Header"/>
    <w:uiPriority w:val="99"/>
    <w:rsid w:val="00DB72DF"/>
  </w:style>
  <w:style w:type="paragraph" w:styleId="Footer">
    <w:name w:val="footer"/>
    <w:basedOn w:val="Normal"/>
    <w:link w:val="FooterChar"/>
    <w:uiPriority w:val="99"/>
    <w:unhideWhenUsed/>
    <w:rsid w:val="00DB72DF"/>
    <w:pPr>
      <w:tabs>
        <w:tab w:val="center" w:pos="4513"/>
        <w:tab w:val="right" w:pos="9026"/>
      </w:tabs>
      <w:spacing w:after="0" w:line="240" w:lineRule="auto"/>
    </w:pPr>
  </w:style>
  <w:style w:type="character" w:customStyle="1" w:styleId="FooterChar">
    <w:name w:val="Footer Char"/>
    <w:basedOn w:val="DefaultParagraphFont"/>
    <w:link w:val="Footer"/>
    <w:uiPriority w:val="99"/>
    <w:rsid w:val="00DB72DF"/>
  </w:style>
  <w:style w:type="character" w:customStyle="1" w:styleId="Heading1Char">
    <w:name w:val="Heading 1 Char"/>
    <w:basedOn w:val="DefaultParagraphFont"/>
    <w:link w:val="Heading1"/>
    <w:uiPriority w:val="9"/>
    <w:rsid w:val="00DB72DF"/>
    <w:rPr>
      <w:rFonts w:asciiTheme="majorHAnsi" w:eastAsiaTheme="majorEastAsia" w:hAnsiTheme="majorHAnsi" w:cstheme="majorBidi"/>
      <w:b/>
      <w:bCs/>
      <w:caps/>
      <w:color w:val="44546A" w:themeColor="text2"/>
      <w:sz w:val="50"/>
      <w:szCs w:val="28"/>
    </w:rPr>
  </w:style>
  <w:style w:type="paragraph" w:styleId="BalloonText">
    <w:name w:val="Balloon Text"/>
    <w:basedOn w:val="Normal"/>
    <w:link w:val="BalloonTextChar"/>
    <w:uiPriority w:val="99"/>
    <w:semiHidden/>
    <w:unhideWhenUsed/>
    <w:rsid w:val="00DB72D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B72DF"/>
    <w:rPr>
      <w:rFonts w:ascii="Segoe UI" w:hAnsi="Segoe UI" w:cs="Segoe UI"/>
      <w:sz w:val="18"/>
      <w:szCs w:val="18"/>
    </w:rPr>
  </w:style>
  <w:style w:type="paragraph" w:customStyle="1" w:styleId="BoDHeading">
    <w:name w:val="BoD Heading"/>
    <w:basedOn w:val="Normal"/>
    <w:link w:val="BoDHeadingChar"/>
    <w:qFormat/>
    <w:rsid w:val="00892641"/>
    <w:rPr>
      <w:rFonts w:ascii="Arial" w:hAnsi="Arial" w:cs="Arial"/>
      <w:color w:val="0143AD"/>
    </w:rPr>
  </w:style>
  <w:style w:type="character" w:customStyle="1" w:styleId="BoDHeadingChar">
    <w:name w:val="BoD Heading Char"/>
    <w:basedOn w:val="DefaultParagraphFont"/>
    <w:link w:val="BoDHeading"/>
    <w:rsid w:val="00892641"/>
    <w:rPr>
      <w:rFonts w:ascii="Arial" w:hAnsi="Arial" w:cs="Arial"/>
      <w:color w:val="0143AD"/>
    </w:rPr>
  </w:style>
  <w:style w:type="paragraph" w:customStyle="1" w:styleId="BoDFooter">
    <w:name w:val="BoDFooter"/>
    <w:basedOn w:val="Normal"/>
    <w:qFormat/>
    <w:rsid w:val="00A1326A"/>
    <w:pPr>
      <w:tabs>
        <w:tab w:val="left" w:pos="2160"/>
        <w:tab w:val="left" w:pos="4421"/>
        <w:tab w:val="right" w:pos="9746"/>
      </w:tabs>
      <w:spacing w:after="0" w:line="180" w:lineRule="exact"/>
    </w:pPr>
    <w:rPr>
      <w:rFonts w:ascii="Arial" w:eastAsia="Arial" w:hAnsi="Arial" w:cs="Times New Roman"/>
      <w:b/>
      <w:color w:val="00195C"/>
      <w:sz w:val="16"/>
      <w:szCs w:val="16"/>
      <w:lang w:val="es-ES"/>
    </w:rPr>
  </w:style>
  <w:style w:type="paragraph" w:customStyle="1" w:styleId="BoDHeader1">
    <w:name w:val="BoD Header1"/>
    <w:basedOn w:val="Normal"/>
    <w:qFormat/>
    <w:rsid w:val="00A1326A"/>
    <w:pPr>
      <w:spacing w:after="80"/>
    </w:pPr>
    <w:rPr>
      <w:rFonts w:ascii="Roboto" w:hAnsi="Roboto" w:cs="Arial"/>
      <w:b/>
      <w:color w:val="00195C"/>
      <w:sz w:val="50"/>
      <w:szCs w:val="50"/>
    </w:rPr>
  </w:style>
  <w:style w:type="paragraph" w:customStyle="1" w:styleId="BoDHeader2">
    <w:name w:val="BoD Header2"/>
    <w:basedOn w:val="BoDHeader1"/>
    <w:qFormat/>
    <w:rsid w:val="00A1326A"/>
    <w:rPr>
      <w:color w:val="0169F8"/>
      <w:sz w:val="42"/>
      <w:szCs w:val="42"/>
    </w:rPr>
  </w:style>
  <w:style w:type="paragraph" w:customStyle="1" w:styleId="BoDHeader3">
    <w:name w:val="BoD Header 3"/>
    <w:basedOn w:val="BoDHeader2"/>
    <w:qFormat/>
    <w:rsid w:val="00A1326A"/>
    <w:rPr>
      <w:sz w:val="26"/>
      <w:szCs w:val="26"/>
    </w:rPr>
  </w:style>
  <w:style w:type="character" w:customStyle="1" w:styleId="Heading2Char">
    <w:name w:val="Heading 2 Char"/>
    <w:basedOn w:val="DefaultParagraphFont"/>
    <w:link w:val="Heading2"/>
    <w:uiPriority w:val="9"/>
    <w:semiHidden/>
    <w:rsid w:val="009942C9"/>
    <w:rPr>
      <w:rFonts w:asciiTheme="majorHAnsi" w:eastAsiaTheme="majorEastAsia" w:hAnsiTheme="majorHAnsi" w:cstheme="majorBidi"/>
      <w:color w:val="2F5496" w:themeColor="accent1" w:themeShade="BF"/>
      <w:sz w:val="26"/>
      <w:szCs w:val="26"/>
    </w:rPr>
  </w:style>
  <w:style w:type="character" w:styleId="Hyperlink">
    <w:name w:val="Hyperlink"/>
    <w:basedOn w:val="DefaultParagraphFont"/>
    <w:uiPriority w:val="99"/>
    <w:unhideWhenUsed/>
    <w:rsid w:val="003B124F"/>
    <w:rPr>
      <w:color w:val="0563C1" w:themeColor="hyperlink"/>
      <w:u w:val="single"/>
    </w:rPr>
  </w:style>
  <w:style w:type="paragraph" w:customStyle="1" w:styleId="paragraph">
    <w:name w:val="paragraph"/>
    <w:basedOn w:val="Normal"/>
    <w:rsid w:val="003B4DFF"/>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Default">
    <w:name w:val="Default"/>
    <w:rsid w:val="003B4DFF"/>
    <w:pPr>
      <w:autoSpaceDE w:val="0"/>
      <w:autoSpaceDN w:val="0"/>
      <w:adjustRightInd w:val="0"/>
      <w:spacing w:after="0" w:line="240" w:lineRule="auto"/>
    </w:pPr>
    <w:rPr>
      <w:rFonts w:ascii="Arial" w:hAnsi="Arial" w:cs="Arial"/>
      <w:color w:val="000000"/>
      <w:sz w:val="24"/>
      <w:szCs w:val="24"/>
    </w:rPr>
  </w:style>
  <w:style w:type="table" w:styleId="TableGrid">
    <w:name w:val="Table Grid"/>
    <w:basedOn w:val="TableNormal"/>
    <w:uiPriority w:val="39"/>
    <w:rsid w:val="006E2C7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
    <w:name w:val="Unresolved Mention"/>
    <w:basedOn w:val="DefaultParagraphFont"/>
    <w:uiPriority w:val="99"/>
    <w:semiHidden/>
    <w:unhideWhenUsed/>
    <w:rsid w:val="00396935"/>
    <w:rPr>
      <w:color w:val="605E5C"/>
      <w:shd w:val="clear" w:color="auto" w:fill="E1DFDD"/>
    </w:rPr>
  </w:style>
  <w:style w:type="character" w:customStyle="1" w:styleId="normaltextrun">
    <w:name w:val="normaltextrun"/>
    <w:basedOn w:val="DefaultParagraphFont"/>
    <w:rsid w:val="00C05987"/>
  </w:style>
  <w:style w:type="character" w:customStyle="1" w:styleId="scxw176271436">
    <w:name w:val="scxw176271436"/>
    <w:basedOn w:val="DefaultParagraphFont"/>
    <w:rsid w:val="00C05987"/>
  </w:style>
  <w:style w:type="character" w:customStyle="1" w:styleId="tabchar">
    <w:name w:val="tabchar"/>
    <w:basedOn w:val="DefaultParagraphFont"/>
    <w:rsid w:val="00C05987"/>
  </w:style>
  <w:style w:type="character" w:customStyle="1" w:styleId="eop">
    <w:name w:val="eop"/>
    <w:basedOn w:val="DefaultParagraphFont"/>
    <w:rsid w:val="00C05987"/>
  </w:style>
  <w:style w:type="paragraph" w:styleId="Title">
    <w:name w:val="Title"/>
    <w:link w:val="TitleChar"/>
    <w:uiPriority w:val="36"/>
    <w:rsid w:val="00F664E2"/>
    <w:pPr>
      <w:spacing w:after="300" w:line="240" w:lineRule="auto"/>
      <w:contextualSpacing/>
    </w:pPr>
    <w:rPr>
      <w:rFonts w:ascii="Calibri Light" w:hAnsi="Calibri Light" w:eastAsiaTheme="majorEastAsia" w:cs="Times New Roman (Headings CS)"/>
      <w:color w:val="001E45"/>
      <w:kern w:val="28"/>
      <w:sz w:val="56"/>
      <w:szCs w:val="52"/>
      <w:lang w:val="en-AU"/>
    </w:rPr>
  </w:style>
  <w:style w:type="character" w:customStyle="1" w:styleId="TitleChar">
    <w:name w:val="Title Char"/>
    <w:basedOn w:val="DefaultParagraphFont"/>
    <w:link w:val="Title"/>
    <w:uiPriority w:val="36"/>
    <w:rsid w:val="00F664E2"/>
    <w:rPr>
      <w:rFonts w:ascii="Calibri Light" w:hAnsi="Calibri Light" w:eastAsiaTheme="majorEastAsia" w:cs="Times New Roman (Headings CS)"/>
      <w:color w:val="001E45"/>
      <w:kern w:val="28"/>
      <w:sz w:val="56"/>
      <w:szCs w:val="52"/>
      <w:lang w:val="en-AU"/>
    </w:rPr>
  </w:style>
  <w:style w:type="paragraph" w:styleId="ListParagraph">
    <w:name w:val="List Paragraph"/>
    <w:basedOn w:val="Normal"/>
    <w:uiPriority w:val="34"/>
    <w:qFormat/>
    <w:rsid w:val="0048135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numbering" Target="numbering.xml" /><Relationship Id="rId11"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eader" Target="header1.xml" /><Relationship Id="rId8" Type="http://schemas.openxmlformats.org/officeDocument/2006/relationships/footer" Target="footer1.xm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B5E532E6BCAF0F43A79858F3C2345362" ma:contentTypeVersion="18" ma:contentTypeDescription="Create a new document." ma:contentTypeScope="" ma:versionID="aee7c763d10276f9ead2abaa493d3e35">
  <xsd:schema xmlns:xsd="http://www.w3.org/2001/XMLSchema" xmlns:xs="http://www.w3.org/2001/XMLSchema" xmlns:p="http://schemas.microsoft.com/office/2006/metadata/properties" xmlns:ns2="4d134397-4f4b-4670-9c69-d890401c1bb9" xmlns:ns3="a1352122-dde3-42a2-a12c-03cf9a7a0994" targetNamespace="http://schemas.microsoft.com/office/2006/metadata/properties" ma:root="true" ma:fieldsID="d0f71814e9c34354b5e88fd0db13541c" ns2:_="" ns3:_="">
    <xsd:import namespace="4d134397-4f4b-4670-9c69-d890401c1bb9"/>
    <xsd:import namespace="a1352122-dde3-42a2-a12c-03cf9a7a0994"/>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d134397-4f4b-4670-9c69-d890401c1bb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50febde7-9b39-4042-9771-68db391ff9b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1352122-dde3-42a2-a12c-03cf9a7a0994"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e7a933af-7d7d-4f90-a087-06e84f70cff5}" ma:internalName="TaxCatchAll" ma:showField="CatchAllData" ma:web="a1352122-dde3-42a2-a12c-03cf9a7a099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a1352122-dde3-42a2-a12c-03cf9a7a0994" xsi:nil="true"/>
    <lcf76f155ced4ddcb4097134ff3c332f xmlns="4d134397-4f4b-4670-9c69-d890401c1bb9">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DED8F965-566B-47DA-905B-218541229715}">
  <ds:schemaRefs>
    <ds:schemaRef ds:uri="http://schemas.microsoft.com/sharepoint/v3/contenttype/forms"/>
  </ds:schemaRefs>
</ds:datastoreItem>
</file>

<file path=customXml/itemProps2.xml><?xml version="1.0" encoding="utf-8"?>
<ds:datastoreItem xmlns:ds="http://schemas.openxmlformats.org/officeDocument/2006/customXml" ds:itemID="{BD48CD6C-A768-411E-8656-CF53BF75F7F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d134397-4f4b-4670-9c69-d890401c1bb9"/>
    <ds:schemaRef ds:uri="a1352122-dde3-42a2-a12c-03cf9a7a099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E3E1F4B-13C1-44F7-83DB-5E591BB960DF}">
  <ds:schemaRefs>
    <ds:schemaRef ds:uri="http://schemas.microsoft.com/office/2006/metadata/properties"/>
    <ds:schemaRef ds:uri="http://schemas.microsoft.com/office/infopath/2007/PartnerControls"/>
    <ds:schemaRef ds:uri="a1352122-dde3-42a2-a12c-03cf9a7a0994"/>
    <ds:schemaRef ds:uri="4d134397-4f4b-4670-9c69-d890401c1bb9"/>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