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48A5" w:rsidP="007D48A5">
      <w:pPr>
        <w:jc w:val="center"/>
        <w:rPr>
          <w:b/>
          <w:bCs/>
        </w:rPr>
      </w:pPr>
      <w:r>
        <w:rPr>
          <w:b/>
          <w:bCs/>
        </w:rPr>
        <w:t>Written evidence submitted by Essex Partnership University NHS Foundation Trust (CMH0100)</w:t>
      </w:r>
    </w:p>
    <w:p w:rsidR="007D48A5" w:rsidP="00AD6057">
      <w:pPr>
        <w:rPr>
          <w:b/>
          <w:bCs/>
        </w:rPr>
      </w:pPr>
    </w:p>
    <w:p w:rsidR="007D48A5" w:rsidP="00AD6057">
      <w:pPr>
        <w:rPr>
          <w:b/>
          <w:bCs/>
        </w:rPr>
      </w:pPr>
      <w:r>
        <w:rPr>
          <w:b/>
          <w:bCs/>
        </w:rPr>
        <w:t>Health and Social Care Select Committee</w:t>
      </w:r>
      <w:r>
        <w:rPr>
          <w:b/>
          <w:bCs/>
        </w:rPr>
        <w:t xml:space="preserve"> - inquiry into community mental health services</w:t>
      </w:r>
    </w:p>
    <w:p w:rsidR="007D48A5" w:rsidP="00AD6057">
      <w:pPr>
        <w:rPr>
          <w:b/>
          <w:bCs/>
        </w:rPr>
      </w:pPr>
      <w:r>
        <w:rPr>
          <w:b/>
          <w:bCs/>
        </w:rPr>
        <w:t>Evidence submission from Essex Partnership University NHS Foundation Trust (EPUT)</w:t>
      </w:r>
    </w:p>
    <w:p w:rsidR="007D48A5" w:rsidP="00AD6057">
      <w:pPr>
        <w:rPr>
          <w:b/>
          <w:bCs/>
        </w:rPr>
      </w:pPr>
    </w:p>
    <w:p w:rsidR="007D48A5" w:rsidP="00AD6057">
      <w:pPr>
        <w:rPr>
          <w:b/>
          <w:bCs/>
        </w:rPr>
      </w:pPr>
    </w:p>
    <w:p w:rsidR="007D48A5" w:rsidP="00AD6057">
      <w:pPr>
        <w:rPr>
          <w:b/>
          <w:bCs/>
        </w:rPr>
      </w:pPr>
      <w:r>
        <w:rPr>
          <w:b/>
          <w:bCs/>
        </w:rPr>
        <w:t xml:space="preserve">About this submission </w:t>
      </w:r>
    </w:p>
    <w:p w:rsidR="007D48A5" w:rsidP="00AD6057">
      <w:pPr>
        <w:rPr>
          <w:bCs/>
        </w:rPr>
      </w:pPr>
      <w:r>
        <w:rPr>
          <w:bCs/>
        </w:rPr>
        <w:t xml:space="preserve">This submission is from </w:t>
      </w:r>
      <w:r w:rsidRPr="00313267">
        <w:rPr>
          <w:bCs/>
        </w:rPr>
        <w:t>Essex Partnership University NHS Foundation Trust (EPUT)</w:t>
      </w:r>
      <w:r>
        <w:rPr>
          <w:bCs/>
        </w:rPr>
        <w:t>, the main provider of adult mental health services in Essex. EPUT provides a wide range of community and inpatient mental health services for adults of working age and those over 65, specialist forensic services for people with mental health issues and/or learning disabilities who are in the criminal justice system, other learning disability services and specialist CAMHS inpatient services for young people across the east of England. The Trust provide</w:t>
      </w:r>
      <w:r>
        <w:rPr>
          <w:bCs/>
        </w:rPr>
        <w:t xml:space="preserve">s community and inpatient physical health services for frail elderly patients and those recovering from a stroke in west and south east Essex. The Trust also has specialist services in Suffolk and Bedfordshire. </w:t>
      </w:r>
    </w:p>
    <w:p w:rsidR="007D48A5" w:rsidP="00AD6057">
      <w:pPr>
        <w:rPr>
          <w:bCs/>
        </w:rPr>
      </w:pPr>
    </w:p>
    <w:p w:rsidR="007D48A5" w:rsidRPr="00313267" w:rsidP="00AD6057">
      <w:pPr>
        <w:rPr>
          <w:bCs/>
        </w:rPr>
      </w:pPr>
      <w:r w:rsidRPr="00F97E95">
        <w:rPr>
          <w:bCs/>
        </w:rPr>
        <w:t xml:space="preserve">At any one time, around 100,000 people are in the care of </w:t>
      </w:r>
      <w:r>
        <w:rPr>
          <w:bCs/>
        </w:rPr>
        <w:t>EPUT</w:t>
      </w:r>
      <w:r>
        <w:rPr>
          <w:bCs/>
        </w:rPr>
        <w:t>’s</w:t>
      </w:r>
      <w:r w:rsidRPr="00F97E95">
        <w:rPr>
          <w:bCs/>
        </w:rPr>
        <w:t xml:space="preserve"> services and </w:t>
      </w:r>
      <w:r>
        <w:rPr>
          <w:bCs/>
        </w:rPr>
        <w:t xml:space="preserve">the Trust </w:t>
      </w:r>
      <w:r w:rsidRPr="00F97E95">
        <w:rPr>
          <w:bCs/>
        </w:rPr>
        <w:t xml:space="preserve">employs over 7,000 staff. </w:t>
      </w:r>
      <w:r>
        <w:rPr>
          <w:bCs/>
        </w:rPr>
        <w:t>The Trust works closely with other health and care partners in the statutory, independent and voluntary sector. It has worked collaboratively with these partners to introduce a number of innovative services to improve patient care and outcomes and support pressures and demands in other areas of the local health and care economy.</w:t>
      </w:r>
    </w:p>
    <w:p w:rsidR="007D48A5" w:rsidP="00AD6057">
      <w:pPr>
        <w:rPr>
          <w:b/>
          <w:bCs/>
        </w:rPr>
      </w:pPr>
    </w:p>
    <w:tbl>
      <w:tblPr>
        <w:tblStyle w:val="TableGrid"/>
        <w:tblW w:w="0" w:type="auto"/>
        <w:tblLook w:val="04A0"/>
      </w:tblPr>
      <w:tblGrid>
        <w:gridCol w:w="9016"/>
      </w:tblGrid>
      <w:tr w:rsidTr="007D48A5">
        <w:tblPrEx>
          <w:tblW w:w="0" w:type="auto"/>
          <w:tblLook w:val="04A0"/>
        </w:tblPrEx>
        <w:tc>
          <w:tcPr>
            <w:tcW w:w="9016" w:type="dxa"/>
            <w:tcBorders>
              <w:top w:val="nil"/>
              <w:left w:val="nil"/>
              <w:bottom w:val="nil"/>
              <w:right w:val="nil"/>
            </w:tcBorders>
          </w:tcPr>
          <w:p w:rsidR="007D48A5" w:rsidRPr="00D75FEC" w:rsidP="00AD6057">
            <w:pPr>
              <w:rPr>
                <w:b/>
              </w:rPr>
            </w:pPr>
            <w:r w:rsidRPr="00D75FEC">
              <w:rPr>
                <w:b/>
              </w:rPr>
              <w:t>1)   What does high-quality care look like for adults with severe mental illness and their families/carers? How could the service user journey be improved both within community mental health services and in accessing support provided by other services/agencies? How could this be measured/monitored locally and nationally?</w:t>
            </w:r>
          </w:p>
        </w:tc>
      </w:tr>
      <w:tr w:rsidTr="007D48A5">
        <w:tblPrEx>
          <w:tblW w:w="0" w:type="auto"/>
          <w:tblLook w:val="04A0"/>
        </w:tblPrEx>
        <w:tc>
          <w:tcPr>
            <w:tcW w:w="9016" w:type="dxa"/>
            <w:tcBorders>
              <w:top w:val="nil"/>
              <w:left w:val="nil"/>
              <w:bottom w:val="nil"/>
              <w:right w:val="nil"/>
            </w:tcBorders>
          </w:tcPr>
          <w:p w:rsidR="007D48A5" w:rsidRPr="00313267" w:rsidP="00D75FEC">
            <w:pPr>
              <w:rPr>
                <w:b/>
                <w:color w:val="000000" w:themeColor="text1"/>
              </w:rPr>
            </w:pPr>
            <w:r w:rsidRPr="00313267">
              <w:rPr>
                <w:b/>
                <w:color w:val="000000" w:themeColor="text1"/>
              </w:rPr>
              <w:t>Adopting a cohesive approach</w:t>
            </w:r>
          </w:p>
          <w:p w:rsidR="007D48A5" w:rsidP="00D75FEC">
            <w:pPr>
              <w:rPr>
                <w:color w:val="000000" w:themeColor="text1"/>
              </w:rPr>
            </w:pPr>
            <w:r w:rsidRPr="00313267">
              <w:rPr>
                <w:color w:val="000000" w:themeColor="text1"/>
              </w:rPr>
              <w:t>It is impossible to separate community mental health provision from the wider mental health sector</w:t>
            </w:r>
            <w:r>
              <w:rPr>
                <w:color w:val="000000" w:themeColor="text1"/>
              </w:rPr>
              <w:t xml:space="preserve">, and to </w:t>
            </w:r>
            <w:r>
              <w:rPr>
                <w:color w:val="000000" w:themeColor="text1"/>
              </w:rPr>
              <w:t xml:space="preserve">an </w:t>
            </w:r>
            <w:r w:rsidRPr="00313267">
              <w:rPr>
                <w:color w:val="000000" w:themeColor="text1"/>
              </w:rPr>
              <w:t xml:space="preserve">extent </w:t>
            </w:r>
            <w:r>
              <w:rPr>
                <w:color w:val="000000" w:themeColor="text1"/>
              </w:rPr>
              <w:t xml:space="preserve">from people’s </w:t>
            </w:r>
            <w:r w:rsidRPr="00313267">
              <w:rPr>
                <w:color w:val="000000" w:themeColor="text1"/>
              </w:rPr>
              <w:t>physical health needs</w:t>
            </w:r>
            <w:r>
              <w:rPr>
                <w:color w:val="000000" w:themeColor="text1"/>
              </w:rPr>
              <w:t xml:space="preserve">, </w:t>
            </w:r>
            <w:r>
              <w:rPr>
                <w:color w:val="000000" w:themeColor="text1"/>
              </w:rPr>
              <w:t xml:space="preserve">as many of the </w:t>
            </w:r>
            <w:r w:rsidRPr="00313267">
              <w:rPr>
                <w:color w:val="000000" w:themeColor="text1"/>
              </w:rPr>
              <w:t>same principles apply</w:t>
            </w:r>
            <w:r>
              <w:rPr>
                <w:color w:val="000000" w:themeColor="text1"/>
              </w:rPr>
              <w:t>. M</w:t>
            </w:r>
            <w:r w:rsidRPr="00313267">
              <w:rPr>
                <w:color w:val="000000" w:themeColor="text1"/>
              </w:rPr>
              <w:t xml:space="preserve">any </w:t>
            </w:r>
            <w:r>
              <w:rPr>
                <w:color w:val="000000" w:themeColor="text1"/>
              </w:rPr>
              <w:t xml:space="preserve">people </w:t>
            </w:r>
            <w:r w:rsidRPr="00313267">
              <w:rPr>
                <w:color w:val="000000" w:themeColor="text1"/>
              </w:rPr>
              <w:t xml:space="preserve">with severe mental illness </w:t>
            </w:r>
            <w:r>
              <w:rPr>
                <w:color w:val="000000" w:themeColor="text1"/>
              </w:rPr>
              <w:t xml:space="preserve">will </w:t>
            </w:r>
            <w:r w:rsidRPr="00313267">
              <w:rPr>
                <w:color w:val="000000" w:themeColor="text1"/>
              </w:rPr>
              <w:t xml:space="preserve">have a long term </w:t>
            </w:r>
            <w:r>
              <w:rPr>
                <w:color w:val="000000" w:themeColor="text1"/>
              </w:rPr>
              <w:t xml:space="preserve">and probably life long </w:t>
            </w:r>
            <w:r w:rsidRPr="00313267">
              <w:rPr>
                <w:color w:val="000000" w:themeColor="text1"/>
              </w:rPr>
              <w:t>relationship with services</w:t>
            </w:r>
            <w:r>
              <w:rPr>
                <w:color w:val="000000" w:themeColor="text1"/>
              </w:rPr>
              <w:t>. Much of their care will be</w:t>
            </w:r>
            <w:r w:rsidRPr="00313267">
              <w:rPr>
                <w:color w:val="000000" w:themeColor="text1"/>
              </w:rPr>
              <w:t xml:space="preserve"> community based</w:t>
            </w:r>
            <w:r>
              <w:rPr>
                <w:color w:val="000000" w:themeColor="text1"/>
              </w:rPr>
              <w:t>,</w:t>
            </w:r>
            <w:r w:rsidRPr="00313267">
              <w:rPr>
                <w:color w:val="000000" w:themeColor="text1"/>
              </w:rPr>
              <w:t xml:space="preserve"> but at times there may be a need for an inpatient stay </w:t>
            </w:r>
            <w:r>
              <w:rPr>
                <w:color w:val="000000" w:themeColor="text1"/>
              </w:rPr>
              <w:t xml:space="preserve">to support them through periods of crisis and acute mental ill health, </w:t>
            </w:r>
            <w:r w:rsidRPr="00313267">
              <w:rPr>
                <w:color w:val="000000" w:themeColor="text1"/>
              </w:rPr>
              <w:t>and the interplay between inpatient and community mental health services is critical to the</w:t>
            </w:r>
            <w:r>
              <w:rPr>
                <w:color w:val="000000" w:themeColor="text1"/>
              </w:rPr>
              <w:t>ir</w:t>
            </w:r>
            <w:r w:rsidRPr="00313267">
              <w:rPr>
                <w:color w:val="000000" w:themeColor="text1"/>
              </w:rPr>
              <w:t xml:space="preserve"> long term care and well-being. </w:t>
            </w:r>
            <w:r>
              <w:rPr>
                <w:color w:val="000000" w:themeColor="text1"/>
              </w:rPr>
              <w:t xml:space="preserve">EPUT’s own adult community mental health services cover the whole of the county of Essex and </w:t>
            </w:r>
            <w:r w:rsidRPr="00313267">
              <w:rPr>
                <w:color w:val="000000" w:themeColor="text1"/>
              </w:rPr>
              <w:t xml:space="preserve">sit as </w:t>
            </w:r>
            <w:r>
              <w:rPr>
                <w:color w:val="000000" w:themeColor="text1"/>
              </w:rPr>
              <w:t xml:space="preserve">a key </w:t>
            </w:r>
            <w:r w:rsidRPr="00313267">
              <w:rPr>
                <w:color w:val="000000" w:themeColor="text1"/>
              </w:rPr>
              <w:t xml:space="preserve">part of a complex system of health and care. </w:t>
            </w:r>
            <w:r>
              <w:rPr>
                <w:color w:val="000000" w:themeColor="text1"/>
              </w:rPr>
              <w:t xml:space="preserve">At the same time, patients with physical health conditions such as </w:t>
            </w:r>
            <w:r>
              <w:rPr>
                <w:color w:val="000000" w:themeColor="text1"/>
              </w:rPr>
              <w:t>Chronic Obstructive Pulmonary Disease (</w:t>
            </w:r>
            <w:r>
              <w:rPr>
                <w:color w:val="000000" w:themeColor="text1"/>
              </w:rPr>
              <w:t>COPD</w:t>
            </w:r>
            <w:r>
              <w:rPr>
                <w:color w:val="000000" w:themeColor="text1"/>
              </w:rPr>
              <w:t>)</w:t>
            </w:r>
            <w:r>
              <w:rPr>
                <w:color w:val="000000" w:themeColor="text1"/>
              </w:rPr>
              <w:t xml:space="preserve"> often co-present with anxiety which is closely linked to living with the</w:t>
            </w:r>
            <w:r>
              <w:rPr>
                <w:color w:val="000000" w:themeColor="text1"/>
              </w:rPr>
              <w:t>ir</w:t>
            </w:r>
            <w:r>
              <w:rPr>
                <w:color w:val="000000" w:themeColor="text1"/>
              </w:rPr>
              <w:t xml:space="preserve"> physical condition.  Particular points to note:</w:t>
            </w:r>
          </w:p>
          <w:p w:rsidR="007D48A5" w:rsidRPr="006F0B64" w:rsidP="00D75FEC">
            <w:pPr>
              <w:pStyle w:val="ListParagraph"/>
              <w:numPr>
                <w:ilvl w:val="0"/>
                <w:numId w:val="1"/>
              </w:numPr>
              <w:rPr>
                <w:color w:val="000000" w:themeColor="text1"/>
              </w:rPr>
            </w:pPr>
            <w:r w:rsidRPr="006F0B64">
              <w:rPr>
                <w:color w:val="000000" w:themeColor="text1"/>
              </w:rPr>
              <w:t>Driving integration at a place based level is critical to services’ success and good outcomes</w:t>
            </w:r>
            <w:r>
              <w:rPr>
                <w:color w:val="000000" w:themeColor="text1"/>
              </w:rPr>
              <w:t>. A</w:t>
            </w:r>
            <w:r w:rsidRPr="006F0B64">
              <w:rPr>
                <w:color w:val="000000" w:themeColor="text1"/>
              </w:rPr>
              <w:t xml:space="preserve">dopting a population health management approach and system working – both through </w:t>
            </w:r>
            <w:r>
              <w:rPr>
                <w:color w:val="000000" w:themeColor="text1"/>
              </w:rPr>
              <w:t>Joint Strategic Need</w:t>
            </w:r>
            <w:r w:rsidRPr="006F0B64">
              <w:rPr>
                <w:color w:val="000000" w:themeColor="text1"/>
              </w:rPr>
              <w:t xml:space="preserve">s </w:t>
            </w:r>
            <w:r>
              <w:rPr>
                <w:color w:val="000000" w:themeColor="text1"/>
              </w:rPr>
              <w:t xml:space="preserve">Assessments </w:t>
            </w:r>
            <w:r w:rsidRPr="006F0B64">
              <w:rPr>
                <w:color w:val="000000" w:themeColor="text1"/>
              </w:rPr>
              <w:t>and regular service commissioning – helps system partners to identify people, groups and geographies with rising mental health risks and needs. Robust demand and capacity modelling can also help inform strategic planning at place level</w:t>
            </w:r>
          </w:p>
          <w:p w:rsidR="007D48A5" w:rsidP="00EE1005">
            <w:pPr>
              <w:pStyle w:val="ListParagraph"/>
              <w:numPr>
                <w:ilvl w:val="0"/>
                <w:numId w:val="1"/>
              </w:numPr>
              <w:rPr>
                <w:color w:val="000000" w:themeColor="text1"/>
              </w:rPr>
            </w:pPr>
            <w:r>
              <w:rPr>
                <w:color w:val="000000" w:themeColor="text1"/>
              </w:rPr>
              <w:t xml:space="preserve">Providers and commissioners need to share clarity on how </w:t>
            </w:r>
            <w:r w:rsidRPr="007424D4">
              <w:rPr>
                <w:color w:val="000000" w:themeColor="text1"/>
              </w:rPr>
              <w:t xml:space="preserve">neighbourhood care and support </w:t>
            </w:r>
            <w:r>
              <w:rPr>
                <w:color w:val="000000" w:themeColor="text1"/>
              </w:rPr>
              <w:t xml:space="preserve">operates and about how </w:t>
            </w:r>
            <w:r w:rsidRPr="007424D4">
              <w:rPr>
                <w:color w:val="000000" w:themeColor="text1"/>
              </w:rPr>
              <w:t xml:space="preserve">more specialist intensive provision </w:t>
            </w:r>
            <w:r w:rsidRPr="00EE1005">
              <w:rPr>
                <w:color w:val="000000" w:themeColor="text1"/>
              </w:rPr>
              <w:t xml:space="preserve">works within that context to support patients to remain safely at home/in the community during times of acute ill health </w:t>
            </w:r>
            <w:r>
              <w:rPr>
                <w:color w:val="000000" w:themeColor="text1"/>
              </w:rPr>
              <w:t>–</w:t>
            </w:r>
            <w:r w:rsidRPr="007424D4">
              <w:rPr>
                <w:color w:val="000000" w:themeColor="text1"/>
              </w:rPr>
              <w:t xml:space="preserve"> </w:t>
            </w:r>
            <w:r>
              <w:rPr>
                <w:color w:val="000000" w:themeColor="text1"/>
              </w:rPr>
              <w:t xml:space="preserve">e.g. assertive outreach </w:t>
            </w:r>
            <w:r>
              <w:rPr>
                <w:color w:val="000000" w:themeColor="text1"/>
              </w:rPr>
              <w:t xml:space="preserve">services which support people with mental ill health who are not engaged with mental health services </w:t>
            </w:r>
          </w:p>
          <w:p w:rsidR="007D48A5" w:rsidP="00D75FEC">
            <w:pPr>
              <w:pStyle w:val="ListParagraph"/>
              <w:numPr>
                <w:ilvl w:val="0"/>
                <w:numId w:val="1"/>
              </w:numPr>
              <w:rPr>
                <w:color w:val="000000" w:themeColor="text1"/>
              </w:rPr>
            </w:pPr>
            <w:r>
              <w:rPr>
                <w:color w:val="000000" w:themeColor="text1"/>
              </w:rPr>
              <w:t>Integrating physical with mental health services will enable us to develop and provide person-centred care rather than operating these services through separate pathways with different referral routes and criteria</w:t>
            </w:r>
          </w:p>
          <w:p w:rsidR="007D48A5" w:rsidP="00D75FEC">
            <w:pPr>
              <w:pStyle w:val="ListParagraph"/>
              <w:numPr>
                <w:ilvl w:val="0"/>
                <w:numId w:val="1"/>
              </w:numPr>
              <w:rPr>
                <w:color w:val="000000" w:themeColor="text1"/>
              </w:rPr>
            </w:pPr>
            <w:r>
              <w:rPr>
                <w:color w:val="000000" w:themeColor="text1"/>
              </w:rPr>
              <w:t xml:space="preserve">Greater emphasis on prevention and safety-netting, tailored to the needs of local communities at </w:t>
            </w:r>
            <w:r>
              <w:rPr>
                <w:color w:val="000000" w:themeColor="text1"/>
              </w:rPr>
              <w:t>different levels</w:t>
            </w:r>
            <w:r>
              <w:rPr>
                <w:color w:val="000000" w:themeColor="text1"/>
              </w:rPr>
              <w:t xml:space="preserve">, can bring great benefit, especially for marginalised communities. For example, EPUT runs a bespoke programme in Thurrock with the local authority and other partners to support people whose conditions and behaviours put them at very high risk of losing their housing. A successful pilot in 2024 is now enabling this service to be expanded – more information at </w:t>
            </w:r>
            <w:r>
              <w:fldChar w:fldCharType="begin"/>
            </w:r>
            <w:r>
              <w:instrText xml:space="preserve"> HYPERLINK "https://eput.nhs.uk/news-events/posts/specialist-service-extended-after-successful-pilot/" </w:instrText>
            </w:r>
            <w:r>
              <w:fldChar w:fldCharType="separate"/>
            </w:r>
            <w:r w:rsidRPr="007815C5">
              <w:rPr>
                <w:rStyle w:val="Hyperlink"/>
              </w:rPr>
              <w:t>https://eput.nhs.uk/news-events/posts/specialist-service-extended-after-successful-pilot/</w:t>
            </w:r>
            <w:r>
              <w:fldChar w:fldCharType="end"/>
            </w:r>
            <w:r>
              <w:rPr>
                <w:color w:val="000000" w:themeColor="text1"/>
              </w:rPr>
              <w:t xml:space="preserve"> </w:t>
            </w:r>
          </w:p>
          <w:p w:rsidR="007D48A5" w:rsidP="00D75FEC">
            <w:pPr>
              <w:pStyle w:val="ListParagraph"/>
              <w:numPr>
                <w:ilvl w:val="0"/>
                <w:numId w:val="1"/>
              </w:numPr>
              <w:rPr>
                <w:color w:val="000000" w:themeColor="text1"/>
              </w:rPr>
            </w:pPr>
            <w:r>
              <w:rPr>
                <w:color w:val="000000" w:themeColor="text1"/>
              </w:rPr>
              <w:t xml:space="preserve">The voluntary and community (VCSE) sector provides valuable community support, particularly for more marginalised and harder to reach groups. </w:t>
            </w:r>
            <w:r>
              <w:rPr>
                <w:color w:val="000000" w:themeColor="text1"/>
              </w:rPr>
              <w:t>Initiatives such as providing mental health first aid training for Caribbean barber shop staff can have a real benefit in reducing the numbers of patients whose condition worsens to the extent where they require secondary service support</w:t>
            </w:r>
          </w:p>
          <w:p w:rsidR="007D48A5" w:rsidP="00EE1005">
            <w:pPr>
              <w:pStyle w:val="ListParagraph"/>
              <w:numPr>
                <w:ilvl w:val="0"/>
                <w:numId w:val="1"/>
              </w:numPr>
            </w:pPr>
            <w:r w:rsidRPr="00D75FEC">
              <w:rPr>
                <w:color w:val="000000" w:themeColor="text1"/>
              </w:rPr>
              <w:t xml:space="preserve">Enabling digital solutions for service provision and digital inclusion for patients and service users can fill a number of spaces where lower level IAPT/talking therapy services are indicated </w:t>
            </w:r>
            <w:r>
              <w:rPr>
                <w:color w:val="000000" w:themeColor="text1"/>
              </w:rPr>
              <w:t>a</w:t>
            </w:r>
            <w:r w:rsidRPr="00D75FEC">
              <w:rPr>
                <w:color w:val="000000" w:themeColor="text1"/>
              </w:rPr>
              <w:t xml:space="preserve">nd provided. EPUT provides </w:t>
            </w:r>
            <w:r>
              <w:fldChar w:fldCharType="begin"/>
            </w:r>
            <w:r>
              <w:instrText xml:space="preserve"> HYPERLINK "https://www.therapyforyou.co.uk/" </w:instrText>
            </w:r>
            <w:r>
              <w:fldChar w:fldCharType="separate"/>
            </w:r>
            <w:r w:rsidRPr="00B152B9">
              <w:rPr>
                <w:rStyle w:val="Hyperlink"/>
              </w:rPr>
              <w:t>talking therapy services in some areas of Essex</w:t>
            </w:r>
            <w:r>
              <w:fldChar w:fldCharType="end"/>
            </w:r>
            <w:r w:rsidRPr="00D75FEC">
              <w:rPr>
                <w:color w:val="000000" w:themeColor="text1"/>
              </w:rPr>
              <w:t>, which include the Limbic online chat-bot to help users determine what service may help them, as well as a wide range of online resources</w:t>
            </w:r>
          </w:p>
        </w:tc>
      </w:tr>
      <w:tr w:rsidTr="007D48A5">
        <w:tblPrEx>
          <w:tblW w:w="0" w:type="auto"/>
          <w:tblLook w:val="04A0"/>
        </w:tblPrEx>
        <w:tc>
          <w:tcPr>
            <w:tcW w:w="9016" w:type="dxa"/>
            <w:tcBorders>
              <w:top w:val="nil"/>
              <w:left w:val="nil"/>
              <w:bottom w:val="nil"/>
              <w:right w:val="nil"/>
            </w:tcBorders>
          </w:tcPr>
          <w:p w:rsidR="007D48A5" w:rsidRPr="009C1311" w:rsidP="00D75FEC">
            <w:pPr>
              <w:rPr>
                <w:b/>
                <w:color w:val="000000" w:themeColor="text1"/>
              </w:rPr>
            </w:pPr>
            <w:r>
              <w:rPr>
                <w:b/>
                <w:color w:val="000000" w:themeColor="text1"/>
              </w:rPr>
              <w:t xml:space="preserve">1a)   </w:t>
            </w:r>
            <w:r w:rsidRPr="009C1311">
              <w:rPr>
                <w:b/>
                <w:color w:val="000000" w:themeColor="text1"/>
              </w:rPr>
              <w:t xml:space="preserve">Patient and carer </w:t>
            </w:r>
            <w:r w:rsidRPr="009C1311">
              <w:rPr>
                <w:b/>
                <w:color w:val="000000" w:themeColor="text1"/>
              </w:rPr>
              <w:t>involvement</w:t>
            </w:r>
          </w:p>
          <w:p w:rsidR="007D48A5" w:rsidP="00D75FEC">
            <w:pPr>
              <w:rPr>
                <w:color w:val="000000" w:themeColor="text1"/>
              </w:rPr>
            </w:pPr>
            <w:r w:rsidRPr="009C1311">
              <w:rPr>
                <w:color w:val="000000" w:themeColor="text1"/>
              </w:rPr>
              <w:t>The basis for care and services needs to be focussed on partnership and locality. It is critical that patients and services users, together with families and carers</w:t>
            </w:r>
            <w:r>
              <w:rPr>
                <w:color w:val="000000" w:themeColor="text1"/>
              </w:rPr>
              <w:t>,</w:t>
            </w:r>
            <w:r w:rsidRPr="009C1311">
              <w:rPr>
                <w:color w:val="000000" w:themeColor="text1"/>
              </w:rPr>
              <w:t xml:space="preserve"> are part of the development of both individual care plans and the design of wider service provision. </w:t>
            </w:r>
            <w:r>
              <w:rPr>
                <w:color w:val="000000" w:themeColor="text1"/>
              </w:rPr>
              <w:t xml:space="preserve">At EPUT, </w:t>
            </w:r>
            <w:r>
              <w:rPr>
                <w:color w:val="000000" w:themeColor="text1"/>
              </w:rPr>
              <w:t xml:space="preserve">having </w:t>
            </w:r>
            <w:r>
              <w:rPr>
                <w:color w:val="000000" w:themeColor="text1"/>
              </w:rPr>
              <w:t xml:space="preserve">a clear </w:t>
            </w:r>
            <w:r w:rsidRPr="009C1311">
              <w:rPr>
                <w:color w:val="000000" w:themeColor="text1"/>
              </w:rPr>
              <w:t xml:space="preserve">focus on extending the voice of lived experience at individual level and more widely across all aspects of care </w:t>
            </w:r>
            <w:r>
              <w:rPr>
                <w:color w:val="000000" w:themeColor="text1"/>
              </w:rPr>
              <w:t>has transformed the way in which the Trust works with patients, families and carers</w:t>
            </w:r>
            <w:r>
              <w:rPr>
                <w:color w:val="000000" w:themeColor="text1"/>
              </w:rPr>
              <w:t xml:space="preserve">. It </w:t>
            </w:r>
            <w:r>
              <w:rPr>
                <w:color w:val="000000" w:themeColor="text1"/>
              </w:rPr>
              <w:t xml:space="preserve">is now a significant part of how </w:t>
            </w:r>
            <w:r>
              <w:rPr>
                <w:color w:val="000000" w:themeColor="text1"/>
              </w:rPr>
              <w:t xml:space="preserve">it manages </w:t>
            </w:r>
            <w:r>
              <w:rPr>
                <w:color w:val="000000" w:themeColor="text1"/>
              </w:rPr>
              <w:t xml:space="preserve">service design and </w:t>
            </w:r>
            <w:r w:rsidRPr="009C1311">
              <w:rPr>
                <w:color w:val="000000" w:themeColor="text1"/>
              </w:rPr>
              <w:t>transformation</w:t>
            </w:r>
            <w:r>
              <w:rPr>
                <w:color w:val="000000" w:themeColor="text1"/>
              </w:rPr>
              <w:t>. In particular:</w:t>
            </w:r>
          </w:p>
          <w:p w:rsidR="007D48A5" w:rsidP="00D75FEC">
            <w:pPr>
              <w:pStyle w:val="ListParagraph"/>
              <w:numPr>
                <w:ilvl w:val="0"/>
                <w:numId w:val="4"/>
              </w:numPr>
              <w:rPr>
                <w:color w:val="000000" w:themeColor="text1"/>
              </w:rPr>
            </w:pPr>
            <w:r w:rsidRPr="009C1311">
              <w:rPr>
                <w:color w:val="000000" w:themeColor="text1"/>
              </w:rPr>
              <w:t xml:space="preserve">Over 250 people with lived experience of EPUT services now regularly work </w:t>
            </w:r>
            <w:r>
              <w:rPr>
                <w:color w:val="000000" w:themeColor="text1"/>
              </w:rPr>
              <w:t xml:space="preserve">with the Trust, </w:t>
            </w:r>
            <w:r>
              <w:rPr>
                <w:color w:val="000000" w:themeColor="text1"/>
              </w:rPr>
              <w:t>actively participating in</w:t>
            </w:r>
            <w:r>
              <w:rPr>
                <w:color w:val="000000" w:themeColor="text1"/>
              </w:rPr>
              <w:t xml:space="preserve"> project and programme working groups, providing peer support to current patients and service users and supporting recruitment processes where appropriate</w:t>
            </w:r>
          </w:p>
          <w:p w:rsidR="007D48A5" w:rsidP="00D75FEC">
            <w:pPr>
              <w:pStyle w:val="ListParagraph"/>
              <w:numPr>
                <w:ilvl w:val="0"/>
                <w:numId w:val="4"/>
              </w:numPr>
              <w:rPr>
                <w:color w:val="000000" w:themeColor="text1"/>
              </w:rPr>
            </w:pPr>
            <w:r>
              <w:rPr>
                <w:color w:val="000000" w:themeColor="text1"/>
              </w:rPr>
              <w:t xml:space="preserve">EPUT’s </w:t>
            </w:r>
            <w:r>
              <w:fldChar w:fldCharType="begin"/>
            </w:r>
            <w:r>
              <w:instrText xml:space="preserve"> HYPERLINK "https://eput.nhs.uk/media/nnofuyrj/working-in-partnership-with-people-and-communities_03-24.pdf" </w:instrText>
            </w:r>
            <w:r>
              <w:fldChar w:fldCharType="separate"/>
            </w:r>
            <w:r w:rsidRPr="009C1311">
              <w:rPr>
                <w:rStyle w:val="Hyperlink"/>
              </w:rPr>
              <w:t>Working in Partnership with People and Communities strategy</w:t>
            </w:r>
            <w:r>
              <w:fldChar w:fldCharType="end"/>
            </w:r>
            <w:r>
              <w:rPr>
                <w:color w:val="000000" w:themeColor="text1"/>
              </w:rPr>
              <w:t xml:space="preserve"> sets out the strategic approach, including developing a lived experience framework and service user research facility</w:t>
            </w:r>
          </w:p>
          <w:p w:rsidR="007D48A5" w:rsidP="00D75FEC">
            <w:pPr>
              <w:pStyle w:val="ListParagraph"/>
              <w:numPr>
                <w:ilvl w:val="0"/>
                <w:numId w:val="4"/>
              </w:numPr>
              <w:rPr>
                <w:color w:val="000000" w:themeColor="text1"/>
              </w:rPr>
            </w:pPr>
            <w:r>
              <w:rPr>
                <w:color w:val="000000" w:themeColor="text1"/>
              </w:rPr>
              <w:t xml:space="preserve">The </w:t>
            </w:r>
            <w:r>
              <w:fldChar w:fldCharType="begin"/>
            </w:r>
            <w:r>
              <w:instrText xml:space="preserve"> HYPERLINK "https://eput.nhs.uk/news-events/posts/helping-people-to-build-strong-support-networks/" </w:instrText>
            </w:r>
            <w:r>
              <w:fldChar w:fldCharType="separate"/>
            </w:r>
            <w:r w:rsidRPr="00761737">
              <w:rPr>
                <w:rStyle w:val="Hyperlink"/>
              </w:rPr>
              <w:t>Essex Mental Health Family Group Conferencing Service</w:t>
            </w:r>
            <w:r>
              <w:fldChar w:fldCharType="end"/>
            </w:r>
            <w:r w:rsidRPr="00761737">
              <w:rPr>
                <w:color w:val="000000" w:themeColor="text1"/>
              </w:rPr>
              <w:t xml:space="preserve"> supports adults aged 18 to 65 who use secondary mental health services to build trusted support networks</w:t>
            </w:r>
          </w:p>
          <w:p w:rsidR="007D48A5" w:rsidRPr="009C1311" w:rsidP="00D75FEC">
            <w:pPr>
              <w:pStyle w:val="ListParagraph"/>
              <w:numPr>
                <w:ilvl w:val="0"/>
                <w:numId w:val="4"/>
              </w:numPr>
              <w:rPr>
                <w:color w:val="000000" w:themeColor="text1"/>
              </w:rPr>
            </w:pPr>
            <w:r>
              <w:rPr>
                <w:color w:val="000000" w:themeColor="text1"/>
              </w:rPr>
              <w:t xml:space="preserve">Dedicated support networks and information for people with particular conditions are just as valuable in mental health services as they are in physical health – for example, EPUT’s </w:t>
            </w:r>
            <w:r>
              <w:fldChar w:fldCharType="begin"/>
            </w:r>
            <w:r>
              <w:instrText xml:space="preserve"> HYPERLINK "https://eput.nhs.uk/news-events/posts/introducing-our-eating-disorder-service-user-network/" </w:instrText>
            </w:r>
            <w:r>
              <w:fldChar w:fldCharType="separate"/>
            </w:r>
            <w:r w:rsidRPr="00761737">
              <w:rPr>
                <w:rStyle w:val="Hyperlink"/>
              </w:rPr>
              <w:t>dedicated support network for families and carers of people with an eating disorder</w:t>
            </w:r>
            <w:r>
              <w:fldChar w:fldCharType="end"/>
            </w:r>
            <w:r>
              <w:rPr>
                <w:color w:val="000000" w:themeColor="text1"/>
              </w:rPr>
              <w:t xml:space="preserve"> and its </w:t>
            </w:r>
            <w:r>
              <w:fldChar w:fldCharType="begin"/>
            </w:r>
            <w:r>
              <w:instrText xml:space="preserve"> HYPERLINK "https://eput.nhs.uk/news-events/posts/support-for-people-diagnosed-with-personality-disorder/" </w:instrText>
            </w:r>
            <w:r>
              <w:fldChar w:fldCharType="separate"/>
            </w:r>
            <w:r w:rsidRPr="00761737">
              <w:rPr>
                <w:rStyle w:val="Hyperlink"/>
              </w:rPr>
              <w:t xml:space="preserve">dedicated information </w:t>
            </w:r>
            <w:r>
              <w:rPr>
                <w:rStyle w:val="Hyperlink"/>
              </w:rPr>
              <w:t xml:space="preserve">resources </w:t>
            </w:r>
            <w:r w:rsidRPr="00761737">
              <w:rPr>
                <w:rStyle w:val="Hyperlink"/>
              </w:rPr>
              <w:t>for people newly diagnosed with personality disorder</w:t>
            </w:r>
            <w:r>
              <w:fldChar w:fldCharType="end"/>
            </w:r>
            <w:r>
              <w:rPr>
                <w:color w:val="000000" w:themeColor="text1"/>
              </w:rPr>
              <w:t xml:space="preserve"> </w:t>
            </w:r>
          </w:p>
          <w:p w:rsidR="007D48A5" w:rsidP="00D75FEC">
            <w:pPr>
              <w:rPr>
                <w:color w:val="000000" w:themeColor="text1"/>
              </w:rPr>
            </w:pPr>
          </w:p>
          <w:p w:rsidR="007D48A5" w:rsidRPr="009C1311" w:rsidP="00D75FEC">
            <w:pPr>
              <w:rPr>
                <w:color w:val="000000" w:themeColor="text1"/>
              </w:rPr>
            </w:pPr>
            <w:r>
              <w:rPr>
                <w:color w:val="000000" w:themeColor="text1"/>
              </w:rPr>
              <w:t xml:space="preserve">Patient, family and carer involvement should be extended further into sector-wide projects and programmes to actively involve </w:t>
            </w:r>
            <w:r w:rsidRPr="009C1311">
              <w:rPr>
                <w:color w:val="000000" w:themeColor="text1"/>
              </w:rPr>
              <w:t xml:space="preserve">community mental health services </w:t>
            </w:r>
            <w:r>
              <w:rPr>
                <w:color w:val="000000" w:themeColor="text1"/>
              </w:rPr>
              <w:t xml:space="preserve">users. </w:t>
            </w:r>
          </w:p>
          <w:p w:rsidR="007D48A5" w:rsidRPr="00313267" w:rsidP="00D75FEC">
            <w:pPr>
              <w:rPr>
                <w:b/>
                <w:color w:val="000000" w:themeColor="text1"/>
              </w:rPr>
            </w:pPr>
          </w:p>
        </w:tc>
      </w:tr>
      <w:tr w:rsidTr="007D48A5">
        <w:tblPrEx>
          <w:tblW w:w="0" w:type="auto"/>
          <w:tblLook w:val="04A0"/>
        </w:tblPrEx>
        <w:tc>
          <w:tcPr>
            <w:tcW w:w="9016" w:type="dxa"/>
            <w:tcBorders>
              <w:top w:val="nil"/>
              <w:left w:val="nil"/>
              <w:bottom w:val="nil"/>
              <w:right w:val="nil"/>
            </w:tcBorders>
          </w:tcPr>
          <w:p w:rsidR="007D48A5" w:rsidRPr="00E03334" w:rsidP="00D75FEC">
            <w:pPr>
              <w:rPr>
                <w:b/>
                <w:color w:val="000000" w:themeColor="text1"/>
              </w:rPr>
            </w:pPr>
            <w:r>
              <w:rPr>
                <w:b/>
                <w:color w:val="000000" w:themeColor="text1"/>
              </w:rPr>
              <w:t xml:space="preserve">1b)   </w:t>
            </w:r>
            <w:r w:rsidRPr="00E03334">
              <w:rPr>
                <w:b/>
                <w:color w:val="000000" w:themeColor="text1"/>
              </w:rPr>
              <w:t>Local services for local people</w:t>
            </w:r>
          </w:p>
          <w:p w:rsidR="007D48A5" w:rsidRPr="00E03334" w:rsidP="00D75FEC">
            <w:pPr>
              <w:rPr>
                <w:color w:val="000000" w:themeColor="text1"/>
              </w:rPr>
            </w:pPr>
            <w:r w:rsidRPr="00E03334">
              <w:rPr>
                <w:color w:val="000000" w:themeColor="text1"/>
              </w:rPr>
              <w:t>As a first step</w:t>
            </w:r>
            <w:r w:rsidRPr="00E03334">
              <w:rPr>
                <w:color w:val="000000" w:themeColor="text1"/>
              </w:rPr>
              <w:t>,</w:t>
            </w:r>
            <w:r w:rsidRPr="00E03334">
              <w:rPr>
                <w:color w:val="000000" w:themeColor="text1"/>
              </w:rPr>
              <w:t xml:space="preserve"> it is critical to understand the perspective of the patient and their families and carers in any treatment plan</w:t>
            </w:r>
            <w:r w:rsidRPr="00E03334">
              <w:rPr>
                <w:color w:val="000000" w:themeColor="text1"/>
              </w:rPr>
              <w:t xml:space="preserve">. </w:t>
            </w:r>
            <w:r w:rsidRPr="00E03334">
              <w:rPr>
                <w:color w:val="000000" w:themeColor="text1"/>
              </w:rPr>
              <w:t xml:space="preserve"> </w:t>
            </w:r>
            <w:r w:rsidRPr="00E03334">
              <w:rPr>
                <w:color w:val="000000" w:themeColor="text1"/>
              </w:rPr>
              <w:t xml:space="preserve">It is also critical that support networks are in place for people using </w:t>
            </w:r>
            <w:r w:rsidRPr="00E03334">
              <w:rPr>
                <w:color w:val="000000" w:themeColor="text1"/>
              </w:rPr>
              <w:t>local services.  This is more stark in terms of inpatient beds (where national target</w:t>
            </w:r>
            <w:r w:rsidRPr="00E03334">
              <w:rPr>
                <w:color w:val="000000" w:themeColor="text1"/>
              </w:rPr>
              <w:t>s</w:t>
            </w:r>
            <w:r w:rsidRPr="00E03334">
              <w:rPr>
                <w:color w:val="000000" w:themeColor="text1"/>
              </w:rPr>
              <w:t xml:space="preserve"> already exist around inappropriate out of are</w:t>
            </w:r>
            <w:r w:rsidRPr="00E03334">
              <w:rPr>
                <w:color w:val="000000" w:themeColor="text1"/>
              </w:rPr>
              <w:t>a</w:t>
            </w:r>
            <w:r w:rsidRPr="00E03334">
              <w:rPr>
                <w:color w:val="000000" w:themeColor="text1"/>
              </w:rPr>
              <w:t xml:space="preserve"> placements) but </w:t>
            </w:r>
            <w:r w:rsidRPr="00E03334">
              <w:rPr>
                <w:color w:val="000000" w:themeColor="text1"/>
              </w:rPr>
              <w:t xml:space="preserve">it </w:t>
            </w:r>
            <w:r w:rsidRPr="00E03334">
              <w:rPr>
                <w:color w:val="000000" w:themeColor="text1"/>
              </w:rPr>
              <w:t xml:space="preserve">also applies to community based services where engagement is critical </w:t>
            </w:r>
            <w:r w:rsidRPr="00E03334">
              <w:rPr>
                <w:color w:val="000000" w:themeColor="text1"/>
              </w:rPr>
              <w:t xml:space="preserve">- </w:t>
            </w:r>
            <w:r w:rsidRPr="00E03334">
              <w:rPr>
                <w:color w:val="000000" w:themeColor="text1"/>
              </w:rPr>
              <w:t xml:space="preserve">having services that are convenient and represent the needs of the local community is important.  </w:t>
            </w:r>
          </w:p>
          <w:p w:rsidR="007D48A5" w:rsidRPr="00E03334" w:rsidP="00D75FEC">
            <w:pPr>
              <w:rPr>
                <w:color w:val="000000" w:themeColor="text1"/>
              </w:rPr>
            </w:pPr>
          </w:p>
          <w:p w:rsidR="007D48A5" w:rsidRPr="00E03334" w:rsidP="00D75FEC">
            <w:pPr>
              <w:rPr>
                <w:b/>
                <w:color w:val="000000" w:themeColor="text1"/>
              </w:rPr>
            </w:pPr>
            <w:r w:rsidRPr="00E03334">
              <w:rPr>
                <w:b/>
                <w:color w:val="000000" w:themeColor="text1"/>
              </w:rPr>
              <w:t>Taking a system-wide view</w:t>
            </w:r>
          </w:p>
          <w:p w:rsidR="007D48A5" w:rsidRPr="00E03334" w:rsidP="00D75FEC">
            <w:pPr>
              <w:rPr>
                <w:color w:val="000000" w:themeColor="text1"/>
              </w:rPr>
            </w:pPr>
            <w:r w:rsidRPr="00E03334">
              <w:rPr>
                <w:color w:val="000000" w:themeColor="text1"/>
              </w:rPr>
              <w:t xml:space="preserve">Many people who experience severe mental illness have a range of other complex </w:t>
            </w:r>
            <w:r w:rsidRPr="00E03334">
              <w:rPr>
                <w:color w:val="000000" w:themeColor="text1"/>
              </w:rPr>
              <w:t xml:space="preserve">physical and/or </w:t>
            </w:r>
            <w:r w:rsidRPr="00E03334">
              <w:rPr>
                <w:color w:val="000000" w:themeColor="text1"/>
              </w:rPr>
              <w:t>social needs</w:t>
            </w:r>
            <w:r w:rsidRPr="00E03334">
              <w:rPr>
                <w:color w:val="000000" w:themeColor="text1"/>
              </w:rPr>
              <w:t xml:space="preserve">. It is </w:t>
            </w:r>
            <w:r w:rsidRPr="00E03334">
              <w:rPr>
                <w:color w:val="000000" w:themeColor="text1"/>
              </w:rPr>
              <w:t xml:space="preserve">vital that wider </w:t>
            </w:r>
            <w:r w:rsidRPr="00E03334">
              <w:rPr>
                <w:color w:val="000000" w:themeColor="text1"/>
              </w:rPr>
              <w:t xml:space="preserve">health and care sectors </w:t>
            </w:r>
            <w:r w:rsidRPr="00E03334">
              <w:rPr>
                <w:color w:val="000000" w:themeColor="text1"/>
              </w:rPr>
              <w:t xml:space="preserve">work together to ensure that individuals </w:t>
            </w:r>
            <w:r w:rsidRPr="00E03334">
              <w:rPr>
                <w:color w:val="000000" w:themeColor="text1"/>
              </w:rPr>
              <w:t xml:space="preserve">are supported with housing, physical healthcare for </w:t>
            </w:r>
            <w:r w:rsidRPr="00E03334">
              <w:rPr>
                <w:color w:val="000000" w:themeColor="text1"/>
              </w:rPr>
              <w:t>acute and chronic conditions as well as educational and occupational support.</w:t>
            </w:r>
          </w:p>
          <w:p w:rsidR="007D48A5" w:rsidRPr="00313267" w:rsidP="00D75FEC">
            <w:pPr>
              <w:rPr>
                <w:b/>
                <w:color w:val="000000" w:themeColor="text1"/>
              </w:rPr>
            </w:pPr>
          </w:p>
        </w:tc>
      </w:tr>
      <w:tr w:rsidTr="007D48A5">
        <w:tblPrEx>
          <w:tblW w:w="0" w:type="auto"/>
          <w:tblLook w:val="04A0"/>
        </w:tblPrEx>
        <w:tc>
          <w:tcPr>
            <w:tcW w:w="9016" w:type="dxa"/>
            <w:tcBorders>
              <w:top w:val="nil"/>
              <w:left w:val="nil"/>
              <w:bottom w:val="nil"/>
              <w:right w:val="nil"/>
            </w:tcBorders>
          </w:tcPr>
          <w:p w:rsidR="007D48A5" w:rsidP="00D75FEC">
            <w:pPr>
              <w:rPr>
                <w:b/>
                <w:color w:val="000000" w:themeColor="text1"/>
              </w:rPr>
            </w:pPr>
            <w:r>
              <w:rPr>
                <w:b/>
                <w:color w:val="000000" w:themeColor="text1"/>
              </w:rPr>
              <w:t xml:space="preserve">1c)   </w:t>
            </w:r>
            <w:r w:rsidRPr="00E03334">
              <w:rPr>
                <w:b/>
                <w:color w:val="000000" w:themeColor="text1"/>
              </w:rPr>
              <w:t>Monitoring nationally and locally</w:t>
            </w:r>
          </w:p>
          <w:p w:rsidR="007D48A5" w:rsidRPr="00E03334" w:rsidP="00D75FEC">
            <w:pPr>
              <w:rPr>
                <w:color w:val="000000" w:themeColor="text1"/>
              </w:rPr>
            </w:pPr>
            <w:r>
              <w:rPr>
                <w:color w:val="000000" w:themeColor="text1"/>
              </w:rPr>
              <w:t xml:space="preserve">Some key performance indicators (KPIs) already exist to measure whether risk assessments and care plans are in place for patients, but </w:t>
            </w:r>
            <w:r>
              <w:rPr>
                <w:color w:val="000000" w:themeColor="text1"/>
              </w:rPr>
              <w:t xml:space="preserve">they do not provide a </w:t>
            </w:r>
            <w:r>
              <w:rPr>
                <w:color w:val="000000" w:themeColor="text1"/>
              </w:rPr>
              <w:t xml:space="preserve">meaningful picture </w:t>
            </w:r>
            <w:r>
              <w:rPr>
                <w:color w:val="000000" w:themeColor="text1"/>
              </w:rPr>
              <w:t xml:space="preserve">of the effectiveness of community mental health services in </w:t>
            </w:r>
            <w:r>
              <w:rPr>
                <w:color w:val="000000" w:themeColor="text1"/>
              </w:rPr>
              <w:t xml:space="preserve">ultimately </w:t>
            </w:r>
            <w:r>
              <w:rPr>
                <w:color w:val="000000" w:themeColor="text1"/>
              </w:rPr>
              <w:t xml:space="preserve">helping people to feel better. KPIs need to move to a focus on outcomes and on reporting what patients think about their treatment and their progress. This is already starting to happen through the national </w:t>
            </w:r>
            <w:r>
              <w:rPr>
                <w:color w:val="000000" w:themeColor="text1"/>
              </w:rPr>
              <w:t>DIALOG+</w:t>
            </w:r>
            <w:r>
              <w:rPr>
                <w:color w:val="000000" w:themeColor="text1"/>
              </w:rPr>
              <w:t xml:space="preserve"> treatment programme </w:t>
            </w:r>
            <w:r>
              <w:rPr>
                <w:color w:val="000000" w:themeColor="text1"/>
              </w:rPr>
              <w:t xml:space="preserve">and other initiatives </w:t>
            </w:r>
            <w:r>
              <w:rPr>
                <w:color w:val="000000" w:themeColor="text1"/>
              </w:rPr>
              <w:t>– see section 6. KPIs with this focus can show data at different levels, including location, patient group and individual patients and practiti</w:t>
            </w:r>
            <w:r>
              <w:rPr>
                <w:color w:val="000000" w:themeColor="text1"/>
              </w:rPr>
              <w:t xml:space="preserve">oners, providing both quality and management information which can be used to improve performance and outcomes. </w:t>
            </w:r>
          </w:p>
          <w:p w:rsidR="007D48A5" w:rsidP="00D75FEC">
            <w:pPr>
              <w:rPr>
                <w:b/>
                <w:color w:val="000000" w:themeColor="text1"/>
              </w:rPr>
            </w:pPr>
          </w:p>
          <w:p w:rsidR="007D48A5" w:rsidP="007974F5">
            <w:pPr>
              <w:rPr>
                <w:b/>
                <w:color w:val="000000" w:themeColor="text1"/>
              </w:rPr>
            </w:pPr>
            <w:r w:rsidRPr="000718BC">
              <w:rPr>
                <w:color w:val="000000" w:themeColor="text1"/>
              </w:rPr>
              <w:t xml:space="preserve">Monitoring needs to be focussed </w:t>
            </w:r>
            <w:r>
              <w:rPr>
                <w:color w:val="000000" w:themeColor="text1"/>
              </w:rPr>
              <w:t xml:space="preserve">both </w:t>
            </w:r>
            <w:r w:rsidRPr="000718BC">
              <w:rPr>
                <w:color w:val="000000" w:themeColor="text1"/>
              </w:rPr>
              <w:t>on holding organisations to account and providing a means for improving services</w:t>
            </w:r>
            <w:r>
              <w:rPr>
                <w:color w:val="000000" w:themeColor="text1"/>
              </w:rPr>
              <w:t xml:space="preserve">, but it also </w:t>
            </w:r>
            <w:r w:rsidRPr="000718BC">
              <w:rPr>
                <w:color w:val="000000" w:themeColor="text1"/>
              </w:rPr>
              <w:t>needs to take into account local differences and challenges and in this context</w:t>
            </w:r>
            <w:r>
              <w:rPr>
                <w:color w:val="000000" w:themeColor="text1"/>
              </w:rPr>
              <w:t xml:space="preserve">. </w:t>
            </w:r>
          </w:p>
          <w:p w:rsidR="007D48A5" w:rsidRPr="00313267" w:rsidP="007974F5">
            <w:pPr>
              <w:rPr>
                <w:b/>
                <w:color w:val="000000" w:themeColor="text1"/>
              </w:rPr>
            </w:pPr>
          </w:p>
        </w:tc>
      </w:tr>
    </w:tbl>
    <w:p w:rsidR="007D48A5" w:rsidP="00AD6057"/>
    <w:tbl>
      <w:tblPr>
        <w:tblStyle w:val="TableGrid"/>
        <w:tblW w:w="0" w:type="auto"/>
        <w:tblBorders>
          <w:top w:val="nil"/>
          <w:left w:val="nil"/>
          <w:bottom w:val="nil"/>
          <w:right w:val="nil"/>
          <w:insideH w:val="nil"/>
          <w:insideV w:val="nil"/>
        </w:tblBorders>
        <w:tblLook w:val="04A0"/>
      </w:tblPr>
      <w:tblGrid>
        <w:gridCol w:w="9016"/>
      </w:tblGrid>
      <w:tr w:rsidTr="007D48A5">
        <w:tblPrEx>
          <w:tblW w:w="0" w:type="auto"/>
          <w:tblBorders>
            <w:top w:val="nil"/>
            <w:left w:val="nil"/>
            <w:bottom w:val="nil"/>
            <w:right w:val="nil"/>
            <w:insideH w:val="nil"/>
            <w:insideV w:val="nil"/>
          </w:tblBorders>
          <w:tblLook w:val="04A0"/>
        </w:tblPrEx>
        <w:tc>
          <w:tcPr>
            <w:tcW w:w="9016" w:type="dxa"/>
          </w:tcPr>
          <w:p w:rsidR="007D48A5" w:rsidRPr="00D75FEC" w:rsidP="00AD6057">
            <w:pPr>
              <w:rPr>
                <w:b/>
              </w:rPr>
            </w:pPr>
            <w:r w:rsidRPr="00D75FEC">
              <w:rPr>
                <w:b/>
              </w:rPr>
              <w:t>2.   What is the current state of access for adults with severe mental illness to community mental health services? What progress has been made in implementing waiting time and access standards for community mental health services? How could access be improved across the country?</w:t>
            </w:r>
          </w:p>
        </w:tc>
      </w:tr>
      <w:tr w:rsidTr="007D48A5">
        <w:tblPrEx>
          <w:tblW w:w="0" w:type="auto"/>
          <w:tblLook w:val="04A0"/>
        </w:tblPrEx>
        <w:tc>
          <w:tcPr>
            <w:tcW w:w="9016" w:type="dxa"/>
          </w:tcPr>
          <w:p w:rsidR="007D48A5" w:rsidP="00DC2C43">
            <w:pPr>
              <w:pStyle w:val="ListParagraph"/>
              <w:numPr>
                <w:ilvl w:val="0"/>
                <w:numId w:val="7"/>
              </w:numPr>
            </w:pPr>
            <w:r>
              <w:t>There is a need to ensure that people with conditions such as mild to moderate depression and anxiety are able to receive help and support quickly and effectively, without needing to be referred to a secondary mental health service</w:t>
            </w:r>
          </w:p>
          <w:p w:rsidR="007D48A5" w:rsidP="007974F5">
            <w:pPr>
              <w:pStyle w:val="ListParagraph"/>
              <w:numPr>
                <w:ilvl w:val="0"/>
                <w:numId w:val="7"/>
              </w:numPr>
            </w:pPr>
            <w:r>
              <w:t>There is also a need for a national information campaign (along the lines of the “choose the right service” campaigns for access to urgent physical healthcare) to explain how such services work</w:t>
            </w:r>
            <w:r>
              <w:t xml:space="preserve">. Sometimes, </w:t>
            </w:r>
            <w:r>
              <w:t xml:space="preserve">people with e.g. </w:t>
            </w:r>
            <w:r w:rsidRPr="007974F5">
              <w:t>mild to moderate depression</w:t>
            </w:r>
            <w:r>
              <w:t xml:space="preserve"> assume they need to be cared for by a secondary mental health service when in fact other more appropriate provision</w:t>
            </w:r>
            <w:r>
              <w:t xml:space="preserve"> at primary care </w:t>
            </w:r>
            <w:r>
              <w:t>level is available</w:t>
            </w:r>
            <w:r>
              <w:t xml:space="preserve"> and can be accessed more quickly</w:t>
            </w:r>
          </w:p>
          <w:p w:rsidR="007D48A5" w:rsidP="007425F8">
            <w:pPr>
              <w:pStyle w:val="ListParagraph"/>
              <w:numPr>
                <w:ilvl w:val="0"/>
                <w:numId w:val="7"/>
              </w:numPr>
            </w:pPr>
            <w:r>
              <w:t xml:space="preserve">Across Essex, health partners have created integrated services within each Primary Care Network </w:t>
            </w:r>
            <w:r>
              <w:t xml:space="preserve">(PCN) </w:t>
            </w:r>
            <w:r>
              <w:t xml:space="preserve">– see section 6 </w:t>
            </w:r>
            <w:r>
              <w:t xml:space="preserve">for more details </w:t>
            </w:r>
            <w:r>
              <w:t xml:space="preserve">– resulting in a reduction in waiting times from a patient seeing a GP to receiving their first intervention from a high of 28 days to around three to five days. General practice staff are able to refer patients internally within their PCN </w:t>
            </w:r>
            <w:r>
              <w:t>without the need for a referral to a secondary service which will inevitably take longer to process</w:t>
            </w:r>
          </w:p>
          <w:p w:rsidR="007D48A5" w:rsidP="007425F8">
            <w:pPr>
              <w:pStyle w:val="ListParagraph"/>
              <w:numPr>
                <w:ilvl w:val="0"/>
                <w:numId w:val="7"/>
              </w:numPr>
            </w:pPr>
            <w:r w:rsidRPr="00FD4990">
              <w:t>It is worth noting that up to 40 per cent of calls in Essex to the 111 mental health option are from people with mild to moderate “stand</w:t>
            </w:r>
            <w:r>
              <w:t xml:space="preserve">ard” depression and anxiety </w:t>
            </w:r>
            <w:r>
              <w:t>who have not been able to</w:t>
            </w:r>
            <w:r w:rsidRPr="00FD4990">
              <w:t xml:space="preserve"> access help </w:t>
            </w:r>
            <w:r>
              <w:t xml:space="preserve">or are unaware of what is available to them. All such callers to the service are </w:t>
            </w:r>
            <w:r>
              <w:t xml:space="preserve">still </w:t>
            </w:r>
            <w:r>
              <w:t xml:space="preserve">fully </w:t>
            </w:r>
            <w:r w:rsidRPr="00FD4990">
              <w:t>triage</w:t>
            </w:r>
            <w:r>
              <w:t>d</w:t>
            </w:r>
            <w:r w:rsidRPr="00FD4990">
              <w:t xml:space="preserve"> and </w:t>
            </w:r>
            <w:r>
              <w:t xml:space="preserve">are </w:t>
            </w:r>
            <w:r w:rsidRPr="00FD4990">
              <w:t>signpost</w:t>
            </w:r>
            <w:r>
              <w:t xml:space="preserve">ed to appropriate sources of support </w:t>
            </w:r>
          </w:p>
          <w:p w:rsidR="007D48A5" w:rsidP="001D1F37">
            <w:pPr>
              <w:pStyle w:val="ListParagraph"/>
              <w:ind w:left="360"/>
            </w:pPr>
          </w:p>
        </w:tc>
      </w:tr>
    </w:tbl>
    <w:p w:rsidR="007D48A5" w:rsidP="00AD6057"/>
    <w:p w:rsidR="007D48A5" w:rsidP="00AD6057"/>
    <w:tbl>
      <w:tblPr>
        <w:tblStyle w:val="TableGrid"/>
        <w:tblW w:w="0" w:type="auto"/>
        <w:tblBorders>
          <w:top w:val="nil"/>
          <w:left w:val="nil"/>
          <w:bottom w:val="nil"/>
          <w:right w:val="nil"/>
          <w:insideH w:val="nil"/>
          <w:insideV w:val="nil"/>
        </w:tblBorders>
        <w:tblLook w:val="04A0"/>
      </w:tblPr>
      <w:tblGrid>
        <w:gridCol w:w="9016"/>
      </w:tblGrid>
      <w:tr w:rsidTr="007D48A5">
        <w:tblPrEx>
          <w:tblW w:w="0" w:type="auto"/>
          <w:tblBorders>
            <w:top w:val="nil"/>
            <w:left w:val="nil"/>
            <w:bottom w:val="nil"/>
            <w:right w:val="nil"/>
            <w:insideH w:val="nil"/>
            <w:insideV w:val="nil"/>
          </w:tblBorders>
          <w:tblLook w:val="04A0"/>
        </w:tblPrEx>
        <w:tc>
          <w:tcPr>
            <w:tcW w:w="9016" w:type="dxa"/>
          </w:tcPr>
          <w:p w:rsidR="007D48A5" w:rsidP="00D75FEC">
            <w:r w:rsidRPr="00D75FEC">
              <w:rPr>
                <w:b/>
              </w:rPr>
              <w:t xml:space="preserve">3.   Has the Community Mental Health Framework been an effective tool for driving the delivery of more integrated, person-centred community mental health services? </w:t>
            </w:r>
          </w:p>
        </w:tc>
      </w:tr>
      <w:tr w:rsidTr="007D48A5">
        <w:tblPrEx>
          <w:tblW w:w="0" w:type="auto"/>
          <w:tblLook w:val="04A0"/>
        </w:tblPrEx>
        <w:tc>
          <w:tcPr>
            <w:tcW w:w="9016" w:type="dxa"/>
          </w:tcPr>
          <w:p w:rsidR="007D48A5" w:rsidP="00AD6057">
            <w:r>
              <w:t>Yes, in as much as it will help to move away from a commission</w:t>
            </w:r>
            <w:r>
              <w:t>er</w:t>
            </w:r>
            <w:r>
              <w:t xml:space="preserve"> monitoring model of counting attendances/patient numbers and more towards measuring actual outcomes and creating meaningful and useful management data. </w:t>
            </w:r>
          </w:p>
          <w:p w:rsidR="007D48A5" w:rsidP="00AD6057"/>
          <w:p w:rsidR="007D48A5" w:rsidP="00AD6057">
            <w:r>
              <w:t xml:space="preserve">Specifically at EPUT: </w:t>
            </w:r>
          </w:p>
          <w:p w:rsidR="007D48A5" w:rsidP="00756DF5">
            <w:pPr>
              <w:pStyle w:val="ListParagraph"/>
              <w:numPr>
                <w:ilvl w:val="0"/>
                <w:numId w:val="9"/>
              </w:numPr>
            </w:pPr>
            <w:r>
              <w:t>In 2024, EPUT reviewed and redesigned its community mental health teams in line with the NHS Ten Year Plan and the Community Mental Health Framework for adults and older adults</w:t>
            </w:r>
          </w:p>
          <w:p w:rsidR="007D48A5" w:rsidP="00756DF5">
            <w:pPr>
              <w:pStyle w:val="ListParagraph"/>
              <w:numPr>
                <w:ilvl w:val="0"/>
                <w:numId w:val="9"/>
              </w:numPr>
            </w:pPr>
            <w:r>
              <w:t xml:space="preserve">The new approach enables the Trust to deliver a more personalised approach. Mental health professionals work closely with patients and carers through treatment modalities such as family group conferencing and the Open Dialogue </w:t>
            </w:r>
            <w:r>
              <w:t xml:space="preserve">and DIALOG+ </w:t>
            </w:r>
            <w:r>
              <w:t>model</w:t>
            </w:r>
            <w:r>
              <w:t>s</w:t>
            </w:r>
            <w:r>
              <w:t xml:space="preserve"> </w:t>
            </w:r>
            <w:r>
              <w:t>which encourage patients to set their own achievement goals and build their care plan</w:t>
            </w:r>
            <w:r>
              <w:t xml:space="preserve"> </w:t>
            </w:r>
          </w:p>
          <w:p w:rsidR="007D48A5" w:rsidP="00756DF5">
            <w:pPr>
              <w:pStyle w:val="ListParagraph"/>
              <w:numPr>
                <w:ilvl w:val="0"/>
                <w:numId w:val="9"/>
              </w:numPr>
            </w:pPr>
            <w:r>
              <w:t xml:space="preserve">Work is now under way to consolidate the new model and to include other provision such as assertive outreach and personality disorder services so that patients with severe mental illness get the correct care, treatment and support </w:t>
            </w:r>
          </w:p>
          <w:p w:rsidR="007D48A5" w:rsidP="00756DF5">
            <w:pPr>
              <w:pStyle w:val="ListParagraph"/>
              <w:numPr>
                <w:ilvl w:val="0"/>
                <w:numId w:val="9"/>
              </w:numPr>
            </w:pPr>
            <w:r>
              <w:t>This work is being carried out in collaboration with patients as part of the Trust’s approach to involving patients, families and carers (see section 1a) and to integrate patients more fully with community mental health teams so that the service is more responsive for everyone who needs it</w:t>
            </w:r>
          </w:p>
          <w:p w:rsidR="007D48A5" w:rsidP="00F97E95"/>
          <w:p w:rsidR="007D48A5" w:rsidP="00F97E95">
            <w:r>
              <w:t>Wider context in relation to the Framework:</w:t>
            </w:r>
          </w:p>
          <w:p w:rsidR="007D48A5" w:rsidP="00A32A94">
            <w:pPr>
              <w:pStyle w:val="ListParagraph"/>
              <w:numPr>
                <w:ilvl w:val="0"/>
                <w:numId w:val="9"/>
              </w:numPr>
            </w:pPr>
            <w:r>
              <w:t>This work is focused on the NHS’</w:t>
            </w:r>
            <w:r>
              <w:t>s</w:t>
            </w:r>
            <w:r>
              <w:t xml:space="preserve"> national</w:t>
            </w:r>
            <w:r>
              <w:t xml:space="preserve"> move away from the </w:t>
            </w:r>
            <w:r>
              <w:t xml:space="preserve">previous </w:t>
            </w:r>
            <w:r>
              <w:t xml:space="preserve">Care Programme Approach (CPA) model as part of the </w:t>
            </w:r>
            <w:r>
              <w:t xml:space="preserve">national programme to provide </w:t>
            </w:r>
            <w:r>
              <w:t xml:space="preserve">a </w:t>
            </w:r>
            <w:r>
              <w:t xml:space="preserve">higher quality universal offer </w:t>
            </w:r>
            <w:r>
              <w:t>to people with severe mental illness</w:t>
            </w:r>
          </w:p>
          <w:p w:rsidR="007D48A5" w:rsidP="00A32A94">
            <w:pPr>
              <w:pStyle w:val="ListParagraph"/>
              <w:numPr>
                <w:ilvl w:val="0"/>
                <w:numId w:val="9"/>
              </w:numPr>
            </w:pPr>
            <w:r>
              <w:t xml:space="preserve">In Essex, a large programme of work will take place during </w:t>
            </w:r>
            <w:r>
              <w:t xml:space="preserve">2025/26 to roll out </w:t>
            </w:r>
            <w:r>
              <w:t xml:space="preserve">the care coordinator </w:t>
            </w:r>
            <w:r>
              <w:t xml:space="preserve">role to </w:t>
            </w:r>
            <w:r>
              <w:t xml:space="preserve">the entire health and care </w:t>
            </w:r>
            <w:r>
              <w:t>system</w:t>
            </w:r>
            <w:r>
              <w:t>, so that voluntary sector and social care teams can also provide care coordinators</w:t>
            </w:r>
          </w:p>
          <w:p w:rsidR="007D48A5" w:rsidP="00A32A94">
            <w:pPr>
              <w:pStyle w:val="ListParagraph"/>
              <w:numPr>
                <w:ilvl w:val="0"/>
                <w:numId w:val="9"/>
              </w:numPr>
            </w:pPr>
            <w:r>
              <w:t>This approach will mean that patients are treated and supported in a more personal and less medicalised way, and can be cared</w:t>
            </w:r>
            <w:r>
              <w:t xml:space="preserve"> for by any</w:t>
            </w:r>
            <w:r>
              <w:t xml:space="preserve"> appropriate professional</w:t>
            </w:r>
            <w:r>
              <w:t xml:space="preserve"> in the system</w:t>
            </w:r>
            <w:r>
              <w:t>,</w:t>
            </w:r>
            <w:r>
              <w:t xml:space="preserve"> which is then “always open” </w:t>
            </w:r>
            <w:r>
              <w:t xml:space="preserve">for patients and </w:t>
            </w:r>
            <w:r>
              <w:t>can react better to immediate need</w:t>
            </w:r>
          </w:p>
          <w:p w:rsidR="007D48A5" w:rsidP="00A32A94">
            <w:pPr>
              <w:pStyle w:val="ListParagraph"/>
              <w:numPr>
                <w:ilvl w:val="0"/>
                <w:numId w:val="9"/>
              </w:numPr>
            </w:pPr>
            <w:r>
              <w:t>Pilots of integrated neighbourhood teams are already in place and have good buy-in from professionals and organisations</w:t>
            </w:r>
          </w:p>
          <w:p w:rsidR="007D48A5" w:rsidP="00190EE2">
            <w:pPr>
              <w:pStyle w:val="ListParagraph"/>
              <w:numPr>
                <w:ilvl w:val="0"/>
                <w:numId w:val="9"/>
              </w:numPr>
            </w:pPr>
            <w:r>
              <w:t xml:space="preserve">As part of this work, Essex will introduce a new approach to providing care plans, where each local system has one plan based on county-level protocols which is focused on a patient’s goal attainment and goal-based outcomes </w:t>
            </w:r>
          </w:p>
          <w:p w:rsidR="007D48A5" w:rsidP="00172497">
            <w:pPr>
              <w:pStyle w:val="ListParagraph"/>
              <w:numPr>
                <w:ilvl w:val="0"/>
                <w:numId w:val="9"/>
              </w:numPr>
            </w:pPr>
            <w:r>
              <w:t xml:space="preserve">This approach will help system partners report on how the patient feels, their progress on their recovery journey and whether they feel they are achieving their agreed goals. This is expected to result in </w:t>
            </w:r>
            <w:r>
              <w:t>a reduction in patie</w:t>
            </w:r>
            <w:r>
              <w:t xml:space="preserve">nts who “drift” through the care process with infrequent reviews and no defined process/outcomes – it makes the process more transparent as each patient agrees their care plan with their treating team </w:t>
            </w:r>
          </w:p>
          <w:p w:rsidR="007D48A5" w:rsidP="000718BC"/>
        </w:tc>
      </w:tr>
    </w:tbl>
    <w:p w:rsidR="007D48A5" w:rsidP="00AD6057"/>
    <w:p w:rsidR="007D48A5" w:rsidP="00AD6057"/>
    <w:tbl>
      <w:tblPr>
        <w:tblStyle w:val="TableGrid"/>
        <w:tblW w:w="0" w:type="auto"/>
        <w:tblBorders>
          <w:top w:val="nil"/>
          <w:left w:val="nil"/>
          <w:bottom w:val="nil"/>
          <w:right w:val="nil"/>
          <w:insideH w:val="nil"/>
          <w:insideV w:val="nil"/>
        </w:tblBorders>
        <w:tblLook w:val="04A0"/>
      </w:tblPr>
      <w:tblGrid>
        <w:gridCol w:w="9016"/>
      </w:tblGrid>
      <w:tr w:rsidTr="007D48A5">
        <w:tblPrEx>
          <w:tblW w:w="0" w:type="auto"/>
          <w:tblBorders>
            <w:top w:val="nil"/>
            <w:left w:val="nil"/>
            <w:bottom w:val="nil"/>
            <w:right w:val="nil"/>
            <w:insideH w:val="nil"/>
            <w:insideV w:val="nil"/>
          </w:tblBorders>
          <w:tblLook w:val="04A0"/>
        </w:tblPrEx>
        <w:tc>
          <w:tcPr>
            <w:tcW w:w="9016" w:type="dxa"/>
          </w:tcPr>
          <w:p w:rsidR="007D48A5" w:rsidP="00D75FEC">
            <w:r w:rsidRPr="00D75FEC">
              <w:rPr>
                <w:b/>
              </w:rPr>
              <w:t>4.   How can community mental health services work with social care, the third sector and local government to better address service users’ health and wider social needs that are wider determinants of mental health outcomes? How could the funding system be reformed to more effectively drive transformation in the delivery of integrated and person-centred community mental health services?</w:t>
            </w:r>
          </w:p>
        </w:tc>
      </w:tr>
      <w:tr w:rsidTr="007D48A5">
        <w:tblPrEx>
          <w:tblW w:w="0" w:type="auto"/>
          <w:tblLook w:val="04A0"/>
        </w:tblPrEx>
        <w:tc>
          <w:tcPr>
            <w:tcW w:w="9016" w:type="dxa"/>
          </w:tcPr>
          <w:p w:rsidR="007D48A5" w:rsidP="00BC64F6">
            <w:pPr>
              <w:pStyle w:val="ListParagraph"/>
              <w:numPr>
                <w:ilvl w:val="0"/>
                <w:numId w:val="7"/>
              </w:numPr>
            </w:pPr>
            <w:r>
              <w:t xml:space="preserve">Mental health services often work closely with social work teams under arrangements that fall under Section 75 of the Health and Social Care Act, which enables NHS trusts and local authorities to pool budgets for some </w:t>
            </w:r>
            <w:r>
              <w:t>services</w:t>
            </w:r>
          </w:p>
          <w:p w:rsidR="007D48A5" w:rsidP="00BC64F6">
            <w:pPr>
              <w:pStyle w:val="ListParagraph"/>
              <w:numPr>
                <w:ilvl w:val="0"/>
                <w:numId w:val="7"/>
              </w:numPr>
            </w:pPr>
            <w:r>
              <w:t xml:space="preserve">There is a current trend of local authorities pulling out of such arrangements and taking social workers out of local community mental health teams, usually because of other cost pressures and service demands in other areas of their services. This can destabilise local mental health teams, with the NHS provider then left to pick up cases which were being </w:t>
            </w:r>
            <w:r>
              <w:t>held by social work colleagues, adding to staffing pressures and cost and decreasing contact with patients</w:t>
            </w:r>
          </w:p>
          <w:p w:rsidR="007D48A5" w:rsidP="00BC64F6">
            <w:pPr>
              <w:pStyle w:val="ListParagraph"/>
              <w:numPr>
                <w:ilvl w:val="0"/>
                <w:numId w:val="7"/>
              </w:numPr>
            </w:pPr>
            <w:r>
              <w:t xml:space="preserve">Moving to a </w:t>
            </w:r>
            <w:r>
              <w:t xml:space="preserve">standardised </w:t>
            </w:r>
            <w:r>
              <w:t xml:space="preserve">pooled management and pooled budget approach would </w:t>
            </w:r>
            <w:r>
              <w:t>jointly benefit both NHS and local authority providers</w:t>
            </w:r>
            <w:r>
              <w:t xml:space="preserve"> </w:t>
            </w:r>
          </w:p>
          <w:p w:rsidR="007D48A5" w:rsidP="00F27419">
            <w:pPr>
              <w:pStyle w:val="ListParagraph"/>
              <w:numPr>
                <w:ilvl w:val="0"/>
                <w:numId w:val="7"/>
              </w:numPr>
            </w:pPr>
            <w:r>
              <w:t>W</w:t>
            </w:r>
            <w:r>
              <w:t>here funding follows the patient</w:t>
            </w:r>
            <w:r>
              <w:t xml:space="preserve"> and there are more opportunities for joint funding provision, </w:t>
            </w:r>
            <w:r>
              <w:t xml:space="preserve">social workers can jointly manage patients with healthcare colleagues. For example, social workers </w:t>
            </w:r>
            <w:r>
              <w:t xml:space="preserve">can </w:t>
            </w:r>
            <w:r>
              <w:t>block or spot purchase temporary accommodation which can be used to help support a medically fit patient in a mental health bed who is unable to leave because they have nowhere to live</w:t>
            </w:r>
            <w:r>
              <w:t xml:space="preserve"> – this is generally not something healthcare professionals can do</w:t>
            </w:r>
          </w:p>
          <w:p w:rsidR="007D48A5" w:rsidP="00F27419">
            <w:pPr>
              <w:pStyle w:val="ListParagraph"/>
              <w:numPr>
                <w:ilvl w:val="0"/>
                <w:numId w:val="7"/>
              </w:numPr>
            </w:pPr>
            <w:r>
              <w:t>Funding processes should also aim to drive deeper integration and close the gap between secondary mental health care and primary care</w:t>
            </w:r>
          </w:p>
          <w:p w:rsidR="007D48A5" w:rsidP="007B6F9F"/>
        </w:tc>
      </w:tr>
    </w:tbl>
    <w:p w:rsidR="007D48A5" w:rsidP="00AD6057"/>
    <w:p w:rsidR="007D48A5" w:rsidP="00AD6057">
      <w:pPr>
        <w:rPr>
          <w:u w:val="single"/>
        </w:rPr>
      </w:pPr>
    </w:p>
    <w:tbl>
      <w:tblPr>
        <w:tblStyle w:val="TableGrid"/>
        <w:tblW w:w="0" w:type="auto"/>
        <w:tblBorders>
          <w:top w:val="nil"/>
          <w:left w:val="nil"/>
          <w:bottom w:val="nil"/>
          <w:right w:val="nil"/>
          <w:insideH w:val="nil"/>
          <w:insideV w:val="nil"/>
        </w:tblBorders>
        <w:tblLook w:val="04A0"/>
      </w:tblPr>
      <w:tblGrid>
        <w:gridCol w:w="9016"/>
      </w:tblGrid>
      <w:tr w:rsidTr="007D48A5">
        <w:tblPrEx>
          <w:tblW w:w="0" w:type="auto"/>
          <w:tblBorders>
            <w:top w:val="nil"/>
            <w:left w:val="nil"/>
            <w:bottom w:val="nil"/>
            <w:right w:val="nil"/>
            <w:insideH w:val="nil"/>
            <w:insideV w:val="nil"/>
          </w:tblBorders>
          <w:tblLook w:val="04A0"/>
        </w:tblPrEx>
        <w:tc>
          <w:tcPr>
            <w:tcW w:w="9016" w:type="dxa"/>
          </w:tcPr>
          <w:p w:rsidR="007D48A5" w:rsidRPr="00D75FEC" w:rsidP="00AD6057">
            <w:pPr>
              <w:rPr>
                <w:b/>
              </w:rPr>
            </w:pPr>
            <w:r w:rsidRPr="00D75FEC">
              <w:rPr>
                <w:b/>
              </w:rPr>
              <w:t xml:space="preserve">5.  </w:t>
            </w:r>
            <w:r>
              <w:rPr>
                <w:b/>
              </w:rPr>
              <w:t xml:space="preserve">  </w:t>
            </w:r>
            <w:r w:rsidRPr="00D75FEC">
              <w:rPr>
                <w:b/>
              </w:rPr>
              <w:t>What blockers or enablers should policy interventions prioritise addressing to improve the integration of person-centred community mental health care?</w:t>
            </w:r>
          </w:p>
        </w:tc>
      </w:tr>
      <w:tr w:rsidTr="007D48A5">
        <w:tblPrEx>
          <w:tblW w:w="0" w:type="auto"/>
          <w:tblLook w:val="04A0"/>
        </w:tblPrEx>
        <w:tc>
          <w:tcPr>
            <w:tcW w:w="9016" w:type="dxa"/>
          </w:tcPr>
          <w:p w:rsidR="007D48A5" w:rsidRPr="001D1F37" w:rsidP="00D75FEC">
            <w:pPr>
              <w:rPr>
                <w:color w:val="000000" w:themeColor="text1"/>
              </w:rPr>
            </w:pPr>
            <w:r w:rsidRPr="001D1F37">
              <w:rPr>
                <w:color w:val="000000" w:themeColor="text1"/>
              </w:rPr>
              <w:t>A focus on integrating budgets and management for health and social care as described in section 4 is essential. There needs to be a cross party non-political approach that takes a long term view of funding, focusing on the key determinants of health, including housing, education, career support and better integration of physical and mental health care.</w:t>
            </w:r>
            <w:r>
              <w:rPr>
                <w:color w:val="000000" w:themeColor="text1"/>
              </w:rPr>
              <w:t xml:space="preserve"> This approach also needs to consider and ameliorate the </w:t>
            </w:r>
            <w:r>
              <w:rPr>
                <w:color w:val="000000" w:themeColor="text1"/>
              </w:rPr>
              <w:t xml:space="preserve">barriers to </w:t>
            </w:r>
            <w:r>
              <w:rPr>
                <w:color w:val="000000" w:themeColor="text1"/>
              </w:rPr>
              <w:t>providing integrated care which are caused by organisational boundaries, different approaches between health and care organisations and differing professional interests and priorities.</w:t>
            </w:r>
          </w:p>
          <w:p w:rsidR="007D48A5" w:rsidP="00D75FEC">
            <w:pPr>
              <w:rPr>
                <w:color w:val="0070C0"/>
              </w:rPr>
            </w:pPr>
          </w:p>
          <w:p w:rsidR="007D48A5" w:rsidP="00D75FEC">
            <w:pPr>
              <w:rPr>
                <w:color w:val="0070C0"/>
              </w:rPr>
            </w:pPr>
            <w:r w:rsidRPr="001D1F37">
              <w:rPr>
                <w:color w:val="000000" w:themeColor="text1"/>
              </w:rPr>
              <w:t xml:space="preserve">Funding for voluntary sector organisations – which play a huge part in supporting patients, families and carers and in delivering services – is often “hand to mouth” with no long-term  certainty which makes it significantly more difficult for such organisations to plan, recruit staff and integrate within wider health and care systems. A recent Health Service Journal article highlighted the issue of reduced funding for the voluntary sector within ICB budgets - </w:t>
            </w:r>
            <w:r>
              <w:fldChar w:fldCharType="begin"/>
            </w:r>
            <w:r>
              <w:instrText xml:space="preserve"> HYPERLINK "https://www.hsj.co.uk/integrated-care/revealed-14-icbs-cutting-spend-on-the-third-sector/7038480.article" </w:instrText>
            </w:r>
            <w:r>
              <w:fldChar w:fldCharType="separate"/>
            </w:r>
            <w:r w:rsidRPr="001450D3">
              <w:rPr>
                <w:rStyle w:val="Hyperlink"/>
              </w:rPr>
              <w:t>https://www.hsj.co.uk/integrated-care/revealed-14-icbs-cutting-spend-on-the-third-sector/7038480.article</w:t>
            </w:r>
            <w:r>
              <w:fldChar w:fldCharType="end"/>
            </w:r>
            <w:r>
              <w:rPr>
                <w:color w:val="0070C0"/>
              </w:rPr>
              <w:t xml:space="preserve"> </w:t>
            </w:r>
          </w:p>
          <w:p w:rsidR="007D48A5" w:rsidP="00AD6057">
            <w:pPr>
              <w:rPr>
                <w:u w:val="single"/>
              </w:rPr>
            </w:pPr>
          </w:p>
        </w:tc>
      </w:tr>
    </w:tbl>
    <w:p w:rsidR="007D48A5" w:rsidP="00AD6057">
      <w:pPr>
        <w:rPr>
          <w:u w:val="single"/>
        </w:rPr>
      </w:pPr>
    </w:p>
    <w:p w:rsidR="007D48A5" w:rsidP="00AD6057"/>
    <w:p w:rsidR="007D48A5" w:rsidP="00AD6057"/>
    <w:tbl>
      <w:tblPr>
        <w:tblStyle w:val="TableGrid"/>
        <w:tblW w:w="0" w:type="auto"/>
        <w:tblLook w:val="04A0"/>
      </w:tblPr>
      <w:tblGrid>
        <w:gridCol w:w="9016"/>
      </w:tblGrid>
      <w:tr w:rsidTr="007D48A5">
        <w:tblPrEx>
          <w:tblW w:w="0" w:type="auto"/>
          <w:tblLook w:val="04A0"/>
        </w:tblPrEx>
        <w:tc>
          <w:tcPr>
            <w:tcW w:w="9016" w:type="dxa"/>
            <w:tcBorders>
              <w:top w:val="nil"/>
              <w:left w:val="nil"/>
              <w:bottom w:val="nil"/>
              <w:right w:val="nil"/>
            </w:tcBorders>
          </w:tcPr>
          <w:p w:rsidR="007D48A5" w:rsidRPr="00D75FEC" w:rsidP="00AD6057">
            <w:pPr>
              <w:rPr>
                <w:b/>
              </w:rPr>
            </w:pPr>
            <w:r>
              <w:rPr>
                <w:b/>
              </w:rPr>
              <w:t>6</w:t>
            </w:r>
            <w:r>
              <w:rPr>
                <w:b/>
              </w:rPr>
              <w:t>.</w:t>
            </w:r>
            <w:r>
              <w:rPr>
                <w:b/>
              </w:rPr>
              <w:t xml:space="preserve"> </w:t>
            </w:r>
            <w:r>
              <w:rPr>
                <w:b/>
              </w:rPr>
              <w:t xml:space="preserve">  </w:t>
            </w:r>
            <w:r w:rsidRPr="00D75FEC">
              <w:rPr>
                <w:b/>
              </w:rPr>
              <w:t>What are the examples of good or innovative practice in community mental health services? What needs to happen to scale up the adoption of these services?</w:t>
            </w:r>
          </w:p>
        </w:tc>
      </w:tr>
      <w:tr w:rsidTr="007D48A5">
        <w:tblPrEx>
          <w:tblW w:w="0" w:type="auto"/>
          <w:tblLook w:val="04A0"/>
        </w:tblPrEx>
        <w:tc>
          <w:tcPr>
            <w:tcW w:w="9016" w:type="dxa"/>
            <w:tcBorders>
              <w:top w:val="nil"/>
              <w:left w:val="nil"/>
              <w:bottom w:val="nil"/>
              <w:right w:val="nil"/>
            </w:tcBorders>
          </w:tcPr>
          <w:p w:rsidR="007D48A5" w:rsidP="00D75FEC">
            <w:r>
              <w:t xml:space="preserve">EPUT works closely with its system partners to </w:t>
            </w:r>
            <w:r>
              <w:t>introduce innovative services that support people with mental health needs and enable them to remain safe</w:t>
            </w:r>
            <w:r>
              <w:t>ly</w:t>
            </w:r>
            <w:r>
              <w:t xml:space="preserve"> at home/in the community. Examples include:</w:t>
            </w:r>
          </w:p>
          <w:p w:rsidR="007D48A5" w:rsidP="00D75FEC">
            <w:pPr>
              <w:pStyle w:val="ListParagraph"/>
              <w:numPr>
                <w:ilvl w:val="0"/>
                <w:numId w:val="2"/>
              </w:numPr>
            </w:pPr>
            <w:r w:rsidRPr="00F75FFB">
              <w:rPr>
                <w:b/>
              </w:rPr>
              <w:t>Running mental health joint response vehicles</w:t>
            </w:r>
            <w:r>
              <w:t xml:space="preserve"> with colleagues at the East of England Ambulance Service – the vehicles typically operate between 1pm and 1am every day and are </w:t>
            </w:r>
            <w:r>
              <w:t>s</w:t>
            </w:r>
            <w:r>
              <w:t xml:space="preserve">taffed by a senior mental health practitioner and an advanced paramedic who can triage and treat patients experiencing a mental </w:t>
            </w:r>
            <w:r>
              <w:t xml:space="preserve">health crisis. On average, </w:t>
            </w:r>
            <w:r>
              <w:t xml:space="preserve">over 80 per cent of patients seen by the service avoid being taken to an acute hospital A&amp;E or </w:t>
            </w:r>
            <w:r>
              <w:t xml:space="preserve">being admitted </w:t>
            </w:r>
            <w:r>
              <w:t>to a mental health inpatient ward</w:t>
            </w:r>
          </w:p>
          <w:p w:rsidR="007D48A5" w:rsidP="00D75FEC">
            <w:pPr>
              <w:pStyle w:val="ListParagraph"/>
              <w:numPr>
                <w:ilvl w:val="0"/>
                <w:numId w:val="2"/>
              </w:numPr>
            </w:pPr>
            <w:r w:rsidRPr="00F75FFB">
              <w:rPr>
                <w:b/>
              </w:rPr>
              <w:t>Working with system partners to introduce a dedicated mental health urgent care department at Basildon Hospital</w:t>
            </w:r>
            <w:r>
              <w:t xml:space="preserve"> which avoids the need for patients experiencing a mental health crisis to be seen in an acute hospital A&amp;E. Most patients attending the department – whether voluntarily or via ambulance transfer – are assessed and can leave within five hours, with a treatment plan in place. The department s</w:t>
            </w:r>
            <w:r w:rsidRPr="009C1311">
              <w:t xml:space="preserve">upports </w:t>
            </w:r>
            <w:r>
              <w:t xml:space="preserve">the </w:t>
            </w:r>
            <w:r w:rsidRPr="009C1311">
              <w:t>entire Mid and South Essex system by improving flow within the urgent care pathway, reducing ambulance handover times and helping reduce mental health A&amp;E 12hour trolley wait breaches by over 90%</w:t>
            </w:r>
          </w:p>
          <w:p w:rsidR="007D48A5" w:rsidP="00D75FEC">
            <w:pPr>
              <w:pStyle w:val="ListParagraph"/>
              <w:numPr>
                <w:ilvl w:val="0"/>
                <w:numId w:val="2"/>
              </w:numPr>
            </w:pPr>
            <w:r>
              <w:t xml:space="preserve">Working with VCSE organisations such as Trust Links to provide therapeutic activities </w:t>
            </w:r>
          </w:p>
          <w:p w:rsidR="007D48A5" w:rsidP="00D75FEC">
            <w:pPr>
              <w:pStyle w:val="ListParagraph"/>
              <w:numPr>
                <w:ilvl w:val="0"/>
                <w:numId w:val="2"/>
              </w:numPr>
            </w:pPr>
            <w:r>
              <w:t>Providing employment support services in partnership with specialist providers, helping people to re-enter the world of work</w:t>
            </w:r>
            <w:r>
              <w:t xml:space="preserve"> after a long period of absence because of mental ill health</w:t>
            </w:r>
          </w:p>
          <w:p w:rsidR="007D48A5" w:rsidP="00D75FEC">
            <w:pPr>
              <w:pStyle w:val="ListParagraph"/>
              <w:numPr>
                <w:ilvl w:val="0"/>
                <w:numId w:val="2"/>
              </w:numPr>
            </w:pPr>
            <w:r>
              <w:t xml:space="preserve">Financial literacy support to give people with mental health needs the confidence to manage their money and create a budget that enables them to live independently. EPUT runs dedicated services </w:t>
            </w:r>
            <w:r>
              <w:fldChar w:fldCharType="begin"/>
            </w:r>
            <w:r>
              <w:instrText xml:space="preserve"> HYPERLINK "https://eput.nhs.uk/news-events/posts/financial-wellbeing-programme-to-help-more-people/" </w:instrText>
            </w:r>
            <w:r>
              <w:fldChar w:fldCharType="separate"/>
            </w:r>
            <w:r w:rsidRPr="006776F3">
              <w:rPr>
                <w:rStyle w:val="Hyperlink"/>
              </w:rPr>
              <w:t>for patients in the community</w:t>
            </w:r>
            <w:r>
              <w:fldChar w:fldCharType="end"/>
            </w:r>
            <w:r>
              <w:t xml:space="preserve"> and </w:t>
            </w:r>
            <w:r>
              <w:fldChar w:fldCharType="begin"/>
            </w:r>
            <w:r>
              <w:instrText xml:space="preserve"> HYPERLINK "https://eput.nhs.uk/news-events/posts/financial-wellbeing-programme-for-patients/" </w:instrText>
            </w:r>
            <w:r>
              <w:fldChar w:fldCharType="separate"/>
            </w:r>
            <w:r w:rsidRPr="006776F3">
              <w:rPr>
                <w:rStyle w:val="Hyperlink"/>
              </w:rPr>
              <w:t>those who are preparing to be discharged from inpatient care</w:t>
            </w:r>
            <w:r>
              <w:fldChar w:fldCharType="end"/>
            </w:r>
          </w:p>
          <w:p w:rsidR="007D48A5" w:rsidP="00D75FEC">
            <w:pPr>
              <w:pStyle w:val="ListParagraph"/>
              <w:numPr>
                <w:ilvl w:val="0"/>
                <w:numId w:val="2"/>
              </w:numPr>
            </w:pPr>
            <w:r>
              <w:t xml:space="preserve">Specialist perinatal services covering all aspects of perinatal mental health, including specific support for people who have been significantly affected after experiencing miscarriage, still births, neonatal deaths or planned terminations. EPUT’s </w:t>
            </w:r>
            <w:r>
              <w:fldChar w:fldCharType="begin"/>
            </w:r>
            <w:r>
              <w:instrText xml:space="preserve"> HYPERLINK "https://eput.nhs.uk/our-services/by-your-side-maternal-mental-health-service/" </w:instrText>
            </w:r>
            <w:r>
              <w:fldChar w:fldCharType="separate"/>
            </w:r>
            <w:r w:rsidRPr="006776F3">
              <w:rPr>
                <w:rStyle w:val="Hyperlink"/>
              </w:rPr>
              <w:t>By Your Side service</w:t>
            </w:r>
            <w:r>
              <w:fldChar w:fldCharType="end"/>
            </w:r>
            <w:r>
              <w:t xml:space="preserve"> supports people registered with a GP in south west, south east, west and mid Essex </w:t>
            </w:r>
          </w:p>
          <w:p w:rsidR="007D48A5" w:rsidP="004538D7">
            <w:pPr>
              <w:pStyle w:val="ListParagraph"/>
              <w:numPr>
                <w:ilvl w:val="0"/>
                <w:numId w:val="2"/>
              </w:numPr>
            </w:pPr>
            <w:r>
              <w:t xml:space="preserve">EPUT works with </w:t>
            </w:r>
            <w:r>
              <w:fldChar w:fldCharType="begin"/>
            </w:r>
            <w:r>
              <w:instrText xml:space="preserve"> HYPERLINK "https://eput.nhs.uk/news-events/posts/the-therapeutic-benefits-of-fishing/" </w:instrText>
            </w:r>
            <w:r>
              <w:fldChar w:fldCharType="separate"/>
            </w:r>
            <w:r w:rsidRPr="004538D7">
              <w:rPr>
                <w:rStyle w:val="Hyperlink"/>
              </w:rPr>
              <w:t>iCARP (Investigating Countryside and Angling Research Projects)</w:t>
            </w:r>
            <w:r>
              <w:fldChar w:fldCharType="end"/>
            </w:r>
            <w:r>
              <w:t xml:space="preserve"> to run a tailored </w:t>
            </w:r>
            <w:r>
              <w:t xml:space="preserve">activity </w:t>
            </w:r>
            <w:r>
              <w:t xml:space="preserve">programme which </w:t>
            </w:r>
            <w:r>
              <w:t>helps people improve and manage their mental and emotional wellbeing</w:t>
            </w:r>
          </w:p>
          <w:p w:rsidR="007D48A5" w:rsidP="005A1771"/>
          <w:p w:rsidR="007D48A5" w:rsidRPr="00133131" w:rsidP="005A1771">
            <w:pPr>
              <w:rPr>
                <w:b/>
              </w:rPr>
            </w:pPr>
            <w:r w:rsidRPr="00133131">
              <w:rPr>
                <w:b/>
              </w:rPr>
              <w:t>Delivering integrated primary care mental health services</w:t>
            </w:r>
          </w:p>
          <w:p w:rsidR="007D48A5" w:rsidP="00877DBB">
            <w:pPr>
              <w:pStyle w:val="ListParagraph"/>
              <w:numPr>
                <w:ilvl w:val="0"/>
                <w:numId w:val="2"/>
              </w:numPr>
            </w:pPr>
            <w:r>
              <w:t>Across Essex</w:t>
            </w:r>
            <w:r>
              <w:t>, all primary care networks (PCNs) now have integrated community mental health services, with each practice having access to mental health nurses, occupational therapists, social workers, consultant psychiatrists</w:t>
            </w:r>
            <w:r>
              <w:t xml:space="preserve">, </w:t>
            </w:r>
            <w:r>
              <w:t>mental health pharmacists</w:t>
            </w:r>
            <w:r>
              <w:t>, care navigators and social prescribers</w:t>
            </w:r>
          </w:p>
          <w:p w:rsidR="007D48A5" w:rsidP="00877DBB">
            <w:pPr>
              <w:pStyle w:val="ListParagraph"/>
              <w:numPr>
                <w:ilvl w:val="0"/>
                <w:numId w:val="2"/>
              </w:numPr>
            </w:pPr>
            <w:r>
              <w:t xml:space="preserve">These professionals </w:t>
            </w:r>
            <w:r>
              <w:t>work alongside GPs</w:t>
            </w:r>
            <w:r>
              <w:t xml:space="preserve">, voluntary sector organisations </w:t>
            </w:r>
            <w:r>
              <w:t xml:space="preserve">and social care </w:t>
            </w:r>
            <w:r>
              <w:t xml:space="preserve">teams </w:t>
            </w:r>
            <w:r>
              <w:t xml:space="preserve">to deliver more integrated and </w:t>
            </w:r>
            <w:r>
              <w:t>joined</w:t>
            </w:r>
            <w:r>
              <w:t xml:space="preserve"> up </w:t>
            </w:r>
            <w:r>
              <w:t xml:space="preserve">support </w:t>
            </w:r>
            <w:r>
              <w:t xml:space="preserve">for people with </w:t>
            </w:r>
            <w:r>
              <w:t xml:space="preserve">mental health and social care </w:t>
            </w:r>
            <w:r>
              <w:t>needs</w:t>
            </w:r>
          </w:p>
          <w:p w:rsidR="007D48A5" w:rsidP="00877DBB">
            <w:pPr>
              <w:pStyle w:val="ListParagraph"/>
              <w:numPr>
                <w:ilvl w:val="0"/>
                <w:numId w:val="2"/>
              </w:numPr>
            </w:pPr>
            <w:r>
              <w:t xml:space="preserve">The result is easy and rapid access for patients, who can typically start treatment within three to five days of being seen by a GP </w:t>
            </w:r>
          </w:p>
          <w:p w:rsidR="007D48A5" w:rsidP="00133131">
            <w:pPr>
              <w:pStyle w:val="ListParagraph"/>
              <w:numPr>
                <w:ilvl w:val="0"/>
                <w:numId w:val="2"/>
              </w:numPr>
            </w:pPr>
            <w:r>
              <w:t>All the right elements are in place to also support patients who are being stepped down from secondary mental health care to primary care – patients can access the right services to support their own health needs, resulting in safer and more effective care, better outcomes and better flow of patients through the wider health and care system</w:t>
            </w:r>
            <w:r w:rsidRPr="00133131">
              <w:t xml:space="preserve"> </w:t>
            </w:r>
          </w:p>
          <w:p w:rsidR="007D48A5" w:rsidP="00133131">
            <w:pPr>
              <w:pStyle w:val="ListParagraph"/>
              <w:numPr>
                <w:ilvl w:val="0"/>
                <w:numId w:val="2"/>
              </w:numPr>
            </w:pPr>
            <w:r>
              <w:t xml:space="preserve">Essex GPs now have several </w:t>
            </w:r>
            <w:r>
              <w:t xml:space="preserve">mental health support </w:t>
            </w:r>
            <w:r>
              <w:t>options to signpost people to and also have a better understanding of the availability and purpose of these options</w:t>
            </w:r>
          </w:p>
          <w:p w:rsidR="007D48A5" w:rsidP="00AE6E92"/>
        </w:tc>
      </w:tr>
      <w:tr w:rsidTr="007D48A5">
        <w:tblPrEx>
          <w:tblW w:w="0" w:type="auto"/>
          <w:tblLook w:val="04A0"/>
        </w:tblPrEx>
        <w:tc>
          <w:tcPr>
            <w:tcW w:w="9016" w:type="dxa"/>
            <w:tcBorders>
              <w:top w:val="nil"/>
              <w:left w:val="nil"/>
              <w:bottom w:val="nil"/>
              <w:right w:val="nil"/>
            </w:tcBorders>
          </w:tcPr>
          <w:p w:rsidR="007D48A5" w:rsidP="00B638DE">
            <w:r>
              <w:rPr>
                <w:b/>
              </w:rPr>
              <w:t xml:space="preserve">6a.   </w:t>
            </w:r>
            <w:r>
              <w:rPr>
                <w:b/>
              </w:rPr>
              <w:t>S</w:t>
            </w:r>
            <w:r w:rsidRPr="006776F3">
              <w:rPr>
                <w:b/>
              </w:rPr>
              <w:t>cal</w:t>
            </w:r>
            <w:r>
              <w:rPr>
                <w:b/>
              </w:rPr>
              <w:t>ing</w:t>
            </w:r>
            <w:r w:rsidRPr="006776F3">
              <w:rPr>
                <w:b/>
              </w:rPr>
              <w:t xml:space="preserve"> up adoption of the</w:t>
            </w:r>
            <w:r>
              <w:rPr>
                <w:b/>
              </w:rPr>
              <w:t>se practices across the country</w:t>
            </w:r>
          </w:p>
          <w:p w:rsidR="007D48A5" w:rsidP="000718BC">
            <w:pPr>
              <w:pStyle w:val="ListParagraph"/>
              <w:numPr>
                <w:ilvl w:val="0"/>
                <w:numId w:val="10"/>
              </w:numPr>
            </w:pPr>
            <w:r>
              <w:t>We need a more sustainable funding model for VCSE organisations which provide services that support people with mental health needs</w:t>
            </w:r>
          </w:p>
          <w:p w:rsidR="007D48A5" w:rsidP="000718BC">
            <w:pPr>
              <w:pStyle w:val="ListParagraph"/>
              <w:numPr>
                <w:ilvl w:val="0"/>
                <w:numId w:val="10"/>
              </w:numPr>
            </w:pPr>
            <w:r>
              <w:t xml:space="preserve">Funding for VCSE organisations is </w:t>
            </w:r>
            <w:r>
              <w:t xml:space="preserve">far less certain than it is for statutory services and limits long term planning </w:t>
            </w:r>
            <w:r>
              <w:t xml:space="preserve">for </w:t>
            </w:r>
            <w:r>
              <w:t>service delivery</w:t>
            </w:r>
          </w:p>
          <w:p w:rsidR="007D48A5" w:rsidRPr="000718BC" w:rsidP="005E26C8">
            <w:pPr>
              <w:pStyle w:val="ListParagraph"/>
              <w:numPr>
                <w:ilvl w:val="0"/>
                <w:numId w:val="10"/>
              </w:numPr>
            </w:pPr>
            <w:r w:rsidRPr="000718BC">
              <w:t xml:space="preserve">Some of the most effective community mental health interventions are </w:t>
            </w:r>
            <w:r w:rsidRPr="000718BC">
              <w:t>delivered in partnership with VCSE organisations</w:t>
            </w:r>
            <w:r>
              <w:t xml:space="preserve"> – for example</w:t>
            </w:r>
            <w:r w:rsidRPr="000718BC">
              <w:t>, sanctuary crisis cafes and dedicated crisis houses which support local urgent and emergency care pathways by helping people avoid attendance at an A&amp;E or potential admission to an inpatient unit</w:t>
            </w:r>
          </w:p>
          <w:p w:rsidR="007D48A5" w:rsidP="00D75FEC"/>
        </w:tc>
      </w:tr>
    </w:tbl>
    <w:p w:rsidR="007D48A5" w:rsidP="00AD6057"/>
    <w:p w:rsidR="007D48A5" w:rsidRPr="007D48A5" w:rsidP="00AD6057">
      <w:pPr>
        <w:rPr>
          <w:b/>
          <w:bCs/>
          <w:i/>
          <w:iCs/>
        </w:rPr>
      </w:pPr>
      <w:r>
        <w:rPr>
          <w:b/>
          <w:bCs/>
          <w:i/>
          <w:iCs/>
        </w:rPr>
        <w:t>February 2025</w:t>
      </w:r>
    </w:p>
    <w:p w:rsidR="007D48A5" w:rsidP="00AD6057">
      <w:pPr>
        <w:rPr>
          <w:color w:val="0070C0"/>
        </w:rPr>
      </w:pPr>
    </w:p>
    <w:p w:rsidR="007D48A5" w:rsidP="00AD6057">
      <w:pPr>
        <w:rPr>
          <w:u w:val="single"/>
        </w:rPr>
      </w:pPr>
    </w:p>
    <w:p w:rsidR="007D48A5" w:rsidP="00AD6057"/>
    <w:p w:rsidR="007D48A5" w:rsidP="00AD6057"/>
    <w:p w:rsidR="007D48A5" w:rsidP="00AD6057"/>
    <w:p w:rsidR="007D48A5" w:rsidRPr="000C6845">
      <w:pPr>
        <w:rPr>
          <w:color w:val="0070C0"/>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2235E7"/>
    <w:multiLevelType w:val="hybridMultilevel"/>
    <w:tmpl w:val="285E069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0C226BF"/>
    <w:multiLevelType w:val="hybridMultilevel"/>
    <w:tmpl w:val="75721206"/>
    <w:lvl w:ilvl="0">
      <w:start w:val="1"/>
      <w:numFmt w:val="decimal"/>
      <w:lvlText w:val="%1)"/>
      <w:lvlJc w:val="left"/>
      <w:pPr>
        <w:ind w:left="720" w:hanging="360"/>
      </w:pPr>
      <w:rPr>
        <w:rFonts w:hint="default"/>
        <w:b/>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C0626E"/>
    <w:multiLevelType w:val="hybridMultilevel"/>
    <w:tmpl w:val="C2E42CB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300141AC"/>
    <w:multiLevelType w:val="hybridMultilevel"/>
    <w:tmpl w:val="36CEDB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30DE633F"/>
    <w:multiLevelType w:val="hybridMultilevel"/>
    <w:tmpl w:val="711217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414B0B9F"/>
    <w:multiLevelType w:val="hybridMultilevel"/>
    <w:tmpl w:val="386E3B6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4B595171"/>
    <w:multiLevelType w:val="hybridMultilevel"/>
    <w:tmpl w:val="3CB4481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644C1618"/>
    <w:multiLevelType w:val="hybridMultilevel"/>
    <w:tmpl w:val="875403C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A85490E"/>
    <w:multiLevelType w:val="hybridMultilevel"/>
    <w:tmpl w:val="CCA2DE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EBF3209"/>
    <w:multiLevelType w:val="hybridMultilevel"/>
    <w:tmpl w:val="4D9EF5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7"/>
  </w:num>
  <w:num w:numId="4">
    <w:abstractNumId w:val="0"/>
  </w:num>
  <w:num w:numId="5">
    <w:abstractNumId w:val="1"/>
  </w:num>
  <w:num w:numId="6">
    <w:abstractNumId w:val="4"/>
  </w:num>
  <w:num w:numId="7">
    <w:abstractNumId w:val="3"/>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42FDA75-3645-4517-9455-8077A74CD531}"/>
    <w:docVar w:name="dgnword-eventsink" w:val="458604024"/>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605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F1420"/>
    <w:rPr>
      <w:sz w:val="16"/>
      <w:szCs w:val="16"/>
    </w:rPr>
  </w:style>
  <w:style w:type="paragraph" w:styleId="CommentText">
    <w:name w:val="annotation text"/>
    <w:basedOn w:val="Normal"/>
    <w:link w:val="CommentTextChar"/>
    <w:uiPriority w:val="99"/>
    <w:unhideWhenUsed/>
    <w:rsid w:val="003F1420"/>
    <w:rPr>
      <w:sz w:val="20"/>
      <w:szCs w:val="20"/>
    </w:rPr>
  </w:style>
  <w:style w:type="character" w:customStyle="1" w:styleId="CommentTextChar">
    <w:name w:val="Comment Text Char"/>
    <w:basedOn w:val="DefaultParagraphFont"/>
    <w:link w:val="CommentText"/>
    <w:uiPriority w:val="99"/>
    <w:rsid w:val="003F1420"/>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3F1420"/>
    <w:rPr>
      <w:b/>
      <w:bCs/>
    </w:rPr>
  </w:style>
  <w:style w:type="character" w:customStyle="1" w:styleId="CommentSubjectChar">
    <w:name w:val="Comment Subject Char"/>
    <w:basedOn w:val="CommentTextChar"/>
    <w:link w:val="CommentSubject"/>
    <w:uiPriority w:val="99"/>
    <w:semiHidden/>
    <w:rsid w:val="003F1420"/>
    <w:rPr>
      <w:rFonts w:ascii="Calibri" w:hAnsi="Calibri" w:cs="Calibri"/>
      <w:b/>
      <w:bCs/>
      <w:sz w:val="20"/>
      <w:szCs w:val="20"/>
    </w:rPr>
  </w:style>
  <w:style w:type="paragraph" w:styleId="BalloonText">
    <w:name w:val="Balloon Text"/>
    <w:basedOn w:val="Normal"/>
    <w:link w:val="BalloonTextChar"/>
    <w:uiPriority w:val="99"/>
    <w:semiHidden/>
    <w:unhideWhenUsed/>
    <w:rsid w:val="00D232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267"/>
    <w:rPr>
      <w:rFonts w:ascii="Segoe UI" w:hAnsi="Segoe UI" w:cs="Segoe UI"/>
      <w:sz w:val="18"/>
      <w:szCs w:val="18"/>
    </w:rPr>
  </w:style>
  <w:style w:type="character" w:styleId="Hyperlink">
    <w:name w:val="Hyperlink"/>
    <w:basedOn w:val="DefaultParagraphFont"/>
    <w:uiPriority w:val="99"/>
    <w:unhideWhenUsed/>
    <w:rsid w:val="00136076"/>
    <w:rPr>
      <w:color w:val="0563C1" w:themeColor="hyperlink"/>
      <w:u w:val="single"/>
    </w:rPr>
  </w:style>
  <w:style w:type="paragraph" w:styleId="ListParagraph">
    <w:name w:val="List Paragraph"/>
    <w:basedOn w:val="Normal"/>
    <w:uiPriority w:val="34"/>
    <w:qFormat/>
    <w:rsid w:val="007424D4"/>
    <w:pPr>
      <w:ind w:left="720"/>
      <w:contextualSpacing/>
    </w:pPr>
  </w:style>
  <w:style w:type="table" w:styleId="TableGrid">
    <w:name w:val="Table Grid"/>
    <w:basedOn w:val="TableNormal"/>
    <w:uiPriority w:val="39"/>
    <w:rsid w:val="00D75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