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B000D" w:rsidRPr="00DB000D" w:rsidP="001F0B8B">
      <w:pPr>
        <w:rPr>
          <w:b/>
          <w:bCs/>
          <w:kern w:val="36"/>
          <w:sz w:val="28"/>
          <w:szCs w:val="28"/>
          <w:lang w:eastAsia="en-GB"/>
        </w:rPr>
      </w:pPr>
      <w:r w:rsidRPr="00DB000D">
        <w:rPr>
          <w:b/>
          <w:bCs/>
          <w:kern w:val="36"/>
          <w:sz w:val="28"/>
          <w:szCs w:val="28"/>
          <w:lang w:eastAsia="en-GB"/>
        </w:rPr>
        <w:t>Written evidence submitted by t</w:t>
      </w:r>
      <w:r w:rsidRPr="00DB000D">
        <w:rPr>
          <w:b/>
          <w:bCs/>
          <w:kern w:val="36"/>
          <w:sz w:val="28"/>
          <w:szCs w:val="28"/>
          <w:lang w:eastAsia="en-GB"/>
        </w:rPr>
        <w:t>he Policy and Innovation Group</w:t>
      </w:r>
      <w:r w:rsidRPr="00DB000D">
        <w:rPr>
          <w:b/>
          <w:bCs/>
          <w:kern w:val="36"/>
          <w:sz w:val="28"/>
          <w:szCs w:val="28"/>
          <w:lang w:eastAsia="en-GB"/>
        </w:rPr>
        <w:t>, University of Edinburgh (NRG0017)</w:t>
      </w:r>
    </w:p>
    <w:p w:rsidR="00DB000D" w:rsidP="001F0B8B">
      <w:pPr>
        <w:rPr>
          <w:kern w:val="36"/>
          <w:sz w:val="28"/>
          <w:szCs w:val="28"/>
          <w:lang w:eastAsia="en-GB"/>
        </w:rPr>
      </w:pPr>
    </w:p>
    <w:p w:rsidR="00DB000D" w:rsidP="001F0B8B">
      <w:pPr>
        <w:rPr>
          <w:sz w:val="28"/>
          <w:szCs w:val="28"/>
          <w:lang w:eastAsia="en-GB"/>
        </w:rPr>
      </w:pPr>
      <w:r w:rsidRPr="001F0B8B">
        <w:rPr>
          <w:kern w:val="36"/>
          <w:sz w:val="28"/>
          <w:szCs w:val="28"/>
          <w:lang w:eastAsia="en-GB"/>
        </w:rPr>
        <w:t>Call for Evidence</w:t>
      </w:r>
      <w:r w:rsidRPr="001F0B8B">
        <w:rPr>
          <w:kern w:val="36"/>
          <w:sz w:val="28"/>
          <w:szCs w:val="28"/>
          <w:lang w:eastAsia="en-GB"/>
        </w:rPr>
        <w:t xml:space="preserve">: </w:t>
      </w:r>
      <w:r w:rsidRPr="001F0B8B">
        <w:rPr>
          <w:sz w:val="28"/>
          <w:szCs w:val="28"/>
          <w:lang w:eastAsia="en-GB"/>
        </w:rPr>
        <w:t>GB Energy and the net zero transition</w:t>
      </w:r>
    </w:p>
    <w:p w:rsidR="00DB000D" w:rsidRPr="008B1254" w:rsidP="259B847E">
      <w:pPr>
        <w:rPr>
          <w:i/>
          <w:iCs/>
          <w:kern w:val="36"/>
          <w:lang w:eastAsia="en-GB"/>
        </w:rPr>
      </w:pPr>
      <w:r w:rsidRPr="008B1254">
        <w:rPr>
          <w:i/>
          <w:iCs/>
          <w:lang w:eastAsia="en-GB"/>
        </w:rPr>
        <w:t xml:space="preserve">The Policy and Innovation Group (hereafter referred to as the P&amp;IG) is a research group contained within the School of Engineering at the University of Edinburgh. </w:t>
      </w:r>
      <w:bookmarkStart w:id="0" w:name="_Int_kKeP3gxj"/>
      <w:r w:rsidRPr="008B1254">
        <w:rPr>
          <w:i/>
          <w:iCs/>
          <w:lang w:eastAsia="en-GB"/>
        </w:rPr>
        <w:t>The Policy and Innovation Group combines expertise in offshore energy technology, energy system organisations and institutions, and the wider policy and regulatory landscape.</w:t>
      </w:r>
      <w:bookmarkEnd w:id="0"/>
      <w:r w:rsidRPr="008B1254">
        <w:rPr>
          <w:i/>
          <w:iCs/>
          <w:lang w:eastAsia="en-GB"/>
        </w:rPr>
        <w:t xml:space="preserve"> They apply a range of quantitative and qualitative research tools and methods including energy system modelling, future transition scenarios, techno-economic analysis and innovation pathways. This leads to the development of policy guidance reports, energy system roadmaps and economic and energy system analysis for technology developer</w:t>
      </w:r>
      <w:r w:rsidRPr="008B1254">
        <w:rPr>
          <w:i/>
          <w:iCs/>
          <w:lang w:eastAsia="en-GB"/>
        </w:rPr>
        <w:t>s, public and private investment and government departments.</w:t>
      </w:r>
    </w:p>
    <w:p w:rsidR="00DB000D" w:rsidRPr="008B1254" w:rsidP="001F0B8B">
      <w:pPr>
        <w:rPr>
          <w:lang w:eastAsia="en-GB"/>
        </w:rPr>
      </w:pPr>
      <w:r w:rsidRPr="008B1254">
        <w:rPr>
          <w:lang w:eastAsia="en-GB"/>
        </w:rPr>
        <w:t xml:space="preserve">The Policy and Innovation Group welcomes the opportunity to contribute its </w:t>
      </w:r>
      <w:r w:rsidRPr="008B1254">
        <w:rPr>
          <w:lang w:eastAsia="en-GB"/>
        </w:rPr>
        <w:t xml:space="preserve">view, supported by its own findings, </w:t>
      </w:r>
      <w:r w:rsidRPr="008B1254">
        <w:rPr>
          <w:lang w:eastAsia="en-GB"/>
        </w:rPr>
        <w:t xml:space="preserve">to the Scottish Affairs Committee’s investigation into Scotland’s Net Zero energy sector transition. </w:t>
      </w:r>
      <w:r w:rsidRPr="008B1254">
        <w:rPr>
          <w:lang w:eastAsia="en-GB"/>
        </w:rPr>
        <w:t xml:space="preserve">The Policy and Innovation Group will provide a response to questions 3, 4 &amp; 5. </w:t>
      </w:r>
      <w:r w:rsidRPr="008B1254">
        <w:rPr>
          <w:lang w:eastAsia="en-GB"/>
        </w:rPr>
        <w:t xml:space="preserve">While the P&amp;IG specialises in energy policy research </w:t>
      </w:r>
      <w:r w:rsidRPr="008B1254">
        <w:rPr>
          <w:lang w:eastAsia="en-GB"/>
        </w:rPr>
        <w:t>for the ORE, with a particular focus on the tidal stream and wave energy sectors, we believe that the analysis presented within this response is widely applicable to a range of renewable energy technologies that Scotland may be considering as</w:t>
      </w:r>
      <w:r w:rsidRPr="008B1254">
        <w:rPr>
          <w:lang w:eastAsia="en-GB"/>
        </w:rPr>
        <w:t xml:space="preserve"> part of its future Net Zero energy system. </w:t>
      </w:r>
    </w:p>
    <w:p w:rsidR="00DB000D" w:rsidRPr="00C11E85" w:rsidP="00975619">
      <w:pPr>
        <w:ind w:left="720"/>
        <w:rPr>
          <w:b/>
          <w:bCs/>
          <w:sz w:val="24"/>
          <w:szCs w:val="24"/>
          <w:lang w:eastAsia="en-GB"/>
        </w:rPr>
      </w:pPr>
      <w:r w:rsidRPr="00C11E85">
        <w:rPr>
          <w:b/>
          <w:bCs/>
          <w:sz w:val="24"/>
          <w:szCs w:val="24"/>
          <w:lang w:eastAsia="en-GB"/>
        </w:rPr>
        <w:t>3. Are Scotland’s energy industry and associated supply chains well-placed to transition to clean energy generation, or is more support needed?</w:t>
      </w:r>
    </w:p>
    <w:p w:rsidR="00DB000D" w:rsidRPr="0060242B" w:rsidP="259B847E">
      <w:pPr>
        <w:rPr>
          <w:lang w:eastAsia="en-GB"/>
        </w:rPr>
      </w:pPr>
      <w:r w:rsidRPr="259B847E">
        <w:rPr>
          <w:lang w:eastAsia="en-GB"/>
        </w:rPr>
        <w:t xml:space="preserve">The Policy and Innovation Group believe that Scotland’s supply chains </w:t>
      </w:r>
      <w:r w:rsidRPr="259B847E">
        <w:rPr>
          <w:lang w:eastAsia="en-GB"/>
        </w:rPr>
        <w:t xml:space="preserve">require careful management in order to be ready for the forecasted increase in offshore renewable energy (ORE) </w:t>
      </w:r>
      <w:r w:rsidRPr="259B847E">
        <w:rPr>
          <w:lang w:eastAsia="en-GB"/>
        </w:rPr>
        <w:t>deployments</w:t>
      </w:r>
      <w:r w:rsidRPr="259B847E">
        <w:rPr>
          <w:lang w:eastAsia="en-GB"/>
        </w:rPr>
        <w:t xml:space="preserve"> </w:t>
      </w:r>
      <w:r w:rsidRPr="259B847E">
        <w:rPr>
          <w:lang w:eastAsia="en-GB"/>
        </w:rPr>
        <w:t>that will be required to meet both short-term and medium-term energy transition targets.</w:t>
      </w:r>
      <w:r w:rsidRPr="259B847E">
        <w:rPr>
          <w:lang w:eastAsia="en-GB"/>
        </w:rPr>
        <w:t xml:space="preserve"> This presents an immediate need to develop the supply chain to support these projects, since developers are already placing orders for components and considering infrastructure upgrades with long lead time items.</w:t>
      </w:r>
      <w:r w:rsidRPr="259B847E">
        <w:rPr>
          <w:lang w:eastAsia="en-GB"/>
        </w:rPr>
        <w:t xml:space="preserve"> In addition, </w:t>
      </w:r>
      <w:r w:rsidRPr="259B847E">
        <w:rPr>
          <w:lang w:eastAsia="en-GB"/>
        </w:rPr>
        <w:t xml:space="preserve">the development of </w:t>
      </w:r>
      <w:r w:rsidRPr="259B847E">
        <w:rPr>
          <w:lang w:eastAsia="en-GB"/>
        </w:rPr>
        <w:t xml:space="preserve">strong and robust </w:t>
      </w:r>
      <w:r w:rsidRPr="259B847E">
        <w:rPr>
          <w:lang w:eastAsia="en-GB"/>
        </w:rPr>
        <w:t xml:space="preserve">domestic supply chains is essential to ensure that </w:t>
      </w:r>
      <w:r w:rsidRPr="259B847E">
        <w:rPr>
          <w:lang w:eastAsia="en-GB"/>
        </w:rPr>
        <w:t xml:space="preserve">projects benefit from </w:t>
      </w:r>
      <w:r w:rsidRPr="259B847E">
        <w:rPr>
          <w:lang w:eastAsia="en-GB"/>
        </w:rPr>
        <w:t xml:space="preserve">high levels of Scottish content </w:t>
      </w:r>
      <w:r w:rsidRPr="259B847E">
        <w:rPr>
          <w:lang w:eastAsia="en-GB"/>
        </w:rPr>
        <w:t xml:space="preserve">and retain the socioeconomic gains associated with increases in GVA and jobs. </w:t>
      </w:r>
      <w:r w:rsidRPr="6EC8E370">
        <w:rPr>
          <w:lang w:eastAsia="en-GB"/>
        </w:rPr>
        <w:t xml:space="preserve">For example, the Scottish economy can expect to gain approximately </w:t>
      </w:r>
      <w:r w:rsidRPr="6EC8E370">
        <w:rPr>
          <w:lang w:eastAsia="en-GB"/>
        </w:rPr>
        <w:t>£8.7 billion in GVA from a successful domestic wave and tidal stream sector by 2050, a sector with huge export potential</w:t>
      </w:r>
      <w:r w:rsidRPr="6EC8E370">
        <w:rPr>
          <w:lang w:eastAsia="en-GB"/>
        </w:rPr>
        <w:t>, potentially £28 billion by 2050,</w:t>
      </w:r>
      <w:r w:rsidRPr="6EC8E370">
        <w:rPr>
          <w:lang w:eastAsia="en-GB"/>
        </w:rPr>
        <w:t xml:space="preserve"> and one in which Scotland is </w:t>
      </w:r>
      <w:r w:rsidRPr="6EC8E370">
        <w:rPr>
          <w:lang w:eastAsia="en-GB"/>
        </w:rPr>
        <w:t xml:space="preserve">currently </w:t>
      </w:r>
      <w:r w:rsidRPr="6EC8E370">
        <w:rPr>
          <w:lang w:eastAsia="en-GB"/>
        </w:rPr>
        <w:t>considered a market-leader</w:t>
      </w:r>
      <w:r w:rsidRPr="6EC8E370">
        <w:rPr>
          <w:lang w:eastAsia="en-GB"/>
        </w:rPr>
        <w:t xml:space="preserve">. </w:t>
      </w:r>
    </w:p>
    <w:p w:rsidR="00DB000D" w:rsidP="00AE1533">
      <w:pPr>
        <w:keepNext/>
        <w:jc w:val="center"/>
      </w:pPr>
      <w:r>
        <w:rPr>
          <w:noProof/>
        </w:rPr>
        <w:drawing>
          <wp:inline distT="0" distB="0" distL="0" distR="0">
            <wp:extent cx="2914141" cy="2328874"/>
            <wp:effectExtent l="0" t="0" r="0" b="0"/>
            <wp:docPr id="1721795664" name="Picture 1721795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Id8">
                      <a:extLst>
                        <a:ext uri="{28A0092B-C50C-407E-A947-70E740481C1C}">
                          <a14:useLocalDpi xmlns:a14="http://schemas.microsoft.com/office/drawing/2010/main" val="0"/>
                        </a:ext>
                      </a:extLst>
                    </a:blip>
                    <a:stretch>
                      <a:fillRect/>
                    </a:stretch>
                  </pic:blipFill>
                  <pic:spPr>
                    <a:xfrm>
                      <a:off x="0" y="0"/>
                      <a:ext cx="2914141" cy="2328874"/>
                    </a:xfrm>
                    <a:prstGeom prst="rect">
                      <a:avLst/>
                    </a:prstGeom>
                  </pic:spPr>
                </pic:pic>
              </a:graphicData>
            </a:graphic>
          </wp:inline>
        </w:drawing>
      </w:r>
    </w:p>
    <w:p w:rsidR="00DB000D" w:rsidP="00AE1533">
      <w:pPr>
        <w:pStyle w:val="Caption"/>
        <w:jc w:val="center"/>
      </w:pPr>
      <w:r>
        <w:t>GVA from projects in Scotland and rest of the UK</w:t>
      </w:r>
    </w:p>
    <w:p w:rsidR="00DB000D" w:rsidP="259B847E">
      <w:pPr>
        <w:rPr>
          <w:rFonts w:eastAsiaTheme="minorEastAsia"/>
          <w:lang w:eastAsia="en-GB"/>
        </w:rPr>
      </w:pPr>
      <w:r w:rsidRPr="259B847E">
        <w:rPr>
          <w:lang w:eastAsia="en-GB"/>
        </w:rPr>
        <w:t xml:space="preserve">In order for Scotland to remain amongst the leading nations developing </w:t>
      </w:r>
      <w:r w:rsidRPr="259B847E">
        <w:rPr>
          <w:lang w:eastAsia="en-GB"/>
        </w:rPr>
        <w:t xml:space="preserve">ORE technologies and continue to deliver devices with a </w:t>
      </w:r>
      <w:r w:rsidRPr="259B847E">
        <w:rPr>
          <w:rFonts w:eastAsiaTheme="minorEastAsia"/>
          <w:lang w:eastAsia="en-GB"/>
        </w:rPr>
        <w:t>high level Scottish content, it is important to assess Scottish capabilities with regards to the development of key device subsystems and areas of expertise.</w:t>
      </w:r>
      <w:r w:rsidRPr="259B847E">
        <w:rPr>
          <w:rFonts w:eastAsiaTheme="minorEastAsia"/>
          <w:lang w:eastAsia="en-GB"/>
        </w:rPr>
        <w:t xml:space="preserve"> The manufacture, configuration, assembly, and deployment of </w:t>
      </w:r>
      <w:r w:rsidRPr="259B847E">
        <w:rPr>
          <w:rFonts w:eastAsiaTheme="minorEastAsia"/>
          <w:lang w:eastAsia="en-GB"/>
        </w:rPr>
        <w:t>ORE</w:t>
      </w:r>
      <w:r w:rsidRPr="259B847E">
        <w:rPr>
          <w:rFonts w:eastAsiaTheme="minorEastAsia"/>
          <w:lang w:eastAsia="en-GB"/>
        </w:rPr>
        <w:t xml:space="preserve"> devices is a complex systems integration process and one that varies depending on the design</w:t>
      </w:r>
      <w:r w:rsidRPr="259B847E">
        <w:rPr>
          <w:rFonts w:eastAsiaTheme="minorEastAsia"/>
          <w:lang w:eastAsia="en-GB"/>
        </w:rPr>
        <w:t xml:space="preserve"> and location</w:t>
      </w:r>
      <w:r w:rsidRPr="259B847E">
        <w:rPr>
          <w:rFonts w:eastAsiaTheme="minorEastAsia"/>
          <w:lang w:eastAsia="en-GB"/>
        </w:rPr>
        <w:t xml:space="preserve"> of the device in question.</w:t>
      </w:r>
      <w:r w:rsidRPr="259B847E">
        <w:rPr>
          <w:rFonts w:eastAsiaTheme="minorEastAsia"/>
          <w:lang w:eastAsia="en-GB"/>
        </w:rPr>
        <w:t xml:space="preserve"> Regardless, it is essential that the Scottish supply chain be able to </w:t>
      </w:r>
      <w:r w:rsidRPr="259B847E">
        <w:rPr>
          <w:rFonts w:eastAsiaTheme="minorEastAsia"/>
          <w:lang w:eastAsia="en-GB"/>
        </w:rPr>
        <w:t>develop the ability to competit</w:t>
      </w:r>
      <w:r w:rsidRPr="259B847E">
        <w:rPr>
          <w:rFonts w:eastAsiaTheme="minorEastAsia"/>
          <w:lang w:eastAsia="en-GB"/>
        </w:rPr>
        <w:t>ively manufacturer and supplying volume key subsystems required</w:t>
      </w:r>
      <w:r w:rsidRPr="259B847E">
        <w:rPr>
          <w:rFonts w:eastAsiaTheme="minorEastAsia"/>
          <w:lang w:eastAsia="en-GB"/>
        </w:rPr>
        <w:t xml:space="preserve"> for ORE</w:t>
      </w:r>
      <w:r w:rsidRPr="259B847E">
        <w:rPr>
          <w:rFonts w:eastAsiaTheme="minorEastAsia"/>
          <w:lang w:eastAsia="en-GB"/>
        </w:rPr>
        <w:t xml:space="preserve"> devices</w:t>
      </w:r>
      <w:r w:rsidRPr="259B847E">
        <w:rPr>
          <w:rFonts w:eastAsiaTheme="minorEastAsia"/>
          <w:lang w:eastAsia="en-GB"/>
        </w:rPr>
        <w:t xml:space="preserve">. </w:t>
      </w:r>
    </w:p>
    <w:p w:rsidR="00DB000D" w:rsidP="259B847E">
      <w:pPr>
        <w:rPr>
          <w:rFonts w:eastAsiaTheme="minorEastAsia"/>
          <w:lang w:eastAsia="en-GB"/>
        </w:rPr>
      </w:pPr>
      <w:r w:rsidRPr="259B847E">
        <w:rPr>
          <w:rFonts w:eastAsiaTheme="minorEastAsia"/>
          <w:lang w:eastAsia="en-GB"/>
        </w:rPr>
        <w:t xml:space="preserve">However, to maximise the development of the Scottish supply chain, careful </w:t>
      </w:r>
      <w:r w:rsidRPr="259B847E">
        <w:rPr>
          <w:rFonts w:eastAsiaTheme="minorEastAsia"/>
          <w:lang w:eastAsia="en-GB"/>
        </w:rPr>
        <w:t xml:space="preserve">thought </w:t>
      </w:r>
      <w:r w:rsidRPr="259B847E">
        <w:rPr>
          <w:rFonts w:eastAsiaTheme="minorEastAsia"/>
          <w:lang w:eastAsia="en-GB"/>
        </w:rPr>
        <w:t>must be given to</w:t>
      </w:r>
      <w:r w:rsidRPr="259B847E">
        <w:rPr>
          <w:rFonts w:eastAsiaTheme="minorEastAsia"/>
          <w:lang w:eastAsia="en-GB"/>
        </w:rPr>
        <w:t xml:space="preserve"> the </w:t>
      </w:r>
      <w:r w:rsidRPr="259B847E">
        <w:rPr>
          <w:rFonts w:eastAsiaTheme="minorEastAsia"/>
          <w:lang w:eastAsia="en-GB"/>
        </w:rPr>
        <w:t xml:space="preserve">choices behind which technologies, components or services/skills to support. </w:t>
      </w:r>
      <w:r w:rsidRPr="259B847E">
        <w:rPr>
          <w:rFonts w:eastAsiaTheme="minorEastAsia"/>
          <w:lang w:eastAsia="en-GB"/>
        </w:rPr>
        <w:t xml:space="preserve">This </w:t>
      </w:r>
      <w:r w:rsidRPr="259B847E">
        <w:rPr>
          <w:rFonts w:eastAsiaTheme="minorEastAsia"/>
          <w:lang w:eastAsia="en-GB"/>
        </w:rPr>
        <w:t>should</w:t>
      </w:r>
      <w:r w:rsidRPr="259B847E">
        <w:rPr>
          <w:rFonts w:eastAsiaTheme="minorEastAsia"/>
          <w:lang w:eastAsia="en-GB"/>
        </w:rPr>
        <w:t xml:space="preserve"> include</w:t>
      </w:r>
      <w:r w:rsidRPr="259B847E">
        <w:rPr>
          <w:rFonts w:eastAsiaTheme="minorEastAsia"/>
          <w:lang w:eastAsia="en-GB"/>
        </w:rPr>
        <w:t xml:space="preserve"> </w:t>
      </w:r>
      <w:r w:rsidRPr="259B847E">
        <w:rPr>
          <w:rFonts w:eastAsiaTheme="minorEastAsia"/>
          <w:lang w:eastAsia="en-GB"/>
        </w:rPr>
        <w:t>consider</w:t>
      </w:r>
      <w:r w:rsidRPr="259B847E">
        <w:rPr>
          <w:rFonts w:eastAsiaTheme="minorEastAsia"/>
          <w:lang w:eastAsia="en-GB"/>
        </w:rPr>
        <w:t xml:space="preserve">ation of </w:t>
      </w:r>
      <w:r w:rsidRPr="259B847E">
        <w:rPr>
          <w:rFonts w:eastAsiaTheme="minorEastAsia"/>
          <w:lang w:eastAsia="en-GB"/>
        </w:rPr>
        <w:t>the level of policy support offered versus the potential socio-economic impact and benefit that they will bring to the Scottish supply chain.</w:t>
      </w:r>
      <w:r w:rsidRPr="259B847E">
        <w:rPr>
          <w:rFonts w:eastAsiaTheme="minorEastAsia"/>
          <w:lang w:eastAsia="en-GB"/>
        </w:rPr>
        <w:t xml:space="preserve"> In order to identify areas that should be prior</w:t>
      </w:r>
      <w:r w:rsidRPr="259B847E">
        <w:rPr>
          <w:rFonts w:eastAsiaTheme="minorEastAsia"/>
          <w:lang w:eastAsia="en-GB"/>
        </w:rPr>
        <w:t>itised for policy and/or financial support</w:t>
      </w:r>
      <w:r w:rsidRPr="259B847E">
        <w:rPr>
          <w:rFonts w:eastAsiaTheme="minorEastAsia"/>
          <w:lang w:eastAsia="en-GB"/>
        </w:rPr>
        <w:t xml:space="preserve"> it is important to </w:t>
      </w:r>
      <w:r w:rsidRPr="259B847E">
        <w:rPr>
          <w:rFonts w:eastAsiaTheme="minorEastAsia"/>
          <w:lang w:eastAsia="en-GB"/>
        </w:rPr>
        <w:t xml:space="preserve">identify </w:t>
      </w:r>
      <w:r w:rsidRPr="259B847E">
        <w:rPr>
          <w:rFonts w:eastAsiaTheme="minorEastAsia"/>
          <w:lang w:eastAsia="en-GB"/>
        </w:rPr>
        <w:t>Scotland’s current capability and capacity to operate</w:t>
      </w:r>
      <w:r w:rsidRPr="259B847E">
        <w:rPr>
          <w:rFonts w:eastAsiaTheme="minorEastAsia"/>
          <w:lang w:eastAsia="en-GB"/>
        </w:rPr>
        <w:t xml:space="preserve"> at the</w:t>
      </w:r>
      <w:r w:rsidRPr="259B847E">
        <w:rPr>
          <w:rFonts w:eastAsiaTheme="minorEastAsia"/>
          <w:lang w:eastAsia="en-GB"/>
        </w:rPr>
        <w:t xml:space="preserve"> </w:t>
      </w:r>
      <w:r w:rsidRPr="259B847E">
        <w:rPr>
          <w:rFonts w:eastAsiaTheme="minorEastAsia"/>
          <w:lang w:eastAsia="en-GB"/>
        </w:rPr>
        <w:t>state-of-the-art</w:t>
      </w:r>
      <w:r w:rsidRPr="259B847E">
        <w:rPr>
          <w:rFonts w:eastAsiaTheme="minorEastAsia"/>
          <w:lang w:eastAsia="en-GB"/>
        </w:rPr>
        <w:t>. To assess the supply chain opp</w:t>
      </w:r>
      <w:r w:rsidRPr="259B847E">
        <w:rPr>
          <w:rFonts w:eastAsiaTheme="minorEastAsia"/>
          <w:lang w:eastAsia="en-GB"/>
        </w:rPr>
        <w:t xml:space="preserve">ortunity represented </w:t>
      </w:r>
      <w:r w:rsidRPr="259B847E">
        <w:rPr>
          <w:rFonts w:eastAsiaTheme="minorEastAsia"/>
          <w:lang w:eastAsia="en-GB"/>
        </w:rPr>
        <w:t>by each technology, component or service/s</w:t>
      </w:r>
      <w:r w:rsidRPr="259B847E">
        <w:rPr>
          <w:rFonts w:eastAsiaTheme="minorEastAsia"/>
          <w:lang w:eastAsia="en-GB"/>
        </w:rPr>
        <w:t>kill one of four ranking criteria should be applied</w:t>
      </w:r>
      <w:r w:rsidRPr="259B847E">
        <w:rPr>
          <w:rFonts w:eastAsiaTheme="minorEastAsia"/>
          <w:lang w:eastAsia="en-GB"/>
        </w:rPr>
        <w:t xml:space="preserve">: </w:t>
      </w:r>
    </w:p>
    <w:tbl>
      <w:tblPr>
        <w:tblStyle w:val="TableGrid"/>
        <w:tblW w:w="0" w:type="auto"/>
        <w:tblInd w:w="135" w:type="dxa"/>
        <w:tblLayout w:type="fixed"/>
        <w:tblLook w:val="04A0"/>
      </w:tblPr>
      <w:tblGrid>
        <w:gridCol w:w="1547"/>
        <w:gridCol w:w="7468"/>
      </w:tblGrid>
      <w:tr w:rsidTr="259B847E">
        <w:tblPrEx>
          <w:tblW w:w="0" w:type="auto"/>
          <w:tblInd w:w="135" w:type="dxa"/>
          <w:tblLayout w:type="fixed"/>
          <w:tblLook w:val="04A0"/>
        </w:tblPrEx>
        <w:trPr>
          <w:trHeight w:val="300"/>
        </w:trPr>
        <w:tc>
          <w:tcPr>
            <w:tcW w:w="1547" w:type="dxa"/>
            <w:tcBorders>
              <w:top w:val="nil"/>
              <w:left w:val="nil"/>
              <w:bottom w:val="nil"/>
              <w:right w:val="nil"/>
            </w:tcBorders>
            <w:shd w:val="clear" w:color="auto" w:fill="041E42"/>
            <w:tcMar>
              <w:left w:w="108" w:type="dxa"/>
              <w:right w:w="108" w:type="dxa"/>
            </w:tcMar>
          </w:tcPr>
          <w:p w:rsidR="00DB000D" w:rsidP="259B847E">
            <w:pPr>
              <w:spacing w:after="40"/>
            </w:pPr>
            <w:r w:rsidRPr="259B847E">
              <w:rPr>
                <w:rFonts w:ascii="Aptos Display" w:eastAsia="Aptos Display" w:hAnsi="Aptos Display" w:cs="Aptos Display"/>
                <w:b/>
                <w:bCs/>
              </w:rPr>
              <w:t xml:space="preserve">Classification </w:t>
            </w:r>
          </w:p>
        </w:tc>
        <w:tc>
          <w:tcPr>
            <w:tcW w:w="7468" w:type="dxa"/>
            <w:tcBorders>
              <w:top w:val="nil"/>
              <w:left w:val="nil"/>
              <w:bottom w:val="nil"/>
              <w:right w:val="nil"/>
            </w:tcBorders>
            <w:shd w:val="clear" w:color="auto" w:fill="041E42"/>
            <w:tcMar>
              <w:left w:w="108" w:type="dxa"/>
              <w:right w:w="108" w:type="dxa"/>
            </w:tcMar>
          </w:tcPr>
          <w:p w:rsidR="00DB000D" w:rsidP="259B847E">
            <w:pPr>
              <w:spacing w:after="40"/>
            </w:pPr>
            <w:r w:rsidRPr="259B847E">
              <w:rPr>
                <w:rFonts w:ascii="Aptos Display" w:eastAsia="Aptos Display" w:hAnsi="Aptos Display" w:cs="Aptos Display"/>
                <w:b/>
                <w:bCs/>
                <w:color w:val="FFFFFF" w:themeColor="background1"/>
              </w:rPr>
              <w:t xml:space="preserve">Description </w:t>
            </w:r>
          </w:p>
        </w:tc>
      </w:tr>
      <w:tr w:rsidTr="259B847E">
        <w:tblPrEx>
          <w:tblW w:w="0" w:type="auto"/>
          <w:tblInd w:w="135" w:type="dxa"/>
          <w:tblLayout w:type="fixed"/>
          <w:tblLook w:val="04A0"/>
        </w:tblPrEx>
        <w:trPr>
          <w:trHeight w:val="300"/>
        </w:trPr>
        <w:tc>
          <w:tcPr>
            <w:tcW w:w="1547" w:type="dxa"/>
            <w:tcBorders>
              <w:top w:val="nil"/>
              <w:left w:val="nil"/>
              <w:bottom w:val="nil"/>
              <w:right w:val="nil"/>
            </w:tcBorders>
            <w:tcMar>
              <w:left w:w="108" w:type="dxa"/>
              <w:right w:w="108" w:type="dxa"/>
            </w:tcMar>
          </w:tcPr>
          <w:p w:rsidR="00DB000D" w:rsidRPr="00E70ABA" w:rsidP="259B847E">
            <w:pPr>
              <w:spacing w:after="120" w:line="252" w:lineRule="auto"/>
              <w:rPr>
                <w:rFonts w:cstheme="minorHAnsi"/>
              </w:rPr>
            </w:pPr>
            <w:r w:rsidRPr="00E70ABA">
              <w:rPr>
                <w:rFonts w:eastAsia="Aptos SemiBold" w:cstheme="minorHAnsi"/>
              </w:rPr>
              <w:t xml:space="preserve">Leading </w:t>
            </w:r>
            <w:r w:rsidRPr="00E70ABA">
              <w:rPr>
                <w:rFonts w:cstheme="minorHAnsi"/>
              </w:rPr>
              <w:br/>
            </w:r>
            <w:r w:rsidRPr="00E70ABA">
              <w:rPr>
                <w:rFonts w:eastAsia="Aptos SemiBold" w:cstheme="minorHAnsi"/>
              </w:rPr>
              <w:t>the Sector</w:t>
            </w:r>
          </w:p>
        </w:tc>
        <w:tc>
          <w:tcPr>
            <w:tcW w:w="7468" w:type="dxa"/>
            <w:tcBorders>
              <w:top w:val="nil"/>
              <w:left w:val="nil"/>
              <w:bottom w:val="nil"/>
              <w:right w:val="nil"/>
            </w:tcBorders>
            <w:tcMar>
              <w:left w:w="108" w:type="dxa"/>
              <w:right w:w="108" w:type="dxa"/>
            </w:tcMar>
          </w:tcPr>
          <w:p w:rsidR="00DB000D" w:rsidRPr="00E70ABA" w:rsidP="259B847E">
            <w:pPr>
              <w:spacing w:after="120" w:line="252" w:lineRule="auto"/>
              <w:rPr>
                <w:rFonts w:cstheme="minorHAnsi"/>
              </w:rPr>
            </w:pPr>
            <w:r w:rsidRPr="00E70ABA">
              <w:rPr>
                <w:rFonts w:eastAsia="Aptos Display" w:cstheme="minorHAnsi"/>
              </w:rPr>
              <w:t xml:space="preserve">The </w:t>
            </w:r>
            <w:r w:rsidRPr="00E70ABA">
              <w:rPr>
                <w:rFonts w:eastAsia="Aptos Display" w:cstheme="minorHAnsi"/>
              </w:rPr>
              <w:t>Scottish supply chain already holds a high level of expertise, both in competitive manufacturing and the potential for volume production. Policy recommendations should aim to maintain and expand this position, while maximising international export opportunities.</w:t>
            </w:r>
          </w:p>
        </w:tc>
      </w:tr>
      <w:tr w:rsidTr="259B847E">
        <w:tblPrEx>
          <w:tblW w:w="0" w:type="auto"/>
          <w:tblInd w:w="135" w:type="dxa"/>
          <w:tblLayout w:type="fixed"/>
          <w:tblLook w:val="04A0"/>
        </w:tblPrEx>
        <w:trPr>
          <w:trHeight w:val="300"/>
        </w:trPr>
        <w:tc>
          <w:tcPr>
            <w:tcW w:w="1547" w:type="dxa"/>
            <w:tcBorders>
              <w:top w:val="nil"/>
              <w:left w:val="nil"/>
              <w:bottom w:val="nil"/>
              <w:right w:val="nil"/>
            </w:tcBorders>
            <w:tcMar>
              <w:left w:w="108" w:type="dxa"/>
              <w:right w:w="108" w:type="dxa"/>
            </w:tcMar>
          </w:tcPr>
          <w:p w:rsidR="00DB000D" w:rsidRPr="00E70ABA" w:rsidP="259B847E">
            <w:pPr>
              <w:spacing w:after="120" w:line="252" w:lineRule="auto"/>
              <w:rPr>
                <w:rFonts w:cstheme="minorHAnsi"/>
              </w:rPr>
            </w:pPr>
            <w:r w:rsidRPr="00E70ABA">
              <w:rPr>
                <w:rFonts w:eastAsia="Aptos SemiBold" w:cstheme="minorHAnsi"/>
              </w:rPr>
              <w:t xml:space="preserve">Matching the Sector </w:t>
            </w:r>
          </w:p>
        </w:tc>
        <w:tc>
          <w:tcPr>
            <w:tcW w:w="7468" w:type="dxa"/>
            <w:tcBorders>
              <w:top w:val="nil"/>
              <w:left w:val="nil"/>
              <w:bottom w:val="nil"/>
              <w:right w:val="nil"/>
            </w:tcBorders>
            <w:tcMar>
              <w:left w:w="108" w:type="dxa"/>
              <w:right w:w="108" w:type="dxa"/>
            </w:tcMar>
          </w:tcPr>
          <w:p w:rsidR="00DB000D" w:rsidRPr="00E70ABA" w:rsidP="259B847E">
            <w:pPr>
              <w:spacing w:after="120" w:line="252" w:lineRule="auto"/>
              <w:rPr>
                <w:rFonts w:cstheme="minorHAnsi"/>
              </w:rPr>
            </w:pPr>
            <w:r w:rsidRPr="00E70ABA">
              <w:rPr>
                <w:rFonts w:eastAsia="Aptos Display" w:cstheme="minorHAnsi"/>
              </w:rPr>
              <w:t xml:space="preserve">The Scottish supply chain holds a moderate level of expertise in the manufacture of this subsystem, however other nations are at a similar level with regards to their ability to manufacture competitively and at volume. Policy recommendations should focus on providing support so that this sector continues to grow at a rate consistent with the supply chain opportunity that it represents.  </w:t>
            </w:r>
          </w:p>
        </w:tc>
      </w:tr>
      <w:tr w:rsidTr="259B847E">
        <w:tblPrEx>
          <w:tblW w:w="0" w:type="auto"/>
          <w:tblInd w:w="135" w:type="dxa"/>
          <w:tblLayout w:type="fixed"/>
          <w:tblLook w:val="04A0"/>
        </w:tblPrEx>
        <w:trPr>
          <w:trHeight w:val="300"/>
        </w:trPr>
        <w:tc>
          <w:tcPr>
            <w:tcW w:w="1547" w:type="dxa"/>
            <w:tcBorders>
              <w:top w:val="nil"/>
              <w:left w:val="nil"/>
              <w:bottom w:val="nil"/>
              <w:right w:val="nil"/>
            </w:tcBorders>
            <w:tcMar>
              <w:left w:w="108" w:type="dxa"/>
              <w:right w:w="108" w:type="dxa"/>
            </w:tcMar>
          </w:tcPr>
          <w:p w:rsidR="00DB000D" w:rsidRPr="00E70ABA" w:rsidP="259B847E">
            <w:pPr>
              <w:spacing w:after="120" w:line="252" w:lineRule="auto"/>
              <w:rPr>
                <w:rFonts w:cstheme="minorHAnsi"/>
              </w:rPr>
            </w:pPr>
            <w:r w:rsidRPr="00E70ABA">
              <w:rPr>
                <w:rFonts w:eastAsia="Aptos SemiBold" w:cstheme="minorHAnsi"/>
              </w:rPr>
              <w:t xml:space="preserve">Following </w:t>
            </w:r>
            <w:r w:rsidRPr="00E70ABA">
              <w:rPr>
                <w:rFonts w:cstheme="minorHAnsi"/>
              </w:rPr>
              <w:br/>
            </w:r>
            <w:r w:rsidRPr="00E70ABA">
              <w:rPr>
                <w:rFonts w:eastAsia="Aptos SemiBold" w:cstheme="minorHAnsi"/>
              </w:rPr>
              <w:t>the Sector</w:t>
            </w:r>
          </w:p>
        </w:tc>
        <w:tc>
          <w:tcPr>
            <w:tcW w:w="7468" w:type="dxa"/>
            <w:tcBorders>
              <w:top w:val="nil"/>
              <w:left w:val="nil"/>
              <w:bottom w:val="nil"/>
              <w:right w:val="nil"/>
            </w:tcBorders>
            <w:tcMar>
              <w:left w:w="108" w:type="dxa"/>
              <w:right w:w="108" w:type="dxa"/>
            </w:tcMar>
          </w:tcPr>
          <w:p w:rsidR="00DB000D" w:rsidRPr="00E70ABA" w:rsidP="259B847E">
            <w:pPr>
              <w:spacing w:after="120" w:line="252" w:lineRule="auto"/>
              <w:rPr>
                <w:rFonts w:cstheme="minorHAnsi"/>
              </w:rPr>
            </w:pPr>
            <w:r w:rsidRPr="00E70ABA">
              <w:rPr>
                <w:rFonts w:eastAsia="Aptos Display" w:cstheme="minorHAnsi"/>
              </w:rPr>
              <w:t xml:space="preserve">The Scottish supply chain already faces strong international competition with regards to the competitive manufacture and volume production of this specific subsystem. Policymakers should carefully consider the credibility of developing the supply chain for this subsystem. </w:t>
            </w:r>
          </w:p>
        </w:tc>
      </w:tr>
      <w:tr w:rsidTr="259B847E">
        <w:tblPrEx>
          <w:tblW w:w="0" w:type="auto"/>
          <w:tblInd w:w="135" w:type="dxa"/>
          <w:tblLayout w:type="fixed"/>
          <w:tblLook w:val="04A0"/>
        </w:tblPrEx>
        <w:trPr>
          <w:trHeight w:val="300"/>
        </w:trPr>
        <w:tc>
          <w:tcPr>
            <w:tcW w:w="1547" w:type="dxa"/>
            <w:tcBorders>
              <w:top w:val="nil"/>
              <w:left w:val="nil"/>
              <w:bottom w:val="single" w:sz="8" w:space="0" w:color="auto"/>
              <w:right w:val="nil"/>
            </w:tcBorders>
            <w:tcMar>
              <w:left w:w="108" w:type="dxa"/>
              <w:right w:w="108" w:type="dxa"/>
            </w:tcMar>
          </w:tcPr>
          <w:p w:rsidR="00DB000D" w:rsidRPr="00E70ABA" w:rsidP="259B847E">
            <w:pPr>
              <w:spacing w:after="120" w:line="252" w:lineRule="auto"/>
              <w:rPr>
                <w:rFonts w:cstheme="minorHAnsi"/>
              </w:rPr>
            </w:pPr>
            <w:r w:rsidRPr="00E70ABA">
              <w:rPr>
                <w:rFonts w:eastAsia="Aptos SemiBold" w:cstheme="minorHAnsi"/>
              </w:rPr>
              <w:t xml:space="preserve">All to </w:t>
            </w:r>
            <w:r w:rsidRPr="00E70ABA">
              <w:rPr>
                <w:rFonts w:cstheme="minorHAnsi"/>
              </w:rPr>
              <w:br/>
            </w:r>
            <w:r w:rsidRPr="00E70ABA">
              <w:rPr>
                <w:rFonts w:eastAsia="Aptos SemiBold" w:cstheme="minorHAnsi"/>
              </w:rPr>
              <w:t>Play For</w:t>
            </w:r>
          </w:p>
        </w:tc>
        <w:tc>
          <w:tcPr>
            <w:tcW w:w="7468" w:type="dxa"/>
            <w:tcBorders>
              <w:top w:val="nil"/>
              <w:left w:val="nil"/>
              <w:bottom w:val="single" w:sz="8" w:space="0" w:color="auto"/>
              <w:right w:val="nil"/>
            </w:tcBorders>
            <w:tcMar>
              <w:left w:w="108" w:type="dxa"/>
              <w:right w:w="108" w:type="dxa"/>
            </w:tcMar>
          </w:tcPr>
          <w:p w:rsidR="00DB000D" w:rsidRPr="00E70ABA" w:rsidP="008B1254">
            <w:pPr>
              <w:keepNext/>
              <w:spacing w:after="120" w:line="252" w:lineRule="auto"/>
              <w:rPr>
                <w:rFonts w:cstheme="minorHAnsi"/>
              </w:rPr>
            </w:pPr>
            <w:r w:rsidRPr="00E70ABA">
              <w:rPr>
                <w:rFonts w:eastAsia="Aptos Display" w:cstheme="minorHAnsi"/>
              </w:rPr>
              <w:t>Currently no one country holds a world-leading position with regards to the competitive manufacture and volume production of this subsystem. Policy recommendations should aim to accelerate the growth of this sector in Scotland, positioning the Scottish supply chain to emerge as a world-leader.</w:t>
            </w:r>
          </w:p>
        </w:tc>
      </w:tr>
    </w:tbl>
    <w:p w:rsidR="00DB000D" w:rsidP="008B1254">
      <w:pPr>
        <w:pStyle w:val="Caption"/>
        <w:jc w:val="center"/>
        <w:rPr>
          <w:rFonts w:eastAsiaTheme="minorEastAsia"/>
          <w:lang w:eastAsia="en-GB"/>
        </w:rPr>
      </w:pPr>
      <w:r>
        <w:t xml:space="preserve">Supply </w:t>
      </w:r>
      <w:r>
        <w:t xml:space="preserve">chain opportunity ranking classifications </w:t>
      </w:r>
    </w:p>
    <w:p w:rsidR="00DB000D" w:rsidRPr="00E70ABA" w:rsidP="259B847E">
      <w:pPr>
        <w:spacing w:after="200" w:line="276" w:lineRule="auto"/>
        <w:rPr>
          <w:rFonts w:eastAsia="Aptos" w:cstheme="minorHAnsi"/>
        </w:rPr>
      </w:pPr>
      <w:r w:rsidRPr="00E70ABA">
        <w:rPr>
          <w:rFonts w:eastAsia="Aptos" w:cstheme="minorHAnsi"/>
        </w:rPr>
        <w:t xml:space="preserve">These four classifications are further illustrated below, where the vertical axis represents the current strength of Scotland’s supply chain, and the horizontal axis shows both the strength of </w:t>
      </w:r>
      <w:r w:rsidRPr="00E70ABA">
        <w:rPr>
          <w:rFonts w:eastAsia="Aptos" w:cstheme="minorHAnsi"/>
        </w:rPr>
        <w:t>other counties (increasing towards the left) and conversely the potential opportunity for Scotland (increasing towards the right).</w:t>
      </w:r>
    </w:p>
    <w:p w:rsidR="00DB000D" w:rsidP="00E70ABA">
      <w:pPr>
        <w:keepNext/>
      </w:pPr>
      <w:r>
        <w:rPr>
          <w:noProof/>
        </w:rPr>
        <w:drawing>
          <wp:inline distT="0" distB="0" distL="0" distR="0">
            <wp:extent cx="5371039" cy="2816596"/>
            <wp:effectExtent l="0" t="0" r="0" b="0"/>
            <wp:docPr id="298950283" name="Picture 298950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Id9">
                      <a:extLst>
                        <a:ext uri="{28A0092B-C50C-407E-A947-70E740481C1C}">
                          <a14:useLocalDpi xmlns:a14="http://schemas.microsoft.com/office/drawing/2010/main" val="0"/>
                        </a:ext>
                      </a:extLst>
                    </a:blip>
                    <a:stretch>
                      <a:fillRect/>
                    </a:stretch>
                  </pic:blipFill>
                  <pic:spPr>
                    <a:xfrm>
                      <a:off x="0" y="0"/>
                      <a:ext cx="5371039" cy="2816596"/>
                    </a:xfrm>
                    <a:prstGeom prst="rect">
                      <a:avLst/>
                    </a:prstGeom>
                  </pic:spPr>
                </pic:pic>
              </a:graphicData>
            </a:graphic>
          </wp:inline>
        </w:drawing>
      </w:r>
    </w:p>
    <w:p w:rsidR="00DB000D" w:rsidP="00E70ABA">
      <w:pPr>
        <w:pStyle w:val="Caption"/>
        <w:jc w:val="center"/>
      </w:pPr>
      <w:r>
        <w:t xml:space="preserve">Supply chain opportunity ranking classification </w:t>
      </w:r>
    </w:p>
    <w:p w:rsidR="00DB000D" w:rsidP="259B847E">
      <w:pPr>
        <w:spacing w:after="120" w:line="276" w:lineRule="auto"/>
        <w:rPr>
          <w:rFonts w:eastAsia="Aptos" w:cstheme="minorHAnsi"/>
        </w:rPr>
      </w:pPr>
      <w:r w:rsidRPr="00E70ABA">
        <w:rPr>
          <w:rFonts w:eastAsia="Aptos" w:cstheme="minorHAnsi"/>
        </w:rPr>
        <w:t xml:space="preserve">Assessing the supply chain opportunity through an overview of the current state-of-the-art for each </w:t>
      </w:r>
      <w:r w:rsidRPr="00E70ABA">
        <w:rPr>
          <w:rFonts w:eastAsia="Aptos" w:cstheme="minorHAnsi"/>
        </w:rPr>
        <w:t>technology</w:t>
      </w:r>
      <w:r w:rsidRPr="00E70ABA">
        <w:rPr>
          <w:rFonts w:eastAsia="Aptos" w:cstheme="minorHAnsi"/>
        </w:rPr>
        <w:t xml:space="preserve">, component and service/skill is only the first step in developing a comprehensive understanding of the Scottish </w:t>
      </w:r>
      <w:r w:rsidRPr="00E70ABA">
        <w:rPr>
          <w:rFonts w:eastAsia="Aptos" w:cstheme="minorHAnsi"/>
        </w:rPr>
        <w:t xml:space="preserve">ORE sector’s </w:t>
      </w:r>
      <w:r w:rsidRPr="00E70ABA">
        <w:rPr>
          <w:rFonts w:eastAsia="Aptos" w:cstheme="minorHAnsi"/>
        </w:rPr>
        <w:t xml:space="preserve">supply chain capabilities. The development of the supply chain </w:t>
      </w:r>
      <w:r w:rsidRPr="00E70ABA">
        <w:rPr>
          <w:rFonts w:eastAsia="Aptos" w:cstheme="minorHAnsi"/>
        </w:rPr>
        <w:t xml:space="preserve">areas </w:t>
      </w:r>
      <w:r w:rsidRPr="00E70ABA">
        <w:rPr>
          <w:rFonts w:eastAsia="Aptos" w:cstheme="minorHAnsi"/>
        </w:rPr>
        <w:t xml:space="preserve">representing the greatest opportunity to the Scottish economy and renewables industry will require the development of comprehensive and informed recommendations. These recommendations should aim to ensure that the underlying factors which may determine Scotland’s ability to produce </w:t>
      </w:r>
      <w:r w:rsidRPr="00E70ABA">
        <w:rPr>
          <w:rFonts w:eastAsia="Aptos" w:cstheme="minorHAnsi"/>
        </w:rPr>
        <w:t>each technology, compone</w:t>
      </w:r>
      <w:r w:rsidRPr="00E70ABA">
        <w:rPr>
          <w:rFonts w:eastAsia="Aptos" w:cstheme="minorHAnsi"/>
        </w:rPr>
        <w:t xml:space="preserve">nt and service/skill </w:t>
      </w:r>
      <w:r w:rsidRPr="00E70ABA">
        <w:rPr>
          <w:rFonts w:eastAsia="Aptos" w:cstheme="minorHAnsi"/>
        </w:rPr>
        <w:t>competitively and at volume are addressed.</w:t>
      </w:r>
      <w:r w:rsidRPr="00E70ABA">
        <w:rPr>
          <w:rFonts w:eastAsia="Aptos" w:cstheme="minorHAnsi"/>
        </w:rPr>
        <w:t xml:space="preserve"> This can be done through the application of a competitiveness framework, such as the one designed by the P&amp;IG. This has been designed with the intention of outlining several key factors by which the competitiveness of the </w:t>
      </w:r>
      <w:r w:rsidRPr="00E70ABA">
        <w:rPr>
          <w:rFonts w:eastAsia="Aptos" w:cstheme="minorHAnsi"/>
        </w:rPr>
        <w:t xml:space="preserve">ORE </w:t>
      </w:r>
      <w:r w:rsidRPr="00E70ABA">
        <w:rPr>
          <w:rFonts w:eastAsia="Aptos" w:cstheme="minorHAnsi"/>
        </w:rPr>
        <w:t>stream sector can be assessed and measured</w:t>
      </w:r>
      <w:r w:rsidRPr="00E70ABA">
        <w:rPr>
          <w:rFonts w:eastAsia="Aptos" w:cstheme="minorHAnsi"/>
        </w:rPr>
        <w:t xml:space="preserve">: </w:t>
      </w:r>
    </w:p>
    <w:p w:rsidR="00DB000D" w:rsidRPr="00E70ABA" w:rsidP="259B847E">
      <w:pPr>
        <w:spacing w:after="120" w:line="276" w:lineRule="auto"/>
        <w:rPr>
          <w:rFonts w:eastAsia="Aptos" w:cstheme="minorHAnsi"/>
        </w:rPr>
      </w:pPr>
    </w:p>
    <w:p w:rsidR="00DB000D" w:rsidP="00E70ABA">
      <w:pPr>
        <w:keepNext/>
        <w:spacing w:after="120" w:line="276" w:lineRule="auto"/>
      </w:pPr>
      <w:r>
        <w:rPr>
          <w:noProof/>
        </w:rPr>
        <w:drawing>
          <wp:inline distT="0" distB="0" distL="0" distR="0">
            <wp:extent cx="5724524" cy="2981325"/>
            <wp:effectExtent l="0" t="0" r="0" b="0"/>
            <wp:docPr id="22350656" name="Picture 22350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Id10" cstate="print">
                      <a:extLst>
                        <a:ext uri="{28A0092B-C50C-407E-A947-70E740481C1C}">
                          <a14:useLocalDpi xmlns:a14="http://schemas.microsoft.com/office/drawing/2010/main" val="0"/>
                        </a:ext>
                      </a:extLst>
                    </a:blip>
                    <a:stretch>
                      <a:fillRect/>
                    </a:stretch>
                  </pic:blipFill>
                  <pic:spPr>
                    <a:xfrm>
                      <a:off x="0" y="0"/>
                      <a:ext cx="5724524" cy="2981325"/>
                    </a:xfrm>
                    <a:prstGeom prst="rect">
                      <a:avLst/>
                    </a:prstGeom>
                  </pic:spPr>
                </pic:pic>
              </a:graphicData>
            </a:graphic>
          </wp:inline>
        </w:drawing>
      </w:r>
    </w:p>
    <w:p w:rsidR="00DB000D" w:rsidP="00E70ABA">
      <w:pPr>
        <w:pStyle w:val="Caption"/>
        <w:jc w:val="center"/>
      </w:pPr>
      <w:r>
        <w:t xml:space="preserve">ORE supply chain competitiveness framework </w:t>
      </w:r>
    </w:p>
    <w:tbl>
      <w:tblPr>
        <w:tblStyle w:val="TableGrid"/>
        <w:tblW w:w="0" w:type="auto"/>
        <w:tblLayout w:type="fixed"/>
        <w:tblLook w:val="04A0"/>
      </w:tblPr>
      <w:tblGrid>
        <w:gridCol w:w="1560"/>
        <w:gridCol w:w="7455"/>
      </w:tblGrid>
      <w:tr w:rsidTr="00E70ABA">
        <w:tblPrEx>
          <w:tblW w:w="0" w:type="auto"/>
          <w:tblLayout w:type="fixed"/>
          <w:tblLook w:val="04A0"/>
        </w:tblPrEx>
        <w:trPr>
          <w:trHeight w:val="300"/>
        </w:trPr>
        <w:tc>
          <w:tcPr>
            <w:tcW w:w="1560" w:type="dxa"/>
            <w:tcBorders>
              <w:top w:val="nil"/>
              <w:left w:val="nil"/>
              <w:bottom w:val="nil"/>
              <w:right w:val="nil"/>
            </w:tcBorders>
            <w:shd w:val="clear" w:color="auto" w:fill="041E42"/>
            <w:tcMar>
              <w:left w:w="108" w:type="dxa"/>
              <w:right w:w="108" w:type="dxa"/>
            </w:tcMar>
          </w:tcPr>
          <w:p w:rsidR="00DB000D" w:rsidP="259B847E">
            <w:pPr>
              <w:spacing w:after="40"/>
            </w:pPr>
            <w:r w:rsidRPr="259B847E">
              <w:rPr>
                <w:rFonts w:ascii="Aptos Display" w:eastAsia="Aptos Display" w:hAnsi="Aptos Display" w:cs="Aptos Display"/>
                <w:b/>
                <w:bCs/>
              </w:rPr>
              <w:t>Factor</w:t>
            </w:r>
            <w:r w:rsidRPr="259B847E">
              <w:rPr>
                <w:rFonts w:ascii="Aptos Display" w:eastAsia="Aptos Display" w:hAnsi="Aptos Display" w:cs="Aptos Display"/>
                <w:b/>
                <w:bCs/>
                <w:color w:val="FFFFFF" w:themeColor="background1"/>
              </w:rPr>
              <w:t xml:space="preserve"> </w:t>
            </w:r>
          </w:p>
        </w:tc>
        <w:tc>
          <w:tcPr>
            <w:tcW w:w="7455" w:type="dxa"/>
            <w:tcBorders>
              <w:top w:val="nil"/>
              <w:left w:val="nil"/>
              <w:bottom w:val="nil"/>
              <w:right w:val="nil"/>
            </w:tcBorders>
            <w:shd w:val="clear" w:color="auto" w:fill="041E42"/>
            <w:tcMar>
              <w:left w:w="108" w:type="dxa"/>
              <w:right w:w="108" w:type="dxa"/>
            </w:tcMar>
          </w:tcPr>
          <w:p w:rsidR="00DB000D" w:rsidP="259B847E">
            <w:pPr>
              <w:spacing w:after="40"/>
            </w:pPr>
            <w:r w:rsidRPr="259B847E">
              <w:rPr>
                <w:rFonts w:ascii="Aptos Display" w:eastAsia="Aptos Display" w:hAnsi="Aptos Display" w:cs="Aptos Display"/>
                <w:b/>
                <w:bCs/>
                <w:color w:val="FFFFFF" w:themeColor="background1"/>
              </w:rPr>
              <w:t>Description</w:t>
            </w:r>
          </w:p>
        </w:tc>
      </w:tr>
      <w:tr w:rsidTr="00E70ABA">
        <w:tblPrEx>
          <w:tblW w:w="0" w:type="auto"/>
          <w:tblLayout w:type="fixed"/>
          <w:tblLook w:val="04A0"/>
        </w:tblPrEx>
        <w:trPr>
          <w:trHeight w:val="300"/>
        </w:trPr>
        <w:tc>
          <w:tcPr>
            <w:tcW w:w="1560" w:type="dxa"/>
            <w:tcBorders>
              <w:top w:val="nil"/>
              <w:left w:val="nil"/>
              <w:bottom w:val="nil"/>
              <w:right w:val="nil"/>
            </w:tcBorders>
            <w:tcMar>
              <w:left w:w="108" w:type="dxa"/>
              <w:right w:w="108" w:type="dxa"/>
            </w:tcMar>
          </w:tcPr>
          <w:p w:rsidR="00DB000D" w:rsidP="259B847E">
            <w:pPr>
              <w:spacing w:after="200" w:line="276" w:lineRule="auto"/>
            </w:pPr>
            <w:r w:rsidRPr="259B847E">
              <w:rPr>
                <w:rFonts w:ascii="Aptos SemiBold" w:eastAsia="Aptos SemiBold" w:hAnsi="Aptos SemiBold" w:cs="Aptos SemiBold"/>
              </w:rPr>
              <w:t xml:space="preserve">Markets </w:t>
            </w:r>
          </w:p>
        </w:tc>
        <w:tc>
          <w:tcPr>
            <w:tcW w:w="7455" w:type="dxa"/>
            <w:tcBorders>
              <w:top w:val="nil"/>
              <w:left w:val="nil"/>
              <w:bottom w:val="nil"/>
              <w:right w:val="nil"/>
            </w:tcBorders>
            <w:tcMar>
              <w:left w:w="108" w:type="dxa"/>
              <w:right w:w="108" w:type="dxa"/>
            </w:tcMar>
          </w:tcPr>
          <w:p w:rsidR="00DB000D" w:rsidP="259B847E">
            <w:pPr>
              <w:spacing w:after="200" w:line="276" w:lineRule="auto"/>
            </w:pPr>
            <w:r w:rsidRPr="259B847E">
              <w:rPr>
                <w:rFonts w:ascii="Aptos" w:eastAsia="Aptos" w:hAnsi="Aptos" w:cs="Aptos"/>
                <w:color w:val="000000" w:themeColor="text1"/>
              </w:rPr>
              <w:t>P</w:t>
            </w:r>
            <w:r w:rsidRPr="259B847E">
              <w:rPr>
                <w:rFonts w:ascii="Aptos" w:eastAsia="Aptos" w:hAnsi="Aptos" w:cs="Aptos"/>
              </w:rPr>
              <w:t xml:space="preserve">roviding a highly visible and supported route-to-market for </w:t>
            </w:r>
            <w:r w:rsidRPr="259B847E">
              <w:rPr>
                <w:rFonts w:ascii="Aptos" w:eastAsia="Aptos" w:hAnsi="Aptos" w:cs="Aptos"/>
              </w:rPr>
              <w:t>underpinning innovations, from technical equipment to manufacturing processes, is essential to increase sector and investor confidence</w:t>
            </w:r>
            <w:r w:rsidRPr="259B847E">
              <w:rPr>
                <w:rFonts w:ascii="Aptos" w:eastAsia="Aptos" w:hAnsi="Aptos" w:cs="Aptos"/>
                <w:color w:val="000000" w:themeColor="text1"/>
              </w:rPr>
              <w:t xml:space="preserve"> </w:t>
            </w:r>
          </w:p>
        </w:tc>
      </w:tr>
      <w:tr w:rsidTr="00E70ABA">
        <w:tblPrEx>
          <w:tblW w:w="0" w:type="auto"/>
          <w:tblLayout w:type="fixed"/>
          <w:tblLook w:val="04A0"/>
        </w:tblPrEx>
        <w:trPr>
          <w:trHeight w:val="300"/>
        </w:trPr>
        <w:tc>
          <w:tcPr>
            <w:tcW w:w="1560" w:type="dxa"/>
            <w:tcBorders>
              <w:top w:val="nil"/>
              <w:left w:val="nil"/>
              <w:bottom w:val="nil"/>
              <w:right w:val="nil"/>
            </w:tcBorders>
            <w:tcMar>
              <w:left w:w="108" w:type="dxa"/>
              <w:right w:w="108" w:type="dxa"/>
            </w:tcMar>
          </w:tcPr>
          <w:p w:rsidR="00DB000D" w:rsidP="259B847E">
            <w:pPr>
              <w:spacing w:after="200" w:line="276" w:lineRule="auto"/>
            </w:pPr>
            <w:r w:rsidRPr="259B847E">
              <w:rPr>
                <w:rFonts w:ascii="Aptos SemiBold" w:eastAsia="Aptos SemiBold" w:hAnsi="Aptos SemiBold" w:cs="Aptos SemiBold"/>
              </w:rPr>
              <w:t>Research &amp; Innovation</w:t>
            </w:r>
          </w:p>
        </w:tc>
        <w:tc>
          <w:tcPr>
            <w:tcW w:w="7455" w:type="dxa"/>
            <w:tcBorders>
              <w:top w:val="nil"/>
              <w:left w:val="nil"/>
              <w:bottom w:val="nil"/>
              <w:right w:val="nil"/>
            </w:tcBorders>
            <w:tcMar>
              <w:left w:w="108" w:type="dxa"/>
              <w:right w:w="108" w:type="dxa"/>
            </w:tcMar>
          </w:tcPr>
          <w:p w:rsidR="00DB000D" w:rsidP="259B847E">
            <w:pPr>
              <w:spacing w:after="200" w:line="276" w:lineRule="auto"/>
            </w:pPr>
            <w:r w:rsidRPr="259B847E">
              <w:rPr>
                <w:rFonts w:ascii="Aptos" w:eastAsia="Aptos" w:hAnsi="Aptos" w:cs="Aptos"/>
              </w:rPr>
              <w:t>Research and innovation efforts are pivotal for the future progression of tidal stream helping to provide sustainable solutions to societal, economic and environmental challenges</w:t>
            </w:r>
          </w:p>
        </w:tc>
      </w:tr>
      <w:tr w:rsidTr="00E70ABA">
        <w:tblPrEx>
          <w:tblW w:w="0" w:type="auto"/>
          <w:tblLayout w:type="fixed"/>
          <w:tblLook w:val="04A0"/>
        </w:tblPrEx>
        <w:trPr>
          <w:trHeight w:val="300"/>
        </w:trPr>
        <w:tc>
          <w:tcPr>
            <w:tcW w:w="1560" w:type="dxa"/>
            <w:tcBorders>
              <w:top w:val="nil"/>
              <w:left w:val="nil"/>
              <w:bottom w:val="nil"/>
              <w:right w:val="nil"/>
            </w:tcBorders>
            <w:tcMar>
              <w:left w:w="108" w:type="dxa"/>
              <w:right w:w="108" w:type="dxa"/>
            </w:tcMar>
          </w:tcPr>
          <w:p w:rsidR="00DB000D" w:rsidP="259B847E">
            <w:pPr>
              <w:spacing w:after="200" w:line="276" w:lineRule="auto"/>
            </w:pPr>
            <w:r w:rsidRPr="259B847E">
              <w:rPr>
                <w:rFonts w:ascii="Aptos SemiBold" w:eastAsia="Aptos SemiBold" w:hAnsi="Aptos SemiBold" w:cs="Aptos SemiBold"/>
              </w:rPr>
              <w:t xml:space="preserve">Supply Chain Sophistication </w:t>
            </w:r>
          </w:p>
        </w:tc>
        <w:tc>
          <w:tcPr>
            <w:tcW w:w="7455" w:type="dxa"/>
            <w:tcBorders>
              <w:top w:val="nil"/>
              <w:left w:val="nil"/>
              <w:bottom w:val="nil"/>
              <w:right w:val="nil"/>
            </w:tcBorders>
            <w:tcMar>
              <w:left w:w="108" w:type="dxa"/>
              <w:right w:w="108" w:type="dxa"/>
            </w:tcMar>
          </w:tcPr>
          <w:p w:rsidR="00DB000D" w:rsidP="259B847E">
            <w:pPr>
              <w:spacing w:after="200" w:line="276" w:lineRule="auto"/>
            </w:pPr>
            <w:r w:rsidRPr="259B847E">
              <w:rPr>
                <w:rFonts w:ascii="Aptos" w:eastAsia="Aptos" w:hAnsi="Aptos" w:cs="Aptos"/>
                <w:color w:val="000000" w:themeColor="text1"/>
              </w:rPr>
              <w:t xml:space="preserve">Modernising the entire Scottish supply chain, focusing policy and financial support towards areas such as automation and digitisation, to ensure competitive and volume delivery of key subsystems </w:t>
            </w:r>
          </w:p>
        </w:tc>
      </w:tr>
      <w:tr w:rsidTr="00E70ABA">
        <w:tblPrEx>
          <w:tblW w:w="0" w:type="auto"/>
          <w:tblLayout w:type="fixed"/>
          <w:tblLook w:val="04A0"/>
        </w:tblPrEx>
        <w:trPr>
          <w:trHeight w:val="300"/>
        </w:trPr>
        <w:tc>
          <w:tcPr>
            <w:tcW w:w="1560" w:type="dxa"/>
            <w:tcBorders>
              <w:top w:val="nil"/>
              <w:left w:val="nil"/>
              <w:bottom w:val="nil"/>
              <w:right w:val="nil"/>
            </w:tcBorders>
            <w:tcMar>
              <w:left w:w="108" w:type="dxa"/>
              <w:right w:w="108" w:type="dxa"/>
            </w:tcMar>
          </w:tcPr>
          <w:p w:rsidR="00DB000D" w:rsidP="259B847E">
            <w:pPr>
              <w:spacing w:after="200" w:line="276" w:lineRule="auto"/>
            </w:pPr>
            <w:r w:rsidRPr="259B847E">
              <w:rPr>
                <w:rFonts w:ascii="Aptos SemiBold" w:eastAsia="Aptos SemiBold" w:hAnsi="Aptos SemiBold" w:cs="Aptos SemiBold"/>
              </w:rPr>
              <w:t xml:space="preserve">Workforce </w:t>
            </w:r>
          </w:p>
        </w:tc>
        <w:tc>
          <w:tcPr>
            <w:tcW w:w="7455" w:type="dxa"/>
            <w:tcBorders>
              <w:top w:val="nil"/>
              <w:left w:val="nil"/>
              <w:bottom w:val="nil"/>
              <w:right w:val="nil"/>
            </w:tcBorders>
            <w:tcMar>
              <w:left w:w="108" w:type="dxa"/>
              <w:right w:w="108" w:type="dxa"/>
            </w:tcMar>
          </w:tcPr>
          <w:p w:rsidR="00DB000D" w:rsidP="259B847E">
            <w:pPr>
              <w:spacing w:after="200" w:line="276" w:lineRule="auto"/>
            </w:pPr>
            <w:r w:rsidRPr="259B847E">
              <w:rPr>
                <w:rFonts w:ascii="Aptos" w:eastAsia="Aptos" w:hAnsi="Aptos" w:cs="Aptos"/>
                <w:color w:val="000000" w:themeColor="text1"/>
              </w:rPr>
              <w:t xml:space="preserve">Assessing </w:t>
            </w:r>
            <w:r w:rsidRPr="259B847E">
              <w:rPr>
                <w:rFonts w:ascii="Aptos" w:eastAsia="Aptos" w:hAnsi="Aptos" w:cs="Aptos"/>
              </w:rPr>
              <w:t xml:space="preserve">the ongoing availability of a skilled workforce across all education levels, bolstered by the availability of focused training to maximize workforce potential and ease the transition from other sectors and countries  </w:t>
            </w:r>
            <w:r w:rsidRPr="259B847E">
              <w:rPr>
                <w:rFonts w:ascii="Aptos" w:eastAsia="Aptos" w:hAnsi="Aptos" w:cs="Aptos"/>
                <w:color w:val="000000" w:themeColor="text1"/>
              </w:rPr>
              <w:t xml:space="preserve"> </w:t>
            </w:r>
          </w:p>
        </w:tc>
      </w:tr>
      <w:tr w:rsidTr="00E70ABA">
        <w:tblPrEx>
          <w:tblW w:w="0" w:type="auto"/>
          <w:tblLayout w:type="fixed"/>
          <w:tblLook w:val="04A0"/>
        </w:tblPrEx>
        <w:trPr>
          <w:trHeight w:val="300"/>
        </w:trPr>
        <w:tc>
          <w:tcPr>
            <w:tcW w:w="1560" w:type="dxa"/>
            <w:tcBorders>
              <w:top w:val="nil"/>
              <w:left w:val="nil"/>
              <w:bottom w:val="nil"/>
              <w:right w:val="nil"/>
            </w:tcBorders>
            <w:tcMar>
              <w:left w:w="108" w:type="dxa"/>
              <w:right w:w="108" w:type="dxa"/>
            </w:tcMar>
          </w:tcPr>
          <w:p w:rsidR="00DB000D" w:rsidP="259B847E">
            <w:pPr>
              <w:spacing w:after="200" w:line="276" w:lineRule="auto"/>
            </w:pPr>
            <w:r w:rsidRPr="259B847E">
              <w:rPr>
                <w:rFonts w:ascii="Aptos SemiBold" w:eastAsia="Aptos SemiBold" w:hAnsi="Aptos SemiBold" w:cs="Aptos SemiBold"/>
              </w:rPr>
              <w:t xml:space="preserve">Collaboration </w:t>
            </w:r>
          </w:p>
        </w:tc>
        <w:tc>
          <w:tcPr>
            <w:tcW w:w="7455" w:type="dxa"/>
            <w:tcBorders>
              <w:top w:val="nil"/>
              <w:left w:val="nil"/>
              <w:bottom w:val="nil"/>
              <w:right w:val="nil"/>
            </w:tcBorders>
            <w:tcMar>
              <w:left w:w="108" w:type="dxa"/>
              <w:right w:w="108" w:type="dxa"/>
            </w:tcMar>
          </w:tcPr>
          <w:p w:rsidR="00DB000D" w:rsidP="259B847E">
            <w:pPr>
              <w:spacing w:after="200" w:line="276" w:lineRule="auto"/>
            </w:pPr>
            <w:r w:rsidRPr="259B847E">
              <w:rPr>
                <w:rFonts w:ascii="Aptos" w:eastAsia="Aptos" w:hAnsi="Aptos" w:cs="Aptos"/>
                <w:color w:val="000000" w:themeColor="text1"/>
              </w:rPr>
              <w:t xml:space="preserve">The ability to facilitate knowledge exchange and collaborative working between different sectors and stakeholders, combined with the development of innovation clusters  </w:t>
            </w:r>
          </w:p>
        </w:tc>
      </w:tr>
      <w:tr w:rsidTr="00E70ABA">
        <w:tblPrEx>
          <w:tblW w:w="0" w:type="auto"/>
          <w:tblLayout w:type="fixed"/>
          <w:tblLook w:val="04A0"/>
        </w:tblPrEx>
        <w:trPr>
          <w:trHeight w:val="300"/>
        </w:trPr>
        <w:tc>
          <w:tcPr>
            <w:tcW w:w="1560" w:type="dxa"/>
            <w:tcBorders>
              <w:top w:val="nil"/>
              <w:left w:val="nil"/>
              <w:bottom w:val="single" w:sz="8" w:space="0" w:color="auto"/>
              <w:right w:val="nil"/>
            </w:tcBorders>
            <w:tcMar>
              <w:left w:w="108" w:type="dxa"/>
              <w:right w:w="108" w:type="dxa"/>
            </w:tcMar>
          </w:tcPr>
          <w:p w:rsidR="00DB000D" w:rsidP="259B847E">
            <w:pPr>
              <w:spacing w:after="200" w:line="276" w:lineRule="auto"/>
            </w:pPr>
            <w:r w:rsidRPr="259B847E">
              <w:rPr>
                <w:rFonts w:ascii="Aptos SemiBold" w:eastAsia="Aptos SemiBold" w:hAnsi="Aptos SemiBold" w:cs="Aptos SemiBold"/>
              </w:rPr>
              <w:t>Regulation &amp; Legislation</w:t>
            </w:r>
          </w:p>
        </w:tc>
        <w:tc>
          <w:tcPr>
            <w:tcW w:w="7455" w:type="dxa"/>
            <w:tcBorders>
              <w:top w:val="nil"/>
              <w:left w:val="nil"/>
              <w:bottom w:val="single" w:sz="8" w:space="0" w:color="auto"/>
              <w:right w:val="nil"/>
            </w:tcBorders>
            <w:tcMar>
              <w:left w:w="108" w:type="dxa"/>
              <w:right w:w="108" w:type="dxa"/>
            </w:tcMar>
          </w:tcPr>
          <w:p w:rsidR="00DB000D" w:rsidP="00E70ABA">
            <w:pPr>
              <w:keepNext/>
              <w:spacing w:after="200" w:line="276" w:lineRule="auto"/>
              <w:rPr>
                <w:rFonts w:ascii="Aptos" w:eastAsia="Aptos" w:hAnsi="Aptos" w:cs="Aptos"/>
                <w:color w:val="000000" w:themeColor="text1"/>
              </w:rPr>
            </w:pPr>
            <w:r w:rsidRPr="259B847E">
              <w:rPr>
                <w:rFonts w:ascii="Aptos" w:eastAsia="Aptos" w:hAnsi="Aptos" w:cs="Aptos"/>
                <w:color w:val="000000" w:themeColor="text1"/>
              </w:rPr>
              <w:t>Designing a</w:t>
            </w:r>
            <w:r w:rsidRPr="259B847E">
              <w:rPr>
                <w:rFonts w:ascii="Aptos" w:eastAsia="Aptos" w:hAnsi="Aptos" w:cs="Aptos"/>
              </w:rPr>
              <w:t xml:space="preserve"> fit-for-purpose regulatory and legislative framework that helps rather than hinders the accelerated development and deployment of new wave energy technologies and employs appropriate financial tools to support and protect the sector.</w:t>
            </w:r>
          </w:p>
        </w:tc>
      </w:tr>
    </w:tbl>
    <w:p w:rsidR="00DB000D" w:rsidP="004A6DB0">
      <w:pPr>
        <w:pStyle w:val="Caption"/>
        <w:jc w:val="center"/>
      </w:pPr>
      <w:r>
        <w:t xml:space="preserve">ORE supply chain competitiveness framework factors </w:t>
      </w:r>
    </w:p>
    <w:p w:rsidR="00DB000D" w:rsidRPr="00553F72" w:rsidP="00553F72">
      <w:pPr>
        <w:rPr>
          <w:i/>
          <w:iCs/>
          <w:color w:val="44546A" w:themeColor="text2"/>
          <w:sz w:val="18"/>
          <w:szCs w:val="18"/>
        </w:rPr>
      </w:pPr>
    </w:p>
    <w:p w:rsidR="00DB000D" w:rsidRPr="00C11E85" w:rsidP="00975619">
      <w:pPr>
        <w:ind w:left="720"/>
        <w:rPr>
          <w:b/>
          <w:bCs/>
          <w:sz w:val="24"/>
          <w:szCs w:val="24"/>
          <w:lang w:eastAsia="en-GB"/>
        </w:rPr>
      </w:pPr>
      <w:r w:rsidRPr="00C11E85">
        <w:rPr>
          <w:b/>
          <w:bCs/>
          <w:sz w:val="24"/>
          <w:szCs w:val="24"/>
          <w:lang w:eastAsia="en-GB"/>
        </w:rPr>
        <w:t>4. What actions should the UK and Scottish Governments take to ensure the necessary generation and transmission infrastructure to support the development of Scotland’s renewables sector?</w:t>
      </w:r>
    </w:p>
    <w:p w:rsidR="00DB000D" w:rsidP="259B847E">
      <w:pPr>
        <w:rPr>
          <w:lang w:eastAsia="en-GB"/>
        </w:rPr>
      </w:pPr>
      <w:r w:rsidRPr="259B847E">
        <w:rPr>
          <w:lang w:eastAsia="en-GB"/>
        </w:rPr>
        <w:t xml:space="preserve">While </w:t>
      </w:r>
      <w:r w:rsidRPr="6EC8E370">
        <w:rPr>
          <w:lang w:eastAsia="en-GB"/>
        </w:rPr>
        <w:t>th</w:t>
      </w:r>
      <w:r w:rsidRPr="6EC8E370">
        <w:rPr>
          <w:lang w:eastAsia="en-GB"/>
        </w:rPr>
        <w:t xml:space="preserve">e P&amp;IG understands that </w:t>
      </w:r>
      <w:r w:rsidRPr="259B847E">
        <w:rPr>
          <w:lang w:eastAsia="en-GB"/>
        </w:rPr>
        <w:t xml:space="preserve">there are a number of high-level </w:t>
      </w:r>
      <w:r w:rsidRPr="6EC8E370">
        <w:rPr>
          <w:lang w:eastAsia="en-GB"/>
        </w:rPr>
        <w:t xml:space="preserve">and </w:t>
      </w:r>
      <w:r w:rsidRPr="6EC8E370">
        <w:rPr>
          <w:lang w:eastAsia="en-GB"/>
        </w:rPr>
        <w:t>competing</w:t>
      </w:r>
      <w:r w:rsidRPr="6EC8E370">
        <w:rPr>
          <w:lang w:eastAsia="en-GB"/>
        </w:rPr>
        <w:t xml:space="preserve"> </w:t>
      </w:r>
      <w:r w:rsidRPr="259B847E">
        <w:rPr>
          <w:lang w:eastAsia="en-GB"/>
        </w:rPr>
        <w:t xml:space="preserve">actions that should be considered to </w:t>
      </w:r>
      <w:r w:rsidRPr="259B847E">
        <w:rPr>
          <w:lang w:eastAsia="en-GB"/>
        </w:rPr>
        <w:t xml:space="preserve">support </w:t>
      </w:r>
      <w:r w:rsidRPr="259B847E">
        <w:rPr>
          <w:lang w:eastAsia="en-GB"/>
        </w:rPr>
        <w:t>Scotland’s Net Zero transition</w:t>
      </w:r>
      <w:r w:rsidRPr="259B847E">
        <w:rPr>
          <w:lang w:eastAsia="en-GB"/>
        </w:rPr>
        <w:t>, above all it</w:t>
      </w:r>
      <w:r w:rsidRPr="6EC8E370">
        <w:rPr>
          <w:lang w:eastAsia="en-GB"/>
        </w:rPr>
        <w:t>,</w:t>
      </w:r>
      <w:r w:rsidRPr="259B847E">
        <w:rPr>
          <w:lang w:eastAsia="en-GB"/>
        </w:rPr>
        <w:t xml:space="preserve"> is important to ensure that, where possible, </w:t>
      </w:r>
      <w:r w:rsidRPr="259B847E">
        <w:rPr>
          <w:lang w:eastAsia="en-GB"/>
        </w:rPr>
        <w:t>Scottish companies and businesses lead on thy physical building and provisioning of</w:t>
      </w:r>
      <w:r w:rsidRPr="259B847E">
        <w:rPr>
          <w:lang w:eastAsia="en-GB"/>
        </w:rPr>
        <w:t xml:space="preserve"> relevant </w:t>
      </w:r>
      <w:r w:rsidRPr="259B847E">
        <w:rPr>
          <w:rFonts w:ascii="Aptos" w:eastAsia="Aptos" w:hAnsi="Aptos" w:cs="Aptos"/>
        </w:rPr>
        <w:t>technology, component and service/skills. This is essential to ensuring that the GVA and jobs associated with these developments is retained and provides value to the Scottish economy and soci</w:t>
      </w:r>
      <w:r w:rsidRPr="259B847E">
        <w:rPr>
          <w:rFonts w:ascii="Aptos" w:eastAsia="Aptos" w:hAnsi="Aptos" w:cs="Aptos"/>
        </w:rPr>
        <w:t>et</w:t>
      </w:r>
      <w:r w:rsidRPr="259B847E">
        <w:rPr>
          <w:rFonts w:ascii="Aptos" w:eastAsia="Aptos" w:hAnsi="Aptos" w:cs="Aptos"/>
        </w:rPr>
        <w:t xml:space="preserve">y. </w:t>
      </w:r>
      <w:r w:rsidRPr="259B847E">
        <w:rPr>
          <w:lang w:eastAsia="en-GB"/>
        </w:rPr>
        <w:t xml:space="preserve"> </w:t>
      </w:r>
    </w:p>
    <w:p w:rsidR="00DB000D" w:rsidRPr="00483E49" w:rsidP="259B847E">
      <w:pPr>
        <w:rPr>
          <w:lang w:eastAsia="en-GB"/>
        </w:rPr>
      </w:pPr>
      <w:r w:rsidRPr="259B847E">
        <w:rPr>
          <w:lang w:eastAsia="en-GB"/>
        </w:rPr>
        <w:t xml:space="preserve">The P&amp;IG is able to </w:t>
      </w:r>
      <w:r w:rsidRPr="259B847E">
        <w:rPr>
          <w:lang w:eastAsia="en-GB"/>
        </w:rPr>
        <w:t>provide a series of high-level policy recommendations, tailored to support the growth and success of Scotland’s ORE industry, and the supply chain that will underpin it</w:t>
      </w:r>
      <w:r w:rsidRPr="259B847E">
        <w:rPr>
          <w:lang w:eastAsia="en-GB"/>
        </w:rPr>
        <w:t xml:space="preserve">. </w:t>
      </w:r>
    </w:p>
    <w:p w:rsidR="00DB000D" w:rsidRPr="00483E49" w:rsidP="259B847E">
      <w:pPr>
        <w:spacing w:after="120" w:line="276" w:lineRule="auto"/>
        <w:rPr>
          <w:rFonts w:ascii="Aptos" w:eastAsia="Aptos" w:hAnsi="Aptos" w:cs="Aptos"/>
        </w:rPr>
      </w:pPr>
      <w:r w:rsidRPr="259B847E">
        <w:rPr>
          <w:lang w:eastAsia="en-GB"/>
        </w:rPr>
        <w:t xml:space="preserve">The first three of these recommendations </w:t>
      </w:r>
      <w:r w:rsidRPr="259B847E">
        <w:rPr>
          <w:rFonts w:ascii="Aptos" w:eastAsia="Aptos" w:hAnsi="Aptos" w:cs="Aptos"/>
        </w:rPr>
        <w:t xml:space="preserve">to enable the development and growth of the </w:t>
      </w:r>
      <w:r w:rsidRPr="259B847E">
        <w:rPr>
          <w:rFonts w:ascii="Aptos" w:eastAsia="Aptos" w:hAnsi="Aptos" w:cs="Aptos"/>
        </w:rPr>
        <w:t xml:space="preserve">ORE </w:t>
      </w:r>
      <w:r w:rsidRPr="259B847E">
        <w:rPr>
          <w:rFonts w:ascii="Aptos" w:eastAsia="Aptos" w:hAnsi="Aptos" w:cs="Aptos"/>
        </w:rPr>
        <w:t xml:space="preserve">sector. These recommendations target the challenges directly facing the capabilities and capacities of both </w:t>
      </w:r>
      <w:r w:rsidRPr="259B847E">
        <w:rPr>
          <w:rFonts w:ascii="Aptos" w:eastAsia="Aptos" w:hAnsi="Aptos" w:cs="Aptos"/>
        </w:rPr>
        <w:t xml:space="preserve">ORE </w:t>
      </w:r>
      <w:r w:rsidRPr="259B847E">
        <w:rPr>
          <w:rFonts w:ascii="Aptos" w:eastAsia="Aptos" w:hAnsi="Aptos" w:cs="Aptos"/>
        </w:rPr>
        <w:t>developers and the supply chain that supports the sector.</w:t>
      </w:r>
    </w:p>
    <w:p w:rsidR="00DB000D" w:rsidRPr="00483E49" w:rsidP="259B847E">
      <w:pPr>
        <w:pStyle w:val="ListParagraph"/>
        <w:numPr>
          <w:ilvl w:val="0"/>
          <w:numId w:val="1"/>
        </w:numPr>
      </w:pPr>
      <w:r w:rsidRPr="259B847E">
        <w:rPr>
          <w:rFonts w:ascii="Aptos Display" w:eastAsia="Aptos Display" w:hAnsi="Aptos Display" w:cs="Aptos Display"/>
        </w:rPr>
        <w:t xml:space="preserve">The continuation of </w:t>
      </w:r>
      <w:r w:rsidRPr="259B847E">
        <w:rPr>
          <w:rFonts w:ascii="Aptos Display" w:eastAsia="Aptos Display" w:hAnsi="Aptos Display" w:cs="Aptos Display"/>
          <w:b/>
          <w:bCs/>
        </w:rPr>
        <w:t>a well-funded market support mechanism</w:t>
      </w:r>
      <w:r w:rsidRPr="259B847E">
        <w:rPr>
          <w:rFonts w:ascii="Aptos Display" w:eastAsia="Aptos Display" w:hAnsi="Aptos Display" w:cs="Aptos Display"/>
        </w:rPr>
        <w:t xml:space="preserve">, such as the CfD, is the foundational step to </w:t>
      </w:r>
      <w:r w:rsidRPr="259B847E">
        <w:rPr>
          <w:rFonts w:ascii="Aptos Display" w:eastAsia="Aptos Display" w:hAnsi="Aptos Display" w:cs="Aptos Display"/>
          <w:b/>
          <w:bCs/>
        </w:rPr>
        <w:t>ensuring a market into which Scottish ORE developers can supply and deploy their devices</w:t>
      </w:r>
      <w:r w:rsidRPr="259B847E">
        <w:rPr>
          <w:rFonts w:ascii="Aptos Display" w:eastAsia="Aptos Display" w:hAnsi="Aptos Display" w:cs="Aptos Display"/>
        </w:rPr>
        <w:t xml:space="preserve">. This should be coupled with the </w:t>
      </w:r>
      <w:r w:rsidRPr="259B847E">
        <w:rPr>
          <w:rFonts w:ascii="Aptos Display" w:eastAsia="Aptos Display" w:hAnsi="Aptos Display" w:cs="Aptos Display"/>
          <w:b/>
          <w:bCs/>
        </w:rPr>
        <w:t>establishment of a highly visible and accountable future deployment ambition</w:t>
      </w:r>
      <w:r w:rsidRPr="259B847E">
        <w:rPr>
          <w:rFonts w:ascii="Aptos Display" w:eastAsia="Aptos Display" w:hAnsi="Aptos Display" w:cs="Aptos Display"/>
        </w:rPr>
        <w:t>, which will bolster the growth of the domestic market, provide clarity with regards to supply chain requirements and increase investor confidence in a range of supporting sectors.</w:t>
      </w:r>
    </w:p>
    <w:p w:rsidR="00DB000D" w:rsidRPr="00483E49" w:rsidP="6EC8E370">
      <w:pPr>
        <w:pStyle w:val="ListParagraph"/>
      </w:pPr>
    </w:p>
    <w:p w:rsidR="00DB000D" w:rsidRPr="00483E49" w:rsidP="259B847E">
      <w:pPr>
        <w:pStyle w:val="ListParagraph"/>
        <w:numPr>
          <w:ilvl w:val="0"/>
          <w:numId w:val="1"/>
        </w:numPr>
      </w:pPr>
      <w:r w:rsidRPr="259B847E">
        <w:rPr>
          <w:rFonts w:ascii="Aptos Display" w:eastAsia="Aptos Display" w:hAnsi="Aptos Display" w:cs="Aptos Display"/>
          <w:b/>
          <w:bCs/>
        </w:rPr>
        <w:t>Targeted and sustained research and innovation support for ORE technology developers is essential</w:t>
      </w:r>
      <w:r w:rsidRPr="259B847E">
        <w:rPr>
          <w:rFonts w:ascii="Aptos Display" w:eastAsia="Aptos Display" w:hAnsi="Aptos Display" w:cs="Aptos Display"/>
        </w:rPr>
        <w:t xml:space="preserve"> to ensure that Scotland builds upon and maintains the competitive edge that it has established in this sector. This is vital to ensure that </w:t>
      </w:r>
      <w:r w:rsidRPr="259B847E">
        <w:rPr>
          <w:rFonts w:ascii="Aptos Display" w:eastAsia="Aptos Display" w:hAnsi="Aptos Display" w:cs="Aptos Display"/>
          <w:b/>
          <w:bCs/>
        </w:rPr>
        <w:t>Scottish companies continue to innovate, reduce costs, win projects and deploy their devices,</w:t>
      </w:r>
      <w:r w:rsidRPr="259B847E">
        <w:rPr>
          <w:rFonts w:ascii="Aptos Display" w:eastAsia="Aptos Display" w:hAnsi="Aptos Display" w:cs="Aptos Display"/>
        </w:rPr>
        <w:t xml:space="preserve"> in both domestic and international markets.</w:t>
      </w:r>
    </w:p>
    <w:p w:rsidR="00DB000D" w:rsidRPr="00483E49" w:rsidP="6EC8E370">
      <w:pPr>
        <w:pStyle w:val="ListParagraph"/>
      </w:pPr>
    </w:p>
    <w:p w:rsidR="00DB000D" w:rsidRPr="00483E49" w:rsidP="259B847E">
      <w:pPr>
        <w:pStyle w:val="ListParagraph"/>
        <w:numPr>
          <w:ilvl w:val="0"/>
          <w:numId w:val="1"/>
        </w:numPr>
      </w:pPr>
      <w:r w:rsidRPr="259B847E">
        <w:rPr>
          <w:rFonts w:ascii="Aptos Display" w:eastAsia="Aptos Display" w:hAnsi="Aptos Display" w:cs="Aptos Display"/>
          <w:b/>
          <w:bCs/>
        </w:rPr>
        <w:t>The modernisation of Scottish supply chain capabilities</w:t>
      </w:r>
      <w:r w:rsidRPr="259B847E">
        <w:rPr>
          <w:rFonts w:ascii="Aptos Display" w:eastAsia="Aptos Display" w:hAnsi="Aptos Display" w:cs="Aptos Display"/>
        </w:rPr>
        <w:t xml:space="preserve">, from the manufacture and </w:t>
      </w:r>
      <w:r>
        <w:br/>
      </w:r>
      <w:r w:rsidRPr="259B847E">
        <w:rPr>
          <w:rFonts w:ascii="Aptos Display" w:eastAsia="Aptos Display" w:hAnsi="Aptos Display" w:cs="Aptos Display"/>
        </w:rPr>
        <w:t xml:space="preserve">utilisation of novel materials to the adoption of automation and digitalisation, should be </w:t>
      </w:r>
      <w:r w:rsidRPr="259B847E">
        <w:rPr>
          <w:rFonts w:ascii="Aptos Display" w:eastAsia="Aptos Display" w:hAnsi="Aptos Display" w:cs="Aptos Display"/>
          <w:b/>
          <w:bCs/>
        </w:rPr>
        <w:t>embraced and supported at all levels of the supply chain.</w:t>
      </w:r>
      <w:r w:rsidRPr="259B847E">
        <w:rPr>
          <w:rFonts w:ascii="Aptos Display" w:eastAsia="Aptos Display" w:hAnsi="Aptos Display" w:cs="Aptos Display"/>
        </w:rPr>
        <w:t xml:space="preserve"> In areas where </w:t>
      </w:r>
      <w:r w:rsidRPr="259B847E">
        <w:rPr>
          <w:rFonts w:ascii="Aptos Display" w:eastAsia="Aptos Display" w:hAnsi="Aptos Display" w:cs="Aptos Display"/>
          <w:b/>
          <w:bCs/>
        </w:rPr>
        <w:t xml:space="preserve">Scotland already possesses a world-leading status </w:t>
      </w:r>
      <w:r w:rsidRPr="259B847E">
        <w:rPr>
          <w:rFonts w:ascii="Aptos Display" w:eastAsia="Aptos Display" w:hAnsi="Aptos Display" w:cs="Aptos Display"/>
        </w:rPr>
        <w:t>or</w:t>
      </w:r>
      <w:r w:rsidRPr="259B847E">
        <w:rPr>
          <w:rFonts w:ascii="Aptos Display" w:eastAsia="Aptos Display" w:hAnsi="Aptos Display" w:cs="Aptos Display"/>
          <w:b/>
          <w:bCs/>
        </w:rPr>
        <w:t xml:space="preserve"> </w:t>
      </w:r>
      <w:r w:rsidRPr="259B847E">
        <w:rPr>
          <w:rFonts w:ascii="Aptos Display" w:eastAsia="Aptos Display" w:hAnsi="Aptos Display" w:cs="Aptos Display"/>
        </w:rPr>
        <w:t>is</w:t>
      </w:r>
      <w:r w:rsidRPr="259B847E">
        <w:rPr>
          <w:rFonts w:ascii="Aptos Display" w:eastAsia="Aptos Display" w:hAnsi="Aptos Display" w:cs="Aptos Display"/>
          <w:b/>
          <w:bCs/>
        </w:rPr>
        <w:t xml:space="preserve"> matching the competitive performance of other nations</w:t>
      </w:r>
      <w:r w:rsidRPr="259B847E">
        <w:rPr>
          <w:rFonts w:ascii="Aptos Display" w:eastAsia="Aptos Display" w:hAnsi="Aptos Display" w:cs="Aptos Display"/>
        </w:rPr>
        <w:t xml:space="preserve">, policy and financial support should aim to </w:t>
      </w:r>
      <w:r w:rsidRPr="259B847E">
        <w:rPr>
          <w:rFonts w:ascii="Aptos Display" w:eastAsia="Aptos Display" w:hAnsi="Aptos Display" w:cs="Aptos Display"/>
          <w:b/>
          <w:bCs/>
        </w:rPr>
        <w:t>nurture,</w:t>
      </w:r>
      <w:r w:rsidRPr="259B847E">
        <w:rPr>
          <w:rFonts w:ascii="Aptos Display" w:eastAsia="Aptos Display" w:hAnsi="Aptos Display" w:cs="Aptos Display"/>
        </w:rPr>
        <w:t xml:space="preserve"> </w:t>
      </w:r>
      <w:r w:rsidRPr="259B847E">
        <w:rPr>
          <w:rFonts w:ascii="Aptos Display" w:eastAsia="Aptos Display" w:hAnsi="Aptos Display" w:cs="Aptos Display"/>
          <w:b/>
          <w:bCs/>
        </w:rPr>
        <w:t>strengthen and maintain this position</w:t>
      </w:r>
      <w:r w:rsidRPr="259B847E">
        <w:rPr>
          <w:rFonts w:ascii="Aptos Display" w:eastAsia="Aptos Display" w:hAnsi="Aptos Display" w:cs="Aptos Display"/>
        </w:rPr>
        <w:t xml:space="preserve">. In areas of subsystem manufacture with </w:t>
      </w:r>
      <w:r w:rsidRPr="259B847E">
        <w:rPr>
          <w:rFonts w:ascii="Aptos Display" w:eastAsia="Aptos Display" w:hAnsi="Aptos Display" w:cs="Aptos Display"/>
          <w:b/>
          <w:bCs/>
        </w:rPr>
        <w:t>no clear market leader</w:t>
      </w:r>
      <w:r w:rsidRPr="259B847E">
        <w:rPr>
          <w:rFonts w:ascii="Aptos Display" w:eastAsia="Aptos Display" w:hAnsi="Aptos Display" w:cs="Aptos Display"/>
        </w:rPr>
        <w:t>, Scotland should position itself to maximise the benefit</w:t>
      </w:r>
      <w:r w:rsidRPr="259B847E">
        <w:rPr>
          <w:rFonts w:ascii="Aptos Display" w:eastAsia="Aptos Display" w:hAnsi="Aptos Display" w:cs="Aptos Display"/>
        </w:rPr>
        <w:t xml:space="preserve"> of investments into supply chain sophistication and </w:t>
      </w:r>
      <w:r w:rsidRPr="259B847E">
        <w:rPr>
          <w:rFonts w:ascii="Aptos Display" w:eastAsia="Aptos Display" w:hAnsi="Aptos Display" w:cs="Aptos Display"/>
          <w:b/>
          <w:bCs/>
        </w:rPr>
        <w:t>seize these all-to-play-for markets</w:t>
      </w:r>
      <w:r w:rsidRPr="259B847E">
        <w:rPr>
          <w:rFonts w:ascii="Aptos Display" w:eastAsia="Aptos Display" w:hAnsi="Aptos Display" w:cs="Aptos Display"/>
        </w:rPr>
        <w:t xml:space="preserve">. Policy support should be tailored to ensure that there is a </w:t>
      </w:r>
      <w:r w:rsidRPr="259B847E">
        <w:rPr>
          <w:rFonts w:ascii="Aptos Display" w:eastAsia="Aptos Display" w:hAnsi="Aptos Display" w:cs="Aptos Display"/>
          <w:b/>
          <w:bCs/>
        </w:rPr>
        <w:t>straightforward route towards the commercialisation of new ideas</w:t>
      </w:r>
      <w:r w:rsidRPr="259B847E">
        <w:rPr>
          <w:rFonts w:ascii="Aptos Display" w:eastAsia="Aptos Display" w:hAnsi="Aptos Display" w:cs="Aptos Display"/>
        </w:rPr>
        <w:t>, translating early-stage innovation into supply chain expertise and manufacturing capability.</w:t>
      </w:r>
    </w:p>
    <w:p w:rsidR="00DB000D" w:rsidRPr="00483E49" w:rsidP="259B847E">
      <w:pPr>
        <w:spacing w:after="120" w:line="276" w:lineRule="auto"/>
        <w:rPr>
          <w:rFonts w:ascii="Aptos" w:eastAsia="Aptos" w:hAnsi="Aptos" w:cs="Aptos"/>
        </w:rPr>
      </w:pPr>
      <w:r w:rsidRPr="259B847E">
        <w:rPr>
          <w:rFonts w:ascii="Aptos" w:eastAsia="Aptos" w:hAnsi="Aptos" w:cs="Aptos"/>
        </w:rPr>
        <w:t xml:space="preserve">The next three recommendations aim to target the challenges surrounding the development of infrastructure that underpins the future of both ORE device developers and the supply chain that supports them. </w:t>
      </w:r>
    </w:p>
    <w:p w:rsidR="00DB000D" w:rsidRPr="00483E49" w:rsidP="259B847E">
      <w:pPr>
        <w:pStyle w:val="ListParagraph"/>
        <w:numPr>
          <w:ilvl w:val="0"/>
          <w:numId w:val="1"/>
        </w:numPr>
        <w:spacing w:after="120" w:line="276" w:lineRule="auto"/>
      </w:pPr>
      <w:r w:rsidRPr="259B847E">
        <w:rPr>
          <w:rFonts w:ascii="Aptos Display" w:eastAsia="Aptos Display" w:hAnsi="Aptos Display" w:cs="Aptos Display"/>
          <w:color w:val="000000" w:themeColor="text1"/>
        </w:rPr>
        <w:t xml:space="preserve">Investment into device innovation and supply chain capability should be coupled with an </w:t>
      </w:r>
      <w:r w:rsidRPr="259B847E">
        <w:rPr>
          <w:b/>
          <w:bCs/>
        </w:rPr>
        <w:t>equal investment into domestic workforce capacity and skills</w:t>
      </w:r>
      <w:r w:rsidRPr="259B847E">
        <w:t xml:space="preserve">. </w:t>
      </w:r>
      <w:r w:rsidRPr="259B847E">
        <w:rPr>
          <w:rFonts w:ascii="Aptos Display" w:eastAsia="Aptos Display" w:hAnsi="Aptos Display" w:cs="Aptos Display"/>
        </w:rPr>
        <w:t xml:space="preserve">This should not solely target higher education graduates from a STEM background, who are an important consideration of </w:t>
      </w:r>
      <w:r w:rsidRPr="259B847E">
        <w:rPr>
          <w:rFonts w:ascii="Aptos Display" w:eastAsia="Aptos Display" w:hAnsi="Aptos Display" w:cs="Aptos Display"/>
        </w:rPr>
        <w:t>any future skilled workforce. It should also consider the roles of apprenticeships and existing workers transitioning from oil &amp; gas and other relevant sectors, who often have transferable skillsets and exposure to the challenges of working in a marine environment.</w:t>
      </w:r>
    </w:p>
    <w:p w:rsidR="00DB000D" w:rsidRPr="00483E49" w:rsidP="6EC8E370">
      <w:pPr>
        <w:pStyle w:val="ListParagraph"/>
        <w:spacing w:after="120" w:line="276" w:lineRule="auto"/>
      </w:pPr>
    </w:p>
    <w:p w:rsidR="00DB000D" w:rsidRPr="00483E49" w:rsidP="259B847E">
      <w:pPr>
        <w:pStyle w:val="ListParagraph"/>
        <w:numPr>
          <w:ilvl w:val="0"/>
          <w:numId w:val="1"/>
        </w:numPr>
        <w:spacing w:after="120" w:line="276" w:lineRule="auto"/>
      </w:pPr>
      <w:r w:rsidRPr="259B847E">
        <w:rPr>
          <w:rFonts w:ascii="Aptos Display" w:eastAsia="Aptos Display" w:hAnsi="Aptos Display" w:cs="Aptos Display"/>
        </w:rPr>
        <w:t xml:space="preserve">The maturity of the offshore wind sector, in terms of fabrication facilities and supply chain depth, should serve as both an inspiring template and </w:t>
      </w:r>
      <w:r w:rsidRPr="259B847E">
        <w:rPr>
          <w:rFonts w:ascii="Aptos Display" w:eastAsia="Aptos Display" w:hAnsi="Aptos Display" w:cs="Aptos Display"/>
          <w:b/>
          <w:bCs/>
        </w:rPr>
        <w:t>a serious opportunity for collaboration with the tidal stream sector.</w:t>
      </w:r>
      <w:r w:rsidRPr="259B847E">
        <w:rPr>
          <w:rFonts w:ascii="Aptos Display" w:eastAsia="Aptos Display" w:hAnsi="Aptos Display" w:cs="Aptos Display"/>
        </w:rPr>
        <w:t xml:space="preserve"> </w:t>
      </w:r>
      <w:r w:rsidRPr="259B847E">
        <w:rPr>
          <w:rFonts w:ascii="Aptos Display" w:eastAsia="Aptos Display" w:hAnsi="Aptos Display" w:cs="Aptos Display"/>
          <w:b/>
          <w:bCs/>
        </w:rPr>
        <w:t>Active collaboration between ORE developers and their supply chain</w:t>
      </w:r>
      <w:r w:rsidRPr="259B847E">
        <w:rPr>
          <w:rFonts w:ascii="Aptos Display" w:eastAsia="Aptos Display" w:hAnsi="Aptos Display" w:cs="Aptos Display"/>
        </w:rPr>
        <w:t xml:space="preserve">, where competition allows, could also lead to the </w:t>
      </w:r>
      <w:r w:rsidRPr="259B847E">
        <w:rPr>
          <w:rFonts w:ascii="Aptos Display" w:eastAsia="Aptos Display" w:hAnsi="Aptos Display" w:cs="Aptos Display"/>
          <w:b/>
          <w:bCs/>
        </w:rPr>
        <w:t>creation of innovation clusters</w:t>
      </w:r>
      <w:r w:rsidRPr="259B847E">
        <w:rPr>
          <w:rFonts w:ascii="Aptos Display" w:eastAsia="Aptos Display" w:hAnsi="Aptos Display" w:cs="Aptos Display"/>
        </w:rPr>
        <w:t>.</w:t>
      </w:r>
    </w:p>
    <w:p w:rsidR="00DB000D" w:rsidRPr="00483E49" w:rsidP="6EC8E370">
      <w:pPr>
        <w:pStyle w:val="ListParagraph"/>
        <w:spacing w:after="120" w:line="276" w:lineRule="auto"/>
      </w:pPr>
    </w:p>
    <w:p w:rsidR="00DB000D" w:rsidRPr="00483E49" w:rsidP="259B847E">
      <w:pPr>
        <w:pStyle w:val="ListParagraph"/>
        <w:numPr>
          <w:ilvl w:val="0"/>
          <w:numId w:val="1"/>
        </w:numPr>
        <w:spacing w:after="120" w:line="276" w:lineRule="auto"/>
      </w:pPr>
      <w:r w:rsidRPr="259B847E">
        <w:rPr>
          <w:rFonts w:ascii="Aptos Display" w:eastAsia="Aptos Display" w:hAnsi="Aptos Display" w:cs="Aptos Display"/>
          <w:b/>
          <w:bCs/>
        </w:rPr>
        <w:t>Significant grid upgrades will be required alongside the continued development of renewable energy in Scotland</w:t>
      </w:r>
      <w:r w:rsidRPr="259B847E">
        <w:rPr>
          <w:rFonts w:ascii="Aptos Display" w:eastAsia="Aptos Display" w:hAnsi="Aptos Display" w:cs="Aptos Display"/>
        </w:rPr>
        <w:t xml:space="preserve">, to avoid transmission bottlenecks and potential curtailment of renewable output. </w:t>
      </w:r>
      <w:r w:rsidRPr="259B847E">
        <w:rPr>
          <w:rFonts w:ascii="Aptos Display" w:eastAsia="Aptos Display" w:hAnsi="Aptos Display" w:cs="Aptos Display"/>
          <w:b/>
          <w:bCs/>
        </w:rPr>
        <w:t>These planned upgrades must also factor in the requirements and potential energy system benefits of the ORE sector</w:t>
      </w:r>
      <w:r w:rsidRPr="259B847E">
        <w:rPr>
          <w:rFonts w:ascii="Aptos Display" w:eastAsia="Aptos Display" w:hAnsi="Aptos Display" w:cs="Aptos Display"/>
        </w:rPr>
        <w:t xml:space="preserve">. </w:t>
      </w:r>
      <w:r w:rsidRPr="259B847E">
        <w:rPr>
          <w:rFonts w:ascii="Aptos Display" w:eastAsia="Aptos Display" w:hAnsi="Aptos Display" w:cs="Aptos Display"/>
          <w:b/>
          <w:bCs/>
        </w:rPr>
        <w:t>Port and harbour infrastructure upgrades</w:t>
      </w:r>
      <w:r w:rsidRPr="259B847E">
        <w:rPr>
          <w:rFonts w:ascii="Aptos Display" w:eastAsia="Aptos Display" w:hAnsi="Aptos Display" w:cs="Aptos Display"/>
        </w:rPr>
        <w:t xml:space="preserve"> across the country, currently being planned for offshore wind, should also factor in the additional requirements from the growing pipeline of tidal stream projects.</w:t>
      </w:r>
    </w:p>
    <w:p w:rsidR="00DB000D" w:rsidRPr="00483E49" w:rsidP="259B847E">
      <w:pPr>
        <w:spacing w:after="200" w:line="276" w:lineRule="auto"/>
      </w:pPr>
      <w:r w:rsidRPr="259B847E">
        <w:rPr>
          <w:rFonts w:ascii="Aptos" w:eastAsia="Aptos" w:hAnsi="Aptos" w:cs="Aptos"/>
        </w:rPr>
        <w:t xml:space="preserve">The final recommendation, detailed below, outlines a potential pathway by which the successful delivery of the previous six recommendations can be led and championed by existing enterprise and innovation agencies within Scotland. </w:t>
      </w:r>
    </w:p>
    <w:p w:rsidR="00DB000D" w:rsidRPr="00553F72" w:rsidP="6EC8E370">
      <w:pPr>
        <w:pStyle w:val="ListParagraph"/>
        <w:numPr>
          <w:ilvl w:val="0"/>
          <w:numId w:val="1"/>
        </w:numPr>
        <w:spacing w:after="200" w:line="276" w:lineRule="auto"/>
        <w:rPr>
          <w:rFonts w:ascii="Aptos" w:eastAsia="Aptos" w:hAnsi="Aptos" w:cs="Aptos"/>
        </w:rPr>
      </w:pPr>
      <w:r w:rsidRPr="259B847E">
        <w:rPr>
          <w:rFonts w:ascii="Aptos Display" w:eastAsia="Aptos Display" w:hAnsi="Aptos Display" w:cs="Aptos Display"/>
        </w:rPr>
        <w:t xml:space="preserve">Tasking and funding </w:t>
      </w:r>
      <w:r w:rsidRPr="259B847E">
        <w:rPr>
          <w:rFonts w:ascii="Aptos Display" w:eastAsia="Aptos Display" w:hAnsi="Aptos Display" w:cs="Aptos Display"/>
          <w:b/>
          <w:bCs/>
        </w:rPr>
        <w:t>existing</w:t>
      </w:r>
      <w:r w:rsidRPr="259B847E">
        <w:rPr>
          <w:rFonts w:ascii="Aptos Display" w:eastAsia="Aptos Display" w:hAnsi="Aptos Display" w:cs="Aptos Display"/>
        </w:rPr>
        <w:t xml:space="preserve"> </w:t>
      </w:r>
      <w:r w:rsidRPr="259B847E">
        <w:rPr>
          <w:rFonts w:ascii="Aptos Display" w:eastAsia="Aptos Display" w:hAnsi="Aptos Display" w:cs="Aptos Display"/>
          <w:b/>
          <w:bCs/>
        </w:rPr>
        <w:t>innovation and support organisations</w:t>
      </w:r>
      <w:r w:rsidRPr="259B847E">
        <w:rPr>
          <w:rFonts w:ascii="Aptos Display" w:eastAsia="Aptos Display" w:hAnsi="Aptos Display" w:cs="Aptos Display"/>
        </w:rPr>
        <w:t xml:space="preserve"> to oversee the </w:t>
      </w:r>
      <w:r>
        <w:br/>
      </w:r>
      <w:r w:rsidRPr="259B847E">
        <w:rPr>
          <w:rFonts w:ascii="Aptos Display" w:eastAsia="Aptos Display" w:hAnsi="Aptos Display" w:cs="Aptos Display"/>
          <w:b/>
          <w:bCs/>
        </w:rPr>
        <w:t>well-coordinated and accelerated delivery</w:t>
      </w:r>
      <w:r w:rsidRPr="259B847E">
        <w:rPr>
          <w:rFonts w:ascii="Aptos Display" w:eastAsia="Aptos Display" w:hAnsi="Aptos Display" w:cs="Aptos Display"/>
        </w:rPr>
        <w:t xml:space="preserve"> of innovation in domestic ORE devices </w:t>
      </w:r>
      <w:r>
        <w:br/>
      </w:r>
      <w:r w:rsidRPr="259B847E">
        <w:rPr>
          <w:rFonts w:ascii="Aptos Display" w:eastAsia="Aptos Display" w:hAnsi="Aptos Display" w:cs="Aptos Display"/>
        </w:rPr>
        <w:t xml:space="preserve">and improvements in Scottish supply chain capabilities. This will help to ensure that </w:t>
      </w:r>
      <w:r w:rsidRPr="259B847E">
        <w:rPr>
          <w:rFonts w:ascii="Aptos Display" w:eastAsia="Aptos Display" w:hAnsi="Aptos Display" w:cs="Aptos Display"/>
          <w:b/>
          <w:bCs/>
        </w:rPr>
        <w:t>Scotland maintains its position as a world leader in the delivery of ORE projects</w:t>
      </w:r>
      <w:r w:rsidRPr="259B847E">
        <w:rPr>
          <w:rFonts w:ascii="Aptos Display" w:eastAsia="Aptos Display" w:hAnsi="Aptos Display" w:cs="Aptos Display"/>
        </w:rPr>
        <w:t xml:space="preserve"> with high Scottish supply chain content.</w:t>
      </w:r>
    </w:p>
    <w:p w:rsidR="00DB000D" w:rsidP="6EC8E370">
      <w:pPr>
        <w:spacing w:after="200" w:line="276" w:lineRule="auto"/>
        <w:rPr>
          <w:rFonts w:ascii="Aptos" w:eastAsia="Aptos" w:hAnsi="Aptos" w:cs="Aptos"/>
        </w:rPr>
      </w:pPr>
    </w:p>
    <w:p w:rsidR="00DB000D" w:rsidRPr="00C11E85" w:rsidP="259B847E">
      <w:pPr>
        <w:ind w:left="720"/>
        <w:rPr>
          <w:b/>
          <w:bCs/>
          <w:sz w:val="24"/>
          <w:szCs w:val="24"/>
          <w:lang w:eastAsia="en-GB"/>
        </w:rPr>
      </w:pPr>
      <w:r w:rsidRPr="00C11E85">
        <w:rPr>
          <w:b/>
          <w:bCs/>
          <w:sz w:val="24"/>
          <w:szCs w:val="24"/>
          <w:lang w:eastAsia="en-GB"/>
        </w:rPr>
        <w:t>5. How can GB Energy, and other ways of backing industry (including funding), most effectively support employment, economic growth and the development of clean energy supply chains in Scotland?</w:t>
      </w:r>
    </w:p>
    <w:p w:rsidR="00DB000D" w:rsidP="00483E49">
      <w:pPr>
        <w:rPr>
          <w:lang w:eastAsia="en-GB"/>
        </w:rPr>
      </w:pPr>
      <w:r>
        <w:rPr>
          <w:lang w:eastAsia="en-GB"/>
        </w:rPr>
        <w:t xml:space="preserve">The P&amp;IG </w:t>
      </w:r>
      <w:r>
        <w:rPr>
          <w:lang w:eastAsia="en-GB"/>
        </w:rPr>
        <w:t xml:space="preserve">believe </w:t>
      </w:r>
      <w:r>
        <w:rPr>
          <w:lang w:eastAsia="en-GB"/>
        </w:rPr>
        <w:t xml:space="preserve">that while the </w:t>
      </w:r>
      <w:r>
        <w:rPr>
          <w:lang w:eastAsia="en-GB"/>
        </w:rPr>
        <w:t xml:space="preserve">policy </w:t>
      </w:r>
      <w:r>
        <w:rPr>
          <w:lang w:eastAsia="en-GB"/>
        </w:rPr>
        <w:t xml:space="preserve">recommendations outlined above </w:t>
      </w:r>
      <w:r>
        <w:rPr>
          <w:lang w:eastAsia="en-GB"/>
        </w:rPr>
        <w:t>go some way to answerin</w:t>
      </w:r>
      <w:r>
        <w:rPr>
          <w:lang w:eastAsia="en-GB"/>
        </w:rPr>
        <w:t xml:space="preserve">g question 5, particular attention should be paid to recommendations 1 and 2. </w:t>
      </w:r>
      <w:r>
        <w:rPr>
          <w:lang w:eastAsia="en-GB"/>
        </w:rPr>
        <w:t xml:space="preserve">A careful balance of </w:t>
      </w:r>
      <w:r>
        <w:rPr>
          <w:lang w:eastAsia="en-GB"/>
        </w:rPr>
        <w:t>market pull mechanisms, such as the long-term continuation and expansion of the CfD programme, and technology push policies, such as increased f</w:t>
      </w:r>
      <w:r>
        <w:rPr>
          <w:lang w:eastAsia="en-GB"/>
        </w:rPr>
        <w:t>u</w:t>
      </w:r>
      <w:r>
        <w:rPr>
          <w:lang w:eastAsia="en-GB"/>
        </w:rPr>
        <w:t xml:space="preserve">nding for technology innovation, </w:t>
      </w:r>
      <w:r>
        <w:rPr>
          <w:lang w:eastAsia="en-GB"/>
        </w:rPr>
        <w:t xml:space="preserve">are the primary way in which </w:t>
      </w:r>
      <w:r>
        <w:rPr>
          <w:lang w:eastAsia="en-GB"/>
        </w:rPr>
        <w:t xml:space="preserve">clean energy technologies and their supply chains may be developed. </w:t>
      </w:r>
      <w:r>
        <w:rPr>
          <w:lang w:eastAsia="en-GB"/>
        </w:rPr>
        <w:t>However, given the scale of the anticipated rollout of</w:t>
      </w:r>
      <w:r>
        <w:rPr>
          <w:lang w:eastAsia="en-GB"/>
        </w:rPr>
        <w:t xml:space="preserve"> ORE technologies</w:t>
      </w:r>
      <w:r>
        <w:rPr>
          <w:lang w:eastAsia="en-GB"/>
        </w:rPr>
        <w:t xml:space="preserve">, domestic supply chains must also be prepared to meet demand at both the scale and volume required, embracing technological </w:t>
      </w:r>
      <w:r>
        <w:rPr>
          <w:lang w:eastAsia="en-GB"/>
        </w:rPr>
        <w:t>modernisation</w:t>
      </w:r>
      <w:r>
        <w:rPr>
          <w:lang w:eastAsia="en-GB"/>
        </w:rPr>
        <w:t xml:space="preserve"> that will allow us to comp</w:t>
      </w:r>
      <w:r>
        <w:rPr>
          <w:lang w:eastAsia="en-GB"/>
        </w:rPr>
        <w:t xml:space="preserve">ete with nations who have established or are establishing a similar foothold in the ORE sector. </w:t>
      </w:r>
    </w:p>
    <w:p w:rsidR="00DB000D" w:rsidP="259B847E">
      <w:pPr>
        <w:rPr>
          <w:lang w:eastAsia="en-GB"/>
        </w:rPr>
      </w:pPr>
      <w:r>
        <w:rPr>
          <w:lang w:eastAsia="en-GB"/>
        </w:rPr>
        <w:t>This in turn will require ever</w:t>
      </w:r>
      <w:r>
        <w:rPr>
          <w:lang w:eastAsia="en-GB"/>
        </w:rPr>
        <w:t>-</w:t>
      </w:r>
      <w:r>
        <w:rPr>
          <w:lang w:eastAsia="en-GB"/>
        </w:rPr>
        <w:t xml:space="preserve">closer collaboration between </w:t>
      </w:r>
      <w:r>
        <w:rPr>
          <w:lang w:eastAsia="en-GB"/>
        </w:rPr>
        <w:t>technology developers, commercial manufactures, research organisations and government departments</w:t>
      </w:r>
      <w:r>
        <w:rPr>
          <w:lang w:eastAsia="en-GB"/>
        </w:rPr>
        <w:t>, all of whom will have an important role to play</w:t>
      </w:r>
      <w:r>
        <w:rPr>
          <w:lang w:eastAsia="en-GB"/>
        </w:rPr>
        <w:t xml:space="preserve">. Identifying early, the most impactful areas to which funding and innovation support can be directed, is essential to deliver accelerated innovation in a cost-effective manner. </w:t>
      </w:r>
      <w:r>
        <w:rPr>
          <w:lang w:eastAsia="en-GB"/>
        </w:rPr>
        <w:t xml:space="preserve">Without taking targeted steps, there is the real possibility that the socioeconomic benefits associated with the </w:t>
      </w:r>
      <w:r>
        <w:rPr>
          <w:lang w:eastAsia="en-GB"/>
        </w:rPr>
        <w:t xml:space="preserve">ORE sector </w:t>
      </w:r>
      <w:r>
        <w:rPr>
          <w:lang w:eastAsia="en-GB"/>
        </w:rPr>
        <w:t xml:space="preserve">could be led by, or even lost to, </w:t>
      </w:r>
      <w:r>
        <w:rPr>
          <w:lang w:eastAsia="en-GB"/>
        </w:rPr>
        <w:t>overseas competition.</w:t>
      </w:r>
    </w:p>
    <w:p w:rsidR="00DB000D" w:rsidP="259B847E">
      <w:pPr>
        <w:rPr>
          <w:lang w:eastAsia="en-GB"/>
        </w:rPr>
      </w:pPr>
    </w:p>
    <w:p w:rsidR="00DB000D" w:rsidRPr="00483E49" w:rsidP="00483E49">
      <w:pPr>
        <w:rPr>
          <w:b/>
          <w:lang w:eastAsia="en-GB"/>
        </w:rPr>
      </w:pPr>
      <w:r w:rsidRPr="259B847E">
        <w:rPr>
          <w:lang w:eastAsia="en-GB"/>
        </w:rPr>
        <w:t xml:space="preserve">The </w:t>
      </w:r>
      <w:r w:rsidRPr="6EC8E370">
        <w:rPr>
          <w:lang w:eastAsia="en-GB"/>
        </w:rPr>
        <w:t>P&amp;IG</w:t>
      </w:r>
      <w:r w:rsidRPr="259B847E">
        <w:rPr>
          <w:lang w:eastAsia="en-GB"/>
        </w:rPr>
        <w:t xml:space="preserve"> hope </w:t>
      </w:r>
      <w:r w:rsidRPr="6EC8E370">
        <w:rPr>
          <w:lang w:eastAsia="en-GB"/>
        </w:rPr>
        <w:t>that the committee finds this information</w:t>
      </w:r>
      <w:r w:rsidRPr="259B847E">
        <w:rPr>
          <w:lang w:eastAsia="en-GB"/>
        </w:rPr>
        <w:t xml:space="preserve"> helpful</w:t>
      </w:r>
      <w:r w:rsidRPr="259B847E">
        <w:rPr>
          <w:lang w:eastAsia="en-GB"/>
        </w:rPr>
        <w:t xml:space="preserve"> </w:t>
      </w:r>
      <w:r w:rsidRPr="259B847E">
        <w:rPr>
          <w:lang w:eastAsia="en-GB"/>
        </w:rPr>
        <w:t xml:space="preserve">and </w:t>
      </w:r>
      <w:r w:rsidRPr="6EC8E370">
        <w:rPr>
          <w:lang w:eastAsia="en-GB"/>
        </w:rPr>
        <w:t>i</w:t>
      </w:r>
      <w:r w:rsidRPr="6EC8E370">
        <w:rPr>
          <w:lang w:eastAsia="en-GB"/>
        </w:rPr>
        <w:t xml:space="preserve">nformative and </w:t>
      </w:r>
      <w:r w:rsidRPr="259B847E">
        <w:rPr>
          <w:lang w:eastAsia="en-GB"/>
        </w:rPr>
        <w:t>wou</w:t>
      </w:r>
      <w:r w:rsidRPr="259B847E">
        <w:rPr>
          <w:lang w:eastAsia="en-GB"/>
        </w:rPr>
        <w:t>ld</w:t>
      </w:r>
      <w:r w:rsidRPr="259B847E">
        <w:rPr>
          <w:lang w:eastAsia="en-GB"/>
        </w:rPr>
        <w:t xml:space="preserve"> be delighted to </w:t>
      </w:r>
      <w:r w:rsidRPr="6EC8E370">
        <w:rPr>
          <w:lang w:eastAsia="en-GB"/>
        </w:rPr>
        <w:t>engage</w:t>
      </w:r>
      <w:r w:rsidRPr="259B847E">
        <w:rPr>
          <w:lang w:eastAsia="en-GB"/>
        </w:rPr>
        <w:t xml:space="preserve"> directly if further </w:t>
      </w:r>
      <w:r w:rsidRPr="6EC8E370">
        <w:rPr>
          <w:lang w:eastAsia="en-GB"/>
        </w:rPr>
        <w:t>information</w:t>
      </w:r>
      <w:r w:rsidRPr="259B847E">
        <w:rPr>
          <w:lang w:eastAsia="en-GB"/>
        </w:rPr>
        <w:t xml:space="preserve"> is required</w:t>
      </w:r>
      <w:r w:rsidRPr="6EC8E370">
        <w:rPr>
          <w:lang w:eastAsia="en-GB"/>
        </w:rPr>
        <w:t xml:space="preserve">. </w:t>
      </w:r>
    </w:p>
    <w:p w:rsidR="00DB000D" w:rsidRPr="00DB000D">
      <w:pPr>
        <w:rPr>
          <w:i/>
          <w:iCs/>
        </w:rPr>
      </w:pPr>
      <w:r w:rsidRPr="00DB000D">
        <w:rPr>
          <w:i/>
          <w:iCs/>
        </w:rPr>
        <w:t>January 2025</w:t>
      </w:r>
    </w:p>
    <w:sectPr>
      <w:headerReference w:type="default" r:id="rId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SemiBold">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000D" w:rsidRPr="00483E49" w:rsidP="001F0B8B">
    <w:pPr>
      <w:spacing w:after="390" w:line="240" w:lineRule="auto"/>
      <w:outlineLvl w:val="0"/>
      <w:rPr>
        <w:rFonts w:ascii="Arial" w:eastAsia="Times New Roman" w:hAnsi="Arial" w:cs="Arial"/>
        <w:color w:val="373151"/>
        <w:kern w:val="36"/>
        <w:sz w:val="24"/>
        <w:szCs w:val="24"/>
        <w:lang w:eastAsia="en-GB"/>
      </w:rPr>
    </w:pPr>
    <w:r w:rsidRPr="00483E49">
      <w:rPr>
        <w:rFonts w:ascii="Arial" w:eastAsia="Times New Roman" w:hAnsi="Arial" w:cs="Arial"/>
        <w:color w:val="717171"/>
        <w:sz w:val="24"/>
        <w:szCs w:val="24"/>
        <w:lang w:eastAsia="en-GB"/>
      </w:rPr>
      <w:t xml:space="preserve">GB Energy and the </w:t>
    </w:r>
    <w:r>
      <w:rPr>
        <w:rFonts w:ascii="Arial" w:eastAsia="Times New Roman" w:hAnsi="Arial" w:cs="Arial"/>
        <w:color w:val="717171"/>
        <w:sz w:val="24"/>
        <w:szCs w:val="24"/>
        <w:lang w:eastAsia="en-GB"/>
      </w:rPr>
      <w:t>N</w:t>
    </w:r>
    <w:r w:rsidRPr="00483E49">
      <w:rPr>
        <w:rFonts w:ascii="Arial" w:eastAsia="Times New Roman" w:hAnsi="Arial" w:cs="Arial"/>
        <w:color w:val="717171"/>
        <w:sz w:val="24"/>
        <w:szCs w:val="24"/>
        <w:lang w:eastAsia="en-GB"/>
      </w:rPr>
      <w:t xml:space="preserve">et </w:t>
    </w:r>
    <w:r>
      <w:rPr>
        <w:rFonts w:ascii="Arial" w:eastAsia="Times New Roman" w:hAnsi="Arial" w:cs="Arial"/>
        <w:color w:val="717171"/>
        <w:sz w:val="24"/>
        <w:szCs w:val="24"/>
        <w:lang w:eastAsia="en-GB"/>
      </w:rPr>
      <w:t>Z</w:t>
    </w:r>
    <w:r w:rsidRPr="00483E49">
      <w:rPr>
        <w:rFonts w:ascii="Arial" w:eastAsia="Times New Roman" w:hAnsi="Arial" w:cs="Arial"/>
        <w:color w:val="717171"/>
        <w:sz w:val="24"/>
        <w:szCs w:val="24"/>
        <w:lang w:eastAsia="en-GB"/>
      </w:rPr>
      <w:t xml:space="preserve">ero </w:t>
    </w:r>
    <w:r>
      <w:rPr>
        <w:rFonts w:ascii="Arial" w:eastAsia="Times New Roman" w:hAnsi="Arial" w:cs="Arial"/>
        <w:color w:val="717171"/>
        <w:sz w:val="24"/>
        <w:szCs w:val="24"/>
        <w:lang w:eastAsia="en-GB"/>
      </w:rPr>
      <w:t>T</w:t>
    </w:r>
    <w:r w:rsidRPr="00483E49">
      <w:rPr>
        <w:rFonts w:ascii="Arial" w:eastAsia="Times New Roman" w:hAnsi="Arial" w:cs="Arial"/>
        <w:color w:val="717171"/>
        <w:sz w:val="24"/>
        <w:szCs w:val="24"/>
        <w:lang w:eastAsia="en-GB"/>
      </w:rPr>
      <w:t>ransition</w:t>
    </w:r>
    <w:r>
      <w:rPr>
        <w:rFonts w:ascii="Arial" w:eastAsia="Times New Roman" w:hAnsi="Arial" w:cs="Arial"/>
        <w:color w:val="717171"/>
        <w:sz w:val="24"/>
        <w:szCs w:val="24"/>
        <w:lang w:eastAsia="en-GB"/>
      </w:rPr>
      <w:t xml:space="preserve"> – Policy and Innovation Group </w:t>
    </w:r>
    <w:r>
      <w:rPr>
        <w:rFonts w:ascii="Arial" w:eastAsia="Times New Roman" w:hAnsi="Arial" w:cs="Arial"/>
        <w:color w:val="717171"/>
        <w:sz w:val="24"/>
        <w:szCs w:val="24"/>
        <w:lang w:eastAsia="en-GB"/>
      </w:rPr>
      <w:t>R</w:t>
    </w:r>
    <w:r>
      <w:rPr>
        <w:rFonts w:ascii="Arial" w:eastAsia="Times New Roman" w:hAnsi="Arial" w:cs="Arial"/>
        <w:color w:val="717171"/>
        <w:sz w:val="24"/>
        <w:szCs w:val="24"/>
        <w:lang w:eastAsia="en-GB"/>
      </w:rPr>
      <w:t xml:space="preserve">esponse </w:t>
    </w:r>
  </w:p>
  <w:p w:rsidR="00DB000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115FA19"/>
    <w:multiLevelType w:val="hybridMultilevel"/>
    <w:tmpl w:val="C9CC4A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link w:val="Heading1Char"/>
    <w:uiPriority w:val="9"/>
    <w:qFormat/>
    <w:rsid w:val="00483E4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3E49"/>
    <w:rPr>
      <w:rFonts w:ascii="Times New Roman" w:eastAsia="Times New Roman" w:hAnsi="Times New Roman" w:cs="Times New Roman"/>
      <w:b/>
      <w:bCs/>
      <w:kern w:val="36"/>
      <w:sz w:val="48"/>
      <w:szCs w:val="48"/>
      <w:lang w:eastAsia="en-GB"/>
    </w:rPr>
  </w:style>
  <w:style w:type="paragraph" w:customStyle="1" w:styleId="sub-heading">
    <w:name w:val="sub-heading"/>
    <w:basedOn w:val="Normal"/>
    <w:rsid w:val="00483E4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483E4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83E49"/>
    <w:rPr>
      <w:b/>
      <w:bCs/>
    </w:rPr>
  </w:style>
  <w:style w:type="paragraph" w:styleId="Header">
    <w:name w:val="header"/>
    <w:basedOn w:val="Normal"/>
    <w:link w:val="HeaderChar"/>
    <w:uiPriority w:val="99"/>
    <w:unhideWhenUsed/>
    <w:rsid w:val="00E17F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7F2C"/>
  </w:style>
  <w:style w:type="paragraph" w:styleId="Footer">
    <w:name w:val="footer"/>
    <w:basedOn w:val="Normal"/>
    <w:link w:val="FooterChar"/>
    <w:uiPriority w:val="99"/>
    <w:unhideWhenUsed/>
    <w:rsid w:val="00E17F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7F2C"/>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EE1740"/>
    <w:rPr>
      <w:color w:val="0563C1" w:themeColor="hyperlink"/>
      <w:u w:val="single"/>
    </w:rPr>
  </w:style>
  <w:style w:type="paragraph" w:styleId="Caption">
    <w:name w:val="caption"/>
    <w:basedOn w:val="Normal"/>
    <w:next w:val="Normal"/>
    <w:uiPriority w:val="35"/>
    <w:unhideWhenUsed/>
    <w:qFormat/>
    <w:rsid w:val="00AE1533"/>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header" Target="head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2277DC231C6F4F8B813250BF939800" ma:contentTypeVersion="55" ma:contentTypeDescription="Create a new document." ma:contentTypeScope="" ma:versionID="8f9bf7beb572cf67cdb960bbe996d554">
  <xsd:schema xmlns:xsd="http://www.w3.org/2001/XMLSchema" xmlns:xs="http://www.w3.org/2001/XMLSchema" xmlns:p="http://schemas.microsoft.com/office/2006/metadata/properties" xmlns:ns2="78a21a5f-a3ba-4cbf-9fd5-97a15faad296" xmlns:ns3="0606af38-29d8-407d-826d-7a0cb9d9f4ed" xmlns:ns4="4600776d-0a3c-44b4-bff2-0ceaafb13046" xmlns:ns5="c86d72e2-090a-4e7d-987e-218d8a0db591" xmlns:ns6="6ab18433-7710-49bd-9bb4-0bb85747556a" targetNamespace="http://schemas.microsoft.com/office/2006/metadata/properties" ma:root="true" ma:fieldsID="995e476bc92652cda8cb2cfdef1e8762" ns2:_="" ns3:_="" ns4:_="" ns5:_="" ns6:_="">
    <xsd:import namespace="78a21a5f-a3ba-4cbf-9fd5-97a15faad296"/>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Url" minOccurs="0"/>
                <xsd:element ref="ns6:_dlc_DocIdPersistId" minOccurs="0"/>
                <xsd:element ref="ns4:e6f926d7f5b14a74bee86c3452d91372" minOccurs="0"/>
                <xsd:element ref="ns4:k5b153ee974a4a57a7568e533217f2cb" minOccurs="0"/>
                <xsd:element ref="ns4:TaxCatchAll" minOccurs="0"/>
                <xsd:element ref="ns4:TaxCatchAllLabel" minOccurs="0"/>
                <xsd:element ref="ns2:n78ca1497cf6442fb3babdda785c85ae" minOccurs="0"/>
                <xsd:element ref="ns4:c4838c65c76546ae93d5703426802f7f" minOccurs="0"/>
                <xsd:element ref="ns3:Specialist_x0020_Adviser_x003a_Full_x0020_Name" minOccurs="0"/>
                <xsd:element ref="ns4:j6c5b17cd04246da82e5604daf08bc68" minOccurs="0"/>
                <xsd:element ref="ns4:g3ef09377e3444258679b6035a1ff93a" minOccurs="0"/>
                <xsd:element ref="ns4:cd0fc526a5c840319a97fd94028e9904" minOccurs="0"/>
                <xsd:element ref="ns6:_dlc_DocId" minOccurs="0"/>
                <xsd:element ref="ns3:Specialist_x0020_Adviser_x003a_First_x0020_Nam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EventHashCode" minOccurs="0"/>
                <xsd:element ref="ns2:MediaServiceGenerationTim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a21a5f-a3ba-4cbf-9fd5-97a15faad296"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dexed="true"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0"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62" nillable="true" ma:displayName="MediaServiceMetadata" ma:description="" ma:hidden="true" ma:internalName="MediaServiceMetadata" ma:readOnly="true">
      <xsd:simpleType>
        <xsd:restriction base="dms:Note"/>
      </xsd:simpleType>
    </xsd:element>
    <xsd:element name="MediaServiceFastMetadata" ma:index="63" nillable="true" ma:displayName="MediaServiceFastMetadata" ma:description="" ma:hidden="true" ma:internalName="MediaServiceFastMetadata" ma:readOnly="true">
      <xsd:simpleType>
        <xsd:restriction base="dms:Note"/>
      </xsd:simpleType>
    </xsd:element>
    <xsd:element name="MediaServiceDateTaken" ma:index="64" nillable="true" ma:displayName="MediaServiceDateTaken" ma:hidden="true" ma:internalName="MediaServiceDateTaken" ma:readOnly="true">
      <xsd:simpleType>
        <xsd:restriction base="dms:Text"/>
      </xsd:simpleType>
    </xsd:element>
    <xsd:element name="MediaServiceAutoTags" ma:index="65" nillable="true" ma:displayName="MediaServiceAutoTags" ma:internalName="MediaServiceAutoTags" ma:readOnly="true">
      <xsd:simpleType>
        <xsd:restriction base="dms:Text"/>
      </xsd:simpleType>
    </xsd:element>
    <xsd:element name="MediaServiceEventHashCode" ma:index="66" nillable="true" ma:displayName="MediaServiceEventHashCode" ma:hidden="true" ma:internalName="MediaServiceEventHashCode" ma:readOnly="true">
      <xsd:simpleType>
        <xsd:restriction base="dms:Text"/>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MediaServiceOCR" ma:index="68" nillable="true" ma:displayName="Extracted Text" ma:internalName="MediaServiceOCR" ma:readOnly="true">
      <xsd:simpleType>
        <xsd:restriction base="dms:Note">
          <xsd:maxLength value="255"/>
        </xsd:restriction>
      </xsd:simpleType>
    </xsd:element>
    <xsd:element name="MediaServiceLocation" ma:index="69" nillable="true" ma:displayName="Location" ma:internalName="MediaServiceLocation" ma:readOnly="true">
      <xsd:simpleType>
        <xsd:restriction base="dms:Text"/>
      </xsd:simpleType>
    </xsd:element>
    <xsd:element name="MediaServiceAutoKeyPoints" ma:index="70" nillable="true" ma:displayName="MediaServiceAutoKeyPoints" ma:hidden="true" ma:internalName="MediaServiceAutoKeyPoints" ma:readOnly="true">
      <xsd:simpleType>
        <xsd:restriction base="dms:Note"/>
      </xsd:simpleType>
    </xsd:element>
    <xsd:element name="MediaServiceKeyPoints" ma:index="71" nillable="true" ma:displayName="KeyPoints" ma:internalName="MediaServiceKeyPoints" ma:readOnly="true">
      <xsd:simpleType>
        <xsd:restriction base="dms:Note">
          <xsd:maxLength value="255"/>
        </xsd:restriction>
      </xsd:simpleType>
    </xsd:element>
    <xsd:element name="lcf76f155ced4ddcb4097134ff3c332f" ma:index="73"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LengthInSeconds" ma:index="74" nillable="true" ma:displayName="MediaLengthInSeconds" ma:hidden="true" ma:internalName="MediaLengthInSeconds" ma:readOnly="true">
      <xsd:simpleType>
        <xsd:restriction base="dms:Unknown"/>
      </xsd:simpleType>
    </xsd:element>
    <xsd:element name="MediaServiceObjectDetectorVersions" ma:index="75" nillable="true" ma:displayName="MediaServiceObjectDetectorVersions" ma:hidden="true" ma:indexed="true" ma:internalName="MediaServiceObjectDetectorVersions" ma:readOnly="true">
      <xsd:simpleType>
        <xsd:restriction base="dms:Text"/>
      </xsd:simpleType>
    </xsd:element>
    <xsd:element name="MediaServiceSearchProperties" ma:index="7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afe8bd55-a0fb-4cae-be78-f6e7131ee63c}" ma:internalName="Visit" ma:showField="Title" ma:web="0606af38-29d8-407d-826d-7a0cb9d9f4ed">
      <xsd:simpleType>
        <xsd:restriction base="dms:Lookup"/>
      </xsd:simpleType>
    </xsd:element>
    <xsd:element name="Specialist_x0020_Adviser" ma:index="17" nillable="true" ma:displayName="Specialist Adviser" ma:list="{5f0f316a-c464-4688-8884-64a2ac9db88c}" ma:internalName="Specialist_x0020_Adviser" ma:showField="Title" ma:web="0606af38-29d8-407d-826d-7a0cb9d9f4ed">
      <xsd:simpleType>
        <xsd:restriction base="dms:Lookup"/>
      </xsd:simpleType>
    </xsd:element>
    <xsd:element name="Witness" ma:index="18" nillable="true" ma:displayName="Witness" ma:list="{41c53827-be01-44a9-8212-472216e50bf9}" ma:internalName="Witness" ma:showField="Title" ma:web="0606af38-29d8-407d-826d-7a0cb9d9f4ed">
      <xsd:simpleType>
        <xsd:restriction base="dms:Lookup"/>
      </xsd:simpleType>
    </xsd:element>
    <xsd:element name="Visit_x003a_Start_x0020_Time" ma:index="38" nillable="true" ma:displayName="Visit:Start Time" ma:list="{afe8bd55-a0fb-4cae-be78-f6e7131ee63c}"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afe8bd55-a0fb-4cae-be78-f6e7131ee63c}"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41c53827-be01-44a9-8212-472216e50bf9}"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41c53827-be01-44a9-8212-472216e50bf9}"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41c53827-be01-44a9-8212-472216e50bf9}" ma:internalName="Witness_x003a_Job_x0020_Title" ma:readOnly="true" ma:showField="Job_x0020_Title" ma:web="0606af38-29d8-407d-826d-7a0cb9d9f4ed">
      <xsd:simpleType>
        <xsd:restriction base="dms:Lookup"/>
      </xsd:simpleType>
    </xsd:element>
    <xsd:element name="Specialist_x0020_Adviser_x003a_Full_x0020_Name" ma:index="52" nillable="true" ma:displayName="Specialist Adviser:Full Name" ma:list="{5f0f316a-c464-4688-8884-64a2ac9db88c}" ma:internalName="Specialist_x0020_Adviser_x003a_Full_x0020_Name" ma:readOnly="true" ma:showField="FullName" ma:web="0606af38-29d8-407d-826d-7a0cb9d9f4ed">
      <xsd:simpleType>
        <xsd:restriction base="dms:Lookup"/>
      </xsd:simpleType>
    </xsd:element>
    <xsd:element name="Specialist_x0020_Adviser_x003a_First_x0020_Name" ma:index="59" nillable="true" ma:displayName="Specialist Adviser:First Name" ma:list="{5f0f316a-c464-4688-8884-64a2ac9db88c}" ma:internalName="Specialist_x0020_Adviser_x003a_First_x0020_Name" ma:readOnly="true" ma:showField="First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46" nillable="true" ma:taxonomy="true" ma:internalName="e6f926d7f5b14a74bee86c3452d91372" ma:taxonomyFieldName="Sessions" ma:displayName="Session" ma:default="151;#2024-25|173c2407-8e96-435d-bd52-860179bbc150"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k5b153ee974a4a57a7568e533217f2cb" ma:index="47"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48" nillable="true" ma:displayName="Taxonomy Catch All Column" ma:description="" ma:hidden="true" ma:list="{25151384-0c62-407f-92a9-074e2371d64c}"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9" nillable="true" ma:displayName="Taxonomy Catch All Column1" ma:description="" ma:hidden="true" ma:list="{25151384-0c62-407f-92a9-074e2371d64c}"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5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53"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5"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7"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5b0a02d5-2754-4c2f-b1de-2692213ebfad"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5" nillable="true" ma:displayName="Persist ID" ma:description="Keep ID on add." ma:hidden="true" ma:internalName="_dlc_DocIdPersistId" ma:readOnly="true">
      <xsd:simpleType>
        <xsd:restriction base="dms:Boolean"/>
      </xsd:simpleType>
    </xsd:element>
    <xsd:element name="_dlc_DocId" ma:index="58" nillable="true" ma:displayName="Document ID Value" ma:description="The value of the document ID assigned to this item." ma:internalName="_dlc_DocId" ma:readOnly="true">
      <xsd:simpleType>
        <xsd:restriction base="dms:Text"/>
      </xsd:simpleType>
    </xsd:element>
    <xsd:element name="SharedWithUsers" ma:index="6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Useful_x0020_Docs xmlns="78a21a5f-a3ba-4cbf-9fd5-97a15faad296" xsi:nil="true"/>
    <Deadline xmlns="78a21a5f-a3ba-4cbf-9fd5-97a15faad296" xsi:nil="true"/>
    <RecordNumber xmlns="4600776d-0a3c-44b4-bff2-0ceaafb13046" xsi:nil="true"/>
    <Publication_x0020_Date xmlns="78a21a5f-a3ba-4cbf-9fd5-97a15faad296" xsi:nil="true"/>
    <Department xmlns="78a21a5f-a3ba-4cbf-9fd5-97a15faad296" xsi:nil="true"/>
    <k5b153ee974a4a57a7568e533217f2cb xmlns="4600776d-0a3c-44b4-bff2-0ceaafb13046">
      <Terms xmlns="http://schemas.microsoft.com/office/infopath/2007/PartnerControls"/>
    </k5b153ee974a4a57a7568e533217f2cb>
    <TaxCatchAll xmlns="4600776d-0a3c-44b4-bff2-0ceaafb13046">
      <Value>2</Value>
      <Value>151</Value>
    </TaxCatchAll>
    <g3ef09377e3444258679b6035a1ff93a xmlns="4600776d-0a3c-44b4-bff2-0ceaafb13046">
      <Terms xmlns="http://schemas.microsoft.com/office/infopath/2007/PartnerControls"/>
    </g3ef09377e3444258679b6035a1ff93a>
    <Allocated_x0020_to xmlns="78a21a5f-a3ba-4cbf-9fd5-97a15faad296">
      <UserInfo>
        <DisplayName/>
        <AccountId xsi:nil="true"/>
        <AccountType/>
      </UserInfo>
    </Allocated_x0020_to>
    <j3dc9349b3384741bd6025ba1321f3a9 xmlns="78a21a5f-a3ba-4cbf-9fd5-97a15faad296">
      <Terms xmlns="http://schemas.microsoft.com/office/infopath/2007/PartnerControls"/>
    </j3dc9349b3384741bd6025ba1321f3a9>
    <Document_x0020_Status xmlns="78a21a5f-a3ba-4cbf-9fd5-97a15faad296" xsi:nil="true"/>
    <j6c5b17cd04246da82e5604daf08bc68 xmlns="4600776d-0a3c-44b4-bff2-0ceaafb13046">
      <Terms xmlns="http://schemas.microsoft.com/office/infopath/2007/PartnerControls"/>
    </j6c5b17cd04246da82e5604daf08bc68>
    <Meeting_x0020_Date xmlns="78a21a5f-a3ba-4cbf-9fd5-97a15faad296" xsi:nil="true"/>
    <Brief_x0020_status xmlns="78a21a5f-a3ba-4cbf-9fd5-97a15faad296" xsi:nil="true"/>
    <Related_x0020_Document xmlns="78a21a5f-a3ba-4cbf-9fd5-97a15faad296">
      <Url xsi:nil="true"/>
      <Description xsi:nil="true"/>
    </Related_x0020_Document>
    <Notes0 xmlns="78a21a5f-a3ba-4cbf-9fd5-97a15faad296"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n78ca1497cf6442fb3babdda785c85ae xmlns="78a21a5f-a3ba-4cbf-9fd5-97a15faad296">
      <Terms xmlns="http://schemas.microsoft.com/office/infopath/2007/PartnerControls"/>
    </n78ca1497cf6442fb3babdda785c85ae>
    <EndofSessionDate xmlns="4600776d-0a3c-44b4-bff2-0ceaafb13046" xsi:nil="true"/>
    <Additional_x0020_category xmlns="78a21a5f-a3ba-4cbf-9fd5-97a15faad296" xsi:nil="true"/>
    <Status_x0020_of_x0020_correspondence xmlns="78a21a5f-a3ba-4cbf-9fd5-97a15faad296" xsi:nil="true"/>
    <DateReceived xmlns="4600776d-0a3c-44b4-bff2-0ceaafb13046" xsi:nil="true"/>
    <TransfertoArchives xmlns="4600776d-0a3c-44b4-bff2-0ceaafb13046">false</TransfertoArchives>
    <Circulation_x0020_Date xmlns="78a21a5f-a3ba-4cbf-9fd5-97a15faad296" xsi:nil="true"/>
    <Visit xmlns="0606af38-29d8-407d-826d-7a0cb9d9f4ed" xsi:nil="true"/>
    <Date xmlns="78a21a5f-a3ba-4cbf-9fd5-97a15faad296" xsi:nil="true"/>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lcf76f155ced4ddcb4097134ff3c332f xmlns="78a21a5f-a3ba-4cbf-9fd5-97a15faad296">
      <Terms xmlns="http://schemas.microsoft.com/office/infopath/2007/PartnerControls"/>
    </lcf76f155ced4ddcb4097134ff3c332f>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Props1.xml><?xml version="1.0" encoding="utf-8"?>
<ds:datastoreItem xmlns:ds="http://schemas.openxmlformats.org/officeDocument/2006/customXml" ds:itemID="{4213ECCF-65F6-454D-A274-AD8A94A5523A}">
  <ds:schemaRefs/>
</ds:datastoreItem>
</file>

<file path=customXml/itemProps2.xml><?xml version="1.0" encoding="utf-8"?>
<ds:datastoreItem xmlns:ds="http://schemas.openxmlformats.org/officeDocument/2006/customXml" ds:itemID="{8029559C-9755-4EFC-9EDF-FBEF95D92B60}">
  <ds:schemaRefs/>
</ds:datastoreItem>
</file>

<file path=customXml/itemProps3.xml><?xml version="1.0" encoding="utf-8"?>
<ds:datastoreItem xmlns:ds="http://schemas.openxmlformats.org/officeDocument/2006/customXml" ds:itemID="{26B36792-6C7A-43F9-BEB6-43E194A9D134}">
  <ds:schemaRefs/>
</ds:datastoreItem>
</file>

<file path=customXml/itemProps4.xml><?xml version="1.0" encoding="utf-8"?>
<ds:datastoreItem xmlns:ds="http://schemas.openxmlformats.org/officeDocument/2006/customXml" ds:itemID="{1D57D205-9935-409C-9CEF-4FCC59A1A0E2}">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