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RPr="0073011F" w:rsidP="00CB6F41">
      <w:pPr>
        <w:spacing w:after="60" w:line="240" w:lineRule="auto"/>
        <w:rPr>
          <w:rFonts w:ascii="Verdana" w:hAnsi="Verdana"/>
          <w:b/>
          <w:bCs/>
          <w:sz w:val="28"/>
          <w:szCs w:val="28"/>
        </w:rPr>
      </w:pPr>
      <w:r w:rsidRPr="0073011F">
        <w:rPr>
          <w:rFonts w:ascii="Verdana" w:hAnsi="Verdana"/>
          <w:b/>
          <w:bCs/>
          <w:sz w:val="28"/>
          <w:szCs w:val="28"/>
        </w:rPr>
        <w:t xml:space="preserve">Will Collins </w:t>
      </w:r>
      <w:r w:rsidRPr="0073011F" w:rsidR="0073011F">
        <w:rPr>
          <w:rFonts w:ascii="Verdana" w:hAnsi="Verdana"/>
          <w:b/>
          <w:bCs/>
          <w:sz w:val="28"/>
          <w:szCs w:val="28"/>
        </w:rPr>
        <w:t>– Written evidence (SCG0040)</w:t>
      </w:r>
    </w:p>
    <w:p w:rsidR="00000000" w:rsidRPr="0073011F" w:rsidP="00CB6F41">
      <w:pPr>
        <w:spacing w:after="60" w:line="240" w:lineRule="auto"/>
        <w:rPr>
          <w:rFonts w:ascii="Verdana" w:hAnsi="Verdana"/>
          <w:sz w:val="24"/>
          <w:szCs w:val="24"/>
        </w:rPr>
      </w:pPr>
    </w:p>
    <w:p w:rsidR="00000000" w:rsidRPr="0073011F" w:rsidP="00CB6F41">
      <w:pPr>
        <w:pStyle w:val="ListParagraph"/>
        <w:numPr>
          <w:ilvl w:val="0"/>
          <w:numId w:val="7"/>
        </w:numPr>
        <w:spacing w:after="60" w:line="240" w:lineRule="auto"/>
        <w:rPr>
          <w:rFonts w:ascii="Verdana" w:hAnsi="Verdana"/>
          <w:b/>
          <w:bCs/>
          <w:sz w:val="24"/>
          <w:szCs w:val="24"/>
        </w:rPr>
      </w:pPr>
      <w:r w:rsidRPr="0073011F">
        <w:rPr>
          <w:rFonts w:ascii="Verdana" w:hAnsi="Verdana"/>
          <w:b/>
          <w:bCs/>
          <w:sz w:val="24"/>
          <w:szCs w:val="24"/>
        </w:rPr>
        <w:t>INTRODUCTION</w:t>
      </w:r>
    </w:p>
    <w:p w:rsidR="00000000" w:rsidRPr="0073011F" w:rsidP="00CB6F41">
      <w:pPr>
        <w:pStyle w:val="ListParagraph"/>
        <w:spacing w:after="60" w:line="240" w:lineRule="auto"/>
        <w:ind w:left="360"/>
        <w:rPr>
          <w:rFonts w:ascii="Verdana" w:hAnsi="Verdana"/>
          <w:b/>
          <w:bCs/>
          <w:sz w:val="24"/>
          <w:szCs w:val="24"/>
          <w:u w:val="single"/>
        </w:rPr>
      </w:pPr>
    </w:p>
    <w:p w:rsidR="00000000" w:rsidRPr="0073011F" w:rsidP="00CB6F41">
      <w:pPr>
        <w:pStyle w:val="ListParagraph"/>
        <w:numPr>
          <w:ilvl w:val="1"/>
          <w:numId w:val="7"/>
        </w:numPr>
        <w:spacing w:after="60" w:line="240" w:lineRule="auto"/>
        <w:rPr>
          <w:rFonts w:ascii="Verdana" w:hAnsi="Verdana"/>
          <w:sz w:val="24"/>
          <w:szCs w:val="24"/>
        </w:rPr>
      </w:pPr>
      <w:r w:rsidRPr="0073011F">
        <w:rPr>
          <w:rFonts w:ascii="Verdana" w:hAnsi="Verdana"/>
          <w:sz w:val="24"/>
          <w:szCs w:val="24"/>
        </w:rPr>
        <w:t xml:space="preserve">This submission focuses specifically on investment fraud, and the links it has to </w:t>
      </w:r>
      <w:r w:rsidRPr="0073011F">
        <w:rPr>
          <w:rFonts w:ascii="Verdana" w:hAnsi="Verdana"/>
          <w:sz w:val="24"/>
          <w:szCs w:val="24"/>
        </w:rPr>
        <w:t xml:space="preserve">the FCA and PRA’s </w:t>
      </w:r>
      <w:r w:rsidRPr="0073011F">
        <w:rPr>
          <w:rFonts w:ascii="Verdana" w:hAnsi="Verdana"/>
          <w:sz w:val="24"/>
          <w:szCs w:val="24"/>
        </w:rPr>
        <w:t>secondary objective of competitiveness and grow</w:t>
      </w:r>
      <w:r w:rsidRPr="0073011F">
        <w:rPr>
          <w:rFonts w:ascii="Verdana" w:hAnsi="Verdana"/>
          <w:sz w:val="24"/>
          <w:szCs w:val="24"/>
        </w:rPr>
        <w:t>th.</w:t>
      </w:r>
      <w:r w:rsidRPr="0073011F">
        <w:rPr>
          <w:rFonts w:ascii="Verdana" w:hAnsi="Verdana"/>
          <w:sz w:val="24"/>
          <w:szCs w:val="24"/>
        </w:rPr>
        <w:t xml:space="preserve">  </w:t>
      </w:r>
      <w:r w:rsidRPr="0073011F">
        <w:rPr>
          <w:rFonts w:ascii="Verdana" w:hAnsi="Verdana"/>
          <w:sz w:val="24"/>
          <w:szCs w:val="24"/>
        </w:rPr>
        <w:t>Having been</w:t>
      </w:r>
      <w:r w:rsidRPr="0073011F">
        <w:rPr>
          <w:rFonts w:ascii="Verdana" w:hAnsi="Verdana"/>
          <w:sz w:val="24"/>
          <w:szCs w:val="24"/>
        </w:rPr>
        <w:t xml:space="preserve"> </w:t>
      </w:r>
      <w:r w:rsidRPr="0073011F">
        <w:rPr>
          <w:rFonts w:ascii="Verdana" w:hAnsi="Verdana"/>
          <w:sz w:val="24"/>
          <w:szCs w:val="24"/>
        </w:rPr>
        <w:t>a victim of investment frau</w:t>
      </w:r>
      <w:r w:rsidRPr="0073011F">
        <w:rPr>
          <w:rFonts w:ascii="Verdana" w:hAnsi="Verdana"/>
          <w:sz w:val="24"/>
          <w:szCs w:val="24"/>
        </w:rPr>
        <w:t>d,</w:t>
      </w:r>
      <w:r w:rsidRPr="0073011F">
        <w:rPr>
          <w:rFonts w:ascii="Verdana" w:hAnsi="Verdana"/>
          <w:sz w:val="24"/>
          <w:szCs w:val="24"/>
        </w:rPr>
        <w:t xml:space="preserve"> I now </w:t>
      </w:r>
      <w:r w:rsidRPr="0073011F">
        <w:rPr>
          <w:rFonts w:ascii="Verdana" w:hAnsi="Verdana"/>
          <w:sz w:val="24"/>
          <w:szCs w:val="24"/>
        </w:rPr>
        <w:t xml:space="preserve">help </w:t>
      </w:r>
      <w:r w:rsidRPr="0073011F">
        <w:rPr>
          <w:rFonts w:ascii="Verdana" w:hAnsi="Verdana"/>
          <w:sz w:val="24"/>
          <w:szCs w:val="24"/>
        </w:rPr>
        <w:t xml:space="preserve">other </w:t>
      </w:r>
      <w:r w:rsidRPr="0073011F">
        <w:rPr>
          <w:rFonts w:ascii="Verdana" w:hAnsi="Verdana"/>
          <w:sz w:val="24"/>
          <w:szCs w:val="24"/>
        </w:rPr>
        <w:t xml:space="preserve">victims </w:t>
      </w:r>
      <w:r w:rsidRPr="0073011F">
        <w:rPr>
          <w:rFonts w:ascii="Verdana" w:hAnsi="Verdana"/>
          <w:sz w:val="24"/>
          <w:szCs w:val="24"/>
        </w:rPr>
        <w:t>access their rights</w:t>
      </w:r>
      <w:r w:rsidRPr="0073011F">
        <w:rPr>
          <w:rFonts w:ascii="Verdana" w:hAnsi="Verdana"/>
          <w:sz w:val="24"/>
          <w:szCs w:val="24"/>
        </w:rPr>
        <w:t xml:space="preserve">, disrupt investment fraud where I see it hiding in plain sight and work </w:t>
      </w:r>
      <w:r w:rsidRPr="0073011F">
        <w:rPr>
          <w:rFonts w:ascii="Verdana" w:hAnsi="Verdana"/>
          <w:sz w:val="24"/>
          <w:szCs w:val="24"/>
        </w:rPr>
        <w:t>as a researcher and investigator into investment fraud.</w:t>
      </w:r>
    </w:p>
    <w:p w:rsidR="00000000" w:rsidRPr="0073011F" w:rsidP="00CB6F41">
      <w:pPr>
        <w:pStyle w:val="ListParagraph"/>
        <w:spacing w:after="60" w:line="240" w:lineRule="auto"/>
        <w:ind w:left="360"/>
        <w:rPr>
          <w:rFonts w:ascii="Verdana" w:hAnsi="Verdana"/>
          <w:sz w:val="24"/>
          <w:szCs w:val="24"/>
        </w:rPr>
      </w:pPr>
    </w:p>
    <w:p w:rsidR="00000000" w:rsidRPr="0073011F" w:rsidP="00CB6F41">
      <w:pPr>
        <w:pStyle w:val="ListParagraph"/>
        <w:numPr>
          <w:ilvl w:val="1"/>
          <w:numId w:val="7"/>
        </w:numPr>
        <w:spacing w:after="60" w:line="240" w:lineRule="auto"/>
        <w:rPr>
          <w:rFonts w:ascii="Verdana" w:hAnsi="Verdana"/>
          <w:sz w:val="24"/>
          <w:szCs w:val="24"/>
        </w:rPr>
      </w:pPr>
      <w:r w:rsidRPr="0073011F">
        <w:rPr>
          <w:rFonts w:ascii="Verdana" w:hAnsi="Verdana"/>
          <w:sz w:val="24"/>
          <w:szCs w:val="24"/>
        </w:rPr>
        <w:t>FCA authorised firms, incl</w:t>
      </w:r>
      <w:r w:rsidRPr="0073011F">
        <w:rPr>
          <w:rFonts w:ascii="Verdana" w:hAnsi="Verdana"/>
          <w:sz w:val="24"/>
          <w:szCs w:val="24"/>
        </w:rPr>
        <w:t xml:space="preserve">uding </w:t>
      </w:r>
      <w:r w:rsidRPr="0073011F">
        <w:rPr>
          <w:rFonts w:ascii="Verdana" w:hAnsi="Verdana"/>
          <w:sz w:val="24"/>
          <w:szCs w:val="24"/>
        </w:rPr>
        <w:t xml:space="preserve">those </w:t>
      </w:r>
      <w:r w:rsidRPr="0073011F">
        <w:rPr>
          <w:rFonts w:ascii="Verdana" w:hAnsi="Verdana"/>
          <w:sz w:val="24"/>
          <w:szCs w:val="24"/>
        </w:rPr>
        <w:t>who are part of the payment services industry</w:t>
      </w:r>
      <w:r w:rsidRPr="0073011F">
        <w:rPr>
          <w:rFonts w:ascii="Verdana" w:hAnsi="Verdana"/>
          <w:sz w:val="24"/>
          <w:szCs w:val="24"/>
        </w:rPr>
        <w:t>, have a regulatory duty to counter the risk they might be used to further financial crime.  Failure to manage this risk effectively not only breaches FCA rules but also increases the risk to society of crime and terrorism.</w:t>
      </w:r>
    </w:p>
    <w:p w:rsidR="00000000" w:rsidRPr="0073011F" w:rsidP="00CB6F41">
      <w:pPr>
        <w:pStyle w:val="ListParagraph"/>
        <w:spacing w:after="60" w:line="240" w:lineRule="auto"/>
        <w:rPr>
          <w:rFonts w:ascii="Verdana" w:hAnsi="Verdana"/>
          <w:sz w:val="24"/>
          <w:szCs w:val="24"/>
        </w:rPr>
      </w:pPr>
    </w:p>
    <w:p w:rsidR="00000000" w:rsidRPr="0073011F" w:rsidP="00CB6F41">
      <w:pPr>
        <w:pStyle w:val="ListParagraph"/>
        <w:numPr>
          <w:ilvl w:val="1"/>
          <w:numId w:val="7"/>
        </w:numPr>
        <w:spacing w:after="60" w:line="240" w:lineRule="auto"/>
        <w:rPr>
          <w:rFonts w:ascii="Verdana" w:hAnsi="Verdana"/>
          <w:sz w:val="24"/>
          <w:szCs w:val="24"/>
        </w:rPr>
      </w:pPr>
      <w:r w:rsidRPr="0073011F">
        <w:rPr>
          <w:rFonts w:ascii="Verdana" w:hAnsi="Verdana"/>
          <w:sz w:val="24"/>
          <w:szCs w:val="24"/>
        </w:rPr>
        <w:t>In 2012 the Financial Services Authority produced a report titled ‘</w:t>
      </w:r>
      <w:r w:rsidRPr="0073011F">
        <w:rPr>
          <w:rFonts w:ascii="Verdana" w:hAnsi="Verdana"/>
          <w:i/>
          <w:iCs/>
          <w:sz w:val="24"/>
          <w:szCs w:val="24"/>
        </w:rPr>
        <w:t>Banks’ defences against Investment Fraud - Detecting perpetrators and protecting victims’</w:t>
      </w:r>
      <w:r w:rsidRPr="0073011F">
        <w:rPr>
          <w:rFonts w:ascii="Verdana" w:hAnsi="Verdana"/>
          <w:sz w:val="24"/>
          <w:szCs w:val="24"/>
        </w:rPr>
        <w:t>.</w:t>
      </w:r>
      <w:r>
        <w:rPr>
          <w:rStyle w:val="FootnoteReference"/>
          <w:rFonts w:ascii="Verdana" w:hAnsi="Verdana"/>
          <w:sz w:val="24"/>
          <w:szCs w:val="24"/>
        </w:rPr>
        <w:footnoteReference w:id="2"/>
      </w:r>
      <w:r w:rsidRPr="0073011F">
        <w:rPr>
          <w:rFonts w:ascii="Verdana" w:hAnsi="Verdana"/>
          <w:sz w:val="24"/>
          <w:szCs w:val="24"/>
        </w:rPr>
        <w:t xml:space="preserve">  </w:t>
      </w:r>
      <w:r w:rsidRPr="0073011F">
        <w:rPr>
          <w:rFonts w:ascii="Verdana" w:hAnsi="Verdana"/>
          <w:sz w:val="24"/>
          <w:szCs w:val="24"/>
        </w:rPr>
        <w:t>The evidence</w:t>
      </w:r>
      <w:r w:rsidRPr="0073011F">
        <w:rPr>
          <w:rFonts w:ascii="Verdana" w:hAnsi="Verdana"/>
          <w:sz w:val="24"/>
          <w:szCs w:val="24"/>
        </w:rPr>
        <w:t xml:space="preserve"> and</w:t>
      </w:r>
      <w:r w:rsidRPr="0073011F">
        <w:rPr>
          <w:rFonts w:ascii="Verdana" w:hAnsi="Verdana"/>
          <w:sz w:val="24"/>
          <w:szCs w:val="24"/>
        </w:rPr>
        <w:t xml:space="preserve"> experience </w:t>
      </w:r>
      <w:r w:rsidRPr="0073011F">
        <w:rPr>
          <w:rFonts w:ascii="Verdana" w:hAnsi="Verdana"/>
          <w:sz w:val="24"/>
          <w:szCs w:val="24"/>
        </w:rPr>
        <w:t>o</w:t>
      </w:r>
      <w:r w:rsidRPr="0073011F">
        <w:rPr>
          <w:rFonts w:ascii="Verdana" w:hAnsi="Verdana"/>
          <w:sz w:val="24"/>
          <w:szCs w:val="24"/>
        </w:rPr>
        <w:t>f consumers suggests that little has changed.</w:t>
      </w:r>
      <w:r w:rsidRPr="0073011F">
        <w:rPr>
          <w:rFonts w:ascii="Verdana" w:hAnsi="Verdana"/>
          <w:sz w:val="24"/>
          <w:szCs w:val="24"/>
        </w:rPr>
        <w:t xml:space="preserve">  </w:t>
      </w:r>
      <w:r w:rsidRPr="0073011F">
        <w:rPr>
          <w:rFonts w:ascii="Verdana" w:hAnsi="Verdana"/>
          <w:sz w:val="24"/>
          <w:szCs w:val="24"/>
        </w:rPr>
        <w:t>The report is an easy, if uncomfortable, read.</w:t>
      </w:r>
    </w:p>
    <w:p w:rsidR="00000000" w:rsidRPr="0073011F" w:rsidP="00CB6F41">
      <w:pPr>
        <w:pStyle w:val="ListParagraph"/>
        <w:spacing w:after="60" w:line="240" w:lineRule="auto"/>
        <w:rPr>
          <w:rFonts w:ascii="Verdana" w:hAnsi="Verdana"/>
          <w:sz w:val="24"/>
          <w:szCs w:val="24"/>
        </w:rPr>
      </w:pPr>
    </w:p>
    <w:p w:rsidR="00000000" w:rsidRPr="0073011F" w:rsidP="00CB6F41">
      <w:pPr>
        <w:pStyle w:val="ListParagraph"/>
        <w:numPr>
          <w:ilvl w:val="1"/>
          <w:numId w:val="7"/>
        </w:numPr>
        <w:spacing w:after="60" w:line="240" w:lineRule="auto"/>
        <w:rPr>
          <w:rFonts w:ascii="Verdana" w:hAnsi="Verdana"/>
          <w:sz w:val="24"/>
          <w:szCs w:val="24"/>
        </w:rPr>
      </w:pPr>
      <w:r w:rsidRPr="0073011F">
        <w:rPr>
          <w:rFonts w:ascii="Verdana" w:hAnsi="Verdana"/>
          <w:sz w:val="24"/>
          <w:szCs w:val="24"/>
        </w:rPr>
        <w:t>In the</w:t>
      </w:r>
      <w:r w:rsidRPr="0073011F">
        <w:rPr>
          <w:rFonts w:ascii="Verdana" w:hAnsi="Verdana"/>
          <w:sz w:val="24"/>
          <w:szCs w:val="24"/>
        </w:rPr>
        <w:t xml:space="preserve">ir Annual </w:t>
      </w:r>
      <w:r w:rsidRPr="0073011F">
        <w:rPr>
          <w:rFonts w:ascii="Verdana" w:hAnsi="Verdana"/>
          <w:sz w:val="24"/>
          <w:szCs w:val="24"/>
        </w:rPr>
        <w:t>F</w:t>
      </w:r>
      <w:r w:rsidRPr="0073011F">
        <w:rPr>
          <w:rFonts w:ascii="Verdana" w:hAnsi="Verdana"/>
          <w:sz w:val="24"/>
          <w:szCs w:val="24"/>
        </w:rPr>
        <w:t xml:space="preserve">raud </w:t>
      </w:r>
      <w:r w:rsidRPr="0073011F">
        <w:rPr>
          <w:rFonts w:ascii="Verdana" w:hAnsi="Verdana"/>
          <w:sz w:val="24"/>
          <w:szCs w:val="24"/>
        </w:rPr>
        <w:t>R</w:t>
      </w:r>
      <w:r w:rsidRPr="0073011F">
        <w:rPr>
          <w:rFonts w:ascii="Verdana" w:hAnsi="Verdana"/>
          <w:sz w:val="24"/>
          <w:szCs w:val="24"/>
        </w:rPr>
        <w:t>eport 2024</w:t>
      </w:r>
      <w:r>
        <w:rPr>
          <w:rStyle w:val="FootnoteReference"/>
          <w:rFonts w:ascii="Verdana" w:hAnsi="Verdana"/>
          <w:sz w:val="24"/>
          <w:szCs w:val="24"/>
        </w:rPr>
        <w:footnoteReference w:id="3"/>
      </w:r>
      <w:r w:rsidRPr="0073011F">
        <w:rPr>
          <w:rFonts w:ascii="Verdana" w:hAnsi="Verdana"/>
          <w:sz w:val="24"/>
          <w:szCs w:val="24"/>
        </w:rPr>
        <w:t xml:space="preserve">, UK Finance </w:t>
      </w:r>
      <w:r w:rsidRPr="0073011F">
        <w:rPr>
          <w:rFonts w:ascii="Verdana" w:hAnsi="Verdana"/>
          <w:sz w:val="24"/>
          <w:szCs w:val="24"/>
        </w:rPr>
        <w:t xml:space="preserve">puts annual investment fraud losses for UK consumers at </w:t>
      </w:r>
      <w:r w:rsidRPr="0073011F">
        <w:rPr>
          <w:rFonts w:ascii="Verdana" w:hAnsi="Verdana"/>
          <w:sz w:val="24"/>
          <w:szCs w:val="24"/>
        </w:rPr>
        <w:t>£107.8m</w:t>
      </w:r>
      <w:r w:rsidRPr="0073011F">
        <w:rPr>
          <w:rFonts w:ascii="Verdana" w:hAnsi="Verdana"/>
          <w:sz w:val="24"/>
          <w:szCs w:val="24"/>
        </w:rPr>
        <w:t>, the ‘</w:t>
      </w:r>
      <w:r w:rsidRPr="0073011F">
        <w:rPr>
          <w:rFonts w:ascii="Verdana" w:hAnsi="Verdana"/>
          <w:i/>
          <w:iCs/>
          <w:sz w:val="24"/>
          <w:szCs w:val="24"/>
        </w:rPr>
        <w:t>Lowest loss total ever recorded</w:t>
      </w:r>
      <w:r w:rsidRPr="0073011F">
        <w:rPr>
          <w:rFonts w:ascii="Verdana" w:hAnsi="Verdana"/>
          <w:sz w:val="24"/>
          <w:szCs w:val="24"/>
        </w:rPr>
        <w:t>’.</w:t>
      </w:r>
      <w:r w:rsidRPr="0073011F">
        <w:rPr>
          <w:rFonts w:ascii="Verdana" w:hAnsi="Verdana"/>
          <w:sz w:val="24"/>
          <w:szCs w:val="24"/>
        </w:rPr>
        <w:t xml:space="preserve">  The Payments Systems Regulator </w:t>
      </w:r>
      <w:r w:rsidRPr="0073011F">
        <w:rPr>
          <w:rFonts w:ascii="Verdana" w:hAnsi="Verdana"/>
          <w:sz w:val="24"/>
          <w:szCs w:val="24"/>
        </w:rPr>
        <w:t xml:space="preserve">(PSR) </w:t>
      </w:r>
      <w:r w:rsidRPr="0073011F">
        <w:rPr>
          <w:rFonts w:ascii="Verdana" w:hAnsi="Verdana"/>
          <w:sz w:val="24"/>
          <w:szCs w:val="24"/>
        </w:rPr>
        <w:t>has reported an even lower figure of £80m</w:t>
      </w:r>
      <w:r>
        <w:rPr>
          <w:rStyle w:val="FootnoteReference"/>
          <w:rFonts w:ascii="Verdana" w:hAnsi="Verdana"/>
          <w:sz w:val="24"/>
          <w:szCs w:val="24"/>
        </w:rPr>
        <w:footnoteReference w:id="4"/>
      </w:r>
      <w:r w:rsidRPr="0073011F">
        <w:rPr>
          <w:rFonts w:ascii="Verdana" w:hAnsi="Verdana"/>
          <w:sz w:val="24"/>
          <w:szCs w:val="24"/>
        </w:rPr>
        <w:t>.</w:t>
      </w:r>
      <w:r w:rsidRPr="0073011F">
        <w:rPr>
          <w:rFonts w:ascii="Verdana" w:hAnsi="Verdana"/>
          <w:sz w:val="24"/>
          <w:szCs w:val="24"/>
        </w:rPr>
        <w:t xml:space="preserve">  By comparison, the Australian Consumer and Competition Commission (a government body) reported investment fraud in </w:t>
      </w:r>
      <w:r w:rsidRPr="0073011F">
        <w:rPr>
          <w:rFonts w:ascii="Verdana" w:hAnsi="Verdana"/>
          <w:sz w:val="24"/>
          <w:szCs w:val="24"/>
        </w:rPr>
        <w:t xml:space="preserve">Australia in </w:t>
      </w:r>
      <w:r w:rsidRPr="0073011F">
        <w:rPr>
          <w:rFonts w:ascii="Verdana" w:hAnsi="Verdana"/>
          <w:sz w:val="24"/>
          <w:szCs w:val="24"/>
        </w:rPr>
        <w:t>2023 to be AUD 1.3bn</w:t>
      </w:r>
      <w:r>
        <w:rPr>
          <w:rStyle w:val="FootnoteReference"/>
          <w:rFonts w:ascii="Verdana" w:hAnsi="Verdana"/>
          <w:sz w:val="24"/>
          <w:szCs w:val="24"/>
        </w:rPr>
        <w:footnoteReference w:id="5"/>
      </w:r>
      <w:r w:rsidRPr="0073011F">
        <w:rPr>
          <w:rFonts w:ascii="Verdana" w:hAnsi="Verdana"/>
          <w:sz w:val="24"/>
          <w:szCs w:val="24"/>
        </w:rPr>
        <w:t>.</w:t>
      </w:r>
      <w:r w:rsidRPr="0073011F">
        <w:rPr>
          <w:rFonts w:ascii="Verdana" w:hAnsi="Verdana"/>
          <w:sz w:val="24"/>
          <w:szCs w:val="24"/>
        </w:rPr>
        <w:t xml:space="preserve">  (Both the population and GDP of Australia are approximately half that of the UK</w:t>
      </w:r>
      <w:r w:rsidRPr="0073011F">
        <w:rPr>
          <w:rFonts w:ascii="Verdana" w:hAnsi="Verdana"/>
          <w:sz w:val="24"/>
          <w:szCs w:val="24"/>
        </w:rPr>
        <w:t xml:space="preserve">, and unlike the UK, Australia is not considered </w:t>
      </w:r>
      <w:r w:rsidRPr="0073011F">
        <w:rPr>
          <w:rFonts w:ascii="Verdana" w:hAnsi="Verdana"/>
          <w:sz w:val="24"/>
          <w:szCs w:val="24"/>
        </w:rPr>
        <w:t xml:space="preserve">a global fraud </w:t>
      </w:r>
      <w:r w:rsidRPr="0073011F">
        <w:rPr>
          <w:rFonts w:ascii="Verdana" w:hAnsi="Verdana"/>
          <w:sz w:val="24"/>
          <w:szCs w:val="24"/>
        </w:rPr>
        <w:t>hotspot</w:t>
      </w:r>
      <w:r>
        <w:rPr>
          <w:rStyle w:val="FootnoteReference"/>
          <w:rFonts w:ascii="Verdana" w:hAnsi="Verdana"/>
          <w:sz w:val="24"/>
          <w:szCs w:val="24"/>
        </w:rPr>
        <w:footnoteReference w:id="6"/>
      </w:r>
      <w:r w:rsidRPr="0073011F">
        <w:rPr>
          <w:rFonts w:ascii="Verdana" w:hAnsi="Verdana"/>
          <w:sz w:val="24"/>
          <w:szCs w:val="24"/>
        </w:rPr>
        <w:t>.)</w:t>
      </w:r>
    </w:p>
    <w:p w:rsidR="00000000" w:rsidRPr="0073011F" w:rsidP="00CB6F41">
      <w:pPr>
        <w:pStyle w:val="ListParagraph"/>
        <w:spacing w:after="60" w:line="240" w:lineRule="auto"/>
        <w:rPr>
          <w:rFonts w:ascii="Verdana" w:hAnsi="Verdana"/>
          <w:sz w:val="24"/>
          <w:szCs w:val="24"/>
        </w:rPr>
      </w:pPr>
    </w:p>
    <w:p w:rsidR="00000000" w:rsidRPr="0073011F" w:rsidP="00CB6F41">
      <w:pPr>
        <w:pStyle w:val="ListParagraph"/>
        <w:numPr>
          <w:ilvl w:val="1"/>
          <w:numId w:val="7"/>
        </w:numPr>
        <w:spacing w:after="60" w:line="240" w:lineRule="auto"/>
        <w:rPr>
          <w:rFonts w:ascii="Verdana" w:hAnsi="Verdana"/>
          <w:sz w:val="24"/>
          <w:szCs w:val="24"/>
        </w:rPr>
      </w:pPr>
      <w:r w:rsidRPr="0073011F">
        <w:rPr>
          <w:rFonts w:ascii="Verdana" w:hAnsi="Verdana"/>
          <w:sz w:val="24"/>
          <w:szCs w:val="24"/>
        </w:rPr>
        <w:t>I</w:t>
      </w:r>
      <w:r w:rsidRPr="0073011F">
        <w:rPr>
          <w:rFonts w:ascii="Verdana" w:hAnsi="Verdana"/>
          <w:sz w:val="24"/>
          <w:szCs w:val="24"/>
        </w:rPr>
        <w:t xml:space="preserve">t is </w:t>
      </w:r>
      <w:r w:rsidRPr="0073011F">
        <w:rPr>
          <w:rFonts w:ascii="Verdana" w:hAnsi="Verdana"/>
          <w:sz w:val="24"/>
          <w:szCs w:val="24"/>
        </w:rPr>
        <w:t xml:space="preserve">all but impossible </w:t>
      </w:r>
      <w:r w:rsidRPr="0073011F">
        <w:rPr>
          <w:rFonts w:ascii="Verdana" w:hAnsi="Verdana"/>
          <w:sz w:val="24"/>
          <w:szCs w:val="24"/>
        </w:rPr>
        <w:t>find a</w:t>
      </w:r>
      <w:r w:rsidRPr="0073011F">
        <w:rPr>
          <w:rFonts w:ascii="Verdana" w:hAnsi="Verdana"/>
          <w:sz w:val="24"/>
          <w:szCs w:val="24"/>
        </w:rPr>
        <w:t xml:space="preserve">n expert, </w:t>
      </w:r>
      <w:r w:rsidRPr="0073011F">
        <w:rPr>
          <w:rFonts w:ascii="Verdana" w:hAnsi="Verdana"/>
          <w:sz w:val="24"/>
          <w:szCs w:val="24"/>
        </w:rPr>
        <w:t xml:space="preserve">outside of the banking and payments industry, </w:t>
      </w:r>
      <w:r w:rsidRPr="0073011F">
        <w:rPr>
          <w:rFonts w:ascii="Verdana" w:hAnsi="Verdana"/>
          <w:sz w:val="24"/>
          <w:szCs w:val="24"/>
        </w:rPr>
        <w:t xml:space="preserve">who estimate that </w:t>
      </w:r>
      <w:r w:rsidRPr="0073011F">
        <w:rPr>
          <w:rFonts w:ascii="Verdana" w:hAnsi="Verdana"/>
          <w:sz w:val="24"/>
          <w:szCs w:val="24"/>
        </w:rPr>
        <w:t xml:space="preserve">UK </w:t>
      </w:r>
      <w:r w:rsidRPr="0073011F">
        <w:rPr>
          <w:rFonts w:ascii="Verdana" w:hAnsi="Verdana"/>
          <w:sz w:val="24"/>
          <w:szCs w:val="24"/>
        </w:rPr>
        <w:t xml:space="preserve">consumer losses to investment </w:t>
      </w:r>
      <w:r w:rsidRPr="0073011F">
        <w:rPr>
          <w:rFonts w:ascii="Verdana" w:hAnsi="Verdana"/>
          <w:sz w:val="24"/>
          <w:szCs w:val="24"/>
        </w:rPr>
        <w:t xml:space="preserve">fraud are anything less </w:t>
      </w:r>
      <w:r w:rsidRPr="0073011F">
        <w:rPr>
          <w:rFonts w:ascii="Verdana" w:hAnsi="Verdana"/>
          <w:sz w:val="24"/>
          <w:szCs w:val="24"/>
        </w:rPr>
        <w:t xml:space="preserve">£2bn per annum.  </w:t>
      </w:r>
      <w:r w:rsidRPr="0073011F">
        <w:rPr>
          <w:rFonts w:ascii="Verdana" w:hAnsi="Verdana"/>
          <w:sz w:val="24"/>
          <w:szCs w:val="24"/>
        </w:rPr>
        <w:t>A member of Operation Broadway</w:t>
      </w:r>
      <w:r>
        <w:rPr>
          <w:rStyle w:val="FootnoteReference"/>
          <w:rFonts w:ascii="Verdana" w:hAnsi="Verdana"/>
          <w:sz w:val="24"/>
          <w:szCs w:val="24"/>
        </w:rPr>
        <w:footnoteReference w:id="7"/>
      </w:r>
      <w:r w:rsidRPr="0073011F">
        <w:rPr>
          <w:rFonts w:ascii="Verdana" w:hAnsi="Verdana"/>
          <w:sz w:val="24"/>
          <w:szCs w:val="24"/>
        </w:rPr>
        <w:t xml:space="preserve"> recently </w:t>
      </w:r>
      <w:r w:rsidRPr="0073011F">
        <w:rPr>
          <w:rFonts w:ascii="Verdana" w:hAnsi="Verdana"/>
          <w:sz w:val="24"/>
          <w:szCs w:val="24"/>
        </w:rPr>
        <w:t xml:space="preserve">informally </w:t>
      </w:r>
      <w:r w:rsidRPr="0073011F">
        <w:rPr>
          <w:rFonts w:ascii="Verdana" w:hAnsi="Verdana"/>
          <w:sz w:val="24"/>
          <w:szCs w:val="24"/>
        </w:rPr>
        <w:t>described this estimate as ‘laughably low’</w:t>
      </w:r>
      <w:r w:rsidRPr="0073011F">
        <w:rPr>
          <w:rFonts w:ascii="Verdana" w:hAnsi="Verdana"/>
          <w:sz w:val="24"/>
          <w:szCs w:val="24"/>
        </w:rPr>
        <w:t xml:space="preserve">.  </w:t>
      </w:r>
      <w:r w:rsidRPr="0073011F">
        <w:rPr>
          <w:rFonts w:ascii="Verdana" w:hAnsi="Verdana"/>
          <w:sz w:val="24"/>
          <w:szCs w:val="24"/>
        </w:rPr>
        <w:t>W</w:t>
      </w:r>
      <w:r w:rsidRPr="0073011F">
        <w:rPr>
          <w:rFonts w:ascii="Verdana" w:hAnsi="Verdana"/>
          <w:sz w:val="24"/>
          <w:szCs w:val="24"/>
        </w:rPr>
        <w:t>hile it is difficult to access more recent statistics,</w:t>
      </w:r>
      <w:r w:rsidRPr="0073011F">
        <w:rPr>
          <w:rFonts w:ascii="Verdana" w:hAnsi="Verdana"/>
          <w:sz w:val="24"/>
          <w:szCs w:val="24"/>
        </w:rPr>
        <w:t xml:space="preserve"> </w:t>
      </w:r>
      <w:r w:rsidRPr="0073011F">
        <w:rPr>
          <w:rFonts w:ascii="Verdana" w:hAnsi="Verdana"/>
          <w:sz w:val="24"/>
          <w:szCs w:val="24"/>
        </w:rPr>
        <w:t xml:space="preserve">in </w:t>
      </w:r>
      <w:r w:rsidRPr="0073011F">
        <w:rPr>
          <w:rFonts w:ascii="Verdana" w:hAnsi="Verdana"/>
          <w:sz w:val="24"/>
          <w:szCs w:val="24"/>
        </w:rPr>
        <w:t xml:space="preserve">2014 </w:t>
      </w:r>
      <w:r w:rsidRPr="0073011F">
        <w:rPr>
          <w:rFonts w:ascii="Verdana" w:hAnsi="Verdana"/>
          <w:sz w:val="24"/>
          <w:szCs w:val="24"/>
        </w:rPr>
        <w:t xml:space="preserve">losses from investment fraud </w:t>
      </w:r>
      <w:r w:rsidRPr="0073011F">
        <w:rPr>
          <w:rFonts w:ascii="Verdana" w:hAnsi="Verdana"/>
          <w:sz w:val="24"/>
          <w:szCs w:val="24"/>
        </w:rPr>
        <w:t>reported to Action Fraud were more than</w:t>
      </w:r>
      <w:r w:rsidRPr="0073011F">
        <w:rPr>
          <w:rFonts w:ascii="Verdana" w:hAnsi="Verdana"/>
          <w:sz w:val="24"/>
          <w:szCs w:val="24"/>
        </w:rPr>
        <w:t xml:space="preserve"> </w:t>
      </w:r>
      <w:r w:rsidRPr="0073011F">
        <w:rPr>
          <w:rFonts w:ascii="Verdana" w:hAnsi="Verdana"/>
          <w:sz w:val="24"/>
          <w:szCs w:val="24"/>
        </w:rPr>
        <w:t>£1.73</w:t>
      </w:r>
      <w:r w:rsidRPr="0073011F">
        <w:rPr>
          <w:rFonts w:ascii="Verdana" w:hAnsi="Verdana"/>
          <w:sz w:val="24"/>
          <w:szCs w:val="24"/>
        </w:rPr>
        <w:t>bn</w:t>
      </w:r>
      <w:r w:rsidRPr="0073011F">
        <w:rPr>
          <w:rFonts w:ascii="Verdana" w:hAnsi="Verdana"/>
          <w:sz w:val="24"/>
          <w:szCs w:val="24"/>
        </w:rPr>
        <w:t>.</w:t>
      </w:r>
      <w:r>
        <w:rPr>
          <w:rStyle w:val="FootnoteReference"/>
          <w:rFonts w:ascii="Verdana" w:hAnsi="Verdana"/>
          <w:sz w:val="24"/>
          <w:szCs w:val="24"/>
        </w:rPr>
        <w:footnoteReference w:id="8"/>
      </w:r>
      <w:r w:rsidRPr="0073011F">
        <w:rPr>
          <w:rFonts w:ascii="Verdana" w:hAnsi="Verdana"/>
          <w:sz w:val="24"/>
          <w:szCs w:val="24"/>
        </w:rPr>
        <w:t xml:space="preserve"> </w:t>
      </w:r>
    </w:p>
    <w:p w:rsidR="00000000" w:rsidRPr="0073011F" w:rsidP="00CB6F41">
      <w:pPr>
        <w:pStyle w:val="ListParagraph"/>
        <w:spacing w:after="60" w:line="240" w:lineRule="auto"/>
        <w:rPr>
          <w:rFonts w:ascii="Verdana" w:hAnsi="Verdana"/>
          <w:sz w:val="24"/>
          <w:szCs w:val="24"/>
        </w:rPr>
      </w:pPr>
    </w:p>
    <w:p w:rsidR="00000000" w:rsidRPr="0073011F" w:rsidP="00CB6F41">
      <w:pPr>
        <w:pStyle w:val="ListParagraph"/>
        <w:numPr>
          <w:ilvl w:val="1"/>
          <w:numId w:val="7"/>
        </w:numPr>
        <w:spacing w:after="60" w:line="240" w:lineRule="auto"/>
        <w:rPr>
          <w:rFonts w:ascii="Verdana" w:hAnsi="Verdana"/>
          <w:sz w:val="24"/>
          <w:szCs w:val="24"/>
        </w:rPr>
      </w:pPr>
      <w:r w:rsidRPr="0073011F">
        <w:rPr>
          <w:rFonts w:ascii="Verdana" w:hAnsi="Verdana"/>
          <w:sz w:val="24"/>
          <w:szCs w:val="24"/>
        </w:rPr>
        <w:t>Despite their recent LinkedIn post, e</w:t>
      </w:r>
      <w:r w:rsidRPr="0073011F">
        <w:rPr>
          <w:rFonts w:ascii="Verdana" w:hAnsi="Verdana"/>
          <w:sz w:val="24"/>
          <w:szCs w:val="24"/>
        </w:rPr>
        <w:t xml:space="preserve">ven </w:t>
      </w:r>
      <w:r w:rsidRPr="0073011F">
        <w:rPr>
          <w:rFonts w:ascii="Verdana" w:hAnsi="Verdana"/>
          <w:sz w:val="24"/>
          <w:szCs w:val="24"/>
        </w:rPr>
        <w:t>PSR concedes in a policy statement that ‘</w:t>
      </w:r>
      <w:r w:rsidRPr="0073011F">
        <w:rPr>
          <w:rFonts w:ascii="Verdana" w:hAnsi="Verdana"/>
          <w:i/>
          <w:iCs/>
          <w:sz w:val="24"/>
          <w:szCs w:val="24"/>
        </w:rPr>
        <w:t>the real figures are likely to be higher</w:t>
      </w:r>
      <w:r w:rsidRPr="0073011F">
        <w:rPr>
          <w:rFonts w:ascii="Verdana" w:hAnsi="Verdana"/>
          <w:sz w:val="24"/>
          <w:szCs w:val="24"/>
        </w:rPr>
        <w:t>’.</w:t>
      </w:r>
      <w:r>
        <w:rPr>
          <w:rStyle w:val="FootnoteReference"/>
          <w:rFonts w:ascii="Verdana" w:hAnsi="Verdana"/>
          <w:sz w:val="24"/>
          <w:szCs w:val="24"/>
        </w:rPr>
        <w:footnoteReference w:id="9"/>
      </w:r>
    </w:p>
    <w:p w:rsidR="00000000" w:rsidRPr="0073011F" w:rsidP="00CB6F41">
      <w:pPr>
        <w:pStyle w:val="ListParagraph"/>
        <w:spacing w:after="60" w:line="240" w:lineRule="auto"/>
        <w:rPr>
          <w:rFonts w:ascii="Verdana" w:hAnsi="Verdana"/>
          <w:sz w:val="24"/>
          <w:szCs w:val="24"/>
        </w:rPr>
      </w:pPr>
    </w:p>
    <w:p w:rsidR="00000000" w:rsidRPr="0073011F" w:rsidP="00CB6F41">
      <w:pPr>
        <w:pStyle w:val="ListParagraph"/>
        <w:numPr>
          <w:ilvl w:val="1"/>
          <w:numId w:val="7"/>
        </w:numPr>
        <w:spacing w:after="60" w:line="240" w:lineRule="auto"/>
        <w:rPr>
          <w:rFonts w:ascii="Verdana" w:hAnsi="Verdana"/>
          <w:sz w:val="24"/>
          <w:szCs w:val="24"/>
        </w:rPr>
      </w:pPr>
      <w:r w:rsidRPr="0073011F">
        <w:rPr>
          <w:rFonts w:ascii="Verdana" w:hAnsi="Verdana"/>
          <w:sz w:val="24"/>
          <w:szCs w:val="24"/>
        </w:rPr>
        <w:t xml:space="preserve">Why then </w:t>
      </w:r>
      <w:r w:rsidRPr="0073011F">
        <w:rPr>
          <w:rFonts w:ascii="Verdana" w:hAnsi="Verdana"/>
          <w:sz w:val="24"/>
          <w:szCs w:val="24"/>
        </w:rPr>
        <w:t xml:space="preserve">does the banking and payments industry report that their customers </w:t>
      </w:r>
      <w:r w:rsidRPr="0073011F">
        <w:rPr>
          <w:rFonts w:ascii="Verdana" w:hAnsi="Verdana"/>
          <w:sz w:val="24"/>
          <w:szCs w:val="24"/>
        </w:rPr>
        <w:t>lose only something like 5% of the likely actual losses</w:t>
      </w:r>
      <w:r w:rsidRPr="0073011F">
        <w:rPr>
          <w:rFonts w:ascii="Verdana" w:hAnsi="Verdana"/>
          <w:sz w:val="24"/>
          <w:szCs w:val="24"/>
        </w:rPr>
        <w:t xml:space="preserve"> from </w:t>
      </w:r>
      <w:r w:rsidRPr="0073011F">
        <w:rPr>
          <w:rFonts w:ascii="Verdana" w:hAnsi="Verdana"/>
          <w:sz w:val="24"/>
          <w:szCs w:val="24"/>
        </w:rPr>
        <w:t xml:space="preserve">investment fraud?  </w:t>
      </w:r>
    </w:p>
    <w:p w:rsidR="00000000" w:rsidRPr="0073011F" w:rsidP="00CB6F41">
      <w:pPr>
        <w:pStyle w:val="ListParagraph"/>
        <w:spacing w:after="60" w:line="240" w:lineRule="auto"/>
        <w:rPr>
          <w:rFonts w:ascii="Verdana" w:hAnsi="Verdana"/>
          <w:b/>
          <w:bCs/>
          <w:sz w:val="24"/>
          <w:szCs w:val="24"/>
        </w:rPr>
      </w:pPr>
    </w:p>
    <w:p w:rsidR="00000000" w:rsidRPr="0073011F" w:rsidP="00CB6F41">
      <w:pPr>
        <w:pStyle w:val="ListParagraph"/>
        <w:numPr>
          <w:ilvl w:val="0"/>
          <w:numId w:val="7"/>
        </w:numPr>
        <w:spacing w:after="60" w:line="240" w:lineRule="auto"/>
        <w:rPr>
          <w:rFonts w:ascii="Verdana" w:hAnsi="Verdana"/>
          <w:sz w:val="24"/>
          <w:szCs w:val="24"/>
        </w:rPr>
      </w:pPr>
      <w:r w:rsidRPr="0073011F">
        <w:rPr>
          <w:rFonts w:ascii="Verdana" w:hAnsi="Verdana"/>
          <w:b/>
          <w:bCs/>
          <w:sz w:val="24"/>
          <w:szCs w:val="24"/>
        </w:rPr>
        <w:t>T</w:t>
      </w:r>
      <w:r w:rsidRPr="0073011F">
        <w:rPr>
          <w:rFonts w:ascii="Verdana" w:hAnsi="Verdana"/>
          <w:b/>
          <w:bCs/>
          <w:sz w:val="24"/>
          <w:szCs w:val="24"/>
        </w:rPr>
        <w:t>HE C</w:t>
      </w:r>
      <w:r w:rsidRPr="0073011F">
        <w:rPr>
          <w:rFonts w:ascii="Verdana" w:hAnsi="Verdana"/>
          <w:b/>
          <w:bCs/>
          <w:sz w:val="24"/>
          <w:szCs w:val="24"/>
        </w:rPr>
        <w:t>ONTINGENT R</w:t>
      </w:r>
      <w:r w:rsidRPr="0073011F">
        <w:rPr>
          <w:rFonts w:ascii="Verdana" w:hAnsi="Verdana"/>
          <w:b/>
          <w:bCs/>
          <w:sz w:val="24"/>
          <w:szCs w:val="24"/>
        </w:rPr>
        <w:t>EIMBURSEMENT M</w:t>
      </w:r>
      <w:r w:rsidRPr="0073011F">
        <w:rPr>
          <w:rFonts w:ascii="Verdana" w:hAnsi="Verdana"/>
          <w:b/>
          <w:bCs/>
          <w:sz w:val="24"/>
          <w:szCs w:val="24"/>
        </w:rPr>
        <w:t xml:space="preserve">ODEL </w:t>
      </w:r>
      <w:r w:rsidRPr="0073011F">
        <w:rPr>
          <w:rFonts w:ascii="Verdana" w:hAnsi="Verdana"/>
          <w:b/>
          <w:bCs/>
          <w:sz w:val="24"/>
          <w:szCs w:val="24"/>
        </w:rPr>
        <w:t>(CRM) C</w:t>
      </w:r>
      <w:r w:rsidRPr="0073011F">
        <w:rPr>
          <w:rFonts w:ascii="Verdana" w:hAnsi="Verdana"/>
          <w:b/>
          <w:bCs/>
          <w:sz w:val="24"/>
          <w:szCs w:val="24"/>
        </w:rPr>
        <w:t xml:space="preserve">ODE </w:t>
      </w:r>
      <w:r w:rsidRPr="0073011F">
        <w:rPr>
          <w:rFonts w:ascii="Verdana" w:hAnsi="Verdana"/>
          <w:b/>
          <w:bCs/>
          <w:sz w:val="24"/>
          <w:szCs w:val="24"/>
        </w:rPr>
        <w:t>(THE ‘CODE’)</w:t>
      </w:r>
      <w:r>
        <w:rPr>
          <w:rStyle w:val="FootnoteReference"/>
          <w:rFonts w:ascii="Verdana" w:hAnsi="Verdana"/>
          <w:b/>
          <w:bCs/>
          <w:sz w:val="24"/>
          <w:szCs w:val="24"/>
        </w:rPr>
        <w:footnoteReference w:id="10"/>
      </w:r>
      <w:r w:rsidRPr="0073011F">
        <w:rPr>
          <w:rFonts w:ascii="Verdana" w:hAnsi="Verdana"/>
          <w:b/>
          <w:bCs/>
          <w:sz w:val="24"/>
          <w:szCs w:val="24"/>
        </w:rPr>
        <w:t xml:space="preserve"> </w:t>
      </w:r>
      <w:r w:rsidRPr="0073011F">
        <w:rPr>
          <w:rFonts w:ascii="Verdana" w:hAnsi="Verdana"/>
          <w:b/>
          <w:bCs/>
          <w:sz w:val="24"/>
          <w:szCs w:val="24"/>
        </w:rPr>
        <w:t>AND M</w:t>
      </w:r>
      <w:r w:rsidRPr="0073011F">
        <w:rPr>
          <w:rFonts w:ascii="Verdana" w:hAnsi="Verdana"/>
          <w:b/>
          <w:bCs/>
          <w:sz w:val="24"/>
          <w:szCs w:val="24"/>
        </w:rPr>
        <w:t xml:space="preserve">ANDATROY </w:t>
      </w:r>
      <w:r w:rsidRPr="0073011F">
        <w:rPr>
          <w:rFonts w:ascii="Verdana" w:hAnsi="Verdana"/>
          <w:b/>
          <w:bCs/>
          <w:sz w:val="24"/>
          <w:szCs w:val="24"/>
        </w:rPr>
        <w:t>R</w:t>
      </w:r>
      <w:r w:rsidRPr="0073011F">
        <w:rPr>
          <w:rFonts w:ascii="Verdana" w:hAnsi="Verdana"/>
          <w:b/>
          <w:bCs/>
          <w:sz w:val="24"/>
          <w:szCs w:val="24"/>
        </w:rPr>
        <w:t>EIMBURSEMENT</w:t>
      </w:r>
      <w:r w:rsidRPr="0073011F">
        <w:rPr>
          <w:rFonts w:ascii="Verdana" w:hAnsi="Verdana"/>
          <w:b/>
          <w:bCs/>
          <w:sz w:val="24"/>
          <w:szCs w:val="24"/>
        </w:rPr>
        <w:t xml:space="preserve"> (</w:t>
      </w:r>
      <w:r w:rsidRPr="0073011F">
        <w:rPr>
          <w:rFonts w:ascii="Verdana" w:hAnsi="Verdana"/>
          <w:b/>
          <w:bCs/>
          <w:sz w:val="24"/>
          <w:szCs w:val="24"/>
        </w:rPr>
        <w:t>MR</w:t>
      </w:r>
      <w:r w:rsidRPr="0073011F">
        <w:rPr>
          <w:rFonts w:ascii="Verdana" w:hAnsi="Verdana"/>
          <w:b/>
          <w:bCs/>
          <w:sz w:val="24"/>
          <w:szCs w:val="24"/>
        </w:rPr>
        <w:t>)</w:t>
      </w:r>
      <w:r>
        <w:rPr>
          <w:rStyle w:val="FootnoteReference"/>
          <w:rFonts w:ascii="Verdana" w:hAnsi="Verdana"/>
          <w:b/>
          <w:bCs/>
          <w:sz w:val="24"/>
          <w:szCs w:val="24"/>
        </w:rPr>
        <w:footnoteReference w:id="11"/>
      </w:r>
    </w:p>
    <w:p w:rsidR="00000000" w:rsidRPr="0073011F" w:rsidP="00CB6F41">
      <w:pPr>
        <w:pStyle w:val="ListParagraph"/>
        <w:spacing w:after="60" w:line="240" w:lineRule="auto"/>
        <w:ind w:left="360"/>
        <w:rPr>
          <w:rFonts w:ascii="Verdana" w:hAnsi="Verdana"/>
          <w:sz w:val="24"/>
          <w:szCs w:val="24"/>
        </w:rPr>
      </w:pPr>
    </w:p>
    <w:p w:rsidR="00000000" w:rsidRPr="0073011F" w:rsidP="00CB6F41">
      <w:pPr>
        <w:pStyle w:val="ListParagraph"/>
        <w:numPr>
          <w:ilvl w:val="1"/>
          <w:numId w:val="7"/>
        </w:numPr>
        <w:spacing w:after="60" w:line="240" w:lineRule="auto"/>
        <w:rPr>
          <w:rFonts w:ascii="Verdana" w:hAnsi="Verdana"/>
          <w:sz w:val="24"/>
          <w:szCs w:val="24"/>
        </w:rPr>
      </w:pPr>
      <w:r w:rsidRPr="0073011F">
        <w:rPr>
          <w:rFonts w:ascii="Verdana" w:hAnsi="Verdana"/>
          <w:sz w:val="24"/>
          <w:szCs w:val="24"/>
        </w:rPr>
        <w:t>Investment fraud is a type of Authorised Push Payment (APP) Scam</w:t>
      </w:r>
      <w:r w:rsidRPr="0073011F">
        <w:rPr>
          <w:rFonts w:ascii="Verdana" w:hAnsi="Verdana"/>
          <w:sz w:val="24"/>
          <w:szCs w:val="24"/>
        </w:rPr>
        <w:t>.</w:t>
      </w:r>
      <w:r w:rsidRPr="0073011F">
        <w:rPr>
          <w:rFonts w:ascii="Verdana" w:hAnsi="Verdana"/>
          <w:sz w:val="24"/>
          <w:szCs w:val="24"/>
        </w:rPr>
        <w:t xml:space="preserve">  There are two definitions of APP Scam that are relevant for this discussion:</w:t>
      </w:r>
    </w:p>
    <w:p w:rsidR="00000000" w:rsidRPr="0073011F" w:rsidP="00D0111C">
      <w:pPr>
        <w:pStyle w:val="ListParagraph"/>
        <w:spacing w:after="60" w:line="240" w:lineRule="auto"/>
        <w:ind w:left="792"/>
        <w:rPr>
          <w:rFonts w:ascii="Verdana" w:hAnsi="Verdana"/>
          <w:sz w:val="24"/>
          <w:szCs w:val="24"/>
        </w:rPr>
      </w:pPr>
    </w:p>
    <w:p w:rsidR="00000000" w:rsidRPr="0073011F" w:rsidP="00D0111C">
      <w:pPr>
        <w:pStyle w:val="ListParagraph"/>
        <w:numPr>
          <w:ilvl w:val="2"/>
          <w:numId w:val="7"/>
        </w:numPr>
        <w:spacing w:after="60" w:line="240" w:lineRule="auto"/>
        <w:rPr>
          <w:rFonts w:ascii="Verdana" w:hAnsi="Verdana"/>
          <w:sz w:val="24"/>
          <w:szCs w:val="24"/>
        </w:rPr>
      </w:pPr>
      <w:r w:rsidRPr="0073011F">
        <w:rPr>
          <w:rFonts w:ascii="Verdana" w:hAnsi="Verdana"/>
          <w:sz w:val="24"/>
          <w:szCs w:val="24"/>
        </w:rPr>
        <w:t>T</w:t>
      </w:r>
      <w:r w:rsidRPr="0073011F">
        <w:rPr>
          <w:rFonts w:ascii="Verdana" w:hAnsi="Verdana"/>
          <w:sz w:val="24"/>
          <w:szCs w:val="24"/>
        </w:rPr>
        <w:t>he Code</w:t>
      </w:r>
      <w:r w:rsidRPr="0073011F">
        <w:rPr>
          <w:rFonts w:ascii="Verdana" w:hAnsi="Verdana"/>
          <w:sz w:val="24"/>
          <w:szCs w:val="24"/>
        </w:rPr>
        <w:t>:</w:t>
      </w:r>
      <w:r w:rsidRPr="0073011F">
        <w:rPr>
          <w:rFonts w:ascii="Verdana" w:hAnsi="Verdana"/>
          <w:sz w:val="24"/>
          <w:szCs w:val="24"/>
        </w:rPr>
        <w:t xml:space="preserve"> ‘</w:t>
      </w:r>
      <w:r w:rsidRPr="0073011F">
        <w:rPr>
          <w:rFonts w:ascii="Verdana" w:hAnsi="Verdana"/>
          <w:i/>
          <w:iCs/>
          <w:sz w:val="24"/>
          <w:szCs w:val="24"/>
        </w:rPr>
        <w:t>The Customer transferred funds to another person for what they believed were legitimate purposes but which were in fact fraudulent’</w:t>
      </w:r>
      <w:r w:rsidRPr="0073011F">
        <w:rPr>
          <w:rFonts w:ascii="Verdana" w:hAnsi="Verdana"/>
          <w:sz w:val="24"/>
          <w:szCs w:val="24"/>
        </w:rPr>
        <w:t>.</w:t>
      </w:r>
    </w:p>
    <w:p w:rsidR="00000000" w:rsidRPr="0073011F" w:rsidP="00CB6F41">
      <w:pPr>
        <w:pStyle w:val="ListParagraph"/>
        <w:spacing w:after="60" w:line="240" w:lineRule="auto"/>
        <w:ind w:left="792"/>
        <w:rPr>
          <w:rFonts w:ascii="Verdana" w:hAnsi="Verdana"/>
          <w:sz w:val="24"/>
          <w:szCs w:val="24"/>
        </w:rPr>
      </w:pPr>
    </w:p>
    <w:p w:rsidR="00000000" w:rsidRPr="0073011F" w:rsidP="00D0111C">
      <w:pPr>
        <w:pStyle w:val="ListParagraph"/>
        <w:numPr>
          <w:ilvl w:val="2"/>
          <w:numId w:val="7"/>
        </w:numPr>
        <w:spacing w:after="60" w:line="240" w:lineRule="auto"/>
        <w:rPr>
          <w:rFonts w:ascii="Verdana" w:hAnsi="Verdana"/>
          <w:sz w:val="24"/>
          <w:szCs w:val="24"/>
        </w:rPr>
      </w:pPr>
      <w:r w:rsidRPr="0073011F">
        <w:rPr>
          <w:rFonts w:ascii="Verdana" w:hAnsi="Verdana"/>
          <w:sz w:val="24"/>
          <w:szCs w:val="24"/>
        </w:rPr>
        <w:t>M</w:t>
      </w:r>
      <w:r w:rsidRPr="0073011F">
        <w:rPr>
          <w:rFonts w:ascii="Verdana" w:hAnsi="Verdana"/>
          <w:sz w:val="24"/>
          <w:szCs w:val="24"/>
        </w:rPr>
        <w:t>R</w:t>
      </w:r>
      <w:r w:rsidRPr="0073011F">
        <w:rPr>
          <w:rFonts w:ascii="Verdana" w:hAnsi="Verdana"/>
          <w:sz w:val="24"/>
          <w:szCs w:val="24"/>
        </w:rPr>
        <w:t>:</w:t>
      </w:r>
      <w:r w:rsidRPr="0073011F">
        <w:rPr>
          <w:rFonts w:ascii="Verdana" w:hAnsi="Verdana"/>
          <w:sz w:val="24"/>
          <w:szCs w:val="24"/>
        </w:rPr>
        <w:t xml:space="preserve"> ‘</w:t>
      </w:r>
      <w:r w:rsidRPr="0073011F">
        <w:rPr>
          <w:rFonts w:ascii="Verdana" w:hAnsi="Verdana"/>
          <w:i/>
          <w:iCs/>
          <w:sz w:val="24"/>
          <w:szCs w:val="24"/>
        </w:rPr>
        <w:t>Where a person uses a fraudulent or dishonest act or course of conduct to manipulate, deceive or persuade a</w:t>
      </w:r>
      <w:r w:rsidRPr="0073011F">
        <w:rPr>
          <w:rFonts w:ascii="Verdana" w:hAnsi="Verdana"/>
          <w:i/>
          <w:iCs/>
          <w:sz w:val="24"/>
          <w:szCs w:val="24"/>
        </w:rPr>
        <w:t xml:space="preserve"> consumer into transferring funds from the consumer’s relevant account to a relevant account not controlled by the consumer, where</w:t>
      </w:r>
      <w:r w:rsidRPr="0073011F">
        <w:rPr>
          <w:rFonts w:ascii="Verdana" w:hAnsi="Verdana"/>
          <w:i/>
          <w:iCs/>
          <w:sz w:val="24"/>
          <w:szCs w:val="24"/>
        </w:rPr>
        <w:t>…   the payment is not for the purpose the consumer intended</w:t>
      </w:r>
      <w:r w:rsidRPr="0073011F">
        <w:rPr>
          <w:rFonts w:ascii="Verdana" w:hAnsi="Verdana"/>
          <w:sz w:val="24"/>
          <w:szCs w:val="24"/>
        </w:rPr>
        <w:t>’.</w:t>
      </w:r>
    </w:p>
    <w:p w:rsidR="00000000" w:rsidRPr="0073011F" w:rsidP="00CB6F41">
      <w:pPr>
        <w:pStyle w:val="ListParagraph"/>
        <w:spacing w:after="60" w:line="240" w:lineRule="auto"/>
        <w:rPr>
          <w:rFonts w:ascii="Verdana" w:hAnsi="Verdana"/>
          <w:sz w:val="24"/>
          <w:szCs w:val="24"/>
        </w:rPr>
      </w:pPr>
    </w:p>
    <w:p w:rsidR="00000000" w:rsidRPr="0073011F" w:rsidP="00CB6F41">
      <w:pPr>
        <w:pStyle w:val="ListParagraph"/>
        <w:numPr>
          <w:ilvl w:val="1"/>
          <w:numId w:val="7"/>
        </w:numPr>
        <w:spacing w:after="60" w:line="240" w:lineRule="auto"/>
        <w:rPr>
          <w:rFonts w:ascii="Verdana" w:hAnsi="Verdana"/>
          <w:sz w:val="24"/>
          <w:szCs w:val="24"/>
        </w:rPr>
      </w:pPr>
      <w:r w:rsidRPr="0073011F">
        <w:rPr>
          <w:rFonts w:ascii="Verdana" w:hAnsi="Verdana"/>
          <w:sz w:val="24"/>
          <w:szCs w:val="24"/>
        </w:rPr>
        <w:t xml:space="preserve">Under both the Code and MR, where the customer of a bank or payment services company </w:t>
      </w:r>
      <w:r w:rsidRPr="0073011F">
        <w:rPr>
          <w:rFonts w:ascii="Verdana" w:hAnsi="Verdana"/>
          <w:sz w:val="24"/>
          <w:szCs w:val="24"/>
        </w:rPr>
        <w:t xml:space="preserve">(the ‘firm’) has been a victim of </w:t>
      </w:r>
      <w:r w:rsidRPr="0073011F">
        <w:rPr>
          <w:rFonts w:ascii="Verdana" w:hAnsi="Verdana"/>
          <w:sz w:val="24"/>
          <w:szCs w:val="24"/>
        </w:rPr>
        <w:t>an APP scam</w:t>
      </w:r>
      <w:r w:rsidRPr="0073011F">
        <w:rPr>
          <w:rFonts w:ascii="Verdana" w:hAnsi="Verdana"/>
          <w:sz w:val="24"/>
          <w:szCs w:val="24"/>
        </w:rPr>
        <w:t>, the firm should reimburse them.</w:t>
      </w:r>
    </w:p>
    <w:p w:rsidR="00000000" w:rsidRPr="0073011F" w:rsidP="00CB6F41">
      <w:pPr>
        <w:pStyle w:val="ListParagraph"/>
        <w:spacing w:after="60" w:line="240" w:lineRule="auto"/>
        <w:rPr>
          <w:rFonts w:ascii="Verdana" w:hAnsi="Verdana"/>
          <w:sz w:val="24"/>
          <w:szCs w:val="24"/>
        </w:rPr>
      </w:pPr>
    </w:p>
    <w:p w:rsidR="00000000" w:rsidRPr="0073011F" w:rsidP="00CB6F41">
      <w:pPr>
        <w:pStyle w:val="ListParagraph"/>
        <w:numPr>
          <w:ilvl w:val="1"/>
          <w:numId w:val="7"/>
        </w:numPr>
        <w:spacing w:after="60" w:line="240" w:lineRule="auto"/>
        <w:rPr>
          <w:rFonts w:ascii="Verdana" w:hAnsi="Verdana"/>
          <w:sz w:val="24"/>
          <w:szCs w:val="24"/>
        </w:rPr>
      </w:pPr>
      <w:r w:rsidRPr="0073011F">
        <w:rPr>
          <w:rFonts w:ascii="Verdana" w:hAnsi="Verdana"/>
          <w:sz w:val="24"/>
          <w:szCs w:val="24"/>
        </w:rPr>
        <w:t>The genesis of the Code goes back to the 2016 super-complaint made by the Consumers’ Association to the PSR</w:t>
      </w:r>
      <w:r>
        <w:rPr>
          <w:rStyle w:val="FootnoteReference"/>
          <w:rFonts w:ascii="Verdana" w:hAnsi="Verdana"/>
          <w:sz w:val="24"/>
          <w:szCs w:val="24"/>
        </w:rPr>
        <w:footnoteReference w:id="12"/>
      </w:r>
      <w:r w:rsidRPr="0073011F">
        <w:rPr>
          <w:rFonts w:ascii="Verdana" w:hAnsi="Verdana"/>
          <w:sz w:val="24"/>
          <w:szCs w:val="24"/>
        </w:rPr>
        <w:t>.  The super-complaint argues that:</w:t>
      </w:r>
    </w:p>
    <w:p w:rsidR="00000000" w:rsidRPr="0073011F" w:rsidP="00CB6F41">
      <w:pPr>
        <w:pStyle w:val="ListParagraph"/>
        <w:spacing w:after="60" w:line="240" w:lineRule="auto"/>
        <w:rPr>
          <w:rFonts w:ascii="Verdana" w:hAnsi="Verdana"/>
          <w:sz w:val="24"/>
          <w:szCs w:val="24"/>
        </w:rPr>
      </w:pPr>
    </w:p>
    <w:p w:rsidR="00000000" w:rsidRPr="0073011F" w:rsidP="00CB6F41">
      <w:pPr>
        <w:pStyle w:val="ListParagraph"/>
        <w:numPr>
          <w:ilvl w:val="2"/>
          <w:numId w:val="7"/>
        </w:numPr>
        <w:spacing w:after="60" w:line="240" w:lineRule="auto"/>
        <w:rPr>
          <w:rFonts w:ascii="Verdana" w:hAnsi="Verdana"/>
          <w:i/>
          <w:iCs/>
          <w:sz w:val="24"/>
          <w:szCs w:val="24"/>
        </w:rPr>
      </w:pPr>
      <w:r w:rsidRPr="0073011F">
        <w:rPr>
          <w:rFonts w:ascii="Verdana" w:hAnsi="Verdana"/>
          <w:i/>
          <w:iCs/>
          <w:sz w:val="24"/>
          <w:szCs w:val="24"/>
        </w:rPr>
        <w:t>‘The risks that authorised push payments are being made to scammers are not allocated to those best placed to manage them.’</w:t>
      </w:r>
    </w:p>
    <w:p w:rsidR="00000000" w:rsidRPr="0073011F" w:rsidP="00CB6F41">
      <w:pPr>
        <w:pStyle w:val="ListParagraph"/>
        <w:spacing w:after="60" w:line="240" w:lineRule="auto"/>
        <w:rPr>
          <w:rFonts w:ascii="Verdana" w:hAnsi="Verdana"/>
          <w:i/>
          <w:iCs/>
          <w:sz w:val="24"/>
          <w:szCs w:val="24"/>
        </w:rPr>
      </w:pPr>
    </w:p>
    <w:p w:rsidR="00000000" w:rsidRPr="0073011F" w:rsidP="00CB6F41">
      <w:pPr>
        <w:pStyle w:val="ListParagraph"/>
        <w:numPr>
          <w:ilvl w:val="2"/>
          <w:numId w:val="7"/>
        </w:numPr>
        <w:spacing w:after="60" w:line="240" w:lineRule="auto"/>
        <w:rPr>
          <w:rFonts w:ascii="Verdana" w:hAnsi="Verdana"/>
          <w:i/>
          <w:iCs/>
          <w:sz w:val="24"/>
          <w:szCs w:val="24"/>
        </w:rPr>
      </w:pPr>
      <w:r w:rsidRPr="0073011F">
        <w:rPr>
          <w:rFonts w:ascii="Verdana" w:hAnsi="Verdana"/>
          <w:i/>
          <w:iCs/>
          <w:sz w:val="24"/>
          <w:szCs w:val="24"/>
        </w:rPr>
        <w:t>‘Banks are typically much better placed than consumers to guard against the risks of such payments being made.’</w:t>
      </w:r>
    </w:p>
    <w:p w:rsidR="00000000" w:rsidRPr="0073011F" w:rsidP="00CB6F41">
      <w:pPr>
        <w:pStyle w:val="ListParagraph"/>
        <w:spacing w:after="60" w:line="240" w:lineRule="auto"/>
        <w:rPr>
          <w:rFonts w:ascii="Verdana" w:hAnsi="Verdana"/>
          <w:i/>
          <w:iCs/>
          <w:sz w:val="24"/>
          <w:szCs w:val="24"/>
        </w:rPr>
      </w:pPr>
    </w:p>
    <w:p w:rsidR="00000000" w:rsidRPr="0073011F" w:rsidP="00CB6F41">
      <w:pPr>
        <w:pStyle w:val="ListParagraph"/>
        <w:numPr>
          <w:ilvl w:val="2"/>
          <w:numId w:val="7"/>
        </w:numPr>
        <w:spacing w:after="60" w:line="240" w:lineRule="auto"/>
        <w:rPr>
          <w:rFonts w:ascii="Verdana" w:hAnsi="Verdana"/>
          <w:sz w:val="24"/>
          <w:szCs w:val="24"/>
        </w:rPr>
      </w:pPr>
      <w:r w:rsidRPr="0073011F">
        <w:rPr>
          <w:rFonts w:ascii="Verdana" w:hAnsi="Verdana"/>
          <w:i/>
          <w:iCs/>
          <w:sz w:val="24"/>
          <w:szCs w:val="24"/>
        </w:rPr>
        <w:t xml:space="preserve">‘The conduct of banks </w:t>
      </w:r>
      <w:r w:rsidRPr="0073011F">
        <w:rPr>
          <w:rFonts w:ascii="Verdana" w:hAnsi="Verdana"/>
          <w:i/>
          <w:iCs/>
          <w:sz w:val="24"/>
          <w:szCs w:val="24"/>
          <w:u w:val="single"/>
        </w:rPr>
        <w:t>could</w:t>
      </w:r>
      <w:r w:rsidRPr="0073011F">
        <w:rPr>
          <w:rFonts w:ascii="Verdana" w:hAnsi="Verdana"/>
          <w:i/>
          <w:iCs/>
          <w:sz w:val="24"/>
          <w:szCs w:val="24"/>
        </w:rPr>
        <w:t xml:space="preserve"> change so reducing the extent to which scammers can fraudulently obtain funds through authorised bank push payment.’ (My underlining.)</w:t>
      </w:r>
    </w:p>
    <w:p w:rsidR="00000000" w:rsidRPr="0073011F" w:rsidP="00CB6F41">
      <w:pPr>
        <w:pStyle w:val="ListParagraph"/>
        <w:spacing w:after="60" w:line="240" w:lineRule="auto"/>
        <w:ind w:left="792"/>
        <w:rPr>
          <w:rFonts w:ascii="Verdana" w:hAnsi="Verdana"/>
          <w:sz w:val="24"/>
          <w:szCs w:val="24"/>
        </w:rPr>
      </w:pPr>
    </w:p>
    <w:p w:rsidR="00000000" w:rsidRPr="0073011F" w:rsidP="00CB6F41">
      <w:pPr>
        <w:pStyle w:val="ListParagraph"/>
        <w:numPr>
          <w:ilvl w:val="1"/>
          <w:numId w:val="7"/>
        </w:numPr>
        <w:spacing w:after="60" w:line="240" w:lineRule="auto"/>
        <w:rPr>
          <w:rFonts w:ascii="Verdana" w:hAnsi="Verdana"/>
          <w:sz w:val="24"/>
          <w:szCs w:val="24"/>
        </w:rPr>
      </w:pPr>
      <w:r w:rsidRPr="0073011F">
        <w:rPr>
          <w:rFonts w:ascii="Verdana" w:hAnsi="Verdana"/>
          <w:sz w:val="24"/>
          <w:szCs w:val="24"/>
        </w:rPr>
        <w:t>MR has replaced the Code in that it governs payments that were made after 07-Oct-2024.  The Code is still applicable to payments made before this date.</w:t>
      </w:r>
    </w:p>
    <w:p w:rsidR="00000000" w:rsidRPr="0073011F" w:rsidP="00CB6F41">
      <w:pPr>
        <w:pStyle w:val="ListParagraph"/>
        <w:spacing w:after="60" w:line="240" w:lineRule="auto"/>
        <w:ind w:left="792"/>
        <w:rPr>
          <w:rFonts w:ascii="Verdana" w:hAnsi="Verdana"/>
          <w:sz w:val="24"/>
          <w:szCs w:val="24"/>
        </w:rPr>
      </w:pPr>
    </w:p>
    <w:p w:rsidR="00000000" w:rsidRPr="0073011F" w:rsidP="00CB6F41">
      <w:pPr>
        <w:pStyle w:val="ListParagraph"/>
        <w:numPr>
          <w:ilvl w:val="1"/>
          <w:numId w:val="7"/>
        </w:numPr>
        <w:spacing w:after="60" w:line="240" w:lineRule="auto"/>
        <w:rPr>
          <w:rFonts w:ascii="Verdana" w:hAnsi="Verdana"/>
          <w:sz w:val="24"/>
          <w:szCs w:val="24"/>
        </w:rPr>
      </w:pPr>
      <w:r w:rsidRPr="0073011F">
        <w:rPr>
          <w:rFonts w:ascii="Verdana" w:hAnsi="Verdana"/>
          <w:sz w:val="24"/>
          <w:szCs w:val="24"/>
        </w:rPr>
        <w:t xml:space="preserve">The Code </w:t>
      </w:r>
      <w:r w:rsidRPr="0073011F">
        <w:rPr>
          <w:rFonts w:ascii="Verdana" w:hAnsi="Verdana"/>
          <w:sz w:val="24"/>
          <w:szCs w:val="24"/>
        </w:rPr>
        <w:t xml:space="preserve">and MR are about creating </w:t>
      </w:r>
      <w:r w:rsidRPr="0073011F">
        <w:rPr>
          <w:rFonts w:ascii="Verdana" w:hAnsi="Verdana"/>
          <w:sz w:val="24"/>
          <w:szCs w:val="24"/>
        </w:rPr>
        <w:t xml:space="preserve">a </w:t>
      </w:r>
      <w:r w:rsidRPr="0073011F">
        <w:rPr>
          <w:rFonts w:ascii="Verdana" w:hAnsi="Verdana"/>
          <w:sz w:val="24"/>
          <w:szCs w:val="24"/>
        </w:rPr>
        <w:t xml:space="preserve">commercial incentive for banks to take their regulatory responsibilities in relation to financial crime </w:t>
      </w:r>
      <w:r w:rsidRPr="0073011F">
        <w:rPr>
          <w:rFonts w:ascii="Verdana" w:hAnsi="Verdana"/>
          <w:sz w:val="24"/>
          <w:szCs w:val="24"/>
        </w:rPr>
        <w:t xml:space="preserve">seriously, and </w:t>
      </w:r>
      <w:r w:rsidRPr="0073011F">
        <w:rPr>
          <w:rFonts w:ascii="Verdana" w:hAnsi="Verdana"/>
          <w:sz w:val="24"/>
          <w:szCs w:val="24"/>
        </w:rPr>
        <w:t>to provid</w:t>
      </w:r>
      <w:r w:rsidRPr="0073011F">
        <w:rPr>
          <w:rFonts w:ascii="Verdana" w:hAnsi="Verdana"/>
          <w:sz w:val="24"/>
          <w:szCs w:val="24"/>
        </w:rPr>
        <w:t>e consumer</w:t>
      </w:r>
      <w:r w:rsidRPr="0073011F">
        <w:rPr>
          <w:rFonts w:ascii="Verdana" w:hAnsi="Verdana"/>
          <w:sz w:val="24"/>
          <w:szCs w:val="24"/>
        </w:rPr>
        <w:t xml:space="preserve">s with the protection </w:t>
      </w:r>
      <w:r w:rsidRPr="0073011F">
        <w:rPr>
          <w:rFonts w:ascii="Verdana" w:hAnsi="Verdana"/>
          <w:sz w:val="24"/>
          <w:szCs w:val="24"/>
        </w:rPr>
        <w:t>require</w:t>
      </w:r>
      <w:r w:rsidRPr="0073011F">
        <w:rPr>
          <w:rFonts w:ascii="Verdana" w:hAnsi="Verdana"/>
          <w:sz w:val="24"/>
          <w:szCs w:val="24"/>
        </w:rPr>
        <w:t xml:space="preserve"> and deserve.</w:t>
      </w:r>
    </w:p>
    <w:p w:rsidR="00000000" w:rsidRPr="0073011F" w:rsidP="00CB6F41">
      <w:pPr>
        <w:pStyle w:val="ListParagraph"/>
        <w:spacing w:after="60" w:line="240" w:lineRule="auto"/>
        <w:rPr>
          <w:rFonts w:ascii="Verdana" w:hAnsi="Verdana"/>
          <w:sz w:val="24"/>
          <w:szCs w:val="24"/>
        </w:rPr>
      </w:pPr>
    </w:p>
    <w:p w:rsidR="00000000" w:rsidRPr="0073011F" w:rsidP="00CB6F41">
      <w:pPr>
        <w:pStyle w:val="ListParagraph"/>
        <w:numPr>
          <w:ilvl w:val="0"/>
          <w:numId w:val="7"/>
        </w:numPr>
        <w:spacing w:after="60" w:line="240" w:lineRule="auto"/>
        <w:rPr>
          <w:rFonts w:ascii="Verdana" w:hAnsi="Verdana"/>
          <w:b/>
          <w:bCs/>
          <w:sz w:val="24"/>
          <w:szCs w:val="24"/>
        </w:rPr>
      </w:pPr>
      <w:r w:rsidRPr="0073011F">
        <w:rPr>
          <w:rFonts w:ascii="Verdana" w:hAnsi="Verdana"/>
          <w:b/>
          <w:bCs/>
          <w:sz w:val="24"/>
          <w:szCs w:val="24"/>
        </w:rPr>
        <w:t>C</w:t>
      </w:r>
      <w:r w:rsidRPr="0073011F">
        <w:rPr>
          <w:rFonts w:ascii="Verdana" w:hAnsi="Verdana"/>
          <w:b/>
          <w:bCs/>
          <w:sz w:val="24"/>
          <w:szCs w:val="24"/>
        </w:rPr>
        <w:t>ONFLI</w:t>
      </w:r>
      <w:r w:rsidRPr="0073011F">
        <w:rPr>
          <w:rFonts w:ascii="Verdana" w:hAnsi="Verdana"/>
          <w:b/>
          <w:bCs/>
          <w:sz w:val="24"/>
          <w:szCs w:val="24"/>
        </w:rPr>
        <w:t>C</w:t>
      </w:r>
      <w:r w:rsidRPr="0073011F">
        <w:rPr>
          <w:rFonts w:ascii="Verdana" w:hAnsi="Verdana"/>
          <w:b/>
          <w:bCs/>
          <w:sz w:val="24"/>
          <w:szCs w:val="24"/>
        </w:rPr>
        <w:t>T</w:t>
      </w:r>
      <w:r w:rsidRPr="0073011F">
        <w:rPr>
          <w:rFonts w:ascii="Verdana" w:hAnsi="Verdana"/>
          <w:b/>
          <w:bCs/>
          <w:sz w:val="24"/>
          <w:szCs w:val="24"/>
        </w:rPr>
        <w:t>-</w:t>
      </w:r>
      <w:r w:rsidRPr="0073011F">
        <w:rPr>
          <w:rFonts w:ascii="Verdana" w:hAnsi="Verdana"/>
          <w:b/>
          <w:bCs/>
          <w:sz w:val="24"/>
          <w:szCs w:val="24"/>
        </w:rPr>
        <w:t>OF</w:t>
      </w:r>
      <w:r w:rsidRPr="0073011F">
        <w:rPr>
          <w:rFonts w:ascii="Verdana" w:hAnsi="Verdana"/>
          <w:b/>
          <w:bCs/>
          <w:sz w:val="24"/>
          <w:szCs w:val="24"/>
        </w:rPr>
        <w:t>-</w:t>
      </w:r>
      <w:r w:rsidRPr="0073011F">
        <w:rPr>
          <w:rFonts w:ascii="Verdana" w:hAnsi="Verdana"/>
          <w:b/>
          <w:bCs/>
          <w:sz w:val="24"/>
          <w:szCs w:val="24"/>
        </w:rPr>
        <w:t>INTEREST</w:t>
      </w:r>
    </w:p>
    <w:p w:rsidR="00000000" w:rsidRPr="0073011F" w:rsidP="00CB6F41">
      <w:pPr>
        <w:pStyle w:val="ListParagraph"/>
        <w:spacing w:after="60" w:line="240" w:lineRule="auto"/>
        <w:ind w:left="360"/>
        <w:rPr>
          <w:rFonts w:ascii="Verdana" w:hAnsi="Verdana"/>
          <w:sz w:val="24"/>
          <w:szCs w:val="24"/>
        </w:rPr>
      </w:pPr>
    </w:p>
    <w:p w:rsidR="00000000" w:rsidRPr="0073011F" w:rsidP="00CB6F41">
      <w:pPr>
        <w:pStyle w:val="ListParagraph"/>
        <w:numPr>
          <w:ilvl w:val="1"/>
          <w:numId w:val="7"/>
        </w:numPr>
        <w:spacing w:after="60" w:line="240" w:lineRule="auto"/>
        <w:rPr>
          <w:rFonts w:ascii="Verdana" w:hAnsi="Verdana"/>
          <w:sz w:val="24"/>
          <w:szCs w:val="24"/>
        </w:rPr>
      </w:pPr>
      <w:r w:rsidRPr="0073011F">
        <w:rPr>
          <w:rFonts w:ascii="Verdana" w:hAnsi="Verdana"/>
          <w:sz w:val="24"/>
          <w:szCs w:val="24"/>
        </w:rPr>
        <w:t>Banks</w:t>
      </w:r>
      <w:r w:rsidRPr="0073011F">
        <w:rPr>
          <w:rFonts w:ascii="Verdana" w:hAnsi="Verdana"/>
          <w:sz w:val="24"/>
          <w:szCs w:val="24"/>
        </w:rPr>
        <w:t xml:space="preserve"> have a fundamental conflict</w:t>
      </w:r>
      <w:r w:rsidRPr="0073011F">
        <w:rPr>
          <w:rFonts w:ascii="Verdana" w:hAnsi="Verdana"/>
          <w:sz w:val="24"/>
          <w:szCs w:val="24"/>
        </w:rPr>
        <w:t>-</w:t>
      </w:r>
      <w:r w:rsidRPr="0073011F">
        <w:rPr>
          <w:rFonts w:ascii="Verdana" w:hAnsi="Verdana"/>
          <w:sz w:val="24"/>
          <w:szCs w:val="24"/>
        </w:rPr>
        <w:t>of</w:t>
      </w:r>
      <w:r w:rsidRPr="0073011F">
        <w:rPr>
          <w:rFonts w:ascii="Verdana" w:hAnsi="Verdana"/>
          <w:sz w:val="24"/>
          <w:szCs w:val="24"/>
        </w:rPr>
        <w:t>-</w:t>
      </w:r>
      <w:r w:rsidRPr="0073011F">
        <w:rPr>
          <w:rFonts w:ascii="Verdana" w:hAnsi="Verdana"/>
          <w:sz w:val="24"/>
          <w:szCs w:val="24"/>
        </w:rPr>
        <w:t>interest in relation to the Code</w:t>
      </w:r>
      <w:r w:rsidRPr="0073011F">
        <w:rPr>
          <w:rFonts w:ascii="Verdana" w:hAnsi="Verdana"/>
          <w:sz w:val="24"/>
          <w:szCs w:val="24"/>
        </w:rPr>
        <w:t xml:space="preserve"> and MR</w:t>
      </w:r>
      <w:r w:rsidRPr="0073011F">
        <w:rPr>
          <w:rFonts w:ascii="Verdana" w:hAnsi="Verdana"/>
          <w:sz w:val="24"/>
          <w:szCs w:val="24"/>
        </w:rPr>
        <w:t>.</w:t>
      </w:r>
    </w:p>
    <w:p w:rsidR="00000000" w:rsidRPr="0073011F" w:rsidP="00CB6F41">
      <w:pPr>
        <w:pStyle w:val="ListParagraph"/>
        <w:spacing w:after="60" w:line="240" w:lineRule="auto"/>
        <w:ind w:left="792"/>
        <w:rPr>
          <w:rFonts w:ascii="Verdana" w:hAnsi="Verdana"/>
          <w:sz w:val="24"/>
          <w:szCs w:val="24"/>
        </w:rPr>
      </w:pPr>
    </w:p>
    <w:p w:rsidR="00000000" w:rsidRPr="0073011F" w:rsidP="00CB6F41">
      <w:pPr>
        <w:pStyle w:val="ListParagraph"/>
        <w:numPr>
          <w:ilvl w:val="1"/>
          <w:numId w:val="7"/>
        </w:numPr>
        <w:spacing w:after="60" w:line="240" w:lineRule="auto"/>
        <w:rPr>
          <w:rFonts w:ascii="Verdana" w:hAnsi="Verdana"/>
          <w:sz w:val="24"/>
          <w:szCs w:val="24"/>
        </w:rPr>
      </w:pPr>
      <w:r w:rsidRPr="0073011F">
        <w:rPr>
          <w:rFonts w:ascii="Verdana" w:hAnsi="Verdana"/>
          <w:sz w:val="24"/>
          <w:szCs w:val="24"/>
        </w:rPr>
        <w:t xml:space="preserve">When a customer makes a genuine request to their bank to be reimbursed for a loss they incurred as a victim of an </w:t>
      </w:r>
      <w:r w:rsidRPr="0073011F">
        <w:rPr>
          <w:rFonts w:ascii="Verdana" w:hAnsi="Verdana"/>
          <w:sz w:val="24"/>
          <w:szCs w:val="24"/>
        </w:rPr>
        <w:t xml:space="preserve">investment </w:t>
      </w:r>
      <w:r w:rsidRPr="0073011F">
        <w:rPr>
          <w:rFonts w:ascii="Verdana" w:hAnsi="Verdana"/>
          <w:sz w:val="24"/>
          <w:szCs w:val="24"/>
        </w:rPr>
        <w:t>fraud, the bank has two options:</w:t>
      </w:r>
    </w:p>
    <w:p w:rsidR="00000000" w:rsidRPr="0073011F" w:rsidP="00CB6F41">
      <w:pPr>
        <w:pStyle w:val="ListParagraph"/>
        <w:spacing w:after="60" w:line="240" w:lineRule="auto"/>
        <w:rPr>
          <w:rFonts w:ascii="Verdana" w:hAnsi="Verdana"/>
          <w:sz w:val="24"/>
          <w:szCs w:val="24"/>
        </w:rPr>
      </w:pPr>
    </w:p>
    <w:p w:rsidR="00000000" w:rsidRPr="0073011F" w:rsidP="00CB6F41">
      <w:pPr>
        <w:pStyle w:val="ListParagraph"/>
        <w:numPr>
          <w:ilvl w:val="2"/>
          <w:numId w:val="7"/>
        </w:numPr>
        <w:spacing w:after="60" w:line="240" w:lineRule="auto"/>
        <w:rPr>
          <w:rFonts w:ascii="Verdana" w:hAnsi="Verdana"/>
          <w:sz w:val="24"/>
          <w:szCs w:val="24"/>
        </w:rPr>
      </w:pPr>
      <w:r w:rsidRPr="0073011F">
        <w:rPr>
          <w:rFonts w:ascii="Verdana" w:hAnsi="Verdana"/>
          <w:b/>
          <w:bCs/>
          <w:sz w:val="24"/>
          <w:szCs w:val="24"/>
        </w:rPr>
        <w:t>Option One</w:t>
      </w:r>
      <w:r w:rsidRPr="0073011F">
        <w:rPr>
          <w:rFonts w:ascii="Verdana" w:hAnsi="Verdana"/>
          <w:sz w:val="24"/>
          <w:szCs w:val="24"/>
        </w:rPr>
        <w:t>: Bank confirms that customer is a victim of fraud = Bank reimburses customer and bank incurs loss.</w:t>
      </w:r>
    </w:p>
    <w:p w:rsidR="00000000" w:rsidRPr="0073011F" w:rsidP="00CB6F41">
      <w:pPr>
        <w:pStyle w:val="ListParagraph"/>
        <w:spacing w:after="60" w:line="240" w:lineRule="auto"/>
        <w:ind w:left="1077"/>
        <w:rPr>
          <w:rFonts w:ascii="Verdana" w:hAnsi="Verdana"/>
          <w:sz w:val="24"/>
          <w:szCs w:val="24"/>
        </w:rPr>
      </w:pPr>
    </w:p>
    <w:p w:rsidR="00000000" w:rsidRPr="0073011F" w:rsidP="00CB6F41">
      <w:pPr>
        <w:pStyle w:val="ListParagraph"/>
        <w:numPr>
          <w:ilvl w:val="2"/>
          <w:numId w:val="7"/>
        </w:numPr>
        <w:spacing w:after="60" w:line="240" w:lineRule="auto"/>
        <w:rPr>
          <w:rFonts w:ascii="Verdana" w:hAnsi="Verdana"/>
          <w:sz w:val="24"/>
          <w:szCs w:val="24"/>
        </w:rPr>
      </w:pPr>
      <w:r w:rsidRPr="0073011F">
        <w:rPr>
          <w:rFonts w:ascii="Verdana" w:hAnsi="Verdana"/>
          <w:b/>
          <w:bCs/>
          <w:sz w:val="24"/>
          <w:szCs w:val="24"/>
        </w:rPr>
        <w:t>Option Two</w:t>
      </w:r>
      <w:r w:rsidRPr="0073011F">
        <w:rPr>
          <w:rFonts w:ascii="Verdana" w:hAnsi="Verdana"/>
          <w:sz w:val="24"/>
          <w:szCs w:val="24"/>
        </w:rPr>
        <w:t>: Bank denies fraud and labels it as a 'civil dispute' = Bank does not reimburse customer and customer incurs loss.</w:t>
      </w:r>
    </w:p>
    <w:p w:rsidR="00000000" w:rsidRPr="0073011F" w:rsidP="00CB6F41">
      <w:pPr>
        <w:pStyle w:val="ListParagraph"/>
        <w:spacing w:after="60" w:line="240" w:lineRule="auto"/>
        <w:rPr>
          <w:rFonts w:ascii="Verdana" w:hAnsi="Verdana"/>
          <w:sz w:val="24"/>
          <w:szCs w:val="24"/>
        </w:rPr>
      </w:pPr>
    </w:p>
    <w:p w:rsidR="00000000" w:rsidRPr="0073011F" w:rsidP="00CB6F41">
      <w:pPr>
        <w:pStyle w:val="ListParagraph"/>
        <w:numPr>
          <w:ilvl w:val="1"/>
          <w:numId w:val="7"/>
        </w:numPr>
        <w:spacing w:after="60" w:line="240" w:lineRule="auto"/>
        <w:rPr>
          <w:rFonts w:ascii="Verdana" w:hAnsi="Verdana"/>
          <w:sz w:val="24"/>
          <w:szCs w:val="24"/>
        </w:rPr>
      </w:pPr>
      <w:r w:rsidRPr="0073011F">
        <w:rPr>
          <w:rFonts w:ascii="Verdana" w:hAnsi="Verdana"/>
          <w:sz w:val="24"/>
          <w:szCs w:val="24"/>
        </w:rPr>
        <w:t xml:space="preserve">Categorising </w:t>
      </w:r>
      <w:r w:rsidRPr="0073011F">
        <w:rPr>
          <w:rFonts w:ascii="Verdana" w:hAnsi="Verdana"/>
          <w:sz w:val="24"/>
          <w:szCs w:val="24"/>
        </w:rPr>
        <w:t xml:space="preserve">investment </w:t>
      </w:r>
      <w:r w:rsidRPr="0073011F">
        <w:rPr>
          <w:rFonts w:ascii="Verdana" w:hAnsi="Verdana"/>
          <w:sz w:val="24"/>
          <w:szCs w:val="24"/>
        </w:rPr>
        <w:t xml:space="preserve">fraud as a ‘civil dispute’ </w:t>
      </w:r>
      <w:r w:rsidRPr="0073011F">
        <w:rPr>
          <w:rFonts w:ascii="Verdana" w:hAnsi="Verdana"/>
          <w:sz w:val="24"/>
          <w:szCs w:val="24"/>
        </w:rPr>
        <w:t>is</w:t>
      </w:r>
      <w:r w:rsidRPr="0073011F">
        <w:rPr>
          <w:rFonts w:ascii="Verdana" w:hAnsi="Verdana"/>
          <w:sz w:val="24"/>
          <w:szCs w:val="24"/>
        </w:rPr>
        <w:t xml:space="preserve"> the </w:t>
      </w:r>
      <w:r w:rsidRPr="0073011F">
        <w:rPr>
          <w:rFonts w:ascii="Verdana" w:hAnsi="Verdana"/>
          <w:sz w:val="24"/>
          <w:szCs w:val="24"/>
        </w:rPr>
        <w:t>now default position of banks</w:t>
      </w:r>
      <w:r w:rsidRPr="0073011F">
        <w:rPr>
          <w:rFonts w:ascii="Verdana" w:hAnsi="Verdana"/>
          <w:sz w:val="24"/>
          <w:szCs w:val="24"/>
        </w:rPr>
        <w:t xml:space="preserve"> under the Code and is expected to become the default position of all firms under MR.</w:t>
      </w:r>
      <w:r w:rsidRPr="0073011F">
        <w:rPr>
          <w:rFonts w:ascii="Verdana" w:hAnsi="Verdana"/>
          <w:sz w:val="24"/>
          <w:szCs w:val="24"/>
        </w:rPr>
        <w:t xml:space="preserve">  I </w:t>
      </w:r>
      <w:r w:rsidRPr="0073011F">
        <w:rPr>
          <w:rFonts w:ascii="Verdana" w:hAnsi="Verdana"/>
          <w:sz w:val="24"/>
          <w:szCs w:val="24"/>
        </w:rPr>
        <w:t xml:space="preserve">refer to this strategy of </w:t>
      </w:r>
      <w:r w:rsidRPr="0073011F">
        <w:rPr>
          <w:rFonts w:ascii="Verdana" w:hAnsi="Verdana"/>
          <w:sz w:val="24"/>
          <w:szCs w:val="24"/>
        </w:rPr>
        <w:t xml:space="preserve">the banks </w:t>
      </w:r>
      <w:r w:rsidRPr="0073011F">
        <w:rPr>
          <w:rFonts w:ascii="Verdana" w:hAnsi="Verdana"/>
          <w:sz w:val="24"/>
          <w:szCs w:val="24"/>
        </w:rPr>
        <w:t>as</w:t>
      </w:r>
      <w:r w:rsidRPr="0073011F">
        <w:rPr>
          <w:rFonts w:ascii="Verdana" w:hAnsi="Verdana"/>
          <w:sz w:val="24"/>
          <w:szCs w:val="24"/>
        </w:rPr>
        <w:t xml:space="preserve"> ‘plausible deniability’.</w:t>
      </w:r>
    </w:p>
    <w:p w:rsidR="00000000" w:rsidRPr="0073011F" w:rsidP="00CB6F41">
      <w:pPr>
        <w:pStyle w:val="ListParagraph"/>
        <w:spacing w:after="60" w:line="240" w:lineRule="auto"/>
        <w:ind w:left="792"/>
        <w:rPr>
          <w:rFonts w:ascii="Verdana" w:hAnsi="Verdana"/>
          <w:sz w:val="24"/>
          <w:szCs w:val="24"/>
        </w:rPr>
      </w:pPr>
    </w:p>
    <w:p w:rsidR="00000000" w:rsidRPr="0073011F" w:rsidP="00CB6F41">
      <w:pPr>
        <w:pStyle w:val="ListParagraph"/>
        <w:numPr>
          <w:ilvl w:val="1"/>
          <w:numId w:val="7"/>
        </w:numPr>
        <w:spacing w:after="60" w:line="240" w:lineRule="auto"/>
        <w:rPr>
          <w:rFonts w:ascii="Verdana" w:hAnsi="Verdana"/>
          <w:sz w:val="24"/>
          <w:szCs w:val="24"/>
        </w:rPr>
      </w:pPr>
      <w:r w:rsidRPr="0073011F">
        <w:rPr>
          <w:rFonts w:ascii="Verdana" w:hAnsi="Verdana"/>
          <w:sz w:val="24"/>
          <w:szCs w:val="24"/>
        </w:rPr>
        <w:t xml:space="preserve">The issue </w:t>
      </w:r>
      <w:r w:rsidRPr="0073011F">
        <w:rPr>
          <w:rFonts w:ascii="Verdana" w:hAnsi="Verdana"/>
          <w:sz w:val="24"/>
          <w:szCs w:val="24"/>
        </w:rPr>
        <w:t xml:space="preserve">of plausible deniability is so prevalent that the </w:t>
      </w:r>
      <w:r w:rsidRPr="0073011F">
        <w:rPr>
          <w:rFonts w:ascii="Verdana" w:hAnsi="Verdana"/>
          <w:sz w:val="24"/>
          <w:szCs w:val="24"/>
        </w:rPr>
        <w:t xml:space="preserve">PSR have consulted on, and then published about, </w:t>
      </w:r>
      <w:r w:rsidRPr="0073011F">
        <w:rPr>
          <w:rFonts w:ascii="Verdana" w:hAnsi="Verdana"/>
          <w:sz w:val="24"/>
          <w:szCs w:val="24"/>
        </w:rPr>
        <w:t>the identification of APP scams and civil disputes</w:t>
      </w:r>
      <w:r w:rsidRPr="0073011F">
        <w:rPr>
          <w:rFonts w:ascii="Verdana" w:hAnsi="Verdana"/>
          <w:sz w:val="24"/>
          <w:szCs w:val="24"/>
        </w:rPr>
        <w:t>.</w:t>
      </w:r>
      <w:r>
        <w:rPr>
          <w:rStyle w:val="FootnoteReference"/>
          <w:rFonts w:ascii="Verdana" w:hAnsi="Verdana"/>
          <w:sz w:val="24"/>
          <w:szCs w:val="24"/>
        </w:rPr>
        <w:footnoteReference w:id="13"/>
      </w:r>
    </w:p>
    <w:p w:rsidR="00000000" w:rsidRPr="0073011F" w:rsidP="00CB6F41">
      <w:pPr>
        <w:pStyle w:val="ListParagraph"/>
        <w:spacing w:after="60" w:line="240" w:lineRule="auto"/>
        <w:rPr>
          <w:rFonts w:ascii="Verdana" w:hAnsi="Verdana"/>
          <w:sz w:val="24"/>
          <w:szCs w:val="24"/>
        </w:rPr>
      </w:pPr>
    </w:p>
    <w:p w:rsidR="00000000" w:rsidRPr="0073011F" w:rsidP="00CB6F41">
      <w:pPr>
        <w:pStyle w:val="ListParagraph"/>
        <w:numPr>
          <w:ilvl w:val="0"/>
          <w:numId w:val="7"/>
        </w:numPr>
        <w:spacing w:after="60" w:line="240" w:lineRule="auto"/>
        <w:rPr>
          <w:rFonts w:ascii="Verdana" w:hAnsi="Verdana"/>
          <w:b/>
          <w:bCs/>
          <w:sz w:val="24"/>
          <w:szCs w:val="24"/>
        </w:rPr>
      </w:pPr>
      <w:r w:rsidRPr="0073011F">
        <w:rPr>
          <w:rFonts w:ascii="Verdana" w:hAnsi="Verdana"/>
          <w:b/>
          <w:bCs/>
          <w:sz w:val="24"/>
          <w:szCs w:val="24"/>
        </w:rPr>
        <w:t>DISPUTE RESOLUTION – VICTIM REPRESENTATION – ROLE OF THE F</w:t>
      </w:r>
      <w:r w:rsidRPr="0073011F">
        <w:rPr>
          <w:rFonts w:ascii="Verdana" w:hAnsi="Verdana"/>
          <w:b/>
          <w:bCs/>
          <w:sz w:val="24"/>
          <w:szCs w:val="24"/>
        </w:rPr>
        <w:t>INANCIAL OMBUDSMAN SERVICE</w:t>
      </w:r>
      <w:r w:rsidRPr="0073011F">
        <w:rPr>
          <w:rFonts w:ascii="Verdana" w:hAnsi="Verdana"/>
          <w:b/>
          <w:bCs/>
          <w:sz w:val="24"/>
          <w:szCs w:val="24"/>
        </w:rPr>
        <w:t xml:space="preserve"> (FOS</w:t>
      </w:r>
      <w:r w:rsidRPr="0073011F">
        <w:rPr>
          <w:rFonts w:ascii="Verdana" w:hAnsi="Verdana"/>
          <w:b/>
          <w:bCs/>
          <w:sz w:val="24"/>
          <w:szCs w:val="24"/>
        </w:rPr>
        <w:t>)</w:t>
      </w:r>
    </w:p>
    <w:p w:rsidR="00000000" w:rsidRPr="0073011F" w:rsidP="00CB6F41">
      <w:pPr>
        <w:pStyle w:val="ListParagraph"/>
        <w:spacing w:after="60" w:line="240" w:lineRule="auto"/>
        <w:ind w:left="360"/>
        <w:rPr>
          <w:rFonts w:ascii="Verdana" w:hAnsi="Verdana"/>
          <w:sz w:val="24"/>
          <w:szCs w:val="24"/>
        </w:rPr>
      </w:pPr>
    </w:p>
    <w:p w:rsidR="00000000" w:rsidRPr="0073011F" w:rsidP="00CB6F41">
      <w:pPr>
        <w:pStyle w:val="ListParagraph"/>
        <w:numPr>
          <w:ilvl w:val="1"/>
          <w:numId w:val="7"/>
        </w:numPr>
        <w:spacing w:after="60" w:line="240" w:lineRule="auto"/>
        <w:rPr>
          <w:rFonts w:ascii="Verdana" w:hAnsi="Verdana"/>
          <w:sz w:val="24"/>
          <w:szCs w:val="24"/>
        </w:rPr>
      </w:pPr>
      <w:r w:rsidRPr="0073011F">
        <w:rPr>
          <w:rFonts w:ascii="Verdana" w:hAnsi="Verdana"/>
          <w:sz w:val="24"/>
          <w:szCs w:val="24"/>
        </w:rPr>
        <w:t>‘</w:t>
      </w:r>
      <w:r w:rsidRPr="0073011F">
        <w:rPr>
          <w:rFonts w:ascii="Verdana" w:hAnsi="Verdana"/>
          <w:i/>
          <w:iCs/>
          <w:sz w:val="24"/>
          <w:szCs w:val="24"/>
        </w:rPr>
        <w:t>FOS was set up by Parliament under the Financial Services and Markets Act 2000 to resolve individual complaints between financial businesses and their customers – fairly and reasonably, quickly, and with minimal formality</w:t>
      </w:r>
      <w:r w:rsidRPr="0073011F">
        <w:rPr>
          <w:rFonts w:ascii="Verdana" w:hAnsi="Verdana"/>
          <w:sz w:val="24"/>
          <w:szCs w:val="24"/>
        </w:rPr>
        <w:t>’</w:t>
      </w:r>
      <w:r>
        <w:rPr>
          <w:rStyle w:val="FootnoteReference"/>
          <w:rFonts w:ascii="Verdana" w:hAnsi="Verdana"/>
          <w:sz w:val="24"/>
          <w:szCs w:val="24"/>
        </w:rPr>
        <w:footnoteReference w:id="14"/>
      </w:r>
      <w:r w:rsidRPr="0073011F">
        <w:rPr>
          <w:rFonts w:ascii="Verdana" w:hAnsi="Verdana"/>
          <w:sz w:val="24"/>
          <w:szCs w:val="24"/>
        </w:rPr>
        <w:t>.</w:t>
      </w:r>
    </w:p>
    <w:p w:rsidR="00000000" w:rsidRPr="0073011F" w:rsidP="00CB6F41">
      <w:pPr>
        <w:pStyle w:val="ListParagraph"/>
        <w:spacing w:after="60" w:line="240" w:lineRule="auto"/>
        <w:ind w:left="792"/>
        <w:rPr>
          <w:rFonts w:ascii="Verdana" w:hAnsi="Verdana"/>
          <w:sz w:val="24"/>
          <w:szCs w:val="24"/>
        </w:rPr>
      </w:pPr>
    </w:p>
    <w:p w:rsidR="00000000" w:rsidRPr="0073011F" w:rsidP="00CB6F41">
      <w:pPr>
        <w:pStyle w:val="ListParagraph"/>
        <w:numPr>
          <w:ilvl w:val="1"/>
          <w:numId w:val="7"/>
        </w:numPr>
        <w:spacing w:after="60" w:line="240" w:lineRule="auto"/>
        <w:rPr>
          <w:rFonts w:ascii="Verdana" w:hAnsi="Verdana"/>
          <w:sz w:val="24"/>
          <w:szCs w:val="24"/>
        </w:rPr>
      </w:pPr>
      <w:r w:rsidRPr="0073011F">
        <w:rPr>
          <w:rFonts w:ascii="Verdana" w:hAnsi="Verdana"/>
          <w:sz w:val="24"/>
          <w:szCs w:val="24"/>
        </w:rPr>
        <w:t>P</w:t>
      </w:r>
      <w:r w:rsidRPr="0073011F">
        <w:rPr>
          <w:rFonts w:ascii="Verdana" w:hAnsi="Verdana"/>
          <w:sz w:val="24"/>
          <w:szCs w:val="24"/>
        </w:rPr>
        <w:t>rior to the launch of the Code, the PSR stated that ‘</w:t>
      </w:r>
      <w:r w:rsidRPr="0073011F">
        <w:rPr>
          <w:rFonts w:ascii="Verdana" w:hAnsi="Verdana"/>
          <w:i/>
          <w:iCs/>
          <w:sz w:val="24"/>
          <w:szCs w:val="24"/>
        </w:rPr>
        <w:t xml:space="preserve">there is the potential for </w:t>
      </w:r>
      <w:r w:rsidRPr="0073011F">
        <w:rPr>
          <w:rFonts w:ascii="Verdana" w:hAnsi="Verdana"/>
          <w:i/>
          <w:iCs/>
          <w:sz w:val="24"/>
          <w:szCs w:val="24"/>
        </w:rPr>
        <w:t>parties to disagree about the outcome of a case. The model will need a dispute resolution mechanism to address these disagreements.</w:t>
      </w:r>
      <w:r w:rsidRPr="0073011F">
        <w:rPr>
          <w:rFonts w:ascii="Verdana" w:hAnsi="Verdana"/>
          <w:sz w:val="24"/>
          <w:szCs w:val="24"/>
        </w:rPr>
        <w:t>’</w:t>
      </w:r>
      <w:r>
        <w:rPr>
          <w:rStyle w:val="FootnoteReference"/>
          <w:rFonts w:ascii="Verdana" w:hAnsi="Verdana"/>
          <w:sz w:val="24"/>
          <w:szCs w:val="24"/>
        </w:rPr>
        <w:footnoteReference w:id="15"/>
      </w:r>
      <w:r w:rsidRPr="0073011F">
        <w:rPr>
          <w:rFonts w:ascii="Verdana" w:hAnsi="Verdana"/>
          <w:sz w:val="24"/>
          <w:szCs w:val="24"/>
        </w:rPr>
        <w:t xml:space="preserve">  </w:t>
      </w:r>
      <w:r w:rsidRPr="0073011F">
        <w:rPr>
          <w:rFonts w:ascii="Verdana" w:hAnsi="Verdana"/>
          <w:sz w:val="24"/>
          <w:szCs w:val="24"/>
        </w:rPr>
        <w:t>To the best of my knowledge, no s</w:t>
      </w:r>
      <w:r w:rsidRPr="0073011F">
        <w:rPr>
          <w:rFonts w:ascii="Verdana" w:hAnsi="Verdana"/>
          <w:sz w:val="24"/>
          <w:szCs w:val="24"/>
        </w:rPr>
        <w:t xml:space="preserve">uch dispute resolution process was </w:t>
      </w:r>
      <w:r w:rsidRPr="0073011F">
        <w:rPr>
          <w:rFonts w:ascii="Verdana" w:hAnsi="Verdana"/>
          <w:sz w:val="24"/>
          <w:szCs w:val="24"/>
        </w:rPr>
        <w:t xml:space="preserve">ever </w:t>
      </w:r>
      <w:r w:rsidRPr="0073011F">
        <w:rPr>
          <w:rFonts w:ascii="Verdana" w:hAnsi="Verdana"/>
          <w:sz w:val="24"/>
          <w:szCs w:val="24"/>
        </w:rPr>
        <w:t>implemented.</w:t>
      </w:r>
    </w:p>
    <w:p w:rsidR="00000000" w:rsidRPr="0073011F" w:rsidP="00E862D3">
      <w:pPr>
        <w:pStyle w:val="ListParagraph"/>
        <w:tabs>
          <w:tab w:val="left" w:pos="2790"/>
        </w:tabs>
        <w:spacing w:after="60" w:line="240" w:lineRule="auto"/>
        <w:ind w:left="792"/>
        <w:rPr>
          <w:rFonts w:ascii="Verdana" w:hAnsi="Verdana"/>
          <w:sz w:val="24"/>
          <w:szCs w:val="24"/>
        </w:rPr>
      </w:pPr>
      <w:r w:rsidRPr="0073011F">
        <w:rPr>
          <w:rFonts w:ascii="Verdana" w:hAnsi="Verdana"/>
          <w:sz w:val="24"/>
          <w:szCs w:val="24"/>
        </w:rPr>
        <w:tab/>
      </w:r>
    </w:p>
    <w:p w:rsidR="00000000" w:rsidRPr="0073011F" w:rsidP="00CB6F41">
      <w:pPr>
        <w:pStyle w:val="ListParagraph"/>
        <w:numPr>
          <w:ilvl w:val="1"/>
          <w:numId w:val="7"/>
        </w:numPr>
        <w:spacing w:after="60" w:line="240" w:lineRule="auto"/>
        <w:rPr>
          <w:rFonts w:ascii="Verdana" w:hAnsi="Verdana"/>
          <w:sz w:val="24"/>
          <w:szCs w:val="24"/>
        </w:rPr>
      </w:pPr>
      <w:r w:rsidRPr="0073011F">
        <w:rPr>
          <w:rFonts w:ascii="Verdana" w:hAnsi="Verdana"/>
          <w:sz w:val="24"/>
          <w:szCs w:val="24"/>
        </w:rPr>
        <w:t xml:space="preserve">This means that, when a bank employs the strategy </w:t>
      </w:r>
      <w:r w:rsidRPr="0073011F">
        <w:rPr>
          <w:rFonts w:ascii="Verdana" w:hAnsi="Verdana"/>
          <w:sz w:val="24"/>
          <w:szCs w:val="24"/>
        </w:rPr>
        <w:t xml:space="preserve">of plausible deniability in response to </w:t>
      </w:r>
      <w:r w:rsidRPr="0073011F">
        <w:rPr>
          <w:rFonts w:ascii="Verdana" w:hAnsi="Verdana"/>
          <w:sz w:val="24"/>
          <w:szCs w:val="24"/>
        </w:rPr>
        <w:t>a request for reimbursement under the Code</w:t>
      </w:r>
      <w:r w:rsidRPr="0073011F">
        <w:rPr>
          <w:rFonts w:ascii="Verdana" w:hAnsi="Verdana"/>
          <w:sz w:val="24"/>
          <w:szCs w:val="24"/>
        </w:rPr>
        <w:t xml:space="preserve"> (</w:t>
      </w:r>
      <w:r w:rsidRPr="0073011F">
        <w:rPr>
          <w:rFonts w:ascii="Verdana" w:hAnsi="Verdana"/>
          <w:sz w:val="24"/>
          <w:szCs w:val="24"/>
        </w:rPr>
        <w:t>or MR</w:t>
      </w:r>
      <w:r w:rsidRPr="0073011F">
        <w:rPr>
          <w:rFonts w:ascii="Verdana" w:hAnsi="Verdana"/>
          <w:sz w:val="24"/>
          <w:szCs w:val="24"/>
        </w:rPr>
        <w:t>)</w:t>
      </w:r>
      <w:r w:rsidRPr="0073011F">
        <w:rPr>
          <w:rFonts w:ascii="Verdana" w:hAnsi="Verdana"/>
          <w:sz w:val="24"/>
          <w:szCs w:val="24"/>
        </w:rPr>
        <w:t>, the consumers only realistic route to accessing rights is to complain to FOS.</w:t>
      </w:r>
    </w:p>
    <w:p w:rsidR="00000000" w:rsidRPr="0073011F" w:rsidP="00CB6F41">
      <w:pPr>
        <w:pStyle w:val="ListParagraph"/>
        <w:spacing w:after="60" w:line="240" w:lineRule="auto"/>
        <w:rPr>
          <w:rFonts w:ascii="Verdana" w:hAnsi="Verdana"/>
          <w:sz w:val="24"/>
          <w:szCs w:val="24"/>
        </w:rPr>
      </w:pPr>
    </w:p>
    <w:p w:rsidR="00000000" w:rsidRPr="0073011F" w:rsidP="00CB6F41">
      <w:pPr>
        <w:pStyle w:val="ListParagraph"/>
        <w:numPr>
          <w:ilvl w:val="1"/>
          <w:numId w:val="7"/>
        </w:numPr>
        <w:spacing w:after="60" w:line="240" w:lineRule="auto"/>
        <w:rPr>
          <w:rFonts w:ascii="Verdana" w:hAnsi="Verdana"/>
          <w:sz w:val="24"/>
          <w:szCs w:val="24"/>
        </w:rPr>
      </w:pPr>
      <w:r w:rsidRPr="0073011F">
        <w:rPr>
          <w:rFonts w:ascii="Verdana" w:hAnsi="Verdana"/>
          <w:sz w:val="24"/>
          <w:szCs w:val="24"/>
        </w:rPr>
        <w:t xml:space="preserve">However, </w:t>
      </w:r>
      <w:r w:rsidRPr="0073011F">
        <w:rPr>
          <w:rFonts w:ascii="Verdana" w:hAnsi="Verdana"/>
          <w:sz w:val="24"/>
          <w:szCs w:val="24"/>
        </w:rPr>
        <w:t xml:space="preserve">from my </w:t>
      </w:r>
      <w:r w:rsidRPr="0073011F">
        <w:rPr>
          <w:rFonts w:ascii="Verdana" w:hAnsi="Verdana"/>
          <w:sz w:val="24"/>
          <w:szCs w:val="24"/>
        </w:rPr>
        <w:t>personal experience</w:t>
      </w:r>
      <w:r w:rsidRPr="0073011F">
        <w:rPr>
          <w:rFonts w:ascii="Verdana" w:hAnsi="Verdana"/>
          <w:sz w:val="24"/>
          <w:szCs w:val="24"/>
        </w:rPr>
        <w:t>, and from what I have h</w:t>
      </w:r>
      <w:r w:rsidRPr="0073011F">
        <w:rPr>
          <w:rFonts w:ascii="Verdana" w:hAnsi="Verdana"/>
          <w:sz w:val="24"/>
          <w:szCs w:val="24"/>
        </w:rPr>
        <w:t>e</w:t>
      </w:r>
      <w:r w:rsidRPr="0073011F">
        <w:rPr>
          <w:rFonts w:ascii="Verdana" w:hAnsi="Verdana"/>
          <w:sz w:val="24"/>
          <w:szCs w:val="24"/>
        </w:rPr>
        <w:t xml:space="preserve">ard and seen from other victims’ groups, </w:t>
      </w:r>
      <w:r w:rsidRPr="0073011F">
        <w:rPr>
          <w:rFonts w:ascii="Verdana" w:hAnsi="Verdana"/>
          <w:sz w:val="24"/>
          <w:szCs w:val="24"/>
        </w:rPr>
        <w:t xml:space="preserve">I </w:t>
      </w:r>
      <w:r w:rsidRPr="0073011F">
        <w:rPr>
          <w:rFonts w:ascii="Verdana" w:hAnsi="Verdana"/>
          <w:sz w:val="24"/>
          <w:szCs w:val="24"/>
        </w:rPr>
        <w:t xml:space="preserve">believe that FOS is either unwilling, or unable, to resolve the complaints </w:t>
      </w:r>
      <w:r w:rsidRPr="0073011F">
        <w:rPr>
          <w:rFonts w:ascii="Verdana" w:hAnsi="Verdana"/>
          <w:sz w:val="24"/>
          <w:szCs w:val="24"/>
        </w:rPr>
        <w:t xml:space="preserve">about investment fraud in </w:t>
      </w:r>
      <w:r w:rsidRPr="0073011F">
        <w:rPr>
          <w:rFonts w:ascii="Verdana" w:hAnsi="Verdana"/>
          <w:sz w:val="24"/>
          <w:szCs w:val="24"/>
        </w:rPr>
        <w:t xml:space="preserve">the way </w:t>
      </w:r>
      <w:r w:rsidRPr="0073011F">
        <w:rPr>
          <w:rFonts w:ascii="Verdana" w:hAnsi="Verdana"/>
          <w:sz w:val="24"/>
          <w:szCs w:val="24"/>
        </w:rPr>
        <w:t xml:space="preserve">they </w:t>
      </w:r>
      <w:r w:rsidRPr="0073011F">
        <w:rPr>
          <w:rFonts w:ascii="Verdana" w:hAnsi="Verdana"/>
          <w:sz w:val="24"/>
          <w:szCs w:val="24"/>
        </w:rPr>
        <w:t>oblige</w:t>
      </w:r>
      <w:r w:rsidRPr="0073011F">
        <w:rPr>
          <w:rFonts w:ascii="Verdana" w:hAnsi="Verdana"/>
          <w:sz w:val="24"/>
          <w:szCs w:val="24"/>
        </w:rPr>
        <w:t>d</w:t>
      </w:r>
      <w:r w:rsidRPr="0073011F">
        <w:rPr>
          <w:rFonts w:ascii="Verdana" w:hAnsi="Verdana"/>
          <w:sz w:val="24"/>
          <w:szCs w:val="24"/>
        </w:rPr>
        <w:t xml:space="preserve"> to.</w:t>
      </w:r>
    </w:p>
    <w:p w:rsidR="00000000" w:rsidRPr="0073011F" w:rsidP="00C56D09">
      <w:pPr>
        <w:pStyle w:val="ListParagraph"/>
        <w:rPr>
          <w:rFonts w:ascii="Verdana" w:hAnsi="Verdana"/>
          <w:sz w:val="24"/>
          <w:szCs w:val="24"/>
        </w:rPr>
      </w:pPr>
    </w:p>
    <w:p w:rsidR="00000000" w:rsidRPr="0073011F" w:rsidP="00CB6F41">
      <w:pPr>
        <w:pStyle w:val="ListParagraph"/>
        <w:numPr>
          <w:ilvl w:val="1"/>
          <w:numId w:val="7"/>
        </w:numPr>
        <w:spacing w:after="60" w:line="240" w:lineRule="auto"/>
        <w:rPr>
          <w:rFonts w:ascii="Verdana" w:hAnsi="Verdana"/>
          <w:sz w:val="24"/>
          <w:szCs w:val="24"/>
        </w:rPr>
      </w:pPr>
      <w:r w:rsidRPr="0073011F">
        <w:rPr>
          <w:rFonts w:ascii="Verdana" w:hAnsi="Verdana"/>
          <w:sz w:val="24"/>
          <w:szCs w:val="24"/>
        </w:rPr>
        <w:t xml:space="preserve">Initially it appeared that </w:t>
      </w:r>
      <w:r w:rsidRPr="0073011F">
        <w:rPr>
          <w:rFonts w:ascii="Verdana" w:hAnsi="Verdana"/>
          <w:sz w:val="24"/>
          <w:szCs w:val="24"/>
        </w:rPr>
        <w:t xml:space="preserve">FOS </w:t>
      </w:r>
      <w:r w:rsidRPr="0073011F">
        <w:rPr>
          <w:rFonts w:ascii="Verdana" w:hAnsi="Verdana"/>
          <w:sz w:val="24"/>
          <w:szCs w:val="24"/>
        </w:rPr>
        <w:t xml:space="preserve">was </w:t>
      </w:r>
      <w:r w:rsidRPr="0073011F">
        <w:rPr>
          <w:rFonts w:ascii="Verdana" w:hAnsi="Verdana"/>
          <w:sz w:val="24"/>
          <w:szCs w:val="24"/>
        </w:rPr>
        <w:t xml:space="preserve">unwilling or </w:t>
      </w:r>
      <w:r w:rsidRPr="0073011F">
        <w:rPr>
          <w:rFonts w:ascii="Verdana" w:hAnsi="Verdana"/>
          <w:sz w:val="24"/>
          <w:szCs w:val="24"/>
        </w:rPr>
        <w:t xml:space="preserve">unable to properly investigate </w:t>
      </w:r>
      <w:r w:rsidRPr="0073011F">
        <w:rPr>
          <w:rFonts w:ascii="Verdana" w:hAnsi="Verdana"/>
          <w:sz w:val="24"/>
          <w:szCs w:val="24"/>
        </w:rPr>
        <w:t xml:space="preserve">these complaints </w:t>
      </w:r>
      <w:r w:rsidRPr="0073011F">
        <w:rPr>
          <w:rFonts w:ascii="Verdana" w:hAnsi="Verdana"/>
          <w:sz w:val="24"/>
          <w:szCs w:val="24"/>
        </w:rPr>
        <w:t xml:space="preserve">and would only seriously consider them when </w:t>
      </w:r>
      <w:r w:rsidRPr="0073011F">
        <w:rPr>
          <w:rFonts w:ascii="Verdana" w:hAnsi="Verdana"/>
          <w:sz w:val="24"/>
          <w:szCs w:val="24"/>
        </w:rPr>
        <w:t>complainants provide</w:t>
      </w:r>
      <w:r w:rsidRPr="0073011F">
        <w:rPr>
          <w:rFonts w:ascii="Verdana" w:hAnsi="Verdana"/>
          <w:sz w:val="24"/>
          <w:szCs w:val="24"/>
        </w:rPr>
        <w:t xml:space="preserve">d a comprehensive </w:t>
      </w:r>
      <w:r w:rsidRPr="0073011F">
        <w:rPr>
          <w:rFonts w:ascii="Verdana" w:hAnsi="Verdana"/>
          <w:sz w:val="24"/>
          <w:szCs w:val="24"/>
        </w:rPr>
        <w:t xml:space="preserve">portfolio of evidence (an </w:t>
      </w:r>
      <w:r w:rsidRPr="0073011F">
        <w:rPr>
          <w:rFonts w:ascii="Verdana" w:hAnsi="Verdana"/>
          <w:sz w:val="24"/>
          <w:szCs w:val="24"/>
        </w:rPr>
        <w:t>almost impossible burden)</w:t>
      </w:r>
      <w:r w:rsidRPr="0073011F">
        <w:rPr>
          <w:rFonts w:ascii="Verdana" w:hAnsi="Verdana"/>
          <w:sz w:val="24"/>
          <w:szCs w:val="24"/>
        </w:rPr>
        <w:t>.</w:t>
      </w:r>
    </w:p>
    <w:p w:rsidR="00000000" w:rsidRPr="0073011F" w:rsidP="00CB6F41">
      <w:pPr>
        <w:pStyle w:val="ListParagraph"/>
        <w:spacing w:after="60" w:line="240" w:lineRule="auto"/>
        <w:rPr>
          <w:rFonts w:ascii="Verdana" w:hAnsi="Verdana"/>
          <w:sz w:val="24"/>
          <w:szCs w:val="24"/>
        </w:rPr>
      </w:pPr>
    </w:p>
    <w:p w:rsidR="00000000" w:rsidRPr="0073011F" w:rsidP="00CB6F41">
      <w:pPr>
        <w:pStyle w:val="ListParagraph"/>
        <w:numPr>
          <w:ilvl w:val="1"/>
          <w:numId w:val="7"/>
        </w:numPr>
        <w:spacing w:after="60" w:line="240" w:lineRule="auto"/>
        <w:rPr>
          <w:rFonts w:ascii="Verdana" w:hAnsi="Verdana"/>
          <w:sz w:val="24"/>
          <w:szCs w:val="24"/>
        </w:rPr>
      </w:pPr>
      <w:r w:rsidRPr="0073011F">
        <w:rPr>
          <w:rFonts w:ascii="Verdana" w:hAnsi="Verdana"/>
          <w:sz w:val="24"/>
          <w:szCs w:val="24"/>
        </w:rPr>
        <w:t>Now, i</w:t>
      </w:r>
      <w:r w:rsidRPr="0073011F">
        <w:rPr>
          <w:rFonts w:ascii="Verdana" w:hAnsi="Verdana"/>
          <w:sz w:val="24"/>
          <w:szCs w:val="24"/>
        </w:rPr>
        <w:t xml:space="preserve">n a recent </w:t>
      </w:r>
      <w:r w:rsidRPr="0073011F">
        <w:rPr>
          <w:rFonts w:ascii="Verdana" w:hAnsi="Verdana"/>
          <w:sz w:val="24"/>
          <w:szCs w:val="24"/>
        </w:rPr>
        <w:t>provisional</w:t>
      </w:r>
      <w:r w:rsidRPr="0073011F">
        <w:rPr>
          <w:rFonts w:ascii="Verdana" w:hAnsi="Verdana"/>
          <w:sz w:val="24"/>
          <w:szCs w:val="24"/>
        </w:rPr>
        <w:t xml:space="preserve"> decision by FOS</w:t>
      </w:r>
      <w:r w:rsidRPr="0073011F">
        <w:rPr>
          <w:rFonts w:ascii="Verdana" w:hAnsi="Verdana"/>
          <w:sz w:val="24"/>
          <w:szCs w:val="24"/>
        </w:rPr>
        <w:t xml:space="preserve">, the Ombudsman has </w:t>
      </w:r>
      <w:r w:rsidRPr="0073011F">
        <w:rPr>
          <w:rFonts w:ascii="Verdana" w:hAnsi="Verdana"/>
          <w:sz w:val="24"/>
          <w:szCs w:val="24"/>
        </w:rPr>
        <w:t>relied on DISP 3.3.4(A)(5)</w:t>
      </w:r>
      <w:r w:rsidRPr="0073011F">
        <w:rPr>
          <w:rFonts w:ascii="Verdana" w:hAnsi="Verdana"/>
          <w:sz w:val="24"/>
          <w:szCs w:val="24"/>
        </w:rPr>
        <w:t xml:space="preserve"> </w:t>
      </w:r>
      <w:r w:rsidRPr="0073011F">
        <w:rPr>
          <w:rFonts w:ascii="Verdana" w:hAnsi="Verdana"/>
          <w:sz w:val="24"/>
          <w:szCs w:val="24"/>
        </w:rPr>
        <w:t xml:space="preserve">not to reach a decision either way in </w:t>
      </w:r>
      <w:r w:rsidRPr="0073011F">
        <w:rPr>
          <w:rFonts w:ascii="Verdana" w:hAnsi="Verdana"/>
          <w:sz w:val="24"/>
          <w:szCs w:val="24"/>
        </w:rPr>
        <w:t xml:space="preserve">relation </w:t>
      </w:r>
      <w:r w:rsidRPr="0073011F">
        <w:rPr>
          <w:rFonts w:ascii="Verdana" w:hAnsi="Verdana"/>
          <w:sz w:val="24"/>
          <w:szCs w:val="24"/>
        </w:rPr>
        <w:t xml:space="preserve">to a complaint </w:t>
      </w:r>
      <w:r w:rsidRPr="0073011F">
        <w:rPr>
          <w:rFonts w:ascii="Verdana" w:hAnsi="Verdana"/>
          <w:sz w:val="24"/>
          <w:szCs w:val="24"/>
        </w:rPr>
        <w:t xml:space="preserve">about </w:t>
      </w:r>
      <w:r w:rsidRPr="0073011F">
        <w:rPr>
          <w:rFonts w:ascii="Verdana" w:hAnsi="Verdana"/>
          <w:sz w:val="24"/>
          <w:szCs w:val="24"/>
        </w:rPr>
        <w:t xml:space="preserve">an </w:t>
      </w:r>
      <w:r w:rsidRPr="0073011F">
        <w:rPr>
          <w:rFonts w:ascii="Verdana" w:hAnsi="Verdana"/>
          <w:sz w:val="24"/>
          <w:szCs w:val="24"/>
        </w:rPr>
        <w:t>investment fraud.</w:t>
      </w:r>
      <w:r>
        <w:rPr>
          <w:rStyle w:val="FootnoteReference"/>
          <w:rFonts w:ascii="Verdana" w:hAnsi="Verdana"/>
          <w:sz w:val="24"/>
          <w:szCs w:val="24"/>
        </w:rPr>
        <w:footnoteReference w:id="16"/>
      </w:r>
      <w:r w:rsidRPr="0073011F">
        <w:rPr>
          <w:rFonts w:ascii="Verdana" w:hAnsi="Verdana"/>
          <w:sz w:val="24"/>
          <w:szCs w:val="24"/>
        </w:rPr>
        <w:t xml:space="preserve">  The rule days that ‘</w:t>
      </w:r>
      <w:r w:rsidRPr="0073011F">
        <w:rPr>
          <w:rFonts w:ascii="Verdana" w:hAnsi="Verdana"/>
          <w:i/>
          <w:iCs/>
          <w:sz w:val="24"/>
          <w:szCs w:val="24"/>
        </w:rPr>
        <w:t>The</w:t>
      </w:r>
      <w:r w:rsidRPr="0073011F">
        <w:rPr>
          <w:rFonts w:ascii="Verdana" w:hAnsi="Verdana"/>
          <w:i/>
          <w:iCs/>
          <w:sz w:val="24"/>
          <w:szCs w:val="24"/>
        </w:rPr>
        <w:t xml:space="preserve"> </w:t>
      </w:r>
      <w:r w:rsidRPr="0073011F">
        <w:rPr>
          <w:rFonts w:ascii="Verdana" w:hAnsi="Verdana"/>
          <w:i/>
          <w:iCs/>
          <w:sz w:val="24"/>
          <w:szCs w:val="24"/>
        </w:rPr>
        <w:t>Ombudsman may dismiss a complaint referred to the FOS</w:t>
      </w:r>
      <w:r w:rsidRPr="0073011F">
        <w:rPr>
          <w:rFonts w:ascii="Verdana" w:hAnsi="Verdana"/>
          <w:i/>
          <w:iCs/>
          <w:sz w:val="24"/>
          <w:szCs w:val="24"/>
        </w:rPr>
        <w:t xml:space="preserve">… </w:t>
      </w:r>
      <w:r w:rsidRPr="0073011F">
        <w:rPr>
          <w:rFonts w:ascii="Verdana" w:hAnsi="Verdana"/>
          <w:i/>
          <w:iCs/>
          <w:sz w:val="24"/>
          <w:szCs w:val="24"/>
        </w:rPr>
        <w:t>without considering its merits if the Ombudsman considers that: (5) dealing with such a type of complaint would otherwise seriously impair the</w:t>
      </w:r>
      <w:r w:rsidRPr="0073011F">
        <w:rPr>
          <w:rFonts w:ascii="Verdana" w:hAnsi="Verdana"/>
          <w:i/>
          <w:iCs/>
          <w:sz w:val="24"/>
          <w:szCs w:val="24"/>
        </w:rPr>
        <w:t xml:space="preserve"> </w:t>
      </w:r>
      <w:r w:rsidRPr="0073011F">
        <w:rPr>
          <w:rFonts w:ascii="Verdana" w:hAnsi="Verdana"/>
          <w:i/>
          <w:iCs/>
          <w:sz w:val="24"/>
          <w:szCs w:val="24"/>
        </w:rPr>
        <w:t>effective operation of the FOS</w:t>
      </w:r>
      <w:r w:rsidRPr="0073011F">
        <w:rPr>
          <w:rFonts w:ascii="Verdana" w:hAnsi="Verdana"/>
          <w:sz w:val="24"/>
          <w:szCs w:val="24"/>
        </w:rPr>
        <w:t>’</w:t>
      </w:r>
      <w:r w:rsidRPr="0073011F">
        <w:rPr>
          <w:rFonts w:ascii="Verdana" w:hAnsi="Verdana"/>
          <w:sz w:val="24"/>
          <w:szCs w:val="24"/>
        </w:rPr>
        <w:t>.</w:t>
      </w:r>
      <w:r>
        <w:rPr>
          <w:rStyle w:val="FootnoteReference"/>
          <w:rFonts w:ascii="Verdana" w:hAnsi="Verdana"/>
          <w:sz w:val="24"/>
          <w:szCs w:val="24"/>
        </w:rPr>
        <w:footnoteReference w:id="17"/>
      </w:r>
    </w:p>
    <w:p w:rsidR="00000000" w:rsidRPr="0073011F" w:rsidP="00CB6F41">
      <w:pPr>
        <w:pStyle w:val="ListParagraph"/>
        <w:spacing w:after="60" w:line="240" w:lineRule="auto"/>
        <w:rPr>
          <w:rFonts w:ascii="Verdana" w:hAnsi="Verdana"/>
          <w:sz w:val="24"/>
          <w:szCs w:val="24"/>
        </w:rPr>
      </w:pPr>
    </w:p>
    <w:p w:rsidR="00000000" w:rsidRPr="0073011F" w:rsidP="00CB6F41">
      <w:pPr>
        <w:pStyle w:val="ListParagraph"/>
        <w:numPr>
          <w:ilvl w:val="1"/>
          <w:numId w:val="7"/>
        </w:numPr>
        <w:spacing w:after="60" w:line="240" w:lineRule="auto"/>
        <w:rPr>
          <w:rFonts w:ascii="Verdana" w:hAnsi="Verdana"/>
          <w:sz w:val="24"/>
          <w:szCs w:val="24"/>
        </w:rPr>
      </w:pPr>
      <w:r w:rsidRPr="0073011F">
        <w:rPr>
          <w:rFonts w:ascii="Verdana" w:hAnsi="Verdana"/>
          <w:sz w:val="24"/>
          <w:szCs w:val="24"/>
        </w:rPr>
        <w:t xml:space="preserve">This </w:t>
      </w:r>
      <w:r w:rsidRPr="0073011F">
        <w:rPr>
          <w:rFonts w:ascii="Verdana" w:hAnsi="Verdana"/>
          <w:sz w:val="24"/>
          <w:szCs w:val="24"/>
        </w:rPr>
        <w:t xml:space="preserve">provisional decision appears to link to paragraph 3.26 of the </w:t>
      </w:r>
      <w:r w:rsidRPr="0073011F">
        <w:rPr>
          <w:rFonts w:ascii="Verdana" w:hAnsi="Verdana"/>
          <w:sz w:val="24"/>
          <w:szCs w:val="24"/>
        </w:rPr>
        <w:t>Call for Input</w:t>
      </w:r>
      <w:r w:rsidRPr="0073011F">
        <w:rPr>
          <w:rFonts w:ascii="Verdana" w:hAnsi="Verdana"/>
          <w:sz w:val="24"/>
          <w:szCs w:val="24"/>
        </w:rPr>
        <w:t>,</w:t>
      </w:r>
      <w:r w:rsidRPr="0073011F">
        <w:rPr>
          <w:rFonts w:ascii="Verdana" w:hAnsi="Verdana"/>
          <w:sz w:val="24"/>
          <w:szCs w:val="24"/>
        </w:rPr>
        <w:t xml:space="preserve"> </w:t>
      </w:r>
      <w:r w:rsidRPr="0073011F">
        <w:rPr>
          <w:rFonts w:ascii="Verdana" w:hAnsi="Verdana"/>
          <w:sz w:val="24"/>
          <w:szCs w:val="24"/>
        </w:rPr>
        <w:t>Modernising the Redress System</w:t>
      </w:r>
      <w:r w:rsidRPr="0073011F">
        <w:rPr>
          <w:rFonts w:ascii="Verdana" w:hAnsi="Verdana"/>
          <w:sz w:val="24"/>
          <w:szCs w:val="24"/>
        </w:rPr>
        <w:t xml:space="preserve"> </w:t>
      </w:r>
      <w:r w:rsidRPr="0073011F">
        <w:rPr>
          <w:rFonts w:ascii="Verdana" w:hAnsi="Verdana"/>
          <w:sz w:val="24"/>
          <w:szCs w:val="24"/>
        </w:rPr>
        <w:t xml:space="preserve">recently </w:t>
      </w:r>
      <w:r w:rsidRPr="0073011F">
        <w:rPr>
          <w:rFonts w:ascii="Verdana" w:hAnsi="Verdana"/>
          <w:sz w:val="24"/>
          <w:szCs w:val="24"/>
        </w:rPr>
        <w:t>published by the FCA and FOS.</w:t>
      </w:r>
      <w:r>
        <w:rPr>
          <w:rStyle w:val="FootnoteReference"/>
          <w:rFonts w:ascii="Verdana" w:hAnsi="Verdana"/>
          <w:sz w:val="24"/>
          <w:szCs w:val="24"/>
        </w:rPr>
        <w:footnoteReference w:id="18"/>
      </w:r>
    </w:p>
    <w:p w:rsidR="00000000" w:rsidRPr="0073011F" w:rsidP="00CB6F41">
      <w:pPr>
        <w:spacing w:after="60" w:line="240" w:lineRule="auto"/>
        <w:rPr>
          <w:rFonts w:ascii="Verdana" w:hAnsi="Verdana"/>
          <w:sz w:val="24"/>
          <w:szCs w:val="24"/>
        </w:rPr>
      </w:pPr>
    </w:p>
    <w:p w:rsidR="00000000" w:rsidRPr="0073011F" w:rsidP="00CB6F41">
      <w:pPr>
        <w:pStyle w:val="ListParagraph"/>
        <w:numPr>
          <w:ilvl w:val="0"/>
          <w:numId w:val="7"/>
        </w:numPr>
        <w:spacing w:after="60" w:line="240" w:lineRule="auto"/>
        <w:rPr>
          <w:rFonts w:ascii="Verdana" w:hAnsi="Verdana"/>
          <w:b/>
          <w:bCs/>
          <w:sz w:val="24"/>
          <w:szCs w:val="24"/>
        </w:rPr>
      </w:pPr>
      <w:r w:rsidRPr="0073011F">
        <w:rPr>
          <w:rFonts w:ascii="Verdana" w:hAnsi="Verdana"/>
          <w:b/>
          <w:bCs/>
          <w:sz w:val="24"/>
          <w:szCs w:val="24"/>
        </w:rPr>
        <w:t xml:space="preserve">LETTER FROM THE CHANCELLOR OF THE EXCHEQUER TO THE </w:t>
      </w:r>
      <w:r w:rsidRPr="0073011F">
        <w:rPr>
          <w:rFonts w:ascii="Verdana" w:hAnsi="Verdana"/>
          <w:b/>
          <w:bCs/>
          <w:sz w:val="24"/>
          <w:szCs w:val="24"/>
        </w:rPr>
        <w:t>CEO OF THE FCA AND MD OF THE PSR</w:t>
      </w:r>
    </w:p>
    <w:p w:rsidR="00000000" w:rsidRPr="0073011F" w:rsidP="00CB6F41">
      <w:pPr>
        <w:pStyle w:val="ListParagraph"/>
        <w:spacing w:after="60" w:line="240" w:lineRule="auto"/>
        <w:ind w:left="360"/>
        <w:rPr>
          <w:rFonts w:ascii="Verdana" w:hAnsi="Verdana"/>
          <w:sz w:val="24"/>
          <w:szCs w:val="24"/>
        </w:rPr>
      </w:pPr>
    </w:p>
    <w:p w:rsidR="00000000" w:rsidRPr="0073011F" w:rsidP="00CB6F41">
      <w:pPr>
        <w:pStyle w:val="ListParagraph"/>
        <w:numPr>
          <w:ilvl w:val="1"/>
          <w:numId w:val="7"/>
        </w:numPr>
        <w:spacing w:after="60" w:line="240" w:lineRule="auto"/>
        <w:rPr>
          <w:rFonts w:ascii="Verdana" w:hAnsi="Verdana"/>
          <w:sz w:val="24"/>
          <w:szCs w:val="24"/>
        </w:rPr>
      </w:pPr>
      <w:r w:rsidRPr="0073011F">
        <w:rPr>
          <w:rFonts w:ascii="Verdana" w:hAnsi="Verdana"/>
          <w:sz w:val="24"/>
          <w:szCs w:val="24"/>
        </w:rPr>
        <w:t xml:space="preserve">On 14-Nov-2024, </w:t>
      </w:r>
      <w:r w:rsidRPr="0073011F">
        <w:rPr>
          <w:rFonts w:ascii="Verdana" w:hAnsi="Verdana"/>
          <w:sz w:val="24"/>
          <w:szCs w:val="24"/>
        </w:rPr>
        <w:t xml:space="preserve">the Chancellor </w:t>
      </w:r>
      <w:r w:rsidRPr="0073011F">
        <w:rPr>
          <w:rFonts w:ascii="Verdana" w:hAnsi="Verdana"/>
          <w:sz w:val="24"/>
          <w:szCs w:val="24"/>
        </w:rPr>
        <w:t>o</w:t>
      </w:r>
      <w:r w:rsidRPr="0073011F">
        <w:rPr>
          <w:rFonts w:ascii="Verdana" w:hAnsi="Verdana"/>
          <w:sz w:val="24"/>
          <w:szCs w:val="24"/>
        </w:rPr>
        <w:t xml:space="preserve">f the Exchequer wrote to the </w:t>
      </w:r>
      <w:r w:rsidRPr="0073011F">
        <w:rPr>
          <w:rFonts w:ascii="Verdana" w:hAnsi="Verdana"/>
          <w:sz w:val="24"/>
          <w:szCs w:val="24"/>
        </w:rPr>
        <w:t>c</w:t>
      </w:r>
      <w:r w:rsidRPr="0073011F">
        <w:rPr>
          <w:rFonts w:ascii="Verdana" w:hAnsi="Verdana"/>
          <w:sz w:val="24"/>
          <w:szCs w:val="24"/>
        </w:rPr>
        <w:t xml:space="preserve">hief </w:t>
      </w:r>
      <w:r w:rsidRPr="0073011F">
        <w:rPr>
          <w:rFonts w:ascii="Verdana" w:hAnsi="Verdana"/>
          <w:sz w:val="24"/>
          <w:szCs w:val="24"/>
        </w:rPr>
        <w:t>e</w:t>
      </w:r>
      <w:r w:rsidRPr="0073011F">
        <w:rPr>
          <w:rFonts w:ascii="Verdana" w:hAnsi="Verdana"/>
          <w:sz w:val="24"/>
          <w:szCs w:val="24"/>
        </w:rPr>
        <w:t xml:space="preserve">xecutive of the </w:t>
      </w:r>
      <w:r w:rsidRPr="0073011F">
        <w:rPr>
          <w:rFonts w:ascii="Verdana" w:hAnsi="Verdana"/>
          <w:sz w:val="24"/>
          <w:szCs w:val="24"/>
        </w:rPr>
        <w:t>FCA and the managing director of the PSR</w:t>
      </w:r>
      <w:r w:rsidRPr="0073011F">
        <w:rPr>
          <w:rFonts w:ascii="Verdana" w:hAnsi="Verdana"/>
          <w:sz w:val="24"/>
          <w:szCs w:val="24"/>
        </w:rPr>
        <w:t>.</w:t>
      </w:r>
      <w:r>
        <w:rPr>
          <w:rStyle w:val="FootnoteReference"/>
          <w:rFonts w:ascii="Verdana" w:hAnsi="Verdana"/>
          <w:sz w:val="24"/>
          <w:szCs w:val="24"/>
        </w:rPr>
        <w:footnoteReference w:id="19"/>
      </w:r>
      <w:r w:rsidRPr="0073011F">
        <w:rPr>
          <w:rFonts w:ascii="Verdana" w:hAnsi="Verdana"/>
          <w:sz w:val="24"/>
          <w:szCs w:val="24"/>
        </w:rPr>
        <w:t xml:space="preserve">  </w:t>
      </w:r>
      <w:r w:rsidRPr="0073011F">
        <w:rPr>
          <w:rFonts w:ascii="Verdana" w:hAnsi="Verdana"/>
          <w:sz w:val="24"/>
          <w:szCs w:val="24"/>
        </w:rPr>
        <w:t>In her letter t</w:t>
      </w:r>
      <w:r w:rsidRPr="0073011F">
        <w:rPr>
          <w:rFonts w:ascii="Verdana" w:hAnsi="Verdana"/>
          <w:sz w:val="24"/>
          <w:szCs w:val="24"/>
        </w:rPr>
        <w:t>he Chancellor set out how ‘</w:t>
      </w:r>
      <w:r w:rsidRPr="0073011F">
        <w:rPr>
          <w:rFonts w:ascii="Verdana" w:hAnsi="Verdana"/>
          <w:i/>
          <w:iCs/>
          <w:sz w:val="24"/>
          <w:szCs w:val="24"/>
        </w:rPr>
        <w:t xml:space="preserve">growth is the defining mission of this </w:t>
      </w:r>
      <w:r w:rsidRPr="0073011F">
        <w:rPr>
          <w:rFonts w:ascii="Verdana" w:hAnsi="Verdana"/>
          <w:i/>
          <w:iCs/>
          <w:sz w:val="24"/>
          <w:szCs w:val="24"/>
        </w:rPr>
        <w:t>g</w:t>
      </w:r>
      <w:r w:rsidRPr="0073011F">
        <w:rPr>
          <w:rFonts w:ascii="Verdana" w:hAnsi="Verdana"/>
          <w:i/>
          <w:iCs/>
          <w:sz w:val="24"/>
          <w:szCs w:val="24"/>
        </w:rPr>
        <w:t>overnment</w:t>
      </w:r>
      <w:r w:rsidRPr="0073011F">
        <w:rPr>
          <w:rFonts w:ascii="Verdana" w:hAnsi="Verdana"/>
          <w:sz w:val="24"/>
          <w:szCs w:val="24"/>
        </w:rPr>
        <w:t>’.</w:t>
      </w:r>
    </w:p>
    <w:p w:rsidR="00000000" w:rsidRPr="0073011F" w:rsidP="00CB6F41">
      <w:pPr>
        <w:pStyle w:val="ListParagraph"/>
        <w:spacing w:after="60" w:line="240" w:lineRule="auto"/>
        <w:ind w:left="792"/>
        <w:rPr>
          <w:rFonts w:ascii="Verdana" w:hAnsi="Verdana"/>
          <w:sz w:val="24"/>
          <w:szCs w:val="24"/>
        </w:rPr>
      </w:pPr>
    </w:p>
    <w:p w:rsidR="00000000" w:rsidRPr="0073011F" w:rsidP="00CB6F41">
      <w:pPr>
        <w:pStyle w:val="ListParagraph"/>
        <w:numPr>
          <w:ilvl w:val="1"/>
          <w:numId w:val="7"/>
        </w:numPr>
        <w:spacing w:after="60" w:line="240" w:lineRule="auto"/>
        <w:rPr>
          <w:rFonts w:ascii="Verdana" w:hAnsi="Verdana"/>
          <w:sz w:val="24"/>
          <w:szCs w:val="24"/>
        </w:rPr>
      </w:pPr>
      <w:r w:rsidRPr="0073011F">
        <w:rPr>
          <w:rFonts w:ascii="Verdana" w:hAnsi="Verdana"/>
          <w:sz w:val="24"/>
          <w:szCs w:val="24"/>
        </w:rPr>
        <w:t xml:space="preserve">The letter also makes it clear </w:t>
      </w:r>
      <w:r w:rsidRPr="0073011F">
        <w:rPr>
          <w:rFonts w:ascii="Verdana" w:hAnsi="Verdana"/>
          <w:sz w:val="24"/>
          <w:szCs w:val="24"/>
        </w:rPr>
        <w:t xml:space="preserve">that </w:t>
      </w:r>
      <w:r w:rsidRPr="0073011F">
        <w:rPr>
          <w:rFonts w:ascii="Verdana" w:hAnsi="Verdana"/>
          <w:sz w:val="24"/>
          <w:szCs w:val="24"/>
        </w:rPr>
        <w:t xml:space="preserve">the </w:t>
      </w:r>
      <w:r w:rsidRPr="0073011F">
        <w:rPr>
          <w:rFonts w:ascii="Verdana" w:hAnsi="Verdana"/>
          <w:sz w:val="24"/>
          <w:szCs w:val="24"/>
        </w:rPr>
        <w:t xml:space="preserve">protection of the consumer in their payment journeys </w:t>
      </w:r>
      <w:r w:rsidRPr="0073011F">
        <w:rPr>
          <w:rFonts w:ascii="Verdana" w:hAnsi="Verdana"/>
          <w:sz w:val="24"/>
          <w:szCs w:val="24"/>
        </w:rPr>
        <w:t>is central to the governments vision of growth</w:t>
      </w:r>
      <w:r w:rsidRPr="0073011F">
        <w:rPr>
          <w:rFonts w:ascii="Verdana" w:hAnsi="Verdana"/>
          <w:sz w:val="24"/>
          <w:szCs w:val="24"/>
        </w:rPr>
        <w:t>.</w:t>
      </w:r>
    </w:p>
    <w:p w:rsidR="00000000" w:rsidRPr="0073011F" w:rsidP="00CB6F41">
      <w:pPr>
        <w:pStyle w:val="ListParagraph"/>
        <w:spacing w:after="60" w:line="240" w:lineRule="auto"/>
        <w:rPr>
          <w:rFonts w:ascii="Verdana" w:hAnsi="Verdana"/>
          <w:sz w:val="24"/>
          <w:szCs w:val="24"/>
        </w:rPr>
      </w:pPr>
    </w:p>
    <w:p w:rsidR="00000000" w:rsidRPr="0073011F" w:rsidP="00B612D0">
      <w:pPr>
        <w:pStyle w:val="ListParagraph"/>
        <w:numPr>
          <w:ilvl w:val="1"/>
          <w:numId w:val="7"/>
        </w:numPr>
        <w:spacing w:after="60" w:line="240" w:lineRule="auto"/>
        <w:rPr>
          <w:rFonts w:ascii="Verdana" w:hAnsi="Verdana"/>
          <w:sz w:val="24"/>
          <w:szCs w:val="24"/>
        </w:rPr>
      </w:pPr>
      <w:r w:rsidRPr="0073011F">
        <w:rPr>
          <w:rFonts w:ascii="Verdana" w:hAnsi="Verdana"/>
          <w:sz w:val="24"/>
          <w:szCs w:val="24"/>
        </w:rPr>
        <w:t>But t</w:t>
      </w:r>
      <w:r w:rsidRPr="0073011F">
        <w:rPr>
          <w:rFonts w:ascii="Verdana" w:hAnsi="Verdana"/>
          <w:sz w:val="24"/>
          <w:szCs w:val="24"/>
        </w:rPr>
        <w:t xml:space="preserve">he Chancellor’s message seems entirely at odds with the current behaviour of </w:t>
      </w:r>
      <w:r w:rsidRPr="0073011F">
        <w:rPr>
          <w:rFonts w:ascii="Verdana" w:hAnsi="Verdana"/>
          <w:sz w:val="24"/>
          <w:szCs w:val="24"/>
        </w:rPr>
        <w:t xml:space="preserve">both </w:t>
      </w:r>
      <w:r w:rsidRPr="0073011F">
        <w:rPr>
          <w:rFonts w:ascii="Verdana" w:hAnsi="Verdana"/>
          <w:sz w:val="24"/>
          <w:szCs w:val="24"/>
        </w:rPr>
        <w:t xml:space="preserve">the </w:t>
      </w:r>
      <w:r w:rsidRPr="0073011F">
        <w:rPr>
          <w:rFonts w:ascii="Verdana" w:hAnsi="Verdana"/>
          <w:sz w:val="24"/>
          <w:szCs w:val="24"/>
        </w:rPr>
        <w:t>payment services industry and FOS towards consumers.</w:t>
      </w:r>
      <w:r w:rsidRPr="0073011F">
        <w:rPr>
          <w:rFonts w:ascii="Verdana" w:hAnsi="Verdana"/>
          <w:sz w:val="24"/>
          <w:szCs w:val="24"/>
        </w:rPr>
        <w:t xml:space="preserve">  Behaviour </w:t>
      </w:r>
      <w:r w:rsidRPr="0073011F">
        <w:rPr>
          <w:rFonts w:ascii="Verdana" w:hAnsi="Verdana"/>
          <w:sz w:val="24"/>
          <w:szCs w:val="24"/>
        </w:rPr>
        <w:t xml:space="preserve">that will, </w:t>
      </w:r>
      <w:r w:rsidRPr="0073011F">
        <w:rPr>
          <w:rFonts w:ascii="Verdana" w:hAnsi="Verdana"/>
          <w:sz w:val="24"/>
          <w:szCs w:val="24"/>
        </w:rPr>
        <w:t xml:space="preserve">in all probability, </w:t>
      </w:r>
      <w:r w:rsidRPr="0073011F">
        <w:rPr>
          <w:rFonts w:ascii="Verdana" w:hAnsi="Verdana"/>
          <w:sz w:val="24"/>
          <w:szCs w:val="24"/>
        </w:rPr>
        <w:t xml:space="preserve">result in consumers </w:t>
      </w:r>
      <w:r w:rsidRPr="0073011F">
        <w:rPr>
          <w:rFonts w:ascii="Verdana" w:hAnsi="Verdana"/>
          <w:sz w:val="24"/>
          <w:szCs w:val="24"/>
        </w:rPr>
        <w:t>los</w:t>
      </w:r>
      <w:r w:rsidRPr="0073011F">
        <w:rPr>
          <w:rFonts w:ascii="Verdana" w:hAnsi="Verdana"/>
          <w:sz w:val="24"/>
          <w:szCs w:val="24"/>
        </w:rPr>
        <w:t>ing</w:t>
      </w:r>
      <w:r w:rsidRPr="0073011F">
        <w:rPr>
          <w:rFonts w:ascii="Verdana" w:hAnsi="Verdana"/>
          <w:sz w:val="24"/>
          <w:szCs w:val="24"/>
        </w:rPr>
        <w:t xml:space="preserve"> </w:t>
      </w:r>
      <w:r w:rsidRPr="0073011F">
        <w:rPr>
          <w:rFonts w:ascii="Verdana" w:hAnsi="Verdana"/>
          <w:sz w:val="24"/>
          <w:szCs w:val="24"/>
        </w:rPr>
        <w:t xml:space="preserve">well </w:t>
      </w:r>
      <w:r w:rsidRPr="0073011F">
        <w:rPr>
          <w:rFonts w:ascii="Verdana" w:hAnsi="Verdana"/>
          <w:sz w:val="24"/>
          <w:szCs w:val="24"/>
        </w:rPr>
        <w:t>in excess of £10bn to investment fraud during the life of this Parliament</w:t>
      </w:r>
      <w:r w:rsidRPr="0073011F">
        <w:rPr>
          <w:rFonts w:ascii="Verdana" w:hAnsi="Verdana"/>
          <w:sz w:val="24"/>
          <w:szCs w:val="24"/>
        </w:rPr>
        <w:t xml:space="preserve">, in the vast majority of cases </w:t>
      </w:r>
      <w:r w:rsidRPr="0073011F">
        <w:rPr>
          <w:rFonts w:ascii="Verdana" w:hAnsi="Verdana"/>
          <w:sz w:val="24"/>
          <w:szCs w:val="24"/>
        </w:rPr>
        <w:t>without the reimbursement that they are rightfully due.</w:t>
      </w:r>
    </w:p>
    <w:p w:rsidR="00000000" w:rsidRPr="0073011F" w:rsidP="00210DC7">
      <w:pPr>
        <w:pStyle w:val="ListParagraph"/>
        <w:rPr>
          <w:rFonts w:ascii="Verdana" w:hAnsi="Verdana"/>
          <w:sz w:val="24"/>
          <w:szCs w:val="24"/>
        </w:rPr>
      </w:pPr>
    </w:p>
    <w:p w:rsidR="00000000" w:rsidRPr="0073011F" w:rsidP="00B612D0">
      <w:pPr>
        <w:pStyle w:val="ListParagraph"/>
        <w:numPr>
          <w:ilvl w:val="1"/>
          <w:numId w:val="7"/>
        </w:numPr>
        <w:spacing w:after="60" w:line="240" w:lineRule="auto"/>
        <w:rPr>
          <w:rFonts w:ascii="Verdana" w:hAnsi="Verdana"/>
          <w:sz w:val="24"/>
          <w:szCs w:val="24"/>
        </w:rPr>
      </w:pPr>
      <w:r w:rsidRPr="0073011F">
        <w:rPr>
          <w:rFonts w:ascii="Verdana" w:hAnsi="Verdana"/>
          <w:sz w:val="24"/>
          <w:szCs w:val="24"/>
        </w:rPr>
        <w:t xml:space="preserve">For </w:t>
      </w:r>
      <w:r w:rsidRPr="0073011F">
        <w:rPr>
          <w:rFonts w:ascii="Verdana" w:hAnsi="Verdana"/>
          <w:sz w:val="24"/>
          <w:szCs w:val="24"/>
        </w:rPr>
        <w:t>over £10bn to be lost from the economy seem</w:t>
      </w:r>
      <w:r w:rsidRPr="0073011F">
        <w:rPr>
          <w:rFonts w:ascii="Verdana" w:hAnsi="Verdana"/>
          <w:sz w:val="24"/>
          <w:szCs w:val="24"/>
        </w:rPr>
        <w:t>s</w:t>
      </w:r>
      <w:r w:rsidRPr="0073011F">
        <w:rPr>
          <w:rFonts w:ascii="Verdana" w:hAnsi="Verdana"/>
          <w:sz w:val="24"/>
          <w:szCs w:val="24"/>
        </w:rPr>
        <w:t xml:space="preserve"> to </w:t>
      </w:r>
      <w:r w:rsidRPr="0073011F">
        <w:rPr>
          <w:rFonts w:ascii="Verdana" w:hAnsi="Verdana"/>
          <w:sz w:val="24"/>
          <w:szCs w:val="24"/>
        </w:rPr>
        <w:t xml:space="preserve">be </w:t>
      </w:r>
      <w:r w:rsidRPr="0073011F">
        <w:rPr>
          <w:rFonts w:ascii="Verdana" w:hAnsi="Verdana"/>
          <w:sz w:val="24"/>
          <w:szCs w:val="24"/>
        </w:rPr>
        <w:t>wholly</w:t>
      </w:r>
      <w:r w:rsidRPr="0073011F">
        <w:rPr>
          <w:rFonts w:ascii="Verdana" w:hAnsi="Verdana"/>
          <w:sz w:val="24"/>
          <w:szCs w:val="24"/>
        </w:rPr>
        <w:t xml:space="preserve"> in</w:t>
      </w:r>
      <w:r w:rsidRPr="0073011F">
        <w:rPr>
          <w:rFonts w:ascii="Verdana" w:hAnsi="Verdana"/>
          <w:sz w:val="24"/>
          <w:szCs w:val="24"/>
        </w:rPr>
        <w:t xml:space="preserve">consistent with </w:t>
      </w:r>
      <w:r w:rsidRPr="0073011F">
        <w:rPr>
          <w:rFonts w:ascii="Verdana" w:hAnsi="Verdana"/>
          <w:sz w:val="24"/>
          <w:szCs w:val="24"/>
        </w:rPr>
        <w:t>the</w:t>
      </w:r>
      <w:r w:rsidRPr="0073011F">
        <w:rPr>
          <w:rFonts w:ascii="Verdana" w:hAnsi="Verdana"/>
          <w:sz w:val="24"/>
          <w:szCs w:val="24"/>
        </w:rPr>
        <w:t xml:space="preserve"> </w:t>
      </w:r>
      <w:r w:rsidRPr="0073011F">
        <w:rPr>
          <w:rFonts w:ascii="Verdana" w:hAnsi="Verdana"/>
          <w:sz w:val="24"/>
          <w:szCs w:val="24"/>
        </w:rPr>
        <w:t xml:space="preserve">government’s </w:t>
      </w:r>
      <w:r w:rsidRPr="0073011F">
        <w:rPr>
          <w:rFonts w:ascii="Verdana" w:hAnsi="Verdana"/>
          <w:sz w:val="24"/>
          <w:szCs w:val="24"/>
        </w:rPr>
        <w:t xml:space="preserve">‘defining mission’ </w:t>
      </w:r>
      <w:r w:rsidRPr="0073011F">
        <w:rPr>
          <w:rFonts w:ascii="Verdana" w:hAnsi="Verdana"/>
          <w:sz w:val="24"/>
          <w:szCs w:val="24"/>
        </w:rPr>
        <w:t>of</w:t>
      </w:r>
      <w:r w:rsidRPr="0073011F">
        <w:rPr>
          <w:rFonts w:ascii="Verdana" w:hAnsi="Verdana"/>
          <w:sz w:val="24"/>
          <w:szCs w:val="24"/>
        </w:rPr>
        <w:t xml:space="preserve"> growth</w:t>
      </w:r>
      <w:r w:rsidRPr="0073011F">
        <w:rPr>
          <w:rFonts w:ascii="Verdana" w:hAnsi="Verdana"/>
          <w:sz w:val="24"/>
          <w:szCs w:val="24"/>
        </w:rPr>
        <w:t>.</w:t>
      </w:r>
    </w:p>
    <w:p w:rsidR="00000000" w:rsidRPr="0073011F" w:rsidP="00713A1A">
      <w:pPr>
        <w:pStyle w:val="ListParagraph"/>
        <w:rPr>
          <w:rFonts w:ascii="Verdana" w:hAnsi="Verdana"/>
          <w:b/>
          <w:bCs/>
          <w:sz w:val="24"/>
          <w:szCs w:val="24"/>
        </w:rPr>
      </w:pPr>
    </w:p>
    <w:p w:rsidR="00000000" w:rsidRPr="0073011F" w:rsidP="00277C88">
      <w:pPr>
        <w:pStyle w:val="ListParagraph"/>
        <w:numPr>
          <w:ilvl w:val="0"/>
          <w:numId w:val="7"/>
        </w:numPr>
        <w:spacing w:after="60" w:line="240" w:lineRule="auto"/>
        <w:rPr>
          <w:rFonts w:ascii="Verdana" w:hAnsi="Verdana"/>
          <w:sz w:val="24"/>
          <w:szCs w:val="24"/>
        </w:rPr>
      </w:pPr>
      <w:r w:rsidRPr="0073011F">
        <w:rPr>
          <w:rFonts w:ascii="Verdana" w:hAnsi="Verdana"/>
          <w:b/>
          <w:bCs/>
          <w:sz w:val="24"/>
          <w:szCs w:val="24"/>
        </w:rPr>
        <w:t>CONCLUSIONS</w:t>
      </w:r>
    </w:p>
    <w:p w:rsidR="00000000" w:rsidRPr="0073011F" w:rsidP="00277C88">
      <w:pPr>
        <w:pStyle w:val="ListParagraph"/>
        <w:spacing w:after="60" w:line="240" w:lineRule="auto"/>
        <w:ind w:left="360"/>
        <w:rPr>
          <w:rFonts w:ascii="Verdana" w:hAnsi="Verdana"/>
          <w:sz w:val="24"/>
          <w:szCs w:val="24"/>
        </w:rPr>
      </w:pPr>
    </w:p>
    <w:p w:rsidR="00000000" w:rsidRPr="0073011F" w:rsidP="00277C88">
      <w:pPr>
        <w:pStyle w:val="ListParagraph"/>
        <w:numPr>
          <w:ilvl w:val="1"/>
          <w:numId w:val="7"/>
        </w:numPr>
        <w:spacing w:after="60" w:line="240" w:lineRule="auto"/>
        <w:rPr>
          <w:rFonts w:ascii="Verdana" w:hAnsi="Verdana"/>
          <w:sz w:val="24"/>
          <w:szCs w:val="24"/>
        </w:rPr>
      </w:pPr>
      <w:r w:rsidRPr="0073011F">
        <w:rPr>
          <w:rFonts w:ascii="Verdana" w:hAnsi="Verdana"/>
          <w:sz w:val="24"/>
          <w:szCs w:val="24"/>
        </w:rPr>
        <w:t>B</w:t>
      </w:r>
      <w:r w:rsidRPr="0073011F">
        <w:rPr>
          <w:rFonts w:ascii="Verdana" w:hAnsi="Verdana"/>
          <w:sz w:val="24"/>
          <w:szCs w:val="24"/>
        </w:rPr>
        <w:t xml:space="preserve">anks </w:t>
      </w:r>
      <w:r w:rsidRPr="0073011F">
        <w:rPr>
          <w:rFonts w:ascii="Verdana" w:hAnsi="Verdana"/>
          <w:sz w:val="24"/>
          <w:szCs w:val="24"/>
        </w:rPr>
        <w:t xml:space="preserve">and payment services companies </w:t>
      </w:r>
      <w:r w:rsidRPr="0073011F">
        <w:rPr>
          <w:rFonts w:ascii="Verdana" w:hAnsi="Verdana"/>
          <w:sz w:val="24"/>
          <w:szCs w:val="24"/>
        </w:rPr>
        <w:t>are the part</w:t>
      </w:r>
      <w:r w:rsidRPr="0073011F">
        <w:rPr>
          <w:rFonts w:ascii="Verdana" w:hAnsi="Verdana"/>
          <w:sz w:val="24"/>
          <w:szCs w:val="24"/>
        </w:rPr>
        <w:t>ies</w:t>
      </w:r>
      <w:r w:rsidRPr="0073011F">
        <w:rPr>
          <w:rFonts w:ascii="Verdana" w:hAnsi="Verdana"/>
          <w:sz w:val="24"/>
          <w:szCs w:val="24"/>
        </w:rPr>
        <w:t xml:space="preserve"> best placed to manage the risk</w:t>
      </w:r>
      <w:r w:rsidRPr="0073011F">
        <w:rPr>
          <w:rFonts w:ascii="Verdana" w:hAnsi="Verdana"/>
          <w:sz w:val="24"/>
          <w:szCs w:val="24"/>
        </w:rPr>
        <w:t>s</w:t>
      </w:r>
      <w:r w:rsidRPr="0073011F">
        <w:rPr>
          <w:rFonts w:ascii="Verdana" w:hAnsi="Verdana"/>
          <w:sz w:val="24"/>
          <w:szCs w:val="24"/>
        </w:rPr>
        <w:t xml:space="preserve"> </w:t>
      </w:r>
      <w:r w:rsidRPr="0073011F">
        <w:rPr>
          <w:rFonts w:ascii="Verdana" w:hAnsi="Verdana"/>
          <w:sz w:val="24"/>
          <w:szCs w:val="24"/>
        </w:rPr>
        <w:t>of i</w:t>
      </w:r>
      <w:r w:rsidRPr="0073011F">
        <w:rPr>
          <w:rFonts w:ascii="Verdana" w:hAnsi="Verdana"/>
          <w:sz w:val="24"/>
          <w:szCs w:val="24"/>
        </w:rPr>
        <w:t>nvestment f</w:t>
      </w:r>
      <w:r w:rsidRPr="0073011F">
        <w:rPr>
          <w:rFonts w:ascii="Verdana" w:hAnsi="Verdana"/>
          <w:sz w:val="24"/>
          <w:szCs w:val="24"/>
        </w:rPr>
        <w:t xml:space="preserve">raud, </w:t>
      </w:r>
      <w:r w:rsidRPr="0073011F">
        <w:rPr>
          <w:rFonts w:ascii="Verdana" w:hAnsi="Verdana"/>
          <w:sz w:val="24"/>
          <w:szCs w:val="24"/>
        </w:rPr>
        <w:t xml:space="preserve">but </w:t>
      </w:r>
      <w:r w:rsidRPr="0073011F">
        <w:rPr>
          <w:rFonts w:ascii="Verdana" w:hAnsi="Verdana"/>
          <w:sz w:val="24"/>
          <w:szCs w:val="24"/>
        </w:rPr>
        <w:t>they are the least incentivised to do so.</w:t>
      </w:r>
    </w:p>
    <w:p w:rsidR="00000000" w:rsidRPr="0073011F" w:rsidP="00B24BA7">
      <w:pPr>
        <w:pStyle w:val="ListParagraph"/>
        <w:rPr>
          <w:rFonts w:ascii="Verdana" w:hAnsi="Verdana"/>
          <w:sz w:val="24"/>
          <w:szCs w:val="24"/>
        </w:rPr>
      </w:pPr>
    </w:p>
    <w:p w:rsidR="00000000" w:rsidRPr="0073011F" w:rsidP="00277C88">
      <w:pPr>
        <w:pStyle w:val="ListParagraph"/>
        <w:numPr>
          <w:ilvl w:val="1"/>
          <w:numId w:val="7"/>
        </w:numPr>
        <w:spacing w:after="60" w:line="240" w:lineRule="auto"/>
        <w:rPr>
          <w:rFonts w:ascii="Verdana" w:hAnsi="Verdana"/>
          <w:sz w:val="24"/>
          <w:szCs w:val="24"/>
        </w:rPr>
      </w:pPr>
      <w:r w:rsidRPr="0073011F">
        <w:rPr>
          <w:rFonts w:ascii="Verdana" w:hAnsi="Verdana"/>
          <w:sz w:val="24"/>
          <w:szCs w:val="24"/>
        </w:rPr>
        <w:t xml:space="preserve">Whether the loss that a customer has incurred is due to an </w:t>
      </w:r>
      <w:r w:rsidRPr="0073011F">
        <w:rPr>
          <w:rFonts w:ascii="Verdana" w:hAnsi="Verdana"/>
          <w:sz w:val="24"/>
          <w:szCs w:val="24"/>
        </w:rPr>
        <w:t xml:space="preserve">investment </w:t>
      </w:r>
      <w:r w:rsidRPr="0073011F">
        <w:rPr>
          <w:rFonts w:ascii="Verdana" w:hAnsi="Verdana"/>
          <w:sz w:val="24"/>
          <w:szCs w:val="24"/>
        </w:rPr>
        <w:t xml:space="preserve">fraud or a civil dispute requires </w:t>
      </w:r>
      <w:r w:rsidRPr="0073011F">
        <w:rPr>
          <w:rFonts w:ascii="Verdana" w:hAnsi="Verdana"/>
          <w:sz w:val="24"/>
          <w:szCs w:val="24"/>
        </w:rPr>
        <w:t xml:space="preserve">a </w:t>
      </w:r>
      <w:r w:rsidRPr="0073011F">
        <w:rPr>
          <w:rFonts w:ascii="Verdana" w:hAnsi="Verdana"/>
          <w:sz w:val="24"/>
          <w:szCs w:val="24"/>
        </w:rPr>
        <w:t>data gathering and analysis process.  However, banks are not making a genuine</w:t>
      </w:r>
      <w:r w:rsidRPr="0073011F">
        <w:rPr>
          <w:rFonts w:ascii="Verdana" w:hAnsi="Verdana"/>
          <w:sz w:val="24"/>
          <w:szCs w:val="24"/>
        </w:rPr>
        <w:t xml:space="preserve"> attempt to gather facts and understand whether, on the balance of probability, an </w:t>
      </w:r>
      <w:r w:rsidRPr="0073011F">
        <w:rPr>
          <w:rFonts w:ascii="Verdana" w:hAnsi="Verdana"/>
          <w:sz w:val="24"/>
          <w:szCs w:val="24"/>
        </w:rPr>
        <w:t xml:space="preserve">investment </w:t>
      </w:r>
      <w:r w:rsidRPr="0073011F">
        <w:rPr>
          <w:rFonts w:ascii="Verdana" w:hAnsi="Verdana"/>
          <w:sz w:val="24"/>
          <w:szCs w:val="24"/>
        </w:rPr>
        <w:t>fraud has occurred.</w:t>
      </w:r>
    </w:p>
    <w:p w:rsidR="00000000" w:rsidRPr="0073011F" w:rsidP="00C63E9E">
      <w:pPr>
        <w:pStyle w:val="ListParagraph"/>
        <w:rPr>
          <w:rFonts w:ascii="Verdana" w:hAnsi="Verdana"/>
          <w:sz w:val="24"/>
          <w:szCs w:val="24"/>
        </w:rPr>
      </w:pPr>
    </w:p>
    <w:p w:rsidR="00000000" w:rsidRPr="0073011F" w:rsidP="00277C88">
      <w:pPr>
        <w:pStyle w:val="ListParagraph"/>
        <w:numPr>
          <w:ilvl w:val="1"/>
          <w:numId w:val="7"/>
        </w:numPr>
        <w:spacing w:after="60" w:line="240" w:lineRule="auto"/>
        <w:rPr>
          <w:rFonts w:ascii="Verdana" w:hAnsi="Verdana"/>
          <w:sz w:val="24"/>
          <w:szCs w:val="24"/>
        </w:rPr>
      </w:pPr>
      <w:r w:rsidRPr="0073011F">
        <w:rPr>
          <w:rFonts w:ascii="Verdana" w:hAnsi="Verdana"/>
          <w:sz w:val="24"/>
          <w:szCs w:val="24"/>
        </w:rPr>
        <w:t xml:space="preserve">The financial incentive that the Code </w:t>
      </w:r>
      <w:r w:rsidRPr="0073011F">
        <w:rPr>
          <w:rFonts w:ascii="Verdana" w:hAnsi="Verdana"/>
          <w:sz w:val="24"/>
          <w:szCs w:val="24"/>
        </w:rPr>
        <w:t xml:space="preserve">(and MR) was designed to create is not working effectively in the context of investment fraud.  This is because: </w:t>
      </w:r>
    </w:p>
    <w:p w:rsidR="00000000" w:rsidRPr="0073011F" w:rsidP="00C63E9E">
      <w:pPr>
        <w:pStyle w:val="ListParagraph"/>
        <w:rPr>
          <w:rFonts w:ascii="Verdana" w:hAnsi="Verdana"/>
          <w:sz w:val="24"/>
          <w:szCs w:val="24"/>
        </w:rPr>
      </w:pPr>
    </w:p>
    <w:p w:rsidR="00000000" w:rsidRPr="0073011F" w:rsidP="00277C88">
      <w:pPr>
        <w:pStyle w:val="ListParagraph"/>
        <w:numPr>
          <w:ilvl w:val="2"/>
          <w:numId w:val="7"/>
        </w:numPr>
        <w:spacing w:after="60" w:line="240" w:lineRule="auto"/>
        <w:rPr>
          <w:rFonts w:ascii="Verdana" w:hAnsi="Verdana"/>
          <w:sz w:val="24"/>
          <w:szCs w:val="24"/>
        </w:rPr>
      </w:pPr>
      <w:r w:rsidRPr="0073011F">
        <w:rPr>
          <w:rFonts w:ascii="Verdana" w:hAnsi="Verdana"/>
          <w:sz w:val="24"/>
          <w:szCs w:val="24"/>
        </w:rPr>
        <w:t>The payments services industry has a clear and obvious conflict</w:t>
      </w:r>
      <w:r w:rsidRPr="0073011F">
        <w:rPr>
          <w:rFonts w:ascii="Verdana" w:hAnsi="Verdana"/>
          <w:sz w:val="24"/>
          <w:szCs w:val="24"/>
        </w:rPr>
        <w:t>-of</w:t>
      </w:r>
      <w:r w:rsidRPr="0073011F">
        <w:rPr>
          <w:rFonts w:ascii="Verdana" w:hAnsi="Verdana"/>
          <w:sz w:val="24"/>
          <w:szCs w:val="24"/>
        </w:rPr>
        <w:t>-interest.</w:t>
      </w:r>
    </w:p>
    <w:p w:rsidR="00000000" w:rsidRPr="0073011F" w:rsidP="000E6A14">
      <w:pPr>
        <w:pStyle w:val="ListParagraph"/>
        <w:spacing w:after="60" w:line="240" w:lineRule="auto"/>
        <w:ind w:left="1077"/>
        <w:rPr>
          <w:rFonts w:ascii="Verdana" w:hAnsi="Verdana"/>
          <w:sz w:val="24"/>
          <w:szCs w:val="24"/>
        </w:rPr>
      </w:pPr>
    </w:p>
    <w:p w:rsidR="00000000" w:rsidRPr="0073011F" w:rsidP="00277C88">
      <w:pPr>
        <w:pStyle w:val="ListParagraph"/>
        <w:numPr>
          <w:ilvl w:val="2"/>
          <w:numId w:val="7"/>
        </w:numPr>
        <w:spacing w:after="60" w:line="240" w:lineRule="auto"/>
        <w:rPr>
          <w:rFonts w:ascii="Verdana" w:hAnsi="Verdana"/>
          <w:sz w:val="24"/>
          <w:szCs w:val="24"/>
        </w:rPr>
      </w:pPr>
      <w:r w:rsidRPr="0073011F">
        <w:rPr>
          <w:rFonts w:ascii="Verdana" w:hAnsi="Verdana"/>
          <w:sz w:val="24"/>
          <w:szCs w:val="24"/>
        </w:rPr>
        <w:t xml:space="preserve">It is simple and effective for the banks to </w:t>
      </w:r>
      <w:r w:rsidRPr="0073011F">
        <w:rPr>
          <w:rFonts w:ascii="Verdana" w:hAnsi="Verdana"/>
          <w:sz w:val="24"/>
          <w:szCs w:val="24"/>
        </w:rPr>
        <w:t xml:space="preserve">rely on their strategy of </w:t>
      </w:r>
      <w:r w:rsidRPr="0073011F">
        <w:rPr>
          <w:rFonts w:ascii="Verdana" w:hAnsi="Verdana"/>
          <w:sz w:val="24"/>
          <w:szCs w:val="24"/>
        </w:rPr>
        <w:t>‘</w:t>
      </w:r>
      <w:r w:rsidRPr="0073011F">
        <w:rPr>
          <w:rFonts w:ascii="Verdana" w:hAnsi="Verdana"/>
          <w:sz w:val="24"/>
          <w:szCs w:val="24"/>
        </w:rPr>
        <w:t xml:space="preserve">plausible deniability’. </w:t>
      </w:r>
    </w:p>
    <w:p w:rsidR="00000000" w:rsidRPr="0073011F" w:rsidP="003C15B1">
      <w:pPr>
        <w:pStyle w:val="ListParagraph"/>
        <w:spacing w:after="60" w:line="240" w:lineRule="auto"/>
        <w:ind w:left="1077"/>
        <w:rPr>
          <w:rFonts w:ascii="Verdana" w:hAnsi="Verdana"/>
          <w:sz w:val="24"/>
          <w:szCs w:val="24"/>
        </w:rPr>
      </w:pPr>
    </w:p>
    <w:p w:rsidR="00000000" w:rsidRPr="0073011F" w:rsidP="009265E0">
      <w:pPr>
        <w:pStyle w:val="ListParagraph"/>
        <w:numPr>
          <w:ilvl w:val="2"/>
          <w:numId w:val="7"/>
        </w:numPr>
        <w:spacing w:after="60" w:line="240" w:lineRule="auto"/>
        <w:rPr>
          <w:rFonts w:ascii="Verdana" w:hAnsi="Verdana"/>
          <w:sz w:val="24"/>
          <w:szCs w:val="24"/>
        </w:rPr>
      </w:pPr>
      <w:r w:rsidRPr="0073011F">
        <w:rPr>
          <w:rFonts w:ascii="Verdana" w:hAnsi="Verdana"/>
          <w:sz w:val="24"/>
          <w:szCs w:val="24"/>
        </w:rPr>
        <w:t xml:space="preserve">There is no independent dispute resolution mechanism to both gather and assess </w:t>
      </w:r>
      <w:r w:rsidRPr="0073011F">
        <w:rPr>
          <w:rFonts w:ascii="Verdana" w:hAnsi="Verdana"/>
          <w:sz w:val="24"/>
          <w:szCs w:val="24"/>
        </w:rPr>
        <w:t>the facts when this happens.</w:t>
      </w:r>
    </w:p>
    <w:p w:rsidR="00000000" w:rsidRPr="0073011F" w:rsidP="009265E0">
      <w:pPr>
        <w:pStyle w:val="ListParagraph"/>
        <w:rPr>
          <w:rFonts w:ascii="Verdana" w:hAnsi="Verdana"/>
          <w:sz w:val="24"/>
          <w:szCs w:val="24"/>
        </w:rPr>
      </w:pPr>
    </w:p>
    <w:p w:rsidR="00000000" w:rsidRPr="0073011F" w:rsidP="009265E0">
      <w:pPr>
        <w:pStyle w:val="ListParagraph"/>
        <w:numPr>
          <w:ilvl w:val="2"/>
          <w:numId w:val="7"/>
        </w:numPr>
        <w:spacing w:after="60" w:line="240" w:lineRule="auto"/>
        <w:rPr>
          <w:rFonts w:ascii="Verdana" w:hAnsi="Verdana"/>
          <w:sz w:val="24"/>
          <w:szCs w:val="24"/>
        </w:rPr>
      </w:pPr>
      <w:r w:rsidRPr="0073011F">
        <w:rPr>
          <w:rFonts w:ascii="Verdana" w:hAnsi="Verdana"/>
          <w:sz w:val="24"/>
          <w:szCs w:val="24"/>
        </w:rPr>
        <w:t xml:space="preserve">FOS is either </w:t>
      </w:r>
      <w:r w:rsidRPr="0073011F">
        <w:rPr>
          <w:rFonts w:ascii="Verdana" w:hAnsi="Verdana"/>
          <w:sz w:val="24"/>
          <w:szCs w:val="24"/>
        </w:rPr>
        <w:t xml:space="preserve">unwilling or unable to investigate complaints in relation to reimbursement for </w:t>
      </w:r>
      <w:r w:rsidRPr="0073011F">
        <w:rPr>
          <w:rFonts w:ascii="Verdana" w:hAnsi="Verdana"/>
          <w:sz w:val="24"/>
          <w:szCs w:val="24"/>
        </w:rPr>
        <w:t xml:space="preserve">losses from </w:t>
      </w:r>
      <w:r w:rsidRPr="0073011F">
        <w:rPr>
          <w:rFonts w:ascii="Verdana" w:hAnsi="Verdana"/>
          <w:sz w:val="24"/>
          <w:szCs w:val="24"/>
        </w:rPr>
        <w:t>inves</w:t>
      </w:r>
      <w:r w:rsidRPr="0073011F">
        <w:rPr>
          <w:rFonts w:ascii="Verdana" w:hAnsi="Verdana"/>
          <w:sz w:val="24"/>
          <w:szCs w:val="24"/>
        </w:rPr>
        <w:t xml:space="preserve">tment frauds that are APP Scams and hence </w:t>
      </w:r>
      <w:r w:rsidRPr="0073011F">
        <w:rPr>
          <w:rFonts w:ascii="Verdana" w:hAnsi="Verdana"/>
          <w:sz w:val="24"/>
          <w:szCs w:val="24"/>
        </w:rPr>
        <w:t>is not resolv</w:t>
      </w:r>
      <w:r w:rsidRPr="0073011F">
        <w:rPr>
          <w:rFonts w:ascii="Verdana" w:hAnsi="Verdana"/>
          <w:sz w:val="24"/>
          <w:szCs w:val="24"/>
        </w:rPr>
        <w:t>ing complaints fairly and reasonably, quickly, and with minimal formality</w:t>
      </w:r>
      <w:r w:rsidRPr="0073011F">
        <w:rPr>
          <w:rFonts w:ascii="Verdana" w:hAnsi="Verdana"/>
          <w:sz w:val="24"/>
          <w:szCs w:val="24"/>
        </w:rPr>
        <w:t>.</w:t>
      </w:r>
    </w:p>
    <w:p w:rsidR="00000000" w:rsidP="009265E0">
      <w:pPr>
        <w:spacing w:after="60" w:line="240" w:lineRule="auto"/>
        <w:rPr>
          <w:rFonts w:ascii="Verdana" w:hAnsi="Verdana"/>
          <w:sz w:val="24"/>
          <w:szCs w:val="24"/>
        </w:rPr>
      </w:pPr>
    </w:p>
    <w:p w:rsidR="0073011F" w:rsidRPr="0073011F" w:rsidP="009265E0">
      <w:pPr>
        <w:spacing w:after="60" w:line="240" w:lineRule="auto"/>
        <w:rPr>
          <w:rFonts w:ascii="Verdana" w:hAnsi="Verdana"/>
          <w:sz w:val="24"/>
          <w:szCs w:val="24"/>
        </w:rPr>
      </w:pPr>
    </w:p>
    <w:p w:rsidR="00000000" w:rsidRPr="0073011F" w:rsidP="001B752A">
      <w:pPr>
        <w:pStyle w:val="ListParagraph"/>
        <w:numPr>
          <w:ilvl w:val="0"/>
          <w:numId w:val="7"/>
        </w:numPr>
        <w:spacing w:after="60" w:line="240" w:lineRule="auto"/>
        <w:rPr>
          <w:rFonts w:ascii="Verdana" w:hAnsi="Verdana"/>
          <w:b/>
          <w:bCs/>
          <w:sz w:val="24"/>
          <w:szCs w:val="24"/>
        </w:rPr>
      </w:pPr>
      <w:r w:rsidRPr="0073011F">
        <w:rPr>
          <w:rFonts w:ascii="Verdana" w:hAnsi="Verdana"/>
          <w:b/>
          <w:bCs/>
          <w:sz w:val="24"/>
          <w:szCs w:val="24"/>
        </w:rPr>
        <w:t>RECOMMENDATIONS</w:t>
      </w:r>
    </w:p>
    <w:p w:rsidR="00000000" w:rsidRPr="0073011F" w:rsidP="001B752A">
      <w:pPr>
        <w:pStyle w:val="ListParagraph"/>
        <w:spacing w:after="60" w:line="240" w:lineRule="auto"/>
        <w:ind w:left="360"/>
        <w:rPr>
          <w:rFonts w:ascii="Verdana" w:hAnsi="Verdana"/>
          <w:sz w:val="24"/>
          <w:szCs w:val="24"/>
        </w:rPr>
      </w:pPr>
    </w:p>
    <w:p w:rsidR="00000000" w:rsidRPr="0073011F" w:rsidP="00D90B80">
      <w:pPr>
        <w:pStyle w:val="ListParagraph"/>
        <w:numPr>
          <w:ilvl w:val="1"/>
          <w:numId w:val="7"/>
        </w:numPr>
        <w:spacing w:after="60" w:line="240" w:lineRule="auto"/>
        <w:rPr>
          <w:rFonts w:ascii="Verdana" w:hAnsi="Verdana"/>
          <w:sz w:val="24"/>
          <w:szCs w:val="24"/>
        </w:rPr>
      </w:pPr>
      <w:r w:rsidRPr="0073011F">
        <w:rPr>
          <w:rFonts w:ascii="Verdana" w:hAnsi="Verdana"/>
          <w:sz w:val="24"/>
          <w:szCs w:val="24"/>
        </w:rPr>
        <w:t>My recommendation is that an independent counter-</w:t>
      </w:r>
      <w:r w:rsidRPr="0073011F">
        <w:rPr>
          <w:rFonts w:ascii="Verdana" w:hAnsi="Verdana"/>
          <w:sz w:val="24"/>
          <w:szCs w:val="24"/>
        </w:rPr>
        <w:t xml:space="preserve">investment </w:t>
      </w:r>
      <w:r w:rsidRPr="0073011F">
        <w:rPr>
          <w:rFonts w:ascii="Verdana" w:hAnsi="Verdana"/>
          <w:sz w:val="24"/>
          <w:szCs w:val="24"/>
        </w:rPr>
        <w:t>fraud utility function (the ‘Utility’) is set up to:</w:t>
      </w:r>
    </w:p>
    <w:p w:rsidR="00000000" w:rsidRPr="0073011F" w:rsidP="00173DF6">
      <w:pPr>
        <w:pStyle w:val="ListParagraph"/>
        <w:spacing w:after="60" w:line="240" w:lineRule="auto"/>
        <w:ind w:left="792"/>
        <w:rPr>
          <w:rFonts w:ascii="Verdana" w:hAnsi="Verdana"/>
          <w:sz w:val="24"/>
          <w:szCs w:val="24"/>
        </w:rPr>
      </w:pPr>
    </w:p>
    <w:p w:rsidR="00000000" w:rsidRPr="0073011F" w:rsidP="00173DF6">
      <w:pPr>
        <w:pStyle w:val="ListParagraph"/>
        <w:numPr>
          <w:ilvl w:val="2"/>
          <w:numId w:val="7"/>
        </w:numPr>
        <w:spacing w:after="60" w:line="240" w:lineRule="auto"/>
        <w:rPr>
          <w:rFonts w:ascii="Verdana" w:hAnsi="Verdana"/>
          <w:sz w:val="24"/>
          <w:szCs w:val="24"/>
        </w:rPr>
      </w:pPr>
      <w:r w:rsidRPr="0073011F">
        <w:rPr>
          <w:rFonts w:ascii="Verdana" w:hAnsi="Verdana"/>
          <w:sz w:val="24"/>
          <w:szCs w:val="24"/>
        </w:rPr>
        <w:t>G</w:t>
      </w:r>
      <w:r w:rsidRPr="0073011F">
        <w:rPr>
          <w:rFonts w:ascii="Verdana" w:hAnsi="Verdana"/>
          <w:sz w:val="24"/>
          <w:szCs w:val="24"/>
        </w:rPr>
        <w:t xml:space="preserve">ather and analyse data relating to </w:t>
      </w:r>
      <w:r w:rsidRPr="0073011F">
        <w:rPr>
          <w:rFonts w:ascii="Verdana" w:hAnsi="Verdana"/>
          <w:sz w:val="24"/>
          <w:szCs w:val="24"/>
        </w:rPr>
        <w:t xml:space="preserve">alleged </w:t>
      </w:r>
      <w:r w:rsidRPr="0073011F">
        <w:rPr>
          <w:rFonts w:ascii="Verdana" w:hAnsi="Verdana"/>
          <w:sz w:val="24"/>
          <w:szCs w:val="24"/>
        </w:rPr>
        <w:t>i</w:t>
      </w:r>
      <w:r w:rsidRPr="0073011F">
        <w:rPr>
          <w:rFonts w:ascii="Verdana" w:hAnsi="Verdana"/>
          <w:sz w:val="24"/>
          <w:szCs w:val="24"/>
        </w:rPr>
        <w:t xml:space="preserve">nvestment </w:t>
      </w:r>
      <w:r w:rsidRPr="0073011F">
        <w:rPr>
          <w:rFonts w:ascii="Verdana" w:hAnsi="Verdana"/>
          <w:sz w:val="24"/>
          <w:szCs w:val="24"/>
        </w:rPr>
        <w:t>f</w:t>
      </w:r>
      <w:r w:rsidRPr="0073011F">
        <w:rPr>
          <w:rFonts w:ascii="Verdana" w:hAnsi="Verdana"/>
          <w:sz w:val="24"/>
          <w:szCs w:val="24"/>
        </w:rPr>
        <w:t>raud.</w:t>
      </w:r>
    </w:p>
    <w:p w:rsidR="00000000" w:rsidRPr="0073011F" w:rsidP="00CA4BE7">
      <w:pPr>
        <w:pStyle w:val="ListParagraph"/>
        <w:spacing w:after="60" w:line="240" w:lineRule="auto"/>
        <w:ind w:left="1077"/>
        <w:rPr>
          <w:rFonts w:ascii="Verdana" w:hAnsi="Verdana"/>
          <w:sz w:val="24"/>
          <w:szCs w:val="24"/>
        </w:rPr>
      </w:pPr>
    </w:p>
    <w:p w:rsidR="00000000" w:rsidRPr="0073011F" w:rsidP="00173DF6">
      <w:pPr>
        <w:pStyle w:val="ListParagraph"/>
        <w:numPr>
          <w:ilvl w:val="2"/>
          <w:numId w:val="7"/>
        </w:numPr>
        <w:spacing w:after="60" w:line="240" w:lineRule="auto"/>
        <w:rPr>
          <w:rFonts w:ascii="Verdana" w:hAnsi="Verdana"/>
          <w:sz w:val="24"/>
          <w:szCs w:val="24"/>
        </w:rPr>
      </w:pPr>
      <w:r w:rsidRPr="0073011F">
        <w:rPr>
          <w:rFonts w:ascii="Verdana" w:hAnsi="Verdana"/>
          <w:sz w:val="24"/>
          <w:szCs w:val="24"/>
        </w:rPr>
        <w:t>Assess</w:t>
      </w:r>
      <w:r w:rsidRPr="0073011F">
        <w:rPr>
          <w:rFonts w:ascii="Verdana" w:hAnsi="Verdana"/>
          <w:sz w:val="24"/>
          <w:szCs w:val="24"/>
        </w:rPr>
        <w:t xml:space="preserve">, </w:t>
      </w:r>
      <w:r w:rsidRPr="0073011F">
        <w:rPr>
          <w:rFonts w:ascii="Verdana" w:hAnsi="Verdana"/>
          <w:sz w:val="24"/>
          <w:szCs w:val="24"/>
        </w:rPr>
        <w:t xml:space="preserve">based on the criteria set out in the PSR’s policy statement and </w:t>
      </w:r>
      <w:r w:rsidRPr="0073011F">
        <w:rPr>
          <w:rFonts w:ascii="Verdana" w:hAnsi="Verdana"/>
          <w:sz w:val="24"/>
          <w:szCs w:val="24"/>
        </w:rPr>
        <w:t>on the balance of proba</w:t>
      </w:r>
      <w:r w:rsidRPr="0073011F">
        <w:rPr>
          <w:rFonts w:ascii="Verdana" w:hAnsi="Verdana"/>
          <w:sz w:val="24"/>
          <w:szCs w:val="24"/>
        </w:rPr>
        <w:t>bility, whether an investment fraud has occurred.</w:t>
      </w:r>
    </w:p>
    <w:p w:rsidR="00000000" w:rsidRPr="0073011F" w:rsidP="001362AA">
      <w:pPr>
        <w:pStyle w:val="ListParagraph"/>
        <w:spacing w:after="60" w:line="240" w:lineRule="auto"/>
        <w:ind w:left="792"/>
        <w:rPr>
          <w:rFonts w:ascii="Verdana" w:hAnsi="Verdana"/>
          <w:sz w:val="24"/>
          <w:szCs w:val="24"/>
        </w:rPr>
      </w:pPr>
    </w:p>
    <w:p w:rsidR="00000000" w:rsidRPr="0073011F" w:rsidP="006E1C0B">
      <w:pPr>
        <w:pStyle w:val="ListParagraph"/>
        <w:numPr>
          <w:ilvl w:val="2"/>
          <w:numId w:val="7"/>
        </w:numPr>
        <w:spacing w:after="60" w:line="240" w:lineRule="auto"/>
        <w:rPr>
          <w:rFonts w:ascii="Verdana" w:hAnsi="Verdana"/>
          <w:sz w:val="24"/>
          <w:szCs w:val="24"/>
        </w:rPr>
      </w:pPr>
      <w:r w:rsidRPr="0073011F">
        <w:rPr>
          <w:rFonts w:ascii="Verdana" w:hAnsi="Verdana"/>
          <w:sz w:val="24"/>
          <w:szCs w:val="24"/>
        </w:rPr>
        <w:t>Share</w:t>
      </w:r>
      <w:r w:rsidRPr="0073011F">
        <w:rPr>
          <w:rFonts w:ascii="Verdana" w:hAnsi="Verdana"/>
          <w:sz w:val="24"/>
          <w:szCs w:val="24"/>
        </w:rPr>
        <w:t xml:space="preserve"> the </w:t>
      </w:r>
      <w:r w:rsidRPr="0073011F">
        <w:rPr>
          <w:rFonts w:ascii="Verdana" w:hAnsi="Verdana"/>
          <w:sz w:val="24"/>
          <w:szCs w:val="24"/>
        </w:rPr>
        <w:t xml:space="preserve">assessments with </w:t>
      </w:r>
      <w:r w:rsidRPr="0073011F">
        <w:rPr>
          <w:rFonts w:ascii="Verdana" w:hAnsi="Verdana"/>
          <w:sz w:val="24"/>
          <w:szCs w:val="24"/>
        </w:rPr>
        <w:t>the</w:t>
      </w:r>
      <w:r w:rsidRPr="0073011F">
        <w:rPr>
          <w:rFonts w:ascii="Verdana" w:hAnsi="Verdana"/>
          <w:sz w:val="24"/>
          <w:szCs w:val="24"/>
        </w:rPr>
        <w:t xml:space="preserve"> payment services </w:t>
      </w:r>
      <w:r w:rsidRPr="0073011F">
        <w:rPr>
          <w:rFonts w:ascii="Verdana" w:hAnsi="Verdana"/>
          <w:sz w:val="24"/>
          <w:szCs w:val="24"/>
        </w:rPr>
        <w:t>industry</w:t>
      </w:r>
      <w:r w:rsidRPr="0073011F">
        <w:rPr>
          <w:rFonts w:ascii="Verdana" w:hAnsi="Verdana"/>
          <w:sz w:val="24"/>
          <w:szCs w:val="24"/>
        </w:rPr>
        <w:t xml:space="preserve"> and </w:t>
      </w:r>
      <w:r w:rsidRPr="0073011F">
        <w:rPr>
          <w:rFonts w:ascii="Verdana" w:hAnsi="Verdana"/>
          <w:sz w:val="24"/>
          <w:szCs w:val="24"/>
        </w:rPr>
        <w:t>FOS.</w:t>
      </w:r>
    </w:p>
    <w:p w:rsidR="00000000" w:rsidRPr="0073011F" w:rsidP="00AA0622">
      <w:pPr>
        <w:pStyle w:val="ListParagraph"/>
        <w:rPr>
          <w:rFonts w:ascii="Verdana" w:hAnsi="Verdana"/>
          <w:sz w:val="24"/>
          <w:szCs w:val="24"/>
        </w:rPr>
      </w:pPr>
    </w:p>
    <w:p w:rsidR="00000000" w:rsidRPr="0073011F" w:rsidP="006E1C0B">
      <w:pPr>
        <w:pStyle w:val="ListParagraph"/>
        <w:numPr>
          <w:ilvl w:val="2"/>
          <w:numId w:val="7"/>
        </w:numPr>
        <w:spacing w:after="60" w:line="240" w:lineRule="auto"/>
        <w:rPr>
          <w:rFonts w:ascii="Verdana" w:hAnsi="Verdana"/>
          <w:sz w:val="24"/>
          <w:szCs w:val="24"/>
        </w:rPr>
      </w:pPr>
      <w:r w:rsidRPr="0073011F">
        <w:rPr>
          <w:rFonts w:ascii="Verdana" w:hAnsi="Verdana"/>
          <w:sz w:val="24"/>
          <w:szCs w:val="24"/>
        </w:rPr>
        <w:t>Consider</w:t>
      </w:r>
      <w:r w:rsidRPr="0073011F">
        <w:rPr>
          <w:rFonts w:ascii="Verdana" w:hAnsi="Verdana"/>
          <w:sz w:val="24"/>
          <w:szCs w:val="24"/>
        </w:rPr>
        <w:t xml:space="preserve"> secondary obj</w:t>
      </w:r>
      <w:r w:rsidRPr="0073011F">
        <w:rPr>
          <w:rFonts w:ascii="Verdana" w:hAnsi="Verdana"/>
          <w:sz w:val="24"/>
          <w:szCs w:val="24"/>
        </w:rPr>
        <w:t>ectives</w:t>
      </w:r>
      <w:r w:rsidRPr="0073011F">
        <w:rPr>
          <w:rFonts w:ascii="Verdana" w:hAnsi="Verdana"/>
          <w:sz w:val="24"/>
          <w:szCs w:val="24"/>
        </w:rPr>
        <w:t xml:space="preserve"> such as</w:t>
      </w:r>
      <w:r w:rsidRPr="0073011F">
        <w:rPr>
          <w:rFonts w:ascii="Verdana" w:hAnsi="Verdana"/>
          <w:sz w:val="24"/>
          <w:szCs w:val="24"/>
        </w:rPr>
        <w:t xml:space="preserve"> to</w:t>
      </w:r>
      <w:r w:rsidRPr="0073011F">
        <w:rPr>
          <w:rFonts w:ascii="Verdana" w:hAnsi="Verdana"/>
          <w:sz w:val="24"/>
          <w:szCs w:val="24"/>
        </w:rPr>
        <w:t>:</w:t>
      </w:r>
    </w:p>
    <w:p w:rsidR="00000000" w:rsidRPr="0073011F" w:rsidP="00AD4A37">
      <w:pPr>
        <w:pStyle w:val="ListParagraph"/>
        <w:rPr>
          <w:rFonts w:ascii="Verdana" w:hAnsi="Verdana"/>
          <w:sz w:val="24"/>
          <w:szCs w:val="24"/>
        </w:rPr>
      </w:pPr>
    </w:p>
    <w:p w:rsidR="00000000" w:rsidRPr="0073011F" w:rsidP="006A6AFE">
      <w:pPr>
        <w:pStyle w:val="ListParagraph"/>
        <w:numPr>
          <w:ilvl w:val="3"/>
          <w:numId w:val="7"/>
        </w:numPr>
        <w:spacing w:after="60" w:line="240" w:lineRule="auto"/>
        <w:rPr>
          <w:rFonts w:ascii="Verdana" w:hAnsi="Verdana"/>
          <w:sz w:val="24"/>
          <w:szCs w:val="24"/>
        </w:rPr>
      </w:pPr>
      <w:r w:rsidRPr="0073011F">
        <w:rPr>
          <w:rFonts w:ascii="Verdana" w:hAnsi="Verdana"/>
          <w:sz w:val="24"/>
          <w:szCs w:val="24"/>
        </w:rPr>
        <w:t>Provide prepared leads to</w:t>
      </w:r>
      <w:r w:rsidRPr="0073011F">
        <w:rPr>
          <w:rFonts w:ascii="Verdana" w:hAnsi="Verdana"/>
          <w:sz w:val="24"/>
          <w:szCs w:val="24"/>
        </w:rPr>
        <w:t xml:space="preserve"> </w:t>
      </w:r>
      <w:r w:rsidRPr="0073011F">
        <w:rPr>
          <w:rFonts w:ascii="Verdana" w:hAnsi="Verdana"/>
          <w:sz w:val="24"/>
          <w:szCs w:val="24"/>
        </w:rPr>
        <w:t>b</w:t>
      </w:r>
      <w:r w:rsidRPr="0073011F">
        <w:rPr>
          <w:rFonts w:ascii="Verdana" w:hAnsi="Verdana"/>
          <w:sz w:val="24"/>
          <w:szCs w:val="24"/>
        </w:rPr>
        <w:t>anks</w:t>
      </w:r>
      <w:r w:rsidRPr="0073011F">
        <w:rPr>
          <w:rFonts w:ascii="Verdana" w:hAnsi="Verdana"/>
          <w:sz w:val="24"/>
          <w:szCs w:val="24"/>
        </w:rPr>
        <w:t xml:space="preserve"> </w:t>
      </w:r>
      <w:r w:rsidRPr="0073011F">
        <w:rPr>
          <w:rFonts w:ascii="Verdana" w:hAnsi="Verdana"/>
          <w:sz w:val="24"/>
          <w:szCs w:val="24"/>
        </w:rPr>
        <w:t>o</w:t>
      </w:r>
      <w:r w:rsidRPr="0073011F">
        <w:rPr>
          <w:rFonts w:ascii="Verdana" w:hAnsi="Verdana"/>
          <w:sz w:val="24"/>
          <w:szCs w:val="24"/>
        </w:rPr>
        <w:t xml:space="preserve">ther parties impacted by </w:t>
      </w:r>
      <w:r w:rsidRPr="0073011F">
        <w:rPr>
          <w:rFonts w:ascii="Verdana" w:hAnsi="Verdana"/>
          <w:sz w:val="24"/>
          <w:szCs w:val="24"/>
        </w:rPr>
        <w:t>the</w:t>
      </w:r>
      <w:r w:rsidRPr="0073011F">
        <w:rPr>
          <w:rFonts w:ascii="Verdana" w:hAnsi="Verdana"/>
          <w:sz w:val="24"/>
          <w:szCs w:val="24"/>
        </w:rPr>
        <w:t xml:space="preserve"> fraud (eg HMRC and trade suppliers) </w:t>
      </w:r>
      <w:r w:rsidRPr="0073011F">
        <w:rPr>
          <w:rFonts w:ascii="Verdana" w:hAnsi="Verdana"/>
          <w:sz w:val="24"/>
          <w:szCs w:val="24"/>
        </w:rPr>
        <w:t>to consider private prosecutions</w:t>
      </w:r>
      <w:r w:rsidRPr="0073011F">
        <w:rPr>
          <w:rFonts w:ascii="Verdana" w:hAnsi="Verdana"/>
          <w:sz w:val="24"/>
          <w:szCs w:val="24"/>
        </w:rPr>
        <w:t>.</w:t>
      </w:r>
    </w:p>
    <w:p w:rsidR="00000000" w:rsidRPr="0073011F" w:rsidP="00672ED7">
      <w:pPr>
        <w:pStyle w:val="ListParagraph"/>
        <w:numPr>
          <w:ilvl w:val="3"/>
          <w:numId w:val="7"/>
        </w:numPr>
        <w:spacing w:after="60" w:line="240" w:lineRule="auto"/>
        <w:rPr>
          <w:rFonts w:ascii="Verdana" w:hAnsi="Verdana"/>
          <w:sz w:val="24"/>
          <w:szCs w:val="24"/>
        </w:rPr>
      </w:pPr>
      <w:r w:rsidRPr="0073011F">
        <w:rPr>
          <w:rFonts w:ascii="Verdana" w:hAnsi="Verdana"/>
          <w:sz w:val="24"/>
          <w:szCs w:val="24"/>
        </w:rPr>
        <w:t xml:space="preserve">Provide input into disruption and fraud prevention </w:t>
      </w:r>
      <w:r w:rsidRPr="0073011F">
        <w:rPr>
          <w:rFonts w:ascii="Verdana" w:hAnsi="Verdana"/>
          <w:sz w:val="24"/>
          <w:szCs w:val="24"/>
        </w:rPr>
        <w:t xml:space="preserve">strategies. </w:t>
      </w:r>
    </w:p>
    <w:p w:rsidR="00000000" w:rsidRPr="0073011F" w:rsidP="00A8555E">
      <w:pPr>
        <w:pStyle w:val="ListParagraph"/>
        <w:numPr>
          <w:ilvl w:val="3"/>
          <w:numId w:val="7"/>
        </w:numPr>
        <w:spacing w:after="60" w:line="240" w:lineRule="auto"/>
        <w:rPr>
          <w:rFonts w:ascii="Verdana" w:hAnsi="Verdana"/>
          <w:sz w:val="24"/>
          <w:szCs w:val="24"/>
        </w:rPr>
      </w:pPr>
      <w:r w:rsidRPr="0073011F">
        <w:rPr>
          <w:rFonts w:ascii="Verdana" w:hAnsi="Verdana"/>
          <w:sz w:val="24"/>
          <w:szCs w:val="24"/>
        </w:rPr>
        <w:t xml:space="preserve">Better inform discussion on the scale, cost and nature of Investment Fraud. </w:t>
      </w:r>
    </w:p>
    <w:p w:rsidR="00000000" w:rsidRPr="0073011F" w:rsidP="00B042C8">
      <w:pPr>
        <w:pStyle w:val="ListParagraph"/>
        <w:spacing w:after="60" w:line="240" w:lineRule="auto"/>
        <w:ind w:left="1077"/>
        <w:rPr>
          <w:rFonts w:ascii="Verdana" w:hAnsi="Verdana"/>
          <w:sz w:val="24"/>
          <w:szCs w:val="24"/>
        </w:rPr>
      </w:pPr>
    </w:p>
    <w:p w:rsidR="00000000" w:rsidRPr="0073011F" w:rsidP="00AA0622">
      <w:pPr>
        <w:pStyle w:val="ListParagraph"/>
        <w:numPr>
          <w:ilvl w:val="1"/>
          <w:numId w:val="7"/>
        </w:numPr>
        <w:spacing w:after="60" w:line="240" w:lineRule="auto"/>
        <w:rPr>
          <w:rFonts w:ascii="Verdana" w:hAnsi="Verdana"/>
          <w:sz w:val="24"/>
          <w:szCs w:val="24"/>
        </w:rPr>
      </w:pPr>
      <w:r w:rsidRPr="0073011F">
        <w:rPr>
          <w:rFonts w:ascii="Verdana" w:hAnsi="Verdana"/>
          <w:sz w:val="24"/>
          <w:szCs w:val="24"/>
        </w:rPr>
        <w:t xml:space="preserve">FOS would </w:t>
      </w:r>
      <w:r w:rsidRPr="0073011F">
        <w:rPr>
          <w:rFonts w:ascii="Verdana" w:hAnsi="Verdana"/>
          <w:sz w:val="24"/>
          <w:szCs w:val="24"/>
        </w:rPr>
        <w:t xml:space="preserve">use the </w:t>
      </w:r>
      <w:r w:rsidRPr="0073011F">
        <w:rPr>
          <w:rFonts w:ascii="Verdana" w:hAnsi="Verdana"/>
          <w:sz w:val="24"/>
          <w:szCs w:val="24"/>
        </w:rPr>
        <w:t>assessments</w:t>
      </w:r>
      <w:r w:rsidRPr="0073011F">
        <w:rPr>
          <w:rFonts w:ascii="Verdana" w:hAnsi="Verdana"/>
          <w:sz w:val="24"/>
          <w:szCs w:val="24"/>
        </w:rPr>
        <w:t xml:space="preserve"> to </w:t>
      </w:r>
      <w:r w:rsidRPr="0073011F">
        <w:rPr>
          <w:rFonts w:ascii="Verdana" w:hAnsi="Verdana"/>
          <w:sz w:val="24"/>
          <w:szCs w:val="24"/>
        </w:rPr>
        <w:t>consider individual complaints, where necessary, applying their philosophy of ‘each case on its merits’</w:t>
      </w:r>
      <w:r>
        <w:rPr>
          <w:rStyle w:val="FootnoteReference"/>
          <w:rFonts w:ascii="Verdana" w:hAnsi="Verdana"/>
          <w:sz w:val="24"/>
          <w:szCs w:val="24"/>
        </w:rPr>
        <w:footnoteReference w:id="20"/>
      </w:r>
      <w:r w:rsidRPr="0073011F">
        <w:rPr>
          <w:rFonts w:ascii="Verdana" w:hAnsi="Verdana"/>
          <w:sz w:val="24"/>
          <w:szCs w:val="24"/>
        </w:rPr>
        <w:t>.</w:t>
      </w:r>
    </w:p>
    <w:p w:rsidR="00000000" w:rsidRPr="0073011F" w:rsidP="00AA0622">
      <w:pPr>
        <w:pStyle w:val="ListParagraph"/>
        <w:spacing w:after="60" w:line="240" w:lineRule="auto"/>
        <w:ind w:left="792"/>
        <w:rPr>
          <w:rFonts w:ascii="Verdana" w:hAnsi="Verdana"/>
          <w:sz w:val="24"/>
          <w:szCs w:val="24"/>
        </w:rPr>
      </w:pPr>
    </w:p>
    <w:p w:rsidR="00000000" w:rsidRPr="0073011F" w:rsidP="00BE0B94">
      <w:pPr>
        <w:pStyle w:val="ListParagraph"/>
        <w:numPr>
          <w:ilvl w:val="1"/>
          <w:numId w:val="7"/>
        </w:numPr>
        <w:spacing w:after="60" w:line="240" w:lineRule="auto"/>
        <w:rPr>
          <w:rFonts w:ascii="Verdana" w:hAnsi="Verdana"/>
          <w:sz w:val="24"/>
          <w:szCs w:val="24"/>
        </w:rPr>
      </w:pPr>
      <w:r w:rsidRPr="0073011F">
        <w:rPr>
          <w:rFonts w:ascii="Verdana" w:hAnsi="Verdana"/>
          <w:sz w:val="24"/>
          <w:szCs w:val="24"/>
        </w:rPr>
        <w:t xml:space="preserve">The Utility needs to be free from the </w:t>
      </w:r>
      <w:r w:rsidRPr="0073011F">
        <w:rPr>
          <w:rFonts w:ascii="Verdana" w:hAnsi="Verdana"/>
          <w:sz w:val="24"/>
          <w:szCs w:val="24"/>
        </w:rPr>
        <w:t>conflict</w:t>
      </w:r>
      <w:r w:rsidRPr="0073011F">
        <w:rPr>
          <w:rFonts w:ascii="Verdana" w:hAnsi="Verdana"/>
          <w:sz w:val="24"/>
          <w:szCs w:val="24"/>
        </w:rPr>
        <w:t>-of-interest issues highlighted above</w:t>
      </w:r>
      <w:r w:rsidRPr="0073011F">
        <w:rPr>
          <w:rFonts w:ascii="Verdana" w:hAnsi="Verdana"/>
          <w:sz w:val="24"/>
          <w:szCs w:val="24"/>
        </w:rPr>
        <w:t>, funded through a mechanism such as the Economic Crime Levy.</w:t>
      </w:r>
    </w:p>
    <w:p w:rsidR="00000000" w:rsidRPr="0073011F" w:rsidP="00312EC4">
      <w:pPr>
        <w:pStyle w:val="ListParagraph"/>
        <w:spacing w:after="60" w:line="240" w:lineRule="auto"/>
        <w:ind w:left="792"/>
        <w:rPr>
          <w:rFonts w:ascii="Verdana" w:hAnsi="Verdana"/>
          <w:sz w:val="24"/>
          <w:szCs w:val="24"/>
        </w:rPr>
      </w:pPr>
    </w:p>
    <w:p w:rsidR="00000000" w:rsidRPr="0073011F" w:rsidP="00BE2EED">
      <w:pPr>
        <w:pStyle w:val="ListParagraph"/>
        <w:numPr>
          <w:ilvl w:val="1"/>
          <w:numId w:val="7"/>
        </w:numPr>
        <w:spacing w:after="60" w:line="240" w:lineRule="auto"/>
        <w:rPr>
          <w:rFonts w:ascii="Verdana" w:hAnsi="Verdana"/>
          <w:sz w:val="24"/>
          <w:szCs w:val="24"/>
        </w:rPr>
      </w:pPr>
      <w:r w:rsidRPr="0073011F">
        <w:rPr>
          <w:rFonts w:ascii="Verdana" w:hAnsi="Verdana"/>
          <w:sz w:val="24"/>
          <w:szCs w:val="24"/>
        </w:rPr>
        <w:t>The payment services industry</w:t>
      </w:r>
      <w:r w:rsidRPr="0073011F">
        <w:rPr>
          <w:rFonts w:ascii="Verdana" w:hAnsi="Verdana"/>
          <w:sz w:val="24"/>
          <w:szCs w:val="24"/>
        </w:rPr>
        <w:t>,</w:t>
      </w:r>
      <w:r w:rsidRPr="0073011F">
        <w:rPr>
          <w:rFonts w:ascii="Verdana" w:hAnsi="Verdana"/>
          <w:sz w:val="24"/>
          <w:szCs w:val="24"/>
        </w:rPr>
        <w:t xml:space="preserve"> FOS </w:t>
      </w:r>
      <w:r w:rsidRPr="0073011F">
        <w:rPr>
          <w:rFonts w:ascii="Verdana" w:hAnsi="Verdana"/>
          <w:sz w:val="24"/>
          <w:szCs w:val="24"/>
        </w:rPr>
        <w:t xml:space="preserve">and the FCA </w:t>
      </w:r>
      <w:r w:rsidRPr="0073011F">
        <w:rPr>
          <w:rFonts w:ascii="Verdana" w:hAnsi="Verdana"/>
          <w:sz w:val="24"/>
          <w:szCs w:val="24"/>
        </w:rPr>
        <w:t>should be invited to</w:t>
      </w:r>
      <w:r w:rsidRPr="0073011F">
        <w:rPr>
          <w:rFonts w:ascii="Verdana" w:hAnsi="Verdana"/>
          <w:sz w:val="24"/>
          <w:szCs w:val="24"/>
        </w:rPr>
        <w:t xml:space="preserve"> be part of the governance process, together other stakeholders such as the Consumer’s Association and Citizens Advice.</w:t>
      </w:r>
    </w:p>
    <w:p w:rsidR="00000000" w:rsidP="00BE2EED">
      <w:pPr>
        <w:pStyle w:val="ListParagraph"/>
        <w:rPr>
          <w:rFonts w:ascii="Verdana" w:hAnsi="Verdana"/>
          <w:sz w:val="24"/>
          <w:szCs w:val="24"/>
        </w:rPr>
      </w:pPr>
    </w:p>
    <w:p w:rsidR="0073011F" w:rsidP="00BE2EED">
      <w:pPr>
        <w:pStyle w:val="ListParagraph"/>
        <w:rPr>
          <w:rFonts w:ascii="Verdana" w:hAnsi="Verdana"/>
          <w:sz w:val="24"/>
          <w:szCs w:val="24"/>
        </w:rPr>
      </w:pPr>
    </w:p>
    <w:p w:rsidR="0073011F" w:rsidRPr="0073011F" w:rsidP="00BE2EED">
      <w:pPr>
        <w:pStyle w:val="ListParagraph"/>
        <w:rPr>
          <w:rFonts w:ascii="Verdana" w:hAnsi="Verdana"/>
          <w:sz w:val="24"/>
          <w:szCs w:val="24"/>
        </w:rPr>
      </w:pPr>
    </w:p>
    <w:p w:rsidR="00000000" w:rsidRPr="0073011F" w:rsidP="0023228A">
      <w:pPr>
        <w:pStyle w:val="ListParagraph"/>
        <w:numPr>
          <w:ilvl w:val="0"/>
          <w:numId w:val="7"/>
        </w:numPr>
        <w:spacing w:after="60" w:line="240" w:lineRule="auto"/>
        <w:rPr>
          <w:rFonts w:ascii="Verdana" w:hAnsi="Verdana"/>
          <w:sz w:val="24"/>
          <w:szCs w:val="24"/>
        </w:rPr>
      </w:pPr>
      <w:r w:rsidRPr="0073011F">
        <w:rPr>
          <w:rFonts w:ascii="Verdana" w:hAnsi="Verdana"/>
          <w:b/>
          <w:bCs/>
          <w:sz w:val="24"/>
          <w:szCs w:val="24"/>
        </w:rPr>
        <w:t>TE</w:t>
      </w:r>
      <w:r w:rsidRPr="0073011F">
        <w:rPr>
          <w:rFonts w:ascii="Verdana" w:hAnsi="Verdana"/>
          <w:b/>
          <w:bCs/>
          <w:sz w:val="24"/>
          <w:szCs w:val="24"/>
        </w:rPr>
        <w:t xml:space="preserve">N EXAMPLE </w:t>
      </w:r>
      <w:r w:rsidRPr="0073011F">
        <w:rPr>
          <w:rFonts w:ascii="Verdana" w:hAnsi="Verdana"/>
          <w:b/>
          <w:bCs/>
          <w:sz w:val="24"/>
          <w:szCs w:val="24"/>
        </w:rPr>
        <w:t>ALLEGED INVESTMENT FRAUDS DESCRIBED BY BANKS AS ‘CIVIL DISPUTES’</w:t>
      </w:r>
    </w:p>
    <w:p w:rsidR="00000000" w:rsidRPr="0073011F" w:rsidP="0023228A">
      <w:pPr>
        <w:pStyle w:val="ListParagraph"/>
        <w:spacing w:after="60" w:line="240" w:lineRule="auto"/>
        <w:ind w:left="360"/>
        <w:rPr>
          <w:rFonts w:ascii="Verdana" w:hAnsi="Verdana"/>
          <w:sz w:val="24"/>
          <w:szCs w:val="24"/>
        </w:rPr>
      </w:pPr>
    </w:p>
    <w:p w:rsidR="00000000" w:rsidRPr="0073011F" w:rsidP="0023228A">
      <w:pPr>
        <w:pStyle w:val="ListParagraph"/>
        <w:numPr>
          <w:ilvl w:val="1"/>
          <w:numId w:val="7"/>
        </w:numPr>
        <w:spacing w:after="60" w:line="240" w:lineRule="auto"/>
        <w:rPr>
          <w:rFonts w:ascii="Verdana" w:hAnsi="Verdana"/>
          <w:sz w:val="24"/>
          <w:szCs w:val="24"/>
        </w:rPr>
      </w:pPr>
      <w:r w:rsidRPr="0073011F">
        <w:rPr>
          <w:rFonts w:ascii="Verdana" w:hAnsi="Verdana"/>
          <w:sz w:val="24"/>
          <w:szCs w:val="24"/>
        </w:rPr>
        <w:t>The table below gives ten examples that I could speak to of alleged investment frauds that have been described as civil disputes by the banks and where customers have not been consistently reimbursed under the Code or MR.</w:t>
      </w:r>
    </w:p>
    <w:p w:rsidR="00000000" w:rsidRPr="0073011F" w:rsidP="00FB5D9D">
      <w:pPr>
        <w:pStyle w:val="ListParagraph"/>
        <w:spacing w:after="60" w:line="240" w:lineRule="auto"/>
        <w:ind w:left="792"/>
        <w:rPr>
          <w:rFonts w:ascii="Verdana" w:hAnsi="Verdana"/>
          <w:sz w:val="24"/>
          <w:szCs w:val="24"/>
        </w:rPr>
      </w:pPr>
    </w:p>
    <w:tbl>
      <w:tblPr>
        <w:tblStyle w:val="TableGrid"/>
        <w:tblW w:w="7938" w:type="dxa"/>
        <w:tblInd w:w="846" w:type="dxa"/>
        <w:tblLook w:val="04A0"/>
      </w:tblPr>
      <w:tblGrid>
        <w:gridCol w:w="5386"/>
        <w:gridCol w:w="2552"/>
      </w:tblGrid>
      <w:tr w:rsidTr="00FB5D9D">
        <w:tblPrEx>
          <w:tblW w:w="7938" w:type="dxa"/>
          <w:tblInd w:w="846" w:type="dxa"/>
          <w:tblLook w:val="04A0"/>
        </w:tblPrEx>
        <w:tc>
          <w:tcPr>
            <w:tcW w:w="5386" w:type="dxa"/>
          </w:tcPr>
          <w:p w:rsidR="00000000" w:rsidRPr="0073011F" w:rsidP="00975EBB">
            <w:pPr>
              <w:spacing w:after="60"/>
              <w:rPr>
                <w:rFonts w:ascii="Verdana" w:hAnsi="Verdana"/>
                <w:sz w:val="24"/>
                <w:szCs w:val="24"/>
              </w:rPr>
            </w:pPr>
            <w:r w:rsidRPr="0073011F">
              <w:rPr>
                <w:rFonts w:ascii="Verdana" w:hAnsi="Verdana"/>
                <w:sz w:val="24"/>
                <w:szCs w:val="24"/>
              </w:rPr>
              <w:t xml:space="preserve"> </w:t>
            </w:r>
            <w:r w:rsidRPr="0073011F">
              <w:rPr>
                <w:rFonts w:ascii="Verdana" w:hAnsi="Verdana"/>
                <w:sz w:val="24"/>
                <w:szCs w:val="24"/>
              </w:rPr>
              <w:t>•</w:t>
            </w:r>
            <w:r w:rsidRPr="0073011F">
              <w:rPr>
                <w:rFonts w:ascii="Verdana" w:hAnsi="Verdana"/>
                <w:sz w:val="24"/>
                <w:szCs w:val="24"/>
              </w:rPr>
              <w:t xml:space="preserve">  Accumulate Capital</w:t>
            </w:r>
          </w:p>
        </w:tc>
        <w:tc>
          <w:tcPr>
            <w:tcW w:w="2552" w:type="dxa"/>
          </w:tcPr>
          <w:p w:rsidR="00000000" w:rsidRPr="0073011F" w:rsidP="00685F3E">
            <w:pPr>
              <w:spacing w:after="60"/>
              <w:jc w:val="center"/>
              <w:rPr>
                <w:rFonts w:ascii="Verdana" w:hAnsi="Verdana"/>
                <w:sz w:val="24"/>
                <w:szCs w:val="24"/>
              </w:rPr>
            </w:pPr>
            <w:r w:rsidRPr="0073011F">
              <w:rPr>
                <w:rFonts w:ascii="Verdana" w:hAnsi="Verdana"/>
                <w:sz w:val="24"/>
                <w:szCs w:val="24"/>
              </w:rPr>
              <w:t>£15m</w:t>
            </w:r>
          </w:p>
        </w:tc>
      </w:tr>
      <w:tr w:rsidTr="00FB5D9D">
        <w:tblPrEx>
          <w:tblW w:w="7938" w:type="dxa"/>
          <w:tblInd w:w="846" w:type="dxa"/>
          <w:tblLook w:val="04A0"/>
        </w:tblPrEx>
        <w:tc>
          <w:tcPr>
            <w:tcW w:w="5386" w:type="dxa"/>
          </w:tcPr>
          <w:p w:rsidR="00000000" w:rsidRPr="0073011F" w:rsidP="00B23421">
            <w:pPr>
              <w:spacing w:after="60"/>
              <w:rPr>
                <w:rFonts w:ascii="Verdana" w:hAnsi="Verdana"/>
                <w:sz w:val="24"/>
                <w:szCs w:val="24"/>
              </w:rPr>
            </w:pPr>
            <w:r w:rsidRPr="0073011F">
              <w:rPr>
                <w:rFonts w:ascii="Verdana" w:hAnsi="Verdana"/>
                <w:sz w:val="24"/>
                <w:szCs w:val="24"/>
              </w:rPr>
              <w:t xml:space="preserve"> •  ACH Investments</w:t>
            </w:r>
          </w:p>
        </w:tc>
        <w:tc>
          <w:tcPr>
            <w:tcW w:w="2552" w:type="dxa"/>
          </w:tcPr>
          <w:p w:rsidR="00000000" w:rsidRPr="0073011F" w:rsidP="00B23421">
            <w:pPr>
              <w:spacing w:after="60"/>
              <w:jc w:val="center"/>
              <w:rPr>
                <w:rFonts w:ascii="Verdana" w:hAnsi="Verdana"/>
                <w:sz w:val="24"/>
                <w:szCs w:val="24"/>
              </w:rPr>
            </w:pPr>
            <w:r w:rsidRPr="0073011F">
              <w:rPr>
                <w:rFonts w:ascii="Verdana" w:hAnsi="Verdana"/>
                <w:sz w:val="24"/>
                <w:szCs w:val="24"/>
              </w:rPr>
              <w:t>£5m</w:t>
            </w:r>
          </w:p>
        </w:tc>
      </w:tr>
      <w:tr w:rsidTr="00FB5D9D">
        <w:tblPrEx>
          <w:tblW w:w="7938" w:type="dxa"/>
          <w:tblInd w:w="846" w:type="dxa"/>
          <w:tblLook w:val="04A0"/>
        </w:tblPrEx>
        <w:tc>
          <w:tcPr>
            <w:tcW w:w="5386" w:type="dxa"/>
          </w:tcPr>
          <w:p w:rsidR="00000000" w:rsidRPr="0073011F" w:rsidP="00B23421">
            <w:pPr>
              <w:spacing w:after="60"/>
              <w:rPr>
                <w:rFonts w:ascii="Verdana" w:hAnsi="Verdana"/>
                <w:sz w:val="24"/>
                <w:szCs w:val="24"/>
              </w:rPr>
            </w:pPr>
            <w:r w:rsidRPr="0073011F">
              <w:rPr>
                <w:rFonts w:ascii="Verdana" w:hAnsi="Verdana"/>
                <w:sz w:val="24"/>
                <w:szCs w:val="24"/>
              </w:rPr>
              <w:t xml:space="preserve"> •  Aquila Apartments and management</w:t>
            </w:r>
          </w:p>
        </w:tc>
        <w:tc>
          <w:tcPr>
            <w:tcW w:w="2552" w:type="dxa"/>
          </w:tcPr>
          <w:p w:rsidR="00000000" w:rsidRPr="0073011F" w:rsidP="00B23421">
            <w:pPr>
              <w:spacing w:after="60"/>
              <w:jc w:val="center"/>
              <w:rPr>
                <w:rFonts w:ascii="Verdana" w:hAnsi="Verdana"/>
                <w:sz w:val="24"/>
                <w:szCs w:val="24"/>
              </w:rPr>
            </w:pPr>
            <w:r w:rsidRPr="0073011F">
              <w:rPr>
                <w:rFonts w:ascii="Verdana" w:hAnsi="Verdana"/>
                <w:sz w:val="24"/>
                <w:szCs w:val="24"/>
              </w:rPr>
              <w:t>£10m</w:t>
            </w:r>
          </w:p>
        </w:tc>
      </w:tr>
      <w:tr w:rsidTr="00FB5D9D">
        <w:tblPrEx>
          <w:tblW w:w="7938" w:type="dxa"/>
          <w:tblInd w:w="846" w:type="dxa"/>
          <w:tblLook w:val="04A0"/>
        </w:tblPrEx>
        <w:tc>
          <w:tcPr>
            <w:tcW w:w="5386" w:type="dxa"/>
          </w:tcPr>
          <w:p w:rsidR="00000000" w:rsidRPr="0073011F" w:rsidP="00B23421">
            <w:pPr>
              <w:spacing w:after="60"/>
              <w:rPr>
                <w:rFonts w:ascii="Verdana" w:hAnsi="Verdana"/>
                <w:sz w:val="24"/>
                <w:szCs w:val="24"/>
              </w:rPr>
            </w:pPr>
            <w:r w:rsidRPr="0073011F">
              <w:rPr>
                <w:rFonts w:ascii="Verdana" w:hAnsi="Verdana"/>
                <w:sz w:val="24"/>
                <w:szCs w:val="24"/>
              </w:rPr>
              <w:t xml:space="preserve"> •  Black Capital Partners</w:t>
            </w:r>
          </w:p>
        </w:tc>
        <w:tc>
          <w:tcPr>
            <w:tcW w:w="2552" w:type="dxa"/>
          </w:tcPr>
          <w:p w:rsidR="00000000" w:rsidRPr="0073011F" w:rsidP="00B23421">
            <w:pPr>
              <w:spacing w:after="60"/>
              <w:jc w:val="center"/>
              <w:rPr>
                <w:rFonts w:ascii="Verdana" w:hAnsi="Verdana"/>
                <w:sz w:val="24"/>
                <w:szCs w:val="24"/>
              </w:rPr>
            </w:pPr>
            <w:r w:rsidRPr="0073011F">
              <w:rPr>
                <w:rFonts w:ascii="Verdana" w:hAnsi="Verdana"/>
                <w:sz w:val="24"/>
                <w:szCs w:val="24"/>
              </w:rPr>
              <w:t>£50m - £75m</w:t>
            </w:r>
          </w:p>
        </w:tc>
      </w:tr>
      <w:tr w:rsidTr="00FB5D9D">
        <w:tblPrEx>
          <w:tblW w:w="7938" w:type="dxa"/>
          <w:tblInd w:w="846" w:type="dxa"/>
          <w:tblLook w:val="04A0"/>
        </w:tblPrEx>
        <w:tc>
          <w:tcPr>
            <w:tcW w:w="5386" w:type="dxa"/>
          </w:tcPr>
          <w:p w:rsidR="00000000" w:rsidRPr="0073011F" w:rsidP="00B23421">
            <w:pPr>
              <w:spacing w:after="60"/>
              <w:rPr>
                <w:rFonts w:ascii="Verdana" w:hAnsi="Verdana"/>
                <w:sz w:val="24"/>
                <w:szCs w:val="24"/>
              </w:rPr>
            </w:pPr>
            <w:r w:rsidRPr="0073011F">
              <w:rPr>
                <w:rFonts w:ascii="Verdana" w:hAnsi="Verdana"/>
                <w:sz w:val="24"/>
                <w:szCs w:val="24"/>
              </w:rPr>
              <w:t xml:space="preserve"> •  Domo Developments</w:t>
            </w:r>
          </w:p>
        </w:tc>
        <w:tc>
          <w:tcPr>
            <w:tcW w:w="2552" w:type="dxa"/>
          </w:tcPr>
          <w:p w:rsidR="00000000" w:rsidRPr="0073011F" w:rsidP="00B23421">
            <w:pPr>
              <w:spacing w:after="60"/>
              <w:jc w:val="center"/>
              <w:rPr>
                <w:rFonts w:ascii="Verdana" w:hAnsi="Verdana"/>
                <w:sz w:val="24"/>
                <w:szCs w:val="24"/>
              </w:rPr>
            </w:pPr>
            <w:r w:rsidRPr="0073011F">
              <w:rPr>
                <w:rFonts w:ascii="Verdana" w:hAnsi="Verdana"/>
                <w:sz w:val="24"/>
                <w:szCs w:val="24"/>
              </w:rPr>
              <w:t>£6m</w:t>
            </w:r>
          </w:p>
        </w:tc>
      </w:tr>
      <w:tr w:rsidTr="00FB5D9D">
        <w:tblPrEx>
          <w:tblW w:w="7938" w:type="dxa"/>
          <w:tblInd w:w="846" w:type="dxa"/>
          <w:tblLook w:val="04A0"/>
        </w:tblPrEx>
        <w:tc>
          <w:tcPr>
            <w:tcW w:w="5386" w:type="dxa"/>
          </w:tcPr>
          <w:p w:rsidR="00000000" w:rsidRPr="0073011F" w:rsidP="00B23421">
            <w:pPr>
              <w:spacing w:after="60"/>
              <w:rPr>
                <w:rFonts w:ascii="Verdana" w:hAnsi="Verdana"/>
                <w:sz w:val="24"/>
                <w:szCs w:val="24"/>
              </w:rPr>
            </w:pPr>
            <w:r w:rsidRPr="0073011F">
              <w:rPr>
                <w:rFonts w:ascii="Verdana" w:hAnsi="Verdana"/>
                <w:sz w:val="24"/>
                <w:szCs w:val="24"/>
              </w:rPr>
              <w:t xml:space="preserve"> •  Glenn Armstrong</w:t>
            </w:r>
          </w:p>
        </w:tc>
        <w:tc>
          <w:tcPr>
            <w:tcW w:w="2552" w:type="dxa"/>
          </w:tcPr>
          <w:p w:rsidR="00000000" w:rsidRPr="0073011F" w:rsidP="00B23421">
            <w:pPr>
              <w:spacing w:after="60"/>
              <w:jc w:val="center"/>
              <w:rPr>
                <w:rFonts w:ascii="Verdana" w:hAnsi="Verdana"/>
                <w:sz w:val="24"/>
                <w:szCs w:val="24"/>
              </w:rPr>
            </w:pPr>
            <w:r w:rsidRPr="0073011F">
              <w:rPr>
                <w:rFonts w:ascii="Verdana" w:hAnsi="Verdana"/>
                <w:sz w:val="24"/>
                <w:szCs w:val="24"/>
              </w:rPr>
              <w:t>£2m</w:t>
            </w:r>
          </w:p>
        </w:tc>
      </w:tr>
      <w:tr w:rsidTr="00FB5D9D">
        <w:tblPrEx>
          <w:tblW w:w="7938" w:type="dxa"/>
          <w:tblInd w:w="846" w:type="dxa"/>
          <w:tblLook w:val="04A0"/>
        </w:tblPrEx>
        <w:tc>
          <w:tcPr>
            <w:tcW w:w="5386" w:type="dxa"/>
          </w:tcPr>
          <w:p w:rsidR="00000000" w:rsidRPr="0073011F" w:rsidP="0062629D">
            <w:pPr>
              <w:spacing w:after="60"/>
              <w:rPr>
                <w:rFonts w:ascii="Verdana" w:hAnsi="Verdana"/>
                <w:sz w:val="24"/>
                <w:szCs w:val="24"/>
              </w:rPr>
            </w:pPr>
            <w:r w:rsidRPr="0073011F">
              <w:rPr>
                <w:rFonts w:ascii="Verdana" w:hAnsi="Verdana"/>
                <w:sz w:val="24"/>
                <w:szCs w:val="24"/>
              </w:rPr>
              <w:t xml:space="preserve"> •  Joint Ventures in Property (JViP)</w:t>
            </w:r>
          </w:p>
        </w:tc>
        <w:tc>
          <w:tcPr>
            <w:tcW w:w="2552" w:type="dxa"/>
          </w:tcPr>
          <w:p w:rsidR="00000000" w:rsidRPr="0073011F" w:rsidP="0062629D">
            <w:pPr>
              <w:spacing w:after="60"/>
              <w:jc w:val="center"/>
              <w:rPr>
                <w:rFonts w:ascii="Verdana" w:hAnsi="Verdana"/>
                <w:sz w:val="24"/>
                <w:szCs w:val="24"/>
              </w:rPr>
            </w:pPr>
            <w:r w:rsidRPr="0073011F">
              <w:rPr>
                <w:rFonts w:ascii="Verdana" w:hAnsi="Verdana"/>
                <w:sz w:val="24"/>
                <w:szCs w:val="24"/>
              </w:rPr>
              <w:t>£14m</w:t>
            </w:r>
          </w:p>
        </w:tc>
      </w:tr>
      <w:tr w:rsidTr="00FB5D9D">
        <w:tblPrEx>
          <w:tblW w:w="7938" w:type="dxa"/>
          <w:tblInd w:w="846" w:type="dxa"/>
          <w:tblLook w:val="04A0"/>
        </w:tblPrEx>
        <w:tc>
          <w:tcPr>
            <w:tcW w:w="5386" w:type="dxa"/>
          </w:tcPr>
          <w:p w:rsidR="00000000" w:rsidRPr="0073011F" w:rsidP="00905303">
            <w:pPr>
              <w:spacing w:after="60"/>
              <w:rPr>
                <w:rFonts w:ascii="Verdana" w:hAnsi="Verdana"/>
                <w:sz w:val="24"/>
                <w:szCs w:val="24"/>
              </w:rPr>
            </w:pPr>
            <w:r w:rsidRPr="0073011F">
              <w:rPr>
                <w:rFonts w:ascii="Verdana" w:hAnsi="Verdana"/>
                <w:sz w:val="24"/>
                <w:szCs w:val="24"/>
              </w:rPr>
              <w:t xml:space="preserve"> •  Moustaphe Mounde Telecoms (MMT)</w:t>
            </w:r>
          </w:p>
        </w:tc>
        <w:tc>
          <w:tcPr>
            <w:tcW w:w="2552" w:type="dxa"/>
          </w:tcPr>
          <w:p w:rsidR="00000000" w:rsidRPr="0073011F" w:rsidP="00905303">
            <w:pPr>
              <w:spacing w:after="60"/>
              <w:jc w:val="center"/>
              <w:rPr>
                <w:rFonts w:ascii="Verdana" w:hAnsi="Verdana"/>
                <w:sz w:val="24"/>
                <w:szCs w:val="24"/>
              </w:rPr>
            </w:pPr>
            <w:r w:rsidRPr="0073011F">
              <w:rPr>
                <w:rFonts w:ascii="Verdana" w:hAnsi="Verdana"/>
                <w:sz w:val="24"/>
                <w:szCs w:val="24"/>
              </w:rPr>
              <w:t>£6 - £10m</w:t>
            </w:r>
          </w:p>
        </w:tc>
      </w:tr>
      <w:tr w:rsidTr="00FB5D9D">
        <w:tblPrEx>
          <w:tblW w:w="7938" w:type="dxa"/>
          <w:tblInd w:w="846" w:type="dxa"/>
          <w:tblLook w:val="04A0"/>
        </w:tblPrEx>
        <w:tc>
          <w:tcPr>
            <w:tcW w:w="5386" w:type="dxa"/>
          </w:tcPr>
          <w:p w:rsidR="00000000" w:rsidRPr="0073011F" w:rsidP="00905303">
            <w:pPr>
              <w:spacing w:after="60"/>
              <w:rPr>
                <w:rFonts w:ascii="Verdana" w:hAnsi="Verdana"/>
                <w:sz w:val="24"/>
                <w:szCs w:val="24"/>
              </w:rPr>
            </w:pPr>
            <w:r w:rsidRPr="0073011F">
              <w:rPr>
                <w:rFonts w:ascii="Verdana" w:hAnsi="Verdana"/>
                <w:sz w:val="24"/>
                <w:szCs w:val="24"/>
              </w:rPr>
              <w:t xml:space="preserve"> •  Raedex Consortium / Buy2LetCars</w:t>
            </w:r>
          </w:p>
        </w:tc>
        <w:tc>
          <w:tcPr>
            <w:tcW w:w="2552" w:type="dxa"/>
          </w:tcPr>
          <w:p w:rsidR="00000000" w:rsidRPr="0073011F" w:rsidP="00905303">
            <w:pPr>
              <w:spacing w:after="60"/>
              <w:jc w:val="center"/>
              <w:rPr>
                <w:rFonts w:ascii="Verdana" w:hAnsi="Verdana"/>
                <w:sz w:val="24"/>
                <w:szCs w:val="24"/>
              </w:rPr>
            </w:pPr>
            <w:r w:rsidRPr="0073011F">
              <w:rPr>
                <w:rFonts w:ascii="Verdana" w:hAnsi="Verdana"/>
                <w:sz w:val="24"/>
                <w:szCs w:val="24"/>
              </w:rPr>
              <w:t>£60m</w:t>
            </w:r>
          </w:p>
        </w:tc>
      </w:tr>
      <w:tr w:rsidTr="00FB5D9D">
        <w:tblPrEx>
          <w:tblW w:w="7938" w:type="dxa"/>
          <w:tblInd w:w="846" w:type="dxa"/>
          <w:tblLook w:val="04A0"/>
        </w:tblPrEx>
        <w:tc>
          <w:tcPr>
            <w:tcW w:w="5386" w:type="dxa"/>
          </w:tcPr>
          <w:p w:rsidR="00000000" w:rsidRPr="0073011F" w:rsidP="00905303">
            <w:pPr>
              <w:spacing w:after="60"/>
              <w:rPr>
                <w:rFonts w:ascii="Verdana" w:hAnsi="Verdana"/>
                <w:sz w:val="24"/>
                <w:szCs w:val="24"/>
              </w:rPr>
            </w:pPr>
            <w:r w:rsidRPr="0073011F">
              <w:rPr>
                <w:rFonts w:ascii="Verdana" w:hAnsi="Verdana"/>
                <w:sz w:val="24"/>
                <w:szCs w:val="24"/>
              </w:rPr>
              <w:t xml:space="preserve"> •  Smith &amp; Partner</w:t>
            </w:r>
          </w:p>
        </w:tc>
        <w:tc>
          <w:tcPr>
            <w:tcW w:w="2552" w:type="dxa"/>
          </w:tcPr>
          <w:p w:rsidR="00000000" w:rsidRPr="0073011F" w:rsidP="00905303">
            <w:pPr>
              <w:spacing w:after="60"/>
              <w:jc w:val="center"/>
              <w:rPr>
                <w:rFonts w:ascii="Verdana" w:hAnsi="Verdana"/>
                <w:sz w:val="24"/>
                <w:szCs w:val="24"/>
              </w:rPr>
            </w:pPr>
            <w:r w:rsidRPr="0073011F">
              <w:rPr>
                <w:rFonts w:ascii="Verdana" w:hAnsi="Verdana"/>
                <w:sz w:val="24"/>
                <w:szCs w:val="24"/>
              </w:rPr>
              <w:t>£</w:t>
            </w:r>
            <w:r w:rsidRPr="0073011F">
              <w:rPr>
                <w:rFonts w:ascii="Verdana" w:hAnsi="Verdana"/>
                <w:sz w:val="24"/>
                <w:szCs w:val="24"/>
              </w:rPr>
              <w:t>14m</w:t>
            </w:r>
          </w:p>
        </w:tc>
      </w:tr>
      <w:tr w:rsidTr="00FB5D9D">
        <w:tblPrEx>
          <w:tblW w:w="7938" w:type="dxa"/>
          <w:tblInd w:w="846" w:type="dxa"/>
          <w:tblLook w:val="04A0"/>
        </w:tblPrEx>
        <w:tc>
          <w:tcPr>
            <w:tcW w:w="5386" w:type="dxa"/>
          </w:tcPr>
          <w:p w:rsidR="00000000" w:rsidRPr="0073011F" w:rsidP="00905303">
            <w:pPr>
              <w:spacing w:after="60"/>
              <w:rPr>
                <w:rFonts w:ascii="Verdana" w:hAnsi="Verdana"/>
                <w:b/>
                <w:bCs/>
                <w:sz w:val="24"/>
                <w:szCs w:val="24"/>
              </w:rPr>
            </w:pPr>
            <w:r w:rsidRPr="0073011F">
              <w:rPr>
                <w:rFonts w:ascii="Verdana" w:hAnsi="Verdana"/>
                <w:b/>
                <w:bCs/>
                <w:sz w:val="24"/>
                <w:szCs w:val="24"/>
              </w:rPr>
              <w:t>Total Estimated Victim Loss</w:t>
            </w:r>
          </w:p>
        </w:tc>
        <w:tc>
          <w:tcPr>
            <w:tcW w:w="2552" w:type="dxa"/>
          </w:tcPr>
          <w:p w:rsidR="00000000" w:rsidRPr="0073011F" w:rsidP="00905303">
            <w:pPr>
              <w:spacing w:after="60"/>
              <w:jc w:val="center"/>
              <w:rPr>
                <w:rFonts w:ascii="Verdana" w:hAnsi="Verdana"/>
                <w:b/>
                <w:bCs/>
                <w:sz w:val="24"/>
                <w:szCs w:val="24"/>
              </w:rPr>
            </w:pPr>
            <w:r w:rsidRPr="0073011F">
              <w:rPr>
                <w:rFonts w:ascii="Verdana" w:hAnsi="Verdana"/>
                <w:b/>
                <w:bCs/>
                <w:sz w:val="24"/>
                <w:szCs w:val="24"/>
              </w:rPr>
              <w:t>£</w:t>
            </w:r>
            <w:r w:rsidRPr="0073011F">
              <w:rPr>
                <w:rFonts w:ascii="Verdana" w:hAnsi="Verdana"/>
                <w:b/>
                <w:bCs/>
                <w:sz w:val="24"/>
                <w:szCs w:val="24"/>
              </w:rPr>
              <w:t>182m – £2</w:t>
            </w:r>
            <w:r w:rsidRPr="0073011F">
              <w:rPr>
                <w:rFonts w:ascii="Verdana" w:hAnsi="Verdana"/>
                <w:b/>
                <w:bCs/>
                <w:sz w:val="24"/>
                <w:szCs w:val="24"/>
              </w:rPr>
              <w:t>11m</w:t>
            </w:r>
          </w:p>
        </w:tc>
      </w:tr>
    </w:tbl>
    <w:p w:rsidR="00000000" w:rsidRPr="0073011F" w:rsidP="00975EBB">
      <w:pPr>
        <w:spacing w:after="60" w:line="240" w:lineRule="auto"/>
        <w:rPr>
          <w:rFonts w:ascii="Verdana" w:hAnsi="Verdana"/>
          <w:b/>
          <w:bCs/>
          <w:sz w:val="24"/>
          <w:szCs w:val="24"/>
        </w:rPr>
      </w:pPr>
    </w:p>
    <w:p w:rsidR="0073011F" w:rsidRPr="0073011F" w:rsidP="00975EBB">
      <w:pPr>
        <w:spacing w:after="60" w:line="240" w:lineRule="auto"/>
        <w:rPr>
          <w:rFonts w:ascii="Verdana" w:hAnsi="Verdana"/>
          <w:b/>
          <w:bCs/>
          <w:sz w:val="24"/>
          <w:szCs w:val="24"/>
        </w:rPr>
      </w:pPr>
    </w:p>
    <w:p w:rsidR="0073011F" w:rsidRPr="0073011F" w:rsidP="0073011F">
      <w:pPr>
        <w:spacing w:after="60" w:line="240" w:lineRule="auto"/>
        <w:rPr>
          <w:rFonts w:ascii="Verdana" w:hAnsi="Verdana"/>
          <w:i/>
          <w:iCs/>
          <w:sz w:val="24"/>
          <w:szCs w:val="24"/>
        </w:rPr>
      </w:pPr>
      <w:r w:rsidRPr="0073011F">
        <w:rPr>
          <w:rFonts w:ascii="Verdana" w:hAnsi="Verdana"/>
          <w:i/>
          <w:iCs/>
          <w:sz w:val="24"/>
          <w:szCs w:val="24"/>
        </w:rPr>
        <w:t xml:space="preserve">2 </w:t>
      </w:r>
      <w:r w:rsidRPr="0073011F">
        <w:rPr>
          <w:rFonts w:ascii="Verdana" w:hAnsi="Verdana"/>
          <w:i/>
          <w:iCs/>
          <w:sz w:val="24"/>
          <w:szCs w:val="24"/>
        </w:rPr>
        <w:t>Dec</w:t>
      </w:r>
      <w:r w:rsidRPr="0073011F">
        <w:rPr>
          <w:rFonts w:ascii="Verdana" w:hAnsi="Verdana"/>
          <w:i/>
          <w:iCs/>
          <w:sz w:val="24"/>
          <w:szCs w:val="24"/>
        </w:rPr>
        <w:t xml:space="preserve">ember </w:t>
      </w:r>
      <w:r w:rsidRPr="0073011F">
        <w:rPr>
          <w:rFonts w:ascii="Verdana" w:hAnsi="Verdana"/>
          <w:i/>
          <w:iCs/>
          <w:sz w:val="24"/>
          <w:szCs w:val="24"/>
        </w:rPr>
        <w:t>2024</w:t>
      </w:r>
    </w:p>
    <w:p w:rsidR="0073011F" w:rsidRPr="00975EBB" w:rsidP="00975EBB">
      <w:pPr>
        <w:spacing w:after="60" w:line="240" w:lineRule="auto"/>
        <w:rPr>
          <w:b/>
          <w:bCs/>
          <w:sz w:val="24"/>
          <w:szCs w:val="24"/>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672EB" w:rsidP="009F4424">
      <w:pPr>
        <w:spacing w:after="0" w:line="240" w:lineRule="auto"/>
      </w:pPr>
      <w:r>
        <w:separator/>
      </w:r>
    </w:p>
  </w:footnote>
  <w:footnote w:type="continuationSeparator" w:id="1">
    <w:p w:rsidR="009672EB" w:rsidP="009F4424">
      <w:pPr>
        <w:spacing w:after="0" w:line="240" w:lineRule="auto"/>
      </w:pPr>
      <w:r>
        <w:continuationSeparator/>
      </w:r>
    </w:p>
  </w:footnote>
  <w:footnote w:id="2">
    <w:p w:rsidR="00000000">
      <w:pPr>
        <w:pStyle w:val="FootnoteText"/>
      </w:pPr>
      <w:r>
        <w:rPr>
          <w:rStyle w:val="FootnoteReference"/>
        </w:rPr>
        <w:footnoteRef/>
      </w:r>
      <w:r>
        <w:t xml:space="preserve"> </w:t>
      </w:r>
      <w:r>
        <w:fldChar w:fldCharType="begin"/>
      </w:r>
      <w:r>
        <w:instrText xml:space="preserve"> HYPERLINK "https://www.fca.org.uk/publication/archive/banks-defences-against-investment-fraud.pdf" </w:instrText>
      </w:r>
      <w:r>
        <w:fldChar w:fldCharType="separate"/>
      </w:r>
      <w:r w:rsidRPr="007E1BF7">
        <w:rPr>
          <w:rStyle w:val="Hyperlink"/>
        </w:rPr>
        <w:t xml:space="preserve">Financial Services Authority Banks’ defences against investment fraud Detecting </w:t>
      </w:r>
      <w:r w:rsidRPr="007E1BF7">
        <w:rPr>
          <w:rStyle w:val="Hyperlink"/>
        </w:rPr>
        <w:t>perpetrators  and</w:t>
      </w:r>
      <w:r w:rsidRPr="007E1BF7">
        <w:rPr>
          <w:rStyle w:val="Hyperlink"/>
        </w:rPr>
        <w:t xml:space="preserve"> protecting victims June 2012</w:t>
      </w:r>
      <w:r>
        <w:fldChar w:fldCharType="end"/>
      </w:r>
    </w:p>
  </w:footnote>
  <w:footnote w:id="3">
    <w:p w:rsidR="00000000">
      <w:pPr>
        <w:pStyle w:val="FootnoteText"/>
      </w:pPr>
      <w:r>
        <w:rPr>
          <w:rStyle w:val="FootnoteReference"/>
        </w:rPr>
        <w:footnoteRef/>
      </w:r>
      <w:r>
        <w:t xml:space="preserve"> </w:t>
      </w:r>
      <w:r>
        <w:fldChar w:fldCharType="begin"/>
      </w:r>
      <w:r>
        <w:instrText xml:space="preserve"> HYPERLINK "https://www.ukfinance.org.uk/system/files/2024-05/Annual%20Fraud%20Report%202024_0.pdf" </w:instrText>
      </w:r>
      <w:r>
        <w:fldChar w:fldCharType="separate"/>
      </w:r>
      <w:r w:rsidRPr="00BD5F51">
        <w:rPr>
          <w:rStyle w:val="Hyperlink"/>
        </w:rPr>
        <w:t>UK Finance Annual Fraud Report 2024</w:t>
      </w:r>
      <w:r>
        <w:fldChar w:fldCharType="end"/>
      </w:r>
    </w:p>
  </w:footnote>
  <w:footnote w:id="4">
    <w:p w:rsidR="00000000">
      <w:pPr>
        <w:pStyle w:val="FootnoteText"/>
      </w:pPr>
      <w:r>
        <w:rPr>
          <w:rStyle w:val="FootnoteReference"/>
        </w:rPr>
        <w:footnoteRef/>
      </w:r>
      <w:r>
        <w:t xml:space="preserve"> </w:t>
      </w:r>
      <w:r>
        <w:fldChar w:fldCharType="begin"/>
      </w:r>
      <w:r>
        <w:instrText xml:space="preserve"> HYPERLINK "https://www.linkedin.com/posts/payment-systems-regulator_internationalfraudawarenessweek-activity-7265670647433900032-v5d-/?utm_source=share&amp;utm_medium=member_ios" </w:instrText>
      </w:r>
      <w:r>
        <w:fldChar w:fldCharType="separate"/>
      </w:r>
      <w:r w:rsidRPr="00D117E6">
        <w:rPr>
          <w:rStyle w:val="Hyperlink"/>
        </w:rPr>
        <w:t>PSR LinkedIn Post ‘£80 million was lost to investment scams last year</w:t>
      </w:r>
      <w:r w:rsidRPr="00D117E6">
        <w:rPr>
          <w:rStyle w:val="Hyperlink"/>
        </w:rPr>
        <w:t>’</w:t>
      </w:r>
      <w:r>
        <w:fldChar w:fldCharType="end"/>
      </w:r>
    </w:p>
  </w:footnote>
  <w:footnote w:id="5">
    <w:p w:rsidR="00000000">
      <w:pPr>
        <w:pStyle w:val="FootnoteText"/>
      </w:pPr>
      <w:r>
        <w:rPr>
          <w:rStyle w:val="FootnoteReference"/>
        </w:rPr>
        <w:footnoteRef/>
      </w:r>
      <w:r>
        <w:t xml:space="preserve"> </w:t>
      </w:r>
      <w:r>
        <w:fldChar w:fldCharType="begin"/>
      </w:r>
      <w:r>
        <w:instrText xml:space="preserve"> HYPERLINK "https://www.abc.net.au/news/2024-04-28/scam-losses-in-2023-banks-government-accc-report-technology-work/103777548" </w:instrText>
      </w:r>
      <w:r>
        <w:fldChar w:fldCharType="separate"/>
      </w:r>
      <w:r w:rsidRPr="00747BC7">
        <w:rPr>
          <w:rStyle w:val="Hyperlink"/>
        </w:rPr>
        <w:t>Australians lost $2.7 billion to scams in 2023, ACCC report reveals</w:t>
      </w:r>
      <w:r>
        <w:fldChar w:fldCharType="end"/>
      </w:r>
    </w:p>
  </w:footnote>
  <w:footnote w:id="6">
    <w:p w:rsidR="00000000">
      <w:pPr>
        <w:pStyle w:val="FootnoteText"/>
      </w:pPr>
      <w:r>
        <w:rPr>
          <w:rStyle w:val="FootnoteReference"/>
        </w:rPr>
        <w:footnoteRef/>
      </w:r>
      <w:r>
        <w:t xml:space="preserve"> </w:t>
      </w:r>
      <w:r>
        <w:fldChar w:fldCharType="begin"/>
      </w:r>
      <w:r>
        <w:instrText xml:space="preserve"> HYPERLINK "https://www.credit-connect.co.uk/news/commercial-credit-management/uk-becoming-a-global-hotspot-for-online-fraud/" </w:instrText>
      </w:r>
      <w:r>
        <w:fldChar w:fldCharType="separate"/>
      </w:r>
      <w:r w:rsidRPr="00300101">
        <w:rPr>
          <w:rStyle w:val="Hyperlink"/>
        </w:rPr>
        <w:t>UK becoming a global hotspot for online fraud</w:t>
      </w:r>
      <w:r>
        <w:fldChar w:fldCharType="end"/>
      </w:r>
    </w:p>
  </w:footnote>
  <w:footnote w:id="7">
    <w:p w:rsidR="00000000" w:rsidP="00F5798D">
      <w:pPr>
        <w:pStyle w:val="FootnoteText"/>
      </w:pPr>
      <w:r>
        <w:rPr>
          <w:rStyle w:val="FootnoteReference"/>
        </w:rPr>
        <w:footnoteRef/>
      </w:r>
      <w:r>
        <w:t xml:space="preserve"> </w:t>
      </w:r>
      <w:r>
        <w:fldChar w:fldCharType="begin"/>
      </w:r>
      <w:r>
        <w:instrText xml:space="preserve"> HYPERLINK "https://www.londontradingstandards.org.uk/operation-broadway-receives-national-attention/" </w:instrText>
      </w:r>
      <w:r>
        <w:fldChar w:fldCharType="separate"/>
      </w:r>
      <w:r w:rsidRPr="00E63063">
        <w:rPr>
          <w:rStyle w:val="Hyperlink"/>
        </w:rPr>
        <w:t>Operation Broadway receives national attention</w:t>
      </w:r>
      <w:r>
        <w:fldChar w:fldCharType="end"/>
      </w:r>
    </w:p>
  </w:footnote>
  <w:footnote w:id="8">
    <w:p w:rsidR="00000000">
      <w:pPr>
        <w:pStyle w:val="FootnoteText"/>
      </w:pPr>
      <w:r>
        <w:rPr>
          <w:rStyle w:val="FootnoteReference"/>
        </w:rPr>
        <w:footnoteRef/>
      </w:r>
      <w:r>
        <w:t xml:space="preserve"> </w:t>
      </w:r>
      <w:r>
        <w:fldChar w:fldCharType="begin"/>
      </w:r>
      <w:r>
        <w:instrText xml:space="preserve"> HYPERLINK "https://www.actionfraud.police.uk/news/op-broadway-multi-agency-drive-to-stop-investment-fraud-in-the-capital" </w:instrText>
      </w:r>
      <w:r>
        <w:fldChar w:fldCharType="separate"/>
      </w:r>
      <w:r w:rsidRPr="008D2BD6">
        <w:rPr>
          <w:rStyle w:val="Hyperlink"/>
        </w:rPr>
        <w:t>Op</w:t>
      </w:r>
      <w:r>
        <w:rPr>
          <w:rStyle w:val="Hyperlink"/>
        </w:rPr>
        <w:t>eration</w:t>
      </w:r>
      <w:r w:rsidRPr="008D2BD6">
        <w:rPr>
          <w:rStyle w:val="Hyperlink"/>
        </w:rPr>
        <w:t xml:space="preserve"> Broadway - multi-agency drive to stop investment fraud in the Capital</w:t>
      </w:r>
      <w:r>
        <w:fldChar w:fldCharType="end"/>
      </w:r>
    </w:p>
  </w:footnote>
  <w:footnote w:id="9">
    <w:p w:rsidR="00000000">
      <w:pPr>
        <w:pStyle w:val="FootnoteText"/>
      </w:pPr>
      <w:r>
        <w:rPr>
          <w:rStyle w:val="FootnoteReference"/>
        </w:rPr>
        <w:footnoteRef/>
      </w:r>
      <w:r>
        <w:t xml:space="preserve"> </w:t>
      </w:r>
      <w:r>
        <w:fldChar w:fldCharType="begin"/>
      </w:r>
      <w:r>
        <w:instrText xml:space="preserve"> HYPERLINK "https://www.psr.org.uk/media/rxtlt2k4/ps23-3-app-fraud-reimbursement-policy-statement-june-2023.pdf" </w:instrText>
      </w:r>
      <w:r>
        <w:fldChar w:fldCharType="separate"/>
      </w:r>
      <w:r w:rsidRPr="00874E19">
        <w:rPr>
          <w:rStyle w:val="Hyperlink"/>
        </w:rPr>
        <w:t>PSR Policy statement - Fighting authorised push payment fraud: a new reimbursement requirement Response to September 2022 consultation (CP22/4)</w:t>
      </w:r>
      <w:r>
        <w:fldChar w:fldCharType="end"/>
      </w:r>
    </w:p>
  </w:footnote>
  <w:footnote w:id="10">
    <w:p w:rsidR="00000000" w:rsidP="00B83377">
      <w:pPr>
        <w:pStyle w:val="FootnoteText"/>
      </w:pPr>
      <w:r>
        <w:rPr>
          <w:rStyle w:val="FootnoteReference"/>
        </w:rPr>
        <w:footnoteRef/>
      </w:r>
      <w:r>
        <w:t xml:space="preserve"> </w:t>
      </w:r>
      <w:r>
        <w:fldChar w:fldCharType="begin"/>
      </w:r>
      <w:r>
        <w:instrText xml:space="preserve"> HYPERLINK "https://www.lendingstandardsboard.org.uk/wp-content/uploads/2023/10/LSB-CRM-Code-V5.0-17-October-2023.pdf" </w:instrText>
      </w:r>
      <w:r>
        <w:fldChar w:fldCharType="separate"/>
      </w:r>
      <w:r w:rsidRPr="00C10135">
        <w:rPr>
          <w:rStyle w:val="Hyperlink"/>
        </w:rPr>
        <w:t>Contingent Reimbursement Model Code for Authorised Push Payment Scams 8 February 2023</w:t>
      </w:r>
      <w:r>
        <w:fldChar w:fldCharType="end"/>
      </w:r>
    </w:p>
  </w:footnote>
  <w:footnote w:id="11">
    <w:p w:rsidR="00000000">
      <w:pPr>
        <w:pStyle w:val="FootnoteText"/>
      </w:pPr>
      <w:r>
        <w:rPr>
          <w:rStyle w:val="FootnoteReference"/>
        </w:rPr>
        <w:footnoteRef/>
      </w:r>
      <w:r>
        <w:t xml:space="preserve"> </w:t>
      </w:r>
      <w:r>
        <w:fldChar w:fldCharType="begin"/>
      </w:r>
      <w:r>
        <w:instrText xml:space="preserve"> HYPERLINK "https://www.psr.org.uk/news-and-updates/latest-news/news/groundbreaking-new-protections-for-victims-of-app-scams-start-today/" </w:instrText>
      </w:r>
      <w:r>
        <w:fldChar w:fldCharType="separate"/>
      </w:r>
      <w:r w:rsidRPr="00F81A43">
        <w:rPr>
          <w:rStyle w:val="Hyperlink"/>
        </w:rPr>
        <w:t>Groundbreaking new protections for victims of APP scams start today</w:t>
      </w:r>
      <w:r>
        <w:fldChar w:fldCharType="end"/>
      </w:r>
    </w:p>
  </w:footnote>
  <w:footnote w:id="12">
    <w:p w:rsidR="00000000">
      <w:pPr>
        <w:pStyle w:val="FootnoteText"/>
      </w:pPr>
      <w:r>
        <w:rPr>
          <w:rStyle w:val="FootnoteReference"/>
        </w:rPr>
        <w:footnoteRef/>
      </w:r>
      <w:r>
        <w:t xml:space="preserve"> </w:t>
      </w:r>
      <w:r>
        <w:fldChar w:fldCharType="begin"/>
      </w:r>
      <w:r>
        <w:instrText xml:space="preserve"> HYPERLINK "chrome-extension://efaidnbmnnnibpcajpcglclefindmkaj/https:/www.psr.org.uk/media/t0sln5vn/which-super-complaint-sep-2016.pdf" </w:instrText>
      </w:r>
      <w:r>
        <w:fldChar w:fldCharType="separate"/>
      </w:r>
      <w:r w:rsidRPr="008A5EDC">
        <w:rPr>
          <w:rStyle w:val="Hyperlink"/>
        </w:rPr>
        <w:t>Which? super-complaint Consumer safeguards in the market for push payments</w:t>
      </w:r>
      <w:r>
        <w:fldChar w:fldCharType="end"/>
      </w:r>
    </w:p>
  </w:footnote>
  <w:footnote w:id="13">
    <w:p w:rsidR="00000000">
      <w:pPr>
        <w:pStyle w:val="FootnoteText"/>
      </w:pPr>
      <w:r>
        <w:rPr>
          <w:rStyle w:val="FootnoteReference"/>
        </w:rPr>
        <w:footnoteRef/>
      </w:r>
      <w:r>
        <w:t xml:space="preserve"> </w:t>
      </w:r>
      <w:r>
        <w:fldChar w:fldCharType="begin"/>
      </w:r>
      <w:r>
        <w:instrText xml:space="preserve"> HYPERLINK "https://www.psr.org.uk/publications/policy-statements/ps246-supporting-the-identification-of-app-scams-and-civil-disputes/" </w:instrText>
      </w:r>
      <w:r>
        <w:fldChar w:fldCharType="separate"/>
      </w:r>
      <w:r w:rsidRPr="004D2986">
        <w:rPr>
          <w:rStyle w:val="Hyperlink"/>
        </w:rPr>
        <w:t>PSR Policy statement - Supporting the identification of APP scams and civil disputes September 2024</w:t>
      </w:r>
      <w:r>
        <w:fldChar w:fldCharType="end"/>
      </w:r>
    </w:p>
  </w:footnote>
  <w:footnote w:id="14">
    <w:p w:rsidR="00000000">
      <w:pPr>
        <w:pStyle w:val="FootnoteText"/>
      </w:pPr>
      <w:r>
        <w:rPr>
          <w:rStyle w:val="FootnoteReference"/>
        </w:rPr>
        <w:footnoteRef/>
      </w:r>
      <w:r>
        <w:t xml:space="preserve"> </w:t>
      </w:r>
      <w:r>
        <w:fldChar w:fldCharType="begin"/>
      </w:r>
      <w:r>
        <w:instrText xml:space="preserve"> HYPERLINK "https://www.financial-ombudsman.org.uk/files/289009/2020-10-02-LSB-CRM-Code-Review-Financial-Ombudsman-Service-Response.pdf" </w:instrText>
      </w:r>
      <w:r>
        <w:fldChar w:fldCharType="separate"/>
      </w:r>
      <w:r w:rsidRPr="00F41DDF">
        <w:rPr>
          <w:rStyle w:val="Hyperlink"/>
        </w:rPr>
        <w:t>LSB Review of the CRM Code for Authorised Push Payment Scams - FOS response</w:t>
      </w:r>
      <w:r>
        <w:fldChar w:fldCharType="end"/>
      </w:r>
    </w:p>
  </w:footnote>
  <w:footnote w:id="15">
    <w:p w:rsidR="00000000">
      <w:pPr>
        <w:pStyle w:val="FootnoteText"/>
      </w:pPr>
      <w:r>
        <w:rPr>
          <w:rStyle w:val="FootnoteReference"/>
        </w:rPr>
        <w:footnoteRef/>
      </w:r>
      <w:r>
        <w:t xml:space="preserve"> </w:t>
      </w:r>
      <w:r>
        <w:fldChar w:fldCharType="begin"/>
      </w:r>
      <w:r>
        <w:instrText xml:space="preserve"> HYPERLINK "https://www.psr.org.uk/media/1scay2wu/psr-app-scams-report-consultation.pdf" </w:instrText>
      </w:r>
      <w:r>
        <w:fldChar w:fldCharType="separate"/>
      </w:r>
      <w:r w:rsidRPr="00490F29">
        <w:rPr>
          <w:rStyle w:val="Hyperlink"/>
        </w:rPr>
        <w:t>P</w:t>
      </w:r>
      <w:r w:rsidRPr="00490F29">
        <w:rPr>
          <w:rStyle w:val="Hyperlink"/>
        </w:rPr>
        <w:t xml:space="preserve">SR CP17/2 Report and Consultation Authorised </w:t>
      </w:r>
      <w:r>
        <w:rPr>
          <w:rStyle w:val="Hyperlink"/>
        </w:rPr>
        <w:t>P</w:t>
      </w:r>
      <w:r w:rsidRPr="00490F29">
        <w:rPr>
          <w:rStyle w:val="Hyperlink"/>
        </w:rPr>
        <w:t xml:space="preserve">ush </w:t>
      </w:r>
      <w:r>
        <w:rPr>
          <w:rStyle w:val="Hyperlink"/>
        </w:rPr>
        <w:t>P</w:t>
      </w:r>
      <w:r w:rsidRPr="00490F29">
        <w:rPr>
          <w:rStyle w:val="Hyperlink"/>
        </w:rPr>
        <w:t xml:space="preserve">ayment </w:t>
      </w:r>
      <w:r>
        <w:rPr>
          <w:rStyle w:val="Hyperlink"/>
        </w:rPr>
        <w:t>S</w:t>
      </w:r>
      <w:r w:rsidRPr="00490F29">
        <w:rPr>
          <w:rStyle w:val="Hyperlink"/>
        </w:rPr>
        <w:t>cams</w:t>
      </w:r>
      <w:r>
        <w:fldChar w:fldCharType="end"/>
      </w:r>
      <w:r>
        <w:t xml:space="preserve"> </w:t>
      </w:r>
      <w:r w:rsidRPr="000F74E0">
        <w:t xml:space="preserve">‘Resolving Disputes’ page </w:t>
      </w:r>
      <w:r w:rsidRPr="000F74E0">
        <w:t>45</w:t>
      </w:r>
    </w:p>
  </w:footnote>
  <w:footnote w:id="16">
    <w:p w:rsidR="00000000">
      <w:pPr>
        <w:pStyle w:val="FootnoteText"/>
      </w:pPr>
      <w:r>
        <w:rPr>
          <w:rStyle w:val="FootnoteReference"/>
        </w:rPr>
        <w:footnoteRef/>
      </w:r>
      <w:r>
        <w:t xml:space="preserve"> </w:t>
      </w:r>
      <w:r>
        <w:fldChar w:fldCharType="begin"/>
      </w:r>
      <w:r>
        <w:instrText xml:space="preserve"> HYPERLINK "https://www.thetimes.com/business-money/money/article/i-lost-190k-in-a-ponzi-scheme-but-barclays-says-its-not-a-scam-2smcsmm60" </w:instrText>
      </w:r>
      <w:r>
        <w:fldChar w:fldCharType="separate"/>
      </w:r>
      <w:r w:rsidRPr="007C0398">
        <w:rPr>
          <w:rStyle w:val="Hyperlink"/>
        </w:rPr>
        <w:t>Sunday Times: I lost £190k in a Ponzi scheme, but Barclays says it’s not a scam</w:t>
      </w:r>
      <w:r>
        <w:fldChar w:fldCharType="end"/>
      </w:r>
    </w:p>
  </w:footnote>
  <w:footnote w:id="17">
    <w:p w:rsidR="00000000">
      <w:pPr>
        <w:pStyle w:val="FootnoteText"/>
      </w:pPr>
      <w:r>
        <w:rPr>
          <w:rStyle w:val="FootnoteReference"/>
        </w:rPr>
        <w:footnoteRef/>
      </w:r>
      <w:r>
        <w:t xml:space="preserve"> </w:t>
      </w:r>
      <w:r>
        <w:fldChar w:fldCharType="begin"/>
      </w:r>
      <w:r>
        <w:instrText xml:space="preserve"> HYPERLINK "https://www.handbook.fca.org.uk/handbook/DISP/3/?view=chapter" </w:instrText>
      </w:r>
      <w:r>
        <w:fldChar w:fldCharType="separate"/>
      </w:r>
      <w:r w:rsidRPr="00E310A6">
        <w:rPr>
          <w:rStyle w:val="Hyperlink"/>
        </w:rPr>
        <w:t xml:space="preserve">FCA Handbook </w:t>
      </w:r>
      <w:r w:rsidRPr="00E310A6">
        <w:rPr>
          <w:rStyle w:val="Hyperlink"/>
        </w:rPr>
        <w:t>Chapter 3 DISP</w:t>
      </w:r>
      <w:r>
        <w:fldChar w:fldCharType="end"/>
      </w:r>
    </w:p>
  </w:footnote>
  <w:footnote w:id="18">
    <w:p w:rsidR="00000000">
      <w:pPr>
        <w:pStyle w:val="FootnoteText"/>
      </w:pPr>
      <w:r>
        <w:rPr>
          <w:rStyle w:val="FootnoteReference"/>
        </w:rPr>
        <w:footnoteRef/>
      </w:r>
      <w:r>
        <w:t xml:space="preserve"> </w:t>
      </w:r>
      <w:r>
        <w:fldChar w:fldCharType="begin"/>
      </w:r>
      <w:r>
        <w:instrText xml:space="preserve"> HYPERLINK "https://www.fca.org.uk/publication/call-for-input/call-for-input-modernising-redress-system.pdf" </w:instrText>
      </w:r>
      <w:r>
        <w:fldChar w:fldCharType="separate"/>
      </w:r>
      <w:r w:rsidRPr="0071136A">
        <w:rPr>
          <w:rStyle w:val="Hyperlink"/>
        </w:rPr>
        <w:t>Call for Input: Modernising the Redress System</w:t>
      </w:r>
      <w:r>
        <w:fldChar w:fldCharType="end"/>
      </w:r>
    </w:p>
  </w:footnote>
  <w:footnote w:id="19">
    <w:p w:rsidR="00000000">
      <w:pPr>
        <w:pStyle w:val="FootnoteText"/>
      </w:pPr>
      <w:r>
        <w:rPr>
          <w:rStyle w:val="FootnoteReference"/>
        </w:rPr>
        <w:footnoteRef/>
      </w:r>
      <w:r>
        <w:t xml:space="preserve"> </w:t>
      </w:r>
      <w:r>
        <w:fldChar w:fldCharType="begin"/>
      </w:r>
      <w:r>
        <w:instrText xml:space="preserve"> HYPERLINK "https://assets.publishing.service.gov.uk/media/67371a7e65b6c2f3313e5d46/CX_Letter_-_Payments_Regulation_-_FCA___PSR_14112024.pdf" </w:instrText>
      </w:r>
      <w:r>
        <w:fldChar w:fldCharType="separate"/>
      </w:r>
      <w:r w:rsidRPr="00A95D9E">
        <w:rPr>
          <w:rStyle w:val="Hyperlink"/>
        </w:rPr>
        <w:t>Letter from the Chancellor of the Exchequer to the CE</w:t>
      </w:r>
      <w:r w:rsidRPr="00A95D9E">
        <w:rPr>
          <w:rStyle w:val="Hyperlink"/>
        </w:rPr>
        <w:t>O</w:t>
      </w:r>
      <w:r w:rsidRPr="00A95D9E">
        <w:rPr>
          <w:rStyle w:val="Hyperlink"/>
        </w:rPr>
        <w:t xml:space="preserve"> of the FCA and MD of the PSR</w:t>
      </w:r>
      <w:r w:rsidRPr="00A95D9E">
        <w:rPr>
          <w:rStyle w:val="Hyperlink"/>
        </w:rPr>
        <w:t xml:space="preserve"> </w:t>
      </w:r>
      <w:r w:rsidRPr="00A95D9E">
        <w:rPr>
          <w:rStyle w:val="Hyperlink"/>
        </w:rPr>
        <w:t>providing recommendations on payments regulation</w:t>
      </w:r>
      <w:r>
        <w:fldChar w:fldCharType="end"/>
      </w:r>
    </w:p>
  </w:footnote>
  <w:footnote w:id="20">
    <w:p w:rsidR="00000000">
      <w:pPr>
        <w:pStyle w:val="FootnoteText"/>
      </w:pPr>
      <w:r>
        <w:rPr>
          <w:rStyle w:val="FootnoteReference"/>
        </w:rPr>
        <w:footnoteRef/>
      </w:r>
      <w:r>
        <w:t xml:space="preserve"> Factoring in induvial circumstances and the exceptions set out in the Code and MR.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C80F9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25C1970"/>
    <w:multiLevelType w:val="hybridMultilevel"/>
    <w:tmpl w:val="1584C9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F454DD8"/>
    <w:multiLevelType w:val="multilevel"/>
    <w:tmpl w:val="1932E2A4"/>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left"/>
      <w:pPr>
        <w:ind w:left="1077" w:hanging="737"/>
      </w:pPr>
      <w:rPr>
        <w:rFonts w:hint="default"/>
      </w:rPr>
    </w:lvl>
    <w:lvl w:ilvl="3">
      <w:start w:val="1"/>
      <w:numFmt w:val="bullet"/>
      <w:lvlText w:val=""/>
      <w:lvlJc w:val="left"/>
      <w:pPr>
        <w:ind w:left="1474" w:hanging="227"/>
      </w:pPr>
      <w:rPr>
        <w:rFonts w:ascii="Symbol" w:hAnsi="Symbol"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3A493031"/>
    <w:multiLevelType w:val="hybridMultilevel"/>
    <w:tmpl w:val="A7B65A5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3BDF124A"/>
    <w:multiLevelType w:val="multilevel"/>
    <w:tmpl w:val="CEECB7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E046AFA"/>
    <w:multiLevelType w:val="multilevel"/>
    <w:tmpl w:val="DCA06708"/>
    <w:lvl w:ilvl="0">
      <w:start w:val="1"/>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786F098B"/>
    <w:multiLevelType w:val="multilevel"/>
    <w:tmpl w:val="DCA06708"/>
    <w:lvl w:ilvl="0">
      <w:start w:val="1"/>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1"/>
  </w:num>
  <w:num w:numId="3">
    <w:abstractNumId w:val="4"/>
  </w:num>
  <w:num w:numId="4">
    <w:abstractNumId w:val="5"/>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1446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46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46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46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46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46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46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46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46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6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46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46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46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46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46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46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46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4625"/>
    <w:rPr>
      <w:rFonts w:eastAsiaTheme="majorEastAsia" w:cstheme="majorBidi"/>
      <w:color w:val="272727" w:themeColor="text1" w:themeTint="D8"/>
    </w:rPr>
  </w:style>
  <w:style w:type="paragraph" w:styleId="Title">
    <w:name w:val="Title"/>
    <w:basedOn w:val="Normal"/>
    <w:next w:val="Normal"/>
    <w:link w:val="TitleChar"/>
    <w:uiPriority w:val="10"/>
    <w:qFormat/>
    <w:rsid w:val="001446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6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46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46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4625"/>
    <w:pPr>
      <w:spacing w:before="160"/>
      <w:jc w:val="center"/>
    </w:pPr>
    <w:rPr>
      <w:i/>
      <w:iCs/>
      <w:color w:val="404040" w:themeColor="text1" w:themeTint="BF"/>
    </w:rPr>
  </w:style>
  <w:style w:type="character" w:customStyle="1" w:styleId="QuoteChar">
    <w:name w:val="Quote Char"/>
    <w:basedOn w:val="DefaultParagraphFont"/>
    <w:link w:val="Quote"/>
    <w:uiPriority w:val="29"/>
    <w:rsid w:val="00144625"/>
    <w:rPr>
      <w:i/>
      <w:iCs/>
      <w:color w:val="404040" w:themeColor="text1" w:themeTint="BF"/>
    </w:rPr>
  </w:style>
  <w:style w:type="paragraph" w:styleId="ListParagraph">
    <w:name w:val="List Paragraph"/>
    <w:basedOn w:val="Normal"/>
    <w:uiPriority w:val="34"/>
    <w:qFormat/>
    <w:rsid w:val="00144625"/>
    <w:pPr>
      <w:ind w:left="720"/>
      <w:contextualSpacing/>
    </w:pPr>
  </w:style>
  <w:style w:type="character" w:styleId="IntenseEmphasis">
    <w:name w:val="Intense Emphasis"/>
    <w:basedOn w:val="DefaultParagraphFont"/>
    <w:uiPriority w:val="21"/>
    <w:qFormat/>
    <w:rsid w:val="00144625"/>
    <w:rPr>
      <w:i/>
      <w:iCs/>
      <w:color w:val="0F4761" w:themeColor="accent1" w:themeShade="BF"/>
    </w:rPr>
  </w:style>
  <w:style w:type="paragraph" w:styleId="IntenseQuote">
    <w:name w:val="Intense Quote"/>
    <w:basedOn w:val="Normal"/>
    <w:next w:val="Normal"/>
    <w:link w:val="IntenseQuoteChar"/>
    <w:uiPriority w:val="30"/>
    <w:qFormat/>
    <w:rsid w:val="001446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4625"/>
    <w:rPr>
      <w:i/>
      <w:iCs/>
      <w:color w:val="0F4761" w:themeColor="accent1" w:themeShade="BF"/>
    </w:rPr>
  </w:style>
  <w:style w:type="character" w:styleId="IntenseReference">
    <w:name w:val="Intense Reference"/>
    <w:basedOn w:val="DefaultParagraphFont"/>
    <w:uiPriority w:val="32"/>
    <w:qFormat/>
    <w:rsid w:val="00144625"/>
    <w:rPr>
      <w:b/>
      <w:bCs/>
      <w:smallCaps/>
      <w:color w:val="0F4761" w:themeColor="accent1" w:themeShade="BF"/>
      <w:spacing w:val="5"/>
    </w:rPr>
  </w:style>
  <w:style w:type="paragraph" w:styleId="FootnoteText">
    <w:name w:val="footnote text"/>
    <w:basedOn w:val="Normal"/>
    <w:link w:val="FootnoteTextChar"/>
    <w:uiPriority w:val="99"/>
    <w:semiHidden/>
    <w:unhideWhenUsed/>
    <w:rsid w:val="009F44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4424"/>
    <w:rPr>
      <w:sz w:val="20"/>
      <w:szCs w:val="20"/>
    </w:rPr>
  </w:style>
  <w:style w:type="character" w:styleId="FootnoteReference">
    <w:name w:val="footnote reference"/>
    <w:basedOn w:val="DefaultParagraphFont"/>
    <w:uiPriority w:val="99"/>
    <w:semiHidden/>
    <w:unhideWhenUsed/>
    <w:rsid w:val="009F4424"/>
    <w:rPr>
      <w:vertAlign w:val="superscript"/>
    </w:rPr>
  </w:style>
  <w:style w:type="character" w:styleId="Hyperlink">
    <w:name w:val="Hyperlink"/>
    <w:basedOn w:val="DefaultParagraphFont"/>
    <w:uiPriority w:val="99"/>
    <w:unhideWhenUsed/>
    <w:rsid w:val="007E1BF7"/>
    <w:rPr>
      <w:color w:val="467886" w:themeColor="hyperlink"/>
      <w:u w:val="single"/>
    </w:rPr>
  </w:style>
  <w:style w:type="character" w:customStyle="1" w:styleId="UnresolvedMention1">
    <w:name w:val="Unresolved Mention1"/>
    <w:basedOn w:val="DefaultParagraphFont"/>
    <w:uiPriority w:val="99"/>
    <w:semiHidden/>
    <w:unhideWhenUsed/>
    <w:rsid w:val="007E1BF7"/>
    <w:rPr>
      <w:color w:val="605E5C"/>
      <w:shd w:val="clear" w:color="auto" w:fill="E1DFDD"/>
    </w:rPr>
  </w:style>
  <w:style w:type="paragraph" w:styleId="Header">
    <w:name w:val="header"/>
    <w:basedOn w:val="Normal"/>
    <w:link w:val="HeaderChar"/>
    <w:uiPriority w:val="99"/>
    <w:unhideWhenUsed/>
    <w:rsid w:val="007111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113A"/>
  </w:style>
  <w:style w:type="paragraph" w:styleId="Footer">
    <w:name w:val="footer"/>
    <w:basedOn w:val="Normal"/>
    <w:link w:val="FooterChar"/>
    <w:uiPriority w:val="99"/>
    <w:unhideWhenUsed/>
    <w:rsid w:val="007111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113A"/>
  </w:style>
  <w:style w:type="table" w:styleId="TableGrid">
    <w:name w:val="Table Grid"/>
    <w:basedOn w:val="TableNormal"/>
    <w:uiPriority w:val="39"/>
    <w:rsid w:val="00994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23CC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881A2E9927B0E4A8936E46CC1DB6F91" ma:contentTypeVersion="141" ma:contentTypeDescription="Create a new document." ma:contentTypeScope="" ma:versionID="ef4c57baf0d09b5d5ca5d514ff03d808">
  <xsd:schema xmlns:xsd="http://www.w3.org/2001/XMLSchema" xmlns:xs="http://www.w3.org/2001/XMLSchema" xmlns:p="http://schemas.microsoft.com/office/2006/metadata/properties" xmlns:ns2="4c62aec3-b261-4d27-9924-573876553c95" xmlns:ns3="24ccaad8-887f-4fd1-bd1d-b42c115c7202" targetNamespace="http://schemas.microsoft.com/office/2006/metadata/properties" ma:root="true" ma:fieldsID="a915c7798f90dc53d602ebd534211d8b" ns2:_="" ns3:_="">
    <xsd:import namespace="4c62aec3-b261-4d27-9924-573876553c95"/>
    <xsd:import namespace="24ccaad8-887f-4fd1-bd1d-b42c115c7202"/>
    <xsd:element name="properties">
      <xsd:complexType>
        <xsd:sequence>
          <xsd:element name="documentManagement">
            <xsd:complexType>
              <xsd:all>
                <xsd:element ref="ns2:Document_x0020_Status1"/>
                <xsd:element ref="ns2:Meeting_x0020_Date" minOccurs="0"/>
                <xsd:element ref="ns2:RecordNumber" minOccurs="0"/>
                <xsd:element ref="ns2:RetentionTriggerDate" minOccurs="0"/>
                <xsd:element ref="ns2:TransfertoArchives" minOccurs="0"/>
                <xsd:element ref="ns2:TaxCatchAll" minOccurs="0"/>
                <xsd:element ref="ns2:_dlc_DocId" minOccurs="0"/>
                <xsd:element ref="ns2:_dlc_DocIdUrl" minOccurs="0"/>
                <xsd:element ref="ns2:_dlc_DocIdPersistId" minOccurs="0"/>
                <xsd:element ref="ns2:d6324bf9831643bd94cf6c883cfcc408" minOccurs="0"/>
                <xsd:element ref="ns2:edc898bf3bb343549b83ac391d519ef2" minOccurs="0"/>
                <xsd:element ref="ns2:e6f926d7f5b14a74bee86c3452d91372" minOccurs="0"/>
                <xsd:element ref="ns2:c4838c65c76546ae93d5703426802f7f" minOccurs="0"/>
                <xsd:element ref="ns2:j6c5b17cd04246da82e5604daf08bc68" minOccurs="0"/>
                <xsd:element ref="ns2:g3ef09377e3444258679b6035a1ff93a" minOccurs="0"/>
                <xsd:element ref="ns2:cd0fc526a5c840319a97fd94028e9904" minOccurs="0"/>
                <xsd:element ref="ns2:k5b153ee974a4a57a7568e533217f2cb"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2aec3-b261-4d27-9924-573876553c95"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TaxCatchAll" ma:index="16" nillable="true" ma:displayName="Taxonomy Catch All Column" ma:hidden="true" ma:list="{63b5ad26-cf8f-45ba-b156-6579ece0a331}" ma:internalName="TaxCatchAll" ma:showField="CatchAllData" ma:web="4c62aec3-b261-4d27-9924-573876553c95">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d6324bf9831643bd94cf6c883cfcc408" ma:index="25" ma:taxonomy="true" ma:internalName="d6324bf9831643bd94cf6c883cfcc408" ma:taxonomyFieldName="Document_x0020_Type1" ma:displayName="Document Type" ma:readOnly="false" ma:default="9;#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6" ma:taxonomy="true" ma:internalName="edc898bf3bb343549b83ac391d519ef2" ma:taxonomyFieldName="Inquiry" ma:displayName="Inquiry" ma:readOnly="false" ma:default="11;#Financial Services Regulation|b34114c3-3d80-4305-ab48-9f7e74c965cc" ma:fieldId="{edc898bf-3bb3-4354-9b83-ac391d519ef2}" ma:sspId="eb37f91c-4bb8-4ab3-bc5a-cd8753815459" ma:termSetId="a674e8b6-da86-4d54-8cb9-8ad84b458feb" ma:anchorId="5c191f4e-b0d1-4333-97bc-99d434b04660" ma:open="false" ma:isKeyword="false">
      <xsd:complexType>
        <xsd:sequence>
          <xsd:element ref="pc:Terms" minOccurs="0" maxOccurs="1"/>
        </xsd:sequence>
      </xsd:complexType>
    </xsd:element>
    <xsd:element name="e6f926d7f5b14a74bee86c3452d91372" ma:index="27" nillable="true" ma:taxonomy="true" ma:internalName="e6f926d7f5b14a74bee86c3452d91372" ma:taxonomyFieldName="Sessions" ma:displayName="Sessions" ma:readOnly="false" ma:default="52;#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4;#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9" nillable="true" ma:taxonomy="true" ma:internalName="j6c5b17cd04246da82e5604daf08bc68" ma:taxonomyFieldName="RMKeyword2" ma:displayName="RM Keyword 2" ma:readOnly="false" ma:default="10;#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ccaad8-887f-4fd1-bd1d-b42c115c7202"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d6324bf9831643bd94cf6c883cfcc408 xmlns="4c62aec3-b261-4d27-9924-573876553c95">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d6324bf9831643bd94cf6c883cfcc408>
    <TaxCatchAll xmlns="4c62aec3-b261-4d27-9924-573876553c95">
      <Value>10</Value>
      <Value>4</Value>
      <Value>52</Value>
      <Value>9</Value>
      <Value>11</Value>
    </TaxCatchAll>
    <g3ef09377e3444258679b6035a1ff93a xmlns="4c62aec3-b261-4d27-9924-573876553c95">
      <Terms xmlns="http://schemas.microsoft.com/office/infopath/2007/PartnerControls"/>
    </g3ef09377e3444258679b6035a1ff93a>
    <RecordNumber xmlns="4c62aec3-b261-4d27-9924-573876553c95" xsi:nil="true"/>
    <Meeting_x0020_Date xmlns="4c62aec3-b261-4d27-9924-573876553c95" xsi:nil="true"/>
    <j6c5b17cd04246da82e5604daf08bc68 xmlns="4c62aec3-b261-4d27-9924-573876553c95">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TransfertoArchives xmlns="4c62aec3-b261-4d27-9924-573876553c95">false</TransfertoArchives>
    <RetentionTriggerDate xmlns="4c62aec3-b261-4d27-9924-573876553c95" xsi:nil="true"/>
    <e6f926d7f5b14a74bee86c3452d91372 xmlns="4c62aec3-b261-4d27-9924-573876553c95">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cd0fc526a5c840319a97fd94028e9904 xmlns="4c62aec3-b261-4d27-9924-573876553c95">
      <Terms xmlns="http://schemas.microsoft.com/office/infopath/2007/PartnerControls"/>
    </cd0fc526a5c840319a97fd94028e9904>
    <Document_x0020_Status1 xmlns="4c62aec3-b261-4d27-9924-573876553c95">N/A</Document_x0020_Status1>
    <edc898bf3bb343549b83ac391d519ef2 xmlns="4c62aec3-b261-4d27-9924-573876553c95">
      <Terms xmlns="http://schemas.microsoft.com/office/infopath/2007/PartnerControls">
        <TermInfo xmlns="http://schemas.microsoft.com/office/infopath/2007/PartnerControls">
          <TermName xmlns="http://schemas.microsoft.com/office/infopath/2007/PartnerControls">Financial Services Regulation</TermName>
          <TermId xmlns="http://schemas.microsoft.com/office/infopath/2007/PartnerControls">b34114c3-3d80-4305-ab48-9f7e74c965cc</TermId>
        </TermInfo>
      </Terms>
    </edc898bf3bb343549b83ac391d519ef2>
    <c4838c65c76546ae93d5703426802f7f xmlns="4c62aec3-b261-4d27-9924-573876553c95">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k5b153ee974a4a57a7568e533217f2cb xmlns="4c62aec3-b261-4d27-9924-573876553c95">
      <Terms xmlns="http://schemas.microsoft.com/office/infopath/2007/PartnerControls"/>
    </k5b153ee974a4a57a7568e533217f2cb>
    <_dlc_DocId xmlns="4c62aec3-b261-4d27-9924-573876553c95">NA4W4EYADCQ4-659821828-240</_dlc_DocId>
    <_dlc_DocIdUrl xmlns="4c62aec3-b261-4d27-9924-573876553c95">
      <Url>https://hopuk.sharepoint.com/sites/hlc-FinServ/_layouts/15/DocIdRedir.aspx?ID=NA4W4EYADCQ4-659821828-240</Url>
      <Description>NA4W4EYADCQ4-659821828-240</Description>
    </_dlc_DocIdUrl>
  </documentManagement>
</p:properties>
</file>

<file path=customXml/itemProps1.xml><?xml version="1.0" encoding="utf-8"?>
<ds:datastoreItem xmlns:ds="http://schemas.openxmlformats.org/officeDocument/2006/customXml" ds:itemID="{3F04D2E1-E948-4E48-AD1E-DB502AC19459}">
  <ds:schemaRefs>
    <ds:schemaRef ds:uri="http://schemas.openxmlformats.org/officeDocument/2006/bibliography"/>
  </ds:schemaRefs>
</ds:datastoreItem>
</file>

<file path=customXml/itemProps2.xml><?xml version="1.0" encoding="utf-8"?>
<ds:datastoreItem xmlns:ds="http://schemas.openxmlformats.org/officeDocument/2006/customXml" ds:itemID="{288DE7BA-8D33-4131-A335-51D17EF4EFE2}">
  <ds:schemaRefs/>
</ds:datastoreItem>
</file>

<file path=customXml/itemProps3.xml><?xml version="1.0" encoding="utf-8"?>
<ds:datastoreItem xmlns:ds="http://schemas.openxmlformats.org/officeDocument/2006/customXml" ds:itemID="{860A8BB7-DD48-4EFA-B4CE-DA05FAF96D5D}">
  <ds:schemaRefs/>
</ds:datastoreItem>
</file>

<file path=customXml/itemProps4.xml><?xml version="1.0" encoding="utf-8"?>
<ds:datastoreItem xmlns:ds="http://schemas.openxmlformats.org/officeDocument/2006/customXml" ds:itemID="{7FEFF937-FF8E-46D6-94A7-1B14D637C92E}">
  <ds:schemaRefs/>
</ds:datastoreItem>
</file>

<file path=customXml/itemProps5.xml><?xml version="1.0" encoding="utf-8"?>
<ds:datastoreItem xmlns:ds="http://schemas.openxmlformats.org/officeDocument/2006/customXml" ds:itemID="{AC865999-4E75-4993-AFF9-6ED620E3EAA4}">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