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E0191" w:rsidRPr="006E0191" w:rsidP="006E0191">
      <w:pPr>
        <w:rPr>
          <w:rFonts w:ascii="Verdana" w:hAnsi="Verdana" w:cs="Arial"/>
          <w:b/>
          <w:bCs/>
          <w:sz w:val="28"/>
          <w:szCs w:val="28"/>
        </w:rPr>
      </w:pPr>
      <w:r w:rsidRPr="00FE68A7">
        <w:rPr>
          <w:rFonts w:ascii="Verdana" w:hAnsi="Verdana" w:cs="Arial"/>
          <w:b/>
          <w:bCs/>
          <w:sz w:val="28"/>
          <w:szCs w:val="28"/>
        </w:rPr>
        <w:t>DR ZOÉ COLOMBET, DR BRENDAN COLLINS, DR YANAINA CHAVEZ-UGALDE, PROF MARTIN O’FLAHERTY, DR CHRIS KYPRIDEMOS</w:t>
      </w:r>
      <w:r>
        <w:rPr>
          <w:rFonts w:ascii="Verdana" w:hAnsi="Verdana" w:cs="Arial"/>
          <w:b/>
          <w:bCs/>
          <w:sz w:val="28"/>
          <w:szCs w:val="28"/>
        </w:rPr>
        <w:t xml:space="preserve"> AND</w:t>
      </w:r>
      <w:r w:rsidRPr="00FE68A7">
        <w:rPr>
          <w:rFonts w:ascii="Verdana" w:hAnsi="Verdana" w:cs="Arial"/>
          <w:b/>
          <w:bCs/>
          <w:sz w:val="28"/>
          <w:szCs w:val="28"/>
        </w:rPr>
        <w:t xml:space="preserve"> PROF SIMON CAPEWELL</w:t>
      </w:r>
      <w:r>
        <w:rPr>
          <w:rFonts w:ascii="Verdana" w:hAnsi="Verdana" w:cs="Arial"/>
          <w:b/>
          <w:bCs/>
          <w:sz w:val="28"/>
          <w:szCs w:val="28"/>
        </w:rPr>
        <w:t xml:space="preserve"> </w:t>
      </w:r>
      <w:r w:rsidRPr="006E0191">
        <w:rPr>
          <w:rFonts w:ascii="Verdana" w:hAnsi="Verdana" w:cs="Arial"/>
          <w:b/>
          <w:bCs/>
          <w:sz w:val="28"/>
          <w:szCs w:val="28"/>
        </w:rPr>
        <w:t>- WRITTEN EVIDENCE (FDO00</w:t>
      </w:r>
      <w:r w:rsidR="000A2872">
        <w:rPr>
          <w:rFonts w:ascii="Verdana" w:hAnsi="Verdana" w:cs="Arial"/>
          <w:b/>
          <w:bCs/>
          <w:sz w:val="28"/>
          <w:szCs w:val="28"/>
        </w:rPr>
        <w:t>71</w:t>
      </w:r>
      <w:r w:rsidRPr="006E0191">
        <w:rPr>
          <w:rFonts w:ascii="Verdana" w:hAnsi="Verdana" w:cs="Arial"/>
          <w:b/>
          <w:bCs/>
          <w:sz w:val="28"/>
          <w:szCs w:val="28"/>
        </w:rPr>
        <w:t>)</w:t>
      </w:r>
    </w:p>
    <w:p w:rsidR="000A2872" w:rsidP="006E0191">
      <w:pPr>
        <w:rPr>
          <w:rFonts w:ascii="Verdana" w:hAnsi="Verdana" w:cs="Arial"/>
          <w:b/>
          <w:bCs/>
          <w:sz w:val="24"/>
          <w:szCs w:val="28"/>
        </w:rPr>
      </w:pPr>
    </w:p>
    <w:p w:rsidR="006E0191" w:rsidRPr="006E0191" w:rsidP="00570EEE">
      <w:pPr>
        <w:pStyle w:val="Heading2"/>
      </w:pPr>
      <w:r w:rsidRPr="006E0191">
        <w:t>What is the cost of Ultra-Processed Food (</w:t>
      </w:r>
      <w:r w:rsidRPr="00570EEE">
        <w:t>UPF</w:t>
      </w:r>
      <w:r w:rsidRPr="006E0191">
        <w:t>) in the UK?</w:t>
      </w:r>
    </w:p>
    <w:p w:rsidR="006E0191" w:rsidRPr="006E0191" w:rsidP="006E0191">
      <w:pPr>
        <w:rPr>
          <w:rFonts w:ascii="Verdana" w:hAnsi="Verdana" w:cs="Arial"/>
          <w:sz w:val="24"/>
        </w:rPr>
      </w:pPr>
    </w:p>
    <w:p w:rsidR="006E0191" w:rsidRPr="006E0191" w:rsidP="00570EEE">
      <w:pPr>
        <w:pStyle w:val="Heading2"/>
      </w:pPr>
      <w:r w:rsidRPr="006E0191">
        <w:t>Introduction</w:t>
      </w:r>
    </w:p>
    <w:p w:rsidR="006E0191" w:rsidRPr="006E0191" w:rsidP="006E0191">
      <w:pPr>
        <w:rPr>
          <w:rFonts w:ascii="Verdana" w:eastAsia="Arial" w:hAnsi="Verdana" w:cs="Arial"/>
          <w:i/>
          <w:iCs/>
          <w:sz w:val="24"/>
        </w:rPr>
      </w:pPr>
      <w:r w:rsidRPr="006E0191">
        <w:rPr>
          <w:rFonts w:ascii="Verdana" w:eastAsia="Arial" w:hAnsi="Verdana" w:cs="Arial"/>
          <w:sz w:val="24"/>
        </w:rPr>
        <w:t xml:space="preserve">Global consumption of ultra-processed foods and drinks (thereafter UPFs) has soared in recent decades, due to an increased market penetration and shifts in lifestyles and dietary behaviours </w:t>
      </w:r>
      <w:r w:rsidRPr="006E0191">
        <w:rPr>
          <w:rFonts w:ascii="Verdana" w:eastAsia="Arial" w:hAnsi="Verdana" w:cs="Arial"/>
          <w:sz w:val="24"/>
        </w:rPr>
        <w:fldChar w:fldCharType="begin"/>
      </w:r>
      <w:r w:rsidRPr="006E0191">
        <w:rPr>
          <w:rFonts w:ascii="Verdana" w:eastAsia="Arial" w:hAnsi="Verdana" w:cs="Arial"/>
          <w:sz w:val="24"/>
        </w:rPr>
        <w:instrText xml:space="preserve"> ADDIN ZOTERO_ITEM CSL_CITATION {"citationID":"kazGi8wP","properties":{"formattedCitation":"(1,2)","plainCitation":"(1,2)","noteIndex":0},"citationItems":[{"id":1058,"uris":["http://zotero.org/users/2185749/items/CAZ7ME82"],"itemData":{"id":1058,"type":"article-journal","abstract":"OBJECTIVES: To describe the contribution of highly processed foods to total diet, nutrient intakes and patterns among 27 redefined centres in the 10 countries participating in the European Prospective Investigation into Cancer and Nutrition (EPIC).\nMETHODS: Single 24-hour dietary recalls were collected from 36,034 individuals (aged 35-74 years) using a standardized computerized interview programme (EPIC-SOFT). Centre-specific mean food intakes (g/day) were computed according to their degree of food processing (that is, highly, moderately and non-processed foods) using a specifically designed classification system. The contribution (%) of highly processed foods to the centre mean intakes of diet and 26 nutrients (including energy) was estimated using a standardized nutrient database (ENDB). The effect of different possible confounders was also investigated.\nRESULTS: Highly processed foods were an important source of the nutrients considered, contributing between 61% (Spain) and 78-79% (the Netherlands and Germany) of mean energy intakes. Only two nutrients, beta-carotene (34-46%) and vitamin C (28-36%), had a contribution from highly processed foods below 50% in Nordic countries, in Germany, the Netherlands and the United Kingdom, whereas for the other nutrients, the contribution varied from 50 to 91% (excluding alcohol). In southern countries (Greece, Spain, Italy and France), the overall contribution of highly processed foods to nutrient intakes was lower and consisted largely of staple or basic foods (for example, bread, pasta/rice, milk, vegetable oils), whereas highly processed foods such as crisp bread, breakfast cereals, margarine and other commercial foods contributed more in Nordic and central European centres.\nCONCLUSIONS: Highly industrially processed foods dominate diets and nutrient patterns in Nordic and central European countries. The greater variations observed within southern countries may reflect both a larger contribution of non/moderately processed staple foods along with a move from traditional to more industrialized dietary patterns.","container-title":"European Journal of Clinical Nutrition","DOI":"10.1038/ejcn.2009.82","ISSN":"1476-5640","journalAbbreviation":"Eur J Clin Nutr","language":"eng","note":"PMID: 19888275","page":"S206-225","source":"PubMed","title":"Contribution of highly industrially processed foods to the nutrient intakes and patterns of middle-aged populations in the European Prospective Investigation into Cancer and Nutrition study","volume":"63 Suppl 4","author":[{"family":"Slimani","given":"N."},{"family":"Deharveng","given":"G."},{"family":"Southgate","given":"D. a. T."},{"family":"Biessy","given":"C."},{"family":"Chajès","given":"V."},{"family":"Bakel","given":"M. M. E.","non-dropping-particle":"van"},{"family":"Boutron-Ruault","given":"M. C."},{"family":"McTaggart","given":"A."},{"family":"Grioni","given":"S."},{"family":"Verkaik-Kloosterman","given":"J."},{"family":"Huybrechts","given":"I."},{"family":"Amiano","given":"P."},{"family":"Jenab","given":"M."},{"family":"Vignat","given":"J."},{"family":"Bouckaert","given":"K."},{"family":"Casagrande","given":"C."},{"family":"Ferrari","given":"P."},{"family":"Zourna","given":"P."},{"family":"Trichopoulou","given":"A."},{"family":"Wirfält","given":"E."},{"family":"Johansson","given":"G."},{"family":"Rohrmann","given":"S."},{"family":"Illner","given":"A.-K."},{"family":"Barricarte","given":"A."},{"family":"Rodríguez","given":"L."},{"family":"Touvier","given":"M."},{"family":"Niravong","given":"M."},{"family":"Mulligan","given":"A."},{"family":"Crowe","given":"F."},{"family":"Ocké","given":"M. C."},{"family":"Schouw","given":"Y. T.","non-dropping-particle":"van der"},{"family":"Bendinelli","given":"B."},{"family":"Lauria","given":"C."},{"family":"Brustad","given":"M."},{"family":"Hjartåker","given":"A."},{"family":"Tjønneland","given":"A."},{"family":"Jensen","given":"A. M."},{"family":"Riboli","given":"E."},{"family":"Bingham","given":"S."}],"issued":{"date-parts":[["2009",11]]}}},{"id":1063,"uris":["http://zotero.org/users/2185749/items/3C4SDQIG"],"itemData":{"id":1063,"type":"article-journal","abstract":"Accumulating evidence links ultra-processed foods to poor diet quality and chronic diseases. Understanding dietary trends is essential to inform priorities and policies to improve diet quality and prevent diet-related chronic diseases. Data are lacking, however, for trends in ultra-processed food intake.We examined US secular trends in food consumption according to processing level from 2001 to 2018.We analyzed dietary data collected by 24-h recalls from adult participants (aged &amp;gt;19 y; N  = 40,937) in 9 cross-sectional waves of the NHANES (2001–2002 to 2017–2018). We calculated participants’ intake of minimally processed foods, processed culinary ingredients, processed foods, and ultra-processed foods as the relative contribution to daily energy intake (%kcal) using the NOVA framework. Trends analyses were performed using linear regression, testing for linear trends by modeling the 9 surveys as an ordinal independent variable. Models were adjusted for age, sex, race/ethnicity, education level, and income. Consumption trends were reported for the full sample and stratified by sex, age groups, race/ethnicity, education level, and income level.Adjusting for changes in population characteristics, the consumption of ultra-processed foods increased among all US adults from 2001–2002 to 2017–2018 (from 53.5 to 57.0 %kcal; P-trend &amp;lt; 0.001). The trend was consistent among all sociodemographic subgroups, except Hispanics, in stratified analyses. In contrast, the consumption of minimally processed foods decreased significantly over the study period (from 32.7 to 27.4 %kcal; P-trend &amp;lt; 0.001) and across all sociodemographic strata. The consumption of processed culinary ingredients increased from 3.9 to 5.4 %kcal (P-trend &amp;lt; 0.001), whereas the intake of processed foods remained stable at </w:instrText>
      </w:r>
      <w:r w:rsidRPr="006E0191">
        <w:rPr>
          <w:rFonts w:ascii="Verdana" w:eastAsia="Arial" w:hAnsi="Verdana" w:cs="Cambria Math"/>
          <w:sz w:val="24"/>
        </w:rPr>
        <w:instrText>∼</w:instrText>
      </w:r>
      <w:r w:rsidRPr="006E0191">
        <w:rPr>
          <w:rFonts w:ascii="Verdana" w:eastAsia="Arial" w:hAnsi="Verdana" w:cs="Arial"/>
          <w:sz w:val="24"/>
        </w:rPr>
        <w:instrText xml:space="preserve">10 %kcal throughout the study period (P-trend = 0.052).The current findings highlight the high consumption of ultra-processed foods in all parts of the US population and demonstrate that intake has continuously increased in the majority of the population in the past 2 decades.","container-title":"The American Journal of Clinical Nutrition","DOI":"10.1093/ajcn/nqab305","ISSN":"0002-9165","issue":"1","journalAbbreviation":"The American Journal of Clinical Nutrition","page":"211-221","source":"Silverchair","title":"Ultra-processed food consumption among US adults from 2001 to 2018","volume":"115","author":[{"family":"Juul","given":"Filippa"},{"family":"Parekh","given":"Niyati"},{"family":"Martinez-Steele","given":"Euridice"},{"family":"Monteiro","given":"Carlos Augusto"},{"family":"Chang","given":"Virginia W"}],"issued":{"date-parts":[["2022",1,1]]}}}],"schema":"https://github.com/citation-style-language/schema/raw/master/csl-citation.json"} </w:instrText>
      </w:r>
      <w:r w:rsidRPr="006E0191">
        <w:rPr>
          <w:rFonts w:ascii="Verdana" w:eastAsia="Arial" w:hAnsi="Verdana" w:cs="Arial"/>
          <w:sz w:val="24"/>
        </w:rPr>
        <w:fldChar w:fldCharType="separate"/>
      </w:r>
      <w:r w:rsidRPr="006E0191">
        <w:rPr>
          <w:rFonts w:ascii="Verdana" w:hAnsi="Verdana" w:cs="Arial"/>
          <w:sz w:val="24"/>
        </w:rPr>
        <w:t>(1,2)</w:t>
      </w:r>
      <w:r w:rsidRPr="006E0191">
        <w:rPr>
          <w:rFonts w:ascii="Verdana" w:eastAsia="Arial" w:hAnsi="Verdana" w:cs="Arial"/>
          <w:sz w:val="24"/>
        </w:rPr>
        <w:fldChar w:fldCharType="end"/>
      </w:r>
      <w:r w:rsidRPr="006E0191">
        <w:rPr>
          <w:rFonts w:ascii="Verdana" w:eastAsia="Arial" w:hAnsi="Verdana" w:cs="Arial"/>
          <w:sz w:val="24"/>
        </w:rPr>
        <w:t>. These UPFs are typically high in fat, salt and sugar, particularly free sugar, and low in micronutrients but also high in emulsifiers and artificial flavourings increasingly implicated as harmful substances</w:t>
      </w:r>
      <w:r w:rsidRPr="006E0191">
        <w:rPr>
          <w:rFonts w:ascii="Verdana" w:hAnsi="Verdana" w:cs="Arial"/>
          <w:sz w:val="24"/>
        </w:rPr>
        <w:t xml:space="preserve"> </w:t>
      </w:r>
      <w:r w:rsidRPr="006E0191">
        <w:rPr>
          <w:rFonts w:ascii="Verdana" w:eastAsia="Arial" w:hAnsi="Verdana" w:cs="Arial"/>
          <w:sz w:val="24"/>
        </w:rPr>
        <w:fldChar w:fldCharType="begin"/>
      </w:r>
      <w:r w:rsidRPr="006E0191">
        <w:rPr>
          <w:rFonts w:ascii="Verdana" w:eastAsia="Arial" w:hAnsi="Verdana" w:cs="Arial"/>
          <w:sz w:val="24"/>
        </w:rPr>
        <w:instrText xml:space="preserve"> ADDIN ZOTERO_ITEM CSL_CITATION {"citationID":"L7YLJ2P6","properties":{"formattedCitation":"(3,4)","plainCitation":"(3,4)","noteIndex":0},"citationItems":[{"id":1368,"uris":["http://zotero.org/users/2185749/items/MSDP6XSR"],"itemData":{"id":1368,"type":"article-journal","abstract":"We described the contribution of ultra-processed foods in the U.K. diet and its association with the overall dietary content of nutrients known to affect the risk of chronic non-communicable diseases (NCDs). Cross-sectional data from the U.K. National Diet and Nutrition Survey (2008–2014) were analysed. Food items collected using a four-day food diary were classified according to the NOVA system. The average energy intake was 1764 kcal/day, with 30.1% of calories coming from unprocessed or minimally processed foods, 4.2% from culinary ingredients, 8.8% from processed foods, and 56.8% from ultra-processed foods. As the ultra-processed food consumption increased, the dietary content of carbohydrates, free sugars, total fats, saturated fats, and sodium increased significantly while the content of protein, fibre, and potassium decreased. Increased ultra-processed food consumption had a remarkable effect on average content of free sugars, which increased from 9.9% to 15.4% of total energy from the first to the last quintile. The prevalence of people exceeding the upper limits recommended for free sugars and sodium increased by 85% and 55%, respectively, from the lowest to the highest ultra-processed food quintile. Decreasing the dietary share of ultra-processed foods may substantially improve the nutritional quality of diets and contribute to the prevention of diet-related NCDs.","container-title":"Nutrients","DOI":"10.3390/nu10050587","issue":"5","language":"en","note":"number: 5\npublisher: Multidisciplinary Digital Publishing Institute","page":"587","source":"www.mdpi.com","title":"Ultra-Processed Food Consumption and Chronic Non-Communicable Diseases-Related Dietary Nutrient Profile in the UK (2008–2014)","volume":"10","author":[{"family":"Rauber","given":"Fernanda"},{"family":"Da Costa Louzada","given":"Maria Laura"},{"family":"Steele","given":"Eurídice Martínez"},{"family":"Millett","given":"Christopher"},{"family":"Monteiro","given":"Carlos Augusto"},{"family":"Levy","given":"Renata Bertazzi"}],"issued":{"date-parts":[["2018",5]]}}},{"id":1060,"uris":["http://zotero.org/users/2185749/items/KU5N92M5"],"itemData":{"id":1060,"type":"article-journal","abstract":"This study describes food consumption patterns in Canada according to the types of food processing using the Nova classification and investigates the association between consumption of ultra-processed foods and the nutrient profile of the diet. Dietary intakes of 33,694 individuals from the 2004 Canadian Community Health Survey aged 2 years and above were analyzed. Food and drinks were classified using Nova into unprocessed or minimally processed foods, processed culinary ingredients, processed foods and ultra-processed foods. Average consumption (total daily energy intake) and relative consumption (% of total energy intake) provided by each of the food groups were calculated. Consumption of ultra-processed foods according to sex, age, education, residential location and relative family revenue was assessed. Mean nutrient content of ultra-processed foods and non-ultra-processed foods were compared, and the average nutrient content of the overall diet across quintiles of dietary share of ultra-processed foods was measured. In 2004, 48% of calories consumed by Canadians came from ultra-processed foods. Consumption of such foods was high amongst all socioeconomic groups, and particularly in children and adolescents. As a group, ultra-processed foods were grossly nutritionally inferior to non-ultra-processed foods. After adjusting for covariates, a significant and positive relationship was found between the dietary share of ultra-processed foods and the content in carbohydrates, free sugars, total and saturated fats and energy density, while an inverse relationship was observed with the dietary content in protein, fiber, vitamins A, C, D, B6 and B12, niacin, thiamine, riboflavin, as well as zinc, iron, magnesium, calcium, phosphorus and potassium. Lowering the dietary share of ultra-processed foods and raising consumption of hand-made meals from unprocessed or minimally processed foods would substantially improve the diet quality of Canadian.","container-title":"Appetite","DOI":"10.1016/j.appet.2016.11.006","ISSN":"1095-8304","journalAbbreviation":"Appetite","language":"eng","note":"PMID: 27825941","page":"512-520","source":"PubMed","title":"Consumption of ultra-processed foods predicts diet quality in Canada","volume":"108","author":[{"family":"Moubarac","given":"Jean-Claude"},{"family":"Batal","given":"M."},{"family":"Louzada","given":"M. L."},{"family":"Martinez Steele","given":"E."},{"family":"Monteiro","given":"C. A."}],"issued":{"date-parts":[["2017",1,1]]}}}],"schema":"https://github.com/citation-style-language/schema/raw/master/csl-citation.json"} </w:instrText>
      </w:r>
      <w:r w:rsidRPr="006E0191">
        <w:rPr>
          <w:rFonts w:ascii="Verdana" w:eastAsia="Arial" w:hAnsi="Verdana" w:cs="Arial"/>
          <w:sz w:val="24"/>
        </w:rPr>
        <w:fldChar w:fldCharType="separate"/>
      </w:r>
      <w:r w:rsidRPr="006E0191">
        <w:rPr>
          <w:rFonts w:ascii="Verdana" w:hAnsi="Verdana" w:cs="Arial"/>
          <w:sz w:val="24"/>
        </w:rPr>
        <w:t>(3,4)</w:t>
      </w:r>
      <w:r w:rsidRPr="006E0191">
        <w:rPr>
          <w:rFonts w:ascii="Verdana" w:eastAsia="Arial" w:hAnsi="Verdana" w:cs="Arial"/>
          <w:sz w:val="24"/>
        </w:rPr>
        <w:fldChar w:fldCharType="end"/>
      </w:r>
      <w:r w:rsidRPr="006E0191">
        <w:rPr>
          <w:rStyle w:val="CommentReference"/>
          <w:rFonts w:ascii="Verdana" w:hAnsi="Verdana" w:cs="Arial"/>
          <w:sz w:val="24"/>
          <w:szCs w:val="22"/>
        </w:rPr>
        <w:t>.</w:t>
      </w:r>
      <w:r w:rsidRPr="006E0191">
        <w:rPr>
          <w:rFonts w:ascii="Verdana" w:eastAsia="Arial" w:hAnsi="Verdana" w:cs="Arial"/>
          <w:sz w:val="24"/>
        </w:rPr>
        <w:t xml:space="preserve"> The association between high intake of UPFs and disease is increasingly evident </w:t>
      </w:r>
      <w:r w:rsidRPr="006E0191">
        <w:rPr>
          <w:rFonts w:ascii="Verdana" w:eastAsia="Arial" w:hAnsi="Verdana" w:cs="Arial"/>
          <w:sz w:val="24"/>
        </w:rPr>
        <w:fldChar w:fldCharType="begin"/>
      </w:r>
      <w:r w:rsidRPr="006E0191">
        <w:rPr>
          <w:rFonts w:ascii="Verdana" w:eastAsia="Arial" w:hAnsi="Verdana" w:cs="Arial"/>
          <w:sz w:val="24"/>
        </w:rPr>
        <w:instrText xml:space="preserve"> ADDIN ZOTERO_ITEM CSL_CITATION {"citationID":"wvh8yAce","properties":{"formattedCitation":"(5)","plainCitation":"(5)","noteIndex":0},"citationItems":[{"id":5723,"uris":["http://zotero.org/users/2185749/items/FMNM46VW"],"itemData":{"id":5723,"type":"article-journal","abstract":"Objective To evaluate the existing meta-analytic evidence of associations between exposure to ultra-processed foods, as defined by the Nova food classification system, and adverse health outcomes.\nDesign Systematic umbrella review of existing meta-analyses.\nData sources MEDLINE, PsycINFO, Embase, and the Cochrane Database of Systematic Reviews, as well as manual searches of reference lists from 2009 to June 2023.\nEligibility criteria for selecting studies Systematic reviews and meta-analyses of cohort, case-control, and/or cross sectional study designs. To evaluate the credibility of evidence, pre-specified evidence classification criteria were applied, graded as convincing (“class I”), highly suggestive (“class II”), suggestive (“class III”), weak (“class IV”), or no evidence (“class V”). The quality of evidence was assessed using the GRADE (Grading of Recommendations, Assessment, Development, and Evaluations) framework, categorised as “high,” “moderate,” “low,” or “very low” quality.\nResults The search identified 45 unique pooled analyses, including 13 dose-response associations and 32 non-dose-response associations (n=9 888 373). Overall, direct associations were found between exposure to ultra-processed foods and 32 (71%) health parameters spanning mortality, cancer, and mental, respiratory, cardiovascular, gastrointestinal, and metabolic health outcomes. Based on the pre-specified evidence classification criteria, convincing evidence (class I) supported direct associations between greater ultra-processed food exposure and higher risks of incident cardiovascular disease related mortality (risk ratio 1.50, 95% confidence interval 1.37 to 1.63; GRADE=very low) and type 2 diabetes (dose-response risk ratio 1.12, 1.11 to 1.13; moderate), as well as higher risks of prevalent anxiety outcomes (odds ratio 1.48, 1.37 to 1.59; low) and combined common mental disorder outcomes (odds ratio 1.53, 1.43 to 1.63; low). Highly suggestive (class II) evidence indicated that greater exposure to ultra-processed foods was directly associated with higher risks of incident all cause mortality (risk ratio 1.21, 1.15 to 1.27; low), heart disease related mortality (hazard ratio 1.66, 1.51 to 1.84; low), type 2 diabetes (odds ratio 1.40, 1.23 to 1.59; very low), and depressive outcomes (hazard ratio 1.22, 1.16 to 1.28; low), together with higher risks of prevalent adverse sleep related outcomes (odds ratio 1.41, 1.24 to 1.61; low), wheezing (risk ratio 1.40, 1.27 to 1.55; low), and obesity (odds ratio 1.55, 1.36 to 1.77; low). Of the remaining 34 pooled analyses, 21 were graded as suggestive or weak strength (class III-IV) and 13 were graded as no evidence (class V). Overall, using the GRADE framework, 22 pooled analyses were rated as low quality, with 19 rated as very low quality and four rated as moderate quality.\nConclusions Greater exposure to ultra-processed food was associated with a higher risk of adverse health outcomes, especially cardiometabolic, common mental disorder, and mortality outcomes. These findings provide a rationale to develop and evaluate the effectiveness of using population based and public health measures to target and reduce dietary exposure to ultra-processed foods for improved human health. They also inform and provide support for urgent mechanistic research.\nSystematic review registration PROSPERO CRD42023412732.","container-title":"BMJ","DOI":"10.1136/bmj-2023-077310","ISSN":"1756-1833","journalAbbreviation":"BMJ","language":"en","note":"publisher: British Medical Journal Publishing Group\nsection: Research\nPMID: 38418082","page":"e077310","source":"www.bmj.com","title":"Ultra-processed food exposure and adverse health outcomes: umbrella review of epidemiological meta-analyses","title-short":"Ultra-processed food exposure and adverse health outcomes","volume":"384","author":[{"family":"Lane","given":"Melissa M."},{"family":"Gamage","given":"Elizabeth"},{"family":"Du","given":"Shutong"},{"family":"Ashtree","given":"Deborah N."},{"family":"McGuinness","given":"Amelia J."},{"family":"Gauci","given":"Sarah"},{"family":"Baker","given":"Phillip"},{"family":"Lawrence","given":"Mark"},{"family":"Rebholz","given":"Casey M."},{"family":"Srour","given":"Bernard"},{"family":"Touvier","given":"Mathilde"},{"family":"Jacka","given":"Felice N."},{"family":"O’Neil","given":"Adrienne"},{"family":"Segasby","given":"Toby"},{"family":"Marx","given":"Wolfgang"}],"issued":{"date-parts":[["2024",2,28]]}}}],"schema":"https://github.com/citation-style-language/schema/raw/master/csl-citation.json"} </w:instrText>
      </w:r>
      <w:r w:rsidRPr="006E0191">
        <w:rPr>
          <w:rFonts w:ascii="Verdana" w:eastAsia="Arial" w:hAnsi="Verdana" w:cs="Arial"/>
          <w:sz w:val="24"/>
        </w:rPr>
        <w:fldChar w:fldCharType="separate"/>
      </w:r>
      <w:r w:rsidRPr="006E0191">
        <w:rPr>
          <w:rFonts w:ascii="Verdana" w:hAnsi="Verdana" w:cs="Arial"/>
          <w:sz w:val="24"/>
        </w:rPr>
        <w:t>(5)</w:t>
      </w:r>
      <w:r w:rsidRPr="006E0191">
        <w:rPr>
          <w:rFonts w:ascii="Verdana" w:eastAsia="Arial" w:hAnsi="Verdana" w:cs="Arial"/>
          <w:sz w:val="24"/>
        </w:rPr>
        <w:fldChar w:fldCharType="end"/>
      </w:r>
      <w:r w:rsidRPr="006E0191">
        <w:rPr>
          <w:rFonts w:ascii="Verdana" w:eastAsia="Arial" w:hAnsi="Verdana" w:cs="Arial"/>
          <w:sz w:val="24"/>
        </w:rPr>
        <w:t xml:space="preserve"> even if the mechanisms are not fully understood to an extent. A 2024 meta-analysis found direct associations between greater UPFs exposure and substantially higher risks of serious diseases. These included around 50% higher stroke and heart disease death rates (equivalent odds ratio 1.50, 95% confidence interval 1.37 to 1.63), Type 2 diabetes cases (odds ratio 1.40, 1.23 to 1.59), and common mental disorders (1.53, 1.43 to 1.63) </w:t>
      </w:r>
      <w:r w:rsidRPr="006E0191">
        <w:rPr>
          <w:rFonts w:ascii="Verdana" w:eastAsia="Arial" w:hAnsi="Verdana" w:cs="Arial"/>
          <w:sz w:val="24"/>
        </w:rPr>
        <w:fldChar w:fldCharType="begin"/>
      </w:r>
      <w:r w:rsidRPr="006E0191">
        <w:rPr>
          <w:rFonts w:ascii="Verdana" w:eastAsia="Arial" w:hAnsi="Verdana" w:cs="Arial"/>
          <w:sz w:val="24"/>
        </w:rPr>
        <w:instrText xml:space="preserve"> ADDIN ZOTERO_ITEM CSL_CITATION {"citationID":"WD26DfDv","properties":{"formattedCitation":"(5)","plainCitation":"(5)","noteIndex":0},"citationItems":[{"id":5723,"uris":["http://zotero.org/users/2185749/items/FMNM46VW"],"itemData":{"id":5723,"type":"article-journal","abstract":"Objective To evaluate the existing meta-analytic evidence of associations between exposure to ultra-processed foods, as defined by the Nova food classification system, and adverse health outcomes.\nDesign Systematic umbrella review of existing meta-analyses.\nData sources MEDLINE, PsycINFO, Embase, and the Cochrane Database of Systematic Reviews, as well as manual searches of reference lists from 2009 to June 2023.\nEligibility criteria for selecting studies Systematic reviews and meta-analyses of cohort, case-control, and/or cross sectional study designs. To evaluate the credibility of evidence, pre-specified evidence classification criteria were applied, graded as convincing (“class I”), highly suggestive (“class II”), suggestive (“class III”), weak (“class IV”), or no evidence (“class V”). The quality of evidence was assessed using the GRADE (Grading of Recommendations, Assessment, Development, and Evaluations) framework, categorised as “high,” “moderate,” “low,” or “very low” quality.\nResults The search identified 45 unique pooled analyses, including 13 dose-response associations and 32 non-dose-response associations (n=9 888 373). Overall, direct associations were found between exposure to ultra-processed foods and 32 (71%) health parameters spanning mortality, cancer, and mental, respiratory, cardiovascular, gastrointestinal, and metabolic health outcomes. Based on the pre-specified evidence classification criteria, convincing evidence (class I) supported direct associations between greater ultra-processed food exposure and higher risks of incident cardiovascular disease related mortality (risk ratio 1.50, 95% confidence interval 1.37 to 1.63; GRADE=very low) and type 2 diabetes (dose-response risk ratio 1.12, 1.11 to 1.13; moderate), as well as higher risks of prevalent anxiety outcomes (odds ratio 1.48, 1.37 to 1.59; low) and combined common mental disorder outcomes (odds ratio 1.53, 1.43 to 1.63; low). Highly suggestive (class II) evidence indicated that greater exposure to ultra-processed foods was directly associated with higher risks of incident all cause mortality (risk ratio 1.21, 1.15 to 1.27; low), heart disease related mortality (hazard ratio 1.66, 1.51 to 1.84; low), type 2 diabetes (odds ratio 1.40, 1.23 to 1.59; very low), and depressive outcomes (hazard ratio 1.22, 1.16 to 1.28; low), together with higher risks of prevalent adverse sleep related outcomes (odds ratio 1.41, 1.24 to 1.61; low), wheezing (risk ratio 1.40, 1.27 to 1.55; low), and obesity (odds ratio 1.55, 1.36 to 1.77; low). Of the remaining 34 pooled analyses, 21 were graded as suggestive or weak strength (class III-IV) and 13 were graded as no evidence (class V). Overall, using the GRADE framework, 22 pooled analyses were rated as low quality, with 19 rated as very low quality and four rated as moderate quality.\nConclusions Greater exposure to ultra-processed food was associated with a higher risk of adverse health outcomes, especially cardiometabolic, common mental disorder, and mortality outcomes. These findings provide a rationale to develop and evaluate the effectiveness of using population based and public health measures to target and reduce dietary exposure to ultra-processed foods for improved human health. They also inform and provide support for urgent mechanistic research.\nSystematic review registration PROSPERO CRD42023412732.","container-title":"BMJ","DOI":"10.1136/bmj-2023-077310","ISSN":"1756-1833","journalAbbreviation":"BMJ","language":"en","note":"publisher: British Medical Journal Publishing Group\nsection: Research\nPMID: 38418082","page":"e077310","source":"www.bmj.com","title":"Ultra-processed food exposure and adverse health outcomes: umbrella review of epidemiological meta-analyses","title-short":"Ultra-processed food exposure and adverse health outcomes","volume":"384","author":[{"family":"Lane","given":"Melissa M."},{"family":"Gamage","given":"Elizabeth"},{"family":"Du","given":"Shutong"},{"family":"Ashtree","given":"Deborah N."},{"family":"McGuinness","given":"Amelia J."},{"family":"Gauci","given":"Sarah"},{"family":"Baker","given":"Phillip"},{"family":"Lawrence","given":"Mark"},{"family":"Rebholz","given":"Casey M."},{"family":"Srour","given":"Bernard"},{"family":"Touvier","given":"Mathilde"},{"family":"Jacka","given":"Felice N."},{"family":"O’Neil","given":"Adrienne"},{"family":"Segasby","given":"Toby"},{"family":"Marx","given":"Wolfgang"}],"issued":{"date-parts":[["2024",2,28]]}}}],"schema":"https://github.com/citation-style-language/schema/raw/master/csl-citation.json"} </w:instrText>
      </w:r>
      <w:r w:rsidRPr="006E0191">
        <w:rPr>
          <w:rFonts w:ascii="Verdana" w:eastAsia="Arial" w:hAnsi="Verdana" w:cs="Arial"/>
          <w:sz w:val="24"/>
        </w:rPr>
        <w:fldChar w:fldCharType="separate"/>
      </w:r>
      <w:r w:rsidRPr="006E0191">
        <w:rPr>
          <w:rFonts w:ascii="Verdana" w:hAnsi="Verdana" w:cs="Arial"/>
          <w:sz w:val="24"/>
        </w:rPr>
        <w:t>(5)</w:t>
      </w:r>
      <w:r w:rsidRPr="006E0191">
        <w:rPr>
          <w:rFonts w:ascii="Verdana" w:eastAsia="Arial" w:hAnsi="Verdana" w:cs="Arial"/>
          <w:sz w:val="24"/>
        </w:rPr>
        <w:fldChar w:fldCharType="end"/>
      </w:r>
      <w:r w:rsidRPr="006E0191">
        <w:rPr>
          <w:rFonts w:ascii="Verdana" w:eastAsia="Arial" w:hAnsi="Verdana" w:cs="Arial"/>
          <w:sz w:val="24"/>
        </w:rPr>
        <w:t>.</w:t>
      </w:r>
    </w:p>
    <w:p w:rsidR="006E0191" w:rsidRPr="006E0191" w:rsidP="006E0191">
      <w:pPr>
        <w:rPr>
          <w:rFonts w:ascii="Verdana" w:eastAsia="Arial" w:hAnsi="Verdana" w:cs="Arial"/>
          <w:sz w:val="24"/>
        </w:rPr>
      </w:pPr>
      <w:r w:rsidRPr="006E0191">
        <w:rPr>
          <w:rFonts w:ascii="Verdana" w:eastAsia="Arial" w:hAnsi="Verdana" w:cs="Arial"/>
          <w:sz w:val="24"/>
        </w:rPr>
        <w:t>However, the potential financial impact is poorly understood. We therefore conducted economic analyses of the cost of UPFs consumption in the UK, for these three important disease areas.</w:t>
      </w:r>
    </w:p>
    <w:p w:rsidR="006E0191" w:rsidRPr="006E0191" w:rsidP="00570EEE">
      <w:pPr>
        <w:pStyle w:val="Heading2"/>
      </w:pPr>
      <w:r w:rsidRPr="006E0191">
        <w:t>Methods</w:t>
      </w:r>
    </w:p>
    <w:p w:rsidR="006E0191" w:rsidRPr="006E0191" w:rsidP="006E0191">
      <w:pPr>
        <w:rPr>
          <w:rFonts w:ascii="Verdana" w:eastAsia="Arial" w:hAnsi="Verdana" w:cs="Arial"/>
          <w:sz w:val="24"/>
        </w:rPr>
      </w:pPr>
      <w:r w:rsidRPr="006E0191">
        <w:rPr>
          <w:rFonts w:ascii="Verdana" w:eastAsia="Arial" w:hAnsi="Verdana" w:cs="Arial"/>
          <w:sz w:val="24"/>
        </w:rPr>
        <w:t xml:space="preserve">We estimated the Population Attributable Fraction (PAF) </w:t>
      </w:r>
      <w:r w:rsidRPr="006E0191">
        <w:rPr>
          <w:rFonts w:ascii="Verdana" w:eastAsia="Arial" w:hAnsi="Verdana" w:cs="Arial"/>
          <w:sz w:val="24"/>
        </w:rPr>
        <w:fldChar w:fldCharType="begin"/>
      </w:r>
      <w:r w:rsidRPr="006E0191">
        <w:rPr>
          <w:rFonts w:ascii="Verdana" w:eastAsia="Arial" w:hAnsi="Verdana" w:cs="Arial"/>
          <w:sz w:val="24"/>
        </w:rPr>
        <w:instrText xml:space="preserve"> ADDIN ZOTERO_ITEM CSL_CITATION {"citationID":"aJQcCvLG","properties":{"formattedCitation":"(6)","plainCitation":"(6)","noteIndex":0},"citationItems":[{"id":5726,"uris":["http://zotero.org/users/2185749/items/LNVL9U87"],"itemData":{"id":5726,"type":"article-journal","container-title":"British Journal of Sports Medicine","DOI":"10.1136/bjsports-2015-095531","ISSN":"1473-0480","issue":"4","journalAbbreviation":"Br J Sports Med","language":"eng","note":"PMID: 26964147","page":"212-213","source":"PubMed","title":"Population attributable fraction: names, types and issues with incorrect interpretation of relative risks","title-short":"Population attributable fraction","volume":"52","author":[{"family":"Zapata-Diomedi","given":"Belen"},{"family":"Barendregt","given":"Jan J."},{"family":"Veerman","given":"J. Lennert"}],"issued":{"date-parts":[["2018",2]]}}}],"schema":"https://github.com/citation-style-language/schema/raw/master/csl-citation.json"} </w:instrText>
      </w:r>
      <w:r w:rsidRPr="006E0191">
        <w:rPr>
          <w:rFonts w:ascii="Verdana" w:eastAsia="Arial" w:hAnsi="Verdana" w:cs="Arial"/>
          <w:sz w:val="24"/>
        </w:rPr>
        <w:fldChar w:fldCharType="separate"/>
      </w:r>
      <w:r w:rsidRPr="006E0191">
        <w:rPr>
          <w:rFonts w:ascii="Verdana" w:hAnsi="Verdana" w:cs="Arial"/>
          <w:sz w:val="24"/>
        </w:rPr>
        <w:t>(6)</w:t>
      </w:r>
      <w:r w:rsidRPr="006E0191">
        <w:rPr>
          <w:rFonts w:ascii="Verdana" w:eastAsia="Arial" w:hAnsi="Verdana" w:cs="Arial"/>
          <w:sz w:val="24"/>
        </w:rPr>
        <w:fldChar w:fldCharType="end"/>
      </w:r>
      <w:r w:rsidRPr="006E0191">
        <w:rPr>
          <w:rFonts w:ascii="Verdana" w:eastAsia="Arial" w:hAnsi="Verdana" w:cs="Arial"/>
          <w:sz w:val="24"/>
        </w:rPr>
        <w:t xml:space="preserve"> of UPFs intakes for cardiovascular disease deaths, Type 2 diabetes incidence and the prevalence of combined common mental disorders (defined as depression, dysthymia, bipolar and anxiety), as categorised in the Lane et al. meta-analysis (2024). </w:t>
      </w:r>
    </w:p>
    <w:p w:rsidR="006E0191" w:rsidRPr="006E0191" w:rsidP="006E0191">
      <w:pPr>
        <w:rPr>
          <w:rFonts w:ascii="Verdana" w:eastAsia="Arial" w:hAnsi="Verdana" w:cs="Arial"/>
          <w:sz w:val="24"/>
        </w:rPr>
      </w:pPr>
      <w:r w:rsidRPr="006E0191">
        <w:rPr>
          <w:rFonts w:ascii="Verdana" w:eastAsia="Arial" w:hAnsi="Verdana" w:cs="Arial"/>
          <w:sz w:val="24"/>
        </w:rPr>
        <w:t>We used odds ratios (ORs) to quantify each PAF (it was not possible to use relative risks for practical reasons, as detailed in the Statistical Footnote).</w:t>
      </w:r>
    </w:p>
    <w:p w:rsidR="006E0191" w:rsidRPr="006E0191" w:rsidP="006E0191">
      <w:pPr>
        <w:rPr>
          <w:rFonts w:ascii="Verdana" w:eastAsia="Arial" w:hAnsi="Verdana" w:cs="Arial"/>
          <w:sz w:val="24"/>
        </w:rPr>
      </w:pPr>
      <w:r w:rsidRPr="006E0191">
        <w:rPr>
          <w:rFonts w:ascii="Verdana" w:eastAsia="Arial" w:hAnsi="Verdana" w:cs="Arial"/>
          <w:sz w:val="24"/>
        </w:rPr>
        <w:t>Most of the studies included in the Lane meta-analysis used the highest quartile of UPFs intakes as the high exposure. We therefore used the same definition to estimate the number of people exposed to high levels of UPFs in the UK.</w:t>
      </w:r>
    </w:p>
    <w:p w:rsidR="006E0191" w:rsidRPr="006E0191" w:rsidP="006E0191">
      <w:pPr>
        <w:rPr>
          <w:rFonts w:ascii="Verdana" w:eastAsia="Arial" w:hAnsi="Verdana" w:cs="Arial"/>
          <w:sz w:val="24"/>
        </w:rPr>
      </w:pPr>
      <w:r w:rsidRPr="006E0191">
        <w:rPr>
          <w:rFonts w:ascii="Verdana" w:eastAsia="Arial" w:hAnsi="Verdana" w:cs="Arial"/>
          <w:sz w:val="24"/>
        </w:rPr>
        <w:t xml:space="preserve">We assumed that a) prevalence = incidence * survival, and that b) UPFs did not affect the duration of disease.  </w:t>
      </w:r>
    </w:p>
    <w:p w:rsidR="006E0191" w:rsidRPr="006E0191" w:rsidP="006E0191">
      <w:pPr>
        <w:rPr>
          <w:rFonts w:ascii="Verdana" w:eastAsia="Arial" w:hAnsi="Verdana" w:cs="Arial"/>
          <w:sz w:val="24"/>
        </w:rPr>
      </w:pPr>
      <w:r w:rsidRPr="006E0191">
        <w:rPr>
          <w:rFonts w:ascii="Verdana" w:eastAsia="Arial" w:hAnsi="Verdana" w:cs="Arial"/>
          <w:sz w:val="24"/>
        </w:rPr>
        <w:t xml:space="preserve">We searched for recent UK estimates of costs for diseases where there was high confidence of an effect of UPF on outcomes. </w:t>
      </w:r>
    </w:p>
    <w:p w:rsidR="006E0191" w:rsidRPr="006E0191" w:rsidP="006E0191">
      <w:pPr>
        <w:rPr>
          <w:rFonts w:ascii="Verdana" w:eastAsia="Arial" w:hAnsi="Verdana" w:cs="Arial"/>
          <w:sz w:val="24"/>
        </w:rPr>
      </w:pPr>
      <w:r w:rsidRPr="006E0191">
        <w:rPr>
          <w:rFonts w:ascii="Verdana" w:eastAsia="Arial" w:hAnsi="Verdana" w:cs="Arial"/>
          <w:sz w:val="24"/>
        </w:rPr>
        <w:t xml:space="preserve">We inflated cost estimates to 2024 prices using the Treasury GDP Deflator </w:t>
      </w:r>
      <w:r w:rsidRPr="006E0191">
        <w:rPr>
          <w:rFonts w:ascii="Verdana" w:eastAsia="Arial" w:hAnsi="Verdana" w:cs="Arial"/>
          <w:sz w:val="24"/>
        </w:rPr>
        <w:fldChar w:fldCharType="begin"/>
      </w:r>
      <w:r w:rsidRPr="006E0191">
        <w:rPr>
          <w:rFonts w:ascii="Verdana" w:eastAsia="Arial" w:hAnsi="Verdana" w:cs="Arial"/>
          <w:sz w:val="24"/>
        </w:rPr>
        <w:instrText xml:space="preserve"> ADDIN ZOTERO_ITEM CSL_CITATION {"citationID":"6WaJzXbT","properties":{"formattedCitation":"(7)","plainCitation":"(7)","noteIndex":0},"citationItems":[{"id":5733,"uris":["http://zotero.org/users/2185749/items/ID2ATJLG"],"itemData":{"id":5733,"type":"webpage","abstract":"Latest Gross Domestic Product (GDP) deflators.","container-title":"GOV.UK","language":"en","title":"GDP deflators at market prices, and money GDP","URL":"https://www.gov.uk/government/collections/gdp-deflators-at-market-prices-and-money-gdp","author":[{"family":"HM Treasury","given":""}],"accessed":{"date-parts":[["2024",4,8]]},"issued":{"date-parts":[["2024",4,2]]}}}],"schema":"https://github.com/citation-style-language/schema/raw/master/csl-citation.json"} </w:instrText>
      </w:r>
      <w:r w:rsidRPr="006E0191">
        <w:rPr>
          <w:rFonts w:ascii="Verdana" w:eastAsia="Arial" w:hAnsi="Verdana" w:cs="Arial"/>
          <w:sz w:val="24"/>
        </w:rPr>
        <w:fldChar w:fldCharType="separate"/>
      </w:r>
      <w:r w:rsidRPr="006E0191">
        <w:rPr>
          <w:rFonts w:ascii="Verdana" w:hAnsi="Verdana" w:cs="Arial"/>
          <w:sz w:val="24"/>
        </w:rPr>
        <w:t>(7)</w:t>
      </w:r>
      <w:r w:rsidRPr="006E0191">
        <w:rPr>
          <w:rFonts w:ascii="Verdana" w:eastAsia="Arial" w:hAnsi="Verdana" w:cs="Arial"/>
          <w:sz w:val="24"/>
        </w:rPr>
        <w:fldChar w:fldCharType="end"/>
      </w:r>
      <w:r w:rsidRPr="006E0191">
        <w:rPr>
          <w:rFonts w:ascii="Verdana" w:eastAsia="Arial" w:hAnsi="Verdana" w:cs="Arial"/>
          <w:sz w:val="24"/>
        </w:rPr>
        <w:t>.</w:t>
      </w:r>
    </w:p>
    <w:p w:rsidR="006E0191" w:rsidRPr="006E0191" w:rsidP="00570EEE">
      <w:pPr>
        <w:pStyle w:val="Heading2"/>
      </w:pPr>
      <w:r w:rsidRPr="006E0191">
        <w:t xml:space="preserve">Preliminary Results </w:t>
      </w:r>
    </w:p>
    <w:p w:rsidR="006E0191" w:rsidRPr="006E0191" w:rsidP="006E0191">
      <w:pPr>
        <w:rPr>
          <w:rFonts w:ascii="Verdana" w:eastAsia="Arial" w:hAnsi="Verdana" w:cs="Arial"/>
          <w:sz w:val="24"/>
        </w:rPr>
      </w:pPr>
      <w:r w:rsidRPr="006E0191">
        <w:rPr>
          <w:rFonts w:ascii="Verdana" w:eastAsia="Arial" w:hAnsi="Verdana" w:cs="Arial"/>
          <w:sz w:val="24"/>
        </w:rPr>
        <w:t>We estimated that UPFs recently contributed to approximately 11% of cardiovascular deaths, 9% of patients developing Type 2 diabetes, and 12% of the combined common mental disorder outcomes in the UK.</w:t>
      </w:r>
    </w:p>
    <w:p w:rsidR="006E0191" w:rsidRPr="006E0191" w:rsidP="006E0191">
      <w:pPr>
        <w:rPr>
          <w:rFonts w:ascii="Verdana" w:eastAsia="Arial" w:hAnsi="Verdana" w:cs="Arial"/>
          <w:sz w:val="24"/>
          <w:highlight w:val="yellow"/>
        </w:rPr>
      </w:pPr>
      <w:r w:rsidRPr="006E0191">
        <w:rPr>
          <w:rFonts w:ascii="Verdana" w:eastAsia="Arial" w:hAnsi="Verdana" w:cs="Arial"/>
          <w:sz w:val="24"/>
        </w:rPr>
        <w:t xml:space="preserve">The current annual cost of cardiovascular disease in the UK is estimated as £10bn in healthcare costs, plus £26 billion in indirect costs, making £36bn in total </w:t>
      </w:r>
      <w:r w:rsidRPr="006E0191">
        <w:rPr>
          <w:rFonts w:ascii="Verdana" w:eastAsia="Arial" w:hAnsi="Verdana" w:cs="Arial"/>
          <w:sz w:val="24"/>
        </w:rPr>
        <w:fldChar w:fldCharType="begin"/>
      </w:r>
      <w:r w:rsidRPr="006E0191">
        <w:rPr>
          <w:rFonts w:ascii="Verdana" w:eastAsia="Arial" w:hAnsi="Verdana" w:cs="Arial"/>
          <w:sz w:val="24"/>
        </w:rPr>
        <w:instrText xml:space="preserve"> ADDIN ZOTERO_ITEM CSL_CITATION {"citationID":"8KXzgyfT","properties":{"formattedCitation":"(8)","plainCitation":"(8)","noteIndex":0},"citationItems":[{"id":5728,"uris":["http://zotero.org/users/2185749/items/AFCBSKX2"],"itemData":{"id":5728,"type":"document","title":"England Factsheet","URL":"https://www.bhf.org.uk/-/media/files/for-professionals/research/heart-statistics/bhf-cvd-statistics-england-factsheet.pdf","author":[{"family":"British Heart Foundation","given":""}],"accessed":{"date-parts":[["2024",4,4]]},"issued":{"date-parts":[["2024",1]]}}}],"schema":"https://github.com/citation-style-language/schema/raw/master/csl-citation.json"} </w:instrText>
      </w:r>
      <w:r w:rsidRPr="006E0191">
        <w:rPr>
          <w:rFonts w:ascii="Verdana" w:eastAsia="Arial" w:hAnsi="Verdana" w:cs="Arial"/>
          <w:sz w:val="24"/>
        </w:rPr>
        <w:fldChar w:fldCharType="separate"/>
      </w:r>
      <w:r w:rsidRPr="006E0191">
        <w:rPr>
          <w:rFonts w:ascii="Verdana" w:hAnsi="Verdana" w:cs="Arial"/>
          <w:sz w:val="24"/>
        </w:rPr>
        <w:t>(8)</w:t>
      </w:r>
      <w:r w:rsidRPr="006E0191">
        <w:rPr>
          <w:rFonts w:ascii="Verdana" w:eastAsia="Arial" w:hAnsi="Verdana" w:cs="Arial"/>
          <w:sz w:val="24"/>
        </w:rPr>
        <w:fldChar w:fldCharType="end"/>
      </w:r>
      <w:r w:rsidRPr="006E0191">
        <w:rPr>
          <w:rFonts w:ascii="Verdana" w:eastAsia="Arial" w:hAnsi="Verdana" w:cs="Arial"/>
          <w:sz w:val="24"/>
        </w:rPr>
        <w:t>. Removing high UPFs intakes might reduce this burden by some £4bn.</w:t>
      </w:r>
    </w:p>
    <w:p w:rsidR="006E0191" w:rsidRPr="006E0191" w:rsidP="006E0191">
      <w:pPr>
        <w:rPr>
          <w:rFonts w:ascii="Verdana" w:eastAsia="Arial" w:hAnsi="Verdana" w:cs="Arial"/>
          <w:sz w:val="24"/>
          <w:highlight w:val="yellow"/>
        </w:rPr>
      </w:pPr>
      <w:r w:rsidRPr="006E0191">
        <w:rPr>
          <w:rFonts w:ascii="Verdana" w:eastAsia="Arial" w:hAnsi="Verdana" w:cs="Arial"/>
          <w:sz w:val="24"/>
        </w:rPr>
        <w:t xml:space="preserve">The annual cost of diabetes in the UK is estimated as £16bn in healthcare costs, and £20bn in indirect costs, making a total of £36bn in 2024 prices </w:t>
      </w:r>
      <w:r w:rsidRPr="006E0191">
        <w:rPr>
          <w:rFonts w:ascii="Verdana" w:eastAsia="Arial" w:hAnsi="Verdana" w:cs="Arial"/>
          <w:sz w:val="24"/>
        </w:rPr>
        <w:fldChar w:fldCharType="begin"/>
      </w:r>
      <w:r w:rsidRPr="006E0191">
        <w:rPr>
          <w:rFonts w:ascii="Verdana" w:eastAsia="Arial" w:hAnsi="Verdana" w:cs="Arial"/>
          <w:sz w:val="24"/>
        </w:rPr>
        <w:instrText xml:space="preserve"> ADDIN ZOTERO_ITEM CSL_CITATION {"citationID":"j6PBgwO7","properties":{"formattedCitation":"(9,10)","plainCitation":"(9,10)","noteIndex":0},"citationItems":[{"id":5730,"uris":["http://zotero.org/users/2185749/items/GZSQBNIZ"],"itemData":{"id":5730,"type":"post-weblog","container-title":"diabetes.co.uk","genre":"diabetes.co.uk","title":"Cost of Diabetes","URL":"https://www.diabetes.co.uk/cost-of-diabetes.html","accessed":{"date-parts":[["2024",4,4]]},"issued":{"date-parts":[["2019",1,15]]}}},{"id":5729,"uris":["http://zotero.org/users/2185749/items/FVKVSGYS"],"itemData":{"id":5729,"type":"article-journal","container-title":"LSE health, London school of Economics","title":"Diabetes expenditure, burden of disease and management in 5 EU countries","URL":"https://core.ac.uk/download/pdf/18581771.pdf","volume":"113","author":[{"family":"Kanavos","given":"Panos"},{"family":"Aardweg","given":"Stacey","non-dropping-particle":"van den"},{"family":"Schurer","given":"Willemien"}],"accessed":{"date-parts":[["2024",4,4]]},"issued":{"date-parts":[["2012"]]}}}],"schema":"https://github.com/citation-style-language/schema/raw/master/csl-citation.json"} </w:instrText>
      </w:r>
      <w:r w:rsidRPr="006E0191">
        <w:rPr>
          <w:rFonts w:ascii="Verdana" w:eastAsia="Arial" w:hAnsi="Verdana" w:cs="Arial"/>
          <w:sz w:val="24"/>
        </w:rPr>
        <w:fldChar w:fldCharType="separate"/>
      </w:r>
      <w:r w:rsidRPr="006E0191">
        <w:rPr>
          <w:rFonts w:ascii="Verdana" w:hAnsi="Verdana" w:cs="Arial"/>
          <w:sz w:val="24"/>
        </w:rPr>
        <w:t>(9,10)</w:t>
      </w:r>
      <w:r w:rsidRPr="006E0191">
        <w:rPr>
          <w:rFonts w:ascii="Verdana" w:eastAsia="Arial" w:hAnsi="Verdana" w:cs="Arial"/>
          <w:sz w:val="24"/>
        </w:rPr>
        <w:fldChar w:fldCharType="end"/>
      </w:r>
      <w:r w:rsidRPr="006E0191">
        <w:rPr>
          <w:rFonts w:ascii="Verdana" w:eastAsia="Arial" w:hAnsi="Verdana" w:cs="Arial"/>
          <w:sz w:val="24"/>
        </w:rPr>
        <w:t>. Removing high UPFs intakes might reduce this burden by approximately £3bn.</w:t>
      </w:r>
    </w:p>
    <w:p w:rsidR="006E0191" w:rsidRPr="006E0191" w:rsidP="006E0191">
      <w:pPr>
        <w:rPr>
          <w:rFonts w:ascii="Verdana" w:eastAsia="Arial" w:hAnsi="Verdana" w:cs="Arial"/>
          <w:sz w:val="24"/>
        </w:rPr>
      </w:pPr>
      <w:r w:rsidRPr="006E0191">
        <w:rPr>
          <w:rFonts w:ascii="Verdana" w:eastAsia="Arial" w:hAnsi="Verdana" w:cs="Arial"/>
          <w:sz w:val="24"/>
        </w:rPr>
        <w:t xml:space="preserve">The annual cost of common mental disorders (defined as depression, dysthymia, bipolar and anxiety) in the UK is estimated as around £129bn in 2024 prices </w:t>
      </w:r>
      <w:r w:rsidRPr="006E0191">
        <w:rPr>
          <w:rFonts w:ascii="Verdana" w:eastAsia="Arial" w:hAnsi="Verdana" w:cs="Arial"/>
          <w:sz w:val="24"/>
        </w:rPr>
        <w:fldChar w:fldCharType="begin"/>
      </w:r>
      <w:r w:rsidRPr="006E0191">
        <w:rPr>
          <w:rFonts w:ascii="Verdana" w:eastAsia="Arial" w:hAnsi="Verdana" w:cs="Arial"/>
          <w:sz w:val="24"/>
        </w:rPr>
        <w:instrText xml:space="preserve"> ADDIN ZOTERO_ITEM CSL_CITATION {"citationID":"JdcQA3RZ","properties":{"formattedCitation":"(11)","plainCitation":"(11)","noteIndex":0},"citationItems":[{"id":5731,"uris":["http://zotero.org/users/2185749/items/PN7UMDT8"],"itemData":{"id":5731,"type":"article-journal","note":"publisher: Mental Health Foundation","page":"52-53","title":"The economic case for investing in the prevention of mental health conditions in the UK","author":[{"family":"McDaid","given":"David"},{"family":"Park","given":"A.-La"},{"family":"Davidson","given":"Gavin"},{"family":"John","given":"Ann"},{"family":"Knifton","given":"Lee"},{"family":"McDaid","given":"Shari"},{"family":"Morton","given":"Alec"},{"family":"Thorpe","given":"Lucy"},{"family":"Wilson","given":"Naomi"}],"issued":{"date-parts":[["2022"]]}}}],"schema":"https://github.com/citation-style-language/schema/raw/master/csl-citation.json"} </w:instrText>
      </w:r>
      <w:r w:rsidRPr="006E0191">
        <w:rPr>
          <w:rFonts w:ascii="Verdana" w:eastAsia="Arial" w:hAnsi="Verdana" w:cs="Arial"/>
          <w:sz w:val="24"/>
        </w:rPr>
        <w:fldChar w:fldCharType="separate"/>
      </w:r>
      <w:r w:rsidRPr="006E0191">
        <w:rPr>
          <w:rFonts w:ascii="Verdana" w:hAnsi="Verdana" w:cs="Arial"/>
          <w:sz w:val="24"/>
        </w:rPr>
        <w:t>(11)</w:t>
      </w:r>
      <w:r w:rsidRPr="006E0191">
        <w:rPr>
          <w:rFonts w:ascii="Verdana" w:eastAsia="Arial" w:hAnsi="Verdana" w:cs="Arial"/>
          <w:sz w:val="24"/>
        </w:rPr>
        <w:fldChar w:fldCharType="end"/>
      </w:r>
      <w:r w:rsidRPr="006E0191">
        <w:rPr>
          <w:rFonts w:ascii="Verdana" w:eastAsia="Arial" w:hAnsi="Verdana" w:cs="Arial"/>
          <w:sz w:val="24"/>
        </w:rPr>
        <w:t>. Removing high UPFs intakes might reduce this burden by approximately £15bn.</w:t>
      </w:r>
      <w:r w:rsidRPr="006E0191">
        <w:rPr>
          <w:rFonts w:ascii="Verdana" w:hAnsi="Verdana" w:cs="Arial"/>
          <w:sz w:val="24"/>
        </w:rPr>
        <w:br/>
      </w:r>
      <w:r w:rsidRPr="006E0191">
        <w:rPr>
          <w:rFonts w:ascii="Verdana" w:hAnsi="Verdana" w:cs="Arial"/>
          <w:sz w:val="24"/>
        </w:rPr>
        <w:br/>
      </w:r>
      <w:r w:rsidRPr="006E0191">
        <w:rPr>
          <w:rFonts w:ascii="Verdana" w:eastAsia="Arial" w:hAnsi="Verdana" w:cs="Arial"/>
          <w:sz w:val="24"/>
        </w:rPr>
        <w:t>Overall, reducing UPF intake would create benefits of around £22bn per year for these three disease groups (cardiovascular, type 2 diabetes, and common mental health).</w:t>
      </w:r>
    </w:p>
    <w:p w:rsidR="006E0191" w:rsidRPr="006E0191" w:rsidP="00570EEE">
      <w:pPr>
        <w:pStyle w:val="Heading2"/>
      </w:pPr>
      <w:r w:rsidRPr="006E0191">
        <w:t>Discussion</w:t>
      </w:r>
    </w:p>
    <w:p w:rsidR="006E0191" w:rsidRPr="006E0191" w:rsidP="006E0191">
      <w:pPr>
        <w:rPr>
          <w:rFonts w:ascii="Verdana" w:eastAsia="Arial" w:hAnsi="Verdana" w:cs="Arial"/>
          <w:sz w:val="24"/>
        </w:rPr>
      </w:pPr>
      <w:r w:rsidRPr="006E0191">
        <w:rPr>
          <w:rFonts w:ascii="Verdana" w:eastAsia="Arial" w:hAnsi="Verdana" w:cs="Arial"/>
          <w:sz w:val="24"/>
        </w:rPr>
        <w:t xml:space="preserve">Our initial analysis suggests that ultra-processed foods and drinks make a substantial health and economic contribution to the UK burden of chronic disease. </w:t>
      </w:r>
    </w:p>
    <w:p w:rsidR="006E0191" w:rsidRPr="006E0191" w:rsidP="006E0191">
      <w:pPr>
        <w:rPr>
          <w:rFonts w:ascii="Verdana" w:eastAsia="Arial" w:hAnsi="Verdana" w:cs="Arial"/>
          <w:sz w:val="24"/>
        </w:rPr>
      </w:pPr>
      <w:r w:rsidRPr="006E0191">
        <w:rPr>
          <w:rFonts w:ascii="Verdana" w:eastAsia="Arial" w:hAnsi="Verdana" w:cs="Arial"/>
          <w:sz w:val="24"/>
        </w:rPr>
        <w:t xml:space="preserve">This is the first economic analysis to quantify the potential costs of UPFs in the UK, using increasingly strong emerging evidence to focus on major disease areas. </w:t>
      </w:r>
    </w:p>
    <w:p w:rsidR="006E0191" w:rsidRPr="006E0191" w:rsidP="006E0191">
      <w:pPr>
        <w:rPr>
          <w:rFonts w:ascii="Verdana" w:eastAsia="Arial" w:hAnsi="Verdana" w:cs="Arial"/>
          <w:sz w:val="24"/>
        </w:rPr>
      </w:pPr>
      <w:r w:rsidRPr="006E0191">
        <w:rPr>
          <w:rFonts w:ascii="Verdana" w:eastAsia="Arial" w:hAnsi="Verdana" w:cs="Arial"/>
          <w:sz w:val="24"/>
        </w:rPr>
        <w:t>Furthermore, this is likely to be a conservative estimate for four reasons.</w:t>
      </w:r>
    </w:p>
    <w:p w:rsidR="006E0191" w:rsidRPr="006E0191" w:rsidP="006E0191">
      <w:pPr>
        <w:rPr>
          <w:rFonts w:ascii="Verdana" w:eastAsia="Arial" w:hAnsi="Verdana" w:cs="Arial"/>
          <w:sz w:val="24"/>
        </w:rPr>
      </w:pPr>
      <w:r w:rsidRPr="006E0191">
        <w:rPr>
          <w:rFonts w:ascii="Verdana" w:eastAsia="Arial" w:hAnsi="Verdana" w:cs="Arial"/>
          <w:sz w:val="24"/>
        </w:rPr>
        <w:t xml:space="preserve">Firstly, including impacts on other large disease burdens, such as cancer and </w:t>
      </w:r>
      <w:r w:rsidRPr="006E0191">
        <w:rPr>
          <w:rFonts w:ascii="Verdana" w:hAnsi="Verdana" w:cs="Arial"/>
          <w:sz w:val="24"/>
        </w:rPr>
        <w:t>gastrointestinal</w:t>
      </w:r>
      <w:r w:rsidRPr="006E0191">
        <w:rPr>
          <w:rFonts w:ascii="Verdana" w:eastAsia="Arial" w:hAnsi="Verdana" w:cs="Arial"/>
          <w:sz w:val="24"/>
        </w:rPr>
        <w:t xml:space="preserve"> disease, could substantially increase these estimates. Future analyses will therefore need to include these and other major disease burdens.</w:t>
      </w:r>
    </w:p>
    <w:p w:rsidR="006E0191" w:rsidRPr="006E0191" w:rsidP="006E0191">
      <w:pPr>
        <w:rPr>
          <w:rFonts w:ascii="Verdana" w:eastAsia="Arial" w:hAnsi="Verdana" w:cs="Arial"/>
          <w:sz w:val="24"/>
        </w:rPr>
      </w:pPr>
      <w:r w:rsidRPr="006E0191">
        <w:rPr>
          <w:rFonts w:ascii="Verdana" w:eastAsia="Arial" w:hAnsi="Verdana" w:cs="Arial"/>
          <w:sz w:val="24"/>
        </w:rPr>
        <w:t>Secondly, our initial analysis is much needed but remains preliminary and likely underestimates the true global costs. Although we have used the best available current evidence risks, we will need better quality evidence in future. That would then enable us to use relative risks rather odds ratios, and thus enable us to estimate PAFs more accurately.</w:t>
      </w:r>
    </w:p>
    <w:p w:rsidR="006E0191" w:rsidRPr="006E0191" w:rsidP="006E0191">
      <w:pPr>
        <w:rPr>
          <w:rFonts w:ascii="Verdana" w:eastAsia="Arial" w:hAnsi="Verdana" w:cs="Arial"/>
          <w:sz w:val="24"/>
        </w:rPr>
      </w:pPr>
      <w:r w:rsidRPr="006E0191">
        <w:rPr>
          <w:rFonts w:ascii="Verdana" w:eastAsia="Arial" w:hAnsi="Verdana" w:cs="Arial"/>
          <w:sz w:val="24"/>
        </w:rPr>
        <w:t>Thirdly, in the next phase of this study, we propose to use the dose-response relations between UPF exposure and each adverse health outcome. That will allow us to overcome the current variability in the definitions of “high” UPFs exposure.</w:t>
      </w:r>
    </w:p>
    <w:p w:rsidR="006E0191" w:rsidRPr="006E0191" w:rsidP="006E0191">
      <w:pPr>
        <w:rPr>
          <w:rFonts w:ascii="Verdana" w:eastAsia="Arial" w:hAnsi="Verdana" w:cs="Arial"/>
          <w:sz w:val="24"/>
        </w:rPr>
      </w:pPr>
      <w:r w:rsidRPr="006E0191">
        <w:rPr>
          <w:rFonts w:ascii="Verdana" w:eastAsia="Arial" w:hAnsi="Verdana" w:cs="Arial"/>
          <w:sz w:val="24"/>
        </w:rPr>
        <w:t xml:space="preserve">Fourthly, it is very possible that some disease risk has increased in recent years because of a) higher UPF consumption, b) increased calorie consumption and c) reduced physical activity. </w:t>
      </w:r>
    </w:p>
    <w:p w:rsidR="006E0191" w:rsidRPr="006E0191" w:rsidP="00570EEE">
      <w:pPr>
        <w:pStyle w:val="Heading2"/>
      </w:pPr>
      <w:r w:rsidRPr="006E0191">
        <w:t xml:space="preserve">Our Future Work </w:t>
      </w:r>
    </w:p>
    <w:p w:rsidR="006E0191" w:rsidRPr="006E0191" w:rsidP="006E0191">
      <w:pPr>
        <w:rPr>
          <w:rFonts w:ascii="Verdana" w:eastAsia="Arial" w:hAnsi="Verdana" w:cs="Arial"/>
          <w:sz w:val="24"/>
        </w:rPr>
      </w:pPr>
      <w:r w:rsidRPr="006E0191">
        <w:rPr>
          <w:rFonts w:ascii="Verdana" w:eastAsia="Arial" w:hAnsi="Verdana" w:cs="Arial"/>
          <w:sz w:val="24"/>
        </w:rPr>
        <w:t xml:space="preserve">We plan to continue and improve this work on the cost of UPF as detailed above. Furthermore, many of these estimations are currently based on simple cross-sectional assumptions. Data from prospective cohorts would be better. We will therefore build on this initial work by considering the time of exposure to UPF of different cohorts and the relationship with disease risk. </w:t>
      </w:r>
    </w:p>
    <w:p w:rsidR="006E0191" w:rsidRPr="006E0191" w:rsidP="006E0191">
      <w:pPr>
        <w:rPr>
          <w:rFonts w:ascii="Verdana" w:eastAsia="Arial" w:hAnsi="Verdana" w:cs="Arial"/>
          <w:sz w:val="24"/>
        </w:rPr>
      </w:pPr>
      <w:r w:rsidRPr="006E0191">
        <w:rPr>
          <w:rFonts w:ascii="Verdana" w:eastAsia="Arial" w:hAnsi="Verdana" w:cs="Arial"/>
          <w:sz w:val="24"/>
        </w:rPr>
        <w:t xml:space="preserve">We are also currently building a project to calculate the costs of UPFs in smaller geographic areas within the UK, such as in regions and individual local authorities. We will use our previously validated IMPACTNCD model </w:t>
      </w:r>
      <w:r w:rsidRPr="006E0191">
        <w:rPr>
          <w:rFonts w:ascii="Verdana" w:eastAsia="Arial" w:hAnsi="Verdana" w:cs="Arial"/>
          <w:sz w:val="24"/>
        </w:rPr>
        <w:fldChar w:fldCharType="begin"/>
      </w:r>
      <w:r w:rsidRPr="006E0191">
        <w:rPr>
          <w:rFonts w:ascii="Verdana" w:eastAsia="Arial" w:hAnsi="Verdana" w:cs="Arial"/>
          <w:sz w:val="24"/>
        </w:rPr>
        <w:instrText xml:space="preserve"> ADDIN ZOTERO_ITEM CSL_CITATION {"citationID":"uwyqfQgX","properties":{"formattedCitation":"(12)","plainCitation":"(12)","noteIndex":0},"citationItems":[{"id":5425,"uris":["http://zotero.org/groups/5145248/items/6D7ALBQS"],"itemData":{"id":5425,"type":"article-journal","abstract":"OBJECTIVES: To estimate the potential impact of universal screening for primary prevention of cardiovascular disease (National Health Service Health Checks) on disease burden and socioeconomic inequalities in health in England, and to compare universal screening with alternative feasible strategies.\nDESIGN: Microsimulation study of a close-to-reality synthetic population. Five scenarios were considered: baseline scenario, assuming that current trends in risk factors will continue in the future; universal screening; screening concentrated only in the most deprived areas; structural population-wide intervention; and combination of population-wide intervention and concentrated screening.\nSETTING: Synthetic population with similar characteristics to the community dwelling population of England.\nPARTICIPANTS: Synthetic people with traits informed by the health survey for England.\nMAIN OUTCOME MEASURE: Cardiovascular disease cases and deaths prevented or postponed by 2030, stratified by fifths of socioeconomic status using the index of multiple deprivation.\nRESULTS: Compared with the baseline scenario, universal screening may prevent or postpone approximately 19 000 cases (interquartile range 11 000-28 000) and 3000 deaths (-1000-6000); concentrated screening 17 000 cases (9000-26 000) and 2000 deaths (-1000-5000); population-wide intervention 67 000 cases (57 000-77 000) and 8000 deaths (4000-11 000); and the combination of the population-wide intervention and concentrated screening 82 000 cases (73 000-93 000) and 9000 deaths (6000-13 000). The most equitable strategy would be the combination of the population-wide intervention and concentrated screening, followed by concentrated screening alone and the population-wide intervention. Universal screening had the least apparent impact on socioeconomic inequalities in health.\nCONCLUSIONS: When primary prevention strategies for reducing cardiovascular disease burden and inequalities are compared, universal screening seems less effective than alternative strategies, which incorporate population-wide approaches. Further research is needed to identify the best mix of population-wide and risk targeted CVD strategies to maximise cost effectiveness and minimise inequalities.","container-title":"BMJ (Clinical research ed.)","DOI":"10.1136/bmj.i2793","ISSN":"1756-1833","journalAbbreviation":"BMJ","language":"eng","note":"PMID: 27279346\nPMCID: PMC4898640","page":"i2793","source":"PubMed","title":"Cardiovascular screening to reduce the burden from cardiovascular disease: microsimulation study to quantify policy options","title-short":"Cardiovascular screening to reduce the burden from cardiovascular disease","volume":"353","author":[{"family":"Kypridemos","given":"Chris"},{"family":"Allen","given":"Kirk"},{"family":"Hickey","given":"Graeme L."},{"family":"Guzman-Castillo","given":"Maria"},{"family":"Bandosz","given":"Piotr"},{"family":"Buchan","given":"Iain"},{"family":"Capewell","given":"Simon"},{"family":"O'Flaherty","given":"Martin"}],"issued":{"date-parts":[["2016",6,8]]}}}],"schema":"https://github.com/citation-style-language/schema/raw/master/csl-citation.json"} </w:instrText>
      </w:r>
      <w:r w:rsidRPr="006E0191">
        <w:rPr>
          <w:rFonts w:ascii="Verdana" w:eastAsia="Arial" w:hAnsi="Verdana" w:cs="Arial"/>
          <w:sz w:val="24"/>
        </w:rPr>
        <w:fldChar w:fldCharType="separate"/>
      </w:r>
      <w:r w:rsidRPr="006E0191">
        <w:rPr>
          <w:rFonts w:ascii="Verdana" w:hAnsi="Verdana" w:cs="Arial"/>
          <w:sz w:val="24"/>
        </w:rPr>
        <w:t>(12)</w:t>
      </w:r>
      <w:r w:rsidRPr="006E0191">
        <w:rPr>
          <w:rFonts w:ascii="Verdana" w:eastAsia="Arial" w:hAnsi="Verdana" w:cs="Arial"/>
          <w:sz w:val="24"/>
        </w:rPr>
        <w:fldChar w:fldCharType="end"/>
      </w:r>
      <w:r w:rsidRPr="006E0191">
        <w:rPr>
          <w:rFonts w:ascii="Verdana" w:eastAsia="Arial" w:hAnsi="Verdana" w:cs="Arial"/>
          <w:sz w:val="24"/>
        </w:rPr>
        <w:t xml:space="preserve"> to evaluate the health benefits and cost-effectiveness of local and national policy measures to reduce UPFs consumption.</w:t>
      </w:r>
    </w:p>
    <w:p w:rsidR="006E0191" w:rsidRPr="006E0191" w:rsidP="00570EEE">
      <w:pPr>
        <w:pStyle w:val="Heading2"/>
      </w:pPr>
      <w:r w:rsidRPr="006E0191">
        <w:t>Conclusions</w:t>
      </w:r>
    </w:p>
    <w:p w:rsidR="006E0191" w:rsidRPr="006E0191" w:rsidP="006E0191">
      <w:pPr>
        <w:rPr>
          <w:rFonts w:ascii="Verdana" w:eastAsia="Arial" w:hAnsi="Verdana" w:cs="Arial"/>
          <w:sz w:val="24"/>
        </w:rPr>
      </w:pPr>
      <w:r w:rsidRPr="006E0191">
        <w:rPr>
          <w:rFonts w:ascii="Verdana" w:eastAsia="Arial" w:hAnsi="Verdana" w:cs="Arial"/>
          <w:sz w:val="24"/>
        </w:rPr>
        <w:t xml:space="preserve">Poor diet and obesity account for a large part of the UK burden of chronic disease and death. Our initial analysis suggests that ultra-processed foods and drinks currently make a substantial contribution, but one which is eminently preventable. Fiscal measures such as putting VAT on cakes and biscuits could help, while also generating revenue to subsidise healthier options. Increasing the availability of cheap, ready-to-eat, minimally processed foods like prepared fruit and vegetables could then also form part of the solution. </w:t>
      </w:r>
    </w:p>
    <w:p w:rsidR="006E0191" w:rsidRPr="006E0191" w:rsidP="006E0191">
      <w:pPr>
        <w:rPr>
          <w:rFonts w:ascii="Verdana" w:eastAsia="Arial" w:hAnsi="Verdana" w:cs="Arial"/>
          <w:b/>
          <w:bCs/>
          <w:sz w:val="24"/>
        </w:rPr>
      </w:pPr>
    </w:p>
    <w:p w:rsidR="006E0191" w:rsidRPr="006E0191" w:rsidP="00570EEE">
      <w:pPr>
        <w:pStyle w:val="Heading2"/>
      </w:pPr>
      <w:r w:rsidRPr="006E0191">
        <w:t>Conflict of Interest</w:t>
      </w:r>
    </w:p>
    <w:p w:rsidR="006E0191" w:rsidRPr="006E0191" w:rsidP="006E0191">
      <w:pPr>
        <w:rPr>
          <w:rFonts w:ascii="Verdana" w:eastAsia="Arial" w:hAnsi="Verdana" w:cs="Arial"/>
          <w:b/>
          <w:bCs/>
          <w:sz w:val="24"/>
        </w:rPr>
      </w:pPr>
      <w:r w:rsidRPr="006E0191">
        <w:rPr>
          <w:rFonts w:ascii="Verdana" w:eastAsia="Arial" w:hAnsi="Verdana" w:cs="Arial"/>
          <w:sz w:val="24"/>
        </w:rPr>
        <w:t>We declare no competing interests.</w:t>
      </w:r>
    </w:p>
    <w:p w:rsidR="006E0191" w:rsidP="006E0191">
      <w:pPr>
        <w:rPr>
          <w:rFonts w:ascii="Verdana" w:eastAsia="Arial" w:hAnsi="Verdana" w:cs="Arial"/>
          <w:b/>
          <w:bCs/>
          <w:sz w:val="24"/>
        </w:rPr>
      </w:pPr>
    </w:p>
    <w:p w:rsidR="00223B90" w:rsidRPr="00223B90" w:rsidP="00223B90">
      <w:pPr>
        <w:rPr>
          <w:rFonts w:ascii="Verdana" w:hAnsi="Verdana" w:cs="Arial"/>
          <w:sz w:val="28"/>
          <w:szCs w:val="24"/>
        </w:rPr>
      </w:pPr>
      <w:r>
        <w:rPr>
          <w:rFonts w:ascii="Verdana" w:hAnsi="Verdana" w:cs="Arial"/>
          <w:i/>
          <w:sz w:val="28"/>
          <w:szCs w:val="24"/>
        </w:rPr>
        <w:t>8</w:t>
      </w:r>
      <w:r w:rsidRPr="00223B90">
        <w:rPr>
          <w:rFonts w:ascii="Verdana" w:hAnsi="Verdana" w:cs="Arial"/>
          <w:i/>
          <w:sz w:val="28"/>
          <w:szCs w:val="24"/>
        </w:rPr>
        <w:t xml:space="preserve"> April 2024</w:t>
      </w:r>
    </w:p>
    <w:p w:rsidR="006E0191" w:rsidRPr="006E0191" w:rsidP="00570EEE">
      <w:pPr>
        <w:pStyle w:val="Heading2"/>
      </w:pPr>
      <w:r w:rsidRPr="006E0191">
        <w:t>References</w:t>
      </w:r>
    </w:p>
    <w:p w:rsidR="006E0191" w:rsidRPr="006E0191" w:rsidP="006E0191">
      <w:pPr>
        <w:pStyle w:val="Bibliography"/>
        <w:rPr>
          <w:rFonts w:ascii="Verdana" w:hAnsi="Verdana" w:cs="Arial"/>
          <w:sz w:val="24"/>
        </w:rPr>
      </w:pPr>
      <w:r w:rsidRPr="006E0191">
        <w:rPr>
          <w:rFonts w:ascii="Verdana" w:hAnsi="Verdana" w:cs="Arial"/>
          <w:sz w:val="24"/>
        </w:rPr>
        <w:fldChar w:fldCharType="begin"/>
      </w:r>
      <w:r w:rsidRPr="006E0191">
        <w:rPr>
          <w:rFonts w:ascii="Verdana" w:hAnsi="Verdana" w:cs="Arial"/>
          <w:sz w:val="24"/>
        </w:rPr>
        <w:instrText xml:space="preserve"> ADDIN ZOTERO_BIBL {"uncited":[],"omitted":[],"custom":[]} CSL_BIBLIOGRAPHY </w:instrText>
      </w:r>
      <w:r w:rsidRPr="006E0191">
        <w:rPr>
          <w:rFonts w:ascii="Verdana" w:hAnsi="Verdana" w:cs="Arial"/>
          <w:sz w:val="24"/>
        </w:rPr>
        <w:fldChar w:fldCharType="separate"/>
      </w:r>
      <w:r w:rsidRPr="006E0191">
        <w:rPr>
          <w:rFonts w:ascii="Verdana" w:hAnsi="Verdana" w:cs="Arial"/>
          <w:sz w:val="24"/>
        </w:rPr>
        <w:t>1.</w:t>
      </w:r>
      <w:r w:rsidRPr="006E0191">
        <w:rPr>
          <w:rFonts w:ascii="Verdana" w:hAnsi="Verdana" w:cs="Arial"/>
          <w:sz w:val="24"/>
        </w:rPr>
        <w:tab/>
        <w:t xml:space="preserve">Slimani N, Deharveng G, Southgate D a. T, Biessy C, Chajès V, van Bakel MME, et al. Contribution of highly industrially processed foods to the nutrient intakes and patterns of middle-aged populations in the European Prospective Investigation into Cancer and Nutrition study. Eur J Clin Nutr. 2009 Nov;63 Suppl 4:S206-225. </w:t>
      </w:r>
    </w:p>
    <w:p w:rsidR="006E0191" w:rsidRPr="006E0191" w:rsidP="006E0191">
      <w:pPr>
        <w:pStyle w:val="Bibliography"/>
        <w:rPr>
          <w:rFonts w:ascii="Verdana" w:hAnsi="Verdana" w:cs="Arial"/>
          <w:sz w:val="24"/>
        </w:rPr>
      </w:pPr>
      <w:r w:rsidRPr="006E0191">
        <w:rPr>
          <w:rFonts w:ascii="Verdana" w:hAnsi="Verdana" w:cs="Arial"/>
          <w:sz w:val="24"/>
        </w:rPr>
        <w:t>2.</w:t>
      </w:r>
      <w:r w:rsidRPr="006E0191">
        <w:rPr>
          <w:rFonts w:ascii="Verdana" w:hAnsi="Verdana" w:cs="Arial"/>
          <w:sz w:val="24"/>
        </w:rPr>
        <w:tab/>
        <w:t xml:space="preserve">Juul F, Parekh N, Martinez-Steele E, Monteiro CA, Chang VW. Ultra-processed food consumption among US adults from 2001 to 2018. The American Journal of Clinical Nutrition. 2022 Jan 1;115(1):211–21. </w:t>
      </w:r>
    </w:p>
    <w:p w:rsidR="006E0191" w:rsidRPr="006E0191" w:rsidP="006E0191">
      <w:pPr>
        <w:pStyle w:val="Bibliography"/>
        <w:rPr>
          <w:rFonts w:ascii="Verdana" w:hAnsi="Verdana" w:cs="Arial"/>
          <w:sz w:val="24"/>
        </w:rPr>
      </w:pPr>
      <w:r w:rsidRPr="006E0191">
        <w:rPr>
          <w:rFonts w:ascii="Verdana" w:hAnsi="Verdana" w:cs="Arial"/>
          <w:sz w:val="24"/>
        </w:rPr>
        <w:t>3.</w:t>
      </w:r>
      <w:r w:rsidRPr="006E0191">
        <w:rPr>
          <w:rFonts w:ascii="Verdana" w:hAnsi="Verdana" w:cs="Arial"/>
          <w:sz w:val="24"/>
        </w:rPr>
        <w:tab/>
        <w:t xml:space="preserve">Rauber F, Da Costa Louzada ML, Steele EM, Millett C, Monteiro CA, Levy RB. Ultra-Processed Food Consumption and Chronic Non-Communicable Diseases-Related Dietary Nutrient Profile in the UK (2008–2014). Nutrients. 2018 May;10(5):587. </w:t>
      </w:r>
    </w:p>
    <w:p w:rsidR="006E0191" w:rsidRPr="006E0191" w:rsidP="006E0191">
      <w:pPr>
        <w:pStyle w:val="Bibliography"/>
        <w:rPr>
          <w:rFonts w:ascii="Verdana" w:hAnsi="Verdana" w:cs="Arial"/>
          <w:sz w:val="24"/>
        </w:rPr>
      </w:pPr>
      <w:r w:rsidRPr="006E0191">
        <w:rPr>
          <w:rFonts w:ascii="Verdana" w:hAnsi="Verdana" w:cs="Arial"/>
          <w:sz w:val="24"/>
        </w:rPr>
        <w:t>4.</w:t>
      </w:r>
      <w:r w:rsidRPr="006E0191">
        <w:rPr>
          <w:rFonts w:ascii="Verdana" w:hAnsi="Verdana" w:cs="Arial"/>
          <w:sz w:val="24"/>
        </w:rPr>
        <w:tab/>
        <w:t xml:space="preserve">Moubarac JC, Batal M, Louzada ML, Martinez Steele E, Monteiro CA. Consumption of ultra-processed foods predicts diet quality in Canada. Appetite. 2017 Jan 1;108:512–20. </w:t>
      </w:r>
    </w:p>
    <w:p w:rsidR="006E0191" w:rsidRPr="00570EEE" w:rsidP="006E0191">
      <w:pPr>
        <w:pStyle w:val="Bibliography"/>
        <w:rPr>
          <w:rFonts w:ascii="Verdana" w:hAnsi="Verdana" w:cs="Arial"/>
          <w:sz w:val="24"/>
          <w:lang w:val="es-ES"/>
        </w:rPr>
      </w:pPr>
      <w:r w:rsidRPr="006E0191">
        <w:rPr>
          <w:rFonts w:ascii="Verdana" w:hAnsi="Verdana" w:cs="Arial"/>
          <w:sz w:val="24"/>
        </w:rPr>
        <w:t>5.</w:t>
      </w:r>
      <w:r w:rsidRPr="006E0191">
        <w:rPr>
          <w:rFonts w:ascii="Verdana" w:hAnsi="Verdana" w:cs="Arial"/>
          <w:sz w:val="24"/>
        </w:rPr>
        <w:tab/>
        <w:t xml:space="preserve">Lane MM, Gamage E, Du S, Ashtree DN, McGuinness AJ, Gauci S, et al. Ultra-processed food exposure and adverse health outcomes: umbrella review of epidemiological meta-analyses. </w:t>
      </w:r>
      <w:r w:rsidRPr="00570EEE">
        <w:rPr>
          <w:rFonts w:ascii="Verdana" w:hAnsi="Verdana" w:cs="Arial"/>
          <w:sz w:val="24"/>
          <w:lang w:val="es-ES"/>
        </w:rPr>
        <w:t>BMJ. 2024 Feb 28;</w:t>
      </w:r>
      <w:r w:rsidRPr="00570EEE">
        <w:rPr>
          <w:rFonts w:ascii="Verdana" w:hAnsi="Verdana" w:cs="Arial"/>
          <w:sz w:val="24"/>
          <w:lang w:val="es-ES"/>
        </w:rPr>
        <w:t>384:e</w:t>
      </w:r>
      <w:r w:rsidRPr="00570EEE">
        <w:rPr>
          <w:rFonts w:ascii="Verdana" w:hAnsi="Verdana" w:cs="Arial"/>
          <w:sz w:val="24"/>
          <w:lang w:val="es-ES"/>
        </w:rPr>
        <w:t xml:space="preserve">077310. </w:t>
      </w:r>
    </w:p>
    <w:p w:rsidR="006E0191" w:rsidRPr="006E0191" w:rsidP="006E0191">
      <w:pPr>
        <w:pStyle w:val="Bibliography"/>
        <w:rPr>
          <w:rFonts w:ascii="Verdana" w:hAnsi="Verdana" w:cs="Arial"/>
          <w:sz w:val="24"/>
        </w:rPr>
      </w:pPr>
      <w:r w:rsidRPr="00570EEE">
        <w:rPr>
          <w:rFonts w:ascii="Verdana" w:hAnsi="Verdana" w:cs="Arial"/>
          <w:sz w:val="24"/>
          <w:lang w:val="es-ES"/>
        </w:rPr>
        <w:t>6.</w:t>
      </w:r>
      <w:r w:rsidRPr="00570EEE">
        <w:rPr>
          <w:rFonts w:ascii="Verdana" w:hAnsi="Verdana" w:cs="Arial"/>
          <w:sz w:val="24"/>
          <w:lang w:val="es-ES"/>
        </w:rPr>
        <w:tab/>
        <w:t>Zapata-</w:t>
      </w:r>
      <w:r w:rsidRPr="00570EEE">
        <w:rPr>
          <w:rFonts w:ascii="Verdana" w:hAnsi="Verdana" w:cs="Arial"/>
          <w:sz w:val="24"/>
          <w:lang w:val="es-ES"/>
        </w:rPr>
        <w:t>Diomedi</w:t>
      </w:r>
      <w:r w:rsidRPr="00570EEE">
        <w:rPr>
          <w:rFonts w:ascii="Verdana" w:hAnsi="Verdana" w:cs="Arial"/>
          <w:sz w:val="24"/>
          <w:lang w:val="es-ES"/>
        </w:rPr>
        <w:t xml:space="preserve"> B, </w:t>
      </w:r>
      <w:r w:rsidRPr="00570EEE">
        <w:rPr>
          <w:rFonts w:ascii="Verdana" w:hAnsi="Verdana" w:cs="Arial"/>
          <w:sz w:val="24"/>
          <w:lang w:val="es-ES"/>
        </w:rPr>
        <w:t>Barendregt</w:t>
      </w:r>
      <w:r w:rsidRPr="00570EEE">
        <w:rPr>
          <w:rFonts w:ascii="Verdana" w:hAnsi="Verdana" w:cs="Arial"/>
          <w:sz w:val="24"/>
          <w:lang w:val="es-ES"/>
        </w:rPr>
        <w:t xml:space="preserve"> JJ, </w:t>
      </w:r>
      <w:r w:rsidRPr="00570EEE">
        <w:rPr>
          <w:rFonts w:ascii="Verdana" w:hAnsi="Verdana" w:cs="Arial"/>
          <w:sz w:val="24"/>
          <w:lang w:val="es-ES"/>
        </w:rPr>
        <w:t>Veerman</w:t>
      </w:r>
      <w:r w:rsidRPr="00570EEE">
        <w:rPr>
          <w:rFonts w:ascii="Verdana" w:hAnsi="Verdana" w:cs="Arial"/>
          <w:sz w:val="24"/>
          <w:lang w:val="es-ES"/>
        </w:rPr>
        <w:t xml:space="preserve"> JL. </w:t>
      </w:r>
      <w:r w:rsidRPr="006E0191">
        <w:rPr>
          <w:rFonts w:ascii="Verdana" w:hAnsi="Verdana" w:cs="Arial"/>
          <w:sz w:val="24"/>
        </w:rPr>
        <w:t xml:space="preserve">Population attributable fraction: names, types and issues with incorrect interpretation of relative risks. Br J Sports Med. 2018 Feb;52(4):212–3. </w:t>
      </w:r>
    </w:p>
    <w:p w:rsidR="006E0191" w:rsidRPr="006E0191" w:rsidP="006E0191">
      <w:pPr>
        <w:pStyle w:val="Bibliography"/>
        <w:rPr>
          <w:rFonts w:ascii="Verdana" w:hAnsi="Verdana" w:cs="Arial"/>
          <w:sz w:val="24"/>
        </w:rPr>
      </w:pPr>
      <w:r w:rsidRPr="006E0191">
        <w:rPr>
          <w:rFonts w:ascii="Verdana" w:hAnsi="Verdana" w:cs="Arial"/>
          <w:sz w:val="24"/>
        </w:rPr>
        <w:t>7.</w:t>
      </w:r>
      <w:r w:rsidRPr="006E0191">
        <w:rPr>
          <w:rFonts w:ascii="Verdana" w:hAnsi="Verdana" w:cs="Arial"/>
          <w:sz w:val="24"/>
        </w:rPr>
        <w:tab/>
        <w:t>HM Treasury. GOV.UK. 2024 [cited 2024 Apr 8]. GDP deflators at market prices, and money GDP. Available from: https://www.gov.uk/government/collections/gdp-deflators-at-market-prices-and-money-gdp</w:t>
      </w:r>
    </w:p>
    <w:p w:rsidR="006E0191" w:rsidRPr="006E0191" w:rsidP="006E0191">
      <w:pPr>
        <w:pStyle w:val="Bibliography"/>
        <w:rPr>
          <w:rFonts w:ascii="Verdana" w:hAnsi="Verdana" w:cs="Arial"/>
          <w:sz w:val="24"/>
        </w:rPr>
      </w:pPr>
      <w:r w:rsidRPr="006E0191">
        <w:rPr>
          <w:rFonts w:ascii="Verdana" w:hAnsi="Verdana" w:cs="Arial"/>
          <w:sz w:val="24"/>
        </w:rPr>
        <w:t>8.</w:t>
      </w:r>
      <w:r w:rsidRPr="006E0191">
        <w:rPr>
          <w:rFonts w:ascii="Verdana" w:hAnsi="Verdana" w:cs="Arial"/>
          <w:sz w:val="24"/>
        </w:rPr>
        <w:tab/>
        <w:t>British Heart Foundation. England Factsheet [Internet]. 2024 [cited 2024 Apr 4]. Available from: https://www.bhf.org.uk/-/media/files/for-professionals/research/heart-statistics/bhf-cvd-statistics-england-factsheet.pdf</w:t>
      </w:r>
    </w:p>
    <w:p w:rsidR="006E0191" w:rsidRPr="006E0191" w:rsidP="006E0191">
      <w:pPr>
        <w:pStyle w:val="Bibliography"/>
        <w:rPr>
          <w:rFonts w:ascii="Verdana" w:hAnsi="Verdana" w:cs="Arial"/>
          <w:sz w:val="24"/>
        </w:rPr>
      </w:pPr>
      <w:r w:rsidRPr="006E0191">
        <w:rPr>
          <w:rFonts w:ascii="Verdana" w:hAnsi="Verdana" w:cs="Arial"/>
          <w:sz w:val="24"/>
        </w:rPr>
        <w:t>9.</w:t>
      </w:r>
      <w:r w:rsidRPr="006E0191">
        <w:rPr>
          <w:rFonts w:ascii="Verdana" w:hAnsi="Verdana" w:cs="Arial"/>
          <w:sz w:val="24"/>
        </w:rPr>
        <w:tab/>
        <w:t>Cost of Diabetes [Internet]. diabetes.co.uk. 2019 [cited 2024 Apr 4]. Available from: https://www.diabetes.co.uk/cost-of-diabetes.html</w:t>
      </w:r>
    </w:p>
    <w:p w:rsidR="006E0191" w:rsidRPr="006E0191" w:rsidP="006E0191">
      <w:pPr>
        <w:pStyle w:val="Bibliography"/>
        <w:rPr>
          <w:rFonts w:ascii="Verdana" w:hAnsi="Verdana" w:cs="Arial"/>
          <w:sz w:val="24"/>
        </w:rPr>
      </w:pPr>
      <w:r w:rsidRPr="006E0191">
        <w:rPr>
          <w:rFonts w:ascii="Verdana" w:hAnsi="Verdana" w:cs="Arial"/>
          <w:sz w:val="24"/>
        </w:rPr>
        <w:t>10.</w:t>
      </w:r>
      <w:r w:rsidRPr="006E0191">
        <w:rPr>
          <w:rFonts w:ascii="Verdana" w:hAnsi="Verdana" w:cs="Arial"/>
          <w:sz w:val="24"/>
        </w:rPr>
        <w:tab/>
        <w:t>Kanavos P, van den Aardweg S, Schurer W. Diabetes expenditure, burden of disease and management in 5 EU countries. LSE health, London school of Economics [Internet]. 2012 [cited 2024 Apr 4];113. Available from: https://core.ac.uk/download/pdf/18581771.pdf</w:t>
      </w:r>
    </w:p>
    <w:p w:rsidR="006E0191" w:rsidRPr="006E0191" w:rsidP="006E0191">
      <w:pPr>
        <w:pStyle w:val="Bibliography"/>
        <w:rPr>
          <w:rFonts w:ascii="Verdana" w:hAnsi="Verdana" w:cs="Arial"/>
          <w:sz w:val="24"/>
        </w:rPr>
      </w:pPr>
      <w:r w:rsidRPr="006E0191">
        <w:rPr>
          <w:rFonts w:ascii="Verdana" w:hAnsi="Verdana" w:cs="Arial"/>
          <w:sz w:val="24"/>
        </w:rPr>
        <w:t>11.</w:t>
      </w:r>
      <w:r w:rsidRPr="006E0191">
        <w:rPr>
          <w:rFonts w:ascii="Verdana" w:hAnsi="Verdana" w:cs="Arial"/>
          <w:sz w:val="24"/>
        </w:rPr>
        <w:tab/>
        <w:t xml:space="preserve">McDaid D, Park AL, Davidson G, John A, Knifton L, McDaid S, et al. The economic case for investing in the prevention of mental health conditions in the UK. 2022;52–3. </w:t>
      </w:r>
    </w:p>
    <w:p w:rsidR="006E0191" w:rsidRPr="006E0191" w:rsidP="006E0191">
      <w:pPr>
        <w:pStyle w:val="Bibliography"/>
        <w:rPr>
          <w:rFonts w:ascii="Verdana" w:hAnsi="Verdana" w:cs="Arial"/>
          <w:sz w:val="24"/>
        </w:rPr>
      </w:pPr>
      <w:r w:rsidRPr="006E0191">
        <w:rPr>
          <w:rFonts w:ascii="Verdana" w:hAnsi="Verdana" w:cs="Arial"/>
          <w:sz w:val="24"/>
        </w:rPr>
        <w:t>12.</w:t>
      </w:r>
      <w:r w:rsidRPr="006E0191">
        <w:rPr>
          <w:rFonts w:ascii="Verdana" w:hAnsi="Verdana" w:cs="Arial"/>
          <w:sz w:val="24"/>
        </w:rPr>
        <w:tab/>
        <w:t xml:space="preserve">Kypridemos C, Allen K, Hickey GL, Guzman-Castillo M, Bandosz P, Buchan I, et al. Cardiovascular screening to reduce the burden from cardiovascular disease: microsimulation study to quantify policy options. BMJ. 2016 Jun 8;353:i2793. </w:t>
      </w:r>
    </w:p>
    <w:p w:rsidR="006E0191" w:rsidRPr="006E0191" w:rsidP="006E0191">
      <w:pPr>
        <w:pStyle w:val="Bibliography"/>
        <w:rPr>
          <w:rFonts w:ascii="Verdana" w:hAnsi="Verdana" w:cs="Arial"/>
          <w:sz w:val="24"/>
        </w:rPr>
      </w:pPr>
      <w:r w:rsidRPr="006E0191">
        <w:rPr>
          <w:rFonts w:ascii="Verdana" w:hAnsi="Verdana" w:cs="Arial"/>
          <w:sz w:val="24"/>
        </w:rPr>
        <w:t>13.</w:t>
      </w:r>
      <w:r w:rsidRPr="006E0191">
        <w:rPr>
          <w:rFonts w:ascii="Verdana" w:hAnsi="Verdana" w:cs="Arial"/>
          <w:sz w:val="24"/>
        </w:rPr>
        <w:tab/>
        <w:t xml:space="preserve">Grant RL. Converting an odds ratio to a range of plausible relative risks for better communication of research findings. BMJ. 2014 Jan 24;348:f7450. </w:t>
      </w:r>
    </w:p>
    <w:p w:rsidR="006E0191" w:rsidRPr="006E0191" w:rsidP="006E0191">
      <w:pPr>
        <w:rPr>
          <w:rFonts w:ascii="Verdana" w:hAnsi="Verdana" w:cs="Arial"/>
          <w:sz w:val="24"/>
        </w:rPr>
      </w:pPr>
      <w:r w:rsidRPr="006E0191">
        <w:rPr>
          <w:rFonts w:ascii="Verdana" w:hAnsi="Verdana" w:cs="Arial"/>
          <w:sz w:val="24"/>
        </w:rPr>
        <w:fldChar w:fldCharType="end"/>
      </w:r>
    </w:p>
    <w:p w:rsidR="006E0191" w:rsidRPr="006E0191" w:rsidP="006E0191">
      <w:pPr>
        <w:rPr>
          <w:rFonts w:ascii="Verdana" w:hAnsi="Verdana" w:cs="Arial"/>
          <w:sz w:val="24"/>
        </w:rPr>
      </w:pPr>
    </w:p>
    <w:p w:rsidR="006E0191" w:rsidRPr="006E0191" w:rsidP="00570EEE">
      <w:pPr>
        <w:pStyle w:val="Heading2"/>
      </w:pPr>
      <w:r w:rsidRPr="006E0191">
        <w:t>Statistical footnote</w:t>
      </w:r>
    </w:p>
    <w:p w:rsidR="006E0191" w:rsidRPr="006E0191" w:rsidP="006E0191">
      <w:pPr>
        <w:rPr>
          <w:rFonts w:ascii="Verdana" w:eastAsia="Arial" w:hAnsi="Verdana" w:cs="Arial"/>
          <w:sz w:val="24"/>
        </w:rPr>
      </w:pPr>
      <w:r w:rsidRPr="006E0191">
        <w:rPr>
          <w:rFonts w:ascii="Verdana" w:eastAsia="Arial" w:hAnsi="Verdana" w:cs="Arial"/>
          <w:sz w:val="24"/>
        </w:rPr>
        <w:t xml:space="preserve">We used odds ratios (OR) to quantify each PAF as risk ratios (RR) were not available in the meta-analysis we used. Although formulas exist to convert OR into RR, we could not do that for this study, because the OR values provided by the meta-analysis were adjusted for covariates. Those adjustments implied multiple shared baseline risk </w:t>
      </w:r>
      <w:r w:rsidRPr="006E0191">
        <w:rPr>
          <w:rFonts w:ascii="Verdana" w:eastAsia="Arial" w:hAnsi="Verdana" w:cs="Arial"/>
          <w:sz w:val="24"/>
        </w:rPr>
        <w:fldChar w:fldCharType="begin"/>
      </w:r>
      <w:r w:rsidRPr="006E0191">
        <w:rPr>
          <w:rFonts w:ascii="Verdana" w:eastAsia="Arial" w:hAnsi="Verdana" w:cs="Arial"/>
          <w:sz w:val="24"/>
        </w:rPr>
        <w:instrText xml:space="preserve"> ADDIN ZOTERO_ITEM CSL_CITATION {"citationID":"Qygj119Y","properties":{"formattedCitation":"(13)","plainCitation":"(13)","noteIndex":0},"citationItems":[{"id":5720,"uris":["http://zotero.org/users/2185749/items/JXD6TTJK"],"itemData":{"id":5720,"type":"article-journal","abstract":"&lt;p&gt;Odds ratios are a necessary evil in medical research; although used as a measure of effect size from logistic regressions and case-control studies, they are poorly understood. This paper provides practical advice for authors and readers on converting odds ratios to relative risks &lt;/p&gt;","container-title":"BMJ","DOI":"10.1136/bmj.f7450","ISSN":"1756-1833","journalAbbreviation":"BMJ","language":"en","note":"publisher: British Medical Journal Publishing Group\nsection: Research Methods &amp;amp; Reporting\nPMID: 24464277","page":"f7450","source":"www.bmj.com","title":"Converting an odds ratio to a range of plausible relative risks for better communication of research findings","volume":"348","author":[{"family":"Grant","given":"Robert L."}],"issued":{"date-parts":[["2014",1,24]]}}}],"schema":"https://github.com/citation-style-language/schema/raw/master/csl-citation.json"} </w:instrText>
      </w:r>
      <w:r w:rsidRPr="006E0191">
        <w:rPr>
          <w:rFonts w:ascii="Verdana" w:eastAsia="Arial" w:hAnsi="Verdana" w:cs="Arial"/>
          <w:sz w:val="24"/>
        </w:rPr>
        <w:fldChar w:fldCharType="separate"/>
      </w:r>
      <w:r w:rsidRPr="006E0191">
        <w:rPr>
          <w:rFonts w:ascii="Verdana" w:hAnsi="Verdana" w:cs="Arial"/>
          <w:sz w:val="24"/>
        </w:rPr>
        <w:t>(13)</w:t>
      </w:r>
      <w:r w:rsidRPr="006E0191">
        <w:rPr>
          <w:rFonts w:ascii="Verdana" w:eastAsia="Arial" w:hAnsi="Verdana" w:cs="Arial"/>
          <w:sz w:val="24"/>
        </w:rPr>
        <w:fldChar w:fldCharType="end"/>
      </w:r>
      <w:r w:rsidRPr="006E0191">
        <w:rPr>
          <w:rFonts w:ascii="Verdana" w:eastAsia="Arial" w:hAnsi="Verdana" w:cs="Arial"/>
          <w:sz w:val="24"/>
        </w:rPr>
        <w:t>, which were not presented in the meta-analysis by Lane et al.</w:t>
      </w:r>
    </w:p>
    <w:p w:rsidR="006E0191" w:rsidRPr="006E0191" w:rsidP="006E0191">
      <w:pPr>
        <w:rPr>
          <w:rFonts w:ascii="Verdana" w:hAnsi="Verdana" w:cs="Arial"/>
          <w:sz w:val="24"/>
        </w:rPr>
      </w:pPr>
    </w:p>
    <w:p w:rsidR="006E0191" w:rsidRPr="006E0191" w:rsidP="006E0191">
      <w:pPr>
        <w:rPr>
          <w:rFonts w:ascii="Verdana" w:hAnsi="Verdana" w:cs="Arial"/>
          <w:i/>
          <w:sz w:val="24"/>
        </w:rPr>
      </w:pPr>
    </w:p>
    <w:p w:rsidR="006E0191" w:rsidRPr="006E0191" w:rsidP="006E0191">
      <w:pPr>
        <w:rPr>
          <w:rFonts w:ascii="Verdana" w:hAnsi="Verdana" w:cs="Arial"/>
          <w:sz w:val="24"/>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23B90"/>
  </w:style>
  <w:style w:type="paragraph" w:styleId="Heading2">
    <w:name w:val="heading 2"/>
    <w:basedOn w:val="Normal"/>
    <w:next w:val="Normal"/>
    <w:link w:val="Heading2Char"/>
    <w:uiPriority w:val="9"/>
    <w:unhideWhenUsed/>
    <w:qFormat/>
    <w:rsid w:val="00570EEE"/>
    <w:pPr>
      <w:outlineLvl w:val="1"/>
    </w:pPr>
    <w:rPr>
      <w:rFonts w:ascii="Verdana" w:hAnsi="Verdana" w:cs="Arial"/>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541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54121"/>
    <w:rPr>
      <w:sz w:val="20"/>
      <w:szCs w:val="20"/>
    </w:rPr>
  </w:style>
  <w:style w:type="character" w:styleId="FootnoteReference">
    <w:name w:val="footnote reference"/>
    <w:basedOn w:val="DefaultParagraphFont"/>
    <w:uiPriority w:val="99"/>
    <w:semiHidden/>
    <w:unhideWhenUsed/>
    <w:rsid w:val="00E54121"/>
    <w:rPr>
      <w:vertAlign w:val="superscript"/>
    </w:rPr>
  </w:style>
  <w:style w:type="character" w:styleId="Hyperlink">
    <w:name w:val="Hyperlink"/>
    <w:basedOn w:val="DefaultParagraphFont"/>
    <w:uiPriority w:val="99"/>
    <w:unhideWhenUsed/>
    <w:rsid w:val="00E54121"/>
    <w:rPr>
      <w:color w:val="0000FF"/>
      <w:u w:val="single"/>
    </w:rPr>
  </w:style>
  <w:style w:type="character" w:customStyle="1" w:styleId="UnresolvedMention1">
    <w:name w:val="Unresolved Mention1"/>
    <w:basedOn w:val="DefaultParagraphFont"/>
    <w:uiPriority w:val="99"/>
    <w:semiHidden/>
    <w:unhideWhenUsed/>
    <w:rsid w:val="00E0374D"/>
    <w:rPr>
      <w:color w:val="605E5C"/>
      <w:shd w:val="clear" w:color="auto" w:fill="E1DFDD"/>
    </w:rPr>
  </w:style>
  <w:style w:type="character" w:styleId="FollowedHyperlink">
    <w:name w:val="FollowedHyperlink"/>
    <w:basedOn w:val="DefaultParagraphFont"/>
    <w:uiPriority w:val="99"/>
    <w:semiHidden/>
    <w:unhideWhenUsed/>
    <w:rsid w:val="001D5885"/>
    <w:rPr>
      <w:color w:val="954F72" w:themeColor="followedHyperlink"/>
      <w:u w:val="single"/>
    </w:rPr>
  </w:style>
  <w:style w:type="character" w:styleId="CommentReference">
    <w:name w:val="annotation reference"/>
    <w:basedOn w:val="DefaultParagraphFont"/>
    <w:uiPriority w:val="99"/>
    <w:semiHidden/>
    <w:unhideWhenUsed/>
    <w:rsid w:val="005F31FC"/>
    <w:rPr>
      <w:sz w:val="16"/>
      <w:szCs w:val="16"/>
    </w:rPr>
  </w:style>
  <w:style w:type="paragraph" w:styleId="CommentText">
    <w:name w:val="annotation text"/>
    <w:basedOn w:val="Normal"/>
    <w:link w:val="CommentTextChar"/>
    <w:uiPriority w:val="99"/>
    <w:unhideWhenUsed/>
    <w:rsid w:val="005F31FC"/>
    <w:pPr>
      <w:spacing w:line="240" w:lineRule="auto"/>
    </w:pPr>
    <w:rPr>
      <w:sz w:val="20"/>
      <w:szCs w:val="20"/>
    </w:rPr>
  </w:style>
  <w:style w:type="character" w:customStyle="1" w:styleId="CommentTextChar">
    <w:name w:val="Comment Text Char"/>
    <w:basedOn w:val="DefaultParagraphFont"/>
    <w:link w:val="CommentText"/>
    <w:uiPriority w:val="99"/>
    <w:rsid w:val="005F31FC"/>
    <w:rPr>
      <w:sz w:val="20"/>
      <w:szCs w:val="20"/>
    </w:rPr>
  </w:style>
  <w:style w:type="paragraph" w:styleId="CommentSubject">
    <w:name w:val="annotation subject"/>
    <w:basedOn w:val="CommentText"/>
    <w:next w:val="CommentText"/>
    <w:link w:val="CommentSubjectChar"/>
    <w:uiPriority w:val="99"/>
    <w:semiHidden/>
    <w:unhideWhenUsed/>
    <w:rsid w:val="005F31FC"/>
    <w:rPr>
      <w:b/>
      <w:bCs/>
    </w:rPr>
  </w:style>
  <w:style w:type="character" w:customStyle="1" w:styleId="CommentSubjectChar">
    <w:name w:val="Comment Subject Char"/>
    <w:basedOn w:val="CommentTextChar"/>
    <w:link w:val="CommentSubject"/>
    <w:uiPriority w:val="99"/>
    <w:semiHidden/>
    <w:rsid w:val="005F31FC"/>
    <w:rPr>
      <w:b/>
      <w:bCs/>
      <w:sz w:val="20"/>
      <w:szCs w:val="20"/>
    </w:rPr>
  </w:style>
  <w:style w:type="paragraph" w:styleId="BalloonText">
    <w:name w:val="Balloon Text"/>
    <w:basedOn w:val="Normal"/>
    <w:link w:val="BalloonTextChar"/>
    <w:uiPriority w:val="99"/>
    <w:semiHidden/>
    <w:unhideWhenUsed/>
    <w:rsid w:val="008536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3608"/>
    <w:rPr>
      <w:rFonts w:ascii="Segoe UI" w:hAnsi="Segoe UI" w:cs="Segoe UI"/>
      <w:sz w:val="18"/>
      <w:szCs w:val="18"/>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ED022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D0227"/>
  </w:style>
  <w:style w:type="paragraph" w:styleId="Footer">
    <w:name w:val="footer"/>
    <w:basedOn w:val="Normal"/>
    <w:link w:val="FooterChar"/>
    <w:uiPriority w:val="99"/>
    <w:semiHidden/>
    <w:unhideWhenUsed/>
    <w:rsid w:val="00ED022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D0227"/>
  </w:style>
  <w:style w:type="paragraph" w:styleId="Bibliography">
    <w:name w:val="Bibliography"/>
    <w:basedOn w:val="Normal"/>
    <w:next w:val="Normal"/>
    <w:uiPriority w:val="37"/>
    <w:unhideWhenUsed/>
    <w:rsid w:val="00FB5007"/>
    <w:pPr>
      <w:tabs>
        <w:tab w:val="left" w:pos="264"/>
      </w:tabs>
      <w:spacing w:after="240" w:line="240" w:lineRule="auto"/>
      <w:ind w:left="264" w:hanging="264"/>
    </w:pPr>
  </w:style>
  <w:style w:type="character" w:customStyle="1" w:styleId="Heading2Char">
    <w:name w:val="Heading 2 Char"/>
    <w:basedOn w:val="DefaultParagraphFont"/>
    <w:link w:val="Heading2"/>
    <w:uiPriority w:val="9"/>
    <w:rsid w:val="00570EEE"/>
    <w:rPr>
      <w:rFonts w:ascii="Verdana" w:hAnsi="Verdana" w:cs="Arial"/>
      <w:b/>
      <w:bCs/>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E18F42980674C4080D877AFFC34F2B0" ma:contentTypeVersion="13" ma:contentTypeDescription="Create a new document." ma:contentTypeScope="" ma:versionID="3a76e4502f7bec858de3b14bd6240251">
  <xsd:schema xmlns:xsd="http://www.w3.org/2001/XMLSchema" xmlns:xs="http://www.w3.org/2001/XMLSchema" xmlns:p="http://schemas.microsoft.com/office/2006/metadata/properties" xmlns:ns2="f84b4615-96a4-421c-94d9-0ff7fc995db0" xmlns:ns3="a5b6e55a-3cd3-4552-afe6-0d1abe327b31" targetNamespace="http://schemas.microsoft.com/office/2006/metadata/properties" ma:root="true" ma:fieldsID="4f525d66bef363c202ca8da4148164a2" ns2:_="" ns3:_="">
    <xsd:import namespace="f84b4615-96a4-421c-94d9-0ff7fc995db0"/>
    <xsd:import namespace="a5b6e55a-3cd3-4552-afe6-0d1abe327b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_Flow_SignoffStatus" minOccurs="0"/>
                <xsd:element ref="ns3:MediaServiceAutoTags" minOccurs="0"/>
                <xsd:element ref="ns3:MediaServiceOCR" minOccurs="0"/>
                <xsd:element ref="ns3:MediaServiceAutoKeyPoints" minOccurs="0"/>
                <xsd:element ref="ns3:MediaServiceKeyPoints" minOccurs="0"/>
                <xsd:element ref="ns3:MediaServiceDateTake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4b4615-96a4-421c-94d9-0ff7fc995db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b6e55a-3cd3-4552-afe6-0d1abe327b3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_Flow_SignoffStatus" ma:index="12" nillable="true" ma:displayName="Sign-off status" ma:internalName="Sign_x002d_off_x0020_status">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Flow_SignoffStatus xmlns="a5b6e55a-3cd3-4552-afe6-0d1abe327b31" xsi:nil="true"/>
  </documentManagement>
</p:properties>
</file>

<file path=customXml/itemProps1.xml><?xml version="1.0" encoding="utf-8"?>
<ds:datastoreItem xmlns:ds="http://schemas.openxmlformats.org/officeDocument/2006/customXml" ds:itemID="{285EF080-B494-4DEC-9033-A6243C073979}">
  <ds:schemaRefs>
    <ds:schemaRef ds:uri="http://schemas.microsoft.com/sharepoint/v3/contenttype/forms"/>
  </ds:schemaRefs>
</ds:datastoreItem>
</file>

<file path=customXml/itemProps2.xml><?xml version="1.0" encoding="utf-8"?>
<ds:datastoreItem xmlns:ds="http://schemas.openxmlformats.org/officeDocument/2006/customXml" ds:itemID="{3842023E-3718-4A63-8A8E-446A4B824D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4b4615-96a4-421c-94d9-0ff7fc995db0"/>
    <ds:schemaRef ds:uri="a5b6e55a-3cd3-4552-afe6-0d1abe327b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F2196F-BA95-4C96-99D4-A50181B6B0A6}">
  <ds:schemaRefs>
    <ds:schemaRef ds:uri="http://schemas.openxmlformats.org/officeDocument/2006/bibliography"/>
  </ds:schemaRefs>
</ds:datastoreItem>
</file>

<file path=customXml/itemProps4.xml><?xml version="1.0" encoding="utf-8"?>
<ds:datastoreItem xmlns:ds="http://schemas.openxmlformats.org/officeDocument/2006/customXml" ds:itemID="{7F9A2C0D-EC51-4ED9-ABBC-608098D14560}">
  <ds:schemaRefs>
    <ds:schemaRef ds:uri="http://schemas.microsoft.com/office/2006/metadata/properties"/>
    <ds:schemaRef ds:uri="http://schemas.microsoft.com/office/infopath/2007/PartnerControls"/>
    <ds:schemaRef ds:uri="a5b6e55a-3cd3-4552-afe6-0d1abe327b31"/>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