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6528" w:rsidRPr="008668C9" w:rsidP="007F4CA7">
      <w:pPr>
        <w:jc w:val="center"/>
        <w:rPr>
          <w:rFonts w:cstheme="minorHAnsi"/>
          <w:sz w:val="32"/>
          <w:szCs w:val="32"/>
        </w:rPr>
      </w:pPr>
      <w:r w:rsidRPr="008668C9">
        <w:rPr>
          <w:rFonts w:cstheme="minorHAnsi"/>
          <w:sz w:val="32"/>
          <w:szCs w:val="32"/>
        </w:rPr>
        <w:t xml:space="preserve">International Development Committee: </w:t>
      </w:r>
      <w:r w:rsidRPr="008668C9">
        <w:rPr>
          <w:rFonts w:cstheme="minorHAnsi"/>
          <w:sz w:val="32"/>
          <w:szCs w:val="32"/>
        </w:rPr>
        <w:br/>
        <w:t>UK Small Island Developing States Strategy</w:t>
      </w:r>
    </w:p>
    <w:p w:rsidR="007F4CA7" w:rsidRPr="008668C9" w:rsidP="007F4CA7">
      <w:pPr>
        <w:jc w:val="center"/>
        <w:rPr>
          <w:rFonts w:cstheme="minorHAnsi"/>
          <w:sz w:val="32"/>
          <w:szCs w:val="32"/>
        </w:rPr>
      </w:pPr>
    </w:p>
    <w:p w:rsidR="007F4CA7" w:rsidRPr="008668C9" w:rsidP="007F4CA7">
      <w:pPr>
        <w:jc w:val="center"/>
        <w:rPr>
          <w:rFonts w:cstheme="minorHAnsi"/>
          <w:b/>
          <w:bCs/>
          <w:sz w:val="32"/>
          <w:szCs w:val="32"/>
        </w:rPr>
      </w:pPr>
      <w:r w:rsidRPr="008668C9">
        <w:rPr>
          <w:rFonts w:cstheme="minorHAnsi"/>
          <w:b/>
          <w:bCs/>
          <w:sz w:val="32"/>
          <w:szCs w:val="32"/>
        </w:rPr>
        <w:t>SIDS, sea-level rise and the preservation of maritime zones</w:t>
      </w:r>
    </w:p>
    <w:p w:rsidR="00155038" w:rsidRPr="008668C9" w:rsidP="00155038">
      <w:pPr>
        <w:pBdr>
          <w:bottom w:val="single" w:sz="12" w:space="1" w:color="auto"/>
        </w:pBdr>
        <w:jc w:val="center"/>
        <w:rPr>
          <w:rFonts w:cstheme="minorHAnsi"/>
          <w:sz w:val="24"/>
          <w:szCs w:val="24"/>
        </w:rPr>
      </w:pPr>
      <w:r w:rsidRPr="008668C9">
        <w:rPr>
          <w:rFonts w:cstheme="minorHAnsi"/>
          <w:sz w:val="24"/>
          <w:szCs w:val="24"/>
        </w:rPr>
        <w:t>Frances Anggadi, University of Wollongong, Australia</w:t>
      </w:r>
      <w:r>
        <w:rPr>
          <w:rStyle w:val="FootnoteReference"/>
          <w:rFonts w:cstheme="minorHAnsi"/>
          <w:sz w:val="24"/>
          <w:szCs w:val="24"/>
        </w:rPr>
        <w:footnoteReference w:id="2"/>
      </w:r>
    </w:p>
    <w:p w:rsidR="00155038" w:rsidRPr="008668C9" w:rsidP="00155038">
      <w:pPr>
        <w:pBdr>
          <w:bottom w:val="single" w:sz="12" w:space="1" w:color="auto"/>
        </w:pBdr>
        <w:jc w:val="center"/>
        <w:rPr>
          <w:rFonts w:cstheme="minorHAnsi"/>
          <w:sz w:val="24"/>
          <w:szCs w:val="24"/>
        </w:rPr>
      </w:pPr>
    </w:p>
    <w:p w:rsidR="00155038" w:rsidRPr="008668C9" w:rsidP="00754FCB">
      <w:pPr>
        <w:pBdr>
          <w:bottom w:val="single" w:sz="12" w:space="1" w:color="auto"/>
        </w:pBdr>
        <w:jc w:val="both"/>
        <w:rPr>
          <w:rFonts w:cstheme="minorHAnsi"/>
          <w:sz w:val="24"/>
          <w:szCs w:val="24"/>
        </w:rPr>
      </w:pPr>
      <w:r w:rsidRPr="008668C9">
        <w:rPr>
          <w:rFonts w:cstheme="minorHAnsi"/>
          <w:i/>
          <w:iCs/>
          <w:sz w:val="24"/>
          <w:szCs w:val="24"/>
        </w:rPr>
        <w:t>This submission addresses ‘Ocean and Biodiversity’, one of the six key areas of focus identified in the ‘UK Small Island Developing States Strategy 2022 to 2026’.</w:t>
      </w:r>
      <w:r>
        <w:rPr>
          <w:rStyle w:val="FootnoteReference"/>
          <w:rFonts w:cstheme="minorHAnsi"/>
          <w:i/>
          <w:iCs/>
          <w:sz w:val="24"/>
          <w:szCs w:val="24"/>
        </w:rPr>
        <w:footnoteReference w:id="3"/>
      </w:r>
      <w:r w:rsidRPr="008668C9">
        <w:rPr>
          <w:rFonts w:cstheme="minorHAnsi"/>
          <w:i/>
          <w:iCs/>
          <w:sz w:val="24"/>
          <w:szCs w:val="24"/>
        </w:rPr>
        <w:t xml:space="preserve">  I suggest that the </w:t>
      </w:r>
      <w:r w:rsidR="00B246CE">
        <w:rPr>
          <w:rFonts w:cstheme="minorHAnsi"/>
          <w:i/>
          <w:iCs/>
          <w:sz w:val="24"/>
          <w:szCs w:val="24"/>
        </w:rPr>
        <w:t xml:space="preserve">successful </w:t>
      </w:r>
      <w:r w:rsidRPr="008668C9">
        <w:rPr>
          <w:rFonts w:cstheme="minorHAnsi"/>
          <w:i/>
          <w:iCs/>
          <w:sz w:val="24"/>
          <w:szCs w:val="24"/>
        </w:rPr>
        <w:t>implementation of measures under this area of focus will require more than ‘[s]upporting SIDS to grow their maritime economies sustainably while adapting and mitigating climate change’ by way of the new funding streams proposed in the</w:t>
      </w:r>
      <w:r w:rsidRPr="008668C9" w:rsidR="004528D7">
        <w:rPr>
          <w:rFonts w:cstheme="minorHAnsi"/>
          <w:i/>
          <w:iCs/>
          <w:sz w:val="24"/>
          <w:szCs w:val="24"/>
        </w:rPr>
        <w:t xml:space="preserve"> UK SIDS</w:t>
      </w:r>
      <w:r w:rsidRPr="008668C9">
        <w:rPr>
          <w:rFonts w:cstheme="minorHAnsi"/>
          <w:i/>
          <w:iCs/>
          <w:sz w:val="24"/>
          <w:szCs w:val="24"/>
        </w:rPr>
        <w:t xml:space="preserve"> Strategy.  I recommend that the United Kingdom should take steps to support the </w:t>
      </w:r>
      <w:r w:rsidRPr="008668C9" w:rsidR="00431701">
        <w:rPr>
          <w:rFonts w:cstheme="minorHAnsi"/>
          <w:i/>
          <w:iCs/>
          <w:sz w:val="24"/>
          <w:szCs w:val="24"/>
        </w:rPr>
        <w:t xml:space="preserve">legal </w:t>
      </w:r>
      <w:r w:rsidRPr="008668C9">
        <w:rPr>
          <w:rFonts w:cstheme="minorHAnsi"/>
          <w:i/>
          <w:iCs/>
          <w:sz w:val="24"/>
          <w:szCs w:val="24"/>
        </w:rPr>
        <w:t>preservation of maritime zones notwithstanding the effects of sea-level rise, a key priority for SIDS and crucial for the ongoing security and stability of SIDS’ maritime economies.</w:t>
      </w:r>
    </w:p>
    <w:p w:rsidR="003915F4" w:rsidRPr="008668C9">
      <w:pPr>
        <w:rPr>
          <w:rFonts w:cstheme="minorHAnsi"/>
          <w:sz w:val="24"/>
          <w:szCs w:val="24"/>
        </w:rPr>
      </w:pPr>
    </w:p>
    <w:p w:rsidR="00190CD7" w:rsidP="00B301C3">
      <w:pPr>
        <w:pStyle w:val="ListParagraph"/>
        <w:numPr>
          <w:ilvl w:val="0"/>
          <w:numId w:val="3"/>
        </w:numPr>
        <w:spacing w:after="240" w:line="360" w:lineRule="auto"/>
        <w:ind w:left="357" w:hanging="357"/>
        <w:contextualSpacing w:val="0"/>
        <w:jc w:val="both"/>
        <w:rPr>
          <w:rFonts w:cstheme="minorHAnsi"/>
          <w:sz w:val="24"/>
          <w:szCs w:val="24"/>
        </w:rPr>
      </w:pPr>
      <w:r>
        <w:rPr>
          <w:rFonts w:cstheme="minorHAnsi"/>
          <w:sz w:val="24"/>
          <w:szCs w:val="24"/>
        </w:rPr>
        <w:t xml:space="preserve">As other submissions also point out, the ‘Ocean and Biodiversity’ area of focus in the UK SIDS Strategy aligns well with similar areas of focus identified by SIDS themselves.  For example, it closely mirrors the ‘Ocean and Natural Environment’ priority in the </w:t>
      </w:r>
      <w:r w:rsidRPr="00190CD7">
        <w:rPr>
          <w:rFonts w:cstheme="minorHAnsi"/>
          <w:sz w:val="24"/>
          <w:szCs w:val="24"/>
        </w:rPr>
        <w:t>2050 Strategy for the Blue Pacific Continen</w:t>
      </w:r>
      <w:r>
        <w:rPr>
          <w:rFonts w:cstheme="minorHAnsi"/>
          <w:sz w:val="24"/>
          <w:szCs w:val="24"/>
        </w:rPr>
        <w:t>t</w:t>
      </w:r>
      <w:bookmarkStart w:id="0" w:name="_Ref150248065"/>
      <w:r>
        <w:rPr>
          <w:rStyle w:val="FootnoteReference"/>
          <w:rFonts w:cstheme="minorHAnsi"/>
          <w:sz w:val="24"/>
          <w:szCs w:val="24"/>
        </w:rPr>
        <w:footnoteReference w:id="4"/>
      </w:r>
      <w:bookmarkEnd w:id="0"/>
      <w:r>
        <w:rPr>
          <w:rFonts w:cstheme="minorHAnsi"/>
          <w:sz w:val="24"/>
          <w:szCs w:val="24"/>
        </w:rPr>
        <w:t xml:space="preserve">, </w:t>
      </w:r>
      <w:r w:rsidR="00145E1B">
        <w:rPr>
          <w:rFonts w:cstheme="minorHAnsi"/>
          <w:sz w:val="24"/>
          <w:szCs w:val="24"/>
        </w:rPr>
        <w:t>the SIDS Accelerated Modalities of Action Pathway,</w:t>
      </w:r>
      <w:r>
        <w:rPr>
          <w:rStyle w:val="FootnoteReference"/>
          <w:rFonts w:cstheme="minorHAnsi"/>
          <w:sz w:val="24"/>
          <w:szCs w:val="24"/>
        </w:rPr>
        <w:footnoteReference w:id="5"/>
      </w:r>
      <w:r w:rsidR="00145E1B">
        <w:rPr>
          <w:rFonts w:cstheme="minorHAnsi"/>
          <w:sz w:val="24"/>
          <w:szCs w:val="24"/>
        </w:rPr>
        <w:t xml:space="preserve"> </w:t>
      </w:r>
      <w:r>
        <w:rPr>
          <w:rFonts w:cstheme="minorHAnsi"/>
          <w:sz w:val="24"/>
          <w:szCs w:val="24"/>
        </w:rPr>
        <w:t>and a consistent thematic focus</w:t>
      </w:r>
      <w:r w:rsidR="00145E1B">
        <w:rPr>
          <w:rFonts w:cstheme="minorHAnsi"/>
          <w:sz w:val="24"/>
          <w:szCs w:val="24"/>
        </w:rPr>
        <w:t xml:space="preserve"> on oceans</w:t>
      </w:r>
      <w:r>
        <w:rPr>
          <w:rFonts w:cstheme="minorHAnsi"/>
          <w:sz w:val="24"/>
          <w:szCs w:val="24"/>
        </w:rPr>
        <w:t xml:space="preserve"> in successive communiques and declarations from the leaders of the Pacific Islands Forum</w:t>
      </w:r>
      <w:r w:rsidR="00765C8B">
        <w:rPr>
          <w:rFonts w:cstheme="minorHAnsi"/>
          <w:sz w:val="24"/>
          <w:szCs w:val="24"/>
        </w:rPr>
        <w:t xml:space="preserve"> (PIF)</w:t>
      </w:r>
      <w:r>
        <w:rPr>
          <w:rFonts w:cstheme="minorHAnsi"/>
          <w:sz w:val="24"/>
          <w:szCs w:val="24"/>
        </w:rPr>
        <w:t xml:space="preserve"> and Alliance of Small Island States</w:t>
      </w:r>
      <w:r w:rsidR="00765C8B">
        <w:rPr>
          <w:rFonts w:cstheme="minorHAnsi"/>
          <w:sz w:val="24"/>
          <w:szCs w:val="24"/>
        </w:rPr>
        <w:t xml:space="preserve"> (AOSIS)</w:t>
      </w:r>
      <w:r>
        <w:rPr>
          <w:rFonts w:cstheme="minorHAnsi"/>
          <w:sz w:val="24"/>
          <w:szCs w:val="24"/>
        </w:rPr>
        <w:t>.</w:t>
      </w:r>
    </w:p>
    <w:p w:rsidR="00145E1B" w:rsidP="00B301C3">
      <w:pPr>
        <w:pStyle w:val="ListParagraph"/>
        <w:numPr>
          <w:ilvl w:val="0"/>
          <w:numId w:val="3"/>
        </w:numPr>
        <w:spacing w:after="240" w:line="360" w:lineRule="auto"/>
        <w:ind w:left="357" w:hanging="357"/>
        <w:contextualSpacing w:val="0"/>
        <w:jc w:val="both"/>
        <w:rPr>
          <w:rFonts w:cstheme="minorHAnsi"/>
          <w:sz w:val="24"/>
          <w:szCs w:val="24"/>
        </w:rPr>
      </w:pPr>
      <w:r>
        <w:rPr>
          <w:rFonts w:cstheme="minorHAnsi"/>
          <w:sz w:val="24"/>
          <w:szCs w:val="24"/>
        </w:rPr>
        <w:t xml:space="preserve">However, the UK SIDS Strategy does not touch on a </w:t>
      </w:r>
      <w:r w:rsidR="00566A03">
        <w:rPr>
          <w:rFonts w:cstheme="minorHAnsi"/>
          <w:sz w:val="24"/>
          <w:szCs w:val="24"/>
        </w:rPr>
        <w:t>crucial</w:t>
      </w:r>
      <w:r>
        <w:rPr>
          <w:rFonts w:cstheme="minorHAnsi"/>
          <w:sz w:val="24"/>
          <w:szCs w:val="24"/>
        </w:rPr>
        <w:t xml:space="preserve"> </w:t>
      </w:r>
      <w:r w:rsidR="00566A03">
        <w:rPr>
          <w:rFonts w:cstheme="minorHAnsi"/>
          <w:sz w:val="24"/>
          <w:szCs w:val="24"/>
        </w:rPr>
        <w:t xml:space="preserve">legal </w:t>
      </w:r>
      <w:r>
        <w:rPr>
          <w:rFonts w:cstheme="minorHAnsi"/>
          <w:sz w:val="24"/>
          <w:szCs w:val="24"/>
        </w:rPr>
        <w:t xml:space="preserve">dimension of international </w:t>
      </w:r>
      <w:r w:rsidR="00566A03">
        <w:rPr>
          <w:rFonts w:cstheme="minorHAnsi"/>
          <w:sz w:val="24"/>
          <w:szCs w:val="24"/>
        </w:rPr>
        <w:t>efforts in this field,</w:t>
      </w:r>
      <w:r>
        <w:rPr>
          <w:rFonts w:cstheme="minorHAnsi"/>
          <w:sz w:val="24"/>
          <w:szCs w:val="24"/>
        </w:rPr>
        <w:t xml:space="preserve"> </w:t>
      </w:r>
      <w:r w:rsidR="00566A03">
        <w:rPr>
          <w:rFonts w:cstheme="minorHAnsi"/>
          <w:sz w:val="24"/>
          <w:szCs w:val="24"/>
        </w:rPr>
        <w:t xml:space="preserve">which has been identified by SIDS as a key oceans priority.  </w:t>
      </w:r>
      <w:r w:rsidR="00E40868">
        <w:rPr>
          <w:rFonts w:cstheme="minorHAnsi"/>
          <w:sz w:val="24"/>
          <w:szCs w:val="24"/>
        </w:rPr>
        <w:t>This</w:t>
      </w:r>
      <w:r>
        <w:rPr>
          <w:rFonts w:cstheme="minorHAnsi"/>
          <w:sz w:val="24"/>
          <w:szCs w:val="24"/>
        </w:rPr>
        <w:t xml:space="preserve"> brief submission</w:t>
      </w:r>
      <w:r w:rsidR="00E40868">
        <w:rPr>
          <w:rFonts w:cstheme="minorHAnsi"/>
          <w:sz w:val="24"/>
          <w:szCs w:val="24"/>
        </w:rPr>
        <w:t xml:space="preserve"> addresses that gap</w:t>
      </w:r>
      <w:r>
        <w:rPr>
          <w:rFonts w:cstheme="minorHAnsi"/>
          <w:sz w:val="24"/>
          <w:szCs w:val="24"/>
        </w:rPr>
        <w:t xml:space="preserve">: </w:t>
      </w:r>
      <w:r w:rsidR="008316E3">
        <w:rPr>
          <w:rFonts w:cstheme="minorHAnsi"/>
          <w:sz w:val="24"/>
          <w:szCs w:val="24"/>
        </w:rPr>
        <w:t>why and how</w:t>
      </w:r>
      <w:r>
        <w:rPr>
          <w:rFonts w:cstheme="minorHAnsi"/>
          <w:sz w:val="24"/>
          <w:szCs w:val="24"/>
        </w:rPr>
        <w:t xml:space="preserve"> the UK</w:t>
      </w:r>
      <w:r w:rsidR="008316E3">
        <w:rPr>
          <w:rFonts w:cstheme="minorHAnsi"/>
          <w:sz w:val="24"/>
          <w:szCs w:val="24"/>
        </w:rPr>
        <w:t>, including through</w:t>
      </w:r>
      <w:r w:rsidR="00E40868">
        <w:rPr>
          <w:rFonts w:cstheme="minorHAnsi"/>
          <w:sz w:val="24"/>
          <w:szCs w:val="24"/>
        </w:rPr>
        <w:t xml:space="preserve"> its ‘Ocean and Biodiversity’ focus in</w:t>
      </w:r>
      <w:r w:rsidR="008316E3">
        <w:rPr>
          <w:rFonts w:cstheme="minorHAnsi"/>
          <w:sz w:val="24"/>
          <w:szCs w:val="24"/>
        </w:rPr>
        <w:t xml:space="preserve"> the UK</w:t>
      </w:r>
      <w:r>
        <w:rPr>
          <w:rFonts w:cstheme="minorHAnsi"/>
          <w:sz w:val="24"/>
          <w:szCs w:val="24"/>
        </w:rPr>
        <w:t xml:space="preserve"> SIDS Strategy</w:t>
      </w:r>
      <w:r w:rsidR="008316E3">
        <w:rPr>
          <w:rFonts w:cstheme="minorHAnsi"/>
          <w:sz w:val="24"/>
          <w:szCs w:val="24"/>
        </w:rPr>
        <w:t>,</w:t>
      </w:r>
      <w:r>
        <w:rPr>
          <w:rFonts w:cstheme="minorHAnsi"/>
          <w:sz w:val="24"/>
          <w:szCs w:val="24"/>
        </w:rPr>
        <w:t xml:space="preserve"> should support the legal preservation of established maritime zones notwithstanding sea-level rise</w:t>
      </w:r>
      <w:r w:rsidR="008316E3">
        <w:rPr>
          <w:rFonts w:cstheme="minorHAnsi"/>
          <w:sz w:val="24"/>
          <w:szCs w:val="24"/>
        </w:rPr>
        <w:t>.</w:t>
      </w:r>
      <w:r>
        <w:rPr>
          <w:rFonts w:cstheme="minorHAnsi"/>
          <w:sz w:val="24"/>
          <w:szCs w:val="24"/>
        </w:rPr>
        <w:t xml:space="preserve"> </w:t>
      </w:r>
    </w:p>
    <w:p w:rsidR="00886291" w:rsidRPr="008668C9" w:rsidP="00B301C3">
      <w:pPr>
        <w:pStyle w:val="ListParagraph"/>
        <w:numPr>
          <w:ilvl w:val="0"/>
          <w:numId w:val="3"/>
        </w:numPr>
        <w:spacing w:after="240" w:line="360" w:lineRule="auto"/>
        <w:ind w:left="357" w:hanging="357"/>
        <w:contextualSpacing w:val="0"/>
        <w:jc w:val="both"/>
        <w:rPr>
          <w:rFonts w:cstheme="minorHAnsi"/>
          <w:sz w:val="24"/>
          <w:szCs w:val="24"/>
        </w:rPr>
      </w:pPr>
      <w:r>
        <w:rPr>
          <w:rFonts w:cstheme="minorHAnsi"/>
          <w:sz w:val="24"/>
          <w:szCs w:val="24"/>
        </w:rPr>
        <w:t>Legal questions arise about the impact of sea-level rise on maritime zones b</w:t>
      </w:r>
      <w:r w:rsidRPr="008668C9" w:rsidR="00431701">
        <w:rPr>
          <w:rFonts w:cstheme="minorHAnsi"/>
          <w:sz w:val="24"/>
          <w:szCs w:val="24"/>
        </w:rPr>
        <w:t xml:space="preserve">ecause the international law of the sea establishes a </w:t>
      </w:r>
      <w:r w:rsidRPr="008668C9">
        <w:rPr>
          <w:rFonts w:cstheme="minorHAnsi"/>
          <w:sz w:val="24"/>
          <w:szCs w:val="24"/>
        </w:rPr>
        <w:t>special</w:t>
      </w:r>
      <w:r w:rsidRPr="008668C9" w:rsidR="00431701">
        <w:rPr>
          <w:rFonts w:cstheme="minorHAnsi"/>
          <w:sz w:val="24"/>
          <w:szCs w:val="24"/>
        </w:rPr>
        <w:t xml:space="preserve"> relationship between the land and maritime entitlements</w:t>
      </w:r>
      <w:r>
        <w:rPr>
          <w:rFonts w:cstheme="minorHAnsi"/>
          <w:sz w:val="24"/>
          <w:szCs w:val="24"/>
        </w:rPr>
        <w:t>. As a result,</w:t>
      </w:r>
      <w:r w:rsidRPr="008668C9" w:rsidR="00431701">
        <w:rPr>
          <w:rFonts w:cstheme="minorHAnsi"/>
          <w:sz w:val="24"/>
          <w:szCs w:val="24"/>
        </w:rPr>
        <w:t xml:space="preserve"> sea-level rise impacts on coastlines raise the question of whether changes to characteristics of the land necessarily result in corresponding changes to the legal architecture they support, such as baselines and maritime zones.</w:t>
      </w:r>
      <w:bookmarkStart w:id="1" w:name="_Ref150245844"/>
      <w:r>
        <w:rPr>
          <w:rStyle w:val="FootnoteReference"/>
          <w:rFonts w:cstheme="minorHAnsi"/>
          <w:sz w:val="24"/>
          <w:szCs w:val="24"/>
        </w:rPr>
        <w:footnoteReference w:id="6"/>
      </w:r>
      <w:bookmarkEnd w:id="1"/>
    </w:p>
    <w:p w:rsidR="00886291" w:rsidRPr="008668C9" w:rsidP="00B301C3">
      <w:pPr>
        <w:pStyle w:val="ListParagraph"/>
        <w:numPr>
          <w:ilvl w:val="0"/>
          <w:numId w:val="3"/>
        </w:numPr>
        <w:spacing w:after="240" w:line="360" w:lineRule="auto"/>
        <w:ind w:left="357" w:hanging="357"/>
        <w:contextualSpacing w:val="0"/>
        <w:jc w:val="both"/>
        <w:rPr>
          <w:rFonts w:cstheme="minorHAnsi"/>
          <w:sz w:val="24"/>
          <w:szCs w:val="24"/>
        </w:rPr>
      </w:pPr>
      <w:r w:rsidRPr="008668C9">
        <w:rPr>
          <w:rFonts w:cstheme="minorHAnsi"/>
          <w:sz w:val="24"/>
          <w:szCs w:val="24"/>
        </w:rPr>
        <w:t xml:space="preserve">Many coastal States have expressed concern about the prospect of receding baselines, and shrinking or disappearing maritime zones, particularly because of the importance of maritime zones in maintaining the spatial organisation of States’ rights and duties in the ocean, many of which are essential for access and control over the ocean’s natural resources. Sea-level rise </w:t>
      </w:r>
      <w:r w:rsidRPr="008668C9" w:rsidR="00B301C3">
        <w:rPr>
          <w:rFonts w:cstheme="minorHAnsi"/>
          <w:sz w:val="24"/>
          <w:szCs w:val="24"/>
        </w:rPr>
        <w:t xml:space="preserve">most </w:t>
      </w:r>
      <w:r w:rsidRPr="008668C9">
        <w:rPr>
          <w:rFonts w:cstheme="minorHAnsi"/>
          <w:sz w:val="24"/>
          <w:szCs w:val="24"/>
        </w:rPr>
        <w:t>particularly affects low-lying States</w:t>
      </w:r>
      <w:r w:rsidRPr="008668C9" w:rsidR="00B301C3">
        <w:rPr>
          <w:rFonts w:cstheme="minorHAnsi"/>
          <w:sz w:val="24"/>
          <w:szCs w:val="24"/>
        </w:rPr>
        <w:t xml:space="preserve"> (</w:t>
      </w:r>
      <w:r w:rsidRPr="008668C9">
        <w:rPr>
          <w:rFonts w:cstheme="minorHAnsi"/>
          <w:sz w:val="24"/>
          <w:szCs w:val="24"/>
        </w:rPr>
        <w:t>many of which are SIDS</w:t>
      </w:r>
      <w:r w:rsidRPr="008668C9" w:rsidR="00B301C3">
        <w:rPr>
          <w:rFonts w:cstheme="minorHAnsi"/>
          <w:sz w:val="24"/>
          <w:szCs w:val="24"/>
        </w:rPr>
        <w:t xml:space="preserve">); accordingly, </w:t>
      </w:r>
      <w:r w:rsidRPr="008668C9" w:rsidR="00FC1619">
        <w:rPr>
          <w:rFonts w:cstheme="minorHAnsi"/>
          <w:sz w:val="24"/>
          <w:szCs w:val="24"/>
        </w:rPr>
        <w:t>because of</w:t>
      </w:r>
      <w:r w:rsidRPr="008668C9" w:rsidR="00B301C3">
        <w:rPr>
          <w:rFonts w:cstheme="minorHAnsi"/>
          <w:sz w:val="24"/>
          <w:szCs w:val="24"/>
        </w:rPr>
        <w:t xml:space="preserve"> their </w:t>
      </w:r>
      <w:r w:rsidRPr="008668C9">
        <w:rPr>
          <w:rFonts w:cstheme="minorHAnsi"/>
          <w:sz w:val="24"/>
          <w:szCs w:val="24"/>
        </w:rPr>
        <w:t>‘extensive use of low-lying features to generate maritime zones, and their economic reliance on the sea […] sea-level rise could therefore have significant consequences for sta</w:t>
      </w:r>
      <w:r w:rsidRPr="008668C9" w:rsidR="00B301C3">
        <w:rPr>
          <w:rFonts w:cstheme="minorHAnsi"/>
          <w:sz w:val="24"/>
          <w:szCs w:val="24"/>
        </w:rPr>
        <w:t>te</w:t>
      </w:r>
      <w:r w:rsidRPr="008668C9">
        <w:rPr>
          <w:rFonts w:cstheme="minorHAnsi"/>
          <w:sz w:val="24"/>
          <w:szCs w:val="24"/>
        </w:rPr>
        <w:t>hood, national identify and sustainable development, and livelihoods’</w:t>
      </w:r>
      <w:r w:rsidRPr="008668C9" w:rsidR="00B301C3">
        <w:rPr>
          <w:rFonts w:cstheme="minorHAnsi"/>
          <w:sz w:val="24"/>
          <w:szCs w:val="24"/>
        </w:rPr>
        <w:t>.</w:t>
      </w:r>
      <w:bookmarkStart w:id="2" w:name="_Ref150248100"/>
      <w:r>
        <w:rPr>
          <w:rStyle w:val="FootnoteReference"/>
          <w:rFonts w:cstheme="minorHAnsi"/>
          <w:sz w:val="24"/>
          <w:szCs w:val="24"/>
        </w:rPr>
        <w:footnoteReference w:id="7"/>
      </w:r>
      <w:bookmarkEnd w:id="2"/>
      <w:r w:rsidRPr="008668C9" w:rsidR="00B301C3">
        <w:rPr>
          <w:rFonts w:cstheme="minorHAnsi"/>
          <w:sz w:val="24"/>
          <w:szCs w:val="24"/>
        </w:rPr>
        <w:t xml:space="preserve">  </w:t>
      </w:r>
    </w:p>
    <w:p w:rsidR="003915F4" w:rsidRPr="009F7285" w:rsidP="0067728E">
      <w:pPr>
        <w:pStyle w:val="ListParagraph"/>
        <w:numPr>
          <w:ilvl w:val="0"/>
          <w:numId w:val="3"/>
        </w:numPr>
        <w:spacing w:after="240" w:line="360" w:lineRule="auto"/>
        <w:ind w:left="357" w:hanging="357"/>
        <w:contextualSpacing w:val="0"/>
        <w:jc w:val="both"/>
        <w:rPr>
          <w:rFonts w:cstheme="minorHAnsi"/>
          <w:sz w:val="24"/>
          <w:szCs w:val="24"/>
        </w:rPr>
      </w:pPr>
      <w:r w:rsidRPr="009F7285">
        <w:rPr>
          <w:rFonts w:cstheme="minorHAnsi"/>
          <w:sz w:val="24"/>
          <w:szCs w:val="24"/>
        </w:rPr>
        <w:t>As explained in the UK International Relations and Defence Committee Report’s consideration of this issue,</w:t>
      </w:r>
      <w:r>
        <w:rPr>
          <w:rStyle w:val="FootnoteReference"/>
          <w:rFonts w:cstheme="minorHAnsi"/>
          <w:sz w:val="24"/>
          <w:szCs w:val="24"/>
        </w:rPr>
        <w:footnoteReference w:id="8"/>
      </w:r>
      <w:r w:rsidRPr="009F7285">
        <w:rPr>
          <w:rFonts w:cstheme="minorHAnsi"/>
          <w:sz w:val="24"/>
          <w:szCs w:val="24"/>
        </w:rPr>
        <w:t xml:space="preserve"> there is a range of scholarly opinion as to the present status of the legal rules </w:t>
      </w:r>
      <w:r w:rsidRPr="009F7285" w:rsidR="00CC434A">
        <w:rPr>
          <w:rFonts w:cstheme="minorHAnsi"/>
          <w:sz w:val="24"/>
          <w:szCs w:val="24"/>
        </w:rPr>
        <w:t xml:space="preserve">under the international law of the sea </w:t>
      </w:r>
      <w:r w:rsidRPr="009F7285">
        <w:rPr>
          <w:rFonts w:cstheme="minorHAnsi"/>
          <w:sz w:val="24"/>
          <w:szCs w:val="24"/>
        </w:rPr>
        <w:t xml:space="preserve">and how they might apply in sea-level rise scenarios.  However, against the backdrop of that uncertainty, in recent years </w:t>
      </w:r>
      <w:r w:rsidRPr="009F7285">
        <w:rPr>
          <w:rFonts w:cstheme="minorHAnsi"/>
          <w:sz w:val="24"/>
          <w:szCs w:val="24"/>
        </w:rPr>
        <w:t xml:space="preserve">many States have put forward the position that international law permits the preservation of </w:t>
      </w:r>
      <w:r w:rsidRPr="009F7285" w:rsidR="00CC434A">
        <w:rPr>
          <w:rFonts w:cstheme="minorHAnsi"/>
          <w:sz w:val="24"/>
          <w:szCs w:val="24"/>
        </w:rPr>
        <w:t xml:space="preserve">validly </w:t>
      </w:r>
      <w:r w:rsidRPr="009F7285">
        <w:rPr>
          <w:rFonts w:cstheme="minorHAnsi"/>
          <w:sz w:val="24"/>
          <w:szCs w:val="24"/>
        </w:rPr>
        <w:t>established maritime zones notwithstanding sea-level rise.</w:t>
      </w:r>
      <w:r w:rsidR="009F7285">
        <w:rPr>
          <w:rFonts w:cstheme="minorHAnsi"/>
          <w:sz w:val="24"/>
          <w:szCs w:val="24"/>
        </w:rPr>
        <w:t xml:space="preserve">  </w:t>
      </w:r>
      <w:r w:rsidRPr="009F7285" w:rsidR="004528D7">
        <w:rPr>
          <w:rFonts w:cstheme="minorHAnsi"/>
          <w:sz w:val="24"/>
          <w:szCs w:val="24"/>
        </w:rPr>
        <w:t xml:space="preserve">In August 2021, </w:t>
      </w:r>
      <w:r w:rsidRPr="009F7285" w:rsidR="009F7285">
        <w:rPr>
          <w:rFonts w:cstheme="minorHAnsi"/>
          <w:sz w:val="24"/>
          <w:szCs w:val="24"/>
        </w:rPr>
        <w:t>PIF leaders</w:t>
      </w:r>
      <w:r w:rsidRPr="009F7285" w:rsidR="004528D7">
        <w:rPr>
          <w:rFonts w:cstheme="minorHAnsi"/>
          <w:sz w:val="24"/>
          <w:szCs w:val="24"/>
        </w:rPr>
        <w:t xml:space="preserve"> issued the Declaration on Preserving Maritime Zones in the Face of Climate Change-Related Sea-Level Rise.</w:t>
      </w:r>
      <w:bookmarkStart w:id="3" w:name="_Ref150247571"/>
      <w:r>
        <w:rPr>
          <w:rStyle w:val="FootnoteReference"/>
          <w:rFonts w:cstheme="minorHAnsi"/>
          <w:sz w:val="24"/>
          <w:szCs w:val="24"/>
        </w:rPr>
        <w:footnoteReference w:id="9"/>
      </w:r>
      <w:bookmarkEnd w:id="3"/>
      <w:r w:rsidRPr="009F7285" w:rsidR="004528D7">
        <w:rPr>
          <w:rFonts w:cstheme="minorHAnsi"/>
          <w:sz w:val="24"/>
          <w:szCs w:val="24"/>
        </w:rPr>
        <w:t xml:space="preserve"> The following month, a similar declaration was issued by AOSIS</w:t>
      </w:r>
      <w:r w:rsidRPr="009F7285" w:rsidR="009F7285">
        <w:rPr>
          <w:rFonts w:cstheme="minorHAnsi"/>
          <w:sz w:val="24"/>
          <w:szCs w:val="24"/>
        </w:rPr>
        <w:t xml:space="preserve"> leaders</w:t>
      </w:r>
      <w:r w:rsidRPr="009F7285" w:rsidR="004528D7">
        <w:rPr>
          <w:rFonts w:cstheme="minorHAnsi"/>
          <w:sz w:val="24"/>
          <w:szCs w:val="24"/>
        </w:rPr>
        <w:t>.</w:t>
      </w:r>
      <w:r>
        <w:rPr>
          <w:rStyle w:val="FootnoteReference"/>
          <w:rFonts w:cstheme="minorHAnsi"/>
          <w:sz w:val="24"/>
          <w:szCs w:val="24"/>
        </w:rPr>
        <w:footnoteReference w:id="10"/>
      </w:r>
      <w:r w:rsidRPr="009F7285" w:rsidR="00AB04E7">
        <w:rPr>
          <w:rFonts w:cstheme="minorHAnsi"/>
          <w:sz w:val="24"/>
          <w:szCs w:val="24"/>
        </w:rPr>
        <w:t xml:space="preserve"> </w:t>
      </w:r>
    </w:p>
    <w:p w:rsidR="009A3976" w:rsidRPr="008668C9" w:rsidP="00B301C3">
      <w:pPr>
        <w:pStyle w:val="ListParagraph"/>
        <w:numPr>
          <w:ilvl w:val="0"/>
          <w:numId w:val="3"/>
        </w:numPr>
        <w:spacing w:after="240" w:line="360" w:lineRule="auto"/>
        <w:ind w:left="357" w:hanging="357"/>
        <w:contextualSpacing w:val="0"/>
        <w:jc w:val="both"/>
        <w:rPr>
          <w:rFonts w:cstheme="minorHAnsi"/>
          <w:sz w:val="24"/>
          <w:szCs w:val="24"/>
        </w:rPr>
      </w:pPr>
      <w:r>
        <w:rPr>
          <w:rFonts w:cstheme="minorHAnsi"/>
          <w:sz w:val="24"/>
          <w:szCs w:val="24"/>
        </w:rPr>
        <w:t>Noting the PIF Declaration, t</w:t>
      </w:r>
      <w:r>
        <w:rPr>
          <w:rFonts w:cstheme="minorHAnsi"/>
          <w:sz w:val="24"/>
          <w:szCs w:val="24"/>
        </w:rPr>
        <w:t xml:space="preserve">he UK </w:t>
      </w:r>
      <w:r w:rsidRPr="008668C9">
        <w:rPr>
          <w:rFonts w:cstheme="minorHAnsi"/>
          <w:sz w:val="24"/>
          <w:szCs w:val="24"/>
        </w:rPr>
        <w:t xml:space="preserve">International Relations and Defence </w:t>
      </w:r>
      <w:r>
        <w:rPr>
          <w:rFonts w:cstheme="minorHAnsi"/>
          <w:sz w:val="24"/>
          <w:szCs w:val="24"/>
        </w:rPr>
        <w:t>Committee recommended in its Report that the UK should ‘</w:t>
      </w:r>
      <w:r w:rsidRPr="009A3976">
        <w:rPr>
          <w:rFonts w:cstheme="minorHAnsi"/>
          <w:sz w:val="24"/>
          <w:szCs w:val="24"/>
        </w:rPr>
        <w:t>take a formal position that baselines should remain fixed in their current position. This would ensure that no states, including the UK and its Overseas Territories, lose their current maritime entitlements</w:t>
      </w:r>
      <w:r>
        <w:rPr>
          <w:rFonts w:cstheme="minorHAnsi"/>
          <w:sz w:val="24"/>
          <w:szCs w:val="24"/>
        </w:rPr>
        <w:t>’.</w:t>
      </w:r>
      <w:r>
        <w:rPr>
          <w:rStyle w:val="FootnoteReference"/>
          <w:rFonts w:cstheme="minorHAnsi"/>
          <w:sz w:val="24"/>
          <w:szCs w:val="24"/>
        </w:rPr>
        <w:footnoteReference w:id="11"/>
      </w:r>
      <w:r>
        <w:rPr>
          <w:rFonts w:cstheme="minorHAnsi"/>
          <w:sz w:val="24"/>
          <w:szCs w:val="24"/>
        </w:rPr>
        <w:t xml:space="preserve">  The UK, in </w:t>
      </w:r>
      <w:r w:rsidR="00572F51">
        <w:rPr>
          <w:rFonts w:cstheme="minorHAnsi"/>
          <w:sz w:val="24"/>
          <w:szCs w:val="24"/>
        </w:rPr>
        <w:t>its</w:t>
      </w:r>
      <w:r>
        <w:rPr>
          <w:rFonts w:cstheme="minorHAnsi"/>
          <w:sz w:val="24"/>
          <w:szCs w:val="24"/>
        </w:rPr>
        <w:t xml:space="preserve"> Government Response</w:t>
      </w:r>
      <w:r>
        <w:rPr>
          <w:rStyle w:val="FootnoteReference"/>
          <w:rFonts w:cstheme="minorHAnsi"/>
          <w:sz w:val="24"/>
          <w:szCs w:val="24"/>
        </w:rPr>
        <w:footnoteReference w:id="12"/>
      </w:r>
      <w:r>
        <w:rPr>
          <w:rFonts w:cstheme="minorHAnsi"/>
          <w:sz w:val="24"/>
          <w:szCs w:val="24"/>
        </w:rPr>
        <w:t xml:space="preserve"> and elsewhere,</w:t>
      </w:r>
      <w:bookmarkStart w:id="4" w:name="_Ref150247610"/>
      <w:r>
        <w:rPr>
          <w:rStyle w:val="FootnoteReference"/>
          <w:rFonts w:cstheme="minorHAnsi"/>
          <w:sz w:val="24"/>
          <w:szCs w:val="24"/>
        </w:rPr>
        <w:footnoteReference w:id="13"/>
      </w:r>
      <w:bookmarkEnd w:id="4"/>
      <w:r>
        <w:rPr>
          <w:rFonts w:cstheme="minorHAnsi"/>
          <w:sz w:val="24"/>
          <w:szCs w:val="24"/>
        </w:rPr>
        <w:t xml:space="preserve"> has </w:t>
      </w:r>
      <w:r w:rsidR="00572F51">
        <w:rPr>
          <w:rFonts w:cstheme="minorHAnsi"/>
          <w:sz w:val="24"/>
          <w:szCs w:val="24"/>
        </w:rPr>
        <w:t xml:space="preserve">to date </w:t>
      </w:r>
      <w:r>
        <w:rPr>
          <w:rFonts w:cstheme="minorHAnsi"/>
          <w:sz w:val="24"/>
          <w:szCs w:val="24"/>
        </w:rPr>
        <w:t>taken a cautious approach</w:t>
      </w:r>
      <w:r>
        <w:rPr>
          <w:rFonts w:cstheme="minorHAnsi"/>
          <w:sz w:val="24"/>
          <w:szCs w:val="24"/>
        </w:rPr>
        <w:t>.</w:t>
      </w:r>
    </w:p>
    <w:p w:rsidR="004528D7" w:rsidRPr="008668C9" w:rsidP="00B301C3">
      <w:pPr>
        <w:pStyle w:val="ListParagraph"/>
        <w:numPr>
          <w:ilvl w:val="0"/>
          <w:numId w:val="3"/>
        </w:numPr>
        <w:spacing w:after="240" w:line="360" w:lineRule="auto"/>
        <w:ind w:left="357" w:hanging="357"/>
        <w:contextualSpacing w:val="0"/>
        <w:jc w:val="both"/>
        <w:rPr>
          <w:rFonts w:cstheme="minorHAnsi"/>
          <w:sz w:val="24"/>
          <w:szCs w:val="24"/>
        </w:rPr>
      </w:pPr>
      <w:r>
        <w:rPr>
          <w:rFonts w:cstheme="minorHAnsi"/>
          <w:sz w:val="24"/>
          <w:szCs w:val="24"/>
        </w:rPr>
        <w:t xml:space="preserve">Despite the broad alignment of the UK SIDS Strategy to SIDS’ own oceans priorities, a question remains as to the UK’s legal position on sea-level rise and maritime zones.  </w:t>
      </w:r>
      <w:r w:rsidR="009F7285">
        <w:rPr>
          <w:rFonts w:cstheme="minorHAnsi"/>
          <w:sz w:val="24"/>
          <w:szCs w:val="24"/>
        </w:rPr>
        <w:t>I</w:t>
      </w:r>
      <w:r w:rsidRPr="008668C9" w:rsidR="008668C9">
        <w:rPr>
          <w:rFonts w:cstheme="minorHAnsi"/>
          <w:sz w:val="24"/>
          <w:szCs w:val="24"/>
        </w:rPr>
        <w:t xml:space="preserve"> suggest that UK support for </w:t>
      </w:r>
      <w:r w:rsidR="009F7285">
        <w:rPr>
          <w:rFonts w:cstheme="minorHAnsi"/>
          <w:sz w:val="24"/>
          <w:szCs w:val="24"/>
        </w:rPr>
        <w:t>the PIF and AOSIS</w:t>
      </w:r>
      <w:r w:rsidRPr="008668C9">
        <w:rPr>
          <w:rFonts w:cstheme="minorHAnsi"/>
          <w:sz w:val="24"/>
          <w:szCs w:val="24"/>
        </w:rPr>
        <w:t xml:space="preserve"> declarations </w:t>
      </w:r>
      <w:r w:rsidRPr="008668C9" w:rsidR="008668C9">
        <w:rPr>
          <w:rFonts w:cstheme="minorHAnsi"/>
          <w:sz w:val="24"/>
          <w:szCs w:val="24"/>
        </w:rPr>
        <w:t>is</w:t>
      </w:r>
      <w:r w:rsidRPr="008668C9">
        <w:rPr>
          <w:rFonts w:cstheme="minorHAnsi"/>
          <w:sz w:val="24"/>
          <w:szCs w:val="24"/>
        </w:rPr>
        <w:t xml:space="preserve"> crucial to the successful implementation of the UK SIDS Strategy</w:t>
      </w:r>
      <w:r w:rsidR="009A3976">
        <w:rPr>
          <w:rFonts w:cstheme="minorHAnsi"/>
          <w:sz w:val="24"/>
          <w:szCs w:val="24"/>
        </w:rPr>
        <w:t>’s ‘</w:t>
      </w:r>
      <w:r w:rsidR="00572F51">
        <w:rPr>
          <w:rFonts w:cstheme="minorHAnsi"/>
          <w:sz w:val="24"/>
          <w:szCs w:val="24"/>
        </w:rPr>
        <w:t>O</w:t>
      </w:r>
      <w:r w:rsidR="009A3976">
        <w:rPr>
          <w:rFonts w:cstheme="minorHAnsi"/>
          <w:sz w:val="24"/>
          <w:szCs w:val="24"/>
        </w:rPr>
        <w:t>cean and biodiversity’ focus</w:t>
      </w:r>
      <w:r w:rsidRPr="008668C9">
        <w:rPr>
          <w:rFonts w:cstheme="minorHAnsi"/>
          <w:sz w:val="24"/>
          <w:szCs w:val="24"/>
        </w:rPr>
        <w:t xml:space="preserve"> for the following reasons:</w:t>
      </w:r>
    </w:p>
    <w:p w:rsidR="005C6F54" w:rsidRPr="008668C9" w:rsidP="004528D7">
      <w:pPr>
        <w:pStyle w:val="ListParagraph"/>
        <w:numPr>
          <w:ilvl w:val="1"/>
          <w:numId w:val="3"/>
        </w:numPr>
        <w:spacing w:after="240" w:line="360" w:lineRule="auto"/>
        <w:contextualSpacing w:val="0"/>
        <w:jc w:val="both"/>
        <w:rPr>
          <w:rFonts w:cstheme="minorHAnsi"/>
          <w:sz w:val="24"/>
          <w:szCs w:val="24"/>
        </w:rPr>
      </w:pPr>
      <w:r w:rsidRPr="00754FCB">
        <w:rPr>
          <w:rFonts w:cstheme="minorHAnsi"/>
          <w:b/>
          <w:bCs/>
          <w:sz w:val="24"/>
          <w:szCs w:val="24"/>
        </w:rPr>
        <w:t>The UK should support the preservation of maritime zones as an identified oceans priority for SIDS (including all Commonwealth SIDS):</w:t>
      </w:r>
      <w:r>
        <w:rPr>
          <w:rFonts w:cstheme="minorHAnsi"/>
          <w:sz w:val="24"/>
          <w:szCs w:val="24"/>
        </w:rPr>
        <w:t xml:space="preserve"> </w:t>
      </w:r>
      <w:r w:rsidRPr="008668C9" w:rsidR="004528D7">
        <w:rPr>
          <w:rFonts w:cstheme="minorHAnsi"/>
          <w:sz w:val="24"/>
          <w:szCs w:val="24"/>
        </w:rPr>
        <w:t xml:space="preserve">Of the 56 Commonwealth countries, 25 are SIDS. </w:t>
      </w:r>
      <w:r w:rsidR="00F404AA">
        <w:rPr>
          <w:rFonts w:cstheme="minorHAnsi"/>
          <w:sz w:val="24"/>
          <w:szCs w:val="24"/>
        </w:rPr>
        <w:t xml:space="preserve">As shown in the </w:t>
      </w:r>
      <w:r w:rsidRPr="00F404AA" w:rsidR="00F404AA">
        <w:rPr>
          <w:rFonts w:cstheme="minorHAnsi"/>
          <w:b/>
          <w:bCs/>
          <w:sz w:val="24"/>
          <w:szCs w:val="24"/>
        </w:rPr>
        <w:t>Annex</w:t>
      </w:r>
      <w:r w:rsidR="00F404AA">
        <w:rPr>
          <w:rFonts w:cstheme="minorHAnsi"/>
          <w:sz w:val="24"/>
          <w:szCs w:val="24"/>
        </w:rPr>
        <w:t xml:space="preserve"> to this submission, e</w:t>
      </w:r>
      <w:r w:rsidRPr="008668C9" w:rsidR="004528D7">
        <w:rPr>
          <w:rFonts w:cstheme="minorHAnsi"/>
          <w:sz w:val="24"/>
          <w:szCs w:val="24"/>
        </w:rPr>
        <w:t xml:space="preserve">ach of those 25 Commonwealth SIDS is either a member of PIF or AOSIS </w:t>
      </w:r>
      <w:r w:rsidRPr="008668C9" w:rsidR="008668C9">
        <w:rPr>
          <w:rFonts w:cstheme="minorHAnsi"/>
          <w:sz w:val="24"/>
          <w:szCs w:val="24"/>
        </w:rPr>
        <w:t>(</w:t>
      </w:r>
      <w:r w:rsidRPr="008668C9" w:rsidR="004528D7">
        <w:rPr>
          <w:rFonts w:cstheme="minorHAnsi"/>
          <w:sz w:val="24"/>
          <w:szCs w:val="24"/>
        </w:rPr>
        <w:t>or both</w:t>
      </w:r>
      <w:r w:rsidRPr="008668C9" w:rsidR="008668C9">
        <w:rPr>
          <w:rFonts w:cstheme="minorHAnsi"/>
          <w:sz w:val="24"/>
          <w:szCs w:val="24"/>
        </w:rPr>
        <w:t>)</w:t>
      </w:r>
      <w:r w:rsidRPr="008668C9" w:rsidR="004528D7">
        <w:rPr>
          <w:rFonts w:cstheme="minorHAnsi"/>
          <w:sz w:val="24"/>
          <w:szCs w:val="24"/>
        </w:rPr>
        <w:t xml:space="preserve">.  This means that all Commonwealth SIDS have </w:t>
      </w:r>
      <w:r w:rsidRPr="008668C9" w:rsidR="00586B42">
        <w:rPr>
          <w:rFonts w:cstheme="minorHAnsi"/>
          <w:sz w:val="24"/>
          <w:szCs w:val="24"/>
        </w:rPr>
        <w:t xml:space="preserve">taken the view that the international law of the sea should be interpreted in accordance with the importance of legal </w:t>
      </w:r>
      <w:r w:rsidRPr="008668C9" w:rsidR="00586B42">
        <w:rPr>
          <w:rFonts w:cstheme="minorHAnsi"/>
          <w:sz w:val="24"/>
          <w:szCs w:val="24"/>
        </w:rPr>
        <w:t>stability, security, certainty and predictability, to provide for the legal preservation of maritime zones.  The PIF and AOSIS Declarations should be recognised as a clear statement from the leadership of Commonwealth SIDS articulating the priority of this</w:t>
      </w:r>
      <w:r w:rsidR="00E43330">
        <w:rPr>
          <w:rFonts w:cstheme="minorHAnsi"/>
          <w:sz w:val="24"/>
          <w:szCs w:val="24"/>
        </w:rPr>
        <w:t xml:space="preserve"> oceans</w:t>
      </w:r>
      <w:r w:rsidRPr="008668C9" w:rsidR="00586B42">
        <w:rPr>
          <w:rFonts w:cstheme="minorHAnsi"/>
          <w:sz w:val="24"/>
          <w:szCs w:val="24"/>
        </w:rPr>
        <w:t xml:space="preserve"> issue</w:t>
      </w:r>
      <w:r w:rsidRPr="008668C9">
        <w:rPr>
          <w:rFonts w:cstheme="minorHAnsi"/>
          <w:sz w:val="24"/>
          <w:szCs w:val="24"/>
        </w:rPr>
        <w:t>.</w:t>
      </w:r>
      <w:r w:rsidR="008668C9">
        <w:rPr>
          <w:rFonts w:cstheme="minorHAnsi"/>
          <w:sz w:val="24"/>
          <w:szCs w:val="24"/>
        </w:rPr>
        <w:t xml:space="preserve"> If the UK aims to support </w:t>
      </w:r>
      <w:r w:rsidRPr="008668C9" w:rsidR="008668C9">
        <w:rPr>
          <w:rFonts w:cstheme="minorHAnsi"/>
          <w:sz w:val="24"/>
          <w:szCs w:val="24"/>
        </w:rPr>
        <w:t xml:space="preserve">SIDS </w:t>
      </w:r>
      <w:r w:rsidR="008668C9">
        <w:rPr>
          <w:rFonts w:cstheme="minorHAnsi"/>
          <w:sz w:val="24"/>
          <w:szCs w:val="24"/>
        </w:rPr>
        <w:t>‘</w:t>
      </w:r>
      <w:r w:rsidRPr="008668C9" w:rsidR="008668C9">
        <w:rPr>
          <w:rFonts w:cstheme="minorHAnsi"/>
          <w:sz w:val="24"/>
          <w:szCs w:val="24"/>
        </w:rPr>
        <w:t>to grow their maritime economies sustainably while adapting and mitigating climate change</w:t>
      </w:r>
      <w:r w:rsidR="008668C9">
        <w:rPr>
          <w:rFonts w:cstheme="minorHAnsi"/>
          <w:sz w:val="24"/>
          <w:szCs w:val="24"/>
        </w:rPr>
        <w:t>’, s</w:t>
      </w:r>
      <w:r w:rsidRPr="008668C9">
        <w:rPr>
          <w:rFonts w:cstheme="minorHAnsi"/>
          <w:sz w:val="24"/>
          <w:szCs w:val="24"/>
        </w:rPr>
        <w:t xml:space="preserve">upporting </w:t>
      </w:r>
      <w:r w:rsidR="008668C9">
        <w:rPr>
          <w:rFonts w:cstheme="minorHAnsi"/>
          <w:sz w:val="24"/>
          <w:szCs w:val="24"/>
        </w:rPr>
        <w:t xml:space="preserve">the stability and security of the legal architecture underpinning those maritime economies should also be a key goal. </w:t>
      </w:r>
    </w:p>
    <w:p w:rsidR="00280935" w:rsidP="004528D7">
      <w:pPr>
        <w:pStyle w:val="ListParagraph"/>
        <w:numPr>
          <w:ilvl w:val="1"/>
          <w:numId w:val="3"/>
        </w:numPr>
        <w:spacing w:after="240" w:line="360" w:lineRule="auto"/>
        <w:contextualSpacing w:val="0"/>
        <w:jc w:val="both"/>
        <w:rPr>
          <w:rFonts w:cstheme="minorHAnsi"/>
          <w:sz w:val="24"/>
          <w:szCs w:val="24"/>
        </w:rPr>
      </w:pPr>
      <w:r w:rsidRPr="00754FCB">
        <w:rPr>
          <w:rFonts w:cstheme="minorHAnsi"/>
          <w:b/>
          <w:bCs/>
          <w:sz w:val="24"/>
          <w:szCs w:val="24"/>
        </w:rPr>
        <w:t>The UK should join its voice to many others in the international community, to shape the direction of the international law of the sea</w:t>
      </w:r>
      <w:r>
        <w:rPr>
          <w:rFonts w:cstheme="minorHAnsi"/>
          <w:b/>
          <w:bCs/>
          <w:sz w:val="24"/>
          <w:szCs w:val="24"/>
        </w:rPr>
        <w:t xml:space="preserve"> as a matter of global oceans governance</w:t>
      </w:r>
      <w:r>
        <w:rPr>
          <w:rFonts w:cstheme="minorHAnsi"/>
          <w:sz w:val="24"/>
          <w:szCs w:val="24"/>
        </w:rPr>
        <w:t xml:space="preserve">: </w:t>
      </w:r>
      <w:r w:rsidRPr="008668C9" w:rsidR="005C6F54">
        <w:rPr>
          <w:rFonts w:cstheme="minorHAnsi"/>
          <w:sz w:val="24"/>
          <w:szCs w:val="24"/>
        </w:rPr>
        <w:t>The PIF and AOSIS declarations frame their positions in terms of ‘the interpretation and application of the [United Nations Convention on the Law of the Sea]</w:t>
      </w:r>
      <w:r>
        <w:rPr>
          <w:rStyle w:val="FootnoteReference"/>
          <w:rFonts w:cstheme="minorHAnsi"/>
          <w:sz w:val="24"/>
          <w:szCs w:val="24"/>
        </w:rPr>
        <w:footnoteReference w:id="14"/>
      </w:r>
      <w:r w:rsidRPr="008668C9" w:rsidR="005C6F54">
        <w:rPr>
          <w:rFonts w:cstheme="minorHAnsi"/>
          <w:sz w:val="24"/>
          <w:szCs w:val="24"/>
        </w:rPr>
        <w:t xml:space="preserve"> in the context of sea-level rise and climate change’:</w:t>
      </w:r>
      <w:r>
        <w:rPr>
          <w:rStyle w:val="FootnoteReference"/>
          <w:rFonts w:cstheme="minorHAnsi"/>
          <w:sz w:val="24"/>
          <w:szCs w:val="24"/>
        </w:rPr>
        <w:footnoteReference w:id="15"/>
      </w:r>
      <w:r w:rsidRPr="008668C9" w:rsidR="005C6F54">
        <w:rPr>
          <w:rFonts w:cstheme="minorHAnsi"/>
          <w:sz w:val="24"/>
          <w:szCs w:val="24"/>
        </w:rPr>
        <w:t xml:space="preserve"> as </w:t>
      </w:r>
      <w:r w:rsidR="009A3976">
        <w:rPr>
          <w:rFonts w:cstheme="minorHAnsi"/>
          <w:sz w:val="24"/>
          <w:szCs w:val="24"/>
        </w:rPr>
        <w:t xml:space="preserve">well as </w:t>
      </w:r>
      <w:r w:rsidRPr="008668C9" w:rsidR="005C6F54">
        <w:rPr>
          <w:rFonts w:cstheme="minorHAnsi"/>
          <w:sz w:val="24"/>
          <w:szCs w:val="24"/>
        </w:rPr>
        <w:t xml:space="preserve">being political declarations, </w:t>
      </w:r>
      <w:r w:rsidR="009A3976">
        <w:rPr>
          <w:rFonts w:cstheme="minorHAnsi"/>
          <w:sz w:val="24"/>
          <w:szCs w:val="24"/>
        </w:rPr>
        <w:t>the declarations also</w:t>
      </w:r>
      <w:r w:rsidRPr="008668C9" w:rsidR="005F6632">
        <w:rPr>
          <w:rFonts w:cstheme="minorHAnsi"/>
          <w:sz w:val="24"/>
          <w:szCs w:val="24"/>
        </w:rPr>
        <w:t xml:space="preserve"> convey</w:t>
      </w:r>
      <w:r w:rsidR="009A3976">
        <w:rPr>
          <w:rFonts w:cstheme="minorHAnsi"/>
          <w:sz w:val="24"/>
          <w:szCs w:val="24"/>
        </w:rPr>
        <w:t xml:space="preserve"> a</w:t>
      </w:r>
      <w:r w:rsidRPr="008668C9" w:rsidR="005F6632">
        <w:rPr>
          <w:rFonts w:cstheme="minorHAnsi"/>
          <w:sz w:val="24"/>
          <w:szCs w:val="24"/>
        </w:rPr>
        <w:t xml:space="preserve"> </w:t>
      </w:r>
      <w:r w:rsidRPr="008668C9" w:rsidR="005C6F54">
        <w:rPr>
          <w:rFonts w:cstheme="minorHAnsi"/>
          <w:sz w:val="24"/>
          <w:szCs w:val="24"/>
        </w:rPr>
        <w:t xml:space="preserve">legal view about the interpretation of </w:t>
      </w:r>
      <w:r w:rsidR="00E43330">
        <w:rPr>
          <w:rFonts w:cstheme="minorHAnsi"/>
          <w:sz w:val="24"/>
          <w:szCs w:val="24"/>
        </w:rPr>
        <w:t>UNCLOS</w:t>
      </w:r>
      <w:r w:rsidRPr="008668C9" w:rsidR="005C6F54">
        <w:rPr>
          <w:rFonts w:cstheme="minorHAnsi"/>
          <w:sz w:val="24"/>
          <w:szCs w:val="24"/>
        </w:rPr>
        <w:t xml:space="preserve"> rules.</w:t>
      </w:r>
      <w:r w:rsidRPr="008668C9" w:rsidR="00586B42">
        <w:rPr>
          <w:rFonts w:cstheme="minorHAnsi"/>
          <w:sz w:val="24"/>
          <w:szCs w:val="24"/>
        </w:rPr>
        <w:t xml:space="preserve"> </w:t>
      </w:r>
      <w:r w:rsidRPr="008668C9" w:rsidR="005F6632">
        <w:rPr>
          <w:rFonts w:cstheme="minorHAnsi"/>
          <w:sz w:val="24"/>
          <w:szCs w:val="24"/>
        </w:rPr>
        <w:t>Of course, those rules have much broader significance beyond PIF and AOSIS members</w:t>
      </w:r>
      <w:r w:rsidR="00E43330">
        <w:rPr>
          <w:rFonts w:cstheme="minorHAnsi"/>
          <w:sz w:val="24"/>
          <w:szCs w:val="24"/>
        </w:rPr>
        <w:t xml:space="preserve"> (</w:t>
      </w:r>
      <w:r w:rsidR="009A3976">
        <w:rPr>
          <w:rFonts w:cstheme="minorHAnsi"/>
          <w:sz w:val="24"/>
          <w:szCs w:val="24"/>
        </w:rPr>
        <w:t>who</w:t>
      </w:r>
      <w:r w:rsidRPr="008668C9" w:rsidR="005F6632">
        <w:rPr>
          <w:rFonts w:cstheme="minorHAnsi"/>
          <w:sz w:val="24"/>
          <w:szCs w:val="24"/>
        </w:rPr>
        <w:t xml:space="preserve"> collectively represent 42 UNCLOS Parties</w:t>
      </w:r>
      <w:r w:rsidR="00E43330">
        <w:rPr>
          <w:rFonts w:cstheme="minorHAnsi"/>
          <w:sz w:val="24"/>
          <w:szCs w:val="24"/>
        </w:rPr>
        <w:t>) to having potential legal effect for all 169 UNCLOS Parties.  Beyond the PIF and AOSIS membership, certain</w:t>
      </w:r>
      <w:r w:rsidRPr="008668C9" w:rsidR="005F6632">
        <w:rPr>
          <w:rFonts w:cstheme="minorHAnsi"/>
          <w:sz w:val="24"/>
          <w:szCs w:val="24"/>
        </w:rPr>
        <w:t xml:space="preserve"> </w:t>
      </w:r>
      <w:r w:rsidRPr="001E4533" w:rsidR="005F6632">
        <w:rPr>
          <w:rFonts w:cstheme="minorHAnsi"/>
          <w:sz w:val="24"/>
          <w:szCs w:val="24"/>
        </w:rPr>
        <w:t>States Parties (</w:t>
      </w:r>
      <w:r w:rsidR="001E4533">
        <w:rPr>
          <w:rFonts w:cstheme="minorHAnsi"/>
          <w:sz w:val="24"/>
          <w:szCs w:val="24"/>
        </w:rPr>
        <w:t xml:space="preserve">for example, </w:t>
      </w:r>
      <w:r w:rsidRPr="001E4533" w:rsidR="005F6632">
        <w:rPr>
          <w:rFonts w:cstheme="minorHAnsi"/>
          <w:sz w:val="24"/>
          <w:szCs w:val="24"/>
        </w:rPr>
        <w:t>Germany,</w:t>
      </w:r>
      <w:r>
        <w:rPr>
          <w:rStyle w:val="FootnoteReference"/>
          <w:rFonts w:cstheme="minorHAnsi"/>
          <w:sz w:val="24"/>
          <w:szCs w:val="24"/>
        </w:rPr>
        <w:footnoteReference w:id="16"/>
      </w:r>
      <w:r w:rsidRPr="001E4533" w:rsidR="005F6632">
        <w:rPr>
          <w:rFonts w:cstheme="minorHAnsi"/>
          <w:sz w:val="24"/>
          <w:szCs w:val="24"/>
        </w:rPr>
        <w:t xml:space="preserve"> France,</w:t>
      </w:r>
      <w:r>
        <w:rPr>
          <w:rStyle w:val="FootnoteReference"/>
          <w:rFonts w:cstheme="minorHAnsi"/>
          <w:sz w:val="24"/>
          <w:szCs w:val="24"/>
        </w:rPr>
        <w:footnoteReference w:id="17"/>
      </w:r>
      <w:r w:rsidRPr="001E4533" w:rsidR="005F6632">
        <w:rPr>
          <w:rFonts w:cstheme="minorHAnsi"/>
          <w:sz w:val="24"/>
          <w:szCs w:val="24"/>
        </w:rPr>
        <w:t xml:space="preserve"> Japan,</w:t>
      </w:r>
      <w:r>
        <w:rPr>
          <w:rStyle w:val="FootnoteReference"/>
          <w:rFonts w:cstheme="minorHAnsi"/>
          <w:sz w:val="24"/>
          <w:szCs w:val="24"/>
        </w:rPr>
        <w:footnoteReference w:id="18"/>
      </w:r>
      <w:r w:rsidRPr="001E4533" w:rsidR="005F6632">
        <w:rPr>
          <w:rFonts w:cstheme="minorHAnsi"/>
          <w:sz w:val="24"/>
          <w:szCs w:val="24"/>
        </w:rPr>
        <w:t xml:space="preserve"> Greece,</w:t>
      </w:r>
      <w:r>
        <w:rPr>
          <w:rStyle w:val="FootnoteReference"/>
          <w:rFonts w:cstheme="minorHAnsi"/>
          <w:sz w:val="24"/>
          <w:szCs w:val="24"/>
        </w:rPr>
        <w:footnoteReference w:id="19"/>
      </w:r>
      <w:r w:rsidRPr="001E4533" w:rsidR="005F6632">
        <w:rPr>
          <w:rFonts w:cstheme="minorHAnsi"/>
          <w:sz w:val="24"/>
          <w:szCs w:val="24"/>
        </w:rPr>
        <w:t xml:space="preserve"> </w:t>
      </w:r>
      <w:r w:rsidRPr="001E4533" w:rsidR="001E4533">
        <w:rPr>
          <w:rFonts w:cstheme="minorHAnsi"/>
          <w:sz w:val="24"/>
          <w:szCs w:val="24"/>
        </w:rPr>
        <w:t>Malaysia</w:t>
      </w:r>
      <w:r w:rsidRPr="001E4533" w:rsidR="005F6632">
        <w:rPr>
          <w:rFonts w:cstheme="minorHAnsi"/>
          <w:sz w:val="24"/>
          <w:szCs w:val="24"/>
        </w:rPr>
        <w:t>,</w:t>
      </w:r>
      <w:r>
        <w:rPr>
          <w:rStyle w:val="FootnoteReference"/>
          <w:rFonts w:cstheme="minorHAnsi"/>
          <w:sz w:val="24"/>
          <w:szCs w:val="24"/>
        </w:rPr>
        <w:footnoteReference w:id="20"/>
      </w:r>
      <w:r w:rsidRPr="001E4533" w:rsidR="005F6632">
        <w:rPr>
          <w:rFonts w:cstheme="minorHAnsi"/>
          <w:sz w:val="24"/>
          <w:szCs w:val="24"/>
        </w:rPr>
        <w:t xml:space="preserve"> Indonesia,</w:t>
      </w:r>
      <w:r>
        <w:rPr>
          <w:rStyle w:val="FootnoteReference"/>
          <w:rFonts w:cstheme="minorHAnsi"/>
          <w:sz w:val="24"/>
          <w:szCs w:val="24"/>
        </w:rPr>
        <w:footnoteReference w:id="21"/>
      </w:r>
      <w:r w:rsidRPr="001E4533" w:rsidR="005F6632">
        <w:rPr>
          <w:rFonts w:cstheme="minorHAnsi"/>
          <w:sz w:val="24"/>
          <w:szCs w:val="24"/>
        </w:rPr>
        <w:t xml:space="preserve"> Republic of Korea</w:t>
      </w:r>
      <w:r w:rsidRPr="001E4533" w:rsidR="001370AD">
        <w:rPr>
          <w:rFonts w:cstheme="minorHAnsi"/>
          <w:sz w:val="24"/>
          <w:szCs w:val="24"/>
        </w:rPr>
        <w:t>)</w:t>
      </w:r>
      <w:r>
        <w:rPr>
          <w:rStyle w:val="FootnoteReference"/>
          <w:rFonts w:cstheme="minorHAnsi"/>
          <w:sz w:val="24"/>
          <w:szCs w:val="24"/>
        </w:rPr>
        <w:footnoteReference w:id="22"/>
      </w:r>
      <w:r w:rsidRPr="001E4533" w:rsidR="005F6632">
        <w:rPr>
          <w:rFonts w:cstheme="minorHAnsi"/>
          <w:sz w:val="24"/>
          <w:szCs w:val="24"/>
        </w:rPr>
        <w:t xml:space="preserve"> and non-Parties (</w:t>
      </w:r>
      <w:r w:rsidR="001E4533">
        <w:rPr>
          <w:rFonts w:cstheme="minorHAnsi"/>
          <w:sz w:val="24"/>
          <w:szCs w:val="24"/>
        </w:rPr>
        <w:t xml:space="preserve">for example, </w:t>
      </w:r>
      <w:r w:rsidRPr="001E4533" w:rsidR="005F6632">
        <w:rPr>
          <w:rFonts w:cstheme="minorHAnsi"/>
          <w:sz w:val="24"/>
          <w:szCs w:val="24"/>
        </w:rPr>
        <w:t>United States,</w:t>
      </w:r>
      <w:r>
        <w:rPr>
          <w:rStyle w:val="FootnoteReference"/>
          <w:rFonts w:cstheme="minorHAnsi"/>
          <w:sz w:val="24"/>
          <w:szCs w:val="24"/>
        </w:rPr>
        <w:footnoteReference w:id="23"/>
      </w:r>
      <w:r w:rsidRPr="001E4533" w:rsidR="005F6632">
        <w:rPr>
          <w:rFonts w:cstheme="minorHAnsi"/>
          <w:sz w:val="24"/>
          <w:szCs w:val="24"/>
        </w:rPr>
        <w:t xml:space="preserve"> Liechtenstein)</w:t>
      </w:r>
      <w:r>
        <w:rPr>
          <w:rStyle w:val="FootnoteReference"/>
          <w:rFonts w:cstheme="minorHAnsi"/>
          <w:sz w:val="24"/>
          <w:szCs w:val="24"/>
        </w:rPr>
        <w:footnoteReference w:id="24"/>
      </w:r>
      <w:r w:rsidRPr="001E4533">
        <w:rPr>
          <w:rFonts w:cstheme="minorHAnsi"/>
          <w:sz w:val="24"/>
          <w:szCs w:val="24"/>
        </w:rPr>
        <w:t xml:space="preserve"> have voiced support</w:t>
      </w:r>
      <w:r w:rsidRPr="008668C9">
        <w:rPr>
          <w:rFonts w:cstheme="minorHAnsi"/>
          <w:sz w:val="24"/>
          <w:szCs w:val="24"/>
        </w:rPr>
        <w:t xml:space="preserve"> for the preservation of maritime zones</w:t>
      </w:r>
      <w:r w:rsidRPr="008668C9" w:rsidR="005F6632">
        <w:rPr>
          <w:rFonts w:cstheme="minorHAnsi"/>
          <w:sz w:val="24"/>
          <w:szCs w:val="24"/>
        </w:rPr>
        <w:t xml:space="preserve">.  No States have opposed </w:t>
      </w:r>
      <w:r w:rsidRPr="008668C9" w:rsidR="005F6632">
        <w:rPr>
          <w:rFonts w:cstheme="minorHAnsi"/>
          <w:sz w:val="24"/>
          <w:szCs w:val="24"/>
        </w:rPr>
        <w:t xml:space="preserve">the legal position advanced in the PIF and AOSIS declarations. </w:t>
      </w:r>
      <w:r>
        <w:rPr>
          <w:rFonts w:cstheme="minorHAnsi"/>
          <w:sz w:val="24"/>
          <w:szCs w:val="24"/>
        </w:rPr>
        <w:t xml:space="preserve">These views in the international community are evidence that there is growing support for this view in the international community: 51 UNCLOS Parties, together with two non-Parties, represents a significant convergence in views on interpretation of the applicable legal rules.  </w:t>
      </w:r>
      <w:r w:rsidR="002F0345">
        <w:rPr>
          <w:rFonts w:cstheme="minorHAnsi"/>
          <w:sz w:val="24"/>
          <w:szCs w:val="24"/>
        </w:rPr>
        <w:t>The UK – with an interest in ‘</w:t>
      </w:r>
      <w:r w:rsidRPr="002F0345" w:rsidR="002F0345">
        <w:rPr>
          <w:rFonts w:cstheme="minorHAnsi"/>
          <w:sz w:val="24"/>
          <w:szCs w:val="24"/>
        </w:rPr>
        <w:t>maintaining the integrity of the interpretation and application of UNCLOS</w:t>
      </w:r>
      <w:r w:rsidR="002F0345">
        <w:rPr>
          <w:rFonts w:cstheme="minorHAnsi"/>
          <w:sz w:val="24"/>
          <w:szCs w:val="24"/>
        </w:rPr>
        <w:t>’</w:t>
      </w:r>
      <w:r>
        <w:rPr>
          <w:rStyle w:val="FootnoteReference"/>
          <w:rFonts w:cstheme="minorHAnsi"/>
          <w:sz w:val="24"/>
          <w:szCs w:val="24"/>
        </w:rPr>
        <w:footnoteReference w:id="25"/>
      </w:r>
      <w:r w:rsidR="002F0345">
        <w:rPr>
          <w:rFonts w:cstheme="minorHAnsi"/>
          <w:sz w:val="24"/>
          <w:szCs w:val="24"/>
        </w:rPr>
        <w:t xml:space="preserve"> – should consider carefully the evidence that a significant and growing number of States are solidifying a path towards the legal preservation of established maritime zones.</w:t>
      </w:r>
    </w:p>
    <w:p w:rsidR="004528D7" w:rsidRPr="008668C9" w:rsidP="004528D7">
      <w:pPr>
        <w:pStyle w:val="ListParagraph"/>
        <w:numPr>
          <w:ilvl w:val="1"/>
          <w:numId w:val="3"/>
        </w:numPr>
        <w:spacing w:after="240" w:line="360" w:lineRule="auto"/>
        <w:contextualSpacing w:val="0"/>
        <w:jc w:val="both"/>
        <w:rPr>
          <w:rFonts w:cstheme="minorHAnsi"/>
          <w:sz w:val="24"/>
          <w:szCs w:val="24"/>
        </w:rPr>
      </w:pPr>
      <w:r w:rsidRPr="00754FCB">
        <w:rPr>
          <w:rFonts w:cstheme="minorHAnsi"/>
          <w:b/>
          <w:bCs/>
          <w:sz w:val="24"/>
          <w:szCs w:val="24"/>
        </w:rPr>
        <w:t>The UK should find confidence in</w:t>
      </w:r>
      <w:r w:rsidRPr="00754FCB" w:rsidR="00E43330">
        <w:rPr>
          <w:rFonts w:cstheme="minorHAnsi"/>
          <w:b/>
          <w:bCs/>
          <w:sz w:val="24"/>
          <w:szCs w:val="24"/>
        </w:rPr>
        <w:t xml:space="preserve"> the existence of a</w:t>
      </w:r>
      <w:r w:rsidRPr="00754FCB" w:rsidR="002F0345">
        <w:rPr>
          <w:rFonts w:cstheme="minorHAnsi"/>
          <w:b/>
          <w:bCs/>
          <w:sz w:val="24"/>
          <w:szCs w:val="24"/>
        </w:rPr>
        <w:t xml:space="preserve"> sound legal basis</w:t>
      </w:r>
      <w:r w:rsidRPr="00754FCB" w:rsidR="00F32C0D">
        <w:rPr>
          <w:rFonts w:cstheme="minorHAnsi"/>
          <w:b/>
          <w:bCs/>
          <w:sz w:val="24"/>
          <w:szCs w:val="24"/>
        </w:rPr>
        <w:t xml:space="preserve"> for </w:t>
      </w:r>
      <w:r w:rsidRPr="00754FCB">
        <w:rPr>
          <w:rFonts w:cstheme="minorHAnsi"/>
          <w:b/>
          <w:bCs/>
          <w:sz w:val="24"/>
          <w:szCs w:val="24"/>
        </w:rPr>
        <w:t>the preservation of maritime zones as a matter of international law</w:t>
      </w:r>
      <w:r w:rsidRPr="00754FCB" w:rsidR="002F0345">
        <w:rPr>
          <w:rFonts w:cstheme="minorHAnsi"/>
          <w:b/>
          <w:bCs/>
          <w:sz w:val="24"/>
          <w:szCs w:val="24"/>
        </w:rPr>
        <w:t>.</w:t>
      </w:r>
      <w:r w:rsidR="002F0345">
        <w:rPr>
          <w:rFonts w:cstheme="minorHAnsi"/>
          <w:sz w:val="24"/>
          <w:szCs w:val="24"/>
        </w:rPr>
        <w:t xml:space="preserve">  The strongest justification for the preservation of maritime zones lies in the convergence of what States say and </w:t>
      </w:r>
      <w:r w:rsidR="00804F82">
        <w:rPr>
          <w:rFonts w:cstheme="minorHAnsi"/>
          <w:sz w:val="24"/>
          <w:szCs w:val="24"/>
        </w:rPr>
        <w:t xml:space="preserve">what States </w:t>
      </w:r>
      <w:r w:rsidR="002F0345">
        <w:rPr>
          <w:rFonts w:cstheme="minorHAnsi"/>
          <w:sz w:val="24"/>
          <w:szCs w:val="24"/>
        </w:rPr>
        <w:t>do about the legal stability of maritime zones, that is, by meeting the requirements for subsequent practice establishing the agreement of UNCLOS Parties as to the interpretation of UNCLOS rules.</w:t>
      </w:r>
      <w:bookmarkStart w:id="5" w:name="_Ref150175534"/>
      <w:r>
        <w:rPr>
          <w:rStyle w:val="FootnoteReference"/>
          <w:rFonts w:cstheme="minorHAnsi"/>
          <w:sz w:val="24"/>
          <w:szCs w:val="24"/>
        </w:rPr>
        <w:footnoteReference w:id="26"/>
      </w:r>
      <w:bookmarkEnd w:id="5"/>
      <w:r w:rsidR="00804F82">
        <w:rPr>
          <w:rFonts w:cstheme="minorHAnsi"/>
          <w:sz w:val="24"/>
          <w:szCs w:val="24"/>
        </w:rPr>
        <w:t xml:space="preserve"> While there is no precise benchmark for determining when these </w:t>
      </w:r>
      <w:r w:rsidR="00E43330">
        <w:rPr>
          <w:rFonts w:cstheme="minorHAnsi"/>
          <w:sz w:val="24"/>
          <w:szCs w:val="24"/>
        </w:rPr>
        <w:t>requirements</w:t>
      </w:r>
      <w:r w:rsidR="00804F82">
        <w:rPr>
          <w:rFonts w:cstheme="minorHAnsi"/>
          <w:sz w:val="24"/>
          <w:szCs w:val="24"/>
        </w:rPr>
        <w:t xml:space="preserve"> are met, ample evidence is presently available to </w:t>
      </w:r>
      <w:r w:rsidR="00530C59">
        <w:rPr>
          <w:rFonts w:cstheme="minorHAnsi"/>
          <w:sz w:val="24"/>
          <w:szCs w:val="24"/>
        </w:rPr>
        <w:t>illuminate the way that States are shaping interpretation of the legal rules on baselines and maritime zones under circumstances of sea-level rise, by what they do (eg domestic actions to stabilise their maritime zones) and what they say (eg that UNCLOS permits the preservation of maritime zones).</w:t>
      </w:r>
      <w:r>
        <w:rPr>
          <w:rStyle w:val="FootnoteReference"/>
          <w:rFonts w:cstheme="minorHAnsi"/>
          <w:sz w:val="24"/>
          <w:szCs w:val="24"/>
        </w:rPr>
        <w:footnoteReference w:id="27"/>
      </w:r>
      <w:r w:rsidR="00804F82">
        <w:rPr>
          <w:rFonts w:cstheme="minorHAnsi"/>
          <w:sz w:val="24"/>
          <w:szCs w:val="24"/>
        </w:rPr>
        <w:t xml:space="preserve">  </w:t>
      </w:r>
      <w:r w:rsidR="00E43330">
        <w:rPr>
          <w:rFonts w:cstheme="minorHAnsi"/>
          <w:sz w:val="24"/>
          <w:szCs w:val="24"/>
        </w:rPr>
        <w:t>The preservation of established maritime zones</w:t>
      </w:r>
      <w:r w:rsidR="00F32C0D">
        <w:rPr>
          <w:rFonts w:cstheme="minorHAnsi"/>
          <w:sz w:val="24"/>
          <w:szCs w:val="24"/>
        </w:rPr>
        <w:t xml:space="preserve"> need not be seen as a radical departure from</w:t>
      </w:r>
      <w:r w:rsidR="00E43330">
        <w:rPr>
          <w:rFonts w:cstheme="minorHAnsi"/>
          <w:sz w:val="24"/>
          <w:szCs w:val="24"/>
        </w:rPr>
        <w:t xml:space="preserve"> international</w:t>
      </w:r>
      <w:r w:rsidR="00F32C0D">
        <w:rPr>
          <w:rFonts w:cstheme="minorHAnsi"/>
          <w:sz w:val="24"/>
          <w:szCs w:val="24"/>
        </w:rPr>
        <w:t xml:space="preserve"> legal norms, but </w:t>
      </w:r>
      <w:r w:rsidR="00E43330">
        <w:rPr>
          <w:rFonts w:cstheme="minorHAnsi"/>
          <w:sz w:val="24"/>
          <w:szCs w:val="24"/>
        </w:rPr>
        <w:t xml:space="preserve">rather as </w:t>
      </w:r>
      <w:r w:rsidR="00F32C0D">
        <w:rPr>
          <w:rFonts w:cstheme="minorHAnsi"/>
          <w:sz w:val="24"/>
          <w:szCs w:val="24"/>
        </w:rPr>
        <w:t>a step in the law’s orderly evolution by means of a thoroughly conventional toolkit</w:t>
      </w:r>
      <w:r w:rsidR="00566A03">
        <w:rPr>
          <w:rFonts w:cstheme="minorHAnsi"/>
          <w:sz w:val="24"/>
          <w:szCs w:val="24"/>
        </w:rPr>
        <w:t>:</w:t>
      </w:r>
      <w:r w:rsidR="00F32C0D">
        <w:rPr>
          <w:rFonts w:cstheme="minorHAnsi"/>
          <w:sz w:val="24"/>
          <w:szCs w:val="24"/>
        </w:rPr>
        <w:t xml:space="preserve"> that of treaty interpretation.</w:t>
      </w:r>
    </w:p>
    <w:p w:rsidR="004528D7" w:rsidRPr="008668C9" w:rsidP="00B301C3">
      <w:pPr>
        <w:pStyle w:val="ListParagraph"/>
        <w:numPr>
          <w:ilvl w:val="0"/>
          <w:numId w:val="3"/>
        </w:numPr>
        <w:spacing w:after="240" w:line="360" w:lineRule="auto"/>
        <w:ind w:left="357" w:hanging="357"/>
        <w:contextualSpacing w:val="0"/>
        <w:jc w:val="both"/>
        <w:rPr>
          <w:rFonts w:cstheme="minorHAnsi"/>
          <w:sz w:val="24"/>
          <w:szCs w:val="24"/>
        </w:rPr>
      </w:pPr>
      <w:r>
        <w:rPr>
          <w:rFonts w:cstheme="minorHAnsi"/>
          <w:sz w:val="24"/>
          <w:szCs w:val="24"/>
        </w:rPr>
        <w:t xml:space="preserve">To take steps to support the preservation of maritime zones, </w:t>
      </w:r>
      <w:r w:rsidR="00BB3DB5">
        <w:rPr>
          <w:rFonts w:cstheme="minorHAnsi"/>
          <w:sz w:val="24"/>
          <w:szCs w:val="24"/>
        </w:rPr>
        <w:t xml:space="preserve">as a key plank of successfully implementing the UK SIDS Strategy ‘Ocean and </w:t>
      </w:r>
      <w:r w:rsidR="00572F51">
        <w:rPr>
          <w:rFonts w:cstheme="minorHAnsi"/>
          <w:sz w:val="24"/>
          <w:szCs w:val="24"/>
        </w:rPr>
        <w:t>b</w:t>
      </w:r>
      <w:r w:rsidR="00BB3DB5">
        <w:rPr>
          <w:rFonts w:cstheme="minorHAnsi"/>
          <w:sz w:val="24"/>
          <w:szCs w:val="24"/>
        </w:rPr>
        <w:t>iodiversity’ focus, I recommend:</w:t>
      </w:r>
    </w:p>
    <w:p w:rsidR="00815EB7" w:rsidRPr="00BB3DB5" w:rsidP="00815EB7">
      <w:pPr>
        <w:pStyle w:val="ListParagraph"/>
        <w:numPr>
          <w:ilvl w:val="1"/>
          <w:numId w:val="3"/>
        </w:numPr>
        <w:spacing w:after="240" w:line="360" w:lineRule="auto"/>
        <w:contextualSpacing w:val="0"/>
        <w:jc w:val="both"/>
        <w:rPr>
          <w:rFonts w:cstheme="minorHAnsi"/>
          <w:sz w:val="24"/>
          <w:szCs w:val="24"/>
        </w:rPr>
      </w:pPr>
      <w:r w:rsidRPr="00754FCB">
        <w:rPr>
          <w:rFonts w:cstheme="minorHAnsi"/>
          <w:b/>
          <w:bCs/>
          <w:sz w:val="24"/>
          <w:szCs w:val="24"/>
        </w:rPr>
        <w:t>CHOGM 2024</w:t>
      </w:r>
      <w:r>
        <w:rPr>
          <w:rFonts w:cstheme="minorHAnsi"/>
          <w:sz w:val="24"/>
          <w:szCs w:val="24"/>
        </w:rPr>
        <w:t>: The UK should</w:t>
      </w:r>
      <w:r w:rsidR="00BB3DB5">
        <w:rPr>
          <w:rFonts w:cstheme="minorHAnsi"/>
          <w:sz w:val="24"/>
          <w:szCs w:val="24"/>
        </w:rPr>
        <w:t xml:space="preserve"> take the opportunity of the 2024 Commonwealth Heads of Government meeting, to be held for the first time in Samoa (a SIDS from the Blue Pacific),</w:t>
      </w:r>
      <w:r>
        <w:rPr>
          <w:rStyle w:val="FootnoteReference"/>
          <w:rFonts w:cstheme="minorHAnsi"/>
          <w:sz w:val="24"/>
          <w:szCs w:val="24"/>
        </w:rPr>
        <w:footnoteReference w:id="28"/>
      </w:r>
      <w:r w:rsidR="00BB3DB5">
        <w:rPr>
          <w:rFonts w:cstheme="minorHAnsi"/>
          <w:sz w:val="24"/>
          <w:szCs w:val="24"/>
        </w:rPr>
        <w:t xml:space="preserve"> to formalise the UK’s commitment to the preservation of established maritime zones. </w:t>
      </w:r>
      <w:r w:rsidRPr="00BB3DB5" w:rsidR="00BB3DB5">
        <w:rPr>
          <w:rFonts w:cstheme="minorHAnsi"/>
          <w:sz w:val="24"/>
          <w:szCs w:val="24"/>
        </w:rPr>
        <w:t xml:space="preserve">At that meeting, the UK could explicitly take </w:t>
      </w:r>
      <w:r w:rsidRPr="00BB3DB5" w:rsidR="00BB3DB5">
        <w:rPr>
          <w:sz w:val="24"/>
          <w:szCs w:val="24"/>
        </w:rPr>
        <w:t xml:space="preserve">up the invitation </w:t>
      </w:r>
      <w:r w:rsidR="00BB3DB5">
        <w:rPr>
          <w:sz w:val="24"/>
          <w:szCs w:val="24"/>
        </w:rPr>
        <w:t>extended</w:t>
      </w:r>
      <w:r w:rsidRPr="00BB3DB5" w:rsidR="00BB3DB5">
        <w:rPr>
          <w:sz w:val="24"/>
          <w:szCs w:val="24"/>
        </w:rPr>
        <w:t xml:space="preserve"> by Samoa in 2022, </w:t>
      </w:r>
      <w:r w:rsidR="00572F51">
        <w:rPr>
          <w:sz w:val="24"/>
          <w:szCs w:val="24"/>
        </w:rPr>
        <w:t>when it explained its view</w:t>
      </w:r>
      <w:r w:rsidRPr="00BB3DB5" w:rsidR="00BB3DB5">
        <w:rPr>
          <w:sz w:val="24"/>
          <w:szCs w:val="24"/>
        </w:rPr>
        <w:t xml:space="preserve"> that ‘because it is grounded on an interpretation of the existing law of the sea as reflected in UNCLOS, States from outside the Pacific Islands Forum membership are welcome to endorse and apply the approach of the [PIF] Declaration, including those that are not States Parties to UNCLOS’.</w:t>
      </w:r>
      <w:r>
        <w:rPr>
          <w:rStyle w:val="FootnoteReference"/>
          <w:sz w:val="24"/>
          <w:szCs w:val="24"/>
        </w:rPr>
        <w:footnoteReference w:id="29"/>
      </w:r>
      <w:r w:rsidR="00BB3DB5">
        <w:rPr>
          <w:sz w:val="24"/>
          <w:szCs w:val="24"/>
        </w:rPr>
        <w:t xml:space="preserve">  The 2024 CHOGM meeting also presents an opportunity for the UK to seek to build further support within the Commonwealth.</w:t>
      </w:r>
    </w:p>
    <w:p w:rsidR="007E5593" w:rsidRPr="007E5593" w:rsidP="007E5593">
      <w:pPr>
        <w:pStyle w:val="ListParagraph"/>
        <w:numPr>
          <w:ilvl w:val="1"/>
          <w:numId w:val="3"/>
        </w:numPr>
        <w:spacing w:after="240" w:line="360" w:lineRule="auto"/>
        <w:contextualSpacing w:val="0"/>
        <w:jc w:val="both"/>
        <w:rPr>
          <w:rFonts w:cstheme="minorHAnsi"/>
          <w:sz w:val="24"/>
          <w:szCs w:val="24"/>
        </w:rPr>
      </w:pPr>
      <w:r w:rsidRPr="00754FCB">
        <w:rPr>
          <w:rFonts w:cstheme="minorHAnsi"/>
          <w:b/>
          <w:bCs/>
          <w:sz w:val="24"/>
          <w:szCs w:val="24"/>
        </w:rPr>
        <w:t xml:space="preserve">Ongoing engagement with the </w:t>
      </w:r>
      <w:r w:rsidRPr="00754FCB">
        <w:rPr>
          <w:rFonts w:cstheme="minorHAnsi"/>
          <w:b/>
          <w:bCs/>
          <w:sz w:val="24"/>
          <w:szCs w:val="24"/>
        </w:rPr>
        <w:t>International Law Commission’s</w:t>
      </w:r>
      <w:r>
        <w:rPr>
          <w:rFonts w:cstheme="minorHAnsi"/>
          <w:b/>
          <w:bCs/>
          <w:sz w:val="24"/>
          <w:szCs w:val="24"/>
        </w:rPr>
        <w:t xml:space="preserve"> (ILC)</w:t>
      </w:r>
      <w:r w:rsidRPr="00754FCB">
        <w:rPr>
          <w:rFonts w:cstheme="minorHAnsi"/>
          <w:b/>
          <w:bCs/>
          <w:sz w:val="24"/>
          <w:szCs w:val="24"/>
        </w:rPr>
        <w:t xml:space="preserve"> study on sea-level rise on international law</w:t>
      </w:r>
      <w:r>
        <w:rPr>
          <w:rFonts w:cstheme="minorHAnsi"/>
          <w:sz w:val="24"/>
          <w:szCs w:val="24"/>
        </w:rPr>
        <w:t>:</w:t>
      </w:r>
      <w:r>
        <w:rPr>
          <w:rFonts w:cstheme="minorHAnsi"/>
          <w:sz w:val="24"/>
          <w:szCs w:val="24"/>
        </w:rPr>
        <w:t xml:space="preserve"> </w:t>
      </w:r>
      <w:r>
        <w:rPr>
          <w:rFonts w:cstheme="minorHAnsi"/>
          <w:sz w:val="24"/>
          <w:szCs w:val="24"/>
        </w:rPr>
        <w:t>In continuing to engage with this process, the UK should consider</w:t>
      </w:r>
      <w:r>
        <w:rPr>
          <w:rFonts w:cstheme="minorHAnsi"/>
          <w:sz w:val="24"/>
          <w:szCs w:val="24"/>
        </w:rPr>
        <w:t xml:space="preserve"> holistically the evidence of State </w:t>
      </w:r>
      <w:r>
        <w:rPr>
          <w:rFonts w:cstheme="minorHAnsi"/>
          <w:sz w:val="24"/>
          <w:szCs w:val="24"/>
        </w:rPr>
        <w:t>practice that comes to light</w:t>
      </w:r>
      <w:r>
        <w:rPr>
          <w:rFonts w:cstheme="minorHAnsi"/>
          <w:sz w:val="24"/>
          <w:szCs w:val="24"/>
        </w:rPr>
        <w:t xml:space="preserve">, and </w:t>
      </w:r>
      <w:r>
        <w:rPr>
          <w:rFonts w:cstheme="minorHAnsi"/>
          <w:sz w:val="24"/>
          <w:szCs w:val="24"/>
        </w:rPr>
        <w:t>also continue to take</w:t>
      </w:r>
      <w:r>
        <w:rPr>
          <w:rFonts w:cstheme="minorHAnsi"/>
          <w:sz w:val="24"/>
          <w:szCs w:val="24"/>
        </w:rPr>
        <w:t xml:space="preserve"> the opportunity to advance and explain the UK’s own position. Notably, the US, like the UK, implements ambulatory baselines as a matter of its own domestic laws; however, </w:t>
      </w:r>
      <w:r w:rsidR="00E26E9C">
        <w:rPr>
          <w:rFonts w:cstheme="minorHAnsi"/>
          <w:sz w:val="24"/>
          <w:szCs w:val="24"/>
        </w:rPr>
        <w:t xml:space="preserve">in its most recent submission to the ILC, </w:t>
      </w:r>
      <w:r>
        <w:rPr>
          <w:rFonts w:cstheme="minorHAnsi"/>
          <w:sz w:val="24"/>
          <w:szCs w:val="24"/>
        </w:rPr>
        <w:t>the</w:t>
      </w:r>
      <w:r w:rsidR="00C13C85">
        <w:rPr>
          <w:rFonts w:cstheme="minorHAnsi"/>
          <w:sz w:val="24"/>
          <w:szCs w:val="24"/>
        </w:rPr>
        <w:t xml:space="preserve"> US has stated its commitment to work</w:t>
      </w:r>
      <w:r w:rsidR="00E26E9C">
        <w:rPr>
          <w:rFonts w:cstheme="minorHAnsi"/>
          <w:sz w:val="24"/>
          <w:szCs w:val="24"/>
        </w:rPr>
        <w:t xml:space="preserve"> with Pacific and other countries</w:t>
      </w:r>
      <w:r>
        <w:rPr>
          <w:rFonts w:cstheme="minorHAnsi"/>
          <w:sz w:val="24"/>
          <w:szCs w:val="24"/>
        </w:rPr>
        <w:t xml:space="preserve"> </w:t>
      </w:r>
      <w:r w:rsidR="00C13C85">
        <w:rPr>
          <w:rFonts w:cstheme="minorHAnsi"/>
          <w:sz w:val="24"/>
          <w:szCs w:val="24"/>
        </w:rPr>
        <w:t>‘</w:t>
      </w:r>
      <w:r w:rsidRPr="00C13C85" w:rsidR="00C13C85">
        <w:rPr>
          <w:rFonts w:cstheme="minorHAnsi"/>
          <w:sz w:val="24"/>
          <w:szCs w:val="24"/>
        </w:rPr>
        <w:t>toward the goal of lawfully establishing and maintaining baselines and maritime zone limits and will not challenge such baselines and maritime zone limits that are not subsequently updated despite sea-level rise caused by climate chan</w:t>
      </w:r>
      <w:r w:rsidR="00C13C85">
        <w:rPr>
          <w:rFonts w:cstheme="minorHAnsi"/>
          <w:sz w:val="24"/>
          <w:szCs w:val="24"/>
        </w:rPr>
        <w:t>ge.</w:t>
      </w:r>
      <w:r>
        <w:rPr>
          <w:rStyle w:val="FootnoteReference"/>
          <w:rFonts w:cstheme="minorHAnsi"/>
          <w:sz w:val="24"/>
          <w:szCs w:val="24"/>
        </w:rPr>
        <w:footnoteReference w:id="30"/>
      </w:r>
      <w:r w:rsidR="00E26E9C">
        <w:rPr>
          <w:rFonts w:cstheme="minorHAnsi"/>
          <w:sz w:val="24"/>
          <w:szCs w:val="24"/>
        </w:rPr>
        <w:t xml:space="preserve">  This might represent </w:t>
      </w:r>
      <w:r w:rsidR="00E40868">
        <w:rPr>
          <w:rFonts w:cstheme="minorHAnsi"/>
          <w:sz w:val="24"/>
          <w:szCs w:val="24"/>
        </w:rPr>
        <w:t xml:space="preserve">a </w:t>
      </w:r>
      <w:r w:rsidR="00F32C0D">
        <w:rPr>
          <w:rFonts w:cstheme="minorHAnsi"/>
          <w:sz w:val="24"/>
          <w:szCs w:val="24"/>
        </w:rPr>
        <w:t>model for developing a calibrated position for the UK</w:t>
      </w:r>
      <w:r w:rsidR="00E26E9C">
        <w:rPr>
          <w:rFonts w:cstheme="minorHAnsi"/>
          <w:sz w:val="24"/>
          <w:szCs w:val="24"/>
        </w:rPr>
        <w:t xml:space="preserve"> that is </w:t>
      </w:r>
      <w:r w:rsidR="00E26E9C">
        <w:rPr>
          <w:rFonts w:cstheme="minorHAnsi"/>
          <w:sz w:val="24"/>
          <w:szCs w:val="24"/>
        </w:rPr>
        <w:t xml:space="preserve">both reflective of </w:t>
      </w:r>
      <w:r w:rsidR="00F32C0D">
        <w:rPr>
          <w:rFonts w:cstheme="minorHAnsi"/>
          <w:sz w:val="24"/>
          <w:szCs w:val="24"/>
        </w:rPr>
        <w:t>its</w:t>
      </w:r>
      <w:r w:rsidR="00E26E9C">
        <w:rPr>
          <w:rFonts w:cstheme="minorHAnsi"/>
          <w:sz w:val="24"/>
          <w:szCs w:val="24"/>
        </w:rPr>
        <w:t xml:space="preserve"> own domestic position, and supportive of the Commonwealth SIDS’s position on the preservation of maritime zones.</w:t>
      </w:r>
      <w:r>
        <w:rPr>
          <w:rStyle w:val="FootnoteReference"/>
          <w:rFonts w:cstheme="minorHAnsi"/>
          <w:sz w:val="24"/>
          <w:szCs w:val="24"/>
        </w:rPr>
        <w:footnoteReference w:id="31"/>
      </w:r>
      <w:r w:rsidR="00E26E9C">
        <w:rPr>
          <w:rFonts w:cstheme="minorHAnsi"/>
          <w:sz w:val="24"/>
          <w:szCs w:val="24"/>
        </w:rPr>
        <w:t xml:space="preserve">  </w:t>
      </w:r>
    </w:p>
    <w:p w:rsidR="00815EB7" w:rsidRPr="008668C9" w:rsidP="00815EB7">
      <w:pPr>
        <w:pStyle w:val="ListParagraph"/>
        <w:numPr>
          <w:ilvl w:val="1"/>
          <w:numId w:val="3"/>
        </w:numPr>
        <w:spacing w:after="240" w:line="360" w:lineRule="auto"/>
        <w:contextualSpacing w:val="0"/>
        <w:jc w:val="both"/>
        <w:rPr>
          <w:rFonts w:cstheme="minorHAnsi"/>
          <w:sz w:val="24"/>
          <w:szCs w:val="24"/>
        </w:rPr>
      </w:pPr>
      <w:r w:rsidRPr="00FC1619">
        <w:rPr>
          <w:rFonts w:cstheme="minorHAnsi"/>
          <w:b/>
          <w:bCs/>
          <w:sz w:val="24"/>
          <w:szCs w:val="24"/>
        </w:rPr>
        <w:t>S</w:t>
      </w:r>
      <w:r w:rsidRPr="00FC1619" w:rsidR="00E26E9C">
        <w:rPr>
          <w:rFonts w:cstheme="minorHAnsi"/>
          <w:b/>
          <w:bCs/>
          <w:sz w:val="24"/>
          <w:szCs w:val="24"/>
        </w:rPr>
        <w:t>teps to promote broader agreement amongst States as to the preservation of maritime zones</w:t>
      </w:r>
      <w:r w:rsidR="00E26E9C">
        <w:rPr>
          <w:rFonts w:cstheme="minorHAnsi"/>
          <w:sz w:val="24"/>
          <w:szCs w:val="24"/>
        </w:rPr>
        <w:t xml:space="preserve">.  </w:t>
      </w:r>
      <w:r>
        <w:rPr>
          <w:rFonts w:cstheme="minorHAnsi"/>
          <w:sz w:val="24"/>
          <w:szCs w:val="24"/>
        </w:rPr>
        <w:t>The UK</w:t>
      </w:r>
      <w:r w:rsidR="00E40868">
        <w:rPr>
          <w:rFonts w:cstheme="minorHAnsi"/>
          <w:sz w:val="24"/>
          <w:szCs w:val="24"/>
        </w:rPr>
        <w:t xml:space="preserve"> could consider taking steps to galvanise broader support for the preservation of maritime zones amongst LOSC Parties, potentially in the form</w:t>
      </w:r>
      <w:r>
        <w:rPr>
          <w:rFonts w:cstheme="minorHAnsi"/>
          <w:sz w:val="24"/>
          <w:szCs w:val="24"/>
        </w:rPr>
        <w:t xml:space="preserve"> </w:t>
      </w:r>
      <w:r w:rsidR="00E40868">
        <w:rPr>
          <w:rFonts w:cstheme="minorHAnsi"/>
          <w:sz w:val="24"/>
          <w:szCs w:val="24"/>
        </w:rPr>
        <w:t>of</w:t>
      </w:r>
      <w:r>
        <w:rPr>
          <w:rFonts w:cstheme="minorHAnsi"/>
          <w:sz w:val="24"/>
          <w:szCs w:val="24"/>
        </w:rPr>
        <w:t xml:space="preserve"> a</w:t>
      </w:r>
      <w:r w:rsidR="00E40868">
        <w:rPr>
          <w:rFonts w:cstheme="minorHAnsi"/>
          <w:sz w:val="24"/>
          <w:szCs w:val="24"/>
        </w:rPr>
        <w:t>n</w:t>
      </w:r>
      <w:r>
        <w:rPr>
          <w:rFonts w:cstheme="minorHAnsi"/>
          <w:sz w:val="24"/>
          <w:szCs w:val="24"/>
        </w:rPr>
        <w:t xml:space="preserve"> </w:t>
      </w:r>
      <w:r w:rsidR="00E26E9C">
        <w:rPr>
          <w:rFonts w:cstheme="minorHAnsi"/>
          <w:sz w:val="24"/>
          <w:szCs w:val="24"/>
        </w:rPr>
        <w:t>interpretative agreement</w:t>
      </w:r>
      <w:r w:rsidR="00E40868">
        <w:rPr>
          <w:rFonts w:cstheme="minorHAnsi"/>
          <w:sz w:val="24"/>
          <w:szCs w:val="24"/>
        </w:rPr>
        <w:t xml:space="preserve"> or declaration</w:t>
      </w:r>
      <w:r w:rsidR="00E26E9C">
        <w:rPr>
          <w:rFonts w:cstheme="minorHAnsi"/>
          <w:sz w:val="24"/>
          <w:szCs w:val="24"/>
        </w:rPr>
        <w:t>,</w:t>
      </w:r>
      <w:r>
        <w:rPr>
          <w:rStyle w:val="FootnoteReference"/>
          <w:rFonts w:cstheme="minorHAnsi"/>
          <w:sz w:val="24"/>
          <w:szCs w:val="24"/>
        </w:rPr>
        <w:footnoteReference w:id="32"/>
      </w:r>
      <w:r w:rsidR="00E26E9C">
        <w:rPr>
          <w:rFonts w:cstheme="minorHAnsi"/>
          <w:sz w:val="24"/>
          <w:szCs w:val="24"/>
        </w:rPr>
        <w:t xml:space="preserve"> or also</w:t>
      </w:r>
      <w:r w:rsidR="00E40868">
        <w:rPr>
          <w:rFonts w:cstheme="minorHAnsi"/>
          <w:sz w:val="24"/>
          <w:szCs w:val="24"/>
        </w:rPr>
        <w:t xml:space="preserve"> amongst the broader international community through</w:t>
      </w:r>
      <w:r w:rsidR="00E26E9C">
        <w:rPr>
          <w:rFonts w:cstheme="minorHAnsi"/>
          <w:sz w:val="24"/>
          <w:szCs w:val="24"/>
        </w:rPr>
        <w:t xml:space="preserve"> other </w:t>
      </w:r>
      <w:r>
        <w:rPr>
          <w:rFonts w:cstheme="minorHAnsi"/>
          <w:sz w:val="24"/>
          <w:szCs w:val="24"/>
        </w:rPr>
        <w:t>vehicles</w:t>
      </w:r>
      <w:r w:rsidR="00E26E9C">
        <w:rPr>
          <w:rFonts w:cstheme="minorHAnsi"/>
          <w:sz w:val="24"/>
          <w:szCs w:val="24"/>
        </w:rPr>
        <w:t xml:space="preserve"> such as inclusion in the UN General Assembly annual oceans resolution.</w:t>
      </w:r>
      <w:r>
        <w:rPr>
          <w:rStyle w:val="FootnoteReference"/>
          <w:rFonts w:cstheme="minorHAnsi"/>
          <w:sz w:val="24"/>
          <w:szCs w:val="24"/>
        </w:rPr>
        <w:footnoteReference w:id="33"/>
      </w:r>
      <w:r w:rsidR="00E26E9C">
        <w:rPr>
          <w:rFonts w:cstheme="minorHAnsi"/>
          <w:sz w:val="24"/>
          <w:szCs w:val="24"/>
        </w:rPr>
        <w:t xml:space="preserve"> </w:t>
      </w:r>
    </w:p>
    <w:p w:rsidR="00F404AA">
      <w:pPr>
        <w:rPr>
          <w:rFonts w:cstheme="minorHAnsi"/>
          <w:sz w:val="24"/>
          <w:szCs w:val="24"/>
        </w:rPr>
      </w:pPr>
    </w:p>
    <w:p w:rsidR="0021785D">
      <w:pPr>
        <w:rPr>
          <w:rFonts w:cstheme="minorHAnsi"/>
          <w:sz w:val="24"/>
          <w:szCs w:val="24"/>
        </w:rPr>
      </w:pPr>
    </w:p>
    <w:p w:rsidR="0021785D">
      <w:pPr>
        <w:rPr>
          <w:rFonts w:cstheme="minorHAnsi"/>
          <w:sz w:val="24"/>
          <w:szCs w:val="24"/>
        </w:rPr>
        <w:sectPr>
          <w:footerReference w:type="default" r:id="rId6"/>
          <w:pgSz w:w="11906" w:h="16838"/>
          <w:pgMar w:top="1440" w:right="1440" w:bottom="1440" w:left="1440" w:header="708" w:footer="708" w:gutter="0"/>
          <w:cols w:space="708"/>
          <w:docGrid w:linePitch="360"/>
        </w:sectPr>
      </w:pPr>
      <w:r>
        <w:rPr>
          <w:rFonts w:cstheme="minorHAnsi"/>
          <w:sz w:val="24"/>
          <w:szCs w:val="24"/>
        </w:rPr>
        <w:t>7 November 2023</w:t>
      </w:r>
    </w:p>
    <w:p w:rsidR="00815EB7" w:rsidRPr="00754FCB" w:rsidP="00AB04E7">
      <w:pPr>
        <w:spacing w:after="240" w:line="360" w:lineRule="auto"/>
        <w:jc w:val="center"/>
        <w:rPr>
          <w:rFonts w:cstheme="minorHAnsi"/>
          <w:b/>
          <w:bCs/>
          <w:sz w:val="32"/>
          <w:szCs w:val="32"/>
        </w:rPr>
      </w:pPr>
      <w:r w:rsidRPr="00754FCB">
        <w:rPr>
          <w:rFonts w:cstheme="minorHAnsi"/>
          <w:b/>
          <w:bCs/>
          <w:sz w:val="32"/>
          <w:szCs w:val="32"/>
        </w:rPr>
        <w:t>Annex</w:t>
      </w:r>
    </w:p>
    <w:p w:rsidR="00AB04E7" w:rsidRPr="00F404AA" w:rsidP="00AB04E7">
      <w:pPr>
        <w:spacing w:after="240" w:line="360" w:lineRule="auto"/>
        <w:jc w:val="center"/>
        <w:rPr>
          <w:rFonts w:cstheme="minorHAnsi"/>
          <w:sz w:val="32"/>
          <w:szCs w:val="32"/>
        </w:rPr>
      </w:pPr>
      <w:r w:rsidRPr="00F404AA">
        <w:rPr>
          <w:rFonts w:cstheme="minorHAnsi"/>
          <w:sz w:val="32"/>
          <w:szCs w:val="32"/>
        </w:rPr>
        <w:t>Table of SIDS</w:t>
      </w:r>
      <w:r w:rsidR="00F404AA">
        <w:rPr>
          <w:rFonts w:cstheme="minorHAnsi"/>
          <w:sz w:val="32"/>
          <w:szCs w:val="32"/>
        </w:rPr>
        <w:t xml:space="preserve"> and </w:t>
      </w:r>
      <w:r w:rsidRPr="00F404AA">
        <w:rPr>
          <w:rFonts w:cstheme="minorHAnsi"/>
          <w:sz w:val="32"/>
          <w:szCs w:val="32"/>
        </w:rPr>
        <w:t xml:space="preserve">Commonwealth, PIF, </w:t>
      </w:r>
      <w:r w:rsidR="00F404AA">
        <w:rPr>
          <w:rFonts w:cstheme="minorHAnsi"/>
          <w:sz w:val="32"/>
          <w:szCs w:val="32"/>
        </w:rPr>
        <w:br/>
      </w:r>
      <w:r w:rsidRPr="00F404AA">
        <w:rPr>
          <w:rFonts w:cstheme="minorHAnsi"/>
          <w:sz w:val="32"/>
          <w:szCs w:val="32"/>
        </w:rPr>
        <w:t>AOSIS and COSIS membership</w:t>
      </w:r>
      <w:r>
        <w:rPr>
          <w:rStyle w:val="FootnoteReference"/>
          <w:rFonts w:cstheme="minorHAnsi"/>
          <w:sz w:val="32"/>
          <w:szCs w:val="32"/>
        </w:rPr>
        <w:footnoteReference w:id="34"/>
      </w:r>
    </w:p>
    <w:tbl>
      <w:tblPr>
        <w:tblStyle w:val="TableGrid"/>
        <w:tblW w:w="9356" w:type="dxa"/>
        <w:tblLayout w:type="fixed"/>
        <w:tblLook w:val="04A0"/>
      </w:tblPr>
      <w:tblGrid>
        <w:gridCol w:w="988"/>
        <w:gridCol w:w="2868"/>
        <w:gridCol w:w="1375"/>
        <w:gridCol w:w="1375"/>
        <w:gridCol w:w="1375"/>
        <w:gridCol w:w="1375"/>
      </w:tblGrid>
      <w:tr w:rsidTr="00F404AA">
        <w:tblPrEx>
          <w:tblW w:w="9356" w:type="dxa"/>
          <w:tblLayout w:type="fixed"/>
          <w:tblLook w:val="04A0"/>
        </w:tblPrEx>
        <w:trPr>
          <w:trHeight w:val="370"/>
        </w:trPr>
        <w:tc>
          <w:tcPr>
            <w:tcW w:w="988" w:type="dxa"/>
          </w:tcPr>
          <w:p w:rsidR="00AB04E7" w:rsidRPr="00AB04E7" w:rsidP="00AB04E7">
            <w:pPr>
              <w:spacing w:after="120"/>
              <w:contextualSpacing/>
              <w:jc w:val="both"/>
              <w:rPr>
                <w:rFonts w:ascii="Constantia" w:hAnsi="Constantia" w:cstheme="minorHAnsi"/>
                <w:b/>
                <w:bCs/>
                <w:sz w:val="20"/>
                <w:szCs w:val="20"/>
              </w:rPr>
            </w:pPr>
          </w:p>
        </w:tc>
        <w:tc>
          <w:tcPr>
            <w:tcW w:w="2868" w:type="dxa"/>
            <w:hideMark/>
          </w:tcPr>
          <w:p w:rsidR="00AB04E7" w:rsidRPr="00AB04E7" w:rsidP="00AB04E7">
            <w:pPr>
              <w:spacing w:after="120"/>
              <w:contextualSpacing/>
              <w:jc w:val="both"/>
              <w:rPr>
                <w:rFonts w:ascii="Constantia" w:hAnsi="Constantia" w:cstheme="minorHAnsi"/>
                <w:b/>
                <w:bCs/>
                <w:sz w:val="20"/>
                <w:szCs w:val="20"/>
              </w:rPr>
            </w:pPr>
            <w:r w:rsidRPr="00AB04E7">
              <w:rPr>
                <w:rFonts w:ascii="Constantia" w:hAnsi="Constantia" w:cstheme="minorHAnsi"/>
                <w:b/>
                <w:bCs/>
                <w:sz w:val="20"/>
                <w:szCs w:val="20"/>
              </w:rPr>
              <w:t>Commonwealth member</w:t>
            </w:r>
            <w:r>
              <w:rPr>
                <w:rStyle w:val="FootnoteReference"/>
                <w:rFonts w:ascii="Constantia" w:hAnsi="Constantia" w:cstheme="minorHAnsi"/>
                <w:b/>
                <w:bCs/>
                <w:sz w:val="20"/>
                <w:szCs w:val="20"/>
              </w:rPr>
              <w:footnoteReference w:id="35"/>
            </w:r>
          </w:p>
        </w:tc>
        <w:tc>
          <w:tcPr>
            <w:tcW w:w="1375" w:type="dxa"/>
          </w:tcPr>
          <w:p w:rsidR="00AB04E7" w:rsidRPr="00AB04E7" w:rsidP="00AB04E7">
            <w:pPr>
              <w:spacing w:after="120"/>
              <w:contextualSpacing/>
              <w:jc w:val="center"/>
              <w:rPr>
                <w:rFonts w:ascii="Constantia" w:hAnsi="Constantia" w:cstheme="minorHAnsi"/>
                <w:b/>
                <w:bCs/>
                <w:sz w:val="20"/>
                <w:szCs w:val="20"/>
              </w:rPr>
            </w:pPr>
            <w:r w:rsidRPr="00AB04E7">
              <w:rPr>
                <w:rFonts w:ascii="Constantia" w:hAnsi="Constantia" w:cstheme="minorHAnsi"/>
                <w:b/>
                <w:bCs/>
                <w:sz w:val="20"/>
                <w:szCs w:val="20"/>
              </w:rPr>
              <w:t>SIDS</w:t>
            </w:r>
            <w:r>
              <w:rPr>
                <w:rStyle w:val="FootnoteReference"/>
                <w:rFonts w:ascii="Constantia" w:hAnsi="Constantia" w:cstheme="minorHAnsi"/>
                <w:b/>
                <w:bCs/>
                <w:sz w:val="20"/>
                <w:szCs w:val="20"/>
              </w:rPr>
              <w:footnoteReference w:id="36"/>
            </w:r>
          </w:p>
        </w:tc>
        <w:tc>
          <w:tcPr>
            <w:tcW w:w="1375" w:type="dxa"/>
            <w:noWrap/>
            <w:hideMark/>
          </w:tcPr>
          <w:p w:rsidR="00AB04E7" w:rsidRPr="00AB04E7" w:rsidP="00AB04E7">
            <w:pPr>
              <w:spacing w:after="120"/>
              <w:contextualSpacing/>
              <w:jc w:val="center"/>
              <w:rPr>
                <w:rFonts w:ascii="Constantia" w:hAnsi="Constantia" w:cstheme="minorHAnsi"/>
                <w:b/>
                <w:bCs/>
                <w:sz w:val="20"/>
                <w:szCs w:val="20"/>
              </w:rPr>
            </w:pPr>
            <w:r w:rsidRPr="00AB04E7">
              <w:rPr>
                <w:rFonts w:ascii="Constantia" w:hAnsi="Constantia" w:cstheme="minorHAnsi"/>
                <w:b/>
                <w:bCs/>
                <w:sz w:val="20"/>
                <w:szCs w:val="20"/>
              </w:rPr>
              <w:t>PIF member</w:t>
            </w:r>
          </w:p>
        </w:tc>
        <w:tc>
          <w:tcPr>
            <w:tcW w:w="1375" w:type="dxa"/>
            <w:noWrap/>
            <w:hideMark/>
          </w:tcPr>
          <w:p w:rsidR="00AB04E7" w:rsidRPr="00AB04E7" w:rsidP="00AB04E7">
            <w:pPr>
              <w:spacing w:after="120"/>
              <w:contextualSpacing/>
              <w:jc w:val="center"/>
              <w:rPr>
                <w:rFonts w:ascii="Constantia" w:hAnsi="Constantia" w:cstheme="minorHAnsi"/>
                <w:b/>
                <w:bCs/>
                <w:sz w:val="20"/>
                <w:szCs w:val="20"/>
              </w:rPr>
            </w:pPr>
            <w:r w:rsidRPr="00AB04E7">
              <w:rPr>
                <w:rFonts w:ascii="Constantia" w:hAnsi="Constantia" w:cstheme="minorHAnsi"/>
                <w:b/>
                <w:bCs/>
                <w:sz w:val="20"/>
                <w:szCs w:val="20"/>
              </w:rPr>
              <w:t>AOSIS member</w:t>
            </w:r>
          </w:p>
        </w:tc>
        <w:tc>
          <w:tcPr>
            <w:tcW w:w="1375" w:type="dxa"/>
            <w:noWrap/>
            <w:hideMark/>
          </w:tcPr>
          <w:p w:rsidR="00AB04E7" w:rsidRPr="00AB04E7" w:rsidP="00AB04E7">
            <w:pPr>
              <w:spacing w:after="120"/>
              <w:contextualSpacing/>
              <w:jc w:val="center"/>
              <w:rPr>
                <w:rFonts w:ascii="Constantia" w:hAnsi="Constantia" w:cstheme="minorHAnsi"/>
                <w:b/>
                <w:bCs/>
                <w:sz w:val="20"/>
                <w:szCs w:val="20"/>
              </w:rPr>
            </w:pPr>
            <w:r w:rsidRPr="00AB04E7">
              <w:rPr>
                <w:rFonts w:ascii="Constantia" w:hAnsi="Constantia" w:cstheme="minorHAnsi"/>
                <w:b/>
                <w:bCs/>
                <w:sz w:val="20"/>
                <w:szCs w:val="20"/>
              </w:rPr>
              <w:t>COSIS member</w:t>
            </w: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Antigua and Barbuda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Australia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Bahamas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Bangladesh</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Barbados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Belize</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Botswana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Brunei</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Cameroon</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Canada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Cyprus</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 xml:space="preserve">Dominica </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Eswatini</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Fiji</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Gabon</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Gambia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Ghana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Grenada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Guyana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India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Jamaica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Kenya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Kiribati</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Lesotho</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Malawi</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Malaysia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Maldives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Malta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Mau</w:t>
            </w:r>
            <w:r>
              <w:rPr>
                <w:rFonts w:ascii="Constantia" w:hAnsi="Constantia" w:cstheme="minorHAnsi"/>
                <w:sz w:val="20"/>
                <w:szCs w:val="20"/>
              </w:rPr>
              <w:t>r</w:t>
            </w:r>
            <w:r w:rsidRPr="00AB04E7">
              <w:rPr>
                <w:rFonts w:ascii="Constantia" w:hAnsi="Constantia" w:cstheme="minorHAnsi"/>
                <w:sz w:val="20"/>
                <w:szCs w:val="20"/>
              </w:rPr>
              <w:t>itius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Mozambique</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Namibia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Nauru</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New Zealand</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Nigeria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Papua New Guinea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Pakistan</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Rwanda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Samoa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Seychelles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Sierra Leone</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Singapore</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Solomon Islands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South Africa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Sri Lanka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St Kitts and Nevis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St Lucia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r>
      <w:tr w:rsidTr="00F404AA">
        <w:tblPrEx>
          <w:tblW w:w="9356" w:type="dxa"/>
          <w:tblLayout w:type="fixed"/>
          <w:tblLook w:val="04A0"/>
        </w:tblPrEx>
        <w:trPr>
          <w:trHeight w:val="74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St Vincent and the Grenadines</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Tanzania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Togo</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Tonga</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Trinidad and Tobago</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Tuvalu</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Uganda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United Kingdom</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r w:rsidTr="00F404AA">
        <w:tblPrEx>
          <w:tblW w:w="9356" w:type="dxa"/>
          <w:tblLayout w:type="fixed"/>
          <w:tblLook w:val="04A0"/>
        </w:tblPrEx>
        <w:trPr>
          <w:trHeight w:val="370"/>
        </w:trPr>
        <w:tc>
          <w:tcPr>
            <w:tcW w:w="988" w:type="dxa"/>
            <w:shd w:val="clear" w:color="auto" w:fill="E7E6E6" w:themeFill="background2"/>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shd w:val="clear" w:color="auto" w:fill="E7E6E6" w:themeFill="background2"/>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Vanuatu</w:t>
            </w:r>
          </w:p>
        </w:tc>
        <w:tc>
          <w:tcPr>
            <w:tcW w:w="1375" w:type="dxa"/>
            <w:shd w:val="clear" w:color="auto" w:fill="E7E6E6" w:themeFill="background2"/>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c>
          <w:tcPr>
            <w:tcW w:w="1375" w:type="dxa"/>
            <w:shd w:val="clear" w:color="auto" w:fill="E7E6E6" w:themeFill="background2"/>
            <w:noWrap/>
            <w:hideMark/>
          </w:tcPr>
          <w:p w:rsidR="00AB04E7" w:rsidRPr="00F404AA" w:rsidP="00AB04E7">
            <w:pPr>
              <w:spacing w:after="120"/>
              <w:contextualSpacing/>
              <w:jc w:val="center"/>
              <w:rPr>
                <w:rFonts w:ascii="Constantia" w:hAnsi="Constantia" w:cstheme="minorHAnsi"/>
                <w:sz w:val="16"/>
                <w:szCs w:val="16"/>
              </w:rPr>
            </w:pPr>
            <w:r w:rsidRPr="00F404AA">
              <w:rPr>
                <w:rFonts w:ascii="Segoe UI Symbol" w:hAnsi="Segoe UI Symbol" w:cs="Segoe UI Symbol"/>
                <w:sz w:val="16"/>
                <w:szCs w:val="16"/>
              </w:rPr>
              <w:t>✓</w:t>
            </w:r>
          </w:p>
        </w:tc>
      </w:tr>
      <w:tr w:rsidTr="00F404AA">
        <w:tblPrEx>
          <w:tblW w:w="9356" w:type="dxa"/>
          <w:tblLayout w:type="fixed"/>
          <w:tblLook w:val="04A0"/>
        </w:tblPrEx>
        <w:trPr>
          <w:trHeight w:val="370"/>
        </w:trPr>
        <w:tc>
          <w:tcPr>
            <w:tcW w:w="988" w:type="dxa"/>
          </w:tcPr>
          <w:p w:rsidR="00AB04E7" w:rsidRPr="00AB04E7" w:rsidP="00AB04E7">
            <w:pPr>
              <w:pStyle w:val="ListParagraph"/>
              <w:numPr>
                <w:ilvl w:val="0"/>
                <w:numId w:val="4"/>
              </w:numPr>
              <w:spacing w:after="120"/>
              <w:jc w:val="both"/>
              <w:rPr>
                <w:rFonts w:ascii="Constantia" w:hAnsi="Constantia" w:cstheme="minorHAnsi"/>
                <w:sz w:val="20"/>
                <w:szCs w:val="20"/>
              </w:rPr>
            </w:pPr>
          </w:p>
        </w:tc>
        <w:tc>
          <w:tcPr>
            <w:tcW w:w="2868" w:type="dxa"/>
            <w:hideMark/>
          </w:tcPr>
          <w:p w:rsidR="00AB04E7" w:rsidRPr="00AB04E7" w:rsidP="00AB04E7">
            <w:pPr>
              <w:spacing w:after="120"/>
              <w:contextualSpacing/>
              <w:jc w:val="both"/>
              <w:rPr>
                <w:rFonts w:ascii="Constantia" w:hAnsi="Constantia" w:cstheme="minorHAnsi"/>
                <w:sz w:val="20"/>
                <w:szCs w:val="20"/>
              </w:rPr>
            </w:pPr>
            <w:r w:rsidRPr="00AB04E7">
              <w:rPr>
                <w:rFonts w:ascii="Constantia" w:hAnsi="Constantia" w:cstheme="minorHAnsi"/>
                <w:sz w:val="20"/>
                <w:szCs w:val="20"/>
              </w:rPr>
              <w:t>Zambia</w:t>
            </w:r>
          </w:p>
        </w:tc>
        <w:tc>
          <w:tcPr>
            <w:tcW w:w="1375" w:type="dxa"/>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c>
          <w:tcPr>
            <w:tcW w:w="1375" w:type="dxa"/>
            <w:noWrap/>
            <w:hideMark/>
          </w:tcPr>
          <w:p w:rsidR="00AB04E7" w:rsidRPr="00F404AA" w:rsidP="00AB04E7">
            <w:pPr>
              <w:spacing w:after="120"/>
              <w:contextualSpacing/>
              <w:jc w:val="center"/>
              <w:rPr>
                <w:rFonts w:ascii="Constantia" w:hAnsi="Constantia" w:cstheme="minorHAnsi"/>
                <w:sz w:val="16"/>
                <w:szCs w:val="16"/>
              </w:rPr>
            </w:pPr>
          </w:p>
        </w:tc>
      </w:tr>
    </w:tbl>
    <w:p w:rsidR="00AB04E7" w:rsidP="00F526D8">
      <w:pPr>
        <w:spacing w:after="240" w:line="360" w:lineRule="auto"/>
        <w:jc w:val="both"/>
        <w:rPr>
          <w:rFonts w:cstheme="minorHAnsi"/>
          <w:sz w:val="24"/>
          <w:szCs w:val="24"/>
        </w:rPr>
      </w:pPr>
    </w:p>
    <w:p w:rsidR="00AB04E7" w:rsidRPr="00F526D8" w:rsidP="00F526D8">
      <w:pPr>
        <w:spacing w:after="240" w:line="360" w:lineRule="auto"/>
        <w:jc w:val="both"/>
        <w:rPr>
          <w:rFonts w:cstheme="minorHAnsi"/>
          <w:sz w:val="24"/>
          <w:szCs w:val="24"/>
        </w:rPr>
      </w:pPr>
    </w:p>
    <w:p w:rsidR="007F4CA7" w:rsidRPr="007F4CA7">
      <w:pPr>
        <w:rPr>
          <w:rFonts w:cstheme="minorHAnsi"/>
          <w:sz w:val="24"/>
          <w:szCs w:val="24"/>
        </w:rPr>
      </w:pPr>
    </w:p>
    <w:p w:rsidR="007F4CA7" w:rsidRPr="007F4CA7">
      <w:pPr>
        <w:rPr>
          <w:rFonts w:cstheme="minorHAnsi"/>
          <w:sz w:val="24"/>
          <w:szCs w:val="24"/>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altName w:val="Constantia"/>
    <w:panose1 w:val="02030602050306030303"/>
    <w:charset w:val="00"/>
    <w:family w:val="roman"/>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33442550"/>
      <w:docPartObj>
        <w:docPartGallery w:val="Page Numbers (Bottom of Page)"/>
        <w:docPartUnique/>
      </w:docPartObj>
    </w:sdtPr>
    <w:sdtEndPr>
      <w:rPr>
        <w:noProof/>
      </w:rPr>
    </w:sdtEndPr>
    <w:sdtContent>
      <w:p w:rsidR="00E433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61FF7" w:rsidP="007C4A85">
      <w:pPr>
        <w:spacing w:after="0" w:line="240" w:lineRule="auto"/>
      </w:pPr>
      <w:r>
        <w:separator/>
      </w:r>
    </w:p>
  </w:footnote>
  <w:footnote w:type="continuationSeparator" w:id="1">
    <w:p w:rsidR="00B61FF7" w:rsidP="007C4A85">
      <w:pPr>
        <w:spacing w:after="0" w:line="240" w:lineRule="auto"/>
      </w:pPr>
      <w:r>
        <w:continuationSeparator/>
      </w:r>
    </w:p>
  </w:footnote>
  <w:footnote w:id="2">
    <w:p w:rsidR="003915F4" w:rsidP="003915F4">
      <w:pPr>
        <w:pStyle w:val="FootnoteText"/>
      </w:pPr>
      <w:r>
        <w:rPr>
          <w:rStyle w:val="FootnoteReference"/>
        </w:rPr>
        <w:footnoteRef/>
      </w:r>
      <w:r>
        <w:t xml:space="preserve"> </w:t>
      </w:r>
      <w:r w:rsidRPr="003915F4">
        <w:t>Senior Lecturer, Australian National Centre for Ocean Resources and Security</w:t>
      </w:r>
      <w:r>
        <w:t xml:space="preserve"> (</w:t>
      </w:r>
      <w:r>
        <w:fldChar w:fldCharType="begin"/>
      </w:r>
      <w:r>
        <w:instrText xml:space="preserve"> HYPERLINK "mailto:fanggadi@uow.edu.au" </w:instrText>
      </w:r>
      <w:r>
        <w:fldChar w:fldCharType="separate"/>
      </w:r>
      <w:r w:rsidRPr="00A10628">
        <w:rPr>
          <w:rStyle w:val="Hyperlink"/>
        </w:rPr>
        <w:t>fanggadi@uow.edu.au</w:t>
      </w:r>
      <w:r>
        <w:fldChar w:fldCharType="end"/>
      </w:r>
      <w:r>
        <w:t xml:space="preserve">); Visiting Fellow, Australian National University (Centre for International and Public Law, ANU College of Law); Co-chair Oceans and International Environmental Law Interest Group of the Australian and New Zealand Society for International Law. Prior to </w:t>
      </w:r>
      <w:r w:rsidR="00155038">
        <w:t>completing my</w:t>
      </w:r>
      <w:r>
        <w:t xml:space="preserve"> doctoral research</w:t>
      </w:r>
      <w:r w:rsidR="00155038">
        <w:t xml:space="preserve"> on sea-level rise and maritime zones at the University of Sydney</w:t>
      </w:r>
      <w:r w:rsidR="00F32C0D">
        <w:t xml:space="preserve"> (graduating December 2023)</w:t>
      </w:r>
      <w:r>
        <w:t>, I served at the Australian Government Attorney-General's Department, primarily in the Office of International Law</w:t>
      </w:r>
      <w:r w:rsidR="00572F51">
        <w:t xml:space="preserve"> </w:t>
      </w:r>
      <w:r w:rsidR="00155038">
        <w:t>and</w:t>
      </w:r>
      <w:r w:rsidR="00572F51">
        <w:t xml:space="preserve"> in 2017-2019 as</w:t>
      </w:r>
      <w:r w:rsidR="00155038">
        <w:t xml:space="preserve"> </w:t>
      </w:r>
      <w:r w:rsidR="00572F51">
        <w:t>a</w:t>
      </w:r>
      <w:r>
        <w:t xml:space="preserve"> legal adviser to the Pacific Maritime Boundaries Project.</w:t>
      </w:r>
      <w:r w:rsidR="00155038">
        <w:t xml:space="preserve">  This submission is offered in </w:t>
      </w:r>
      <w:r w:rsidR="00A872B0">
        <w:t xml:space="preserve">a </w:t>
      </w:r>
      <w:r w:rsidR="00155038">
        <w:t>personal capacity and does not reflect the views of any organisation with which I am affiliated.</w:t>
      </w:r>
    </w:p>
  </w:footnote>
  <w:footnote w:id="3">
    <w:p w:rsidR="00155038" w:rsidP="00155038">
      <w:pPr>
        <w:pStyle w:val="FootnoteText"/>
      </w:pPr>
      <w:r>
        <w:rPr>
          <w:rStyle w:val="FootnoteReference"/>
        </w:rPr>
        <w:footnoteRef/>
      </w:r>
      <w:r>
        <w:t xml:space="preserve"> </w:t>
      </w:r>
      <w:r>
        <w:fldChar w:fldCharType="begin"/>
      </w:r>
      <w:r>
        <w:instrText xml:space="preserve"> HYPERLINK "https://www.gov.uk/government/publications/uk-small-island-developing-states-strategy-2022-to-2026/uk-small-island-developing-states-strategy-2022-to-2026" \l "uk-small-island-developing-states-strategy-2022-to-2026" </w:instrText>
      </w:r>
      <w:r>
        <w:fldChar w:fldCharType="separate"/>
      </w:r>
      <w:r w:rsidRPr="00A10628">
        <w:rPr>
          <w:rStyle w:val="Hyperlink"/>
        </w:rPr>
        <w:t>https://www.gov.uk/government/publications/uk-small-island-developing-states-strategy-2022-to-2026/uk-small-island-developing-states-strategy-2022-to-2026#uk-small-island-developing-states-strategy-2022-to-2026</w:t>
      </w:r>
      <w:r>
        <w:fldChar w:fldCharType="end"/>
      </w:r>
      <w:r>
        <w:t xml:space="preserve"> (‘</w:t>
      </w:r>
      <w:r w:rsidR="004528D7">
        <w:t xml:space="preserve">UK SIDS </w:t>
      </w:r>
      <w:r>
        <w:t>Strategy’)</w:t>
      </w:r>
      <w:r w:rsidR="00B246CE">
        <w:t>.</w:t>
      </w:r>
    </w:p>
  </w:footnote>
  <w:footnote w:id="4">
    <w:p w:rsidR="00190CD7">
      <w:pPr>
        <w:pStyle w:val="FootnoteText"/>
      </w:pPr>
      <w:r>
        <w:rPr>
          <w:rStyle w:val="FootnoteReference"/>
        </w:rPr>
        <w:footnoteRef/>
      </w:r>
      <w:r>
        <w:t xml:space="preserve"> Submission of the Pacific Islands Forum Secretariat</w:t>
      </w:r>
      <w:r w:rsidRPr="00190CD7">
        <w:t xml:space="preserve"> (SIDS0011)</w:t>
      </w:r>
      <w:r w:rsidR="00145E1B">
        <w:t>, International Development Committee Inquiry on the UK Small Island States Strategy.</w:t>
      </w:r>
    </w:p>
  </w:footnote>
  <w:footnote w:id="5">
    <w:p w:rsidR="00145E1B">
      <w:pPr>
        <w:pStyle w:val="FootnoteText"/>
      </w:pPr>
      <w:r>
        <w:rPr>
          <w:rStyle w:val="FootnoteReference"/>
        </w:rPr>
        <w:footnoteRef/>
      </w:r>
      <w:r>
        <w:t xml:space="preserve"> Usually referred to as the ‘SAMOA Pathway’, discussed in the submission of the </w:t>
      </w:r>
      <w:r w:rsidRPr="00145E1B">
        <w:t>Foreign Commonwealth Development Office (SIDS0003)</w:t>
      </w:r>
      <w:r>
        <w:t xml:space="preserve">, </w:t>
      </w:r>
      <w:r>
        <w:t>International Development Committee Inquiry on the UK Small Island States Strategy</w:t>
      </w:r>
      <w:r>
        <w:t>.</w:t>
      </w:r>
    </w:p>
  </w:footnote>
  <w:footnote w:id="6">
    <w:p w:rsidR="00431701">
      <w:pPr>
        <w:pStyle w:val="FootnoteText"/>
      </w:pPr>
      <w:r>
        <w:rPr>
          <w:rStyle w:val="FootnoteReference"/>
        </w:rPr>
        <w:footnoteRef/>
      </w:r>
      <w:r>
        <w:t xml:space="preserve"> </w:t>
      </w:r>
      <w:r w:rsidR="008316E3">
        <w:t xml:space="preserve">See discussion in the </w:t>
      </w:r>
      <w:r w:rsidRPr="008316E3" w:rsidR="008316E3">
        <w:t>House of Lords International Relations and Defence Committee Inquiry on ‘UNCLOS: the Law of the Sea in the 21st Century’</w:t>
      </w:r>
      <w:r w:rsidR="008316E3">
        <w:t xml:space="preserve"> (</w:t>
      </w:r>
      <w:r w:rsidRPr="008316E3" w:rsidR="008316E3">
        <w:t>2nd Report of Session 2021–22</w:t>
      </w:r>
      <w:r w:rsidR="008316E3">
        <w:t>)</w:t>
      </w:r>
      <w:r w:rsidR="008854AC">
        <w:t xml:space="preserve"> (‘HL UNCLOS Inquiry Report’)</w:t>
      </w:r>
      <w:r w:rsidR="008316E3">
        <w:t>, Chapter 4. This issue has also been the subject of extensive academic debate, for a useful reference see ‘</w:t>
      </w:r>
      <w:r w:rsidRPr="008316E3" w:rsidR="008316E3">
        <w:t>Selected bibliography related to the law of the sea aspects of sea-level rise</w:t>
      </w:r>
      <w:r w:rsidR="008316E3">
        <w:t xml:space="preserve">’, Addendum to </w:t>
      </w:r>
      <w:r w:rsidRPr="008316E3" w:rsidR="008316E3">
        <w:rPr>
          <w:i/>
          <w:iCs/>
        </w:rPr>
        <w:t>Additional paper to the first issues paper (2020), by Bogdan Aurescu and Nilüfer Oral, Co-Chairs of the Study Group on sea</w:t>
      </w:r>
      <w:r w:rsidRPr="008316E3" w:rsidR="008316E3">
        <w:rPr>
          <w:i/>
          <w:iCs/>
        </w:rPr>
        <w:t>-</w:t>
      </w:r>
      <w:r w:rsidRPr="008316E3" w:rsidR="008316E3">
        <w:rPr>
          <w:i/>
          <w:iCs/>
        </w:rPr>
        <w:t>level rise in relation to international law</w:t>
      </w:r>
      <w:r w:rsidR="008316E3">
        <w:t xml:space="preserve"> (9 June 2023), </w:t>
      </w:r>
      <w:r w:rsidR="00FC1619">
        <w:t xml:space="preserve">UN Doc </w:t>
      </w:r>
      <w:r w:rsidRPr="008316E3" w:rsidR="008316E3">
        <w:t>A/CN.4/761/Add.1</w:t>
      </w:r>
      <w:r w:rsidR="008316E3">
        <w:t>.</w:t>
      </w:r>
    </w:p>
  </w:footnote>
  <w:footnote w:id="7">
    <w:p w:rsidR="00B301C3">
      <w:pPr>
        <w:pStyle w:val="FootnoteText"/>
      </w:pPr>
      <w:r>
        <w:rPr>
          <w:rStyle w:val="FootnoteReference"/>
        </w:rPr>
        <w:footnoteRef/>
      </w:r>
      <w:r>
        <w:t xml:space="preserve"> </w:t>
      </w:r>
      <w:r w:rsidR="00765C8B">
        <w:t>Submission of the PIF to the 72</w:t>
      </w:r>
      <w:r w:rsidRPr="00765C8B" w:rsidR="00765C8B">
        <w:rPr>
          <w:vertAlign w:val="superscript"/>
        </w:rPr>
        <w:t>nd</w:t>
      </w:r>
      <w:r w:rsidR="00765C8B">
        <w:t xml:space="preserve"> session of the International Law Commission (30 December 2019).  For a discussion of </w:t>
      </w:r>
      <w:r w:rsidR="008854AC">
        <w:t>sea-level rise issues</w:t>
      </w:r>
      <w:r w:rsidR="00765C8B">
        <w:t xml:space="preserve"> relating to statehood, see submission of Dr Alex Green </w:t>
      </w:r>
      <w:r w:rsidRPr="008854AC" w:rsidR="008854AC">
        <w:t>(SIDS0002)</w:t>
      </w:r>
      <w:r w:rsidR="008854AC">
        <w:t xml:space="preserve">, </w:t>
      </w:r>
      <w:r w:rsidR="008854AC">
        <w:t>International Development Committee Inquiry on the UK Small Island States Strategy.</w:t>
      </w:r>
    </w:p>
  </w:footnote>
  <w:footnote w:id="8">
    <w:p w:rsidR="00B301C3">
      <w:pPr>
        <w:pStyle w:val="FootnoteText"/>
      </w:pPr>
      <w:r>
        <w:rPr>
          <w:rStyle w:val="FootnoteReference"/>
        </w:rPr>
        <w:footnoteRef/>
      </w:r>
      <w:r>
        <w:t xml:space="preserve"> </w:t>
      </w:r>
      <w:r w:rsidR="008854AC">
        <w:t xml:space="preserve">HL UNCLOS Inquiry Report, n </w:t>
      </w:r>
      <w:r w:rsidR="008854AC">
        <w:fldChar w:fldCharType="begin"/>
      </w:r>
      <w:r w:rsidR="008854AC">
        <w:instrText xml:space="preserve"> NOTEREF _Ref150245844 \h </w:instrText>
      </w:r>
      <w:r w:rsidR="008854AC">
        <w:fldChar w:fldCharType="separate"/>
      </w:r>
      <w:r w:rsidR="00566A03">
        <w:t>5</w:t>
      </w:r>
      <w:r w:rsidR="008854AC">
        <w:fldChar w:fldCharType="end"/>
      </w:r>
      <w:r w:rsidR="008854AC">
        <w:t>.</w:t>
      </w:r>
    </w:p>
  </w:footnote>
  <w:footnote w:id="9">
    <w:p w:rsidR="004528D7">
      <w:pPr>
        <w:pStyle w:val="FootnoteText"/>
      </w:pPr>
      <w:r>
        <w:rPr>
          <w:rStyle w:val="FootnoteReference"/>
        </w:rPr>
        <w:footnoteRef/>
      </w:r>
      <w:r>
        <w:t xml:space="preserve"> </w:t>
      </w:r>
      <w:r w:rsidRPr="008854AC" w:rsidR="008854AC">
        <w:rPr>
          <w:i/>
          <w:iCs/>
        </w:rPr>
        <w:t>Declaration on Preserving Maritime Zones in the Face of Climate Change-related Sea-Level Rise</w:t>
      </w:r>
      <w:r w:rsidRPr="008854AC" w:rsidR="008854AC">
        <w:t xml:space="preserve">, signed 6 August 2021 &lt;https://www.forumsec.org/2021/08/11/declaration-on-preserving-maritime-zones-in-the-face-of-climate-change-related-sea-level-rise/&gt; </w:t>
      </w:r>
      <w:r w:rsidRPr="008854AC" w:rsidR="008854AC">
        <w:t>(‘PIF Declaration’).</w:t>
      </w:r>
    </w:p>
  </w:footnote>
  <w:footnote w:id="10">
    <w:p w:rsidR="004528D7">
      <w:pPr>
        <w:pStyle w:val="FootnoteText"/>
      </w:pPr>
      <w:r>
        <w:rPr>
          <w:rStyle w:val="FootnoteReference"/>
        </w:rPr>
        <w:footnoteRef/>
      </w:r>
      <w:r>
        <w:t xml:space="preserve"> </w:t>
      </w:r>
      <w:r w:rsidRPr="008854AC" w:rsidR="008854AC">
        <w:rPr>
          <w:i/>
          <w:iCs/>
        </w:rPr>
        <w:t>Alliance of Small Island States Leaders Declaration 2021</w:t>
      </w:r>
      <w:r w:rsidR="008854AC">
        <w:t xml:space="preserve">, signed 16 September 2021   </w:t>
      </w:r>
      <w:r>
        <w:fldChar w:fldCharType="begin"/>
      </w:r>
      <w:r>
        <w:instrText xml:space="preserve"> HYPERLINK "https://www.aosis.org/launch-of-the-alliance-of-small-island-states-leaders-declaration/" </w:instrText>
      </w:r>
      <w:r>
        <w:fldChar w:fldCharType="separate"/>
      </w:r>
      <w:r w:rsidRPr="00A10628" w:rsidR="008854AC">
        <w:rPr>
          <w:rStyle w:val="Hyperlink"/>
        </w:rPr>
        <w:t>https://www.aosis.org/launch-of-the-alliance-of-small-island-states-leaders-declaration/</w:t>
      </w:r>
      <w:r>
        <w:fldChar w:fldCharType="end"/>
      </w:r>
      <w:r w:rsidR="008854AC">
        <w:t>.</w:t>
      </w:r>
      <w:r w:rsidR="00A85993">
        <w:t xml:space="preserve">  Substantially similar wording on the preservation of maritime zones</w:t>
      </w:r>
      <w:r w:rsidR="008854AC">
        <w:t xml:space="preserve"> is also reflected in the </w:t>
      </w:r>
      <w:r w:rsidRPr="008854AC" w:rsidR="008854AC">
        <w:rPr>
          <w:i/>
          <w:iCs/>
        </w:rPr>
        <w:t>Agreement for the establishment of the Commission of Small Island States on Climate Change and International Law</w:t>
      </w:r>
      <w:r w:rsidR="00A85993">
        <w:t xml:space="preserve"> (31 October 2021), which presently has eight signatories (all AOSIS members).</w:t>
      </w:r>
    </w:p>
  </w:footnote>
  <w:footnote w:id="11">
    <w:p w:rsidR="009A3976">
      <w:pPr>
        <w:pStyle w:val="FootnoteText"/>
      </w:pPr>
      <w:r>
        <w:rPr>
          <w:rStyle w:val="FootnoteReference"/>
        </w:rPr>
        <w:footnoteRef/>
      </w:r>
      <w:r>
        <w:t xml:space="preserve"> </w:t>
      </w:r>
      <w:r w:rsidR="008854AC">
        <w:t>HL UNCLOS Inquiry Report</w:t>
      </w:r>
      <w:r>
        <w:t>,</w:t>
      </w:r>
      <w:r w:rsidR="008854AC">
        <w:t xml:space="preserve"> n 5</w:t>
      </w:r>
      <w:r>
        <w:t xml:space="preserve"> [126]</w:t>
      </w:r>
      <w:r w:rsidR="008854AC">
        <w:t>.</w:t>
      </w:r>
    </w:p>
  </w:footnote>
  <w:footnote w:id="12">
    <w:p w:rsidR="009A3976">
      <w:pPr>
        <w:pStyle w:val="FootnoteText"/>
      </w:pPr>
      <w:r>
        <w:rPr>
          <w:rStyle w:val="FootnoteReference"/>
        </w:rPr>
        <w:footnoteRef/>
      </w:r>
      <w:r>
        <w:t xml:space="preserve"> </w:t>
      </w:r>
      <w:r w:rsidRPr="009F7285" w:rsidR="009F7285">
        <w:t>United Kingdom of Great Britain and Northern Ireland, Government Response to the United Kingdom House of Lords International Relations and Defence Committee Inquiry on ‘UNCLOS: the Law of the Sea in the 21st Century’</w:t>
      </w:r>
      <w:r w:rsidR="009F7285">
        <w:t>, 19</w:t>
      </w:r>
      <w:r w:rsidRPr="009F7285" w:rsidR="009F7285">
        <w:t>.</w:t>
      </w:r>
    </w:p>
  </w:footnote>
  <w:footnote w:id="13">
    <w:p w:rsidR="009A3976">
      <w:pPr>
        <w:pStyle w:val="FootnoteText"/>
      </w:pPr>
      <w:r>
        <w:rPr>
          <w:rStyle w:val="FootnoteReference"/>
        </w:rPr>
        <w:footnoteRef/>
      </w:r>
      <w:r>
        <w:t xml:space="preserve"> </w:t>
      </w:r>
      <w:r w:rsidR="00FA0F66">
        <w:t xml:space="preserve">Statement of the </w:t>
      </w:r>
      <w:r w:rsidR="00A85993">
        <w:t>United Kingdom, 23rd meeting of the Sixth Committee, 23 October 2023, 78</w:t>
      </w:r>
      <w:r w:rsidRPr="00A85993" w:rsidR="00A85993">
        <w:rPr>
          <w:vertAlign w:val="superscript"/>
        </w:rPr>
        <w:t>th</w:t>
      </w:r>
      <w:r w:rsidR="00A85993">
        <w:t xml:space="preserve"> session of the United Nations General Assembly &lt;</w:t>
      </w:r>
      <w:r w:rsidRPr="00A85993" w:rsidR="00A85993">
        <w:t>https://www.un.org/en/ga/sixth/78/summaries.shtml</w:t>
      </w:r>
      <w:r w:rsidR="00A85993">
        <w:t xml:space="preserve">&gt;.    </w:t>
      </w:r>
    </w:p>
  </w:footnote>
  <w:footnote w:id="14">
    <w:p w:rsidR="005F6632" w:rsidRPr="004F1D1C">
      <w:pPr>
        <w:pStyle w:val="FootnoteText"/>
      </w:pPr>
      <w:r>
        <w:rPr>
          <w:rStyle w:val="FootnoteReference"/>
        </w:rPr>
        <w:footnoteRef/>
      </w:r>
      <w:r>
        <w:t xml:space="preserve"> </w:t>
      </w:r>
      <w:r w:rsidRPr="004F1D1C" w:rsidR="009F7285">
        <w:rPr>
          <w:i/>
          <w:iCs/>
        </w:rPr>
        <w:t>United Nations Convention on the Law of the Sea</w:t>
      </w:r>
      <w:r w:rsidRPr="004F1D1C" w:rsidR="009F7285">
        <w:t>, opened for signature 10 December 1982, 1833 UNTS 397 (entered into force 16 November 1994) ('</w:t>
      </w:r>
      <w:r w:rsidRPr="004F1D1C" w:rsidR="009F7285">
        <w:t>UNCLOS’).</w:t>
      </w:r>
    </w:p>
  </w:footnote>
  <w:footnote w:id="15">
    <w:p w:rsidR="00E43330">
      <w:pPr>
        <w:pStyle w:val="FootnoteText"/>
      </w:pPr>
      <w:r>
        <w:rPr>
          <w:rStyle w:val="FootnoteReference"/>
        </w:rPr>
        <w:footnoteRef/>
      </w:r>
      <w:r>
        <w:t xml:space="preserve"> </w:t>
      </w:r>
      <w:r w:rsidR="009F7285">
        <w:t xml:space="preserve">PIF Declaration, n </w:t>
      </w:r>
      <w:r w:rsidR="004F1D1C">
        <w:fldChar w:fldCharType="begin"/>
      </w:r>
      <w:r w:rsidR="004F1D1C">
        <w:instrText xml:space="preserve"> NOTEREF _Ref150247571 \h </w:instrText>
      </w:r>
      <w:r w:rsidR="004F1D1C">
        <w:fldChar w:fldCharType="separate"/>
      </w:r>
      <w:r w:rsidR="00566A03">
        <w:t>8</w:t>
      </w:r>
      <w:r w:rsidR="004F1D1C">
        <w:fldChar w:fldCharType="end"/>
      </w:r>
      <w:r w:rsidR="004F1D1C">
        <w:t>.</w:t>
      </w:r>
    </w:p>
  </w:footnote>
  <w:footnote w:id="16">
    <w:p w:rsidR="00FA0F66">
      <w:pPr>
        <w:pStyle w:val="FootnoteText"/>
      </w:pPr>
      <w:r>
        <w:rPr>
          <w:rStyle w:val="FootnoteReference"/>
        </w:rPr>
        <w:footnoteRef/>
      </w:r>
      <w:r>
        <w:t xml:space="preserve"> Submission of Germany to the 74</w:t>
      </w:r>
      <w:r w:rsidRPr="00FA0F66">
        <w:rPr>
          <w:vertAlign w:val="superscript"/>
        </w:rPr>
        <w:t>th</w:t>
      </w:r>
      <w:r>
        <w:t xml:space="preserve"> session of the International Law Commission (30 June 2022).</w:t>
      </w:r>
    </w:p>
  </w:footnote>
  <w:footnote w:id="17">
    <w:p w:rsidR="00FA0F66">
      <w:pPr>
        <w:pStyle w:val="FootnoteText"/>
      </w:pPr>
      <w:r>
        <w:rPr>
          <w:rStyle w:val="FootnoteReference"/>
        </w:rPr>
        <w:footnoteRef/>
      </w:r>
      <w:r>
        <w:t xml:space="preserve"> Submission of France to the 74</w:t>
      </w:r>
      <w:r w:rsidRPr="00FA0F66">
        <w:rPr>
          <w:vertAlign w:val="superscript"/>
        </w:rPr>
        <w:t>th</w:t>
      </w:r>
      <w:r>
        <w:t xml:space="preserve"> session of the International Law Commission (29 November 2022).</w:t>
      </w:r>
    </w:p>
  </w:footnote>
  <w:footnote w:id="18">
    <w:p w:rsidR="00FA0F66">
      <w:pPr>
        <w:pStyle w:val="FootnoteText"/>
      </w:pPr>
      <w:r>
        <w:rPr>
          <w:rStyle w:val="FootnoteReference"/>
        </w:rPr>
        <w:footnoteRef/>
      </w:r>
      <w:r>
        <w:t xml:space="preserve"> Statement of Japan, </w:t>
      </w:r>
      <w:r>
        <w:t>2</w:t>
      </w:r>
      <w:r>
        <w:t>8</w:t>
      </w:r>
      <w:r w:rsidRPr="00FA0F66">
        <w:rPr>
          <w:vertAlign w:val="superscript"/>
        </w:rPr>
        <w:t>th</w:t>
      </w:r>
      <w:r>
        <w:t xml:space="preserve"> </w:t>
      </w:r>
      <w:r>
        <w:t xml:space="preserve">meeting of the Sixth Committee, </w:t>
      </w:r>
      <w:r>
        <w:t>27</w:t>
      </w:r>
      <w:r>
        <w:t xml:space="preserve"> October 2023, 78</w:t>
      </w:r>
      <w:r w:rsidRPr="00A85993">
        <w:rPr>
          <w:vertAlign w:val="superscript"/>
        </w:rPr>
        <w:t>th</w:t>
      </w:r>
      <w:r>
        <w:t xml:space="preserve"> session of the United Nations General Assembly </w:t>
      </w:r>
      <w:r>
        <w:fldChar w:fldCharType="begin"/>
      </w:r>
      <w:r>
        <w:instrText xml:space="preserve"> HYPERLINK "https://www.un.org/en/ga/sixth/78/summaries.shtml" </w:instrText>
      </w:r>
      <w:r>
        <w:fldChar w:fldCharType="separate"/>
      </w:r>
      <w:r w:rsidRPr="00A10628" w:rsidR="001370AD">
        <w:rPr>
          <w:rStyle w:val="Hyperlink"/>
        </w:rPr>
        <w:t>https://www.un.org/en/ga/sixth/78/summaries.shtml</w:t>
      </w:r>
      <w:r>
        <w:fldChar w:fldCharType="end"/>
      </w:r>
      <w:r w:rsidR="001370AD">
        <w:t>.</w:t>
      </w:r>
    </w:p>
  </w:footnote>
  <w:footnote w:id="19">
    <w:p w:rsidR="00113906">
      <w:pPr>
        <w:pStyle w:val="FootnoteText"/>
      </w:pPr>
      <w:r>
        <w:rPr>
          <w:rStyle w:val="FootnoteReference"/>
        </w:rPr>
        <w:footnoteRef/>
      </w:r>
      <w:r>
        <w:t xml:space="preserve"> Greece, </w:t>
      </w:r>
      <w:r>
        <w:rPr>
          <w:i/>
          <w:iCs/>
        </w:rPr>
        <w:t>Summary Record of the 22</w:t>
      </w:r>
      <w:r w:rsidRPr="00113906">
        <w:rPr>
          <w:i/>
          <w:iCs/>
          <w:vertAlign w:val="superscript"/>
        </w:rPr>
        <w:t>nd</w:t>
      </w:r>
      <w:r>
        <w:rPr>
          <w:i/>
          <w:iCs/>
        </w:rPr>
        <w:t xml:space="preserve"> meeting</w:t>
      </w:r>
      <w:r>
        <w:t>, 76</w:t>
      </w:r>
      <w:r w:rsidRPr="00113906">
        <w:rPr>
          <w:vertAlign w:val="superscript"/>
        </w:rPr>
        <w:t>th</w:t>
      </w:r>
      <w:r>
        <w:t xml:space="preserve"> session of the UN General Assembly (1 November 202</w:t>
      </w:r>
      <w:r w:rsidR="001E4533">
        <w:t>1</w:t>
      </w:r>
      <w:r>
        <w:t xml:space="preserve">), UN Doc </w:t>
      </w:r>
      <w:r w:rsidRPr="00113906">
        <w:t>A/C.6/76/SR.22</w:t>
      </w:r>
      <w:r>
        <w:t>, [129]-[130].</w:t>
      </w:r>
    </w:p>
  </w:footnote>
  <w:footnote w:id="20">
    <w:p w:rsidR="001E4533">
      <w:pPr>
        <w:pStyle w:val="FootnoteText"/>
      </w:pPr>
      <w:r>
        <w:rPr>
          <w:rStyle w:val="FootnoteReference"/>
        </w:rPr>
        <w:footnoteRef/>
      </w:r>
      <w:r>
        <w:t xml:space="preserve"> Statement of Malaysia, 21</w:t>
      </w:r>
      <w:r w:rsidRPr="001E4533">
        <w:rPr>
          <w:vertAlign w:val="superscript"/>
        </w:rPr>
        <w:t>st</w:t>
      </w:r>
      <w:r>
        <w:t xml:space="preserve"> plenary meeting of the Sixth Committee, </w:t>
      </w:r>
      <w:r>
        <w:t>29 October 2021</w:t>
      </w:r>
      <w:r>
        <w:t>, 76</w:t>
      </w:r>
      <w:r w:rsidRPr="001E4533">
        <w:rPr>
          <w:vertAlign w:val="superscript"/>
        </w:rPr>
        <w:t>th</w:t>
      </w:r>
      <w:r>
        <w:t xml:space="preserve"> session of the UN General Assembly </w:t>
      </w:r>
      <w:r>
        <w:fldChar w:fldCharType="begin"/>
      </w:r>
      <w:r>
        <w:instrText xml:space="preserve"> HYPERLINK "https://www.un.org/en/ga/sixth/76/summaries.shtml" </w:instrText>
      </w:r>
      <w:r>
        <w:fldChar w:fldCharType="separate"/>
      </w:r>
      <w:r w:rsidRPr="00A10628">
        <w:rPr>
          <w:rStyle w:val="Hyperlink"/>
        </w:rPr>
        <w:t>https://www.un.org/en/ga/sixth/76/summaries.shtml</w:t>
      </w:r>
      <w:r>
        <w:fldChar w:fldCharType="end"/>
      </w:r>
      <w:r>
        <w:t xml:space="preserve">. </w:t>
      </w:r>
    </w:p>
  </w:footnote>
  <w:footnote w:id="21">
    <w:p w:rsidR="001370AD">
      <w:pPr>
        <w:pStyle w:val="FootnoteText"/>
      </w:pPr>
      <w:r>
        <w:rPr>
          <w:rStyle w:val="FootnoteReference"/>
        </w:rPr>
        <w:footnoteRef/>
      </w:r>
      <w:r>
        <w:t xml:space="preserve"> </w:t>
      </w:r>
      <w:r>
        <w:t xml:space="preserve">Statement of </w:t>
      </w:r>
      <w:r>
        <w:t>Indonesia</w:t>
      </w:r>
      <w:r>
        <w:t>, 2</w:t>
      </w:r>
      <w:r>
        <w:t>7</w:t>
      </w:r>
      <w:r w:rsidRPr="00FA0F66">
        <w:rPr>
          <w:vertAlign w:val="superscript"/>
        </w:rPr>
        <w:t>th</w:t>
      </w:r>
      <w:r>
        <w:t xml:space="preserve"> meeting of the Sixth Committee, 27 October 2023, 78</w:t>
      </w:r>
      <w:r w:rsidRPr="00A85993">
        <w:rPr>
          <w:vertAlign w:val="superscript"/>
        </w:rPr>
        <w:t>th</w:t>
      </w:r>
      <w:r>
        <w:t xml:space="preserve"> session of the United Nations General Assembly </w:t>
      </w:r>
      <w:r>
        <w:fldChar w:fldCharType="begin"/>
      </w:r>
      <w:r>
        <w:instrText xml:space="preserve"> HYPERLINK "https://www.un.org/en/ga/sixth/78/summaries.shtml" </w:instrText>
      </w:r>
      <w:r>
        <w:fldChar w:fldCharType="separate"/>
      </w:r>
      <w:r w:rsidRPr="00A10628">
        <w:rPr>
          <w:rStyle w:val="Hyperlink"/>
        </w:rPr>
        <w:t>https://www.un.org/en/ga/sixth/78/summaries.shtml</w:t>
      </w:r>
      <w:r>
        <w:fldChar w:fldCharType="end"/>
      </w:r>
      <w:r>
        <w:t>.</w:t>
      </w:r>
    </w:p>
  </w:footnote>
  <w:footnote w:id="22">
    <w:p w:rsidR="001370AD">
      <w:pPr>
        <w:pStyle w:val="FootnoteText"/>
      </w:pPr>
      <w:r>
        <w:rPr>
          <w:rStyle w:val="FootnoteReference"/>
        </w:rPr>
        <w:footnoteRef/>
      </w:r>
      <w:r>
        <w:t xml:space="preserve"> </w:t>
      </w:r>
      <w:r>
        <w:t xml:space="preserve">Statement of </w:t>
      </w:r>
      <w:r>
        <w:t>Republic of Korea</w:t>
      </w:r>
      <w:r>
        <w:t>, 28</w:t>
      </w:r>
      <w:r w:rsidRPr="00FA0F66">
        <w:rPr>
          <w:vertAlign w:val="superscript"/>
        </w:rPr>
        <w:t>th</w:t>
      </w:r>
      <w:r>
        <w:t xml:space="preserve"> meeting of the Sixth Committee, 27 October 2023, 78</w:t>
      </w:r>
      <w:r w:rsidRPr="00A85993">
        <w:rPr>
          <w:vertAlign w:val="superscript"/>
        </w:rPr>
        <w:t>th</w:t>
      </w:r>
      <w:r>
        <w:t xml:space="preserve"> session of the United Nations General Assembly </w:t>
      </w:r>
      <w:r>
        <w:fldChar w:fldCharType="begin"/>
      </w:r>
      <w:r>
        <w:instrText xml:space="preserve"> HYPERLINK "https://www.un.org/en/ga/sixth/78/summaries.shtml" </w:instrText>
      </w:r>
      <w:r>
        <w:fldChar w:fldCharType="separate"/>
      </w:r>
      <w:r w:rsidRPr="00A10628">
        <w:rPr>
          <w:rStyle w:val="Hyperlink"/>
        </w:rPr>
        <w:t>https://www.un.org/en/ga/sixth/78/summaries.shtml</w:t>
      </w:r>
      <w:r>
        <w:fldChar w:fldCharType="end"/>
      </w:r>
      <w:r>
        <w:t>.</w:t>
      </w:r>
    </w:p>
  </w:footnote>
  <w:footnote w:id="23">
    <w:p w:rsidR="001370AD">
      <w:pPr>
        <w:pStyle w:val="FootnoteText"/>
      </w:pPr>
      <w:r>
        <w:rPr>
          <w:rStyle w:val="FootnoteReference"/>
        </w:rPr>
        <w:footnoteRef/>
      </w:r>
      <w:r>
        <w:t xml:space="preserve"> Statement of United States, 24</w:t>
      </w:r>
      <w:r w:rsidRPr="001370AD">
        <w:rPr>
          <w:vertAlign w:val="superscript"/>
        </w:rPr>
        <w:t>th</w:t>
      </w:r>
      <w:r>
        <w:t xml:space="preserve"> </w:t>
      </w:r>
      <w:r>
        <w:t xml:space="preserve">meeting of the Sixth Committee, </w:t>
      </w:r>
      <w:r>
        <w:t>24</w:t>
      </w:r>
      <w:r>
        <w:t xml:space="preserve"> October 2023, 78</w:t>
      </w:r>
      <w:r w:rsidRPr="00A85993">
        <w:rPr>
          <w:vertAlign w:val="superscript"/>
        </w:rPr>
        <w:t>th</w:t>
      </w:r>
      <w:r>
        <w:t xml:space="preserve"> session of the United Nations General Assembly </w:t>
      </w:r>
      <w:r>
        <w:fldChar w:fldCharType="begin"/>
      </w:r>
      <w:r>
        <w:instrText xml:space="preserve"> HYPERLINK "https://www.un.org/en/ga/sixth/78/summaries.shtml" </w:instrText>
      </w:r>
      <w:r>
        <w:fldChar w:fldCharType="separate"/>
      </w:r>
      <w:r w:rsidRPr="00A10628">
        <w:rPr>
          <w:rStyle w:val="Hyperlink"/>
        </w:rPr>
        <w:t>https://www.un.org/en/ga/sixth/78/summaries.shtml</w:t>
      </w:r>
      <w:r>
        <w:fldChar w:fldCharType="end"/>
      </w:r>
      <w:r>
        <w:t>.</w:t>
      </w:r>
    </w:p>
  </w:footnote>
  <w:footnote w:id="24">
    <w:p w:rsidR="001370AD">
      <w:pPr>
        <w:pStyle w:val="FootnoteText"/>
      </w:pPr>
      <w:r>
        <w:rPr>
          <w:rStyle w:val="FootnoteReference"/>
        </w:rPr>
        <w:footnoteRef/>
      </w:r>
      <w:r>
        <w:t xml:space="preserve"> </w:t>
      </w:r>
      <w:r>
        <w:t xml:space="preserve">Statement of </w:t>
      </w:r>
      <w:r>
        <w:t>Liechtenstein</w:t>
      </w:r>
      <w:r>
        <w:t>, 2</w:t>
      </w:r>
      <w:r>
        <w:t>3</w:t>
      </w:r>
      <w:r w:rsidRPr="001370AD">
        <w:rPr>
          <w:vertAlign w:val="superscript"/>
        </w:rPr>
        <w:t>rd</w:t>
      </w:r>
      <w:r>
        <w:t xml:space="preserve"> </w:t>
      </w:r>
      <w:r>
        <w:t>meeting of the Sixth Committee, 2</w:t>
      </w:r>
      <w:r>
        <w:t>3</w:t>
      </w:r>
      <w:r>
        <w:t xml:space="preserve"> October 2023, 78</w:t>
      </w:r>
      <w:r w:rsidRPr="00A85993">
        <w:rPr>
          <w:vertAlign w:val="superscript"/>
        </w:rPr>
        <w:t>th</w:t>
      </w:r>
      <w:r>
        <w:t xml:space="preserve"> session of the United Nations General Assembly </w:t>
      </w:r>
      <w:r>
        <w:fldChar w:fldCharType="begin"/>
      </w:r>
      <w:r>
        <w:instrText xml:space="preserve"> HYPERLINK "https://www.un.org/en/ga/sixth/78/summaries.shtml" </w:instrText>
      </w:r>
      <w:r>
        <w:fldChar w:fldCharType="separate"/>
      </w:r>
      <w:r w:rsidRPr="00A10628">
        <w:rPr>
          <w:rStyle w:val="Hyperlink"/>
        </w:rPr>
        <w:t>https://www.un.org/en/ga/sixth/78/summaries.shtml</w:t>
      </w:r>
      <w:r>
        <w:fldChar w:fldCharType="end"/>
      </w:r>
      <w:r>
        <w:t>.</w:t>
      </w:r>
    </w:p>
  </w:footnote>
  <w:footnote w:id="25">
    <w:p w:rsidR="002F0345">
      <w:pPr>
        <w:pStyle w:val="FootnoteText"/>
      </w:pPr>
      <w:r>
        <w:rPr>
          <w:rStyle w:val="FootnoteReference"/>
        </w:rPr>
        <w:footnoteRef/>
      </w:r>
      <w:r>
        <w:t xml:space="preserve"> </w:t>
      </w:r>
      <w:r w:rsidR="004F1D1C">
        <w:t xml:space="preserve">United Kingdom, n </w:t>
      </w:r>
      <w:r w:rsidR="004F1D1C">
        <w:fldChar w:fldCharType="begin"/>
      </w:r>
      <w:r w:rsidR="004F1D1C">
        <w:instrText xml:space="preserve"> NOTEREF _Ref150247610 \h </w:instrText>
      </w:r>
      <w:r w:rsidR="004F1D1C">
        <w:fldChar w:fldCharType="separate"/>
      </w:r>
      <w:r w:rsidR="00566A03">
        <w:t>12</w:t>
      </w:r>
      <w:r w:rsidR="004F1D1C">
        <w:fldChar w:fldCharType="end"/>
      </w:r>
      <w:r w:rsidR="004F1D1C">
        <w:t>.</w:t>
      </w:r>
    </w:p>
  </w:footnote>
  <w:footnote w:id="26">
    <w:p w:rsidR="00804F82">
      <w:pPr>
        <w:pStyle w:val="FootnoteText"/>
      </w:pPr>
      <w:r>
        <w:rPr>
          <w:rStyle w:val="FootnoteReference"/>
        </w:rPr>
        <w:footnoteRef/>
      </w:r>
      <w:r>
        <w:t xml:space="preserve"> For a fuller exposition of this argument, see </w:t>
      </w:r>
      <w:r>
        <w:fldChar w:fldCharType="begin"/>
      </w:r>
      <w:r>
        <w:instrText xml:space="preserve"> ADDIN EN.CITE &lt;EndNote&gt;&lt;Cite&gt;&lt;Author&gt;Anggadi&lt;/Author&gt;&lt;Year&gt;2022&lt;/Year&gt;&lt;RecNum&gt;307&lt;/RecNum&gt;&lt;DisplayText&gt;Frances Anggadi, &amp;apos;Establishment, Notification, and Maintenance: The Package of State Practice at the Heart of the Pacific Islands Forum Declaration on Preserving Maritime Zones&amp;apos; (2022) 53(1) &lt;style face="italic"&gt;Ocean Development &amp;amp; International Law&lt;/style&gt; 19&lt;/DisplayText&gt;&lt;record&gt;&lt;rec-number&gt;307&lt;/rec-number&gt;&lt;foreign-keys&gt;&lt;key app="EN" db-id="9vvswerpwzztsjepa2fvwwvmtaxzrsdva5r2" timestamp="1645395698"&gt;307&lt;/key&gt;&lt;/foreign-keys&gt;&lt;ref-type name="Journal Article"&gt;17&lt;/ref-type&gt;&lt;contributors&gt;&lt;authors&gt;&lt;author&gt;Anggadi, Frances&lt;/author&gt;&lt;/authors&gt;&lt;/contributors&gt;&lt;titles&gt;&lt;title&gt;Establishment, Notification, and Maintenance: The Package of State Practice at the Heart of the Pacific Islands Forum Declaration on Preserving Maritime Zones&lt;/title&gt;&lt;secondary-title&gt;Ocean Development &amp;amp; International Law&lt;/secondary-title&gt;&lt;/titles&gt;&lt;periodical&gt;&lt;full-title&gt;Ocean Development &amp;amp; International Law&lt;/full-title&gt;&lt;/periodical&gt;&lt;pages&gt;19&lt;/pages&gt;&lt;volume&gt;53&lt;/volume&gt;&lt;number&gt;1&lt;/number&gt;&lt;dates&gt;&lt;year&gt;2022&lt;/year&gt;&lt;/dates&gt;&lt;pub-location&gt;2022&lt;/pub-location&gt;&lt;urls&gt;&lt;/urls&gt;&lt;/record&gt;&lt;/Cite&gt;&lt;/EndNote&gt;</w:instrText>
      </w:r>
      <w:r>
        <w:fldChar w:fldCharType="separate"/>
      </w:r>
      <w:r>
        <w:rPr>
          <w:noProof/>
        </w:rPr>
        <w:t xml:space="preserve">Frances Anggadi, 'Establishment, Notification, and Maintenance: The Package of State Practice at the Heart of the Pacific Islands Forum Declaration on Preserving Maritime Zones' (2022) 53(1) </w:t>
      </w:r>
      <w:r w:rsidRPr="00804F82">
        <w:rPr>
          <w:i/>
          <w:noProof/>
        </w:rPr>
        <w:t>Ocean Development &amp; International Law</w:t>
      </w:r>
      <w:r>
        <w:rPr>
          <w:noProof/>
        </w:rPr>
        <w:t xml:space="preserve"> 19</w:t>
      </w:r>
      <w:r>
        <w:fldChar w:fldCharType="end"/>
      </w:r>
      <w:r>
        <w:t xml:space="preserve"> and </w:t>
      </w:r>
      <w:r>
        <w:fldChar w:fldCharType="begin"/>
      </w:r>
      <w:r>
        <w:instrText xml:space="preserve"> ADDIN EN.CITE &lt;EndNote&gt;&lt;Cite&gt;&lt;Author&gt;Anggadi&lt;/Author&gt;&lt;Year&gt;2022&lt;/Year&gt;&lt;RecNum&gt;376&lt;/RecNum&gt;&lt;DisplayText&gt;Frances Anggadi, &amp;apos;What States say and do about legal stability and maritime zones, and why it matters&amp;apos; (2022) 71(4) &lt;style face="italic"&gt;International &amp;amp; Comparative Law Quarterly&lt;/style&gt; 767&lt;/DisplayText&gt;&lt;record&gt;&lt;rec-number&gt;376&lt;/rec-number&gt;&lt;foreign-keys&gt;&lt;key app="EN" db-id="9vvswerpwzztsjepa2fvwwvmtaxzrsdva5r2" timestamp="1663893198"&gt;376&lt;/key&gt;&lt;/foreign-keys&gt;&lt;ref-type name="Journal Article"&gt;17&lt;/ref-type&gt;&lt;contributors&gt;&lt;authors&gt;&lt;author&gt;Anggadi, Frances&lt;/author&gt;&lt;/authors&gt;&lt;/contributors&gt;&lt;titles&gt;&lt;title&gt;What States say and do about legal stability and maritime zones, and why it matters&lt;/title&gt;&lt;secondary-title&gt;International &amp;amp; Comparative Law Quarterly&lt;/secondary-title&gt;&lt;/titles&gt;&lt;periodical&gt;&lt;full-title&gt;International &amp;amp; Comparative Law Quarterly&lt;/full-title&gt;&lt;/periodical&gt;&lt;pages&gt;767&lt;/pages&gt;&lt;volume&gt;71&lt;/volume&gt;&lt;number&gt;4&lt;/number&gt;&lt;dates&gt;&lt;year&gt;2022&lt;/year&gt;&lt;/dates&gt;&lt;isbn&gt;0020-5893&lt;/isbn&gt;&lt;urls&gt;&lt;/urls&gt;&lt;/record&gt;&lt;/Cite&gt;&lt;/EndNote&gt;</w:instrText>
      </w:r>
      <w:r>
        <w:fldChar w:fldCharType="separate"/>
      </w:r>
      <w:r>
        <w:rPr>
          <w:noProof/>
        </w:rPr>
        <w:t xml:space="preserve">Frances Anggadi, 'What States say and do about legal stability and maritime zones, and why it matters' (2022) 71(4) </w:t>
      </w:r>
      <w:r w:rsidRPr="00804F82">
        <w:rPr>
          <w:i/>
          <w:noProof/>
        </w:rPr>
        <w:t>International &amp; Comparative Law Quarterly</w:t>
      </w:r>
      <w:r>
        <w:rPr>
          <w:noProof/>
        </w:rPr>
        <w:t xml:space="preserve"> 767</w:t>
      </w:r>
      <w:r>
        <w:fldChar w:fldCharType="end"/>
      </w:r>
      <w:r>
        <w:t xml:space="preserve">.  </w:t>
      </w:r>
    </w:p>
  </w:footnote>
  <w:footnote w:id="27">
    <w:p w:rsidR="00E43330">
      <w:pPr>
        <w:pStyle w:val="FootnoteText"/>
      </w:pPr>
      <w:r>
        <w:rPr>
          <w:rStyle w:val="FootnoteReference"/>
        </w:rPr>
        <w:footnoteRef/>
      </w:r>
      <w:r>
        <w:t xml:space="preserve"> </w:t>
      </w:r>
      <w:r w:rsidR="004F1D1C">
        <w:t xml:space="preserve">For examples of different evidence of State practice, including the diversity of ways in which coastal States implement a more or less stable baseline, see </w:t>
      </w:r>
      <w:r w:rsidR="004F1D1C">
        <w:fldChar w:fldCharType="begin"/>
      </w:r>
      <w:r w:rsidR="004F1D1C">
        <w:instrText xml:space="preserve"> ADDIN EN.CITE &lt;EndNote&gt;&lt;Cite&gt;&lt;Author&gt;Anggadi&lt;/Author&gt;&lt;Year&gt;2022&lt;/Year&gt;&lt;RecNum&gt;376&lt;/RecNum&gt;&lt;DisplayText&gt;Anggadi, &amp;apos;What States say and do about legal stability and maritime zones, and why it matters&amp;apos; (n &lt;/DisplayText&gt;&lt;record&gt;&lt;rec-number&gt;376&lt;/rec-number&gt;&lt;foreign-keys&gt;&lt;key app="EN" db-id="9vvswerpwzztsjepa2fvwwvmtaxzrsdva5r2" timestamp="1663893198"&gt;376&lt;/key&gt;&lt;/foreign-keys&gt;&lt;ref-type name="Journal Article"&gt;17&lt;/ref-type&gt;&lt;contributors&gt;&lt;authors&gt;&lt;author&gt;Anggadi, Frances&lt;/author&gt;&lt;/authors&gt;&lt;/contributors&gt;&lt;titles&gt;&lt;title&gt;What States say and do about legal stability and maritime zones, and why it matters&lt;/title&gt;&lt;secondary-title&gt;International &amp;amp; Comparative Law Quarterly&lt;/secondary-title&gt;&lt;/titles&gt;&lt;periodical&gt;&lt;full-title&gt;International &amp;amp; Comparative Law Quarterly&lt;/full-title&gt;&lt;/periodical&gt;&lt;pages&gt;767&lt;/pages&gt;&lt;volume&gt;71&lt;/volume&gt;&lt;number&gt;4&lt;/number&gt;&lt;dates&gt;&lt;year&gt;2022&lt;/year&gt;&lt;/dates&gt;&lt;isbn&gt;0020-5893&lt;/isbn&gt;&lt;urls&gt;&lt;/urls&gt;&lt;/record&gt;&lt;/Cite&gt;&lt;/EndNote&gt;</w:instrText>
      </w:r>
      <w:r w:rsidR="004F1D1C">
        <w:fldChar w:fldCharType="separate"/>
      </w:r>
      <w:r w:rsidR="004F1D1C">
        <w:rPr>
          <w:noProof/>
        </w:rPr>
        <w:t xml:space="preserve">Anggadi, 'What States say and do about legal stability and maritime zones, and why it matters' (n </w:t>
      </w:r>
      <w:r w:rsidR="004F1D1C">
        <w:fldChar w:fldCharType="end"/>
      </w:r>
      <w:r w:rsidR="004F1D1C">
        <w:fldChar w:fldCharType="begin"/>
      </w:r>
      <w:r w:rsidR="004F1D1C">
        <w:instrText xml:space="preserve"> NOTEREF _Ref150175534 \h </w:instrText>
      </w:r>
      <w:r w:rsidR="004F1D1C">
        <w:fldChar w:fldCharType="separate"/>
      </w:r>
      <w:r w:rsidR="00566A03">
        <w:t>25</w:t>
      </w:r>
      <w:r w:rsidR="004F1D1C">
        <w:fldChar w:fldCharType="end"/>
      </w:r>
      <w:r w:rsidR="004F1D1C">
        <w:t>).</w:t>
      </w:r>
    </w:p>
  </w:footnote>
  <w:footnote w:id="28">
    <w:p w:rsidR="00BB3DB5">
      <w:pPr>
        <w:pStyle w:val="FootnoteText"/>
      </w:pPr>
      <w:r>
        <w:rPr>
          <w:rStyle w:val="FootnoteReference"/>
        </w:rPr>
        <w:footnoteRef/>
      </w:r>
      <w:r>
        <w:t xml:space="preserve"> </w:t>
      </w:r>
      <w:r w:rsidR="004F1D1C">
        <w:t>The Commonwealth, ‘</w:t>
      </w:r>
      <w:r w:rsidRPr="004F1D1C" w:rsidR="004F1D1C">
        <w:t>Samoa announces theme for the 2024 Commonwealth Heads of Government Meeting</w:t>
      </w:r>
      <w:r w:rsidR="004F1D1C">
        <w:t>’ (21 September 2023) &lt;</w:t>
      </w:r>
      <w:r w:rsidRPr="004F1D1C" w:rsidR="004F1D1C">
        <w:t>https://thecommonwealth.org/news/samoa-announces-theme-2024-commonwealth-heads-government-meeting</w:t>
      </w:r>
      <w:r w:rsidR="004F1D1C">
        <w:t>&gt;.</w:t>
      </w:r>
    </w:p>
  </w:footnote>
  <w:footnote w:id="29">
    <w:p w:rsidR="0035063A">
      <w:pPr>
        <w:pStyle w:val="FootnoteText"/>
      </w:pPr>
      <w:r>
        <w:rPr>
          <w:rStyle w:val="FootnoteReference"/>
        </w:rPr>
        <w:footnoteRef/>
      </w:r>
      <w:r>
        <w:t xml:space="preserve"> </w:t>
      </w:r>
      <w:r w:rsidRPr="004F1D1C" w:rsidR="004F1D1C">
        <w:t>Samoa, 28th meeting of the Sixth Committee, 1 November 2022,</w:t>
      </w:r>
      <w:r w:rsidR="004F1D1C">
        <w:t xml:space="preserve"> </w:t>
      </w:r>
      <w:r w:rsidRPr="004F1D1C" w:rsidR="004F1D1C">
        <w:t xml:space="preserve">77th </w:t>
      </w:r>
      <w:r w:rsidR="004F1D1C">
        <w:t>s</w:t>
      </w:r>
      <w:r w:rsidRPr="004F1D1C" w:rsidR="004F1D1C">
        <w:t>ession of the United Nations General Assembly</w:t>
      </w:r>
      <w:r w:rsidR="004F1D1C">
        <w:t xml:space="preserve">, </w:t>
      </w:r>
      <w:r w:rsidRPr="004F1D1C" w:rsidR="004F1D1C">
        <w:t>&lt;https://www.un.org/en/ga/sixth/77/ilc.shtml&gt;.</w:t>
      </w:r>
    </w:p>
  </w:footnote>
  <w:footnote w:id="30">
    <w:p w:rsidR="00C13C85">
      <w:pPr>
        <w:pStyle w:val="FootnoteText"/>
      </w:pPr>
      <w:r>
        <w:rPr>
          <w:rStyle w:val="FootnoteReference"/>
        </w:rPr>
        <w:footnoteRef/>
      </w:r>
      <w:r>
        <w:t xml:space="preserve"> </w:t>
      </w:r>
      <w:r w:rsidR="00FE507B">
        <w:t>Submission of the US to the 75</w:t>
      </w:r>
      <w:r w:rsidRPr="00FE507B" w:rsidR="00FE507B">
        <w:rPr>
          <w:vertAlign w:val="superscript"/>
        </w:rPr>
        <w:t>th</w:t>
      </w:r>
      <w:r w:rsidR="00FE507B">
        <w:t xml:space="preserve"> session of the International Law Commission (20 July 2023).</w:t>
      </w:r>
    </w:p>
  </w:footnote>
  <w:footnote w:id="31">
    <w:p w:rsidR="00E26E9C">
      <w:pPr>
        <w:pStyle w:val="FootnoteText"/>
      </w:pPr>
      <w:r>
        <w:rPr>
          <w:rStyle w:val="FootnoteReference"/>
        </w:rPr>
        <w:footnoteRef/>
      </w:r>
      <w:r>
        <w:t xml:space="preserve"> It would also be consistent with the generally accepted diversity of practice on the implementation of normal baselines: see </w:t>
      </w:r>
      <w:r>
        <w:fldChar w:fldCharType="begin"/>
      </w:r>
      <w:r>
        <w:instrText xml:space="preserve"> ADDIN EN.CITE &lt;EndNote&gt;&lt;Cite&gt;&lt;Author&gt;Anggadi&lt;/Author&gt;&lt;Year&gt;2022&lt;/Year&gt;&lt;RecNum&gt;376&lt;/RecNum&gt;&lt;DisplayText&gt;Anggadi, &amp;apos;What States say and do about legal stability and maritime zones, and why it matters&amp;apos; (n &lt;/DisplayText&gt;&lt;record&gt;&lt;rec-number&gt;376&lt;/rec-number&gt;&lt;foreign-keys&gt;&lt;key app="EN" db-id="9vvswerpwzztsjepa2fvwwvmtaxzrsdva5r2" timestamp="1663893198"&gt;376&lt;/key&gt;&lt;/foreign-keys&gt;&lt;ref-type name="Journal Article"&gt;17&lt;/ref-type&gt;&lt;contributors&gt;&lt;authors&gt;&lt;author&gt;Anggadi, Frances&lt;/author&gt;&lt;/authors&gt;&lt;/contributors&gt;&lt;titles&gt;&lt;title&gt;What States say and do about legal stability and maritime zones, and why it matters&lt;/title&gt;&lt;secondary-title&gt;International &amp;amp; Comparative Law Quarterly&lt;/secondary-title&gt;&lt;/titles&gt;&lt;periodical&gt;&lt;full-title&gt;International &amp;amp; Comparative Law Quarterly&lt;/full-title&gt;&lt;/periodical&gt;&lt;pages&gt;767&lt;/pages&gt;&lt;volume&gt;71&lt;/volume&gt;&lt;number&gt;4&lt;/number&gt;&lt;dates&gt;&lt;year&gt;2022&lt;/year&gt;&lt;/dates&gt;&lt;isbn&gt;0020-5893&lt;/isbn&gt;&lt;urls&gt;&lt;/urls&gt;&lt;/record&gt;&lt;/Cite&gt;&lt;/EndNote&gt;</w:instrText>
      </w:r>
      <w:r>
        <w:fldChar w:fldCharType="separate"/>
      </w:r>
      <w:r>
        <w:rPr>
          <w:noProof/>
        </w:rPr>
        <w:t xml:space="preserve">Anggadi, 'What States say and do about legal stability and maritime zones, and why it matters' (n </w:t>
      </w:r>
      <w:r>
        <w:fldChar w:fldCharType="end"/>
      </w:r>
      <w:r w:rsidR="000754F0">
        <w:fldChar w:fldCharType="begin"/>
      </w:r>
      <w:r w:rsidR="000754F0">
        <w:instrText xml:space="preserve"> NOTEREF _Ref150175534 \h </w:instrText>
      </w:r>
      <w:r w:rsidR="000754F0">
        <w:fldChar w:fldCharType="separate"/>
      </w:r>
      <w:r w:rsidR="00566A03">
        <w:t>25</w:t>
      </w:r>
      <w:r w:rsidR="000754F0">
        <w:fldChar w:fldCharType="end"/>
      </w:r>
      <w:r>
        <w:t>).</w:t>
      </w:r>
    </w:p>
  </w:footnote>
  <w:footnote w:id="32">
    <w:p w:rsidR="00E26E9C">
      <w:pPr>
        <w:pStyle w:val="FootnoteText"/>
      </w:pPr>
      <w:r>
        <w:rPr>
          <w:rStyle w:val="FootnoteReference"/>
        </w:rPr>
        <w:footnoteRef/>
      </w:r>
      <w:r>
        <w:t xml:space="preserve"> </w:t>
      </w:r>
      <w:r w:rsidR="000754F0">
        <w:t xml:space="preserve">See submission of Dr Alex Green, n </w:t>
      </w:r>
      <w:r w:rsidR="000754F0">
        <w:fldChar w:fldCharType="begin"/>
      </w:r>
      <w:r w:rsidR="000754F0">
        <w:instrText xml:space="preserve"> NOTEREF _Ref150248100 \h </w:instrText>
      </w:r>
      <w:r w:rsidR="000754F0">
        <w:fldChar w:fldCharType="separate"/>
      </w:r>
      <w:r w:rsidR="00566A03">
        <w:t>6</w:t>
      </w:r>
      <w:r w:rsidR="000754F0">
        <w:fldChar w:fldCharType="end"/>
      </w:r>
      <w:r w:rsidR="000754F0">
        <w:t>,</w:t>
      </w:r>
      <w:r>
        <w:t xml:space="preserve"> [17].</w:t>
      </w:r>
    </w:p>
  </w:footnote>
  <w:footnote w:id="33">
    <w:p w:rsidR="00E26E9C">
      <w:pPr>
        <w:pStyle w:val="FootnoteText"/>
      </w:pPr>
      <w:r>
        <w:rPr>
          <w:rStyle w:val="FootnoteReference"/>
        </w:rPr>
        <w:footnoteRef/>
      </w:r>
      <w:r>
        <w:t xml:space="preserve"> </w:t>
      </w:r>
      <w:r w:rsidR="000754F0">
        <w:t xml:space="preserve">For example, UN General Assembly, </w:t>
      </w:r>
      <w:r w:rsidRPr="000754F0" w:rsidR="000754F0">
        <w:rPr>
          <w:i/>
          <w:iCs/>
        </w:rPr>
        <w:t>Oceans and the law of the sea</w:t>
      </w:r>
      <w:r w:rsidR="00B021B8">
        <w:rPr>
          <w:i/>
          <w:iCs/>
        </w:rPr>
        <w:t xml:space="preserve"> </w:t>
      </w:r>
      <w:r w:rsidRPr="00B021B8" w:rsidR="00B021B8">
        <w:t xml:space="preserve">(adopted 30 December 2022), </w:t>
      </w:r>
      <w:r w:rsidR="00B021B8">
        <w:t>U</w:t>
      </w:r>
      <w:r w:rsidR="000754F0">
        <w:t xml:space="preserve">N DOC </w:t>
      </w:r>
      <w:r w:rsidRPr="000754F0" w:rsidR="000754F0">
        <w:t>A/RES/77/248</w:t>
      </w:r>
      <w:r w:rsidR="00B021B8">
        <w:t>.</w:t>
      </w:r>
    </w:p>
  </w:footnote>
  <w:footnote w:id="34">
    <w:p w:rsidR="00F404AA">
      <w:pPr>
        <w:pStyle w:val="FootnoteText"/>
      </w:pPr>
      <w:r>
        <w:rPr>
          <w:rStyle w:val="FootnoteReference"/>
        </w:rPr>
        <w:footnoteRef/>
      </w:r>
      <w:r>
        <w:t xml:space="preserve"> Shading indicates Commonwealth members which are also SIDS</w:t>
      </w:r>
      <w:r w:rsidR="009F7285">
        <w:t>.</w:t>
      </w:r>
    </w:p>
  </w:footnote>
  <w:footnote w:id="35">
    <w:p w:rsidR="009F7285">
      <w:pPr>
        <w:pStyle w:val="FootnoteText"/>
      </w:pPr>
      <w:r>
        <w:rPr>
          <w:rStyle w:val="FootnoteReference"/>
        </w:rPr>
        <w:footnoteRef/>
      </w:r>
      <w:r>
        <w:t xml:space="preserve"> The Commonwealth, ‘Member countries’  </w:t>
      </w:r>
      <w:r>
        <w:fldChar w:fldCharType="begin"/>
      </w:r>
      <w:r>
        <w:instrText xml:space="preserve"> HYPERLINK "https://thecommonwealth.org/our-member-countries" </w:instrText>
      </w:r>
      <w:r>
        <w:fldChar w:fldCharType="separate"/>
      </w:r>
      <w:r w:rsidRPr="00A10628">
        <w:rPr>
          <w:rStyle w:val="Hyperlink"/>
        </w:rPr>
        <w:t>https://thecommonwealth.org/our-member-countries</w:t>
      </w:r>
      <w:r>
        <w:fldChar w:fldCharType="end"/>
      </w:r>
      <w:r>
        <w:t>.</w:t>
      </w:r>
    </w:p>
  </w:footnote>
  <w:footnote w:id="36">
    <w:p w:rsidR="009F7285" w:rsidP="009F7285">
      <w:pPr>
        <w:pStyle w:val="FootnoteText"/>
      </w:pPr>
      <w:r>
        <w:rPr>
          <w:rStyle w:val="FootnoteReference"/>
        </w:rPr>
        <w:footnoteRef/>
      </w:r>
      <w:r>
        <w:t xml:space="preserve"> United Nations </w:t>
      </w:r>
      <w:r>
        <w:t>Office of the High Representative for the Least Developed Countries, Landlocked Developing Countries and Small Island Developing States</w:t>
      </w:r>
      <w:r>
        <w:t xml:space="preserve">, ‘List of SIDS’ </w:t>
      </w:r>
      <w:r>
        <w:fldChar w:fldCharType="begin"/>
      </w:r>
      <w:r>
        <w:instrText xml:space="preserve"> HYPERLINK "https://www.un.org/ohrlls/content/list-sids" </w:instrText>
      </w:r>
      <w:r>
        <w:fldChar w:fldCharType="separate"/>
      </w:r>
      <w:r w:rsidRPr="00A10628">
        <w:rPr>
          <w:rStyle w:val="Hyperlink"/>
        </w:rPr>
        <w:t>https://www.un.org/ohrlls/content/list-sids</w:t>
      </w:r>
      <w:r>
        <w:fldChar w:fldCharType="end"/>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01F3B"/>
    <w:multiLevelType w:val="hybridMultilevel"/>
    <w:tmpl w:val="BA9C63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76172E"/>
    <w:multiLevelType w:val="hybridMultilevel"/>
    <w:tmpl w:val="367C9F6A"/>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8CA0BBD"/>
    <w:multiLevelType w:val="hybridMultilevel"/>
    <w:tmpl w:val="EB886B9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8DD0FA0"/>
    <w:multiLevelType w:val="hybridMultilevel"/>
    <w:tmpl w:val="B9B4BC0C"/>
    <w:lvl w:ilvl="0">
      <w:start w:val="1"/>
      <w:numFmt w:val="decimal"/>
      <w:pStyle w:val="Lecturetranscript-Slidetitles"/>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GLC4 (UTS) - FA chang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vswerpwzztsjepa2fvwwvmtaxzrsdva5r2&quot;&gt;My EndNote Library&lt;record-ids&gt;&lt;item&gt;307&lt;/item&gt;&lt;item&gt;376&lt;/item&gt;&lt;/record-ids&gt;&lt;/item&gt;&lt;/Libraries&gt;"/>
  </w:docVar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cturetranscript-Slidetitles">
    <w:name w:val="Lecture transcript - Slide titles"/>
    <w:basedOn w:val="Normal"/>
    <w:link w:val="Lecturetranscript-SlidetitlesChar"/>
    <w:autoRedefine/>
    <w:qFormat/>
    <w:rsid w:val="00C1793F"/>
    <w:pPr>
      <w:numPr>
        <w:numId w:val="2"/>
      </w:numPr>
    </w:pPr>
    <w:rPr>
      <w:rFonts w:ascii="Times New Roman" w:hAnsi="Times New Roman" w:cs="Times New Roman"/>
      <w:b/>
      <w:bCs/>
      <w:sz w:val="24"/>
      <w:szCs w:val="24"/>
      <w:lang w:val="en-US"/>
    </w:rPr>
  </w:style>
  <w:style w:type="character" w:customStyle="1" w:styleId="Lecturetranscript-SlidetitlesChar">
    <w:name w:val="Lecture transcript - Slide titles Char"/>
    <w:basedOn w:val="DefaultParagraphFont"/>
    <w:link w:val="Lecturetranscript-Slidetitles"/>
    <w:rsid w:val="00C1793F"/>
    <w:rPr>
      <w:rFonts w:ascii="Times New Roman" w:hAnsi="Times New Roman" w:cs="Times New Roman"/>
      <w:b/>
      <w:bCs/>
      <w:sz w:val="24"/>
      <w:szCs w:val="24"/>
      <w:lang w:val="en-US"/>
    </w:rPr>
  </w:style>
  <w:style w:type="paragraph" w:customStyle="1" w:styleId="Lecturetranscript-bodytext">
    <w:name w:val="Lecture transcript - body text"/>
    <w:basedOn w:val="Normal"/>
    <w:link w:val="Lecturetranscript-bodytextChar"/>
    <w:autoRedefine/>
    <w:qFormat/>
    <w:rsid w:val="00C47C29"/>
    <w:rPr>
      <w:rFonts w:ascii="Times New Roman" w:hAnsi="Times New Roman" w:cs="Times New Roman"/>
      <w:sz w:val="24"/>
      <w:szCs w:val="24"/>
    </w:rPr>
  </w:style>
  <w:style w:type="character" w:customStyle="1" w:styleId="Lecturetranscript-bodytextChar">
    <w:name w:val="Lecture transcript - body text Char"/>
    <w:basedOn w:val="DefaultParagraphFont"/>
    <w:link w:val="Lecturetranscript-bodytext"/>
    <w:rsid w:val="00C47C29"/>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7C4A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4A85"/>
    <w:rPr>
      <w:sz w:val="20"/>
      <w:szCs w:val="20"/>
    </w:rPr>
  </w:style>
  <w:style w:type="character" w:styleId="FootnoteReference">
    <w:name w:val="footnote reference"/>
    <w:basedOn w:val="DefaultParagraphFont"/>
    <w:uiPriority w:val="99"/>
    <w:semiHidden/>
    <w:unhideWhenUsed/>
    <w:rsid w:val="007C4A85"/>
    <w:rPr>
      <w:vertAlign w:val="superscript"/>
    </w:rPr>
  </w:style>
  <w:style w:type="character" w:styleId="Hyperlink">
    <w:name w:val="Hyperlink"/>
    <w:basedOn w:val="DefaultParagraphFont"/>
    <w:uiPriority w:val="99"/>
    <w:unhideWhenUsed/>
    <w:rsid w:val="003915F4"/>
    <w:rPr>
      <w:color w:val="0563C1" w:themeColor="hyperlink"/>
      <w:u w:val="single"/>
    </w:rPr>
  </w:style>
  <w:style w:type="character" w:customStyle="1" w:styleId="UnresolvedMention">
    <w:name w:val="Unresolved Mention"/>
    <w:basedOn w:val="DefaultParagraphFont"/>
    <w:uiPriority w:val="99"/>
    <w:semiHidden/>
    <w:unhideWhenUsed/>
    <w:rsid w:val="003915F4"/>
    <w:rPr>
      <w:color w:val="605E5C"/>
      <w:shd w:val="clear" w:color="auto" w:fill="E1DFDD"/>
    </w:rPr>
  </w:style>
  <w:style w:type="paragraph" w:styleId="ListParagraph">
    <w:name w:val="List Paragraph"/>
    <w:basedOn w:val="Normal"/>
    <w:uiPriority w:val="34"/>
    <w:qFormat/>
    <w:rsid w:val="00886291"/>
    <w:pPr>
      <w:ind w:left="720"/>
      <w:contextualSpacing/>
    </w:pPr>
  </w:style>
  <w:style w:type="paragraph" w:styleId="Header">
    <w:name w:val="header"/>
    <w:basedOn w:val="Normal"/>
    <w:link w:val="HeaderChar"/>
    <w:uiPriority w:val="99"/>
    <w:unhideWhenUsed/>
    <w:rsid w:val="00E433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330"/>
  </w:style>
  <w:style w:type="paragraph" w:styleId="Footer">
    <w:name w:val="footer"/>
    <w:basedOn w:val="Normal"/>
    <w:link w:val="FooterChar"/>
    <w:uiPriority w:val="99"/>
    <w:unhideWhenUsed/>
    <w:rsid w:val="00E433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330"/>
  </w:style>
  <w:style w:type="table" w:styleId="TableGrid">
    <w:name w:val="Table Grid"/>
    <w:basedOn w:val="TableNormal"/>
    <w:uiPriority w:val="39"/>
    <w:rsid w:val="00AB0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96FDE-44F6-4510-AF3F-ED83E5616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