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2520" w:rsidRPr="001625D2" w:rsidP="00FA2520">
      <w:pPr>
        <w:rPr>
          <w:rFonts w:ascii="Open Sans" w:hAnsi="Open Sans" w:cs="Open Sans"/>
        </w:rPr>
      </w:pPr>
    </w:p>
    <w:p w:rsidR="00FA2520" w:rsidRPr="001625D2" w:rsidP="00FA2520">
      <w:pPr>
        <w:rPr>
          <w:rFonts w:ascii="Open Sans" w:hAnsi="Open Sans" w:cs="Open Sans"/>
        </w:rPr>
      </w:pPr>
    </w:p>
    <w:p w:rsidR="00FA2520" w:rsidRPr="000D18E8" w:rsidP="00FA2520">
      <w:pPr>
        <w:rPr>
          <w:rFonts w:ascii="Open Sans" w:hAnsi="Open Sans" w:cs="Open Sans"/>
          <w:b/>
          <w:bCs/>
          <w:color w:val="102F41"/>
          <w:sz w:val="28"/>
          <w:szCs w:val="28"/>
        </w:rPr>
      </w:pPr>
      <w:r>
        <w:rPr>
          <w:rFonts w:ascii="Open Sans" w:hAnsi="Open Sans" w:cs="Open Sans"/>
          <w:b/>
          <w:bCs/>
          <w:color w:val="102F41"/>
          <w:sz w:val="28"/>
          <w:szCs w:val="28"/>
        </w:rPr>
        <w:t>Submission to the UKEF Inquiry</w:t>
      </w:r>
    </w:p>
    <w:p w:rsidR="00FA2520" w:rsidRPr="001625D2" w:rsidP="00FA2520">
      <w:pPr>
        <w:rPr>
          <w:rFonts w:ascii="Open Sans" w:hAnsi="Open Sans" w:cs="Open Sans"/>
        </w:rPr>
      </w:pPr>
    </w:p>
    <w:p w:rsidR="004C1E48" w:rsidP="00FA2520">
      <w:pPr>
        <w:rPr>
          <w:rFonts w:ascii="Open Sans" w:hAnsi="Open Sans" w:cs="Open Sans"/>
          <w:color w:val="808080" w:themeColor="background1" w:themeShade="80"/>
          <w:sz w:val="24"/>
          <w:szCs w:val="24"/>
        </w:rPr>
      </w:pPr>
      <w:r>
        <w:rPr>
          <w:rFonts w:ascii="Open Sans" w:hAnsi="Open Sans" w:cs="Open Sans"/>
          <w:color w:val="808080" w:themeColor="background1" w:themeShade="80"/>
          <w:sz w:val="24"/>
          <w:szCs w:val="24"/>
        </w:rPr>
        <w:t>Dr. Rebecca Harding</w:t>
      </w:r>
    </w:p>
    <w:p w:rsidR="00FA2520" w:rsidRPr="000D18E8" w:rsidP="00FA2520">
      <w:pPr>
        <w:rPr>
          <w:rFonts w:ascii="Open Sans" w:hAnsi="Open Sans" w:cs="Open Sans"/>
          <w:color w:val="808080" w:themeColor="background1" w:themeShade="80"/>
          <w:sz w:val="24"/>
          <w:szCs w:val="24"/>
        </w:rPr>
      </w:pPr>
      <w:r>
        <w:rPr>
          <w:rFonts w:ascii="Open Sans" w:hAnsi="Open Sans" w:cs="Open Sans"/>
          <w:color w:val="808080" w:themeColor="background1" w:themeShade="80"/>
          <w:sz w:val="24"/>
          <w:szCs w:val="24"/>
        </w:rPr>
        <w:t>CEO Coriolis Technologies</w:t>
      </w:r>
      <w:r w:rsidRPr="000D18E8">
        <w:rPr>
          <w:rFonts w:ascii="Open Sans" w:hAnsi="Open Sans" w:cs="Open Sans"/>
          <w:color w:val="808080" w:themeColor="background1" w:themeShade="80"/>
          <w:sz w:val="24"/>
          <w:szCs w:val="24"/>
        </w:rPr>
        <w:t xml:space="preserve"> </w:t>
      </w:r>
    </w:p>
    <w:p w:rsidR="00FA2520" w:rsidP="00FA2520">
      <w:pPr>
        <w:rPr>
          <w:rFonts w:ascii="Open Sans" w:hAnsi="Open Sans" w:cs="Open Sans"/>
        </w:rPr>
      </w:pPr>
    </w:p>
    <w:p w:rsidR="00740E83" w:rsidP="00FA2520">
      <w:pPr>
        <w:rPr>
          <w:rFonts w:ascii="Open Sans" w:hAnsi="Open Sans" w:cs="Open Sans"/>
        </w:rPr>
      </w:pPr>
    </w:p>
    <w:p w:rsidR="005764F3" w:rsidRPr="001625D2" w:rsidP="00FA2520">
      <w:pPr>
        <w:rPr>
          <w:rFonts w:ascii="Open Sans" w:hAnsi="Open Sans" w:cs="Open Sans"/>
        </w:rPr>
      </w:pPr>
    </w:p>
    <w:p w:rsidR="005764F3" w:rsidRPr="005764F3" w:rsidP="00CC21BF">
      <w:pPr>
        <w:pStyle w:val="Signature"/>
        <w:rPr>
          <w:rFonts w:ascii="Open Sans" w:hAnsi="Open Sans" w:cs="Open Sans"/>
          <w:b/>
          <w:bCs/>
          <w:color w:val="000000" w:themeColor="text1"/>
        </w:rPr>
      </w:pPr>
      <w:r w:rsidRPr="005764F3">
        <w:rPr>
          <w:rFonts w:ascii="Open Sans" w:hAnsi="Open Sans" w:cs="Open Sans"/>
          <w:b/>
          <w:bCs/>
          <w:color w:val="000000" w:themeColor="text1"/>
        </w:rPr>
        <w:t>Overview</w:t>
      </w:r>
    </w:p>
    <w:p w:rsidR="005764F3" w:rsidP="00CC21BF">
      <w:pPr>
        <w:pStyle w:val="Signature"/>
        <w:rPr>
          <w:rFonts w:ascii="Open Sans" w:hAnsi="Open Sans" w:cs="Open Sans"/>
          <w:color w:val="000000" w:themeColor="text1"/>
        </w:rPr>
      </w:pPr>
    </w:p>
    <w:p w:rsidR="00BD25D5" w:rsidP="00740E83">
      <w:pPr>
        <w:pStyle w:val="Signature"/>
        <w:numPr>
          <w:ilvl w:val="0"/>
          <w:numId w:val="16"/>
        </w:numPr>
        <w:rPr>
          <w:rFonts w:ascii="Open Sans" w:hAnsi="Open Sans" w:cs="Open Sans"/>
          <w:color w:val="000000" w:themeColor="text1"/>
        </w:rPr>
      </w:pPr>
      <w:r>
        <w:rPr>
          <w:rFonts w:ascii="Open Sans" w:hAnsi="Open Sans" w:cs="Open Sans"/>
          <w:color w:val="000000" w:themeColor="text1"/>
        </w:rPr>
        <w:t xml:space="preserve">This </w:t>
      </w:r>
      <w:r>
        <w:rPr>
          <w:rFonts w:ascii="Open Sans" w:hAnsi="Open Sans" w:cs="Open Sans"/>
          <w:color w:val="000000" w:themeColor="text1"/>
        </w:rPr>
        <w:t>submission focusses on the needs of exporting SMEs, both from the experience of interacting with UKEF at a business level and from the perspective of large amounts of academic research that I have  done in the area of SME access to finance generally and to</w:t>
      </w:r>
      <w:r>
        <w:rPr>
          <w:rFonts w:ascii="Open Sans" w:hAnsi="Open Sans" w:cs="Open Sans"/>
          <w:color w:val="000000" w:themeColor="text1"/>
        </w:rPr>
        <w:t xml:space="preserve"> export finance in particular. References are not provided here for the sake of simplicity but can be provided on request. My personal experience in this area is based on 6 years at London Business School where I ran the Global Entrepreneurship Monitor, su</w:t>
      </w:r>
      <w:r>
        <w:rPr>
          <w:rFonts w:ascii="Open Sans" w:hAnsi="Open Sans" w:cs="Open Sans"/>
          <w:color w:val="000000" w:themeColor="text1"/>
        </w:rPr>
        <w:t>bmissions and input into government SME initiatives, including the Women’s Enterprise Task Force in 2010, my role as the owner of a FinTech business whose markets are predominantly in emerging markets, and as Chief Economist of the British Bankers Associat</w:t>
      </w:r>
      <w:r>
        <w:rPr>
          <w:rFonts w:ascii="Open Sans" w:hAnsi="Open Sans" w:cs="Open Sans"/>
          <w:color w:val="000000" w:themeColor="text1"/>
        </w:rPr>
        <w:t>ion.</w:t>
      </w:r>
      <w:r>
        <w:rPr>
          <w:rFonts w:ascii="Open Sans" w:hAnsi="Open Sans" w:cs="Open Sans"/>
          <w:color w:val="000000" w:themeColor="text1"/>
        </w:rPr>
        <w:t xml:space="preserve"> I ran the Santander Trade Barometer (a survey of exporting SMEs) and have run multiple SME growth surveys over the past 10 years for clients in my various businesses.</w:t>
      </w:r>
      <w:r>
        <w:rPr>
          <w:rFonts w:ascii="Open Sans" w:hAnsi="Open Sans" w:cs="Open Sans"/>
          <w:color w:val="000000" w:themeColor="text1"/>
        </w:rPr>
        <w:t xml:space="preserve"> Coriolis Technologies has been in receipt of Trade Credit Insurance from UKEF which </w:t>
      </w:r>
      <w:r>
        <w:rPr>
          <w:rFonts w:ascii="Open Sans" w:hAnsi="Open Sans" w:cs="Open Sans"/>
          <w:color w:val="000000" w:themeColor="text1"/>
        </w:rPr>
        <w:t>was invaluable during the early stages of the pandemic.</w:t>
      </w:r>
    </w:p>
    <w:p w:rsidR="00BD25D5" w:rsidP="00CC21BF">
      <w:pPr>
        <w:pStyle w:val="Signature"/>
        <w:rPr>
          <w:rFonts w:ascii="Open Sans" w:hAnsi="Open Sans" w:cs="Open Sans"/>
          <w:color w:val="000000" w:themeColor="text1"/>
        </w:rPr>
      </w:pPr>
    </w:p>
    <w:p w:rsidR="005764F3" w:rsidP="00CC21BF">
      <w:pPr>
        <w:pStyle w:val="Signature"/>
        <w:rPr>
          <w:rFonts w:ascii="Open Sans" w:hAnsi="Open Sans" w:cs="Open Sans"/>
          <w:b/>
          <w:bCs/>
          <w:color w:val="000000" w:themeColor="text1"/>
        </w:rPr>
      </w:pPr>
    </w:p>
    <w:p w:rsidR="00532152" w:rsidP="00CC21BF">
      <w:pPr>
        <w:pStyle w:val="Signature"/>
        <w:rPr>
          <w:rFonts w:ascii="Open Sans" w:hAnsi="Open Sans" w:cs="Open Sans"/>
          <w:color w:val="000000" w:themeColor="text1"/>
        </w:rPr>
      </w:pPr>
      <w:r>
        <w:rPr>
          <w:rFonts w:ascii="Open Sans" w:hAnsi="Open Sans" w:cs="Open Sans"/>
          <w:b/>
          <w:bCs/>
          <w:color w:val="000000" w:themeColor="text1"/>
        </w:rPr>
        <w:t xml:space="preserve">The current </w:t>
      </w:r>
      <w:r>
        <w:rPr>
          <w:rFonts w:ascii="Open Sans" w:hAnsi="Open Sans" w:cs="Open Sans"/>
          <w:b/>
          <w:bCs/>
          <w:color w:val="000000" w:themeColor="text1"/>
        </w:rPr>
        <w:t xml:space="preserve">supply-side </w:t>
      </w:r>
      <w:r>
        <w:rPr>
          <w:rFonts w:ascii="Open Sans" w:hAnsi="Open Sans" w:cs="Open Sans"/>
          <w:b/>
          <w:bCs/>
          <w:color w:val="000000" w:themeColor="text1"/>
        </w:rPr>
        <w:t>challenge</w:t>
      </w:r>
    </w:p>
    <w:p w:rsidR="00532152" w:rsidP="00CC21BF">
      <w:pPr>
        <w:pStyle w:val="Signature"/>
        <w:rPr>
          <w:rFonts w:ascii="Open Sans" w:hAnsi="Open Sans" w:cs="Open Sans"/>
          <w:color w:val="000000" w:themeColor="text1"/>
        </w:rPr>
      </w:pPr>
    </w:p>
    <w:p w:rsidR="00532152" w:rsidP="00740E83">
      <w:pPr>
        <w:pStyle w:val="Signature"/>
        <w:numPr>
          <w:ilvl w:val="0"/>
          <w:numId w:val="16"/>
        </w:numPr>
        <w:rPr>
          <w:rFonts w:ascii="Open Sans" w:hAnsi="Open Sans" w:cs="Open Sans"/>
          <w:color w:val="000000" w:themeColor="text1"/>
        </w:rPr>
      </w:pPr>
      <w:r>
        <w:rPr>
          <w:rFonts w:ascii="Open Sans" w:hAnsi="Open Sans" w:cs="Open Sans"/>
          <w:color w:val="000000" w:themeColor="text1"/>
        </w:rPr>
        <w:t xml:space="preserve">According to the British Business Bank (with research input from Coriolis Technologies), there are 550,000 exporting SMEs in the UK with a potential contribution of up to £200bn to the UK’s economy. The majority of these businesses are in service sectors, </w:t>
      </w:r>
      <w:r>
        <w:rPr>
          <w:rFonts w:ascii="Open Sans" w:hAnsi="Open Sans" w:cs="Open Sans"/>
          <w:color w:val="000000" w:themeColor="text1"/>
        </w:rPr>
        <w:t>with an increasing number of them in Information and Communications Technologies and digital services/e-commerce. On average across the UK, only 30% of “purely domestic” businesses do not have any international exposure at all, according to the Santander T</w:t>
      </w:r>
      <w:r>
        <w:rPr>
          <w:rFonts w:ascii="Open Sans" w:hAnsi="Open Sans" w:cs="Open Sans"/>
          <w:color w:val="000000" w:themeColor="text1"/>
        </w:rPr>
        <w:t xml:space="preserve">rade Barometer, </w:t>
      </w:r>
      <w:r>
        <w:rPr>
          <w:rFonts w:ascii="Open Sans" w:hAnsi="Open Sans" w:cs="Open Sans"/>
          <w:color w:val="000000" w:themeColor="text1"/>
        </w:rPr>
        <w:t xml:space="preserve">yet these businesses do not identify as exporters or importers, or even internationally exposed because they have a proportion of their workforce abroad. </w:t>
      </w:r>
    </w:p>
    <w:p w:rsidR="00CC388C" w:rsidP="00CC21BF">
      <w:pPr>
        <w:pStyle w:val="Signature"/>
        <w:rPr>
          <w:rFonts w:ascii="Open Sans" w:hAnsi="Open Sans" w:cs="Open Sans"/>
          <w:color w:val="000000" w:themeColor="text1"/>
        </w:rPr>
      </w:pPr>
    </w:p>
    <w:p w:rsidR="00CC388C" w:rsidP="00740E83">
      <w:pPr>
        <w:pStyle w:val="Signature"/>
        <w:numPr>
          <w:ilvl w:val="0"/>
          <w:numId w:val="16"/>
        </w:numPr>
        <w:rPr>
          <w:rFonts w:ascii="Open Sans" w:hAnsi="Open Sans" w:cs="Open Sans"/>
          <w:color w:val="000000" w:themeColor="text1"/>
        </w:rPr>
      </w:pPr>
      <w:r>
        <w:rPr>
          <w:rFonts w:ascii="Open Sans" w:hAnsi="Open Sans" w:cs="Open Sans"/>
          <w:color w:val="000000" w:themeColor="text1"/>
        </w:rPr>
        <w:t>These businesses are unlikely to qualify for current government schemes to support b</w:t>
      </w:r>
      <w:r>
        <w:rPr>
          <w:rFonts w:ascii="Open Sans" w:hAnsi="Open Sans" w:cs="Open Sans"/>
          <w:color w:val="000000" w:themeColor="text1"/>
        </w:rPr>
        <w:t>usinesses through the pandemic. Their cashflow, whether in manufacturing or services trade, is often financed through receivables contracts or invoices and the CBILS structures are not appropriate to meet their financing requirements because they do not ne</w:t>
      </w:r>
      <w:r>
        <w:rPr>
          <w:rFonts w:ascii="Open Sans" w:hAnsi="Open Sans" w:cs="Open Sans"/>
          <w:color w:val="000000" w:themeColor="text1"/>
        </w:rPr>
        <w:t>ed debt as such, they need finance that covers the pre-invoice risks that they face. This is the riskiest stage of financing for banks on multiple grounds:</w:t>
      </w:r>
    </w:p>
    <w:p w:rsidR="00CC388C" w:rsidP="00CC21BF">
      <w:pPr>
        <w:pStyle w:val="Signature"/>
        <w:rPr>
          <w:rFonts w:ascii="Open Sans" w:hAnsi="Open Sans" w:cs="Open Sans"/>
          <w:color w:val="000000" w:themeColor="text1"/>
        </w:rPr>
      </w:pPr>
    </w:p>
    <w:p w:rsidR="00CC388C" w:rsidP="00CC388C">
      <w:pPr>
        <w:pStyle w:val="Signature"/>
        <w:numPr>
          <w:ilvl w:val="0"/>
          <w:numId w:val="13"/>
        </w:numPr>
        <w:rPr>
          <w:rFonts w:ascii="Open Sans" w:hAnsi="Open Sans" w:cs="Open Sans"/>
          <w:color w:val="000000" w:themeColor="text1"/>
        </w:rPr>
      </w:pPr>
      <w:r>
        <w:rPr>
          <w:rFonts w:ascii="Open Sans" w:hAnsi="Open Sans" w:cs="Open Sans"/>
          <w:color w:val="000000" w:themeColor="text1"/>
        </w:rPr>
        <w:t>There is a risk of non-delivery by the SME</w:t>
      </w:r>
    </w:p>
    <w:p w:rsidR="00CC388C" w:rsidP="00CC388C">
      <w:pPr>
        <w:pStyle w:val="Signature"/>
        <w:numPr>
          <w:ilvl w:val="0"/>
          <w:numId w:val="13"/>
        </w:numPr>
        <w:rPr>
          <w:rFonts w:ascii="Open Sans" w:hAnsi="Open Sans" w:cs="Open Sans"/>
          <w:color w:val="000000" w:themeColor="text1"/>
        </w:rPr>
      </w:pPr>
      <w:r>
        <w:rPr>
          <w:rFonts w:ascii="Open Sans" w:hAnsi="Open Sans" w:cs="Open Sans"/>
          <w:color w:val="000000" w:themeColor="text1"/>
        </w:rPr>
        <w:t>There is a risk of non-acceptance by the buyer</w:t>
      </w:r>
    </w:p>
    <w:p w:rsidR="00CC388C" w:rsidP="00CC388C">
      <w:pPr>
        <w:pStyle w:val="Signature"/>
        <w:numPr>
          <w:ilvl w:val="0"/>
          <w:numId w:val="13"/>
        </w:numPr>
        <w:rPr>
          <w:rFonts w:ascii="Open Sans" w:hAnsi="Open Sans" w:cs="Open Sans"/>
          <w:color w:val="000000" w:themeColor="text1"/>
        </w:rPr>
      </w:pPr>
      <w:r>
        <w:rPr>
          <w:rFonts w:ascii="Open Sans" w:hAnsi="Open Sans" w:cs="Open Sans"/>
          <w:color w:val="000000" w:themeColor="text1"/>
        </w:rPr>
        <w:t xml:space="preserve">The </w:t>
      </w:r>
      <w:r>
        <w:rPr>
          <w:rFonts w:ascii="Open Sans" w:hAnsi="Open Sans" w:cs="Open Sans"/>
          <w:color w:val="000000" w:themeColor="text1"/>
        </w:rPr>
        <w:t>financial requirements are often short term</w:t>
      </w:r>
    </w:p>
    <w:p w:rsidR="00CC388C" w:rsidP="00CC388C">
      <w:pPr>
        <w:pStyle w:val="Signature"/>
        <w:numPr>
          <w:ilvl w:val="0"/>
          <w:numId w:val="13"/>
        </w:numPr>
        <w:rPr>
          <w:rFonts w:ascii="Open Sans" w:hAnsi="Open Sans" w:cs="Open Sans"/>
          <w:color w:val="000000" w:themeColor="text1"/>
        </w:rPr>
      </w:pPr>
      <w:r>
        <w:rPr>
          <w:rFonts w:ascii="Open Sans" w:hAnsi="Open Sans" w:cs="Open Sans"/>
          <w:color w:val="000000" w:themeColor="text1"/>
        </w:rPr>
        <w:t>There is a risk attached to the SME by virtue of the fact that it is small and dependent on prompt payment of the invoice for cashflow rendering a riskier proposition than a larger exporting entity</w:t>
      </w:r>
    </w:p>
    <w:p w:rsidR="00CC388C" w:rsidP="00CC388C">
      <w:pPr>
        <w:pStyle w:val="Signature"/>
        <w:numPr>
          <w:ilvl w:val="0"/>
          <w:numId w:val="13"/>
        </w:numPr>
        <w:rPr>
          <w:rFonts w:ascii="Open Sans" w:hAnsi="Open Sans" w:cs="Open Sans"/>
          <w:color w:val="000000" w:themeColor="text1"/>
        </w:rPr>
      </w:pPr>
      <w:r>
        <w:rPr>
          <w:rFonts w:ascii="Open Sans" w:hAnsi="Open Sans" w:cs="Open Sans"/>
          <w:color w:val="000000" w:themeColor="text1"/>
        </w:rPr>
        <w:t>The costs of o</w:t>
      </w:r>
      <w:r>
        <w:rPr>
          <w:rFonts w:ascii="Open Sans" w:hAnsi="Open Sans" w:cs="Open Sans"/>
          <w:color w:val="000000" w:themeColor="text1"/>
        </w:rPr>
        <w:t>n-boarding any business for trade finance purposes is estimated to be between £30,000 and £60,000 according to a participant in the Cole Review, interviewed for this submission. The deals that can be done are too small and too short term to justify this co</w:t>
      </w:r>
      <w:r>
        <w:rPr>
          <w:rFonts w:ascii="Open Sans" w:hAnsi="Open Sans" w:cs="Open Sans"/>
          <w:color w:val="000000" w:themeColor="text1"/>
        </w:rPr>
        <w:t>st.</w:t>
      </w:r>
      <w:r>
        <w:rPr>
          <w:rFonts w:ascii="Open Sans" w:hAnsi="Open Sans" w:cs="Open Sans"/>
          <w:color w:val="000000" w:themeColor="text1"/>
        </w:rPr>
        <w:t xml:space="preserve"> Banks interviewed for this submission also argue that SMEs are often under-prepared for onboarding process in terms of their cashflow or working capital forecasting  and in terms of the detail of their overseas buyers.</w:t>
      </w:r>
    </w:p>
    <w:p w:rsidR="00CC388C" w:rsidP="00CC388C">
      <w:pPr>
        <w:pStyle w:val="Signature"/>
        <w:numPr>
          <w:ilvl w:val="0"/>
          <w:numId w:val="13"/>
        </w:numPr>
        <w:rPr>
          <w:rFonts w:ascii="Open Sans" w:hAnsi="Open Sans" w:cs="Open Sans"/>
          <w:color w:val="000000" w:themeColor="text1"/>
        </w:rPr>
      </w:pPr>
      <w:r>
        <w:rPr>
          <w:rFonts w:ascii="Open Sans" w:hAnsi="Open Sans" w:cs="Open Sans"/>
          <w:color w:val="000000" w:themeColor="text1"/>
        </w:rPr>
        <w:t xml:space="preserve">During the Covid-19 pandemic the </w:t>
      </w:r>
      <w:r>
        <w:rPr>
          <w:rFonts w:ascii="Open Sans" w:hAnsi="Open Sans" w:cs="Open Sans"/>
          <w:color w:val="000000" w:themeColor="text1"/>
        </w:rPr>
        <w:t>risks of non-delivery and non-acceptance for SMEs have increased because of supply chain disruptions affecting them and their buyers.</w:t>
      </w:r>
    </w:p>
    <w:p w:rsidR="00E618B2" w:rsidP="00CC388C">
      <w:pPr>
        <w:pStyle w:val="Signature"/>
        <w:numPr>
          <w:ilvl w:val="0"/>
          <w:numId w:val="13"/>
        </w:numPr>
        <w:rPr>
          <w:rFonts w:ascii="Open Sans" w:hAnsi="Open Sans" w:cs="Open Sans"/>
          <w:color w:val="000000" w:themeColor="text1"/>
        </w:rPr>
      </w:pPr>
      <w:r>
        <w:rPr>
          <w:rFonts w:ascii="Open Sans" w:hAnsi="Open Sans" w:cs="Open Sans"/>
          <w:color w:val="000000" w:themeColor="text1"/>
        </w:rPr>
        <w:t>Against this backdrop, non-government Trade Credit Insurers have moved away from higher risk propositions – particularly s</w:t>
      </w:r>
      <w:r>
        <w:rPr>
          <w:rFonts w:ascii="Open Sans" w:hAnsi="Open Sans" w:cs="Open Sans"/>
          <w:color w:val="000000" w:themeColor="text1"/>
        </w:rPr>
        <w:t>maller deals, deals in riskier markets and deals with riskier clients.</w:t>
      </w:r>
    </w:p>
    <w:p w:rsidR="00A113F4" w:rsidP="00CC388C">
      <w:pPr>
        <w:pStyle w:val="Signature"/>
        <w:numPr>
          <w:ilvl w:val="0"/>
          <w:numId w:val="13"/>
        </w:numPr>
        <w:rPr>
          <w:rFonts w:ascii="Open Sans" w:hAnsi="Open Sans" w:cs="Open Sans"/>
          <w:color w:val="000000" w:themeColor="text1"/>
        </w:rPr>
      </w:pPr>
      <w:r>
        <w:rPr>
          <w:rFonts w:ascii="Open Sans" w:hAnsi="Open Sans" w:cs="Open Sans"/>
          <w:color w:val="000000" w:themeColor="text1"/>
        </w:rPr>
        <w:t>Given low yields in trade finance generally because of persistent extraordinary monetary policy, a justifiable focus on CBILS and BBLs in the current environment and the high cost of on</w:t>
      </w:r>
      <w:r>
        <w:rPr>
          <w:rFonts w:ascii="Open Sans" w:hAnsi="Open Sans" w:cs="Open Sans"/>
          <w:color w:val="000000" w:themeColor="text1"/>
        </w:rPr>
        <w:t>boarding SMEs, there is a reluctance on behalf of most banks (with some notable exceptions such as Santander) to fund SME export finance for businesses below turnovers of £6.5m annually with established track records.</w:t>
      </w:r>
    </w:p>
    <w:p w:rsidR="00CC388C" w:rsidP="00740E83">
      <w:pPr>
        <w:pStyle w:val="Signature"/>
        <w:rPr>
          <w:rFonts w:ascii="Open Sans" w:hAnsi="Open Sans" w:cs="Open Sans"/>
          <w:color w:val="000000" w:themeColor="text1"/>
        </w:rPr>
      </w:pPr>
    </w:p>
    <w:p w:rsidR="00CC388C" w:rsidP="00CC21BF">
      <w:pPr>
        <w:pStyle w:val="Signature"/>
        <w:rPr>
          <w:rFonts w:ascii="Open Sans" w:hAnsi="Open Sans" w:cs="Open Sans"/>
          <w:color w:val="000000" w:themeColor="text1"/>
        </w:rPr>
      </w:pPr>
    </w:p>
    <w:p w:rsidR="00CC388C" w:rsidRPr="00532152" w:rsidP="00740E83">
      <w:pPr>
        <w:pStyle w:val="Signature"/>
        <w:numPr>
          <w:ilvl w:val="0"/>
          <w:numId w:val="16"/>
        </w:numPr>
        <w:rPr>
          <w:rFonts w:ascii="Open Sans" w:hAnsi="Open Sans" w:cs="Open Sans"/>
          <w:color w:val="000000" w:themeColor="text1"/>
        </w:rPr>
      </w:pPr>
      <w:r>
        <w:rPr>
          <w:rFonts w:ascii="Open Sans" w:hAnsi="Open Sans" w:cs="Open Sans"/>
          <w:color w:val="000000" w:themeColor="text1"/>
        </w:rPr>
        <w:t xml:space="preserve">As a result, </w:t>
      </w:r>
      <w:r>
        <w:rPr>
          <w:rFonts w:ascii="Open Sans" w:hAnsi="Open Sans" w:cs="Open Sans"/>
          <w:color w:val="000000" w:themeColor="text1"/>
        </w:rPr>
        <w:t xml:space="preserve">it is likely that many </w:t>
      </w:r>
      <w:r>
        <w:rPr>
          <w:rFonts w:ascii="Open Sans" w:hAnsi="Open Sans" w:cs="Open Sans"/>
          <w:color w:val="000000" w:themeColor="text1"/>
        </w:rPr>
        <w:t>SMEs</w:t>
      </w:r>
      <w:r>
        <w:rPr>
          <w:rFonts w:ascii="Open Sans" w:hAnsi="Open Sans" w:cs="Open Sans"/>
          <w:color w:val="000000" w:themeColor="text1"/>
        </w:rPr>
        <w:t xml:space="preserve"> have been excluded from the current support schemes</w:t>
      </w:r>
      <w:r>
        <w:rPr>
          <w:rFonts w:ascii="Open Sans" w:hAnsi="Open Sans" w:cs="Open Sans"/>
          <w:color w:val="000000" w:themeColor="text1"/>
        </w:rPr>
        <w:t xml:space="preserve">; they </w:t>
      </w:r>
      <w:r>
        <w:rPr>
          <w:rFonts w:ascii="Open Sans" w:hAnsi="Open Sans" w:cs="Open Sans"/>
          <w:color w:val="000000" w:themeColor="text1"/>
        </w:rPr>
        <w:t xml:space="preserve">are also excluded from </w:t>
      </w:r>
      <w:r>
        <w:rPr>
          <w:rFonts w:ascii="Open Sans" w:hAnsi="Open Sans" w:cs="Open Sans"/>
          <w:color w:val="000000" w:themeColor="text1"/>
        </w:rPr>
        <w:t>accessing trade finance more generally by virtue of their size, nature of their business and documentation, and therefore of their suitability for traditional forms of tr</w:t>
      </w:r>
      <w:r>
        <w:rPr>
          <w:rFonts w:ascii="Open Sans" w:hAnsi="Open Sans" w:cs="Open Sans"/>
          <w:color w:val="000000" w:themeColor="text1"/>
        </w:rPr>
        <w:t>ade finance.</w:t>
      </w:r>
    </w:p>
    <w:p w:rsidR="00BD25D5" w:rsidP="00CC21BF">
      <w:pPr>
        <w:pStyle w:val="Signature"/>
        <w:rPr>
          <w:rFonts w:ascii="Open Sans" w:hAnsi="Open Sans" w:cs="Open Sans"/>
          <w:color w:val="000000" w:themeColor="text1"/>
        </w:rPr>
      </w:pPr>
    </w:p>
    <w:p w:rsidR="005764F3" w:rsidP="00CC21BF">
      <w:pPr>
        <w:pStyle w:val="Signature"/>
        <w:rPr>
          <w:rFonts w:ascii="Open Sans" w:hAnsi="Open Sans" w:cs="Open Sans"/>
          <w:b/>
          <w:bCs/>
          <w:color w:val="000000" w:themeColor="text1"/>
        </w:rPr>
      </w:pPr>
    </w:p>
    <w:p w:rsidR="00740E83" w:rsidP="00CC21BF">
      <w:pPr>
        <w:pStyle w:val="Signature"/>
        <w:rPr>
          <w:rFonts w:ascii="Open Sans" w:hAnsi="Open Sans" w:cs="Open Sans"/>
          <w:b/>
          <w:bCs/>
          <w:color w:val="000000" w:themeColor="text1"/>
        </w:rPr>
      </w:pPr>
    </w:p>
    <w:p w:rsidR="00532152" w:rsidP="00CC21BF">
      <w:pPr>
        <w:pStyle w:val="Signature"/>
        <w:rPr>
          <w:rFonts w:ascii="Open Sans" w:hAnsi="Open Sans" w:cs="Open Sans"/>
          <w:color w:val="000000" w:themeColor="text1"/>
        </w:rPr>
      </w:pPr>
      <w:r>
        <w:rPr>
          <w:rFonts w:ascii="Open Sans" w:hAnsi="Open Sans" w:cs="Open Sans"/>
          <w:b/>
          <w:bCs/>
          <w:color w:val="000000" w:themeColor="text1"/>
        </w:rPr>
        <w:t xml:space="preserve">The </w:t>
      </w:r>
      <w:r>
        <w:rPr>
          <w:rFonts w:ascii="Open Sans" w:hAnsi="Open Sans" w:cs="Open Sans"/>
          <w:b/>
          <w:bCs/>
          <w:color w:val="000000" w:themeColor="text1"/>
        </w:rPr>
        <w:t xml:space="preserve">current demand side challenge: </w:t>
      </w:r>
    </w:p>
    <w:p w:rsidR="00532152" w:rsidP="00CC21BF">
      <w:pPr>
        <w:pStyle w:val="Signature"/>
        <w:rPr>
          <w:rFonts w:ascii="Open Sans" w:hAnsi="Open Sans" w:cs="Open Sans"/>
          <w:color w:val="000000" w:themeColor="text1"/>
        </w:rPr>
      </w:pPr>
    </w:p>
    <w:p w:rsidR="00E618B2" w:rsidP="00740E83">
      <w:pPr>
        <w:pStyle w:val="Signature"/>
        <w:numPr>
          <w:ilvl w:val="0"/>
          <w:numId w:val="16"/>
        </w:numPr>
        <w:rPr>
          <w:rFonts w:ascii="Open Sans" w:hAnsi="Open Sans" w:cs="Open Sans"/>
          <w:color w:val="000000" w:themeColor="text1"/>
        </w:rPr>
      </w:pPr>
      <w:r>
        <w:rPr>
          <w:rFonts w:ascii="Open Sans" w:hAnsi="Open Sans" w:cs="Open Sans"/>
          <w:color w:val="000000" w:themeColor="text1"/>
        </w:rPr>
        <w:t>There are several problems from the demand side of trade finance:</w:t>
      </w:r>
    </w:p>
    <w:p w:rsidR="00E618B2" w:rsidP="00CC21BF">
      <w:pPr>
        <w:pStyle w:val="Signature"/>
        <w:rPr>
          <w:rFonts w:ascii="Open Sans" w:hAnsi="Open Sans" w:cs="Open Sans"/>
          <w:color w:val="000000" w:themeColor="text1"/>
        </w:rPr>
      </w:pPr>
    </w:p>
    <w:p w:rsidR="00532152" w:rsidP="00E618B2">
      <w:pPr>
        <w:pStyle w:val="Signature"/>
        <w:numPr>
          <w:ilvl w:val="0"/>
          <w:numId w:val="14"/>
        </w:numPr>
        <w:rPr>
          <w:rFonts w:ascii="Open Sans" w:hAnsi="Open Sans" w:cs="Open Sans"/>
          <w:color w:val="000000" w:themeColor="text1"/>
        </w:rPr>
      </w:pPr>
      <w:r>
        <w:rPr>
          <w:rFonts w:ascii="Open Sans" w:hAnsi="Open Sans" w:cs="Open Sans"/>
          <w:color w:val="000000" w:themeColor="text1"/>
        </w:rPr>
        <w:t>If only 30% of domestic businesses are not internationally exposed, then there is a challenge for the export finance supply side: most bu</w:t>
      </w:r>
      <w:r>
        <w:rPr>
          <w:rFonts w:ascii="Open Sans" w:hAnsi="Open Sans" w:cs="Open Sans"/>
          <w:color w:val="000000" w:themeColor="text1"/>
        </w:rPr>
        <w:t>sinesses in the UK are either exporting or importing or have staff or assets abroad, or trade in foreign currencies but do not identify as “international.” This means that they are not likely to seek trade finance in the first instance.</w:t>
      </w:r>
    </w:p>
    <w:p w:rsidR="00BD25D5" w:rsidP="00CC21BF">
      <w:pPr>
        <w:pStyle w:val="Signature"/>
        <w:numPr>
          <w:ilvl w:val="0"/>
          <w:numId w:val="14"/>
        </w:numPr>
        <w:rPr>
          <w:rFonts w:ascii="Open Sans" w:hAnsi="Open Sans" w:cs="Open Sans"/>
          <w:color w:val="000000" w:themeColor="text1"/>
        </w:rPr>
      </w:pPr>
      <w:r>
        <w:rPr>
          <w:rFonts w:ascii="Open Sans" w:hAnsi="Open Sans" w:cs="Open Sans"/>
          <w:color w:val="000000" w:themeColor="text1"/>
        </w:rPr>
        <w:t xml:space="preserve">It is also </w:t>
      </w:r>
      <w:r>
        <w:rPr>
          <w:rFonts w:ascii="Open Sans" w:hAnsi="Open Sans" w:cs="Open Sans"/>
          <w:color w:val="000000" w:themeColor="text1"/>
        </w:rPr>
        <w:t>unlikely, given the general unawareness about international exposure, that SMEs will know that they can take out insurance against their buyer rather than themselves as a means of financing their exports</w:t>
      </w:r>
    </w:p>
    <w:p w:rsidR="00E618B2" w:rsidP="00CC21BF">
      <w:pPr>
        <w:pStyle w:val="Signature"/>
        <w:numPr>
          <w:ilvl w:val="0"/>
          <w:numId w:val="14"/>
        </w:numPr>
        <w:rPr>
          <w:rFonts w:ascii="Open Sans" w:hAnsi="Open Sans" w:cs="Open Sans"/>
          <w:color w:val="000000" w:themeColor="text1"/>
        </w:rPr>
      </w:pPr>
      <w:r>
        <w:rPr>
          <w:rFonts w:ascii="Open Sans" w:hAnsi="Open Sans" w:cs="Open Sans"/>
          <w:color w:val="000000" w:themeColor="text1"/>
        </w:rPr>
        <w:t>An SME contacting their bank will not necessarily ha</w:t>
      </w:r>
      <w:r>
        <w:rPr>
          <w:rFonts w:ascii="Open Sans" w:hAnsi="Open Sans" w:cs="Open Sans"/>
          <w:color w:val="000000" w:themeColor="text1"/>
        </w:rPr>
        <w:t xml:space="preserve">ve the knowledge </w:t>
      </w:r>
      <w:r>
        <w:rPr>
          <w:rFonts w:ascii="Open Sans" w:hAnsi="Open Sans" w:cs="Open Sans"/>
          <w:color w:val="000000" w:themeColor="text1"/>
        </w:rPr>
        <w:t>to get through to the right sources of information in banks since many will be screened by a call centre if they are “business” rather than “commercial” clients. Even if they do get through, banks are unwilling to take on an insurance poli</w:t>
      </w:r>
      <w:r>
        <w:rPr>
          <w:rFonts w:ascii="Open Sans" w:hAnsi="Open Sans" w:cs="Open Sans"/>
          <w:color w:val="000000" w:themeColor="text1"/>
        </w:rPr>
        <w:t>cy confirmation from UKEF as a sufficient guarantee to undertake a longer-term loan-based export finance facility. And, as noted above, this is often inappropriate to the shorter term invoice financing needs of the SME.</w:t>
      </w:r>
    </w:p>
    <w:p w:rsidR="00A113F4" w:rsidP="00A113F4">
      <w:pPr>
        <w:pStyle w:val="Signature"/>
        <w:rPr>
          <w:rFonts w:ascii="Open Sans" w:hAnsi="Open Sans" w:cs="Open Sans"/>
          <w:color w:val="000000" w:themeColor="text1"/>
        </w:rPr>
      </w:pPr>
    </w:p>
    <w:p w:rsidR="00A113F4" w:rsidP="00A113F4">
      <w:pPr>
        <w:pStyle w:val="Signature"/>
        <w:rPr>
          <w:rFonts w:ascii="Open Sans" w:hAnsi="Open Sans" w:cs="Open Sans"/>
          <w:color w:val="000000" w:themeColor="text1"/>
        </w:rPr>
      </w:pPr>
      <w:r>
        <w:rPr>
          <w:rFonts w:ascii="Open Sans" w:hAnsi="Open Sans" w:cs="Open Sans"/>
          <w:b/>
          <w:bCs/>
          <w:color w:val="000000" w:themeColor="text1"/>
        </w:rPr>
        <w:t>The market failure</w:t>
      </w:r>
    </w:p>
    <w:p w:rsidR="00A113F4" w:rsidP="00A113F4">
      <w:pPr>
        <w:pStyle w:val="Signature"/>
        <w:rPr>
          <w:rFonts w:ascii="Open Sans" w:hAnsi="Open Sans" w:cs="Open Sans"/>
          <w:color w:val="000000" w:themeColor="text1"/>
        </w:rPr>
      </w:pPr>
    </w:p>
    <w:p w:rsidR="00A113F4" w:rsidP="00740E83">
      <w:pPr>
        <w:pStyle w:val="Signature"/>
        <w:numPr>
          <w:ilvl w:val="0"/>
          <w:numId w:val="16"/>
        </w:numPr>
        <w:rPr>
          <w:rFonts w:ascii="Open Sans" w:hAnsi="Open Sans" w:cs="Open Sans"/>
          <w:color w:val="000000" w:themeColor="text1"/>
        </w:rPr>
      </w:pPr>
      <w:r>
        <w:rPr>
          <w:rFonts w:ascii="Open Sans" w:hAnsi="Open Sans" w:cs="Open Sans"/>
          <w:color w:val="000000" w:themeColor="text1"/>
        </w:rPr>
        <w:t>All of this mea</w:t>
      </w:r>
      <w:r>
        <w:rPr>
          <w:rFonts w:ascii="Open Sans" w:hAnsi="Open Sans" w:cs="Open Sans"/>
          <w:color w:val="000000" w:themeColor="text1"/>
        </w:rPr>
        <w:t>ns that there is a market failure from the demand and the supply side of trade finance when it comes to SMEs, especially the smaller ones. Yet if the contribution to GDP suggested above is correct, and if one fifth of these businesses fail in the current c</w:t>
      </w:r>
      <w:r>
        <w:rPr>
          <w:rFonts w:ascii="Open Sans" w:hAnsi="Open Sans" w:cs="Open Sans"/>
          <w:color w:val="000000" w:themeColor="text1"/>
        </w:rPr>
        <w:t>limate (based on estimates from organisations like the British Chamber of Commerce, the Federation of Small Businesses and the Confederation of British Industry) then there is a likely loss in trade-based revenues to the UK economy equivalent to some £40bn</w:t>
      </w:r>
      <w:r>
        <w:rPr>
          <w:rFonts w:ascii="Open Sans" w:hAnsi="Open Sans" w:cs="Open Sans"/>
          <w:color w:val="000000" w:themeColor="text1"/>
        </w:rPr>
        <w:t>.</w:t>
      </w:r>
    </w:p>
    <w:p w:rsidR="00A113F4" w:rsidP="00A113F4">
      <w:pPr>
        <w:pStyle w:val="Signature"/>
        <w:rPr>
          <w:rFonts w:ascii="Open Sans" w:hAnsi="Open Sans" w:cs="Open Sans"/>
          <w:color w:val="000000" w:themeColor="text1"/>
        </w:rPr>
      </w:pPr>
    </w:p>
    <w:p w:rsidR="005764F3" w:rsidP="00A113F4">
      <w:pPr>
        <w:pStyle w:val="Signature"/>
        <w:rPr>
          <w:rFonts w:ascii="Open Sans" w:hAnsi="Open Sans" w:cs="Open Sans"/>
          <w:b/>
          <w:bCs/>
          <w:color w:val="000000" w:themeColor="text1"/>
        </w:rPr>
      </w:pPr>
    </w:p>
    <w:p w:rsidR="00A113F4" w:rsidP="00A113F4">
      <w:pPr>
        <w:pStyle w:val="Signature"/>
        <w:rPr>
          <w:rFonts w:ascii="Open Sans" w:hAnsi="Open Sans" w:cs="Open Sans"/>
          <w:color w:val="000000" w:themeColor="text1"/>
        </w:rPr>
      </w:pPr>
      <w:r>
        <w:rPr>
          <w:rFonts w:ascii="Open Sans" w:hAnsi="Open Sans" w:cs="Open Sans"/>
          <w:b/>
          <w:bCs/>
          <w:color w:val="000000" w:themeColor="text1"/>
        </w:rPr>
        <w:t>The role of UKEF</w:t>
      </w:r>
    </w:p>
    <w:p w:rsidR="00A113F4" w:rsidP="00A113F4">
      <w:pPr>
        <w:pStyle w:val="Signature"/>
        <w:rPr>
          <w:rFonts w:ascii="Open Sans" w:hAnsi="Open Sans" w:cs="Open Sans"/>
          <w:color w:val="000000" w:themeColor="text1"/>
        </w:rPr>
      </w:pPr>
    </w:p>
    <w:p w:rsidR="00D51EFB" w:rsidP="00740E83">
      <w:pPr>
        <w:pStyle w:val="Signature"/>
        <w:numPr>
          <w:ilvl w:val="0"/>
          <w:numId w:val="16"/>
        </w:numPr>
        <w:rPr>
          <w:rFonts w:ascii="Open Sans" w:hAnsi="Open Sans" w:cs="Open Sans"/>
          <w:color w:val="000000" w:themeColor="text1"/>
        </w:rPr>
      </w:pPr>
      <w:r>
        <w:rPr>
          <w:rFonts w:ascii="Open Sans" w:hAnsi="Open Sans" w:cs="Open Sans"/>
          <w:color w:val="000000" w:themeColor="text1"/>
        </w:rPr>
        <w:t xml:space="preserve">UKEF provides Financing, Guarantees and Insurances as well as tools to access finance as a buyer or as a supplier internationally. These are all appropriate and usable as part of the toolkit for addressing the market failure </w:t>
      </w:r>
      <w:r>
        <w:rPr>
          <w:rFonts w:ascii="Open Sans" w:hAnsi="Open Sans" w:cs="Open Sans"/>
          <w:color w:val="000000" w:themeColor="text1"/>
        </w:rPr>
        <w:t>addressed above. Efforts recently by UKEF to expand guarantees and buyer facilities to keep supply chains moving have been noted by international organisations such as the ITC/Intracen and the International Chambers of Commerce as leading the way in defini</w:t>
      </w:r>
      <w:r>
        <w:rPr>
          <w:rFonts w:ascii="Open Sans" w:hAnsi="Open Sans" w:cs="Open Sans"/>
          <w:color w:val="000000" w:themeColor="text1"/>
        </w:rPr>
        <w:t>ng best practice.</w:t>
      </w:r>
    </w:p>
    <w:p w:rsidR="00D51EFB" w:rsidP="00A113F4">
      <w:pPr>
        <w:pStyle w:val="Signature"/>
        <w:rPr>
          <w:rFonts w:ascii="Open Sans" w:hAnsi="Open Sans" w:cs="Open Sans"/>
          <w:color w:val="000000" w:themeColor="text1"/>
        </w:rPr>
      </w:pPr>
    </w:p>
    <w:p w:rsidR="00D51EFB" w:rsidP="00886F2A">
      <w:pPr>
        <w:pStyle w:val="Signature"/>
        <w:numPr>
          <w:ilvl w:val="0"/>
          <w:numId w:val="16"/>
        </w:numPr>
        <w:jc w:val="left"/>
        <w:rPr>
          <w:rFonts w:ascii="Open Sans" w:hAnsi="Open Sans" w:cs="Open Sans"/>
          <w:color w:val="000000" w:themeColor="text1"/>
        </w:rPr>
      </w:pPr>
      <w:r>
        <w:rPr>
          <w:rFonts w:ascii="Open Sans" w:hAnsi="Open Sans" w:cs="Open Sans"/>
          <w:color w:val="000000" w:themeColor="text1"/>
        </w:rPr>
        <w:t>However, to improve the services offered by UKEF, there needs to be a step changes in the following:</w:t>
      </w:r>
      <w:r>
        <w:rPr>
          <w:rFonts w:ascii="Open Sans" w:hAnsi="Open Sans" w:cs="Open Sans"/>
          <w:color w:val="000000" w:themeColor="text1"/>
        </w:rPr>
        <w:br/>
      </w:r>
    </w:p>
    <w:p w:rsidR="00A113F4" w:rsidP="00D51EFB">
      <w:pPr>
        <w:pStyle w:val="Signature"/>
        <w:numPr>
          <w:ilvl w:val="0"/>
          <w:numId w:val="15"/>
        </w:numPr>
        <w:rPr>
          <w:rFonts w:ascii="Open Sans" w:hAnsi="Open Sans" w:cs="Open Sans"/>
          <w:color w:val="000000" w:themeColor="text1"/>
        </w:rPr>
      </w:pPr>
      <w:bookmarkStart w:id="0" w:name="_GoBack"/>
      <w:bookmarkEnd w:id="0"/>
      <w:r w:rsidRPr="00D51EFB">
        <w:rPr>
          <w:rFonts w:ascii="Open Sans" w:hAnsi="Open Sans" w:cs="Open Sans"/>
          <w:b/>
          <w:bCs/>
          <w:color w:val="000000" w:themeColor="text1"/>
        </w:rPr>
        <w:t>Increased focus on the growing short-term financing needs of SMEs through invoice or receivables finance</w:t>
      </w:r>
      <w:r>
        <w:rPr>
          <w:rFonts w:ascii="Open Sans" w:hAnsi="Open Sans" w:cs="Open Sans"/>
          <w:color w:val="000000" w:themeColor="text1"/>
        </w:rPr>
        <w:t xml:space="preserve">: the banks have the liquidity </w:t>
      </w:r>
      <w:r>
        <w:rPr>
          <w:rFonts w:ascii="Open Sans" w:hAnsi="Open Sans" w:cs="Open Sans"/>
          <w:color w:val="000000" w:themeColor="text1"/>
        </w:rPr>
        <w:t xml:space="preserve">to fund such short term needs but largely do not have the appetite to move into these </w:t>
      </w:r>
      <w:r>
        <w:rPr>
          <w:rFonts w:ascii="Open Sans" w:hAnsi="Open Sans" w:cs="Open Sans"/>
          <w:color w:val="000000" w:themeColor="text1"/>
        </w:rPr>
        <w:t>services because of the costs and returns expected. UKEFs offering at present is largely in the “traditional” trade finance arena – in other words, finance against promis</w:t>
      </w:r>
      <w:r>
        <w:rPr>
          <w:rFonts w:ascii="Open Sans" w:hAnsi="Open Sans" w:cs="Open Sans"/>
          <w:color w:val="000000" w:themeColor="text1"/>
        </w:rPr>
        <w:t xml:space="preserve">sory notes or bills of exchange which do not necessarily meet the requirements of services or digital businesses who are exporters. </w:t>
      </w:r>
      <w:r>
        <w:rPr>
          <w:rFonts w:ascii="Open Sans" w:hAnsi="Open Sans" w:cs="Open Sans"/>
          <w:color w:val="000000" w:themeColor="text1"/>
        </w:rPr>
        <w:t>Rather, UKEF can fund contracts or indeed Schemes of Work and lead the way in providing appropriate forms of export financin</w:t>
      </w:r>
      <w:r>
        <w:rPr>
          <w:rFonts w:ascii="Open Sans" w:hAnsi="Open Sans" w:cs="Open Sans"/>
          <w:color w:val="000000" w:themeColor="text1"/>
        </w:rPr>
        <w:t>g for a group of companies that are currently under-served.</w:t>
      </w:r>
    </w:p>
    <w:p w:rsidR="00BB3F0D" w:rsidP="00D51EFB">
      <w:pPr>
        <w:pStyle w:val="Signature"/>
        <w:numPr>
          <w:ilvl w:val="0"/>
          <w:numId w:val="15"/>
        </w:numPr>
        <w:rPr>
          <w:rFonts w:ascii="Open Sans" w:hAnsi="Open Sans" w:cs="Open Sans"/>
          <w:color w:val="000000" w:themeColor="text1"/>
        </w:rPr>
      </w:pPr>
      <w:r>
        <w:rPr>
          <w:rFonts w:ascii="Open Sans" w:hAnsi="Open Sans" w:cs="Open Sans"/>
          <w:b/>
          <w:bCs/>
          <w:color w:val="000000" w:themeColor="text1"/>
        </w:rPr>
        <w:t>Raising awareness of insurance for riskier projects</w:t>
      </w:r>
      <w:r>
        <w:rPr>
          <w:rFonts w:ascii="Open Sans" w:hAnsi="Open Sans" w:cs="Open Sans"/>
          <w:color w:val="000000" w:themeColor="text1"/>
        </w:rPr>
        <w:t>: An recent experience-based observation: UKEF was the only organisation that would provide trade credit insurance for a contract with a business</w:t>
      </w:r>
      <w:r>
        <w:rPr>
          <w:rFonts w:ascii="Open Sans" w:hAnsi="Open Sans" w:cs="Open Sans"/>
          <w:color w:val="000000" w:themeColor="text1"/>
        </w:rPr>
        <w:t xml:space="preserve"> in Africa, despite that business having a strong credit track record. There was no direct finance available but invoice finance from a non-bank was received once the insurance from UKEF was put in place. UKEF should raise awareness amongst the banks, non-</w:t>
      </w:r>
      <w:r>
        <w:rPr>
          <w:rFonts w:ascii="Open Sans" w:hAnsi="Open Sans" w:cs="Open Sans"/>
          <w:color w:val="000000" w:themeColor="text1"/>
        </w:rPr>
        <w:t>banks and SME community of this type of service as it is extraordinarily helpful.</w:t>
      </w:r>
    </w:p>
    <w:p w:rsidR="00BB3F0D" w:rsidP="00D51EFB">
      <w:pPr>
        <w:pStyle w:val="Signature"/>
        <w:numPr>
          <w:ilvl w:val="0"/>
          <w:numId w:val="15"/>
        </w:numPr>
        <w:rPr>
          <w:rFonts w:ascii="Open Sans" w:hAnsi="Open Sans" w:cs="Open Sans"/>
          <w:color w:val="000000" w:themeColor="text1"/>
        </w:rPr>
      </w:pPr>
      <w:r>
        <w:rPr>
          <w:rFonts w:ascii="Open Sans" w:hAnsi="Open Sans" w:cs="Open Sans"/>
          <w:b/>
          <w:bCs/>
          <w:color w:val="000000" w:themeColor="text1"/>
        </w:rPr>
        <w:t>UKEF needs to increase cross-departmental support for riskier trade</w:t>
      </w:r>
      <w:r>
        <w:rPr>
          <w:rFonts w:ascii="Open Sans" w:hAnsi="Open Sans" w:cs="Open Sans"/>
          <w:color w:val="000000" w:themeColor="text1"/>
        </w:rPr>
        <w:t>: in the example above, the banks were not able to provide support because it was not guarantee based but r</w:t>
      </w:r>
      <w:r>
        <w:rPr>
          <w:rFonts w:ascii="Open Sans" w:hAnsi="Open Sans" w:cs="Open Sans"/>
          <w:color w:val="000000" w:themeColor="text1"/>
        </w:rPr>
        <w:t xml:space="preserve">ather it was insurance based. The UK government did not have (still does not have) an explicit Covid 19 programme for SME exporters in the services and digital space, and yet a combination of a CBILS or British Business Bank support </w:t>
      </w:r>
      <w:r>
        <w:rPr>
          <w:rFonts w:ascii="Open Sans" w:hAnsi="Open Sans" w:cs="Open Sans"/>
          <w:color w:val="000000" w:themeColor="text1"/>
        </w:rPr>
        <w:t>(</w:t>
      </w:r>
      <w:r>
        <w:rPr>
          <w:rFonts w:ascii="Open Sans" w:hAnsi="Open Sans" w:cs="Open Sans"/>
          <w:color w:val="000000" w:themeColor="text1"/>
        </w:rPr>
        <w:t>such as the Future Fun</w:t>
      </w:r>
      <w:r>
        <w:rPr>
          <w:rFonts w:ascii="Open Sans" w:hAnsi="Open Sans" w:cs="Open Sans"/>
          <w:color w:val="000000" w:themeColor="text1"/>
        </w:rPr>
        <w:t>d</w:t>
      </w:r>
      <w:r>
        <w:rPr>
          <w:rFonts w:ascii="Open Sans" w:hAnsi="Open Sans" w:cs="Open Sans"/>
          <w:color w:val="000000" w:themeColor="text1"/>
        </w:rPr>
        <w:t xml:space="preserve">) </w:t>
      </w:r>
      <w:r>
        <w:rPr>
          <w:rFonts w:ascii="Open Sans" w:hAnsi="Open Sans" w:cs="Open Sans"/>
          <w:color w:val="000000" w:themeColor="text1"/>
        </w:rPr>
        <w:t xml:space="preserve">and insurance would have de-risked the short-term finance completely and been a swifter solution. </w:t>
      </w:r>
    </w:p>
    <w:p w:rsidR="00BB3F0D" w:rsidP="00D51EFB">
      <w:pPr>
        <w:pStyle w:val="Signature"/>
        <w:numPr>
          <w:ilvl w:val="0"/>
          <w:numId w:val="15"/>
        </w:numPr>
        <w:rPr>
          <w:rFonts w:ascii="Open Sans" w:hAnsi="Open Sans" w:cs="Open Sans"/>
          <w:color w:val="000000" w:themeColor="text1"/>
        </w:rPr>
      </w:pPr>
      <w:r>
        <w:rPr>
          <w:rFonts w:ascii="Open Sans" w:hAnsi="Open Sans" w:cs="Open Sans"/>
          <w:b/>
          <w:bCs/>
          <w:color w:val="000000" w:themeColor="text1"/>
        </w:rPr>
        <w:t xml:space="preserve">UKEF </w:t>
      </w:r>
      <w:r>
        <w:rPr>
          <w:rFonts w:ascii="Open Sans" w:hAnsi="Open Sans" w:cs="Open Sans"/>
          <w:b/>
          <w:bCs/>
          <w:color w:val="000000" w:themeColor="text1"/>
        </w:rPr>
        <w:t xml:space="preserve">and the banks need to work more systematically together: </w:t>
      </w:r>
      <w:r>
        <w:rPr>
          <w:rFonts w:ascii="Open Sans" w:hAnsi="Open Sans" w:cs="Open Sans"/>
          <w:color w:val="000000" w:themeColor="text1"/>
        </w:rPr>
        <w:t>solutions such as those offered by the Kreditanstalt für Wiederaufbau (KfW) in Germany include a mix of co-investment, guarantees and insurances tapered according to the private or public returns of the project. There is no evidence that this disincentivis</w:t>
      </w:r>
      <w:r>
        <w:rPr>
          <w:rFonts w:ascii="Open Sans" w:hAnsi="Open Sans" w:cs="Open Sans"/>
          <w:color w:val="000000" w:themeColor="text1"/>
        </w:rPr>
        <w:t xml:space="preserve">es trade amongst SMEs in Germany’s Mittelstand, but the structures are well-known/well-established amongst the trade finance banks in Germany that serve this sector. </w:t>
      </w:r>
    </w:p>
    <w:p w:rsidR="00BB3F0D" w:rsidRPr="00A113F4" w:rsidP="00D51EFB">
      <w:pPr>
        <w:pStyle w:val="Signature"/>
        <w:numPr>
          <w:ilvl w:val="0"/>
          <w:numId w:val="15"/>
        </w:numPr>
        <w:rPr>
          <w:rFonts w:ascii="Open Sans" w:hAnsi="Open Sans" w:cs="Open Sans"/>
          <w:color w:val="000000" w:themeColor="text1"/>
        </w:rPr>
      </w:pPr>
      <w:r>
        <w:rPr>
          <w:rFonts w:ascii="Open Sans" w:hAnsi="Open Sans" w:cs="Open Sans"/>
          <w:b/>
          <w:bCs/>
          <w:color w:val="000000" w:themeColor="text1"/>
        </w:rPr>
        <w:t xml:space="preserve">UKEF needs to </w:t>
      </w:r>
      <w:r>
        <w:rPr>
          <w:rFonts w:ascii="Open Sans" w:hAnsi="Open Sans" w:cs="Open Sans"/>
          <w:b/>
          <w:bCs/>
          <w:color w:val="000000" w:themeColor="text1"/>
        </w:rPr>
        <w:t>work cross-agency</w:t>
      </w:r>
      <w:r>
        <w:rPr>
          <w:rFonts w:ascii="Open Sans" w:hAnsi="Open Sans" w:cs="Open Sans"/>
          <w:b/>
          <w:bCs/>
          <w:color w:val="000000" w:themeColor="text1"/>
        </w:rPr>
        <w:t xml:space="preserve"> using technology-based solutions</w:t>
      </w:r>
      <w:r>
        <w:rPr>
          <w:rFonts w:ascii="Open Sans" w:hAnsi="Open Sans" w:cs="Open Sans"/>
          <w:b/>
          <w:bCs/>
          <w:color w:val="000000" w:themeColor="text1"/>
        </w:rPr>
        <w:t xml:space="preserve"> to address</w:t>
      </w:r>
      <w:r>
        <w:rPr>
          <w:rFonts w:ascii="Open Sans" w:hAnsi="Open Sans" w:cs="Open Sans"/>
          <w:b/>
          <w:bCs/>
          <w:color w:val="000000" w:themeColor="text1"/>
        </w:rPr>
        <w:t xml:space="preserve"> the demand si</w:t>
      </w:r>
      <w:r>
        <w:rPr>
          <w:rFonts w:ascii="Open Sans" w:hAnsi="Open Sans" w:cs="Open Sans"/>
          <w:b/>
          <w:bCs/>
          <w:color w:val="000000" w:themeColor="text1"/>
        </w:rPr>
        <w:t>de gap</w:t>
      </w:r>
      <w:r w:rsidRPr="00BB3F0D">
        <w:rPr>
          <w:rFonts w:ascii="Open Sans" w:hAnsi="Open Sans" w:cs="Open Sans"/>
        </w:rPr>
        <w:t>:</w:t>
      </w:r>
      <w:r>
        <w:rPr>
          <w:rFonts w:ascii="Open Sans" w:hAnsi="Open Sans" w:cs="Open Sans"/>
        </w:rPr>
        <w:t xml:space="preserve"> the awareness gap amongst the SME market is a frustration to banks and to UKEF itself. If an SME does not demand trade finance, and indeed doesn’t even know what it is, then there isn’t a market for it. Supply does not create its own demand in this</w:t>
      </w:r>
      <w:r>
        <w:rPr>
          <w:rFonts w:ascii="Open Sans" w:hAnsi="Open Sans" w:cs="Open Sans"/>
        </w:rPr>
        <w:t xml:space="preserve"> instance because the market is unaffordable</w:t>
      </w:r>
      <w:r>
        <w:rPr>
          <w:rFonts w:ascii="Open Sans" w:hAnsi="Open Sans" w:cs="Open Sans"/>
        </w:rPr>
        <w:t xml:space="preserve">/unadressable </w:t>
      </w:r>
      <w:r>
        <w:rPr>
          <w:rFonts w:ascii="Open Sans" w:hAnsi="Open Sans" w:cs="Open Sans"/>
        </w:rPr>
        <w:t>at present</w:t>
      </w:r>
      <w:r>
        <w:rPr>
          <w:rFonts w:ascii="Open Sans" w:hAnsi="Open Sans" w:cs="Open Sans"/>
        </w:rPr>
        <w:t xml:space="preserve"> below the turnover threshold of $6.5m. Even at higher levels of turnover, banks make considerable efforts to </w:t>
      </w:r>
      <w:r>
        <w:rPr>
          <w:rFonts w:ascii="Open Sans" w:hAnsi="Open Sans" w:cs="Open Sans"/>
        </w:rPr>
        <w:t xml:space="preserve">work with their clients to ensure the market </w:t>
      </w:r>
      <w:r>
        <w:rPr>
          <w:rFonts w:ascii="Open Sans" w:hAnsi="Open Sans" w:cs="Open Sans"/>
        </w:rPr>
        <w:t xml:space="preserve">exists </w:t>
      </w:r>
      <w:r>
        <w:rPr>
          <w:rFonts w:ascii="Open Sans" w:hAnsi="Open Sans" w:cs="Open Sans"/>
        </w:rPr>
        <w:t>and this in unsustainable</w:t>
      </w:r>
      <w:r>
        <w:rPr>
          <w:rFonts w:ascii="Open Sans" w:hAnsi="Open Sans" w:cs="Open Sans"/>
        </w:rPr>
        <w:t>.</w:t>
      </w:r>
      <w:r>
        <w:rPr>
          <w:rFonts w:ascii="Open Sans" w:hAnsi="Open Sans" w:cs="Open Sans"/>
        </w:rPr>
        <w:t xml:space="preserve"> </w:t>
      </w:r>
      <w:r>
        <w:rPr>
          <w:rFonts w:ascii="Open Sans" w:hAnsi="Open Sans" w:cs="Open Sans"/>
        </w:rPr>
        <w:br/>
      </w:r>
      <w:r>
        <w:rPr>
          <w:rFonts w:ascii="Open Sans" w:hAnsi="Open Sans" w:cs="Open Sans"/>
        </w:rPr>
        <w:t>This is more than a call for greater education. There are technologies that will link bank accounts to trade financing potential through the Open Banking Implementation Entity and its data organisation, FDATA. The FCA digital sandbox also offers potenti</w:t>
      </w:r>
      <w:r>
        <w:rPr>
          <w:rFonts w:ascii="Open Sans" w:hAnsi="Open Sans" w:cs="Open Sans"/>
        </w:rPr>
        <w:t>al and the Bank of England is also addressing the issue. It has the full enabling support of UK Finance and resources from Innovate UK to develop the technology are available (from experience). Banks will not come into this market unless they have a techno</w:t>
      </w:r>
      <w:r>
        <w:rPr>
          <w:rFonts w:ascii="Open Sans" w:hAnsi="Open Sans" w:cs="Open Sans"/>
        </w:rPr>
        <w:t>logical solution that reduces their costs</w:t>
      </w:r>
      <w:r>
        <w:rPr>
          <w:rFonts w:ascii="Open Sans" w:hAnsi="Open Sans" w:cs="Open Sans"/>
        </w:rPr>
        <w:t xml:space="preserve"> as yields are likely to remain very low for the foreseeable future.</w:t>
      </w:r>
    </w:p>
    <w:sectPr w:rsidSect="00740E83">
      <w:headerReference w:type="even" r:id="rId5"/>
      <w:headerReference w:type="default" r:id="rId6"/>
      <w:footerReference w:type="even" r:id="rId7"/>
      <w:footerReference w:type="default" r:id="rId8"/>
      <w:headerReference w:type="first" r:id="rId9"/>
      <w:footerReference w:type="first" r:id="rId10"/>
      <w:pgSz w:w="11900" w:h="16840"/>
      <w:pgMar w:top="2671" w:right="1440" w:bottom="1520" w:left="1440" w:header="709" w:footer="79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en Sans">
    <w:altName w:val="Calibri"/>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F2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83" w:rsidRPr="00740E83" w:rsidP="00740E83">
    <w:pPr>
      <w:pStyle w:val="Footer"/>
      <w:jc w:val="center"/>
      <w:rPr>
        <w:rFonts w:ascii="Arial" w:hAnsi="Arial" w:cs="Arial"/>
        <w:i/>
        <w:iCs/>
        <w:sz w:val="20"/>
        <w:szCs w:val="20"/>
      </w:rPr>
    </w:pPr>
    <w:r w:rsidRPr="00740E83">
      <w:rPr>
        <w:rFonts w:ascii="Arial" w:hAnsi="Arial" w:cs="Arial"/>
        <w:i/>
        <w:iCs/>
        <w:sz w:val="20"/>
        <w:szCs w:val="20"/>
      </w:rPr>
      <w:t>September 2020</w:t>
    </w:r>
  </w:p>
  <w:p w:rsidR="00FA2520" w:rsidP="007837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F2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F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83" w:rsidRPr="00740E83" w:rsidP="00740E83">
    <w:pPr>
      <w:pStyle w:val="Header"/>
      <w:jc w:val="center"/>
      <w:rPr>
        <w:rFonts w:ascii="Arial" w:hAnsi="Arial" w:cs="Arial"/>
        <w:sz w:val="20"/>
        <w:szCs w:val="20"/>
      </w:rPr>
    </w:pPr>
    <w:r w:rsidRPr="00740E83">
      <w:rPr>
        <w:rFonts w:ascii="Arial" w:hAnsi="Arial" w:cs="Arial"/>
        <w:sz w:val="20"/>
        <w:szCs w:val="20"/>
      </w:rPr>
      <w:t>Written evidence from Coriolis Technologies Ltd</w:t>
    </w:r>
    <w:r>
      <w:rPr>
        <w:rFonts w:ascii="Arial" w:hAnsi="Arial" w:cs="Arial"/>
        <w:sz w:val="20"/>
        <w:szCs w:val="20"/>
      </w:rPr>
      <w:t xml:space="preserve"> (UEF0026)</w:t>
    </w:r>
  </w:p>
  <w:p w:rsidR="000569E8" w:rsidP="001C30AE">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86F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DB4060E"/>
    <w:lvl w:ilvl="0">
      <w:start w:val="1"/>
      <w:numFmt w:val="decimal"/>
      <w:lvlText w:val="%1."/>
      <w:lvlJc w:val="left"/>
      <w:pPr>
        <w:tabs>
          <w:tab w:val="num" w:pos="1492"/>
        </w:tabs>
        <w:ind w:left="1492" w:hanging="360"/>
      </w:pPr>
    </w:lvl>
  </w:abstractNum>
  <w:abstractNum w:abstractNumId="1">
    <w:nsid w:val="FFFFFF7D"/>
    <w:multiLevelType w:val="singleLevel"/>
    <w:tmpl w:val="279C0BAA"/>
    <w:lvl w:ilvl="0">
      <w:start w:val="1"/>
      <w:numFmt w:val="decimal"/>
      <w:lvlText w:val="%1."/>
      <w:lvlJc w:val="left"/>
      <w:pPr>
        <w:tabs>
          <w:tab w:val="num" w:pos="1209"/>
        </w:tabs>
        <w:ind w:left="1209" w:hanging="360"/>
      </w:pPr>
    </w:lvl>
  </w:abstractNum>
  <w:abstractNum w:abstractNumId="2">
    <w:nsid w:val="FFFFFF7E"/>
    <w:multiLevelType w:val="singleLevel"/>
    <w:tmpl w:val="59AA68FC"/>
    <w:lvl w:ilvl="0">
      <w:start w:val="1"/>
      <w:numFmt w:val="decimal"/>
      <w:lvlText w:val="%1."/>
      <w:lvlJc w:val="left"/>
      <w:pPr>
        <w:tabs>
          <w:tab w:val="num" w:pos="926"/>
        </w:tabs>
        <w:ind w:left="926" w:hanging="360"/>
      </w:pPr>
    </w:lvl>
  </w:abstractNum>
  <w:abstractNum w:abstractNumId="3">
    <w:nsid w:val="FFFFFF7F"/>
    <w:multiLevelType w:val="singleLevel"/>
    <w:tmpl w:val="7D90630C"/>
    <w:lvl w:ilvl="0">
      <w:start w:val="1"/>
      <w:numFmt w:val="decimal"/>
      <w:lvlText w:val="%1."/>
      <w:lvlJc w:val="left"/>
      <w:pPr>
        <w:tabs>
          <w:tab w:val="num" w:pos="643"/>
        </w:tabs>
        <w:ind w:left="643" w:hanging="360"/>
      </w:pPr>
    </w:lvl>
  </w:abstractNum>
  <w:abstractNum w:abstractNumId="4">
    <w:nsid w:val="FFFFFF80"/>
    <w:multiLevelType w:val="singleLevel"/>
    <w:tmpl w:val="6682FD6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67007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1DE222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2EFC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4ED7A6"/>
    <w:lvl w:ilvl="0">
      <w:start w:val="1"/>
      <w:numFmt w:val="decimal"/>
      <w:lvlText w:val="%1."/>
      <w:lvlJc w:val="left"/>
      <w:pPr>
        <w:tabs>
          <w:tab w:val="num" w:pos="360"/>
        </w:tabs>
        <w:ind w:left="360" w:hanging="360"/>
      </w:pPr>
    </w:lvl>
  </w:abstractNum>
  <w:abstractNum w:abstractNumId="9">
    <w:nsid w:val="FFFFFF89"/>
    <w:multiLevelType w:val="singleLevel"/>
    <w:tmpl w:val="DA64EB1A"/>
    <w:lvl w:ilvl="0">
      <w:start w:val="1"/>
      <w:numFmt w:val="bullet"/>
      <w:lvlText w:val=""/>
      <w:lvlJc w:val="left"/>
      <w:pPr>
        <w:tabs>
          <w:tab w:val="num" w:pos="360"/>
        </w:tabs>
        <w:ind w:left="360" w:hanging="360"/>
      </w:pPr>
      <w:rPr>
        <w:rFonts w:ascii="Symbol" w:hAnsi="Symbol" w:hint="default"/>
      </w:rPr>
    </w:lvl>
  </w:abstractNum>
  <w:abstractNum w:abstractNumId="10">
    <w:nsid w:val="1F2F00EE"/>
    <w:multiLevelType w:val="hybridMultilevel"/>
    <w:tmpl w:val="80245E88"/>
    <w:lvl w:ilvl="0">
      <w:start w:val="1"/>
      <w:numFmt w:val="lowerLetter"/>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45384285"/>
    <w:multiLevelType w:val="multilevel"/>
    <w:tmpl w:val="5AB8A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A8379BA"/>
    <w:multiLevelType w:val="hybridMultilevel"/>
    <w:tmpl w:val="61A438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4E12A69"/>
    <w:multiLevelType w:val="hybridMultilevel"/>
    <w:tmpl w:val="7338D03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5784049"/>
    <w:multiLevelType w:val="hybridMultilevel"/>
    <w:tmpl w:val="7082CCA8"/>
    <w:lvl w:ilvl="0">
      <w:start w:val="1"/>
      <w:numFmt w:val="lowerLetter"/>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7C5931A4"/>
    <w:multiLevelType w:val="hybridMultilevel"/>
    <w:tmpl w:val="CA8034E6"/>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nsid w:val="7D1D0B35"/>
    <w:multiLevelType w:val="multilevel"/>
    <w:tmpl w:val="68E6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1"/>
  </w:num>
  <w:num w:numId="13">
    <w:abstractNumId w:val="10"/>
  </w:num>
  <w:num w:numId="14">
    <w:abstractNumId w:val="15"/>
  </w:num>
  <w:num w:numId="15">
    <w:abstractNumId w:val="14"/>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Z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C21BF"/>
    <w:pPr>
      <w:jc w:val="both"/>
    </w:pPr>
    <w:rPr>
      <w:rFonts w:ascii="Helvetica" w:hAnsi="Helvetica" w:cs="Helvetica"/>
      <w:noProof/>
      <w:sz w:val="22"/>
      <w:szCs w:val="22"/>
      <w:lang w:val="en-US"/>
    </w:rPr>
  </w:style>
  <w:style w:type="paragraph" w:styleId="Heading4">
    <w:name w:val="heading 4"/>
    <w:basedOn w:val="Normal"/>
    <w:link w:val="Heading4Char"/>
    <w:uiPriority w:val="9"/>
    <w:qFormat/>
    <w:rsid w:val="00BA1AEA"/>
    <w:pPr>
      <w:spacing w:before="100" w:beforeAutospacing="1" w:after="100" w:afterAutospacing="1"/>
      <w:jc w:val="left"/>
      <w:outlineLvl w:val="3"/>
    </w:pPr>
    <w:rPr>
      <w:rFonts w:ascii="Times New Roman" w:eastAsia="Times New Roman" w:hAnsi="Times New Roman" w:cs="Times New Roman"/>
      <w:b/>
      <w:bCs/>
      <w:noProof w:val="0"/>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6658"/>
    <w:pPr>
      <w:tabs>
        <w:tab w:val="center" w:pos="4680"/>
        <w:tab w:val="right" w:pos="9360"/>
      </w:tabs>
    </w:pPr>
  </w:style>
  <w:style w:type="character" w:customStyle="1" w:styleId="HeaderChar">
    <w:name w:val="Header Char"/>
    <w:basedOn w:val="DefaultParagraphFont"/>
    <w:link w:val="Header"/>
    <w:uiPriority w:val="99"/>
    <w:rsid w:val="009E6658"/>
  </w:style>
  <w:style w:type="paragraph" w:styleId="Footer">
    <w:name w:val="footer"/>
    <w:basedOn w:val="Normal"/>
    <w:link w:val="FooterChar"/>
    <w:uiPriority w:val="99"/>
    <w:unhideWhenUsed/>
    <w:qFormat/>
    <w:rsid w:val="007837FF"/>
    <w:pPr>
      <w:spacing w:line="264" w:lineRule="auto"/>
    </w:pPr>
    <w:rPr>
      <w:sz w:val="16"/>
    </w:rPr>
  </w:style>
  <w:style w:type="character" w:customStyle="1" w:styleId="FooterChar">
    <w:name w:val="Footer Char"/>
    <w:basedOn w:val="DefaultParagraphFont"/>
    <w:link w:val="Footer"/>
    <w:uiPriority w:val="99"/>
    <w:rsid w:val="007837FF"/>
    <w:rPr>
      <w:rFonts w:ascii="Helvetica" w:hAnsi="Helvetica" w:cs="Helvetica"/>
      <w:noProof/>
      <w:sz w:val="16"/>
      <w:szCs w:val="22"/>
      <w:lang w:val="en-US"/>
    </w:rPr>
  </w:style>
  <w:style w:type="character" w:styleId="Hyperlink">
    <w:name w:val="Hyperlink"/>
    <w:basedOn w:val="DefaultParagraphFont"/>
    <w:uiPriority w:val="99"/>
    <w:unhideWhenUsed/>
    <w:rsid w:val="00072C65"/>
    <w:rPr>
      <w:color w:val="0563C1" w:themeColor="hyperlink"/>
      <w:u w:val="single"/>
    </w:rPr>
  </w:style>
  <w:style w:type="character" w:customStyle="1" w:styleId="UnresolvedMention1">
    <w:name w:val="Unresolved Mention1"/>
    <w:basedOn w:val="DefaultParagraphFont"/>
    <w:uiPriority w:val="99"/>
    <w:semiHidden/>
    <w:unhideWhenUsed/>
    <w:rsid w:val="00072C65"/>
    <w:rPr>
      <w:color w:val="605E5C"/>
      <w:shd w:val="clear" w:color="auto" w:fill="E1DFDD"/>
    </w:rPr>
  </w:style>
  <w:style w:type="character" w:styleId="FollowedHyperlink">
    <w:name w:val="FollowedHyperlink"/>
    <w:basedOn w:val="DefaultParagraphFont"/>
    <w:uiPriority w:val="99"/>
    <w:semiHidden/>
    <w:unhideWhenUsed/>
    <w:rsid w:val="003B7773"/>
    <w:rPr>
      <w:color w:val="954F72" w:themeColor="followedHyperlink"/>
      <w:u w:val="single"/>
    </w:rPr>
  </w:style>
  <w:style w:type="paragraph" w:styleId="Signature">
    <w:name w:val="Signature"/>
    <w:basedOn w:val="Normal"/>
    <w:link w:val="SignatureChar"/>
    <w:uiPriority w:val="99"/>
    <w:unhideWhenUsed/>
    <w:qFormat/>
    <w:rsid w:val="00FA2520"/>
  </w:style>
  <w:style w:type="character" w:customStyle="1" w:styleId="SignatureChar">
    <w:name w:val="Signature Char"/>
    <w:basedOn w:val="DefaultParagraphFont"/>
    <w:link w:val="Signature"/>
    <w:uiPriority w:val="99"/>
    <w:rsid w:val="00FA2520"/>
    <w:rPr>
      <w:rFonts w:ascii="Helvetica" w:hAnsi="Helvetica" w:cs="Helvetica"/>
      <w:noProof/>
      <w:sz w:val="22"/>
      <w:szCs w:val="22"/>
      <w:lang w:val="en-US"/>
    </w:rPr>
  </w:style>
  <w:style w:type="paragraph" w:styleId="NoSpacing">
    <w:name w:val="No Spacing"/>
    <w:uiPriority w:val="1"/>
    <w:rsid w:val="00FA2520"/>
    <w:rPr>
      <w:rFonts w:ascii="Helvetica" w:hAnsi="Helvetica" w:cs="Helvetica"/>
      <w:noProof/>
      <w:sz w:val="22"/>
      <w:szCs w:val="22"/>
      <w:lang w:val="en-US"/>
    </w:rPr>
  </w:style>
  <w:style w:type="paragraph" w:styleId="Subtitle">
    <w:name w:val="Subtitle"/>
    <w:basedOn w:val="Normal"/>
    <w:next w:val="Normal"/>
    <w:link w:val="SubtitleChar"/>
    <w:uiPriority w:val="11"/>
    <w:rsid w:val="00FA252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A2520"/>
    <w:rPr>
      <w:rFonts w:eastAsiaTheme="minorEastAsia"/>
      <w:noProof/>
      <w:color w:val="5A5A5A" w:themeColor="text1" w:themeTint="A5"/>
      <w:spacing w:val="15"/>
      <w:sz w:val="22"/>
      <w:szCs w:val="22"/>
      <w:lang w:val="en-US"/>
    </w:rPr>
  </w:style>
  <w:style w:type="character" w:customStyle="1" w:styleId="Heading4Char">
    <w:name w:val="Heading 4 Char"/>
    <w:basedOn w:val="DefaultParagraphFont"/>
    <w:link w:val="Heading4"/>
    <w:uiPriority w:val="9"/>
    <w:rsid w:val="00BA1AEA"/>
    <w:rPr>
      <w:rFonts w:ascii="Times New Roman" w:eastAsia="Times New Roman" w:hAnsi="Times New Roman" w:cs="Times New Roman"/>
      <w:b/>
      <w:bCs/>
      <w:lang w:val="en-GB" w:eastAsia="en-GB"/>
    </w:rPr>
  </w:style>
  <w:style w:type="paragraph" w:styleId="FootnoteText">
    <w:name w:val="footnote text"/>
    <w:basedOn w:val="Normal"/>
    <w:link w:val="FootnoteTextChar"/>
    <w:uiPriority w:val="99"/>
    <w:semiHidden/>
    <w:unhideWhenUsed/>
    <w:rsid w:val="004973C2"/>
    <w:rPr>
      <w:sz w:val="20"/>
      <w:szCs w:val="20"/>
    </w:rPr>
  </w:style>
  <w:style w:type="character" w:customStyle="1" w:styleId="FootnoteTextChar">
    <w:name w:val="Footnote Text Char"/>
    <w:basedOn w:val="DefaultParagraphFont"/>
    <w:link w:val="FootnoteText"/>
    <w:uiPriority w:val="99"/>
    <w:semiHidden/>
    <w:rsid w:val="004973C2"/>
    <w:rPr>
      <w:rFonts w:ascii="Helvetica" w:hAnsi="Helvetica" w:cs="Helvetica"/>
      <w:noProof/>
      <w:sz w:val="20"/>
      <w:szCs w:val="20"/>
      <w:lang w:val="en-US"/>
    </w:rPr>
  </w:style>
  <w:style w:type="character" w:styleId="FootnoteReference">
    <w:name w:val="footnote reference"/>
    <w:basedOn w:val="DefaultParagraphFont"/>
    <w:uiPriority w:val="99"/>
    <w:semiHidden/>
    <w:unhideWhenUsed/>
    <w:rsid w:val="004973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D194A-D1DB-4DAA-9F90-100E05C7B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