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007D" w:rsidP="00D2007D">
      <w:pPr>
        <w:rPr>
          <w:b/>
          <w:bCs/>
        </w:rPr>
      </w:pPr>
      <w:r>
        <w:rPr>
          <w:rStyle w:val="normaltextrun"/>
          <w:rFonts w:ascii="Verdana" w:hAnsi="Verdana"/>
          <w:b/>
          <w:bCs/>
          <w:color w:val="000000"/>
          <w:sz w:val="28"/>
          <w:szCs w:val="28"/>
          <w:shd w:val="clear" w:color="auto" w:fill="FFFFFF"/>
          <w:lang w:val="en-US"/>
        </w:rPr>
        <w:t>N</w:t>
      </w:r>
      <w:r w:rsidR="00940A04">
        <w:rPr>
          <w:rStyle w:val="normaltextrun"/>
          <w:rFonts w:ascii="Verdana" w:hAnsi="Verdana"/>
          <w:b/>
          <w:bCs/>
          <w:color w:val="000000"/>
          <w:sz w:val="28"/>
          <w:szCs w:val="28"/>
          <w:shd w:val="clear" w:color="auto" w:fill="FFFFFF"/>
          <w:lang w:val="en-US"/>
        </w:rPr>
        <w:t>a</w:t>
      </w:r>
      <w:r>
        <w:rPr>
          <w:rStyle w:val="normaltextrun"/>
          <w:rFonts w:ascii="Verdana" w:hAnsi="Verdana"/>
          <w:b/>
          <w:bCs/>
          <w:color w:val="000000"/>
          <w:sz w:val="28"/>
          <w:szCs w:val="28"/>
          <w:shd w:val="clear" w:color="auto" w:fill="FFFFFF"/>
          <w:lang w:val="en-US"/>
        </w:rPr>
        <w:t>ti</w:t>
      </w:r>
      <w:r w:rsidR="00940A04">
        <w:rPr>
          <w:rStyle w:val="normaltextrun"/>
          <w:rFonts w:ascii="Verdana" w:hAnsi="Verdana"/>
          <w:b/>
          <w:bCs/>
          <w:color w:val="000000"/>
          <w:sz w:val="28"/>
          <w:szCs w:val="28"/>
          <w:shd w:val="clear" w:color="auto" w:fill="FFFFFF"/>
          <w:lang w:val="en-US"/>
        </w:rPr>
        <w:t>on</w:t>
      </w:r>
      <w:r>
        <w:rPr>
          <w:rStyle w:val="normaltextrun"/>
          <w:rFonts w:ascii="Verdana" w:hAnsi="Verdana"/>
          <w:b/>
          <w:bCs/>
          <w:color w:val="000000"/>
          <w:sz w:val="28"/>
          <w:szCs w:val="28"/>
          <w:shd w:val="clear" w:color="auto" w:fill="FFFFFF"/>
          <w:lang w:val="en-US"/>
        </w:rPr>
        <w:t>a</w:t>
      </w:r>
      <w:r w:rsidR="00940A04">
        <w:rPr>
          <w:rStyle w:val="normaltextrun"/>
          <w:rFonts w:ascii="Verdana" w:hAnsi="Verdana"/>
          <w:b/>
          <w:bCs/>
          <w:color w:val="000000"/>
          <w:sz w:val="28"/>
          <w:szCs w:val="28"/>
          <w:shd w:val="clear" w:color="auto" w:fill="FFFFFF"/>
          <w:lang w:val="en-US"/>
        </w:rPr>
        <w:t>l Audit Office</w:t>
      </w:r>
      <w:r>
        <w:rPr>
          <w:rStyle w:val="normaltextrun"/>
          <w:rFonts w:ascii="Verdana" w:hAnsi="Verdana"/>
          <w:b/>
          <w:bCs/>
          <w:color w:val="000000"/>
          <w:sz w:val="28"/>
          <w:szCs w:val="28"/>
          <w:shd w:val="clear" w:color="auto" w:fill="FFFFFF"/>
          <w:lang w:val="en-US"/>
        </w:rPr>
        <w:t xml:space="preserve"> — Written evidence (</w:t>
      </w:r>
      <w:r w:rsidR="00451AA2">
        <w:rPr>
          <w:rStyle w:val="normaltextrun"/>
          <w:rFonts w:ascii="Verdana" w:hAnsi="Verdana"/>
          <w:b/>
          <w:bCs/>
          <w:color w:val="000000"/>
          <w:sz w:val="28"/>
          <w:szCs w:val="28"/>
          <w:shd w:val="clear" w:color="auto" w:fill="FFFFFF"/>
          <w:lang w:val="en-US"/>
        </w:rPr>
        <w:t>JCS0039</w:t>
      </w:r>
      <w:r>
        <w:rPr>
          <w:rStyle w:val="normaltextrun"/>
          <w:rFonts w:ascii="Verdana" w:hAnsi="Verdana"/>
          <w:b/>
          <w:bCs/>
          <w:color w:val="000000"/>
          <w:sz w:val="28"/>
          <w:szCs w:val="28"/>
          <w:shd w:val="clear" w:color="auto" w:fill="FFFFFF"/>
          <w:lang w:val="en-US"/>
        </w:rPr>
        <w:t>)</w:t>
      </w:r>
      <w:r>
        <w:rPr>
          <w:rStyle w:val="normaltextrun"/>
          <w:rFonts w:ascii="Verdana" w:hAnsi="Verdana"/>
          <w:color w:val="000000"/>
          <w:sz w:val="28"/>
          <w:szCs w:val="28"/>
          <w:shd w:val="clear" w:color="auto" w:fill="FFFFFF"/>
          <w:lang w:val="en-US"/>
        </w:rPr>
        <w:t> </w:t>
      </w:r>
      <w:r>
        <w:rPr>
          <w:rStyle w:val="normaltextrun"/>
          <w:rFonts w:ascii="Calibri" w:hAnsi="Calibri" w:cs="Calibri"/>
          <w:color w:val="000000"/>
          <w:shd w:val="clear" w:color="auto" w:fill="FFFFFF"/>
          <w:lang w:val="en-US"/>
        </w:rPr>
        <w:t>  </w:t>
      </w:r>
      <w:r>
        <w:rPr>
          <w:rStyle w:val="eop"/>
          <w:rFonts w:ascii="Calibri" w:hAnsi="Calibri" w:cs="Calibri"/>
          <w:color w:val="000000"/>
          <w:shd w:val="clear" w:color="auto" w:fill="FFFFFF"/>
        </w:rPr>
        <w:t> </w:t>
      </w:r>
    </w:p>
    <w:p w:rsidR="00567549" w:rsidRPr="008501DC">
      <w:pPr>
        <w:rPr>
          <w:rFonts w:ascii="Verdana" w:hAnsi="Verdana"/>
        </w:rPr>
      </w:pPr>
      <w:r w:rsidRPr="008501DC">
        <w:rPr>
          <w:rFonts w:ascii="Verdana" w:hAnsi="Verdana"/>
        </w:rPr>
        <w:t>We are pleased to provide evidence to the Committee’s inquiry into community sentences. Our evidence draws on insights from our published work where relevant and on publicly available information and data. We have not focussed in depth on community sentences in our recent value for money studies, so our insights are limited in scope. This brief covers:</w:t>
      </w:r>
    </w:p>
    <w:p w:rsidR="00567549" w:rsidRPr="008501DC" w:rsidP="00C710B4">
      <w:pPr>
        <w:pStyle w:val="ListParagraph"/>
        <w:numPr>
          <w:ilvl w:val="1"/>
          <w:numId w:val="30"/>
        </w:numPr>
        <w:ind w:hanging="306"/>
        <w:rPr>
          <w:rFonts w:ascii="Verdana" w:hAnsi="Verdana"/>
        </w:rPr>
      </w:pPr>
      <w:r w:rsidRPr="008501DC">
        <w:rPr>
          <w:rFonts w:ascii="Verdana" w:hAnsi="Verdana"/>
        </w:rPr>
        <w:t>Trends in the use of community sentences</w:t>
      </w:r>
    </w:p>
    <w:p w:rsidR="00567549" w:rsidRPr="008501DC" w:rsidP="00E954B8">
      <w:pPr>
        <w:pStyle w:val="ListParagraph"/>
        <w:numPr>
          <w:ilvl w:val="0"/>
          <w:numId w:val="41"/>
        </w:numPr>
        <w:ind w:left="2268" w:hanging="567"/>
        <w:rPr>
          <w:rFonts w:ascii="Verdana" w:hAnsi="Verdana"/>
        </w:rPr>
      </w:pPr>
      <w:r w:rsidRPr="008501DC">
        <w:rPr>
          <w:rFonts w:ascii="Verdana" w:hAnsi="Verdana"/>
        </w:rPr>
        <w:t xml:space="preserve">Historical trends </w:t>
      </w:r>
    </w:p>
    <w:p w:rsidR="00567549" w:rsidRPr="008501DC" w:rsidP="00E954B8">
      <w:pPr>
        <w:pStyle w:val="ListParagraph"/>
        <w:numPr>
          <w:ilvl w:val="0"/>
          <w:numId w:val="41"/>
        </w:numPr>
        <w:ind w:left="2268" w:hanging="567"/>
        <w:rPr>
          <w:rFonts w:ascii="Verdana" w:hAnsi="Verdana"/>
        </w:rPr>
      </w:pPr>
      <w:r w:rsidRPr="008501DC">
        <w:rPr>
          <w:rFonts w:ascii="Verdana" w:hAnsi="Verdana"/>
        </w:rPr>
        <w:t xml:space="preserve">Potential causes of the decrease in use of community sentences </w:t>
      </w:r>
    </w:p>
    <w:p w:rsidR="00567549" w:rsidRPr="008501DC" w:rsidP="00E954B8">
      <w:pPr>
        <w:pStyle w:val="ListParagraph"/>
        <w:numPr>
          <w:ilvl w:val="0"/>
          <w:numId w:val="41"/>
        </w:numPr>
        <w:ind w:left="2268" w:hanging="567"/>
        <w:rPr>
          <w:rFonts w:ascii="Verdana" w:hAnsi="Verdana"/>
        </w:rPr>
      </w:pPr>
      <w:r w:rsidRPr="008501DC">
        <w:rPr>
          <w:rFonts w:ascii="Verdana" w:hAnsi="Verdana"/>
        </w:rPr>
        <w:t>The future:  possible effects of prison capacity levels on sentencing options and choices</w:t>
      </w:r>
    </w:p>
    <w:p w:rsidR="00567549" w:rsidRPr="008501DC" w:rsidP="00C710B4">
      <w:pPr>
        <w:pStyle w:val="ListParagraph"/>
        <w:numPr>
          <w:ilvl w:val="1"/>
          <w:numId w:val="30"/>
        </w:numPr>
        <w:ind w:hanging="306"/>
        <w:rPr>
          <w:rFonts w:ascii="Verdana" w:hAnsi="Verdana"/>
        </w:rPr>
      </w:pPr>
      <w:r w:rsidRPr="008501DC">
        <w:rPr>
          <w:rFonts w:ascii="Verdana" w:hAnsi="Verdana"/>
        </w:rPr>
        <w:t>Obstacles to the delivery of community sentences</w:t>
      </w:r>
    </w:p>
    <w:p w:rsidR="00567549" w:rsidRPr="008501DC" w:rsidP="0048743F">
      <w:pPr>
        <w:pStyle w:val="ListParagraph"/>
        <w:numPr>
          <w:ilvl w:val="1"/>
          <w:numId w:val="30"/>
        </w:numPr>
        <w:ind w:hanging="306"/>
        <w:rPr>
          <w:rFonts w:ascii="Verdana" w:hAnsi="Verdana"/>
        </w:rPr>
      </w:pPr>
      <w:r w:rsidRPr="008501DC">
        <w:rPr>
          <w:rFonts w:ascii="Verdana" w:hAnsi="Verdana"/>
        </w:rPr>
        <w:t>The cost effectiveness of short custodial sentences vs community sentences</w:t>
      </w:r>
    </w:p>
    <w:p w:rsidR="00567549" w:rsidRPr="008501DC" w:rsidP="00E954B8">
      <w:pPr>
        <w:pStyle w:val="ListParagraph"/>
        <w:numPr>
          <w:ilvl w:val="2"/>
          <w:numId w:val="30"/>
        </w:numPr>
        <w:ind w:left="2268" w:hanging="567"/>
        <w:rPr>
          <w:rFonts w:ascii="Verdana" w:hAnsi="Verdana"/>
        </w:rPr>
      </w:pPr>
      <w:r w:rsidRPr="008501DC">
        <w:rPr>
          <w:rFonts w:ascii="Verdana" w:hAnsi="Verdana"/>
        </w:rPr>
        <w:t>Cost information on short custodial sentences and community sentences</w:t>
      </w:r>
    </w:p>
    <w:p w:rsidR="00567549" w:rsidRPr="008501DC" w:rsidP="00E954B8">
      <w:pPr>
        <w:pStyle w:val="ListParagraph"/>
        <w:numPr>
          <w:ilvl w:val="2"/>
          <w:numId w:val="30"/>
        </w:numPr>
        <w:ind w:left="2268" w:hanging="567"/>
        <w:rPr>
          <w:rFonts w:ascii="Verdana" w:hAnsi="Verdana"/>
        </w:rPr>
      </w:pPr>
      <w:r w:rsidRPr="008501DC">
        <w:rPr>
          <w:rFonts w:ascii="Verdana" w:hAnsi="Verdana"/>
        </w:rPr>
        <w:t>Potential for cost savings by reducing short custodial sentences and increasing community sentences</w:t>
      </w:r>
    </w:p>
    <w:p w:rsidR="00567549" w:rsidRPr="008501DC" w:rsidP="00E954B8">
      <w:pPr>
        <w:pStyle w:val="ListParagraph"/>
        <w:numPr>
          <w:ilvl w:val="2"/>
          <w:numId w:val="30"/>
        </w:numPr>
        <w:ind w:left="2268" w:hanging="567"/>
        <w:rPr>
          <w:rFonts w:ascii="Verdana" w:hAnsi="Verdana"/>
        </w:rPr>
      </w:pPr>
      <w:r w:rsidRPr="008501DC">
        <w:rPr>
          <w:rFonts w:ascii="Verdana" w:hAnsi="Verdana"/>
        </w:rPr>
        <w:t>Effectiveness of community sentences vs short custodial sentences in reducing reoffending</w:t>
      </w:r>
    </w:p>
    <w:p w:rsidR="00567549" w:rsidP="00E954B8">
      <w:pPr>
        <w:pStyle w:val="ListParagraph"/>
        <w:numPr>
          <w:ilvl w:val="2"/>
          <w:numId w:val="30"/>
        </w:numPr>
        <w:ind w:left="2268" w:hanging="567"/>
        <w:rPr>
          <w:rFonts w:ascii="Verdana" w:hAnsi="Verdana"/>
        </w:rPr>
      </w:pPr>
      <w:r w:rsidRPr="008501DC">
        <w:rPr>
          <w:rFonts w:ascii="Verdana" w:hAnsi="Verdana"/>
        </w:rPr>
        <w:t>Conclusion on what this means when comparing the value for money of both options</w:t>
      </w:r>
    </w:p>
    <w:p w:rsidR="00F644C3" w:rsidRPr="008501DC" w:rsidP="00F644C3">
      <w:pPr>
        <w:pStyle w:val="ListParagraph"/>
        <w:ind w:left="2268"/>
        <w:rPr>
          <w:rFonts w:ascii="Verdana" w:hAnsi="Verdana"/>
        </w:rPr>
      </w:pPr>
    </w:p>
    <w:p w:rsidR="00567549" w:rsidRPr="008501DC">
      <w:pPr>
        <w:pStyle w:val="Heading1"/>
        <w:rPr>
          <w:rFonts w:ascii="Verdana" w:hAnsi="Verdana"/>
          <w:sz w:val="22"/>
          <w:szCs w:val="22"/>
        </w:rPr>
      </w:pPr>
      <w:r w:rsidRPr="008501DC">
        <w:rPr>
          <w:rFonts w:ascii="Verdana" w:hAnsi="Verdana"/>
          <w:sz w:val="22"/>
          <w:szCs w:val="22"/>
        </w:rPr>
        <w:t>1. Trends in the use of community sentences</w:t>
      </w:r>
    </w:p>
    <w:p w:rsidR="00567549" w:rsidRPr="008501DC">
      <w:pPr>
        <w:pStyle w:val="Heading2"/>
        <w:rPr>
          <w:rFonts w:ascii="Verdana" w:hAnsi="Verdana"/>
          <w:sz w:val="22"/>
          <w:szCs w:val="22"/>
        </w:rPr>
      </w:pPr>
      <w:r w:rsidRPr="008501DC">
        <w:rPr>
          <w:rFonts w:ascii="Verdana" w:hAnsi="Verdana"/>
          <w:sz w:val="22"/>
          <w:szCs w:val="22"/>
        </w:rPr>
        <w:t xml:space="preserve">1a. Historical trends </w:t>
      </w:r>
    </w:p>
    <w:p w:rsidR="00567549" w:rsidRPr="008501DC" w:rsidP="00CF7EF1">
      <w:pPr>
        <w:pStyle w:val="ListParagraph"/>
        <w:numPr>
          <w:ilvl w:val="0"/>
          <w:numId w:val="37"/>
        </w:numPr>
        <w:ind w:left="567" w:hanging="284"/>
        <w:rPr>
          <w:rFonts w:ascii="Verdana" w:hAnsi="Verdana"/>
        </w:rPr>
      </w:pPr>
      <w:r w:rsidRPr="008501DC">
        <w:rPr>
          <w:rFonts w:ascii="Verdana" w:hAnsi="Verdana"/>
        </w:rPr>
        <w:t>The number of community sentences issued by courts in England and Wales has significantly declined between 2012 and 2022, decreasing by more than half (54%) in that time period (Figure 1). Part of this decline is because the total number of people sentenced over the period has declined by 14%. However, the proportion of all offenders given community sentences has decreased significantly. In 2012, 12.3% (151,183) of all offenders sentenced in England and Wales were given community sentences, but by 2022 this had fallen to 6.6% (68,994). In contrast, the proportion of people sentenced to immediate custody has remained relatively stable at around 6 to 8% of those sentenced (Figure 2).</w:t>
      </w:r>
    </w:p>
    <w:tbl>
      <w:tblPr>
        <w:tblStyle w:val="NAOTable"/>
        <w:tblW w:w="4947" w:type="pct"/>
        <w:tblLayout w:type="fixed"/>
        <w:tblLook w:val="0600"/>
      </w:tblPr>
      <w:tblGrid>
        <w:gridCol w:w="8930"/>
      </w:tblGrid>
      <w:tr w:rsidTr="00CB1C03">
        <w:tblPrEx>
          <w:tblW w:w="4947" w:type="pct"/>
          <w:tblLayout w:type="fixed"/>
          <w:tblLook w:val="0600"/>
        </w:tblPrEx>
        <w:tc>
          <w:tcPr>
            <w:tcW w:w="8931" w:type="dxa"/>
          </w:tcPr>
          <w:p w:rsidR="00567549" w:rsidRPr="008501DC">
            <w:pPr>
              <w:pStyle w:val="Caption"/>
              <w:rPr>
                <w:rFonts w:ascii="Verdana" w:hAnsi="Verdana"/>
                <w:sz w:val="22"/>
                <w:szCs w:val="22"/>
              </w:rPr>
            </w:pPr>
            <w:r w:rsidRPr="008501DC">
              <w:rPr>
                <w:rFonts w:ascii="Verdana" w:hAnsi="Verdana"/>
                <w:sz w:val="22"/>
                <w:szCs w:val="22"/>
              </w:rPr>
              <w:t xml:space="preserve">Figure </w:t>
            </w:r>
            <w:r w:rsidRPr="008501DC">
              <w:rPr>
                <w:rFonts w:ascii="Verdana" w:hAnsi="Verdana"/>
                <w:sz w:val="22"/>
                <w:szCs w:val="22"/>
              </w:rPr>
              <w:fldChar w:fldCharType="begin"/>
            </w:r>
            <w:r w:rsidRPr="008501DC">
              <w:rPr>
                <w:rFonts w:ascii="Verdana" w:hAnsi="Verdana"/>
                <w:sz w:val="22"/>
                <w:szCs w:val="22"/>
              </w:rPr>
              <w:instrText>SEQ Figure \* ARABIC</w:instrText>
            </w:r>
            <w:r w:rsidRPr="008501DC">
              <w:rPr>
                <w:rFonts w:ascii="Verdana" w:hAnsi="Verdana"/>
                <w:sz w:val="22"/>
                <w:szCs w:val="22"/>
              </w:rPr>
              <w:fldChar w:fldCharType="separate"/>
            </w:r>
            <w:r w:rsidR="00AE0FDB">
              <w:rPr>
                <w:rFonts w:ascii="Verdana" w:hAnsi="Verdana"/>
                <w:noProof/>
                <w:sz w:val="22"/>
                <w:szCs w:val="22"/>
              </w:rPr>
              <w:t>1</w:t>
            </w:r>
            <w:r w:rsidRPr="008501DC">
              <w:rPr>
                <w:rFonts w:ascii="Verdana" w:hAnsi="Verdana"/>
                <w:sz w:val="22"/>
                <w:szCs w:val="22"/>
              </w:rPr>
              <w:fldChar w:fldCharType="end"/>
            </w:r>
          </w:p>
        </w:tc>
      </w:tr>
      <w:tr w:rsidTr="00CB1C03">
        <w:tblPrEx>
          <w:tblW w:w="4947" w:type="pct"/>
          <w:tblLayout w:type="fixed"/>
          <w:tblLook w:val="0600"/>
        </w:tblPrEx>
        <w:tc>
          <w:tcPr>
            <w:tcW w:w="8931" w:type="dxa"/>
          </w:tcPr>
          <w:p w:rsidR="00567549" w:rsidRPr="008501DC">
            <w:pPr>
              <w:pStyle w:val="Figuretitle"/>
              <w:rPr>
                <w:rFonts w:ascii="Verdana" w:hAnsi="Verdana"/>
                <w:sz w:val="22"/>
                <w:szCs w:val="22"/>
              </w:rPr>
            </w:pPr>
            <w:r w:rsidRPr="008501DC">
              <w:rPr>
                <w:rFonts w:ascii="Verdana" w:hAnsi="Verdana"/>
                <w:sz w:val="22"/>
                <w:szCs w:val="22"/>
              </w:rPr>
              <w:t>Community sentencing trends in England and Wales, 2012 to 2022</w:t>
            </w:r>
          </w:p>
          <w:p w:rsidR="00567549" w:rsidRPr="008501DC">
            <w:pPr>
              <w:pStyle w:val="ColumnHeading"/>
              <w:rPr>
                <w:rFonts w:ascii="Verdana" w:hAnsi="Verdana"/>
                <w:sz w:val="22"/>
                <w:szCs w:val="22"/>
              </w:rPr>
            </w:pPr>
            <w:r w:rsidRPr="008501DC">
              <w:rPr>
                <w:rFonts w:ascii="Verdana" w:hAnsi="Verdana"/>
                <w:sz w:val="22"/>
                <w:szCs w:val="22"/>
              </w:rPr>
              <w:t>The number of community sentences issued by courts in England and Wales has decreased by more than half (54%) since 2012.</w:t>
            </w:r>
          </w:p>
        </w:tc>
      </w:tr>
      <w:tr w:rsidTr="00CB1C03">
        <w:tblPrEx>
          <w:tblW w:w="4947" w:type="pct"/>
          <w:tblLayout w:type="fixed"/>
          <w:tblLook w:val="0600"/>
        </w:tblPrEx>
        <w:tc>
          <w:tcPr>
            <w:tcW w:w="8931" w:type="dxa"/>
          </w:tcPr>
          <w:p w:rsidR="00567549" w:rsidRPr="008501DC">
            <w:pPr>
              <w:pStyle w:val="ColumnHeading"/>
              <w:rPr>
                <w:rFonts w:ascii="Verdana" w:hAnsi="Verdana"/>
                <w:sz w:val="22"/>
                <w:szCs w:val="22"/>
              </w:rPr>
            </w:pPr>
            <w:r w:rsidRPr="008501DC">
              <w:rPr>
                <w:rFonts w:ascii="Verdana" w:hAnsi="Verdana"/>
                <w:noProof/>
                <w:sz w:val="22"/>
                <w:szCs w:val="22"/>
              </w:rPr>
              <w:t xml:space="preserve"> </w:t>
            </w:r>
            <w:r w:rsidRPr="008501DC">
              <w:rPr>
                <w:rFonts w:ascii="Verdana" w:hAnsi="Verdana"/>
                <w:noProof/>
                <w:sz w:val="22"/>
                <w:szCs w:val="22"/>
              </w:rPr>
              <w:drawing>
                <wp:inline distT="0" distB="0" distL="0" distR="0">
                  <wp:extent cx="5667375" cy="38004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Tr="00CB1C03">
        <w:tblPrEx>
          <w:tblW w:w="4947" w:type="pct"/>
          <w:tblLayout w:type="fixed"/>
          <w:tblLook w:val="0600"/>
        </w:tblPrEx>
        <w:trPr>
          <w:trHeight w:val="658"/>
        </w:trPr>
        <w:tc>
          <w:tcPr>
            <w:tcW w:w="8931" w:type="dxa"/>
            <w:shd w:val="clear" w:color="auto" w:fill="auto"/>
          </w:tcPr>
          <w:p w:rsidR="000737EE">
            <w:pPr>
              <w:pStyle w:val="FigureSource"/>
              <w:rPr>
                <w:rFonts w:ascii="Verdana" w:hAnsi="Verdana"/>
                <w:sz w:val="22"/>
                <w:szCs w:val="22"/>
              </w:rPr>
            </w:pPr>
            <w:r w:rsidRPr="008501DC">
              <w:rPr>
                <w:rFonts w:ascii="Verdana" w:hAnsi="Verdana"/>
                <w:sz w:val="22"/>
                <w:szCs w:val="22"/>
              </w:rPr>
              <w:t>Source: Ministry of Justice, Criminal justice statistics quarterly, December</w:t>
            </w:r>
          </w:p>
          <w:p w:rsidR="00567549" w:rsidRPr="008501DC">
            <w:pPr>
              <w:pStyle w:val="FigureSource"/>
              <w:rPr>
                <w:rFonts w:ascii="Verdana" w:hAnsi="Verdana"/>
                <w:sz w:val="22"/>
                <w:szCs w:val="22"/>
              </w:rPr>
            </w:pPr>
            <w:r w:rsidRPr="008501DC">
              <w:rPr>
                <w:rFonts w:ascii="Verdana" w:hAnsi="Verdana"/>
                <w:sz w:val="22"/>
                <w:szCs w:val="22"/>
              </w:rPr>
              <w:t xml:space="preserve"> 2022: Outcomes by Offence data tool</w:t>
            </w:r>
          </w:p>
        </w:tc>
      </w:tr>
    </w:tbl>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p w:rsidR="00567549" w:rsidRPr="008501DC">
      <w:pPr>
        <w:rPr>
          <w:rFonts w:ascii="Verdana" w:hAnsi="Verdana"/>
          <w:b/>
          <w:bCs/>
        </w:rPr>
      </w:pPr>
    </w:p>
    <w:tbl>
      <w:tblPr>
        <w:tblStyle w:val="NAOTable"/>
        <w:tblW w:w="5000" w:type="pct"/>
        <w:tblLayout w:type="fixed"/>
        <w:tblLook w:val="0600"/>
      </w:tblPr>
      <w:tblGrid>
        <w:gridCol w:w="9026"/>
      </w:tblGrid>
      <w:tr w:rsidTr="00F16036">
        <w:tblPrEx>
          <w:tblW w:w="5000" w:type="pct"/>
          <w:tblLayout w:type="fixed"/>
          <w:tblLook w:val="0600"/>
        </w:tblPrEx>
        <w:tc>
          <w:tcPr>
            <w:tcW w:w="9026" w:type="dxa"/>
          </w:tcPr>
          <w:p w:rsidR="00567549" w:rsidRPr="008501DC">
            <w:pPr>
              <w:pStyle w:val="Caption"/>
              <w:rPr>
                <w:rFonts w:ascii="Verdana" w:hAnsi="Verdana"/>
                <w:sz w:val="22"/>
                <w:szCs w:val="22"/>
              </w:rPr>
            </w:pPr>
            <w:r w:rsidRPr="008501DC">
              <w:rPr>
                <w:rFonts w:ascii="Verdana" w:hAnsi="Verdana"/>
                <w:sz w:val="22"/>
                <w:szCs w:val="22"/>
              </w:rPr>
              <w:t xml:space="preserve">Figure </w:t>
            </w:r>
            <w:r w:rsidRPr="008501DC">
              <w:rPr>
                <w:rFonts w:ascii="Verdana" w:hAnsi="Verdana"/>
                <w:sz w:val="22"/>
                <w:szCs w:val="22"/>
              </w:rPr>
              <w:fldChar w:fldCharType="begin"/>
            </w:r>
            <w:r w:rsidRPr="008501DC">
              <w:rPr>
                <w:rFonts w:ascii="Verdana" w:hAnsi="Verdana"/>
                <w:sz w:val="22"/>
                <w:szCs w:val="22"/>
              </w:rPr>
              <w:instrText>SEQ Figure \* ARABIC</w:instrText>
            </w:r>
            <w:r w:rsidRPr="008501DC">
              <w:rPr>
                <w:rFonts w:ascii="Verdana" w:hAnsi="Verdana"/>
                <w:sz w:val="22"/>
                <w:szCs w:val="22"/>
              </w:rPr>
              <w:fldChar w:fldCharType="separate"/>
            </w:r>
            <w:r w:rsidR="00AE0FDB">
              <w:rPr>
                <w:rFonts w:ascii="Verdana" w:hAnsi="Verdana"/>
                <w:noProof/>
                <w:sz w:val="22"/>
                <w:szCs w:val="22"/>
              </w:rPr>
              <w:t>2</w:t>
            </w:r>
            <w:r w:rsidRPr="008501DC">
              <w:rPr>
                <w:rFonts w:ascii="Verdana" w:hAnsi="Verdana"/>
                <w:sz w:val="22"/>
                <w:szCs w:val="22"/>
              </w:rPr>
              <w:fldChar w:fldCharType="end"/>
            </w:r>
          </w:p>
        </w:tc>
      </w:tr>
      <w:tr w:rsidTr="00F16036">
        <w:tblPrEx>
          <w:tblW w:w="5000" w:type="pct"/>
          <w:tblLayout w:type="fixed"/>
          <w:tblLook w:val="0600"/>
        </w:tblPrEx>
        <w:tc>
          <w:tcPr>
            <w:tcW w:w="9026" w:type="dxa"/>
          </w:tcPr>
          <w:p w:rsidR="00567549" w:rsidRPr="008501DC">
            <w:pPr>
              <w:pStyle w:val="Figuretitle"/>
              <w:rPr>
                <w:rFonts w:ascii="Verdana" w:hAnsi="Verdana"/>
                <w:sz w:val="22"/>
                <w:szCs w:val="22"/>
              </w:rPr>
            </w:pPr>
            <w:r w:rsidRPr="008501DC">
              <w:rPr>
                <w:rFonts w:ascii="Verdana" w:hAnsi="Verdana"/>
                <w:sz w:val="22"/>
                <w:szCs w:val="22"/>
              </w:rPr>
              <w:t>Proportion of offenders by different sentence types between 2012 and 2022</w:t>
            </w:r>
          </w:p>
        </w:tc>
      </w:tr>
      <w:tr w:rsidTr="00F16036">
        <w:tblPrEx>
          <w:tblW w:w="5000" w:type="pct"/>
          <w:tblLayout w:type="fixed"/>
          <w:tblLook w:val="0600"/>
        </w:tblPrEx>
        <w:tc>
          <w:tcPr>
            <w:tcW w:w="9026" w:type="dxa"/>
          </w:tcPr>
          <w:p w:rsidR="00567549" w:rsidRPr="008501DC">
            <w:pPr>
              <w:pStyle w:val="ColumnHeading"/>
              <w:rPr>
                <w:rFonts w:ascii="Verdana" w:hAnsi="Verdana"/>
                <w:sz w:val="22"/>
                <w:szCs w:val="22"/>
              </w:rPr>
            </w:pPr>
            <w:r w:rsidRPr="008501DC">
              <w:rPr>
                <w:rFonts w:ascii="Verdana" w:hAnsi="Verdana"/>
                <w:sz w:val="22"/>
                <w:szCs w:val="22"/>
              </w:rPr>
              <w:t>The proportion of offenders given a community sentence has decreased from 12% to 7%, while the proportion of those sentenced to immediate custody has remained relatively stable.</w:t>
            </w:r>
          </w:p>
        </w:tc>
      </w:tr>
      <w:tr w:rsidTr="00F16036">
        <w:tblPrEx>
          <w:tblW w:w="5000" w:type="pct"/>
          <w:tblLayout w:type="fixed"/>
          <w:tblLook w:val="0600"/>
        </w:tblPrEx>
        <w:tc>
          <w:tcPr>
            <w:tcW w:w="9026" w:type="dxa"/>
          </w:tcPr>
          <w:p w:rsidR="00567549" w:rsidRPr="008501DC">
            <w:pPr>
              <w:pStyle w:val="Figuretext"/>
              <w:rPr>
                <w:rFonts w:ascii="Verdana" w:hAnsi="Verdana"/>
                <w:sz w:val="22"/>
                <w:szCs w:val="22"/>
              </w:rPr>
            </w:pPr>
            <w:r w:rsidRPr="008501DC">
              <w:rPr>
                <w:rFonts w:ascii="Verdana" w:hAnsi="Verdana"/>
                <w:noProof/>
                <w:sz w:val="22"/>
                <w:szCs w:val="22"/>
              </w:rPr>
              <w:drawing>
                <wp:inline distT="0" distB="0" distL="0" distR="0">
                  <wp:extent cx="5594350" cy="3041015"/>
                  <wp:effectExtent l="0" t="0" r="6350"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Tr="00F16036">
        <w:tblPrEx>
          <w:tblW w:w="5000" w:type="pct"/>
          <w:tblLayout w:type="fixed"/>
          <w:tblLook w:val="0600"/>
        </w:tblPrEx>
        <w:tc>
          <w:tcPr>
            <w:tcW w:w="9026" w:type="dxa"/>
          </w:tcPr>
          <w:p w:rsidR="00567549" w:rsidRPr="008501DC">
            <w:pPr>
              <w:pStyle w:val="NOTES"/>
              <w:rPr>
                <w:rFonts w:ascii="Verdana" w:hAnsi="Verdana"/>
                <w:sz w:val="22"/>
                <w:szCs w:val="22"/>
              </w:rPr>
            </w:pPr>
            <w:r w:rsidRPr="008501DC">
              <w:rPr>
                <w:rFonts w:ascii="Verdana" w:hAnsi="Verdana"/>
                <w:sz w:val="22"/>
                <w:szCs w:val="22"/>
              </w:rPr>
              <w:t>NOTES</w:t>
            </w:r>
          </w:p>
          <w:p w:rsidR="00567549" w:rsidRPr="008501DC">
            <w:pPr>
              <w:pStyle w:val="NumberedNotes"/>
              <w:rPr>
                <w:rFonts w:ascii="Verdana" w:hAnsi="Verdana"/>
                <w:sz w:val="22"/>
                <w:szCs w:val="22"/>
              </w:rPr>
            </w:pPr>
            <w:r w:rsidRPr="008501DC">
              <w:rPr>
                <w:rFonts w:ascii="Verdana" w:hAnsi="Verdana" w:eastAsiaTheme="minorHAnsi" w:cstheme="minorBidi"/>
                <w:sz w:val="22"/>
                <w:szCs w:val="22"/>
                <w:lang w:eastAsia="en-US"/>
              </w:rPr>
              <w:t>Other disposals include: absolute and conditional discharges, which are when courts find offenders guilty but no punishment is given at the time; compensation orders; and offences which are ‘otherwise dealt with’, this can include sanctions such as confiscation orders.</w:t>
            </w:r>
          </w:p>
          <w:p w:rsidR="00C36EAA">
            <w:pPr>
              <w:pStyle w:val="FigureSource"/>
              <w:rPr>
                <w:rFonts w:ascii="Verdana" w:hAnsi="Verdana"/>
                <w:sz w:val="22"/>
                <w:szCs w:val="22"/>
              </w:rPr>
            </w:pPr>
            <w:r w:rsidRPr="008501DC">
              <w:rPr>
                <w:rFonts w:ascii="Verdana" w:hAnsi="Verdana"/>
                <w:sz w:val="22"/>
                <w:szCs w:val="22"/>
              </w:rPr>
              <w:t xml:space="preserve">Source: Ministry of Justice, Criminal justice statistics quarterly, December </w:t>
            </w:r>
          </w:p>
          <w:p w:rsidR="00567549" w:rsidRPr="008501DC">
            <w:pPr>
              <w:pStyle w:val="FigureSource"/>
              <w:rPr>
                <w:rFonts w:ascii="Verdana" w:hAnsi="Verdana"/>
                <w:sz w:val="22"/>
                <w:szCs w:val="22"/>
              </w:rPr>
            </w:pPr>
            <w:r w:rsidRPr="008501DC">
              <w:rPr>
                <w:rFonts w:ascii="Verdana" w:hAnsi="Verdana"/>
                <w:sz w:val="22"/>
                <w:szCs w:val="22"/>
              </w:rPr>
              <w:t>2022: Outcomes by Offence data tool</w:t>
            </w:r>
          </w:p>
        </w:tc>
      </w:tr>
    </w:tbl>
    <w:p w:rsidR="00567549" w:rsidRPr="008501DC">
      <w:pPr>
        <w:pStyle w:val="ListParagraph"/>
        <w:ind w:left="643"/>
        <w:rPr>
          <w:rFonts w:ascii="Verdana" w:hAnsi="Verdana"/>
        </w:rPr>
      </w:pPr>
    </w:p>
    <w:p w:rsidR="00567549" w:rsidRPr="00C36EAA" w:rsidP="00C36EAA">
      <w:pPr>
        <w:pStyle w:val="ListParagraph"/>
        <w:numPr>
          <w:ilvl w:val="0"/>
          <w:numId w:val="37"/>
        </w:numPr>
        <w:ind w:left="567" w:hanging="283"/>
        <w:rPr>
          <w:rFonts w:ascii="Verdana" w:hAnsi="Verdana"/>
        </w:rPr>
      </w:pPr>
      <w:r w:rsidRPr="00C36EAA">
        <w:rPr>
          <w:rFonts w:ascii="Verdana" w:hAnsi="Verdana"/>
        </w:rPr>
        <w:t xml:space="preserve">Between 2012 and 2022, there have been some changes to the types of offences for which people are sentenced. For example, the proportion of offenders sentenced for summary motor offences as a proportion of all offenders sentenced has increased by almost 20 percentage points. However, data do not indicate that changes in the frequency of different offences explains the decline in community sentences. For each type of offence, the proportion of sentences issued that were community sentences has decreased, with the exception of violence against the person, for which there was a small increase of one percentage point (Figure 3).  </w:t>
      </w:r>
    </w:p>
    <w:p w:rsidR="00567549" w:rsidRPr="008501DC">
      <w:pPr>
        <w:pStyle w:val="ListParagraph"/>
        <w:ind w:left="643"/>
        <w:rPr>
          <w:rFonts w:ascii="Verdana" w:hAnsi="Verdana"/>
        </w:rPr>
      </w:pPr>
    </w:p>
    <w:p w:rsidR="00567549" w:rsidRPr="008501DC" w:rsidP="00C36EAA">
      <w:pPr>
        <w:pStyle w:val="ListParagraph"/>
        <w:numPr>
          <w:ilvl w:val="0"/>
          <w:numId w:val="37"/>
        </w:numPr>
        <w:ind w:left="567" w:hanging="284"/>
        <w:rPr>
          <w:rFonts w:ascii="Verdana" w:hAnsi="Verdana"/>
        </w:rPr>
      </w:pPr>
      <w:r w:rsidRPr="008501DC">
        <w:rPr>
          <w:rFonts w:ascii="Verdana" w:hAnsi="Verdana"/>
        </w:rPr>
        <w:t>The largest decreases in the proportion of community sentences issued by offence type were for fraud offences (14 percentage points), possession of weapons (13 percentage points) and drug offences (10 percentage points).</w:t>
      </w:r>
      <w:r>
        <w:rPr>
          <w:rStyle w:val="FootnoteReference"/>
          <w:rFonts w:ascii="Verdana" w:hAnsi="Verdana"/>
        </w:rPr>
        <w:footnoteReference w:id="2"/>
      </w:r>
      <w:r w:rsidRPr="008501DC">
        <w:rPr>
          <w:rFonts w:ascii="Verdana" w:hAnsi="Verdana"/>
        </w:rPr>
        <w:t xml:space="preserve"> </w:t>
      </w:r>
    </w:p>
    <w:tbl>
      <w:tblPr>
        <w:tblStyle w:val="NAOTable"/>
        <w:tblW w:w="5025" w:type="pct"/>
        <w:tblLayout w:type="fixed"/>
        <w:tblLook w:val="0600"/>
      </w:tblPr>
      <w:tblGrid>
        <w:gridCol w:w="1984"/>
        <w:gridCol w:w="2410"/>
        <w:gridCol w:w="2117"/>
        <w:gridCol w:w="9"/>
        <w:gridCol w:w="2505"/>
        <w:gridCol w:w="46"/>
      </w:tblGrid>
      <w:tr w:rsidTr="002E3DD4">
        <w:tblPrEx>
          <w:tblW w:w="5025" w:type="pct"/>
          <w:tblLayout w:type="fixed"/>
          <w:tblLook w:val="0600"/>
        </w:tblPrEx>
        <w:trPr>
          <w:gridAfter w:val="1"/>
          <w:wAfter w:w="46" w:type="dxa"/>
          <w:trHeight w:val="573"/>
        </w:trPr>
        <w:tc>
          <w:tcPr>
            <w:tcW w:w="9025" w:type="dxa"/>
            <w:gridSpan w:val="5"/>
          </w:tcPr>
          <w:p w:rsidR="00567549" w:rsidRPr="008501DC">
            <w:pPr>
              <w:pStyle w:val="Caption"/>
              <w:rPr>
                <w:rFonts w:ascii="Verdana" w:hAnsi="Verdana"/>
                <w:sz w:val="22"/>
                <w:szCs w:val="22"/>
              </w:rPr>
            </w:pPr>
            <w:r w:rsidRPr="008501DC">
              <w:rPr>
                <w:rFonts w:ascii="Verdana" w:hAnsi="Verdana"/>
                <w:sz w:val="22"/>
                <w:szCs w:val="22"/>
              </w:rPr>
              <w:t>Figure 3</w:t>
            </w:r>
          </w:p>
        </w:tc>
      </w:tr>
      <w:tr w:rsidTr="002E3DD4">
        <w:tblPrEx>
          <w:tblW w:w="5025" w:type="pct"/>
          <w:tblLayout w:type="fixed"/>
          <w:tblLook w:val="0600"/>
        </w:tblPrEx>
        <w:trPr>
          <w:gridAfter w:val="1"/>
          <w:wAfter w:w="46" w:type="dxa"/>
          <w:trHeight w:val="1022"/>
        </w:trPr>
        <w:tc>
          <w:tcPr>
            <w:tcW w:w="9025" w:type="dxa"/>
            <w:gridSpan w:val="5"/>
          </w:tcPr>
          <w:p w:rsidR="00567549" w:rsidRPr="008501DC">
            <w:pPr>
              <w:pStyle w:val="Figuretitle"/>
              <w:rPr>
                <w:rFonts w:ascii="Verdana" w:hAnsi="Verdana"/>
                <w:sz w:val="22"/>
                <w:szCs w:val="22"/>
              </w:rPr>
            </w:pPr>
            <w:r w:rsidRPr="008501DC">
              <w:rPr>
                <w:rFonts w:ascii="Verdana" w:hAnsi="Verdana"/>
                <w:sz w:val="22"/>
                <w:szCs w:val="22"/>
              </w:rPr>
              <w:t>Percentage changes in proportions of community sentences issued by offence group between 2012 and 2022</w:t>
            </w:r>
          </w:p>
        </w:tc>
      </w:tr>
      <w:tr w:rsidTr="002E3DD4">
        <w:tblPrEx>
          <w:tblW w:w="5025" w:type="pct"/>
          <w:tblLayout w:type="fixed"/>
          <w:tblLook w:val="0600"/>
        </w:tblPrEx>
        <w:trPr>
          <w:gridAfter w:val="1"/>
          <w:wAfter w:w="46" w:type="dxa"/>
          <w:trHeight w:val="902"/>
        </w:trPr>
        <w:tc>
          <w:tcPr>
            <w:tcW w:w="9025" w:type="dxa"/>
            <w:gridSpan w:val="5"/>
            <w:tcBorders>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Between 2012 and 2022 there has been a decrease in the proportion of community sentences issued across most offence groups.</w:t>
            </w:r>
          </w:p>
        </w:tc>
      </w:tr>
      <w:tr w:rsidTr="002E3DD4">
        <w:tblPrEx>
          <w:tblW w:w="5025" w:type="pct"/>
          <w:tblLayout w:type="fixed"/>
          <w:tblLook w:val="0600"/>
        </w:tblPrEx>
        <w:trPr>
          <w:gridAfter w:val="1"/>
          <w:wAfter w:w="46" w:type="dxa"/>
          <w:trHeight w:val="1598"/>
        </w:trPr>
        <w:tc>
          <w:tcPr>
            <w:tcW w:w="1984" w:type="dxa"/>
            <w:tcBorders>
              <w:top w:val="single" w:sz="4" w:space="0" w:color="auto"/>
              <w:left w:val="nil"/>
              <w:bottom w:val="single" w:sz="4" w:space="0" w:color="auto"/>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Offence group</w:t>
            </w:r>
          </w:p>
        </w:tc>
        <w:tc>
          <w:tcPr>
            <w:tcW w:w="4527" w:type="dxa"/>
            <w:gridSpan w:val="2"/>
            <w:tcBorders>
              <w:top w:val="single" w:sz="4" w:space="0" w:color="auto"/>
              <w:left w:val="single" w:sz="4" w:space="0" w:color="auto"/>
              <w:bottom w:val="single" w:sz="4" w:space="0" w:color="auto"/>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 xml:space="preserve">Community sentences as a percentage of all sentences issued </w:t>
            </w:r>
          </w:p>
          <w:p w:rsidR="00567549" w:rsidRPr="008501DC">
            <w:pPr>
              <w:pStyle w:val="ColumnHeading"/>
              <w:rPr>
                <w:rFonts w:ascii="Verdana" w:hAnsi="Verdana"/>
                <w:b w:val="0"/>
                <w:bCs/>
                <w:sz w:val="22"/>
                <w:szCs w:val="22"/>
              </w:rPr>
            </w:pPr>
          </w:p>
        </w:tc>
        <w:tc>
          <w:tcPr>
            <w:tcW w:w="2514" w:type="dxa"/>
            <w:gridSpan w:val="2"/>
            <w:tcBorders>
              <w:top w:val="single" w:sz="4" w:space="0" w:color="auto"/>
              <w:left w:val="single" w:sz="4" w:space="0" w:color="auto"/>
              <w:bottom w:val="single" w:sz="4" w:space="0" w:color="auto"/>
              <w:right w:val="nil"/>
            </w:tcBorders>
          </w:tcPr>
          <w:p w:rsidR="00567549" w:rsidRPr="008501DC">
            <w:pPr>
              <w:pStyle w:val="ColumnHeading"/>
              <w:rPr>
                <w:rFonts w:ascii="Verdana" w:hAnsi="Verdana"/>
                <w:b w:val="0"/>
                <w:bCs/>
                <w:sz w:val="22"/>
                <w:szCs w:val="22"/>
              </w:rPr>
            </w:pPr>
            <w:r w:rsidRPr="008501DC">
              <w:rPr>
                <w:rFonts w:ascii="Verdana" w:hAnsi="Verdana"/>
                <w:b w:val="0"/>
                <w:bCs/>
                <w:sz w:val="22"/>
                <w:szCs w:val="22"/>
              </w:rPr>
              <w:t>Change in community sentences issued as a proportion of all sentences issued between 2012 and 2022 (percentage points)</w:t>
            </w:r>
          </w:p>
        </w:tc>
      </w:tr>
      <w:tr w:rsidTr="002E3DD4">
        <w:tblPrEx>
          <w:tblW w:w="5025" w:type="pct"/>
          <w:tblLayout w:type="fixed"/>
          <w:tblLook w:val="0600"/>
        </w:tblPrEx>
        <w:trPr>
          <w:trHeight w:val="237"/>
        </w:trPr>
        <w:tc>
          <w:tcPr>
            <w:tcW w:w="1984" w:type="dxa"/>
            <w:tcBorders>
              <w:top w:val="single" w:sz="4" w:space="0" w:color="auto"/>
              <w:left w:val="nil"/>
              <w:bottom w:val="single" w:sz="4" w:space="0" w:color="auto"/>
              <w:right w:val="single" w:sz="4" w:space="0" w:color="auto"/>
            </w:tcBorders>
          </w:tcPr>
          <w:p w:rsidR="00567549" w:rsidRPr="008501DC">
            <w:pPr>
              <w:pStyle w:val="ColumnHeading"/>
              <w:rPr>
                <w:rFonts w:ascii="Verdana" w:hAnsi="Verdana"/>
                <w:sz w:val="22"/>
                <w:szCs w:val="22"/>
              </w:rPr>
            </w:pPr>
          </w:p>
        </w:tc>
        <w:tc>
          <w:tcPr>
            <w:tcW w:w="2410" w:type="dxa"/>
            <w:tcBorders>
              <w:top w:val="single" w:sz="4" w:space="0" w:color="auto"/>
              <w:left w:val="single" w:sz="4" w:space="0" w:color="auto"/>
              <w:bottom w:val="single" w:sz="4" w:space="0" w:color="auto"/>
              <w:right w:val="nil"/>
            </w:tcBorders>
          </w:tcPr>
          <w:p w:rsidR="00567549" w:rsidRPr="008501DC">
            <w:pPr>
              <w:pStyle w:val="ColumnHeading"/>
              <w:jc w:val="center"/>
              <w:rPr>
                <w:rFonts w:ascii="Verdana" w:hAnsi="Verdana"/>
                <w:sz w:val="22"/>
                <w:szCs w:val="22"/>
              </w:rPr>
            </w:pPr>
            <w:r w:rsidRPr="008501DC">
              <w:rPr>
                <w:rFonts w:ascii="Verdana" w:hAnsi="Verdana"/>
                <w:sz w:val="22"/>
                <w:szCs w:val="22"/>
              </w:rPr>
              <w:t>2012</w:t>
            </w:r>
          </w:p>
        </w:tc>
        <w:tc>
          <w:tcPr>
            <w:tcW w:w="2126" w:type="dxa"/>
            <w:gridSpan w:val="2"/>
            <w:tcBorders>
              <w:top w:val="single" w:sz="4" w:space="0" w:color="auto"/>
              <w:left w:val="nil"/>
              <w:bottom w:val="single" w:sz="4" w:space="0" w:color="auto"/>
              <w:right w:val="single" w:sz="4" w:space="0" w:color="auto"/>
            </w:tcBorders>
          </w:tcPr>
          <w:p w:rsidR="00567549" w:rsidRPr="008501DC">
            <w:pPr>
              <w:pStyle w:val="ColumnHeading"/>
              <w:jc w:val="center"/>
              <w:rPr>
                <w:rFonts w:ascii="Verdana" w:hAnsi="Verdana"/>
                <w:sz w:val="22"/>
                <w:szCs w:val="22"/>
              </w:rPr>
            </w:pPr>
            <w:r w:rsidRPr="008501DC">
              <w:rPr>
                <w:rFonts w:ascii="Verdana" w:hAnsi="Verdana"/>
                <w:sz w:val="22"/>
                <w:szCs w:val="22"/>
              </w:rPr>
              <w:t>2022</w:t>
            </w:r>
          </w:p>
        </w:tc>
        <w:tc>
          <w:tcPr>
            <w:tcW w:w="2551" w:type="dxa"/>
            <w:gridSpan w:val="2"/>
            <w:tcBorders>
              <w:top w:val="single" w:sz="4" w:space="0" w:color="auto"/>
              <w:left w:val="single" w:sz="4" w:space="0" w:color="auto"/>
              <w:bottom w:val="single" w:sz="4" w:space="0" w:color="auto"/>
              <w:right w:val="nil"/>
            </w:tcBorders>
          </w:tcPr>
          <w:p w:rsidR="00567549" w:rsidRPr="008501DC">
            <w:pPr>
              <w:pStyle w:val="ColumnHeading"/>
              <w:rPr>
                <w:rFonts w:ascii="Verdana" w:hAnsi="Verdana"/>
                <w:sz w:val="22"/>
                <w:szCs w:val="22"/>
              </w:rPr>
            </w:pPr>
          </w:p>
        </w:tc>
      </w:tr>
      <w:tr w:rsidTr="002E3DD4">
        <w:tblPrEx>
          <w:tblW w:w="5025" w:type="pct"/>
          <w:tblLayout w:type="fixed"/>
          <w:tblLook w:val="0600"/>
        </w:tblPrEx>
        <w:trPr>
          <w:trHeight w:val="541"/>
        </w:trPr>
        <w:tc>
          <w:tcPr>
            <w:tcW w:w="1984" w:type="dxa"/>
            <w:tcBorders>
              <w:top w:val="single" w:sz="4" w:space="0" w:color="auto"/>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Fraud offences</w:t>
            </w:r>
          </w:p>
        </w:tc>
        <w:tc>
          <w:tcPr>
            <w:tcW w:w="2410" w:type="dxa"/>
            <w:tcBorders>
              <w:top w:val="single" w:sz="4" w:space="0" w:color="auto"/>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34%</w:t>
            </w:r>
          </w:p>
        </w:tc>
        <w:tc>
          <w:tcPr>
            <w:tcW w:w="2126" w:type="dxa"/>
            <w:gridSpan w:val="2"/>
            <w:tcBorders>
              <w:top w:val="single" w:sz="4" w:space="0" w:color="auto"/>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20%</w:t>
            </w:r>
          </w:p>
        </w:tc>
        <w:tc>
          <w:tcPr>
            <w:tcW w:w="2551" w:type="dxa"/>
            <w:gridSpan w:val="2"/>
            <w:tcBorders>
              <w:top w:val="single" w:sz="4" w:space="0" w:color="auto"/>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-14%</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Possession of weapons</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40%</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27%</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-13%</w:t>
            </w:r>
          </w:p>
        </w:tc>
      </w:tr>
      <w:tr w:rsidTr="002E3DD4">
        <w:tblPrEx>
          <w:tblW w:w="5025" w:type="pct"/>
          <w:tblLayout w:type="fixed"/>
          <w:tblLook w:val="0600"/>
        </w:tblPrEx>
        <w:trPr>
          <w:trHeight w:val="526"/>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Drug offences</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20%</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10%</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-10%</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Criminal damage and arson</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38%</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29%</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-9%</w:t>
            </w:r>
          </w:p>
        </w:tc>
      </w:tr>
      <w:tr w:rsidTr="002E3DD4">
        <w:tblPrEx>
          <w:tblW w:w="5025" w:type="pct"/>
          <w:tblLayout w:type="fixed"/>
          <w:tblLook w:val="0600"/>
        </w:tblPrEx>
        <w:trPr>
          <w:trHeight w:val="526"/>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Theft offences</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31%</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23%</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-8%</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Sexual offences</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26%</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19%</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-7%</w:t>
            </w:r>
          </w:p>
        </w:tc>
      </w:tr>
      <w:tr w:rsidTr="002E3DD4">
        <w:tblPrEx>
          <w:tblW w:w="5025" w:type="pct"/>
          <w:tblLayout w:type="fixed"/>
          <w:tblLook w:val="0600"/>
        </w:tblPrEx>
        <w:trPr>
          <w:trHeight w:val="526"/>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Miscellaneous crimes against society</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21%</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17%</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-4%</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Summary non-motoring</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12%</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7%</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-4%</w:t>
            </w:r>
          </w:p>
        </w:tc>
      </w:tr>
      <w:tr w:rsidTr="002E3DD4">
        <w:tblPrEx>
          <w:tblW w:w="5025" w:type="pct"/>
          <w:tblLayout w:type="fixed"/>
          <w:tblLook w:val="0600"/>
        </w:tblPrEx>
        <w:trPr>
          <w:trHeight w:val="526"/>
        </w:trPr>
        <w:tc>
          <w:tcPr>
            <w:tcW w:w="1984" w:type="dxa"/>
            <w:tcBorders>
              <w:top w:val="nil"/>
              <w:left w:val="nil"/>
              <w:bottom w:val="nil"/>
              <w:right w:val="single" w:sz="4" w:space="0" w:color="auto"/>
            </w:tcBorders>
          </w:tcPr>
          <w:p w:rsidR="00567549" w:rsidRPr="008501DC">
            <w:pPr>
              <w:pStyle w:val="ColumnHeading"/>
              <w:rPr>
                <w:rFonts w:ascii="Verdana" w:hAnsi="Verdana"/>
                <w:b w:val="0"/>
                <w:bCs/>
                <w:sz w:val="22"/>
                <w:szCs w:val="22"/>
              </w:rPr>
            </w:pPr>
            <w:r w:rsidRPr="008501DC">
              <w:rPr>
                <w:rFonts w:ascii="Verdana" w:hAnsi="Verdana"/>
                <w:b w:val="0"/>
                <w:bCs/>
                <w:sz w:val="22"/>
                <w:szCs w:val="22"/>
              </w:rPr>
              <w:t>Public order offences</w:t>
            </w:r>
          </w:p>
        </w:tc>
        <w:tc>
          <w:tcPr>
            <w:tcW w:w="2410" w:type="dxa"/>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29%</w:t>
            </w:r>
          </w:p>
        </w:tc>
        <w:tc>
          <w:tcPr>
            <w:tcW w:w="2126" w:type="dxa"/>
            <w:gridSpan w:val="2"/>
            <w:tcBorders>
              <w:top w:val="nil"/>
              <w:left w:val="nil"/>
              <w:bottom w:val="nil"/>
              <w:right w:val="single" w:sz="4" w:space="0" w:color="auto"/>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25%</w:t>
            </w:r>
          </w:p>
        </w:tc>
        <w:tc>
          <w:tcPr>
            <w:tcW w:w="2551" w:type="dxa"/>
            <w:gridSpan w:val="2"/>
            <w:tcBorders>
              <w:top w:val="nil"/>
              <w:left w:val="single" w:sz="4" w:space="0" w:color="auto"/>
              <w:bottom w:val="nil"/>
              <w:right w:val="nil"/>
            </w:tcBorders>
          </w:tcPr>
          <w:p w:rsidR="00567549" w:rsidRPr="008501DC">
            <w:pPr>
              <w:pStyle w:val="ColumnHeading"/>
              <w:jc w:val="center"/>
              <w:rPr>
                <w:rFonts w:ascii="Verdana" w:hAnsi="Verdana"/>
                <w:b w:val="0"/>
                <w:bCs/>
                <w:sz w:val="22"/>
                <w:szCs w:val="22"/>
              </w:rPr>
            </w:pPr>
            <w:r w:rsidRPr="008501DC">
              <w:rPr>
                <w:rFonts w:ascii="Verdana" w:hAnsi="Verdana"/>
                <w:b w:val="0"/>
                <w:bCs/>
                <w:sz w:val="22"/>
                <w:szCs w:val="22"/>
              </w:rPr>
              <w:t>-4%</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2E3DD4" w:rsidRPr="008501DC" w:rsidP="002E3DD4">
            <w:pPr>
              <w:pStyle w:val="ColumnHeading"/>
              <w:rPr>
                <w:rFonts w:ascii="Verdana" w:hAnsi="Verdana"/>
                <w:b w:val="0"/>
                <w:bCs/>
                <w:sz w:val="22"/>
                <w:szCs w:val="22"/>
              </w:rPr>
            </w:pPr>
            <w:r w:rsidRPr="008501DC">
              <w:rPr>
                <w:rFonts w:ascii="Verdana" w:hAnsi="Verdana"/>
                <w:b w:val="0"/>
                <w:bCs/>
                <w:sz w:val="22"/>
                <w:szCs w:val="22"/>
              </w:rPr>
              <w:t>Robbery</w:t>
            </w:r>
          </w:p>
        </w:tc>
        <w:tc>
          <w:tcPr>
            <w:tcW w:w="2410" w:type="dxa"/>
            <w:tcBorders>
              <w:top w:val="nil"/>
              <w:left w:val="single" w:sz="4" w:space="0" w:color="auto"/>
              <w:bottom w:val="nil"/>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31%</w:t>
            </w:r>
          </w:p>
        </w:tc>
        <w:tc>
          <w:tcPr>
            <w:tcW w:w="2126" w:type="dxa"/>
            <w:gridSpan w:val="2"/>
            <w:tcBorders>
              <w:top w:val="nil"/>
              <w:left w:val="nil"/>
              <w:bottom w:val="nil"/>
              <w:right w:val="single" w:sz="4" w:space="0" w:color="auto"/>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29%</w:t>
            </w:r>
          </w:p>
        </w:tc>
        <w:tc>
          <w:tcPr>
            <w:tcW w:w="2551" w:type="dxa"/>
            <w:gridSpan w:val="2"/>
            <w:tcBorders>
              <w:top w:val="nil"/>
              <w:left w:val="single" w:sz="4" w:space="0" w:color="auto"/>
              <w:bottom w:val="nil"/>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w:t>
            </w:r>
            <w:r>
              <w:rPr>
                <w:rFonts w:ascii="Verdana" w:hAnsi="Verdana"/>
                <w:b w:val="0"/>
                <w:bCs/>
                <w:sz w:val="22"/>
                <w:szCs w:val="22"/>
              </w:rPr>
              <w:t>2</w:t>
            </w:r>
            <w:r w:rsidRPr="008501DC">
              <w:rPr>
                <w:rFonts w:ascii="Verdana" w:hAnsi="Verdana"/>
                <w:b w:val="0"/>
                <w:bCs/>
                <w:sz w:val="22"/>
                <w:szCs w:val="22"/>
              </w:rPr>
              <w:t>%</w:t>
            </w:r>
          </w:p>
        </w:tc>
      </w:tr>
      <w:tr w:rsidTr="002E3DD4">
        <w:tblPrEx>
          <w:tblW w:w="5025" w:type="pct"/>
          <w:tblLayout w:type="fixed"/>
          <w:tblLook w:val="0600"/>
        </w:tblPrEx>
        <w:trPr>
          <w:trHeight w:val="541"/>
        </w:trPr>
        <w:tc>
          <w:tcPr>
            <w:tcW w:w="1984" w:type="dxa"/>
            <w:tcBorders>
              <w:top w:val="nil"/>
              <w:left w:val="nil"/>
              <w:bottom w:val="nil"/>
              <w:right w:val="single" w:sz="4" w:space="0" w:color="auto"/>
            </w:tcBorders>
          </w:tcPr>
          <w:p w:rsidR="002E3DD4" w:rsidRPr="008501DC" w:rsidP="002E3DD4">
            <w:pPr>
              <w:pStyle w:val="ColumnHeading"/>
              <w:rPr>
                <w:rFonts w:ascii="Verdana" w:hAnsi="Verdana"/>
                <w:b w:val="0"/>
                <w:bCs/>
                <w:sz w:val="22"/>
                <w:szCs w:val="22"/>
              </w:rPr>
            </w:pPr>
            <w:r w:rsidRPr="008501DC">
              <w:rPr>
                <w:rFonts w:ascii="Verdana" w:hAnsi="Verdana"/>
                <w:b w:val="0"/>
                <w:bCs/>
                <w:sz w:val="22"/>
                <w:szCs w:val="22"/>
              </w:rPr>
              <w:t>Summary motoring</w:t>
            </w:r>
          </w:p>
        </w:tc>
        <w:tc>
          <w:tcPr>
            <w:tcW w:w="2410" w:type="dxa"/>
            <w:tcBorders>
              <w:top w:val="nil"/>
              <w:left w:val="single" w:sz="4" w:space="0" w:color="auto"/>
              <w:bottom w:val="nil"/>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3%</w:t>
            </w:r>
          </w:p>
        </w:tc>
        <w:tc>
          <w:tcPr>
            <w:tcW w:w="2126" w:type="dxa"/>
            <w:gridSpan w:val="2"/>
            <w:tcBorders>
              <w:top w:val="nil"/>
              <w:left w:val="nil"/>
              <w:bottom w:val="nil"/>
              <w:right w:val="single" w:sz="4" w:space="0" w:color="auto"/>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2%</w:t>
            </w:r>
          </w:p>
        </w:tc>
        <w:tc>
          <w:tcPr>
            <w:tcW w:w="2551" w:type="dxa"/>
            <w:gridSpan w:val="2"/>
            <w:tcBorders>
              <w:top w:val="nil"/>
              <w:left w:val="single" w:sz="4" w:space="0" w:color="auto"/>
              <w:bottom w:val="nil"/>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-1%</w:t>
            </w:r>
          </w:p>
        </w:tc>
      </w:tr>
      <w:tr w:rsidTr="002E3DD4">
        <w:tblPrEx>
          <w:tblW w:w="5025" w:type="pct"/>
          <w:tblLayout w:type="fixed"/>
          <w:tblLook w:val="0600"/>
        </w:tblPrEx>
        <w:trPr>
          <w:trHeight w:val="526"/>
        </w:trPr>
        <w:tc>
          <w:tcPr>
            <w:tcW w:w="1984" w:type="dxa"/>
            <w:tcBorders>
              <w:top w:val="nil"/>
              <w:left w:val="nil"/>
              <w:bottom w:val="single" w:sz="4" w:space="0" w:color="auto"/>
              <w:right w:val="single" w:sz="4" w:space="0" w:color="auto"/>
            </w:tcBorders>
          </w:tcPr>
          <w:p w:rsidR="002E3DD4" w:rsidRPr="008501DC" w:rsidP="002E3DD4">
            <w:pPr>
              <w:pStyle w:val="ColumnHeading"/>
              <w:rPr>
                <w:rFonts w:ascii="Verdana" w:hAnsi="Verdana"/>
                <w:b w:val="0"/>
                <w:bCs/>
                <w:sz w:val="22"/>
                <w:szCs w:val="22"/>
              </w:rPr>
            </w:pPr>
            <w:r w:rsidRPr="008501DC">
              <w:rPr>
                <w:rFonts w:ascii="Verdana" w:hAnsi="Verdana"/>
                <w:b w:val="0"/>
                <w:bCs/>
                <w:sz w:val="22"/>
                <w:szCs w:val="22"/>
              </w:rPr>
              <w:t>Violence against the person</w:t>
            </w:r>
          </w:p>
        </w:tc>
        <w:tc>
          <w:tcPr>
            <w:tcW w:w="2410" w:type="dxa"/>
            <w:tcBorders>
              <w:top w:val="nil"/>
              <w:left w:val="single" w:sz="4" w:space="0" w:color="auto"/>
              <w:bottom w:val="single" w:sz="4" w:space="0" w:color="auto"/>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24%</w:t>
            </w:r>
          </w:p>
        </w:tc>
        <w:tc>
          <w:tcPr>
            <w:tcW w:w="2126" w:type="dxa"/>
            <w:gridSpan w:val="2"/>
            <w:tcBorders>
              <w:top w:val="nil"/>
              <w:left w:val="nil"/>
              <w:bottom w:val="single" w:sz="4" w:space="0" w:color="auto"/>
              <w:right w:val="single" w:sz="4" w:space="0" w:color="auto"/>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25%</w:t>
            </w:r>
          </w:p>
        </w:tc>
        <w:tc>
          <w:tcPr>
            <w:tcW w:w="2551" w:type="dxa"/>
            <w:gridSpan w:val="2"/>
            <w:tcBorders>
              <w:top w:val="nil"/>
              <w:left w:val="single" w:sz="4" w:space="0" w:color="auto"/>
              <w:bottom w:val="single" w:sz="4" w:space="0" w:color="auto"/>
              <w:right w:val="nil"/>
            </w:tcBorders>
          </w:tcPr>
          <w:p w:rsidR="002E3DD4" w:rsidRPr="008501DC" w:rsidP="002E3DD4">
            <w:pPr>
              <w:pStyle w:val="ColumnHeading"/>
              <w:jc w:val="center"/>
              <w:rPr>
                <w:rFonts w:ascii="Verdana" w:hAnsi="Verdana"/>
                <w:b w:val="0"/>
                <w:bCs/>
                <w:sz w:val="22"/>
                <w:szCs w:val="22"/>
              </w:rPr>
            </w:pPr>
            <w:r w:rsidRPr="008501DC">
              <w:rPr>
                <w:rFonts w:ascii="Verdana" w:hAnsi="Verdana"/>
                <w:b w:val="0"/>
                <w:bCs/>
                <w:sz w:val="22"/>
                <w:szCs w:val="22"/>
              </w:rPr>
              <w:t>+1%</w:t>
            </w:r>
          </w:p>
        </w:tc>
      </w:tr>
      <w:tr w:rsidTr="002E3DD4">
        <w:tblPrEx>
          <w:tblW w:w="5025" w:type="pct"/>
          <w:tblLayout w:type="fixed"/>
          <w:tblLook w:val="0600"/>
        </w:tblPrEx>
        <w:trPr>
          <w:gridAfter w:val="1"/>
          <w:wAfter w:w="46" w:type="dxa"/>
          <w:trHeight w:val="325"/>
        </w:trPr>
        <w:tc>
          <w:tcPr>
            <w:tcW w:w="9025" w:type="dxa"/>
            <w:gridSpan w:val="5"/>
            <w:tcBorders>
              <w:top w:val="single" w:sz="4" w:space="0" w:color="auto"/>
            </w:tcBorders>
          </w:tcPr>
          <w:p w:rsidR="002E3DD4" w:rsidRPr="008501DC" w:rsidP="002E3DD4">
            <w:pPr>
              <w:pStyle w:val="NOTES"/>
              <w:rPr>
                <w:rFonts w:ascii="Verdana" w:hAnsi="Verdana"/>
                <w:sz w:val="22"/>
                <w:szCs w:val="22"/>
              </w:rPr>
            </w:pPr>
            <w:r w:rsidRPr="008501DC">
              <w:rPr>
                <w:rFonts w:ascii="Verdana" w:hAnsi="Verdana"/>
                <w:sz w:val="22"/>
                <w:szCs w:val="22"/>
              </w:rPr>
              <w:t>NOTES</w:t>
            </w:r>
          </w:p>
          <w:p w:rsidR="002E3DD4" w:rsidRPr="008501DC" w:rsidP="002E3DD4">
            <w:pPr>
              <w:pStyle w:val="NumberedNotes"/>
              <w:rPr>
                <w:rFonts w:ascii="Verdana" w:hAnsi="Verdana"/>
                <w:sz w:val="22"/>
                <w:szCs w:val="22"/>
              </w:rPr>
            </w:pPr>
            <w:r w:rsidRPr="008501DC">
              <w:rPr>
                <w:rFonts w:ascii="Verdana" w:hAnsi="Verdana"/>
                <w:sz w:val="22"/>
                <w:szCs w:val="22"/>
              </w:rPr>
              <w:t xml:space="preserve">Figures on the proportion of community sentences issued have been rounded to the nearest one per cent. Percentage point change figures were formed from unrounded figures and therefore may not sum due to rounding. </w:t>
            </w:r>
          </w:p>
        </w:tc>
      </w:tr>
      <w:tr w:rsidTr="002E3DD4">
        <w:tblPrEx>
          <w:tblW w:w="5025" w:type="pct"/>
          <w:tblLayout w:type="fixed"/>
          <w:tblLook w:val="0600"/>
        </w:tblPrEx>
        <w:trPr>
          <w:gridAfter w:val="1"/>
          <w:wAfter w:w="46" w:type="dxa"/>
          <w:trHeight w:val="325"/>
        </w:trPr>
        <w:tc>
          <w:tcPr>
            <w:tcW w:w="9025" w:type="dxa"/>
            <w:gridSpan w:val="5"/>
          </w:tcPr>
          <w:p w:rsidR="002E3DD4" w:rsidP="002E3DD4">
            <w:pPr>
              <w:pStyle w:val="FigureSource"/>
              <w:rPr>
                <w:rFonts w:ascii="Verdana" w:hAnsi="Verdana"/>
                <w:sz w:val="22"/>
                <w:szCs w:val="22"/>
              </w:rPr>
            </w:pPr>
            <w:r w:rsidRPr="008501DC">
              <w:rPr>
                <w:rFonts w:ascii="Verdana" w:hAnsi="Verdana"/>
                <w:sz w:val="22"/>
                <w:szCs w:val="22"/>
              </w:rPr>
              <w:t xml:space="preserve">Source: Ministry of Justice, Criminal justice statistics quarterly, December </w:t>
            </w:r>
          </w:p>
          <w:p w:rsidR="002E3DD4" w:rsidRPr="008501DC" w:rsidP="002E3DD4">
            <w:pPr>
              <w:pStyle w:val="FigureSource"/>
              <w:rPr>
                <w:rFonts w:ascii="Verdana" w:hAnsi="Verdana"/>
                <w:sz w:val="22"/>
                <w:szCs w:val="22"/>
              </w:rPr>
            </w:pPr>
            <w:r w:rsidRPr="008501DC">
              <w:rPr>
                <w:rFonts w:ascii="Verdana" w:hAnsi="Verdana"/>
                <w:sz w:val="22"/>
                <w:szCs w:val="22"/>
              </w:rPr>
              <w:t>2022: Outcomes by Offence data tool</w:t>
            </w:r>
          </w:p>
        </w:tc>
      </w:tr>
    </w:tbl>
    <w:p w:rsidR="00567549" w:rsidRPr="008501DC">
      <w:pPr>
        <w:pStyle w:val="Heading2"/>
        <w:rPr>
          <w:rFonts w:ascii="Verdana" w:hAnsi="Verdana"/>
          <w:sz w:val="22"/>
          <w:szCs w:val="22"/>
        </w:rPr>
      </w:pPr>
    </w:p>
    <w:p w:rsidR="00567549" w:rsidRPr="008501DC">
      <w:pPr>
        <w:pStyle w:val="Heading3"/>
        <w:rPr>
          <w:rFonts w:ascii="Verdana" w:hAnsi="Verdana"/>
          <w:sz w:val="22"/>
          <w:szCs w:val="22"/>
        </w:rPr>
      </w:pPr>
      <w:r w:rsidRPr="008501DC">
        <w:rPr>
          <w:rFonts w:ascii="Verdana" w:hAnsi="Verdana"/>
          <w:sz w:val="22"/>
          <w:szCs w:val="22"/>
        </w:rPr>
        <w:t>Number of offenders supervised in the community</w:t>
      </w:r>
    </w:p>
    <w:p w:rsidR="00567549" w:rsidRPr="008501DC" w:rsidP="00172145">
      <w:pPr>
        <w:pStyle w:val="ListParagraph"/>
        <w:numPr>
          <w:ilvl w:val="0"/>
          <w:numId w:val="37"/>
        </w:numPr>
        <w:ind w:left="567" w:hanging="284"/>
        <w:rPr>
          <w:rFonts w:ascii="Verdana" w:hAnsi="Verdana"/>
        </w:rPr>
      </w:pPr>
      <w:r w:rsidRPr="008501DC">
        <w:rPr>
          <w:rFonts w:ascii="Verdana" w:hAnsi="Verdana"/>
        </w:rPr>
        <w:t>The number of offenders starting supervision with the Probation Service under a community sentence fell by 44% (from 106,073 to 59,800) between 2012 and 2022, reflecting the decline in community sentences over the same period. The volume of offenders supervised under a community sentence by the probation service at the end of each year (on 31 December) fell by a smaller proportion of 9.7% (from 78,263 to 70,682) between 2012 and 2022.</w:t>
      </w:r>
      <w:r>
        <w:rPr>
          <w:rStyle w:val="FootnoteReference"/>
          <w:rFonts w:ascii="Verdana" w:hAnsi="Verdana"/>
        </w:rPr>
        <w:footnoteReference w:id="3"/>
      </w:r>
      <w:r w:rsidRPr="008501DC">
        <w:rPr>
          <w:rFonts w:ascii="Verdana" w:hAnsi="Verdana"/>
        </w:rPr>
        <w:t xml:space="preserve"> The decline in those supervised at the end of each year may be smaller due to differences in the rate that offenders start and complete probation, for example those who do not complete their probation period successfully may incur further sanctions and remain on the probation caseload for longer. </w:t>
      </w:r>
    </w:p>
    <w:p w:rsidR="00567549" w:rsidRPr="008501DC">
      <w:pPr>
        <w:pStyle w:val="Heading2"/>
        <w:rPr>
          <w:rFonts w:ascii="Verdana" w:hAnsi="Verdana"/>
          <w:sz w:val="22"/>
          <w:szCs w:val="22"/>
        </w:rPr>
      </w:pPr>
      <w:r w:rsidRPr="008501DC">
        <w:rPr>
          <w:rFonts w:ascii="Verdana" w:hAnsi="Verdana"/>
          <w:sz w:val="22"/>
          <w:szCs w:val="22"/>
        </w:rPr>
        <w:t>1b. Potential causes of the decrease in community sentences</w:t>
      </w:r>
    </w:p>
    <w:p w:rsidR="00567549" w:rsidRPr="008501DC" w:rsidP="00172145">
      <w:pPr>
        <w:pStyle w:val="ListParagraph"/>
        <w:numPr>
          <w:ilvl w:val="0"/>
          <w:numId w:val="37"/>
        </w:numPr>
        <w:ind w:left="567" w:hanging="283"/>
        <w:rPr>
          <w:rFonts w:ascii="Verdana" w:hAnsi="Verdana"/>
        </w:rPr>
      </w:pPr>
      <w:r w:rsidRPr="008501DC">
        <w:rPr>
          <w:rFonts w:ascii="Verdana" w:hAnsi="Verdana"/>
        </w:rPr>
        <w:t>There are various factors that may contribute to the decline in the proportion of community sentences issued by sentencers. As we have not reviewed this topic in depth, we do not seek to present a full list of factors. Rather, we highlight some relevant findings from our published work. These include:</w:t>
      </w:r>
    </w:p>
    <w:p w:rsidR="00567549" w:rsidRPr="008501DC" w:rsidP="003A38A1">
      <w:pPr>
        <w:pStyle w:val="ListParagraph"/>
        <w:numPr>
          <w:ilvl w:val="0"/>
          <w:numId w:val="32"/>
        </w:numPr>
        <w:ind w:left="1985" w:hanging="284"/>
        <w:rPr>
          <w:rFonts w:ascii="Verdana" w:hAnsi="Verdana"/>
        </w:rPr>
      </w:pPr>
      <w:r w:rsidRPr="008501DC">
        <w:rPr>
          <w:rFonts w:ascii="Verdana" w:hAnsi="Verdana"/>
        </w:rPr>
        <w:t xml:space="preserve">Quality and availability of information about offenders available to sentencers; </w:t>
      </w:r>
    </w:p>
    <w:p w:rsidR="00567549" w:rsidRPr="008501DC" w:rsidP="003A38A1">
      <w:pPr>
        <w:pStyle w:val="ListParagraph"/>
        <w:numPr>
          <w:ilvl w:val="0"/>
          <w:numId w:val="32"/>
        </w:numPr>
        <w:ind w:left="1985" w:hanging="284"/>
        <w:rPr>
          <w:rFonts w:ascii="Verdana" w:hAnsi="Verdana"/>
        </w:rPr>
      </w:pPr>
      <w:r w:rsidRPr="008501DC">
        <w:rPr>
          <w:rFonts w:ascii="Verdana" w:hAnsi="Verdana"/>
        </w:rPr>
        <w:t>Sentencers’ confidence in community sentences due to probation arrangements; and</w:t>
      </w:r>
    </w:p>
    <w:p w:rsidR="00567549" w:rsidRPr="008501DC" w:rsidP="003A38A1">
      <w:pPr>
        <w:pStyle w:val="ListParagraph"/>
        <w:numPr>
          <w:ilvl w:val="0"/>
          <w:numId w:val="32"/>
        </w:numPr>
        <w:ind w:left="1985" w:hanging="284"/>
        <w:rPr>
          <w:rFonts w:ascii="Verdana" w:hAnsi="Verdana"/>
        </w:rPr>
      </w:pPr>
      <w:r w:rsidRPr="008501DC">
        <w:rPr>
          <w:rFonts w:ascii="Verdana" w:hAnsi="Verdana"/>
        </w:rPr>
        <w:t>Awareness and availability of options for managing offenders in the community</w:t>
      </w:r>
    </w:p>
    <w:p w:rsidR="00567549" w:rsidRPr="008501DC">
      <w:pPr>
        <w:pStyle w:val="Heading3"/>
        <w:rPr>
          <w:rFonts w:ascii="Verdana" w:hAnsi="Verdana"/>
          <w:sz w:val="22"/>
          <w:szCs w:val="22"/>
        </w:rPr>
      </w:pPr>
      <w:r w:rsidRPr="008501DC">
        <w:rPr>
          <w:rFonts w:ascii="Verdana" w:hAnsi="Verdana"/>
          <w:sz w:val="22"/>
          <w:szCs w:val="22"/>
        </w:rPr>
        <w:t>Quality and availability of information about offenders available to sentencers</w:t>
      </w:r>
    </w:p>
    <w:p w:rsidR="00567549" w:rsidRPr="008501DC" w:rsidP="003A38A1">
      <w:pPr>
        <w:pStyle w:val="ListParagraph"/>
        <w:numPr>
          <w:ilvl w:val="0"/>
          <w:numId w:val="37"/>
        </w:numPr>
        <w:ind w:left="567" w:hanging="284"/>
        <w:rPr>
          <w:rFonts w:ascii="Verdana" w:hAnsi="Verdana"/>
        </w:rPr>
      </w:pPr>
      <w:r w:rsidRPr="008501DC">
        <w:rPr>
          <w:rFonts w:ascii="Verdana" w:hAnsi="Verdana"/>
        </w:rPr>
        <w:t>Where requested by the judiciary, probation staff can prepare pre-sentence reports (PSRs) to provide the court with a greater understanding of the background and the context of the offending behaviour to aid sentencing decisions. In 2022 we reported that the Ministry of Justice’s (</w:t>
      </w:r>
      <w:r w:rsidRPr="008501DC">
        <w:rPr>
          <w:rFonts w:ascii="Verdana" w:hAnsi="Verdana"/>
        </w:rPr>
        <w:t>MoJ’s</w:t>
      </w:r>
      <w:r w:rsidRPr="008501DC">
        <w:rPr>
          <w:rFonts w:ascii="Verdana" w:hAnsi="Verdana"/>
        </w:rPr>
        <w:t>) 2018 female offender strategy identified the need to improve the quality and timeliness of PSRs to support its aim of seeing greater proportions of women being effectively managed in the community.</w:t>
      </w:r>
      <w:r>
        <w:rPr>
          <w:rStyle w:val="FootnoteReference"/>
          <w:rFonts w:ascii="Verdana" w:hAnsi="Verdana"/>
        </w:rPr>
        <w:footnoteReference w:id="4"/>
      </w:r>
      <w:r w:rsidRPr="008501DC">
        <w:rPr>
          <w:rFonts w:ascii="Verdana" w:hAnsi="Verdana"/>
        </w:rPr>
        <w:t xml:space="preserve"> This followed a significant decline in the number of PSRs prepared for the court since 2012, particularly in Magistrates’ courts which issue the majority of community sentences (</w:t>
      </w:r>
      <w:r w:rsidRPr="008501DC">
        <w:rPr>
          <w:rFonts w:ascii="Verdana" w:hAnsi="Verdana"/>
          <w:b/>
        </w:rPr>
        <w:t>Figure 4</w:t>
      </w:r>
      <w:r w:rsidRPr="008501DC">
        <w:rPr>
          <w:rFonts w:ascii="Verdana" w:hAnsi="Verdana"/>
        </w:rPr>
        <w:t>).</w:t>
      </w:r>
    </w:p>
    <w:p w:rsidR="00567549" w:rsidRPr="008501DC">
      <w:pPr>
        <w:pStyle w:val="ListParagraph"/>
        <w:rPr>
          <w:rFonts w:ascii="Verdana" w:hAnsi="Verdana"/>
        </w:rPr>
      </w:pPr>
    </w:p>
    <w:p w:rsidR="00567549" w:rsidRPr="008501DC" w:rsidP="002710A6">
      <w:pPr>
        <w:pStyle w:val="ListParagraph"/>
        <w:numPr>
          <w:ilvl w:val="0"/>
          <w:numId w:val="37"/>
        </w:numPr>
        <w:ind w:left="567" w:hanging="284"/>
        <w:rPr>
          <w:rFonts w:ascii="Verdana" w:hAnsi="Verdana"/>
        </w:rPr>
      </w:pPr>
      <w:r w:rsidRPr="008501DC">
        <w:rPr>
          <w:rFonts w:ascii="Verdana" w:hAnsi="Verdana"/>
        </w:rPr>
        <w:t xml:space="preserve">In May 2021, </w:t>
      </w:r>
      <w:r w:rsidRPr="008501DC">
        <w:rPr>
          <w:rFonts w:ascii="Verdana" w:hAnsi="Verdana"/>
        </w:rPr>
        <w:t>MoJ</w:t>
      </w:r>
      <w:r w:rsidRPr="008501DC">
        <w:rPr>
          <w:rFonts w:ascii="Verdana" w:hAnsi="Verdana"/>
        </w:rPr>
        <w:t xml:space="preserve"> announced that it had launched a PSR pilot in 15 magistrates’ courts to improve the quality of information presented, following a decrease in the number of PSRs being requested by the judiciary between 2010 and 2018.</w:t>
      </w:r>
      <w:r>
        <w:rPr>
          <w:rStyle w:val="FootnoteReference"/>
          <w:rFonts w:ascii="Verdana" w:hAnsi="Verdana"/>
        </w:rPr>
        <w:footnoteReference w:id="5"/>
      </w:r>
    </w:p>
    <w:tbl>
      <w:tblPr>
        <w:tblStyle w:val="NAOTable"/>
        <w:tblW w:w="5000" w:type="pct"/>
        <w:tblLayout w:type="fixed"/>
        <w:tblLook w:val="0600"/>
      </w:tblPr>
      <w:tblGrid>
        <w:gridCol w:w="9026"/>
      </w:tblGrid>
      <w:tr w:rsidTr="00F16036">
        <w:tblPrEx>
          <w:tblW w:w="5000" w:type="pct"/>
          <w:tblLayout w:type="fixed"/>
          <w:tblLook w:val="0600"/>
        </w:tblPrEx>
        <w:tc>
          <w:tcPr>
            <w:tcW w:w="9026" w:type="dxa"/>
          </w:tcPr>
          <w:p w:rsidR="00567549" w:rsidRPr="008501DC">
            <w:pPr>
              <w:pStyle w:val="Caption"/>
              <w:rPr>
                <w:rFonts w:ascii="Verdana" w:hAnsi="Verdana"/>
                <w:sz w:val="22"/>
                <w:szCs w:val="22"/>
              </w:rPr>
            </w:pPr>
            <w:r w:rsidRPr="008501DC">
              <w:rPr>
                <w:rFonts w:ascii="Verdana" w:hAnsi="Verdana"/>
                <w:sz w:val="22"/>
                <w:szCs w:val="22"/>
              </w:rPr>
              <w:t>Figure 4</w:t>
            </w:r>
          </w:p>
        </w:tc>
      </w:tr>
      <w:tr w:rsidTr="00F16036">
        <w:tblPrEx>
          <w:tblW w:w="5000" w:type="pct"/>
          <w:tblLayout w:type="fixed"/>
          <w:tblLook w:val="0600"/>
        </w:tblPrEx>
        <w:tc>
          <w:tcPr>
            <w:tcW w:w="9026" w:type="dxa"/>
          </w:tcPr>
          <w:p w:rsidR="00567549" w:rsidRPr="008501DC">
            <w:pPr>
              <w:pStyle w:val="Figuretitle"/>
              <w:rPr>
                <w:rFonts w:ascii="Verdana" w:hAnsi="Verdana"/>
                <w:sz w:val="22"/>
                <w:szCs w:val="22"/>
              </w:rPr>
            </w:pPr>
            <w:r w:rsidRPr="008501DC">
              <w:rPr>
                <w:rFonts w:ascii="Verdana" w:hAnsi="Verdana"/>
                <w:sz w:val="22"/>
                <w:szCs w:val="22"/>
              </w:rPr>
              <w:t>Pre-sentence reports ordered by courts in England and Wales</w:t>
            </w:r>
          </w:p>
        </w:tc>
      </w:tr>
      <w:tr w:rsidTr="00F16036">
        <w:tblPrEx>
          <w:tblW w:w="5000" w:type="pct"/>
          <w:tblLayout w:type="fixed"/>
          <w:tblLook w:val="0600"/>
        </w:tblPrEx>
        <w:tc>
          <w:tcPr>
            <w:tcW w:w="9026" w:type="dxa"/>
          </w:tcPr>
          <w:p w:rsidR="00567549" w:rsidRPr="008501DC">
            <w:pPr>
              <w:pStyle w:val="ColumnHeading"/>
              <w:rPr>
                <w:rFonts w:ascii="Verdana" w:hAnsi="Verdana"/>
                <w:sz w:val="22"/>
                <w:szCs w:val="22"/>
              </w:rPr>
            </w:pPr>
            <w:r w:rsidRPr="008501DC">
              <w:rPr>
                <w:rFonts w:ascii="Verdana" w:hAnsi="Verdana"/>
                <w:sz w:val="22"/>
                <w:szCs w:val="22"/>
              </w:rPr>
              <w:t xml:space="preserve">The number of pre-sentence reports prepared by the Probation Service for courts decreased significantly between 2012 and 2022. The largest decrease was in magistrates’ courts. </w:t>
            </w:r>
          </w:p>
        </w:tc>
      </w:tr>
      <w:tr w:rsidTr="00F16036">
        <w:tblPrEx>
          <w:tblW w:w="5000" w:type="pct"/>
          <w:tblLayout w:type="fixed"/>
          <w:tblLook w:val="0600"/>
        </w:tblPrEx>
        <w:tc>
          <w:tcPr>
            <w:tcW w:w="9026" w:type="dxa"/>
          </w:tcPr>
          <w:p w:rsidR="00567549" w:rsidRPr="008501DC">
            <w:pPr>
              <w:pStyle w:val="Figuretext"/>
              <w:rPr>
                <w:rFonts w:ascii="Verdana" w:hAnsi="Verdana"/>
                <w:sz w:val="22"/>
                <w:szCs w:val="22"/>
              </w:rPr>
            </w:pPr>
            <w:r w:rsidRPr="008501DC">
              <w:rPr>
                <w:rFonts w:ascii="Verdana" w:hAnsi="Verdana"/>
                <w:noProof/>
                <w:sz w:val="22"/>
                <w:szCs w:val="22"/>
              </w:rPr>
              <w:t xml:space="preserve"> </w:t>
            </w:r>
            <w:r w:rsidRPr="008501DC">
              <w:rPr>
                <w:rFonts w:ascii="Verdana" w:hAnsi="Verdana"/>
                <w:noProof/>
                <w:sz w:val="22"/>
                <w:szCs w:val="22"/>
              </w:rPr>
              <w:drawing>
                <wp:inline distT="0" distB="0" distL="0" distR="0">
                  <wp:extent cx="5594350" cy="3005455"/>
                  <wp:effectExtent l="0" t="0" r="6350" b="44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Tr="00F16036">
        <w:tblPrEx>
          <w:tblW w:w="5000" w:type="pct"/>
          <w:tblLayout w:type="fixed"/>
          <w:tblLook w:val="0600"/>
        </w:tblPrEx>
        <w:tc>
          <w:tcPr>
            <w:tcW w:w="9026" w:type="dxa"/>
          </w:tcPr>
          <w:p w:rsidR="00567549" w:rsidRPr="008501DC">
            <w:pPr>
              <w:pStyle w:val="NOTES"/>
              <w:rPr>
                <w:rFonts w:ascii="Verdana" w:hAnsi="Verdana"/>
                <w:sz w:val="22"/>
                <w:szCs w:val="22"/>
              </w:rPr>
            </w:pPr>
            <w:r w:rsidRPr="008501DC">
              <w:rPr>
                <w:rFonts w:ascii="Verdana" w:hAnsi="Verdana"/>
                <w:sz w:val="22"/>
                <w:szCs w:val="22"/>
              </w:rPr>
              <w:t>NOTES</w:t>
            </w:r>
          </w:p>
          <w:p w:rsidR="00567549" w:rsidRPr="008501DC">
            <w:pPr>
              <w:pStyle w:val="NumberedNotes"/>
              <w:rPr>
                <w:rFonts w:ascii="Verdana" w:hAnsi="Verdana"/>
                <w:sz w:val="22"/>
                <w:szCs w:val="22"/>
              </w:rPr>
            </w:pPr>
            <w:r w:rsidRPr="008501DC">
              <w:rPr>
                <w:rFonts w:ascii="Verdana" w:hAnsi="Verdana"/>
                <w:sz w:val="22"/>
                <w:szCs w:val="22"/>
              </w:rPr>
              <w:t xml:space="preserve">Between April and June 2020, the number of cases processed at the criminal courts was substantially reduced as a result of the operational restrictions that were put in place on 23 March 2020 in response to the COVID-19 pandemic. </w:t>
            </w:r>
          </w:p>
          <w:p w:rsidR="00567549" w:rsidRPr="008501DC">
            <w:pPr>
              <w:pStyle w:val="NumberedNotes"/>
              <w:rPr>
                <w:rFonts w:ascii="Verdana" w:hAnsi="Verdana"/>
                <w:sz w:val="22"/>
                <w:szCs w:val="22"/>
              </w:rPr>
            </w:pPr>
            <w:r w:rsidRPr="008501DC">
              <w:rPr>
                <w:rFonts w:ascii="Verdana" w:hAnsi="Verdana"/>
                <w:sz w:val="22"/>
                <w:szCs w:val="22"/>
              </w:rPr>
              <w:t>Excludes breach, deferred sentences and court review reports</w:t>
            </w:r>
          </w:p>
          <w:p w:rsidR="00567549" w:rsidRPr="008501DC">
            <w:pPr>
              <w:pStyle w:val="NumberedNotes"/>
              <w:numPr>
                <w:ilvl w:val="0"/>
                <w:numId w:val="0"/>
              </w:numPr>
              <w:rPr>
                <w:rFonts w:ascii="Verdana" w:hAnsi="Verdana"/>
                <w:sz w:val="22"/>
                <w:szCs w:val="22"/>
              </w:rPr>
            </w:pPr>
            <w:r w:rsidRPr="008501DC">
              <w:rPr>
                <w:rFonts w:ascii="Verdana" w:hAnsi="Verdana"/>
                <w:sz w:val="22"/>
                <w:szCs w:val="22"/>
              </w:rPr>
              <w:t>Source: Ministry of Justice, Offender Management statistics quarterly: October to December 2022: Probation 2022</w:t>
            </w:r>
          </w:p>
        </w:tc>
      </w:tr>
    </w:tbl>
    <w:p w:rsidR="00567549" w:rsidRPr="008501DC">
      <w:pPr>
        <w:rPr>
          <w:rFonts w:ascii="Verdana" w:hAnsi="Verdana"/>
        </w:rPr>
      </w:pPr>
    </w:p>
    <w:p w:rsidR="00567549" w:rsidP="00064B69">
      <w:pPr>
        <w:pStyle w:val="Heading3"/>
        <w:spacing w:before="0"/>
        <w:rPr>
          <w:rFonts w:ascii="Verdana" w:hAnsi="Verdana"/>
          <w:sz w:val="22"/>
          <w:szCs w:val="22"/>
        </w:rPr>
      </w:pPr>
      <w:r w:rsidRPr="008501DC">
        <w:rPr>
          <w:rFonts w:ascii="Verdana" w:hAnsi="Verdana"/>
          <w:sz w:val="22"/>
          <w:szCs w:val="22"/>
        </w:rPr>
        <w:t>Sentencers’ confidence in community sentences due to probation arrangements</w:t>
      </w:r>
    </w:p>
    <w:p w:rsidR="00567549" w:rsidRPr="008501DC">
      <w:pPr>
        <w:pStyle w:val="ListParagraph"/>
        <w:numPr>
          <w:ilvl w:val="0"/>
          <w:numId w:val="37"/>
        </w:numPr>
        <w:rPr>
          <w:rFonts w:ascii="Verdana" w:hAnsi="Verdana"/>
        </w:rPr>
      </w:pPr>
      <w:r w:rsidRPr="008501DC">
        <w:rPr>
          <w:rFonts w:ascii="Verdana" w:hAnsi="Verdana"/>
        </w:rPr>
        <w:t xml:space="preserve">In 2019, our report Transforming Rehabilitation: Progress review, found that the declining use of community sentences was in part influenced by the low confidence sentencers had in Community Rehabilitation Companies (CRCs), which </w:t>
      </w:r>
      <w:r w:rsidRPr="008501DC">
        <w:rPr>
          <w:rFonts w:ascii="Verdana" w:hAnsi="Verdana"/>
        </w:rPr>
        <w:t>MoJ</w:t>
      </w:r>
      <w:r w:rsidRPr="008501DC">
        <w:rPr>
          <w:rFonts w:ascii="Verdana" w:hAnsi="Verdana"/>
        </w:rPr>
        <w:t xml:space="preserve"> contracted at that time to manage low or medium risk offenders in the community. The Transforming Rehabilitation reforms introduced by </w:t>
      </w:r>
      <w:r w:rsidRPr="008501DC">
        <w:rPr>
          <w:rFonts w:ascii="Verdana" w:hAnsi="Verdana"/>
        </w:rPr>
        <w:t>MoJ</w:t>
      </w:r>
      <w:r w:rsidRPr="008501DC">
        <w:rPr>
          <w:rFonts w:ascii="Verdana" w:hAnsi="Verdana"/>
        </w:rPr>
        <w:t xml:space="preserve"> in 2014 had split the role of probation services and the National Probation Service (NPS) provided all advice to courts via pre-sentence reports.</w:t>
      </w:r>
      <w:r>
        <w:rPr>
          <w:rStyle w:val="FootnoteReference"/>
          <w:rFonts w:ascii="Verdana" w:hAnsi="Verdana"/>
        </w:rPr>
        <w:footnoteReference w:id="6"/>
      </w:r>
      <w:r w:rsidRPr="008501DC">
        <w:rPr>
          <w:rFonts w:ascii="Verdana" w:hAnsi="Verdana"/>
        </w:rPr>
        <w:t xml:space="preserve"> However, HM Inspectorate of Probation had reported that these arrangements did not support sentencers’ confidence as CRCs were detached from the court process, while the NPS lacked knowledge of, and confidence in, CRC services.</w:t>
      </w:r>
      <w:r>
        <w:rPr>
          <w:rStyle w:val="FootnoteReference"/>
          <w:rFonts w:ascii="Verdana" w:hAnsi="Verdana"/>
        </w:rPr>
        <w:footnoteReference w:id="7"/>
      </w:r>
      <w:r w:rsidRPr="008501DC">
        <w:rPr>
          <w:rFonts w:ascii="Verdana" w:hAnsi="Verdana"/>
        </w:rPr>
        <w:t xml:space="preserve"> Following its Transforming Rehabilitation reforms, </w:t>
      </w:r>
      <w:r w:rsidRPr="008501DC">
        <w:rPr>
          <w:rFonts w:ascii="Verdana" w:hAnsi="Verdana"/>
        </w:rPr>
        <w:t>MoJ</w:t>
      </w:r>
      <w:r w:rsidRPr="008501DC">
        <w:rPr>
          <w:rFonts w:ascii="Verdana" w:hAnsi="Verdana"/>
        </w:rPr>
        <w:t xml:space="preserve"> decided to terminate its CRC contracts early and in June 2021 </w:t>
      </w:r>
      <w:r w:rsidRPr="008501DC">
        <w:rPr>
          <w:rFonts w:ascii="Verdana" w:hAnsi="Verdana"/>
        </w:rPr>
        <w:t>MoJ</w:t>
      </w:r>
      <w:r w:rsidRPr="008501DC">
        <w:rPr>
          <w:rFonts w:ascii="Verdana" w:hAnsi="Verdana"/>
        </w:rPr>
        <w:t xml:space="preserve"> brought all probation services back into the public sector as part of its probation reform programme. We do not know what effect this unification of probation has had on sentencers’ confidence in community sentences, but the proportion of sentenced offenders given a community sentence remained unchanged between 2021 and 2022 at 7% (see Figure 2).</w:t>
      </w:r>
    </w:p>
    <w:p w:rsidR="00567549" w:rsidRPr="008501DC">
      <w:pPr>
        <w:pStyle w:val="Heading3"/>
        <w:rPr>
          <w:rFonts w:ascii="Verdana" w:hAnsi="Verdana"/>
          <w:sz w:val="22"/>
          <w:szCs w:val="22"/>
        </w:rPr>
      </w:pPr>
      <w:r w:rsidRPr="008501DC">
        <w:rPr>
          <w:rFonts w:ascii="Verdana" w:hAnsi="Verdana"/>
          <w:sz w:val="22"/>
          <w:szCs w:val="22"/>
        </w:rPr>
        <w:t xml:space="preserve">Awareness and availability of options for managing offenders in the community. </w:t>
      </w:r>
    </w:p>
    <w:p w:rsidR="00567549" w:rsidRPr="008501DC" w:rsidP="004F5C26">
      <w:pPr>
        <w:pStyle w:val="ListParagraph"/>
        <w:numPr>
          <w:ilvl w:val="0"/>
          <w:numId w:val="37"/>
        </w:numPr>
        <w:ind w:left="567" w:hanging="284"/>
        <w:rPr>
          <w:rFonts w:ascii="Verdana" w:hAnsi="Verdana"/>
          <w:b/>
          <w:bCs/>
        </w:rPr>
      </w:pPr>
      <w:r w:rsidRPr="008501DC">
        <w:rPr>
          <w:rFonts w:ascii="Verdana" w:hAnsi="Verdana"/>
        </w:rPr>
        <w:t xml:space="preserve">Our 2022 report, </w:t>
      </w:r>
      <w:r w:rsidRPr="008501DC">
        <w:rPr>
          <w:rFonts w:ascii="Verdana" w:hAnsi="Verdana"/>
          <w:iCs/>
        </w:rPr>
        <w:t>Improving outcomes for women in the criminal justice system</w:t>
      </w:r>
      <w:r w:rsidRPr="008501DC">
        <w:rPr>
          <w:rFonts w:ascii="Verdana" w:hAnsi="Verdana"/>
        </w:rPr>
        <w:t xml:space="preserve">, highlighted that </w:t>
      </w:r>
      <w:r w:rsidRPr="008501DC">
        <w:rPr>
          <w:rFonts w:ascii="Verdana" w:hAnsi="Verdana"/>
        </w:rPr>
        <w:t>MoJ’s</w:t>
      </w:r>
      <w:r w:rsidRPr="008501DC">
        <w:rPr>
          <w:rFonts w:ascii="Verdana" w:hAnsi="Verdana"/>
        </w:rPr>
        <w:t xml:space="preserve"> 2018 female offender strategy identified the need to develop and maintain more options for managing women in the community, and to increase awareness of different sentencing options. This was to support its aim to see a greater proportion of women managed in the community. Providers of women’s community services can help support women before or during their contact with the criminal justice system, and some provide services specifically linked to probation. As part of its 2021 probation reforms the Ministry let contracts worth £46 million for services “tailored to female offenders”. It is not clear how the contracts’ value compared with previous years because the preceding contracts, with Community Rehabilitation Companies, did not separate out payments for gender-specific services. </w:t>
      </w:r>
    </w:p>
    <w:p w:rsidR="00567549" w:rsidRPr="008501DC" w:rsidP="004F5C26">
      <w:pPr>
        <w:pStyle w:val="ListParagraph"/>
        <w:ind w:left="567" w:hanging="284"/>
        <w:rPr>
          <w:rFonts w:ascii="Verdana" w:hAnsi="Verdana"/>
          <w:b/>
          <w:bCs/>
        </w:rPr>
      </w:pPr>
    </w:p>
    <w:p w:rsidR="00567549" w:rsidRPr="008501DC" w:rsidP="004F5C26">
      <w:pPr>
        <w:pStyle w:val="ListParagraph"/>
        <w:numPr>
          <w:ilvl w:val="0"/>
          <w:numId w:val="37"/>
        </w:numPr>
        <w:ind w:left="567" w:hanging="284"/>
        <w:rPr>
          <w:rFonts w:ascii="Verdana" w:hAnsi="Verdana"/>
          <w:b/>
          <w:bCs/>
        </w:rPr>
      </w:pPr>
      <w:r w:rsidRPr="008501DC">
        <w:rPr>
          <w:rFonts w:ascii="Verdana" w:hAnsi="Verdana"/>
        </w:rPr>
        <w:t xml:space="preserve">Prior to awarding the probation contracts, </w:t>
      </w:r>
      <w:r w:rsidRPr="008501DC">
        <w:rPr>
          <w:rFonts w:ascii="Verdana" w:hAnsi="Verdana"/>
        </w:rPr>
        <w:t>MoJ</w:t>
      </w:r>
      <w:r w:rsidRPr="008501DC">
        <w:rPr>
          <w:rFonts w:ascii="Verdana" w:hAnsi="Verdana"/>
        </w:rPr>
        <w:t xml:space="preserve"> initially focused its female offenders funding on grants for providers of women’s services in the community. However, despite this, we highlighted that the </w:t>
      </w:r>
      <w:r w:rsidRPr="008501DC">
        <w:rPr>
          <w:rFonts w:ascii="Verdana" w:hAnsi="Verdana"/>
        </w:rPr>
        <w:t>MoJ</w:t>
      </w:r>
      <w:r w:rsidRPr="008501DC">
        <w:rPr>
          <w:rFonts w:ascii="Verdana" w:hAnsi="Verdana"/>
        </w:rPr>
        <w:t xml:space="preserve"> only spent £9.5 million on grants for community services over four years (2018–19 to 2021–22) and the short-term nature of grants made it difficult to sustain services. At the time of our report, providers of women’s community services told us that they were concerned about the financial sustainability of the services they provide. In January 2023, </w:t>
      </w:r>
      <w:r w:rsidRPr="008501DC">
        <w:rPr>
          <w:rFonts w:ascii="Verdana" w:hAnsi="Verdana"/>
        </w:rPr>
        <w:t>MoJ</w:t>
      </w:r>
      <w:r w:rsidRPr="008501DC">
        <w:rPr>
          <w:rFonts w:ascii="Verdana" w:hAnsi="Verdana"/>
        </w:rPr>
        <w:t xml:space="preserve"> published its new female offender strategy delivery plan, which stated that it had launched multi-year grant competitions to invest up to £24 million in community support services for women.</w:t>
      </w:r>
      <w:r>
        <w:rPr>
          <w:rStyle w:val="FootnoteReference"/>
          <w:rFonts w:ascii="Verdana" w:hAnsi="Verdana"/>
        </w:rPr>
        <w:footnoteReference w:id="8"/>
      </w:r>
      <w:r w:rsidRPr="008501DC">
        <w:rPr>
          <w:rFonts w:ascii="Verdana" w:hAnsi="Verdana"/>
        </w:rPr>
        <w:t xml:space="preserve"> On 26 May 2023 </w:t>
      </w:r>
      <w:r w:rsidRPr="008501DC">
        <w:rPr>
          <w:rFonts w:ascii="Verdana" w:hAnsi="Verdana"/>
        </w:rPr>
        <w:t>MoJ</w:t>
      </w:r>
      <w:r w:rsidRPr="008501DC">
        <w:rPr>
          <w:rFonts w:ascii="Verdana" w:hAnsi="Verdana"/>
        </w:rPr>
        <w:t xml:space="preserve"> announced that it had awarded grants worth £15 million to women’s centres and other providers that work with women.</w:t>
      </w:r>
      <w:r>
        <w:rPr>
          <w:rStyle w:val="FootnoteReference"/>
          <w:rFonts w:ascii="Verdana" w:hAnsi="Verdana"/>
        </w:rPr>
        <w:footnoteReference w:id="9"/>
      </w:r>
      <w:r w:rsidRPr="008501DC">
        <w:rPr>
          <w:rFonts w:ascii="Verdana" w:hAnsi="Verdana"/>
        </w:rPr>
        <w:t xml:space="preserve"> We have not recently looked at community sentences for men.</w:t>
      </w:r>
    </w:p>
    <w:p w:rsidR="00567549" w:rsidRPr="008501DC">
      <w:pPr>
        <w:pStyle w:val="Heading2"/>
        <w:rPr>
          <w:rFonts w:ascii="Verdana" w:hAnsi="Verdana"/>
          <w:sz w:val="22"/>
          <w:szCs w:val="22"/>
        </w:rPr>
      </w:pPr>
      <w:r w:rsidRPr="008501DC">
        <w:rPr>
          <w:rFonts w:ascii="Verdana" w:hAnsi="Verdana"/>
          <w:sz w:val="22"/>
          <w:szCs w:val="22"/>
        </w:rPr>
        <w:t>1c. The future: possible effects of prison capacity levels on sentencing options and choices</w:t>
      </w:r>
    </w:p>
    <w:p w:rsidR="00567549" w:rsidRPr="008501DC" w:rsidP="005E07C1">
      <w:pPr>
        <w:pStyle w:val="ListParagraph"/>
        <w:numPr>
          <w:ilvl w:val="0"/>
          <w:numId w:val="37"/>
        </w:numPr>
        <w:ind w:left="567" w:hanging="284"/>
        <w:rPr>
          <w:rFonts w:ascii="Verdana" w:hAnsi="Verdana"/>
        </w:rPr>
      </w:pPr>
      <w:r w:rsidRPr="008501DC">
        <w:rPr>
          <w:rFonts w:ascii="Verdana" w:hAnsi="Verdana"/>
        </w:rPr>
        <w:t>In recent months the prison estate has been operating close to full capacity. As at the end of May 2023, the prison estate was at 99% of its total capacity, with 85,415 people in prison.</w:t>
      </w:r>
      <w:r>
        <w:rPr>
          <w:rStyle w:val="FootnoteReference"/>
          <w:rFonts w:ascii="Verdana" w:hAnsi="Verdana"/>
        </w:rPr>
        <w:footnoteReference w:id="10"/>
      </w:r>
      <w:r w:rsidRPr="008501DC">
        <w:rPr>
          <w:rFonts w:ascii="Verdana" w:hAnsi="Verdana"/>
        </w:rPr>
        <w:t xml:space="preserve"> Our May 2023 report, Improving resettlement support for prison leavers to reduce reoffending, highlighted that </w:t>
      </w:r>
      <w:r w:rsidRPr="008501DC">
        <w:rPr>
          <w:rFonts w:ascii="Verdana" w:hAnsi="Verdana"/>
        </w:rPr>
        <w:t>MoJ</w:t>
      </w:r>
      <w:r w:rsidRPr="008501DC">
        <w:rPr>
          <w:rFonts w:ascii="Verdana" w:hAnsi="Verdana"/>
        </w:rPr>
        <w:t xml:space="preserve"> forecasts that the prison population could reach between 93,100 and 106,300 by March 2027. This represents increases of 9% and 24% compared with May 2023 figures. This is primarily due to the impact of police officer recruitment and longer prison sentences for serious offenders. </w:t>
      </w:r>
      <w:r w:rsidRPr="008501DC">
        <w:rPr>
          <w:rFonts w:ascii="Verdana" w:hAnsi="Verdana"/>
        </w:rPr>
        <w:t>MoJ</w:t>
      </w:r>
      <w:r w:rsidRPr="008501DC">
        <w:rPr>
          <w:rFonts w:ascii="Verdana" w:hAnsi="Verdana"/>
        </w:rPr>
        <w:t xml:space="preserve"> is currently building additional prison places as part of its prison expansion programme, but it has also considered a range of measures to help manage prison capacity pressures, such as building rapid deployment cells and making provision for temporary housing of up to 400 places for prisoners in police cells through Operation Safeguard</w:t>
      </w:r>
      <w:r>
        <w:rPr>
          <w:rStyle w:val="FootnoteReference"/>
          <w:rFonts w:ascii="Verdana" w:hAnsi="Verdana"/>
        </w:rPr>
        <w:footnoteReference w:id="11"/>
      </w:r>
      <w:r w:rsidRPr="008501DC">
        <w:rPr>
          <w:rFonts w:ascii="Verdana" w:hAnsi="Verdana"/>
        </w:rPr>
        <w:t>. The increased prison population will have a follow-on effect for the probation service, which will experience more demand for resettlement services.</w:t>
      </w:r>
      <w:r>
        <w:rPr>
          <w:rStyle w:val="FootnoteReference"/>
          <w:rFonts w:ascii="Verdana" w:hAnsi="Verdana"/>
        </w:rPr>
        <w:footnoteReference w:id="12"/>
      </w:r>
      <w:r w:rsidRPr="008501DC">
        <w:rPr>
          <w:rFonts w:ascii="Verdana" w:hAnsi="Verdana"/>
        </w:rPr>
        <w:t xml:space="preserve"> </w:t>
      </w:r>
    </w:p>
    <w:p w:rsidR="00567549" w:rsidRPr="008501DC" w:rsidP="005E07C1">
      <w:pPr>
        <w:pStyle w:val="ListParagraph"/>
        <w:ind w:left="567" w:hanging="284"/>
        <w:rPr>
          <w:rFonts w:ascii="Verdana" w:hAnsi="Verdana"/>
        </w:rPr>
      </w:pPr>
    </w:p>
    <w:p w:rsidR="00567549" w:rsidRPr="008501DC" w:rsidP="005E07C1">
      <w:pPr>
        <w:pStyle w:val="ListParagraph"/>
        <w:numPr>
          <w:ilvl w:val="0"/>
          <w:numId w:val="37"/>
        </w:numPr>
        <w:ind w:left="567" w:hanging="284"/>
        <w:rPr>
          <w:rFonts w:ascii="Verdana" w:hAnsi="Verdana"/>
          <w:b/>
          <w:bCs/>
        </w:rPr>
      </w:pPr>
      <w:r w:rsidRPr="008501DC">
        <w:rPr>
          <w:rFonts w:ascii="Verdana" w:hAnsi="Verdana"/>
        </w:rPr>
        <w:t>The context of capacity pressures may influence the sentencing options considered and determined by the judiciary. A Court of Appeal judgment in March 2023, R v Ali, clarified that when courts are considering sentencing for an offence that may warrant a short custodial sentence, the court can take into account the impact of a high prison population. This is because high capacity levels may impact the conditions prisoners are held in and could result in reduced access to rehabilitative programmes.</w:t>
      </w:r>
      <w:r>
        <w:rPr>
          <w:rStyle w:val="FootnoteReference"/>
          <w:rFonts w:ascii="Verdana" w:hAnsi="Verdana"/>
        </w:rPr>
        <w:footnoteReference w:id="13"/>
      </w:r>
      <w:r w:rsidRPr="008501DC">
        <w:rPr>
          <w:rFonts w:ascii="Verdana" w:hAnsi="Verdana"/>
        </w:rPr>
        <w:t xml:space="preserve"> Additionally, </w:t>
      </w:r>
      <w:r w:rsidRPr="008501DC">
        <w:rPr>
          <w:rFonts w:ascii="Verdana" w:hAnsi="Verdana"/>
        </w:rPr>
        <w:t>it is possible that policy makers may also seek to explore making greater use of non-custodial sentencing options such as community sentences for particular categories of offence. For example, the Ministry has recently changed its eligibility criteria for Home Detention Curfew (HDC) electronic monitoring to increase its use. Since 6 June 2023, prisoners can now be released on HDC up to 6 months early rather than the previous four-and-a-half months.</w:t>
      </w:r>
      <w:r>
        <w:rPr>
          <w:rStyle w:val="FootnoteReference"/>
          <w:rFonts w:ascii="Verdana" w:hAnsi="Verdana"/>
        </w:rPr>
        <w:footnoteReference w:id="14"/>
      </w:r>
    </w:p>
    <w:p w:rsidR="00567549" w:rsidRPr="008501DC">
      <w:pPr>
        <w:pStyle w:val="Heading1"/>
        <w:rPr>
          <w:rFonts w:ascii="Verdana" w:hAnsi="Verdana"/>
          <w:sz w:val="22"/>
          <w:szCs w:val="22"/>
        </w:rPr>
      </w:pPr>
      <w:r w:rsidRPr="008501DC">
        <w:rPr>
          <w:rFonts w:ascii="Verdana" w:hAnsi="Verdana"/>
          <w:sz w:val="22"/>
          <w:szCs w:val="22"/>
        </w:rPr>
        <w:t>2. Obstacles to the delivery of community sentences</w:t>
      </w:r>
    </w:p>
    <w:p w:rsidR="00567549" w:rsidRPr="008501DC" w:rsidP="00E258E2">
      <w:pPr>
        <w:pStyle w:val="ListParagraph"/>
        <w:numPr>
          <w:ilvl w:val="0"/>
          <w:numId w:val="37"/>
        </w:numPr>
        <w:ind w:left="567" w:hanging="284"/>
        <w:rPr>
          <w:rFonts w:ascii="Verdana" w:hAnsi="Verdana"/>
        </w:rPr>
      </w:pPr>
      <w:r w:rsidRPr="008501DC">
        <w:rPr>
          <w:rFonts w:ascii="Verdana" w:hAnsi="Verdana"/>
        </w:rPr>
        <w:t>Community sentences can include a range of conditions, including unpaid work in the community, treatment programmes to help tackle addictions and restrictions on where offenders can go and when.</w:t>
      </w:r>
    </w:p>
    <w:p w:rsidR="00567549" w:rsidRPr="008501DC" w:rsidP="00E258E2">
      <w:pPr>
        <w:pStyle w:val="FootnoteText"/>
        <w:numPr>
          <w:ilvl w:val="0"/>
          <w:numId w:val="37"/>
        </w:numPr>
        <w:ind w:left="567" w:hanging="284"/>
        <w:rPr>
          <w:rFonts w:ascii="Verdana" w:hAnsi="Verdana"/>
          <w:sz w:val="22"/>
          <w:szCs w:val="22"/>
        </w:rPr>
      </w:pPr>
      <w:r w:rsidRPr="008501DC">
        <w:rPr>
          <w:rFonts w:ascii="Verdana" w:hAnsi="Verdana"/>
          <w:sz w:val="22"/>
          <w:szCs w:val="22"/>
        </w:rPr>
        <w:t>The probation service is responsible for supervising offenders in the community, including people issued with community or suspended sentences. Since 2015, it is also responsible for supervising all offenders who are released from prison.</w:t>
      </w:r>
      <w:r>
        <w:rPr>
          <w:rStyle w:val="FootnoteReference"/>
          <w:rFonts w:ascii="Verdana" w:hAnsi="Verdana"/>
          <w:sz w:val="22"/>
          <w:szCs w:val="22"/>
        </w:rPr>
        <w:footnoteReference w:id="15"/>
      </w:r>
      <w:r w:rsidRPr="008501DC">
        <w:rPr>
          <w:rFonts w:ascii="Verdana" w:hAnsi="Verdana"/>
          <w:sz w:val="22"/>
          <w:szCs w:val="22"/>
        </w:rPr>
        <w:t xml:space="preserve"> In our routine work, we and others have identified some challenges for probation staff, which are likely to impact across all probation activity, including supervising community sentences. </w:t>
      </w:r>
    </w:p>
    <w:p w:rsidR="00567549" w:rsidRPr="008501DC" w:rsidP="00E258E2">
      <w:pPr>
        <w:pStyle w:val="FootnoteText"/>
        <w:ind w:left="567" w:hanging="284"/>
        <w:rPr>
          <w:rFonts w:ascii="Verdana" w:hAnsi="Verdana"/>
          <w:sz w:val="22"/>
          <w:szCs w:val="22"/>
        </w:rPr>
      </w:pPr>
    </w:p>
    <w:p w:rsidR="00567549" w:rsidRPr="008501DC" w:rsidP="00E258E2">
      <w:pPr>
        <w:pStyle w:val="ListParagraph"/>
        <w:numPr>
          <w:ilvl w:val="0"/>
          <w:numId w:val="37"/>
        </w:numPr>
        <w:ind w:left="567" w:hanging="284"/>
        <w:rPr>
          <w:rFonts w:ascii="Verdana" w:hAnsi="Verdana"/>
        </w:rPr>
      </w:pPr>
      <w:r w:rsidRPr="008501DC">
        <w:rPr>
          <w:rFonts w:ascii="Verdana" w:hAnsi="Verdana"/>
        </w:rPr>
        <w:t>In a 2021 report, HM Inspectorate of Probation highlighted that the Probation Service had been under significant pressure dealing with both the COVID-19 pandemic and the unification of the probation service in June 2021. The Chief inspector cautioned that transferring cases from private providers to the civil service would not deal with underlying issues that inspections had uncovered in recent years. This included:</w:t>
      </w:r>
    </w:p>
    <w:p w:rsidR="00567549" w:rsidRPr="008501DC" w:rsidP="00661F5B">
      <w:pPr>
        <w:pStyle w:val="ListParagraph"/>
        <w:numPr>
          <w:ilvl w:val="0"/>
          <w:numId w:val="14"/>
        </w:numPr>
        <w:ind w:hanging="306"/>
        <w:rPr>
          <w:rFonts w:ascii="Verdana" w:hAnsi="Verdana"/>
        </w:rPr>
      </w:pPr>
      <w:r w:rsidRPr="008501DC">
        <w:rPr>
          <w:rFonts w:ascii="Verdana" w:hAnsi="Verdana"/>
        </w:rPr>
        <w:t>a critical lack of frontline staff;</w:t>
      </w:r>
    </w:p>
    <w:p w:rsidR="00567549" w:rsidRPr="008501DC" w:rsidP="00661F5B">
      <w:pPr>
        <w:pStyle w:val="ListParagraph"/>
        <w:numPr>
          <w:ilvl w:val="0"/>
          <w:numId w:val="14"/>
        </w:numPr>
        <w:ind w:hanging="306"/>
        <w:rPr>
          <w:rFonts w:ascii="Verdana" w:hAnsi="Verdana"/>
        </w:rPr>
      </w:pPr>
      <w:r w:rsidRPr="008501DC">
        <w:rPr>
          <w:rFonts w:ascii="Verdana" w:hAnsi="Verdana"/>
        </w:rPr>
        <w:t>excessive caseloads; and</w:t>
      </w:r>
    </w:p>
    <w:p w:rsidR="00567549" w:rsidRPr="008501DC" w:rsidP="00661F5B">
      <w:pPr>
        <w:pStyle w:val="ListParagraph"/>
        <w:numPr>
          <w:ilvl w:val="0"/>
          <w:numId w:val="14"/>
        </w:numPr>
        <w:ind w:hanging="306"/>
        <w:rPr>
          <w:rFonts w:ascii="Verdana" w:hAnsi="Verdana"/>
        </w:rPr>
      </w:pPr>
      <w:r w:rsidRPr="008501DC">
        <w:rPr>
          <w:rFonts w:ascii="Verdana" w:hAnsi="Verdana"/>
        </w:rPr>
        <w:t>a lack of investment in the wider system of mental health, drug treatment and multi-agency partnerships on which the probation service relies.</w:t>
      </w:r>
      <w:r>
        <w:rPr>
          <w:rStyle w:val="FootnoteReference"/>
          <w:rFonts w:ascii="Verdana" w:hAnsi="Verdana"/>
        </w:rPr>
        <w:footnoteReference w:id="16"/>
      </w:r>
    </w:p>
    <w:p w:rsidR="00567549" w:rsidRPr="008501DC">
      <w:pPr>
        <w:pStyle w:val="ListParagraph"/>
        <w:ind w:left="1440"/>
        <w:rPr>
          <w:rFonts w:ascii="Verdana" w:hAnsi="Verdana"/>
        </w:rPr>
      </w:pPr>
    </w:p>
    <w:p w:rsidR="00567549" w:rsidRPr="008501DC" w:rsidP="00661F5B">
      <w:pPr>
        <w:pStyle w:val="ListParagraph"/>
        <w:numPr>
          <w:ilvl w:val="0"/>
          <w:numId w:val="37"/>
        </w:numPr>
        <w:ind w:left="567" w:hanging="284"/>
        <w:rPr>
          <w:rFonts w:ascii="Verdana" w:hAnsi="Verdana"/>
        </w:rPr>
      </w:pPr>
      <w:r w:rsidRPr="008501DC">
        <w:rPr>
          <w:rFonts w:ascii="Verdana" w:hAnsi="Verdana"/>
        </w:rPr>
        <w:t xml:space="preserve">Our recent report, </w:t>
      </w:r>
      <w:r w:rsidRPr="008501DC">
        <w:rPr>
          <w:rFonts w:ascii="Verdana" w:hAnsi="Verdana"/>
          <w:iCs/>
        </w:rPr>
        <w:t>Improving resettlement support for prison leavers to reduce reoffending</w:t>
      </w:r>
      <w:r w:rsidRPr="008501DC">
        <w:rPr>
          <w:rFonts w:ascii="Verdana" w:hAnsi="Verdana"/>
          <w:i/>
        </w:rPr>
        <w:t xml:space="preserve">, </w:t>
      </w:r>
      <w:r w:rsidRPr="008501DC">
        <w:rPr>
          <w:rFonts w:ascii="Verdana" w:hAnsi="Verdana"/>
          <w:iCs/>
        </w:rPr>
        <w:t>identified p</w:t>
      </w:r>
      <w:r w:rsidRPr="008501DC">
        <w:rPr>
          <w:rFonts w:ascii="Verdana" w:hAnsi="Verdana"/>
        </w:rPr>
        <w:t>ressures on the probation service which affected delivery of services. We found that:</w:t>
      </w:r>
    </w:p>
    <w:p w:rsidR="00567549" w:rsidRPr="008501DC" w:rsidP="00661F5B">
      <w:pPr>
        <w:pStyle w:val="ListParagraph"/>
        <w:numPr>
          <w:ilvl w:val="0"/>
          <w:numId w:val="7"/>
        </w:numPr>
        <w:ind w:hanging="306"/>
        <w:rPr>
          <w:rFonts w:ascii="Verdana" w:hAnsi="Verdana"/>
        </w:rPr>
      </w:pPr>
      <w:r w:rsidRPr="008501DC">
        <w:rPr>
          <w:rFonts w:ascii="Verdana" w:hAnsi="Verdana"/>
        </w:rPr>
        <w:t xml:space="preserve">In December 2022, 1,762 out of 6,158 probation officer roles were unfilled, a vacancy rate of 29%. </w:t>
      </w:r>
    </w:p>
    <w:p w:rsidR="00567549" w:rsidRPr="008501DC" w:rsidP="00661F5B">
      <w:pPr>
        <w:pStyle w:val="ListParagraph"/>
        <w:numPr>
          <w:ilvl w:val="0"/>
          <w:numId w:val="7"/>
        </w:numPr>
        <w:ind w:hanging="306"/>
        <w:rPr>
          <w:rFonts w:ascii="Verdana" w:hAnsi="Verdana"/>
        </w:rPr>
      </w:pPr>
      <w:r w:rsidRPr="008501DC">
        <w:rPr>
          <w:rFonts w:ascii="Verdana" w:hAnsi="Verdana"/>
        </w:rPr>
        <w:t xml:space="preserve">Across prisons and probation regions, there were high levels of sickness absence in 2020-2021 and high turnover in 2021-2022. </w:t>
      </w:r>
    </w:p>
    <w:p w:rsidR="00567549" w:rsidRPr="008501DC" w:rsidP="00661F5B">
      <w:pPr>
        <w:pStyle w:val="ListParagraph"/>
        <w:numPr>
          <w:ilvl w:val="0"/>
          <w:numId w:val="7"/>
        </w:numPr>
        <w:ind w:hanging="306"/>
        <w:rPr>
          <w:rFonts w:ascii="Verdana" w:hAnsi="Verdana"/>
        </w:rPr>
      </w:pPr>
      <w:r w:rsidRPr="008501DC">
        <w:rPr>
          <w:rFonts w:ascii="Verdana" w:hAnsi="Verdana"/>
        </w:rPr>
        <w:t xml:space="preserve">In 2022, HMPPS’s audit of 98 cases and feedback from 15 service managers found that many probation staff were managing more than 70 cases, against a suggested case load of 30 to 60. </w:t>
      </w:r>
    </w:p>
    <w:p w:rsidR="00567549" w:rsidRPr="008501DC" w:rsidP="00661F5B">
      <w:pPr>
        <w:pStyle w:val="ListParagraph"/>
        <w:numPr>
          <w:ilvl w:val="0"/>
          <w:numId w:val="7"/>
        </w:numPr>
        <w:ind w:hanging="306"/>
        <w:rPr>
          <w:rFonts w:ascii="Verdana" w:hAnsi="Verdana"/>
        </w:rPr>
      </w:pPr>
      <w:r w:rsidRPr="008501DC">
        <w:rPr>
          <w:rFonts w:ascii="Verdana" w:hAnsi="Verdana"/>
        </w:rPr>
        <w:t>For the probation officer grade in March 2023, 104 out of 113 of HMPPS’s probation sub-regions with available data (92%) were operating at or above 100% of their operational capacity.</w:t>
      </w:r>
      <w:r>
        <w:rPr>
          <w:rStyle w:val="FootnoteReference"/>
          <w:rFonts w:ascii="Verdana" w:hAnsi="Verdana"/>
        </w:rPr>
        <w:footnoteReference w:id="17"/>
      </w:r>
    </w:p>
    <w:p w:rsidR="00567549" w:rsidRPr="008501DC">
      <w:pPr>
        <w:pStyle w:val="ListParagraph"/>
        <w:ind w:left="1440"/>
        <w:rPr>
          <w:rFonts w:ascii="Verdana" w:hAnsi="Verdana"/>
        </w:rPr>
      </w:pPr>
    </w:p>
    <w:p w:rsidR="00567549" w:rsidRPr="008501DC" w:rsidP="00661F5B">
      <w:pPr>
        <w:pStyle w:val="ListParagraph"/>
        <w:numPr>
          <w:ilvl w:val="0"/>
          <w:numId w:val="37"/>
        </w:numPr>
        <w:ind w:left="567" w:hanging="284"/>
        <w:rPr>
          <w:rFonts w:ascii="Verdana" w:hAnsi="Verdana"/>
        </w:rPr>
      </w:pPr>
      <w:r w:rsidRPr="008501DC">
        <w:rPr>
          <w:rFonts w:ascii="Verdana" w:hAnsi="Verdana"/>
        </w:rPr>
        <w:t>MoJ</w:t>
      </w:r>
      <w:r w:rsidRPr="008501DC">
        <w:rPr>
          <w:rFonts w:ascii="Verdana" w:hAnsi="Verdana"/>
        </w:rPr>
        <w:t xml:space="preserve"> does not publish data on the time probation officers spend supervising offenders serving prison sentences compared with those serving a community sentence, but high workloads for probation staff will make it harder for staff to supervise community sentences effectively</w:t>
      </w:r>
      <w:bookmarkStart w:id="0" w:name="_Hlk137803627"/>
      <w:r w:rsidRPr="008501DC">
        <w:rPr>
          <w:rFonts w:ascii="Verdana" w:hAnsi="Verdana"/>
        </w:rPr>
        <w:t xml:space="preserve">. In a March 2023 debate, the Minister of State said that the </w:t>
      </w:r>
      <w:r w:rsidRPr="008501DC">
        <w:rPr>
          <w:rFonts w:ascii="Verdana" w:hAnsi="Verdana"/>
        </w:rPr>
        <w:t>MoJ</w:t>
      </w:r>
      <w:r w:rsidRPr="008501DC">
        <w:rPr>
          <w:rFonts w:ascii="Verdana" w:hAnsi="Verdana"/>
        </w:rPr>
        <w:t xml:space="preserve"> is investing more than £155 million in additional annual funding to recruit more staff and reduce probation caseloads.</w:t>
      </w:r>
      <w:bookmarkEnd w:id="0"/>
      <w:r>
        <w:rPr>
          <w:rStyle w:val="FootnoteReference"/>
          <w:rFonts w:ascii="Verdana" w:hAnsi="Verdana"/>
        </w:rPr>
        <w:footnoteReference w:id="18"/>
      </w:r>
    </w:p>
    <w:p w:rsidR="00567549" w:rsidRPr="008501DC">
      <w:pPr>
        <w:pStyle w:val="Heading1"/>
        <w:rPr>
          <w:rFonts w:ascii="Verdana" w:hAnsi="Verdana"/>
          <w:sz w:val="22"/>
          <w:szCs w:val="22"/>
        </w:rPr>
      </w:pPr>
      <w:r w:rsidRPr="008501DC">
        <w:rPr>
          <w:rFonts w:ascii="Verdana" w:hAnsi="Verdana"/>
          <w:sz w:val="22"/>
          <w:szCs w:val="22"/>
        </w:rPr>
        <w:t>3. Cost effectiveness of short custodial sentences vs community sentence orders</w:t>
      </w:r>
    </w:p>
    <w:p w:rsidR="00567549" w:rsidRPr="008501DC" w:rsidP="004A3E60">
      <w:pPr>
        <w:pStyle w:val="ListParagraph"/>
        <w:numPr>
          <w:ilvl w:val="0"/>
          <w:numId w:val="37"/>
        </w:numPr>
        <w:ind w:left="567" w:hanging="283"/>
        <w:rPr>
          <w:rFonts w:ascii="Verdana" w:hAnsi="Verdana"/>
        </w:rPr>
      </w:pPr>
      <w:r w:rsidRPr="008501DC">
        <w:rPr>
          <w:rFonts w:ascii="Verdana" w:hAnsi="Verdana"/>
        </w:rPr>
        <w:t>Comparing the value for money of community sentences with short custodial sentences requires information on both the cost of each option and the corresponding outcomes. The following paragraphs summarise the results of our review of publicly available information, covering:</w:t>
      </w:r>
    </w:p>
    <w:p w:rsidR="00567549" w:rsidRPr="008501DC" w:rsidP="004A3E60">
      <w:pPr>
        <w:pStyle w:val="ListParagraph"/>
        <w:numPr>
          <w:ilvl w:val="1"/>
          <w:numId w:val="37"/>
        </w:numPr>
        <w:ind w:hanging="306"/>
        <w:rPr>
          <w:rFonts w:ascii="Verdana" w:hAnsi="Verdana"/>
        </w:rPr>
      </w:pPr>
      <w:r w:rsidRPr="008501DC">
        <w:rPr>
          <w:rFonts w:ascii="Verdana" w:hAnsi="Verdana"/>
        </w:rPr>
        <w:t>Available information on the costs of short prison sentences and community sentences</w:t>
      </w:r>
    </w:p>
    <w:p w:rsidR="00567549" w:rsidRPr="008501DC" w:rsidP="004A3E60">
      <w:pPr>
        <w:pStyle w:val="ListParagraph"/>
        <w:numPr>
          <w:ilvl w:val="1"/>
          <w:numId w:val="37"/>
        </w:numPr>
        <w:ind w:hanging="306"/>
        <w:rPr>
          <w:rFonts w:ascii="Verdana" w:hAnsi="Verdana"/>
        </w:rPr>
      </w:pPr>
      <w:r w:rsidRPr="008501DC">
        <w:rPr>
          <w:rFonts w:ascii="Verdana" w:hAnsi="Verdana"/>
        </w:rPr>
        <w:t>The potential for cost savings by increasing types of by reducing short custodial sentences and increasing community sentences</w:t>
      </w:r>
    </w:p>
    <w:p w:rsidR="00567549" w:rsidRPr="008501DC" w:rsidP="004A3E60">
      <w:pPr>
        <w:pStyle w:val="ListParagraph"/>
        <w:numPr>
          <w:ilvl w:val="1"/>
          <w:numId w:val="37"/>
        </w:numPr>
        <w:ind w:hanging="306"/>
        <w:rPr>
          <w:rFonts w:ascii="Verdana" w:hAnsi="Verdana"/>
        </w:rPr>
      </w:pPr>
      <w:r w:rsidRPr="008501DC">
        <w:rPr>
          <w:rFonts w:ascii="Verdana" w:hAnsi="Verdana"/>
        </w:rPr>
        <w:t>Available information about the effectiveness of sentencing types on reducing reoffending</w:t>
      </w:r>
    </w:p>
    <w:p w:rsidR="00567549" w:rsidRPr="008501DC" w:rsidP="004A3E60">
      <w:pPr>
        <w:pStyle w:val="ListParagraph"/>
        <w:numPr>
          <w:ilvl w:val="1"/>
          <w:numId w:val="37"/>
        </w:numPr>
        <w:ind w:hanging="306"/>
        <w:rPr>
          <w:rFonts w:ascii="Verdana" w:hAnsi="Verdana"/>
        </w:rPr>
      </w:pPr>
      <w:r w:rsidRPr="008501DC">
        <w:rPr>
          <w:rFonts w:ascii="Verdana" w:hAnsi="Verdana"/>
        </w:rPr>
        <w:t xml:space="preserve"> Conclusion on what this means when comparing the value for money of both options.</w:t>
      </w:r>
    </w:p>
    <w:p w:rsidR="00567549" w:rsidRPr="008501DC">
      <w:pPr>
        <w:pStyle w:val="Heading2"/>
        <w:rPr>
          <w:rFonts w:ascii="Verdana" w:hAnsi="Verdana"/>
          <w:sz w:val="22"/>
          <w:szCs w:val="22"/>
        </w:rPr>
      </w:pPr>
      <w:r w:rsidRPr="008501DC">
        <w:rPr>
          <w:rFonts w:ascii="Verdana" w:hAnsi="Verdana"/>
          <w:sz w:val="22"/>
          <w:szCs w:val="22"/>
        </w:rPr>
        <w:t>3a. Cost information on short custodial sentences vs community sentences</w:t>
      </w:r>
    </w:p>
    <w:p w:rsidR="00567549" w:rsidRPr="008501DC" w:rsidP="00940545">
      <w:pPr>
        <w:pStyle w:val="ListParagraph"/>
        <w:numPr>
          <w:ilvl w:val="0"/>
          <w:numId w:val="37"/>
        </w:numPr>
        <w:ind w:left="567" w:hanging="283"/>
        <w:rPr>
          <w:rFonts w:ascii="Verdana" w:hAnsi="Verdana"/>
        </w:rPr>
      </w:pPr>
      <w:r w:rsidRPr="008501DC">
        <w:rPr>
          <w:rFonts w:ascii="Verdana" w:hAnsi="Verdana"/>
        </w:rPr>
        <w:t xml:space="preserve">In this section, we set out cost information available on both short prison sentences of less than one year, and community sentences. </w:t>
      </w:r>
    </w:p>
    <w:p w:rsidR="00567549" w:rsidRPr="008501DC">
      <w:pPr>
        <w:pStyle w:val="Heading3"/>
        <w:rPr>
          <w:rFonts w:ascii="Verdana" w:hAnsi="Verdana"/>
          <w:sz w:val="22"/>
          <w:szCs w:val="22"/>
        </w:rPr>
      </w:pPr>
      <w:r w:rsidRPr="008501DC">
        <w:rPr>
          <w:rFonts w:ascii="Verdana" w:hAnsi="Verdana"/>
          <w:sz w:val="22"/>
          <w:szCs w:val="22"/>
        </w:rPr>
        <w:t>Cost of short prison sentences</w:t>
      </w:r>
    </w:p>
    <w:p w:rsidR="00567549" w:rsidRPr="008501DC" w:rsidP="000B7C8D">
      <w:pPr>
        <w:pStyle w:val="ListParagraph"/>
        <w:numPr>
          <w:ilvl w:val="0"/>
          <w:numId w:val="37"/>
        </w:numPr>
        <w:ind w:left="567" w:hanging="283"/>
        <w:rPr>
          <w:rFonts w:ascii="Verdana" w:hAnsi="Verdana"/>
          <w:b/>
          <w:bCs/>
        </w:rPr>
      </w:pPr>
      <w:r w:rsidRPr="008501DC">
        <w:rPr>
          <w:rFonts w:ascii="Verdana" w:hAnsi="Verdana"/>
        </w:rPr>
        <w:t>MoJ</w:t>
      </w:r>
      <w:r w:rsidRPr="008501DC">
        <w:rPr>
          <w:rFonts w:ascii="Verdana" w:hAnsi="Verdana"/>
        </w:rPr>
        <w:t xml:space="preserve"> publishes annual data on the unit costs of prisons. In 2021-2022, </w:t>
      </w:r>
      <w:r w:rsidRPr="008501DC">
        <w:rPr>
          <w:rFonts w:ascii="Verdana" w:hAnsi="Verdana"/>
        </w:rPr>
        <w:t>MoJ</w:t>
      </w:r>
      <w:r w:rsidRPr="008501DC">
        <w:rPr>
          <w:rFonts w:ascii="Verdana" w:hAnsi="Verdana"/>
        </w:rPr>
        <w:t xml:space="preserve"> spent £3.75 billion on overall prison running costs, which equates to an average cost of £47,434</w:t>
      </w:r>
      <w:r w:rsidRPr="008501DC">
        <w:rPr>
          <w:rFonts w:ascii="Verdana" w:hAnsi="Verdana"/>
          <w:b/>
          <w:bCs/>
        </w:rPr>
        <w:t xml:space="preserve"> </w:t>
      </w:r>
      <w:r w:rsidRPr="008501DC">
        <w:rPr>
          <w:rFonts w:ascii="Verdana" w:hAnsi="Verdana"/>
        </w:rPr>
        <w:t>to hold one prisoner for the full year or around £4,000 per month</w:t>
      </w:r>
      <w:r>
        <w:rPr>
          <w:rStyle w:val="FootnoteReference"/>
          <w:rFonts w:ascii="Verdana" w:hAnsi="Verdana"/>
          <w:b/>
          <w:bCs/>
        </w:rPr>
        <w:footnoteReference w:id="19"/>
      </w:r>
      <w:r w:rsidRPr="008501DC">
        <w:rPr>
          <w:rFonts w:ascii="Verdana" w:hAnsi="Verdana"/>
          <w:b/>
          <w:bCs/>
        </w:rPr>
        <w:t xml:space="preserve">.  </w:t>
      </w:r>
    </w:p>
    <w:p w:rsidR="00567549" w:rsidRPr="008501DC" w:rsidP="000B7C8D">
      <w:pPr>
        <w:pStyle w:val="ListParagraph"/>
        <w:ind w:left="567" w:hanging="283"/>
        <w:rPr>
          <w:rFonts w:ascii="Verdana" w:hAnsi="Verdana"/>
          <w:b/>
          <w:bCs/>
        </w:rPr>
      </w:pPr>
    </w:p>
    <w:p w:rsidR="00567549" w:rsidRPr="008501DC" w:rsidP="000B7C8D">
      <w:pPr>
        <w:pStyle w:val="ListParagraph"/>
        <w:numPr>
          <w:ilvl w:val="0"/>
          <w:numId w:val="37"/>
        </w:numPr>
        <w:ind w:left="567" w:hanging="283"/>
        <w:rPr>
          <w:rFonts w:ascii="Verdana" w:hAnsi="Verdana"/>
        </w:rPr>
      </w:pPr>
      <w:r w:rsidRPr="008501DC">
        <w:rPr>
          <w:rFonts w:ascii="Verdana" w:hAnsi="Verdana"/>
        </w:rPr>
        <w:t xml:space="preserve">This figure does not include additional costs such as post-release supervision and in some cases the overall cost to the taxpayer may be much higher. For example, our report Improving the outcomes for women in the criminal justice system noted that in 2016-17, a cross-government project estimated that the total cost to government of a typical custodial sentence of six weeks in prison followed by 12 months on licence for a low/medium risk female offender in 2015-16 was £20,000. </w:t>
      </w:r>
      <w:r>
        <w:rPr>
          <w:rStyle w:val="FootnoteReference"/>
          <w:rFonts w:ascii="Verdana" w:hAnsi="Verdana"/>
        </w:rPr>
        <w:footnoteReference w:id="20"/>
      </w:r>
      <w:r w:rsidRPr="008501DC">
        <w:rPr>
          <w:rFonts w:ascii="Verdana" w:hAnsi="Verdana"/>
        </w:rPr>
        <w:t xml:space="preserve"> </w:t>
      </w:r>
    </w:p>
    <w:p w:rsidR="00567549" w:rsidRPr="008501DC" w:rsidP="000B7C8D">
      <w:pPr>
        <w:pStyle w:val="ListParagraph"/>
        <w:ind w:left="567" w:hanging="283"/>
        <w:rPr>
          <w:rFonts w:ascii="Verdana" w:hAnsi="Verdana"/>
        </w:rPr>
      </w:pPr>
    </w:p>
    <w:p w:rsidR="00567549" w:rsidRPr="008501DC" w:rsidP="000B7C8D">
      <w:pPr>
        <w:pStyle w:val="ListParagraph"/>
        <w:numPr>
          <w:ilvl w:val="0"/>
          <w:numId w:val="37"/>
        </w:numPr>
        <w:ind w:left="567" w:hanging="283"/>
        <w:rPr>
          <w:rFonts w:ascii="Verdana" w:hAnsi="Verdana"/>
        </w:rPr>
      </w:pPr>
      <w:r w:rsidRPr="008501DC">
        <w:rPr>
          <w:rFonts w:ascii="Verdana" w:hAnsi="Verdana"/>
        </w:rPr>
        <w:t xml:space="preserve">Based on </w:t>
      </w:r>
      <w:r w:rsidRPr="008501DC">
        <w:rPr>
          <w:rFonts w:ascii="Verdana" w:hAnsi="Verdana"/>
        </w:rPr>
        <w:t>MoJ’s</w:t>
      </w:r>
      <w:r w:rsidRPr="008501DC">
        <w:rPr>
          <w:rFonts w:ascii="Verdana" w:hAnsi="Verdana"/>
        </w:rPr>
        <w:t xml:space="preserve"> unit cost data we can give a broad estimate of the cost to </w:t>
      </w:r>
      <w:r w:rsidRPr="008501DC">
        <w:rPr>
          <w:rFonts w:ascii="Verdana" w:hAnsi="Verdana"/>
        </w:rPr>
        <w:t>MoJ</w:t>
      </w:r>
      <w:r w:rsidRPr="008501DC">
        <w:rPr>
          <w:rFonts w:ascii="Verdana" w:hAnsi="Verdana"/>
        </w:rPr>
        <w:t xml:space="preserve"> of holding people sentenced to short sentences of less than a year in 2022 (37,284) to be around £550 million (see Figure 5). This estimate is based on the average cost of holding a prisoner for a month in 2022 (£4,000), multiplied by the sentence length. There are a range of limitations with this estimate:</w:t>
      </w:r>
    </w:p>
    <w:p w:rsidR="00567549" w:rsidRPr="008501DC" w:rsidP="000B7C8D">
      <w:pPr>
        <w:pStyle w:val="ListParagraph"/>
        <w:numPr>
          <w:ilvl w:val="0"/>
          <w:numId w:val="28"/>
        </w:numPr>
        <w:ind w:hanging="306"/>
        <w:rPr>
          <w:rFonts w:ascii="Verdana" w:hAnsi="Verdana"/>
        </w:rPr>
      </w:pPr>
      <w:r w:rsidRPr="008501DC">
        <w:rPr>
          <w:rFonts w:ascii="Verdana" w:hAnsi="Verdana"/>
        </w:rPr>
        <w:t>people sentenced during 2022 will not necessarily complete their sentence in the same year, so the unit cost may change;</w:t>
      </w:r>
    </w:p>
    <w:p w:rsidR="00567549" w:rsidRPr="008501DC" w:rsidP="000B7C8D">
      <w:pPr>
        <w:pStyle w:val="ListParagraph"/>
        <w:numPr>
          <w:ilvl w:val="0"/>
          <w:numId w:val="28"/>
        </w:numPr>
        <w:ind w:hanging="306"/>
        <w:rPr>
          <w:rFonts w:ascii="Verdana" w:hAnsi="Verdana"/>
        </w:rPr>
      </w:pPr>
      <w:r w:rsidRPr="008501DC">
        <w:rPr>
          <w:rFonts w:ascii="Verdana" w:hAnsi="Verdana"/>
        </w:rPr>
        <w:t>As sentence lengths are grouped in the data (e.g. up to and including one month), we have also assumed that people complete the average sentence length in each range when estimating the total cost;</w:t>
      </w:r>
    </w:p>
    <w:p w:rsidR="00567549" w:rsidP="000B7C8D">
      <w:pPr>
        <w:pStyle w:val="ListParagraph"/>
        <w:numPr>
          <w:ilvl w:val="0"/>
          <w:numId w:val="28"/>
        </w:numPr>
        <w:ind w:hanging="306"/>
        <w:rPr>
          <w:rFonts w:ascii="Verdana" w:hAnsi="Verdana"/>
        </w:rPr>
      </w:pPr>
      <w:r w:rsidRPr="008501DC">
        <w:rPr>
          <w:rFonts w:ascii="Verdana" w:hAnsi="Verdana"/>
        </w:rPr>
        <w:t xml:space="preserve">The estimate does not include any wider costs such as post-release supervision. Since 2015 all prison sentences require a period of at least 12 months’ probation supervision. </w:t>
      </w:r>
    </w:p>
    <w:tbl>
      <w:tblPr>
        <w:tblStyle w:val="NAOTable"/>
        <w:tblW w:w="5000" w:type="pct"/>
        <w:tblLayout w:type="fixed"/>
        <w:tblLook w:val="0600"/>
      </w:tblPr>
      <w:tblGrid>
        <w:gridCol w:w="1809"/>
        <w:gridCol w:w="1811"/>
        <w:gridCol w:w="1838"/>
        <w:gridCol w:w="1784"/>
        <w:gridCol w:w="1784"/>
      </w:tblGrid>
      <w:tr w:rsidTr="00F16036">
        <w:tblPrEx>
          <w:tblW w:w="5000" w:type="pct"/>
          <w:tblLayout w:type="fixed"/>
          <w:tblLook w:val="0600"/>
        </w:tblPrEx>
        <w:tc>
          <w:tcPr>
            <w:tcW w:w="7242" w:type="dxa"/>
            <w:gridSpan w:val="4"/>
          </w:tcPr>
          <w:p w:rsidR="00567549" w:rsidRPr="008501DC">
            <w:pPr>
              <w:pStyle w:val="Caption"/>
              <w:rPr>
                <w:rFonts w:ascii="Verdana" w:hAnsi="Verdana"/>
                <w:sz w:val="22"/>
                <w:szCs w:val="22"/>
              </w:rPr>
            </w:pPr>
            <w:r w:rsidRPr="008501DC">
              <w:rPr>
                <w:rFonts w:ascii="Verdana" w:hAnsi="Verdana"/>
                <w:sz w:val="22"/>
                <w:szCs w:val="22"/>
              </w:rPr>
              <w:t>Figure 5</w:t>
            </w:r>
          </w:p>
        </w:tc>
        <w:tc>
          <w:tcPr>
            <w:tcW w:w="1784" w:type="dxa"/>
          </w:tcPr>
          <w:p w:rsidR="00567549" w:rsidRPr="008501DC">
            <w:pPr>
              <w:pStyle w:val="Caption"/>
              <w:rPr>
                <w:rFonts w:ascii="Verdana" w:hAnsi="Verdana"/>
                <w:sz w:val="22"/>
                <w:szCs w:val="22"/>
              </w:rPr>
            </w:pPr>
          </w:p>
        </w:tc>
      </w:tr>
      <w:tr w:rsidTr="000B7C8D">
        <w:tblPrEx>
          <w:tblW w:w="5000" w:type="pct"/>
          <w:tblLayout w:type="fixed"/>
          <w:tblLook w:val="0600"/>
        </w:tblPrEx>
        <w:trPr>
          <w:trHeight w:val="587"/>
        </w:trPr>
        <w:tc>
          <w:tcPr>
            <w:tcW w:w="9026" w:type="dxa"/>
            <w:gridSpan w:val="5"/>
          </w:tcPr>
          <w:p w:rsidR="00567549" w:rsidRPr="008501DC">
            <w:pPr>
              <w:pStyle w:val="Figuretitle"/>
              <w:rPr>
                <w:rFonts w:ascii="Verdana" w:hAnsi="Verdana"/>
                <w:sz w:val="22"/>
                <w:szCs w:val="22"/>
              </w:rPr>
            </w:pPr>
            <w:r w:rsidRPr="008501DC">
              <w:rPr>
                <w:rFonts w:ascii="Verdana" w:hAnsi="Verdana"/>
                <w:sz w:val="22"/>
                <w:szCs w:val="22"/>
              </w:rPr>
              <w:t xml:space="preserve">Estimated cost to </w:t>
            </w:r>
            <w:r w:rsidRPr="008501DC">
              <w:rPr>
                <w:rFonts w:ascii="Verdana" w:hAnsi="Verdana"/>
                <w:sz w:val="22"/>
                <w:szCs w:val="22"/>
              </w:rPr>
              <w:t>MoJ</w:t>
            </w:r>
            <w:r w:rsidRPr="008501DC">
              <w:rPr>
                <w:rFonts w:ascii="Verdana" w:hAnsi="Verdana"/>
                <w:sz w:val="22"/>
                <w:szCs w:val="22"/>
              </w:rPr>
              <w:t xml:space="preserve"> of holding prisoners sentenced to short custodial sentences issued in 2022 by sentence length</w:t>
            </w:r>
          </w:p>
        </w:tc>
      </w:tr>
      <w:tr w:rsidTr="000B7C8D">
        <w:tblPrEx>
          <w:tblW w:w="5000" w:type="pct"/>
          <w:tblLayout w:type="fixed"/>
          <w:tblLook w:val="0600"/>
        </w:tblPrEx>
        <w:tc>
          <w:tcPr>
            <w:tcW w:w="9026" w:type="dxa"/>
            <w:gridSpan w:val="5"/>
            <w:tcBorders>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 xml:space="preserve">We estimate that the costs to </w:t>
            </w:r>
            <w:r w:rsidRPr="008501DC">
              <w:rPr>
                <w:rFonts w:ascii="Verdana" w:hAnsi="Verdana"/>
                <w:sz w:val="22"/>
                <w:szCs w:val="22"/>
              </w:rPr>
              <w:t>MoJ</w:t>
            </w:r>
            <w:r w:rsidRPr="008501DC">
              <w:rPr>
                <w:rFonts w:ascii="Verdana" w:hAnsi="Verdana"/>
                <w:sz w:val="22"/>
                <w:szCs w:val="22"/>
              </w:rPr>
              <w:t xml:space="preserve"> of holding people sentenced to short sentences of less than a year in 2022 (37,284) to be around £550 million</w:t>
            </w:r>
          </w:p>
        </w:tc>
      </w:tr>
      <w:tr w:rsidTr="000B7C8D">
        <w:tblPrEx>
          <w:tblW w:w="5000" w:type="pct"/>
          <w:tblLayout w:type="fixed"/>
          <w:tblLook w:val="0600"/>
        </w:tblPrEx>
        <w:tc>
          <w:tcPr>
            <w:tcW w:w="1809" w:type="dxa"/>
            <w:tcBorders>
              <w:top w:val="single" w:sz="4" w:space="0" w:color="auto"/>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Custodial sentence length</w:t>
            </w:r>
          </w:p>
        </w:tc>
        <w:tc>
          <w:tcPr>
            <w:tcW w:w="1811" w:type="dxa"/>
            <w:tcBorders>
              <w:top w:val="single" w:sz="4" w:space="0" w:color="auto"/>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Number of people with sentence outcome in 2022</w:t>
            </w:r>
          </w:p>
        </w:tc>
        <w:tc>
          <w:tcPr>
            <w:tcW w:w="1838" w:type="dxa"/>
            <w:tcBorders>
              <w:top w:val="single" w:sz="4" w:space="0" w:color="auto"/>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Average sentence length in 2022 (months)</w:t>
            </w:r>
          </w:p>
        </w:tc>
        <w:tc>
          <w:tcPr>
            <w:tcW w:w="1784" w:type="dxa"/>
            <w:tcBorders>
              <w:top w:val="single" w:sz="4" w:space="0" w:color="auto"/>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 xml:space="preserve">Cost of average sentence length </w:t>
            </w:r>
          </w:p>
        </w:tc>
        <w:tc>
          <w:tcPr>
            <w:tcW w:w="1784" w:type="dxa"/>
            <w:tcBorders>
              <w:top w:val="single" w:sz="4" w:space="0" w:color="auto"/>
              <w:bottom w:val="single" w:sz="4" w:space="0" w:color="auto"/>
            </w:tcBorders>
          </w:tcPr>
          <w:p w:rsidR="00567549" w:rsidRPr="008501DC">
            <w:pPr>
              <w:pStyle w:val="ColumnHeading"/>
              <w:rPr>
                <w:rFonts w:ascii="Verdana" w:hAnsi="Verdana"/>
                <w:sz w:val="22"/>
                <w:szCs w:val="22"/>
              </w:rPr>
            </w:pPr>
            <w:r w:rsidRPr="008501DC">
              <w:rPr>
                <w:rFonts w:ascii="Verdana" w:hAnsi="Verdana"/>
                <w:sz w:val="22"/>
                <w:szCs w:val="22"/>
              </w:rPr>
              <w:t xml:space="preserve">Total estimated cost </w:t>
            </w:r>
          </w:p>
        </w:tc>
      </w:tr>
      <w:tr w:rsidTr="000B7C8D">
        <w:tblPrEx>
          <w:tblW w:w="5000" w:type="pct"/>
          <w:tblLayout w:type="fixed"/>
          <w:tblLook w:val="0600"/>
        </w:tblPrEx>
        <w:tc>
          <w:tcPr>
            <w:tcW w:w="1809" w:type="dxa"/>
            <w:tcBorders>
              <w:top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Up to and including 1 month</w:t>
            </w:r>
          </w:p>
        </w:tc>
        <w:tc>
          <w:tcPr>
            <w:tcW w:w="1811" w:type="dxa"/>
            <w:tcBorders>
              <w:top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6,865 </w:t>
            </w:r>
          </w:p>
        </w:tc>
        <w:tc>
          <w:tcPr>
            <w:tcW w:w="1838" w:type="dxa"/>
            <w:tcBorders>
              <w:top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0.7 </w:t>
            </w:r>
          </w:p>
        </w:tc>
        <w:tc>
          <w:tcPr>
            <w:tcW w:w="1784" w:type="dxa"/>
            <w:tcBorders>
              <w:top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£2.8k</w:t>
            </w:r>
          </w:p>
        </w:tc>
        <w:tc>
          <w:tcPr>
            <w:tcW w:w="1784" w:type="dxa"/>
            <w:tcBorders>
              <w:top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£19mn </w:t>
            </w:r>
          </w:p>
        </w:tc>
      </w:tr>
      <w:tr w:rsidTr="00F16036">
        <w:tblPrEx>
          <w:tblW w:w="5000" w:type="pct"/>
          <w:tblLayout w:type="fixed"/>
          <w:tblLook w:val="0600"/>
        </w:tblPrEx>
        <w:tc>
          <w:tcPr>
            <w:tcW w:w="1809" w:type="dxa"/>
          </w:tcPr>
          <w:p w:rsidR="00567549" w:rsidRPr="008501DC">
            <w:pPr>
              <w:pStyle w:val="Figuretext"/>
              <w:rPr>
                <w:rFonts w:ascii="Verdana" w:hAnsi="Verdana"/>
                <w:sz w:val="22"/>
                <w:szCs w:val="22"/>
              </w:rPr>
            </w:pPr>
            <w:r w:rsidRPr="008501DC">
              <w:rPr>
                <w:rFonts w:ascii="Verdana" w:hAnsi="Verdana"/>
                <w:sz w:val="22"/>
                <w:szCs w:val="22"/>
              </w:rPr>
              <w:t>Over 1 month and up to and including 2 months</w:t>
            </w:r>
          </w:p>
        </w:tc>
        <w:tc>
          <w:tcPr>
            <w:tcW w:w="1811" w:type="dxa"/>
          </w:tcPr>
          <w:p w:rsidR="00567549" w:rsidRPr="008501DC">
            <w:pPr>
              <w:pStyle w:val="Figuretext"/>
              <w:rPr>
                <w:rFonts w:ascii="Verdana" w:hAnsi="Verdana"/>
                <w:sz w:val="22"/>
                <w:szCs w:val="22"/>
              </w:rPr>
            </w:pPr>
            <w:r w:rsidRPr="008501DC">
              <w:rPr>
                <w:rFonts w:ascii="Verdana" w:hAnsi="Verdana"/>
                <w:sz w:val="22"/>
                <w:szCs w:val="22"/>
              </w:rPr>
              <w:t xml:space="preserve"> 6,756 </w:t>
            </w:r>
          </w:p>
        </w:tc>
        <w:tc>
          <w:tcPr>
            <w:tcW w:w="1838" w:type="dxa"/>
          </w:tcPr>
          <w:p w:rsidR="00567549" w:rsidRPr="008501DC">
            <w:pPr>
              <w:pStyle w:val="Figuretext"/>
              <w:rPr>
                <w:rFonts w:ascii="Verdana" w:hAnsi="Verdana"/>
                <w:sz w:val="22"/>
                <w:szCs w:val="22"/>
              </w:rPr>
            </w:pPr>
            <w:r w:rsidRPr="008501DC">
              <w:rPr>
                <w:rFonts w:ascii="Verdana" w:hAnsi="Verdana"/>
                <w:sz w:val="22"/>
                <w:szCs w:val="22"/>
              </w:rPr>
              <w:t xml:space="preserve"> 1.7 </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£6.9k</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£47mn</w:t>
            </w:r>
          </w:p>
        </w:tc>
      </w:tr>
      <w:tr w:rsidTr="00F16036">
        <w:tblPrEx>
          <w:tblW w:w="5000" w:type="pct"/>
          <w:tblLayout w:type="fixed"/>
          <w:tblLook w:val="0600"/>
        </w:tblPrEx>
        <w:tc>
          <w:tcPr>
            <w:tcW w:w="1809" w:type="dxa"/>
          </w:tcPr>
          <w:p w:rsidR="00567549" w:rsidRPr="008501DC">
            <w:pPr>
              <w:pStyle w:val="Figuretext"/>
              <w:rPr>
                <w:rFonts w:ascii="Verdana" w:hAnsi="Verdana"/>
                <w:sz w:val="22"/>
                <w:szCs w:val="22"/>
              </w:rPr>
            </w:pPr>
            <w:r w:rsidRPr="008501DC">
              <w:rPr>
                <w:rFonts w:ascii="Verdana" w:hAnsi="Verdana"/>
                <w:sz w:val="22"/>
                <w:szCs w:val="22"/>
              </w:rPr>
              <w:t>Over 2 months and up to and including 3 months</w:t>
            </w:r>
          </w:p>
        </w:tc>
        <w:tc>
          <w:tcPr>
            <w:tcW w:w="1811" w:type="dxa"/>
          </w:tcPr>
          <w:p w:rsidR="00567549" w:rsidRPr="008501DC">
            <w:pPr>
              <w:pStyle w:val="Figuretext"/>
              <w:rPr>
                <w:rFonts w:ascii="Verdana" w:hAnsi="Verdana"/>
                <w:sz w:val="22"/>
                <w:szCs w:val="22"/>
              </w:rPr>
            </w:pPr>
            <w:r w:rsidRPr="008501DC">
              <w:rPr>
                <w:rFonts w:ascii="Verdana" w:hAnsi="Verdana"/>
                <w:sz w:val="22"/>
                <w:szCs w:val="22"/>
              </w:rPr>
              <w:t xml:space="preserve"> 5,581 </w:t>
            </w:r>
          </w:p>
        </w:tc>
        <w:tc>
          <w:tcPr>
            <w:tcW w:w="1838" w:type="dxa"/>
          </w:tcPr>
          <w:p w:rsidR="00567549" w:rsidRPr="008501DC">
            <w:pPr>
              <w:pStyle w:val="Figuretext"/>
              <w:rPr>
                <w:rFonts w:ascii="Verdana" w:hAnsi="Verdana"/>
                <w:sz w:val="22"/>
                <w:szCs w:val="22"/>
              </w:rPr>
            </w:pPr>
            <w:r w:rsidRPr="008501DC">
              <w:rPr>
                <w:rFonts w:ascii="Verdana" w:hAnsi="Verdana"/>
                <w:sz w:val="22"/>
                <w:szCs w:val="22"/>
              </w:rPr>
              <w:t xml:space="preserve"> 2.7 </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£10.7k</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£60mn</w:t>
            </w:r>
          </w:p>
        </w:tc>
      </w:tr>
      <w:tr w:rsidTr="00F16036">
        <w:tblPrEx>
          <w:tblW w:w="5000" w:type="pct"/>
          <w:tblLayout w:type="fixed"/>
          <w:tblLook w:val="0600"/>
        </w:tblPrEx>
        <w:tc>
          <w:tcPr>
            <w:tcW w:w="1809" w:type="dxa"/>
          </w:tcPr>
          <w:p w:rsidR="00567549" w:rsidRPr="008501DC">
            <w:pPr>
              <w:pStyle w:val="Figuretext"/>
              <w:rPr>
                <w:rFonts w:ascii="Verdana" w:hAnsi="Verdana"/>
                <w:sz w:val="22"/>
                <w:szCs w:val="22"/>
              </w:rPr>
            </w:pPr>
            <w:r w:rsidRPr="008501DC">
              <w:rPr>
                <w:rFonts w:ascii="Verdana" w:hAnsi="Verdana"/>
                <w:sz w:val="22"/>
                <w:szCs w:val="22"/>
              </w:rPr>
              <w:t>Over 3 months and up to 6 months</w:t>
            </w:r>
          </w:p>
        </w:tc>
        <w:tc>
          <w:tcPr>
            <w:tcW w:w="1811" w:type="dxa"/>
          </w:tcPr>
          <w:p w:rsidR="00567549" w:rsidRPr="008501DC">
            <w:pPr>
              <w:pStyle w:val="Figuretext"/>
              <w:rPr>
                <w:rFonts w:ascii="Verdana" w:hAnsi="Verdana"/>
                <w:sz w:val="22"/>
                <w:szCs w:val="22"/>
              </w:rPr>
            </w:pPr>
            <w:r w:rsidRPr="008501DC">
              <w:rPr>
                <w:rFonts w:ascii="Verdana" w:hAnsi="Verdana"/>
                <w:sz w:val="22"/>
                <w:szCs w:val="22"/>
              </w:rPr>
              <w:t xml:space="preserve"> 8,720 </w:t>
            </w:r>
          </w:p>
        </w:tc>
        <w:tc>
          <w:tcPr>
            <w:tcW w:w="1838" w:type="dxa"/>
          </w:tcPr>
          <w:p w:rsidR="00567549" w:rsidRPr="008501DC">
            <w:pPr>
              <w:pStyle w:val="Figuretext"/>
              <w:rPr>
                <w:rFonts w:ascii="Verdana" w:hAnsi="Verdana"/>
                <w:sz w:val="22"/>
                <w:szCs w:val="22"/>
              </w:rPr>
            </w:pPr>
            <w:r w:rsidRPr="008501DC">
              <w:rPr>
                <w:rFonts w:ascii="Verdana" w:hAnsi="Verdana"/>
                <w:sz w:val="22"/>
                <w:szCs w:val="22"/>
              </w:rPr>
              <w:t xml:space="preserve"> 4.2 </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£16.4k </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£143mn</w:t>
            </w:r>
          </w:p>
        </w:tc>
      </w:tr>
      <w:tr w:rsidTr="00F16036">
        <w:tblPrEx>
          <w:tblW w:w="5000" w:type="pct"/>
          <w:tblLayout w:type="fixed"/>
          <w:tblLook w:val="0600"/>
        </w:tblPrEx>
        <w:tc>
          <w:tcPr>
            <w:tcW w:w="1809" w:type="dxa"/>
          </w:tcPr>
          <w:p w:rsidR="00567549" w:rsidRPr="008501DC">
            <w:pPr>
              <w:pStyle w:val="Figuretext"/>
              <w:rPr>
                <w:rFonts w:ascii="Verdana" w:hAnsi="Verdana"/>
                <w:sz w:val="22"/>
                <w:szCs w:val="22"/>
              </w:rPr>
            </w:pPr>
            <w:r w:rsidRPr="008501DC">
              <w:rPr>
                <w:rFonts w:ascii="Verdana" w:hAnsi="Verdana"/>
                <w:sz w:val="22"/>
                <w:szCs w:val="22"/>
              </w:rPr>
              <w:t>6 months</w:t>
            </w:r>
          </w:p>
        </w:tc>
        <w:tc>
          <w:tcPr>
            <w:tcW w:w="1811" w:type="dxa"/>
          </w:tcPr>
          <w:p w:rsidR="00567549" w:rsidRPr="008501DC">
            <w:pPr>
              <w:pStyle w:val="Figuretext"/>
              <w:rPr>
                <w:rFonts w:ascii="Verdana" w:hAnsi="Verdana"/>
                <w:sz w:val="22"/>
                <w:szCs w:val="22"/>
              </w:rPr>
            </w:pPr>
            <w:r w:rsidRPr="008501DC">
              <w:rPr>
                <w:rFonts w:ascii="Verdana" w:hAnsi="Verdana"/>
                <w:sz w:val="22"/>
                <w:szCs w:val="22"/>
              </w:rPr>
              <w:t xml:space="preserve"> 4,117 </w:t>
            </w:r>
          </w:p>
        </w:tc>
        <w:tc>
          <w:tcPr>
            <w:tcW w:w="1838" w:type="dxa"/>
          </w:tcPr>
          <w:p w:rsidR="00567549" w:rsidRPr="008501DC">
            <w:pPr>
              <w:pStyle w:val="Figuretext"/>
              <w:rPr>
                <w:rFonts w:ascii="Verdana" w:hAnsi="Verdana"/>
                <w:sz w:val="22"/>
                <w:szCs w:val="22"/>
              </w:rPr>
            </w:pPr>
            <w:r w:rsidRPr="008501DC">
              <w:rPr>
                <w:rFonts w:ascii="Verdana" w:hAnsi="Verdana"/>
                <w:sz w:val="22"/>
                <w:szCs w:val="22"/>
              </w:rPr>
              <w:t xml:space="preserve"> 6.0 </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£23.7k</w:t>
            </w:r>
          </w:p>
        </w:tc>
        <w:tc>
          <w:tcPr>
            <w:tcW w:w="1784" w:type="dxa"/>
          </w:tcPr>
          <w:p w:rsidR="00567549" w:rsidRPr="008501DC">
            <w:pPr>
              <w:pStyle w:val="Figuretext"/>
              <w:rPr>
                <w:rFonts w:ascii="Verdana" w:hAnsi="Verdana"/>
                <w:sz w:val="22"/>
                <w:szCs w:val="22"/>
              </w:rPr>
            </w:pPr>
            <w:r w:rsidRPr="008501DC">
              <w:rPr>
                <w:rFonts w:ascii="Verdana" w:hAnsi="Verdana"/>
                <w:sz w:val="22"/>
                <w:szCs w:val="22"/>
              </w:rPr>
              <w:t xml:space="preserve"> £98mn</w:t>
            </w:r>
          </w:p>
        </w:tc>
      </w:tr>
      <w:tr w:rsidTr="000B7C8D">
        <w:tblPrEx>
          <w:tblW w:w="5000" w:type="pct"/>
          <w:tblLayout w:type="fixed"/>
          <w:tblLook w:val="0600"/>
        </w:tblPrEx>
        <w:tc>
          <w:tcPr>
            <w:tcW w:w="1809" w:type="dxa"/>
            <w:tcBorders>
              <w:bottom w:val="nil"/>
            </w:tcBorders>
          </w:tcPr>
          <w:p w:rsidR="00567549" w:rsidRPr="008501DC">
            <w:pPr>
              <w:pStyle w:val="Figuretext"/>
              <w:rPr>
                <w:rFonts w:ascii="Verdana" w:hAnsi="Verdana"/>
                <w:sz w:val="22"/>
                <w:szCs w:val="22"/>
              </w:rPr>
            </w:pPr>
            <w:r w:rsidRPr="008501DC">
              <w:rPr>
                <w:rFonts w:ascii="Verdana" w:hAnsi="Verdana"/>
                <w:sz w:val="22"/>
                <w:szCs w:val="22"/>
              </w:rPr>
              <w:t>Over 6 months and up to and including 9 months</w:t>
            </w:r>
          </w:p>
        </w:tc>
        <w:tc>
          <w:tcPr>
            <w:tcW w:w="1811" w:type="dxa"/>
            <w:tcBorders>
              <w:bottom w:val="nil"/>
            </w:tcBorders>
          </w:tcPr>
          <w:p w:rsidR="00567549" w:rsidRPr="008501DC">
            <w:pPr>
              <w:pStyle w:val="Figuretext"/>
              <w:rPr>
                <w:rFonts w:ascii="Verdana" w:hAnsi="Verdana"/>
                <w:sz w:val="22"/>
                <w:szCs w:val="22"/>
              </w:rPr>
            </w:pPr>
            <w:r w:rsidRPr="008501DC">
              <w:rPr>
                <w:rFonts w:ascii="Verdana" w:hAnsi="Verdana"/>
                <w:sz w:val="22"/>
                <w:szCs w:val="22"/>
              </w:rPr>
              <w:t xml:space="preserve"> 3,680 </w:t>
            </w:r>
          </w:p>
        </w:tc>
        <w:tc>
          <w:tcPr>
            <w:tcW w:w="1838" w:type="dxa"/>
            <w:tcBorders>
              <w:bottom w:val="nil"/>
            </w:tcBorders>
          </w:tcPr>
          <w:p w:rsidR="00567549" w:rsidRPr="008501DC">
            <w:pPr>
              <w:pStyle w:val="Figuretext"/>
              <w:rPr>
                <w:rFonts w:ascii="Verdana" w:hAnsi="Verdana"/>
                <w:sz w:val="22"/>
                <w:szCs w:val="22"/>
              </w:rPr>
            </w:pPr>
            <w:r w:rsidRPr="008501DC">
              <w:rPr>
                <w:rFonts w:ascii="Verdana" w:hAnsi="Verdana"/>
                <w:sz w:val="22"/>
                <w:szCs w:val="22"/>
              </w:rPr>
              <w:t xml:space="preserve"> 8.2 </w:t>
            </w:r>
          </w:p>
        </w:tc>
        <w:tc>
          <w:tcPr>
            <w:tcW w:w="1784" w:type="dxa"/>
            <w:tcBorders>
              <w:bottom w:val="nil"/>
            </w:tcBorders>
          </w:tcPr>
          <w:p w:rsidR="00567549" w:rsidRPr="008501DC">
            <w:pPr>
              <w:pStyle w:val="Figuretext"/>
              <w:rPr>
                <w:rFonts w:ascii="Verdana" w:hAnsi="Verdana"/>
                <w:sz w:val="22"/>
                <w:szCs w:val="22"/>
              </w:rPr>
            </w:pPr>
            <w:r w:rsidRPr="008501DC">
              <w:rPr>
                <w:rFonts w:ascii="Verdana" w:hAnsi="Verdana"/>
                <w:sz w:val="22"/>
                <w:szCs w:val="22"/>
              </w:rPr>
              <w:t xml:space="preserve">£32.3k </w:t>
            </w:r>
          </w:p>
        </w:tc>
        <w:tc>
          <w:tcPr>
            <w:tcW w:w="1784" w:type="dxa"/>
            <w:tcBorders>
              <w:bottom w:val="nil"/>
            </w:tcBorders>
          </w:tcPr>
          <w:p w:rsidR="00567549" w:rsidRPr="008501DC">
            <w:pPr>
              <w:pStyle w:val="Figuretext"/>
              <w:rPr>
                <w:rFonts w:ascii="Verdana" w:hAnsi="Verdana"/>
                <w:sz w:val="22"/>
                <w:szCs w:val="22"/>
              </w:rPr>
            </w:pPr>
            <w:r w:rsidRPr="008501DC">
              <w:rPr>
                <w:rFonts w:ascii="Verdana" w:hAnsi="Verdana"/>
                <w:sz w:val="22"/>
                <w:szCs w:val="22"/>
              </w:rPr>
              <w:t xml:space="preserve"> £119mn</w:t>
            </w:r>
          </w:p>
        </w:tc>
      </w:tr>
      <w:tr w:rsidTr="000B7C8D">
        <w:tblPrEx>
          <w:tblW w:w="5000" w:type="pct"/>
          <w:tblLayout w:type="fixed"/>
          <w:tblLook w:val="0600"/>
        </w:tblPrEx>
        <w:tc>
          <w:tcPr>
            <w:tcW w:w="1809" w:type="dxa"/>
            <w:tcBorders>
              <w:top w:val="nil"/>
              <w:bottom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Over 9 months and up to 12 months</w:t>
            </w:r>
          </w:p>
        </w:tc>
        <w:tc>
          <w:tcPr>
            <w:tcW w:w="1811" w:type="dxa"/>
            <w:tcBorders>
              <w:top w:val="nil"/>
              <w:bottom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1,565 </w:t>
            </w:r>
          </w:p>
        </w:tc>
        <w:tc>
          <w:tcPr>
            <w:tcW w:w="1838" w:type="dxa"/>
            <w:tcBorders>
              <w:top w:val="nil"/>
              <w:bottom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10.1 </w:t>
            </w:r>
          </w:p>
        </w:tc>
        <w:tc>
          <w:tcPr>
            <w:tcW w:w="1784" w:type="dxa"/>
            <w:tcBorders>
              <w:top w:val="nil"/>
              <w:bottom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£39.9k</w:t>
            </w:r>
          </w:p>
        </w:tc>
        <w:tc>
          <w:tcPr>
            <w:tcW w:w="1784" w:type="dxa"/>
            <w:tcBorders>
              <w:top w:val="nil"/>
              <w:bottom w:val="single" w:sz="4" w:space="0" w:color="auto"/>
            </w:tcBorders>
          </w:tcPr>
          <w:p w:rsidR="00567549" w:rsidRPr="008501DC">
            <w:pPr>
              <w:pStyle w:val="Figuretext"/>
              <w:rPr>
                <w:rFonts w:ascii="Verdana" w:hAnsi="Verdana"/>
                <w:sz w:val="22"/>
                <w:szCs w:val="22"/>
              </w:rPr>
            </w:pPr>
            <w:r w:rsidRPr="008501DC">
              <w:rPr>
                <w:rFonts w:ascii="Verdana" w:hAnsi="Verdana"/>
                <w:sz w:val="22"/>
                <w:szCs w:val="22"/>
              </w:rPr>
              <w:t xml:space="preserve"> £63mn</w:t>
            </w:r>
          </w:p>
        </w:tc>
      </w:tr>
      <w:tr w:rsidTr="000B7C8D">
        <w:tblPrEx>
          <w:tblW w:w="5000" w:type="pct"/>
          <w:tblLayout w:type="fixed"/>
          <w:tblLook w:val="0600"/>
        </w:tblPrEx>
        <w:tc>
          <w:tcPr>
            <w:tcW w:w="1809" w:type="dxa"/>
            <w:tcBorders>
              <w:top w:val="single" w:sz="4" w:space="0" w:color="auto"/>
              <w:bottom w:val="single" w:sz="4" w:space="0" w:color="auto"/>
            </w:tcBorders>
          </w:tcPr>
          <w:p w:rsidR="00567549" w:rsidRPr="008501DC">
            <w:pPr>
              <w:pStyle w:val="Figuretext"/>
              <w:rPr>
                <w:rFonts w:ascii="Verdana" w:hAnsi="Verdana"/>
                <w:b/>
                <w:bCs/>
                <w:sz w:val="22"/>
                <w:szCs w:val="22"/>
              </w:rPr>
            </w:pPr>
            <w:r w:rsidRPr="008501DC">
              <w:rPr>
                <w:rFonts w:ascii="Verdana" w:hAnsi="Verdana"/>
                <w:b/>
                <w:bCs/>
                <w:sz w:val="22"/>
                <w:szCs w:val="22"/>
              </w:rPr>
              <w:t>Total (under 12 months)</w:t>
            </w:r>
          </w:p>
        </w:tc>
        <w:tc>
          <w:tcPr>
            <w:tcW w:w="1811" w:type="dxa"/>
            <w:tcBorders>
              <w:top w:val="single" w:sz="4" w:space="0" w:color="auto"/>
              <w:bottom w:val="single" w:sz="4" w:space="0" w:color="auto"/>
            </w:tcBorders>
          </w:tcPr>
          <w:p w:rsidR="00567549" w:rsidRPr="008501DC">
            <w:pPr>
              <w:pStyle w:val="Figuretext"/>
              <w:rPr>
                <w:rFonts w:ascii="Verdana" w:hAnsi="Verdana"/>
                <w:b/>
                <w:bCs/>
                <w:sz w:val="22"/>
                <w:szCs w:val="22"/>
              </w:rPr>
            </w:pPr>
            <w:r w:rsidRPr="008501DC">
              <w:rPr>
                <w:rFonts w:ascii="Verdana" w:hAnsi="Verdana"/>
                <w:b/>
                <w:bCs/>
                <w:sz w:val="22"/>
                <w:szCs w:val="22"/>
              </w:rPr>
              <w:t>37,284</w:t>
            </w:r>
          </w:p>
        </w:tc>
        <w:tc>
          <w:tcPr>
            <w:tcW w:w="1838" w:type="dxa"/>
            <w:tcBorders>
              <w:top w:val="single" w:sz="4" w:space="0" w:color="auto"/>
              <w:bottom w:val="single" w:sz="4" w:space="0" w:color="auto"/>
            </w:tcBorders>
          </w:tcPr>
          <w:p w:rsidR="00567549" w:rsidRPr="008501DC">
            <w:pPr>
              <w:pStyle w:val="Figuretext"/>
              <w:rPr>
                <w:rFonts w:ascii="Verdana" w:hAnsi="Verdana"/>
                <w:sz w:val="22"/>
                <w:szCs w:val="22"/>
              </w:rPr>
            </w:pPr>
          </w:p>
        </w:tc>
        <w:tc>
          <w:tcPr>
            <w:tcW w:w="1784" w:type="dxa"/>
            <w:tcBorders>
              <w:top w:val="single" w:sz="4" w:space="0" w:color="auto"/>
              <w:bottom w:val="single" w:sz="4" w:space="0" w:color="auto"/>
            </w:tcBorders>
          </w:tcPr>
          <w:p w:rsidR="00567549" w:rsidRPr="008501DC">
            <w:pPr>
              <w:pStyle w:val="Figuretext"/>
              <w:rPr>
                <w:rFonts w:ascii="Verdana" w:hAnsi="Verdana"/>
                <w:b/>
                <w:bCs/>
                <w:sz w:val="22"/>
                <w:szCs w:val="22"/>
              </w:rPr>
            </w:pPr>
            <w:r w:rsidRPr="008501DC">
              <w:rPr>
                <w:rFonts w:ascii="Verdana" w:hAnsi="Verdana"/>
                <w:sz w:val="22"/>
                <w:szCs w:val="22"/>
              </w:rPr>
              <w:t xml:space="preserve"> </w:t>
            </w:r>
          </w:p>
        </w:tc>
        <w:tc>
          <w:tcPr>
            <w:tcW w:w="1784" w:type="dxa"/>
            <w:tcBorders>
              <w:top w:val="single" w:sz="4" w:space="0" w:color="auto"/>
              <w:bottom w:val="single" w:sz="4" w:space="0" w:color="auto"/>
            </w:tcBorders>
          </w:tcPr>
          <w:p w:rsidR="00567549" w:rsidRPr="008501DC">
            <w:pPr>
              <w:pStyle w:val="Figuretext"/>
              <w:rPr>
                <w:rFonts w:ascii="Verdana" w:hAnsi="Verdana"/>
                <w:b/>
                <w:bCs/>
                <w:sz w:val="22"/>
                <w:szCs w:val="22"/>
              </w:rPr>
            </w:pPr>
            <w:r w:rsidRPr="008501DC">
              <w:rPr>
                <w:rFonts w:ascii="Verdana" w:hAnsi="Verdana"/>
                <w:b/>
                <w:bCs/>
                <w:sz w:val="22"/>
                <w:szCs w:val="22"/>
              </w:rPr>
              <w:t>£549mn</w:t>
            </w:r>
          </w:p>
        </w:tc>
      </w:tr>
      <w:tr w:rsidTr="000B7C8D">
        <w:tblPrEx>
          <w:tblW w:w="5000" w:type="pct"/>
          <w:tblLayout w:type="fixed"/>
          <w:tblLook w:val="0600"/>
        </w:tblPrEx>
        <w:tc>
          <w:tcPr>
            <w:tcW w:w="9026" w:type="dxa"/>
            <w:gridSpan w:val="5"/>
            <w:tcBorders>
              <w:top w:val="single" w:sz="4" w:space="0" w:color="auto"/>
            </w:tcBorders>
          </w:tcPr>
          <w:p w:rsidR="00567549" w:rsidRPr="008501DC">
            <w:pPr>
              <w:pStyle w:val="NOTES"/>
              <w:rPr>
                <w:rFonts w:ascii="Verdana" w:hAnsi="Verdana"/>
                <w:sz w:val="22"/>
                <w:szCs w:val="22"/>
              </w:rPr>
            </w:pPr>
            <w:r w:rsidRPr="008501DC">
              <w:rPr>
                <w:rFonts w:ascii="Verdana" w:hAnsi="Verdana"/>
                <w:sz w:val="22"/>
                <w:szCs w:val="22"/>
              </w:rPr>
              <w:t>NOTES</w:t>
            </w:r>
          </w:p>
          <w:p w:rsidR="00567549" w:rsidRPr="008501DC">
            <w:pPr>
              <w:pStyle w:val="NumberedNotes"/>
              <w:rPr>
                <w:rFonts w:ascii="Verdana" w:hAnsi="Verdana"/>
                <w:sz w:val="22"/>
                <w:szCs w:val="22"/>
              </w:rPr>
            </w:pPr>
            <w:r w:rsidRPr="008501DC">
              <w:rPr>
                <w:rFonts w:ascii="Verdana" w:hAnsi="Verdana"/>
                <w:sz w:val="22"/>
                <w:szCs w:val="22"/>
              </w:rPr>
              <w:t>As sentence lengths are grouped in the data (e.g. up to and including one month), we have assumed that people complete the average sentence length in each range when estimating the total cost.</w:t>
            </w:r>
          </w:p>
          <w:p w:rsidR="00567549" w:rsidRPr="008501DC">
            <w:pPr>
              <w:pStyle w:val="NumberedNotes"/>
              <w:rPr>
                <w:rFonts w:ascii="Verdana" w:hAnsi="Verdana"/>
                <w:sz w:val="22"/>
                <w:szCs w:val="22"/>
              </w:rPr>
            </w:pPr>
            <w:r w:rsidRPr="008501DC">
              <w:rPr>
                <w:rFonts w:ascii="Verdana" w:hAnsi="Verdana"/>
                <w:sz w:val="22"/>
                <w:szCs w:val="22"/>
              </w:rPr>
              <w:t>The monthly cost of around £4,000 is calculated by dividing the average cost of holding a prisoner for a year in 2021-22 (£47,434) by 12. Costs of average sentence lengths are calculated by multiplying this monthly cost by the average sentence length</w:t>
            </w:r>
          </w:p>
          <w:p w:rsidR="00567549" w:rsidRPr="008501DC">
            <w:pPr>
              <w:pStyle w:val="NumberedNotes"/>
              <w:rPr>
                <w:rFonts w:ascii="Verdana" w:hAnsi="Verdana"/>
                <w:sz w:val="22"/>
                <w:szCs w:val="22"/>
              </w:rPr>
            </w:pPr>
            <w:r w:rsidRPr="008501DC">
              <w:rPr>
                <w:rFonts w:ascii="Verdana" w:hAnsi="Verdana"/>
                <w:sz w:val="22"/>
                <w:szCs w:val="22"/>
              </w:rPr>
              <w:t xml:space="preserve">Costs are based on </w:t>
            </w:r>
            <w:r w:rsidRPr="008501DC">
              <w:rPr>
                <w:rFonts w:ascii="Verdana" w:hAnsi="Verdana"/>
                <w:sz w:val="22"/>
                <w:szCs w:val="22"/>
              </w:rPr>
              <w:t>MoJ’s</w:t>
            </w:r>
            <w:r w:rsidRPr="008501DC">
              <w:rPr>
                <w:rFonts w:ascii="Verdana" w:hAnsi="Verdana"/>
                <w:sz w:val="22"/>
                <w:szCs w:val="22"/>
              </w:rPr>
              <w:t xml:space="preserve"> 2021-2022 prison unit cost data, However, people sentenced in 2022 may not complete their sentence within the same year at which point the average cost of holding a prisoner may have changed. For example, the cost of holding a prisoner for a year in 2021-22 was £47,434, whereas in 2021-22 this was £48,061 in real terms.</w:t>
            </w:r>
          </w:p>
          <w:p w:rsidR="00567549" w:rsidRPr="008501DC">
            <w:pPr>
              <w:pStyle w:val="NumberedNotes"/>
              <w:rPr>
                <w:rFonts w:ascii="Verdana" w:hAnsi="Verdana"/>
                <w:sz w:val="22"/>
                <w:szCs w:val="22"/>
              </w:rPr>
            </w:pPr>
            <w:r w:rsidRPr="008501DC">
              <w:rPr>
                <w:rFonts w:ascii="Verdana" w:hAnsi="Verdana"/>
                <w:sz w:val="22"/>
                <w:szCs w:val="22"/>
              </w:rPr>
              <w:t>Figures may not sum due to rounding</w:t>
            </w:r>
          </w:p>
          <w:p w:rsidR="00567549" w:rsidRPr="008501DC">
            <w:pPr>
              <w:pStyle w:val="NOTES"/>
              <w:numPr>
                <w:ilvl w:val="0"/>
                <w:numId w:val="0"/>
              </w:numPr>
              <w:rPr>
                <w:rFonts w:ascii="Verdana" w:hAnsi="Verdana"/>
                <w:sz w:val="22"/>
                <w:szCs w:val="22"/>
              </w:rPr>
            </w:pPr>
            <w:r w:rsidRPr="008501DC">
              <w:rPr>
                <w:rFonts w:ascii="Verdana" w:hAnsi="Verdana"/>
                <w:b w:val="0"/>
                <w:bCs/>
                <w:sz w:val="22"/>
                <w:szCs w:val="22"/>
              </w:rPr>
              <w:t>Sources:</w:t>
            </w:r>
            <w:r w:rsidRPr="008501DC">
              <w:rPr>
                <w:rFonts w:ascii="Verdana" w:hAnsi="Verdana"/>
                <w:sz w:val="22"/>
                <w:szCs w:val="22"/>
              </w:rPr>
              <w:t xml:space="preserve"> </w:t>
            </w:r>
            <w:r w:rsidRPr="008501DC">
              <w:rPr>
                <w:rFonts w:ascii="Verdana" w:hAnsi="Verdana"/>
                <w:b w:val="0"/>
                <w:bCs/>
                <w:sz w:val="22"/>
                <w:szCs w:val="22"/>
              </w:rPr>
              <w:t>NAO analysis of Ministry of Justice, Criminal justice statistics quarterly, December 2022: Outcomes by Offence data tool and Ministry of Justice, Costs per prison place and costs per individual prison, 9 March 2023</w:t>
            </w:r>
          </w:p>
        </w:tc>
      </w:tr>
    </w:tbl>
    <w:p w:rsidR="00567549" w:rsidRPr="008501DC">
      <w:pPr>
        <w:pStyle w:val="Heading3"/>
        <w:rPr>
          <w:rFonts w:ascii="Verdana" w:hAnsi="Verdana"/>
          <w:sz w:val="22"/>
          <w:szCs w:val="22"/>
        </w:rPr>
      </w:pPr>
    </w:p>
    <w:p w:rsidR="00567549" w:rsidRPr="008501DC" w:rsidP="00E0717B">
      <w:pPr>
        <w:rPr>
          <w:rFonts w:ascii="Verdana" w:hAnsi="Verdana"/>
        </w:rPr>
      </w:pPr>
      <w:r w:rsidRPr="008501DC">
        <w:rPr>
          <w:rFonts w:ascii="Verdana" w:hAnsi="Verdana"/>
        </w:rPr>
        <w:t>Cost of community sentences</w:t>
      </w:r>
    </w:p>
    <w:p w:rsidR="00567549" w:rsidRPr="008501DC" w:rsidP="00A82434">
      <w:pPr>
        <w:pStyle w:val="ListParagraph"/>
        <w:numPr>
          <w:ilvl w:val="0"/>
          <w:numId w:val="37"/>
        </w:numPr>
        <w:ind w:left="567"/>
        <w:rPr>
          <w:rFonts w:ascii="Verdana" w:hAnsi="Verdana"/>
        </w:rPr>
      </w:pPr>
      <w:r w:rsidRPr="008501DC">
        <w:rPr>
          <w:rFonts w:ascii="Verdana" w:hAnsi="Verdana"/>
        </w:rPr>
        <w:t>There are less data available on the costs of community sentences. HMPPS’s predecessor had previously published some unit cost data which included the cost of a community sentence. However HMPPS does not publish this unit cost data in its annual reports.</w:t>
      </w:r>
    </w:p>
    <w:p w:rsidR="00567549" w:rsidRPr="008501DC" w:rsidP="00A82434">
      <w:pPr>
        <w:pStyle w:val="ListParagraph"/>
        <w:ind w:left="567"/>
        <w:rPr>
          <w:rFonts w:ascii="Verdana" w:hAnsi="Verdana"/>
        </w:rPr>
      </w:pPr>
    </w:p>
    <w:p w:rsidR="00567549" w:rsidRPr="008501DC" w:rsidP="00A82434">
      <w:pPr>
        <w:pStyle w:val="ListParagraph"/>
        <w:numPr>
          <w:ilvl w:val="0"/>
          <w:numId w:val="37"/>
        </w:numPr>
        <w:ind w:left="567"/>
        <w:rPr>
          <w:rFonts w:ascii="Verdana" w:hAnsi="Verdana"/>
        </w:rPr>
      </w:pPr>
      <w:r w:rsidRPr="008501DC">
        <w:rPr>
          <w:rFonts w:ascii="Verdana" w:hAnsi="Verdana"/>
        </w:rPr>
        <w:t>We reviewed available data within the annual accounts but found it difficult to give a current estimate on the cost of community sentences. There are data available on the number of people given a community sentence in 2022 (68,994) and HMPPS’s accounts state that its total resource expenditure on probation services in 2021-2022 was around £976 million.</w:t>
      </w:r>
      <w:r w:rsidRPr="008501DC">
        <w:rPr>
          <w:rStyle w:val="FootnoteReference"/>
          <w:rFonts w:ascii="Verdana" w:hAnsi="Verdana"/>
        </w:rPr>
        <w:t xml:space="preserve"> </w:t>
      </w:r>
      <w:r>
        <w:rPr>
          <w:rStyle w:val="FootnoteReference"/>
          <w:rFonts w:ascii="Verdana" w:hAnsi="Verdana"/>
        </w:rPr>
        <w:footnoteReference w:id="21"/>
      </w:r>
      <w:r>
        <w:rPr>
          <w:rStyle w:val="FootnoteReference"/>
          <w:rFonts w:ascii="Verdana" w:hAnsi="Verdana"/>
        </w:rPr>
        <w:footnoteReference w:id="22"/>
      </w:r>
      <w:r w:rsidRPr="008501DC">
        <w:rPr>
          <w:rFonts w:ascii="Verdana" w:hAnsi="Verdana"/>
        </w:rPr>
        <w:t xml:space="preserve"> However, we do not know how much of this cost will have been spent on providing supervision for community sentences as opposed to supervision for offenders released from prison or those serving suspended sentences.</w:t>
      </w:r>
    </w:p>
    <w:p w:rsidR="00567549" w:rsidRPr="008501DC" w:rsidP="00A82434">
      <w:pPr>
        <w:pStyle w:val="ListParagraph"/>
        <w:ind w:left="567"/>
        <w:rPr>
          <w:rFonts w:ascii="Verdana" w:hAnsi="Verdana"/>
        </w:rPr>
      </w:pPr>
    </w:p>
    <w:p w:rsidR="00567549" w:rsidRPr="008501DC" w:rsidP="00A82434">
      <w:pPr>
        <w:pStyle w:val="ListParagraph"/>
        <w:numPr>
          <w:ilvl w:val="0"/>
          <w:numId w:val="37"/>
        </w:numPr>
        <w:ind w:left="567" w:hanging="284"/>
        <w:rPr>
          <w:rFonts w:ascii="Verdana" w:hAnsi="Verdana"/>
        </w:rPr>
      </w:pPr>
      <w:r w:rsidRPr="008501DC">
        <w:rPr>
          <w:rFonts w:ascii="Verdana" w:hAnsi="Verdana"/>
        </w:rPr>
        <w:t xml:space="preserve">Although we could not find current data on cost, previous published information suggests that community sentences were significantly cheaper than short prison sentences:  </w:t>
      </w:r>
    </w:p>
    <w:p w:rsidR="00567549" w:rsidRPr="008501DC" w:rsidP="00A82434">
      <w:pPr>
        <w:pStyle w:val="ListParagraph"/>
        <w:numPr>
          <w:ilvl w:val="0"/>
          <w:numId w:val="29"/>
        </w:numPr>
        <w:ind w:left="1134" w:hanging="283"/>
        <w:rPr>
          <w:rFonts w:ascii="Verdana" w:hAnsi="Verdana"/>
        </w:rPr>
      </w:pPr>
      <w:r w:rsidRPr="008501DC">
        <w:rPr>
          <w:rFonts w:ascii="Verdana" w:hAnsi="Verdana"/>
        </w:rPr>
        <w:t>A 2014-15 National Offender Management Service Business Plan set out that the average overall cost of holding a prisoner in 2012-13 equated to £34,766 about eight times the average cost per community order or suspended sentence order, at £4,305</w:t>
      </w:r>
      <w:r>
        <w:rPr>
          <w:rStyle w:val="FootnoteReference"/>
          <w:rFonts w:ascii="Verdana" w:hAnsi="Verdana"/>
        </w:rPr>
        <w:footnoteReference w:id="23"/>
      </w:r>
      <w:r>
        <w:rPr>
          <w:rStyle w:val="FootnoteReference"/>
          <w:rFonts w:ascii="Verdana" w:hAnsi="Verdana"/>
        </w:rPr>
        <w:footnoteReference w:id="24"/>
      </w:r>
    </w:p>
    <w:p w:rsidR="00567549" w:rsidRPr="008501DC" w:rsidP="00A82434">
      <w:pPr>
        <w:pStyle w:val="ListParagraph"/>
        <w:numPr>
          <w:ilvl w:val="0"/>
          <w:numId w:val="29"/>
        </w:numPr>
        <w:ind w:left="1134" w:hanging="283"/>
        <w:rPr>
          <w:rFonts w:ascii="Verdana" w:hAnsi="Verdana"/>
        </w:rPr>
      </w:pPr>
      <w:r w:rsidRPr="008501DC">
        <w:rPr>
          <w:rFonts w:ascii="Verdana" w:hAnsi="Verdana"/>
        </w:rPr>
        <w:t>The 2016-2017 cross-government study referenced previously found that a typical community sentence for women (7-month community sentence) in 2015-16 cost around £12,000, just over half the cost of a typical prison sentence.</w:t>
      </w:r>
    </w:p>
    <w:p w:rsidR="00567549" w:rsidRPr="008501DC">
      <w:pPr>
        <w:ind w:left="720"/>
        <w:rPr>
          <w:rFonts w:ascii="Verdana" w:hAnsi="Verdana"/>
        </w:rPr>
      </w:pPr>
      <w:r w:rsidRPr="008501DC">
        <w:rPr>
          <w:rFonts w:ascii="Verdana" w:hAnsi="Verdana"/>
        </w:rPr>
        <w:t>We did not find any more recent information on the costs of community sentences, nor on different types of community sentences.</w:t>
      </w:r>
    </w:p>
    <w:p w:rsidR="00567549" w:rsidRPr="008501DC">
      <w:pPr>
        <w:pStyle w:val="Heading2"/>
        <w:rPr>
          <w:rFonts w:ascii="Verdana" w:hAnsi="Verdana"/>
          <w:sz w:val="22"/>
          <w:szCs w:val="22"/>
        </w:rPr>
      </w:pPr>
      <w:r w:rsidRPr="008501DC">
        <w:rPr>
          <w:rFonts w:ascii="Verdana" w:hAnsi="Verdana"/>
          <w:sz w:val="22"/>
          <w:szCs w:val="22"/>
        </w:rPr>
        <w:t>3b. Potential for cost savings by reducing short custodial sentences and increasing community sentences</w:t>
      </w:r>
    </w:p>
    <w:p w:rsidR="00567549" w:rsidRPr="008501DC" w:rsidP="006558C1">
      <w:pPr>
        <w:pStyle w:val="ListParagraph"/>
        <w:numPr>
          <w:ilvl w:val="0"/>
          <w:numId w:val="37"/>
        </w:numPr>
        <w:ind w:left="567" w:hanging="283"/>
        <w:rPr>
          <w:rFonts w:ascii="Verdana" w:hAnsi="Verdana"/>
        </w:rPr>
      </w:pPr>
      <w:r w:rsidRPr="008501DC">
        <w:rPr>
          <w:rFonts w:ascii="Verdana" w:hAnsi="Verdana"/>
        </w:rPr>
        <w:t xml:space="preserve">Despite the information set out about the lower cost of community sentences, increasing the proportion of people given community sentences instead of short custodial sentences may not result in immediate savings for </w:t>
      </w:r>
      <w:r w:rsidRPr="008501DC">
        <w:rPr>
          <w:rFonts w:ascii="Verdana" w:hAnsi="Verdana"/>
        </w:rPr>
        <w:t>MoJ</w:t>
      </w:r>
      <w:r w:rsidRPr="008501DC">
        <w:rPr>
          <w:rFonts w:ascii="Verdana" w:hAnsi="Verdana"/>
        </w:rPr>
        <w:t>. This is because there are many costs associated with running the prison estate such as staff salaries and the cost of its estate, which would require substantial changes in the prison population before they can be adjusted. For example issuing one offender with a community sentence instead of a prison sentence would not mean that fewer prison staff were required.</w:t>
      </w:r>
      <w:r>
        <w:rPr>
          <w:rStyle w:val="FootnoteReference"/>
          <w:rFonts w:ascii="Verdana" w:hAnsi="Verdana"/>
        </w:rPr>
        <w:footnoteReference w:id="25"/>
      </w:r>
      <w:r w:rsidRPr="008501DC">
        <w:rPr>
          <w:rFonts w:ascii="Verdana" w:hAnsi="Verdana"/>
        </w:rPr>
        <w:t xml:space="preserve">  Additionally, most people in prison at any given time are those serving sentences of 12 months or more. As at March 2023, just 4% of the prison population were serving sentences of less than 12 months, though this was higher in the women’s estate at 9%. (Figure 6).</w:t>
      </w:r>
      <w:r>
        <w:rPr>
          <w:rStyle w:val="FootnoteReference"/>
          <w:rFonts w:ascii="Verdana" w:hAnsi="Verdana"/>
        </w:rPr>
        <w:footnoteReference w:id="26"/>
      </w:r>
    </w:p>
    <w:p w:rsidR="00567549" w:rsidRPr="008501DC" w:rsidP="006558C1">
      <w:pPr>
        <w:pStyle w:val="ListParagraph"/>
        <w:ind w:left="567" w:hanging="283"/>
        <w:rPr>
          <w:rFonts w:ascii="Verdana" w:hAnsi="Verdana"/>
        </w:rPr>
      </w:pPr>
    </w:p>
    <w:p w:rsidR="00567549" w:rsidRPr="008501DC" w:rsidP="006558C1">
      <w:pPr>
        <w:pStyle w:val="ListParagraph"/>
        <w:numPr>
          <w:ilvl w:val="0"/>
          <w:numId w:val="37"/>
        </w:numPr>
        <w:ind w:left="567" w:hanging="283"/>
        <w:rPr>
          <w:rFonts w:ascii="Verdana" w:hAnsi="Verdana"/>
        </w:rPr>
      </w:pPr>
      <w:r w:rsidRPr="008501DC">
        <w:rPr>
          <w:rFonts w:ascii="Verdana" w:hAnsi="Verdana"/>
        </w:rPr>
        <w:t xml:space="preserve">There may however be wider costs to society. For example, in some cases short prison sentences could involve children needing to go into care. Our report, Improving the outcomes for women in the criminal justice system, noted </w:t>
      </w:r>
      <w:r w:rsidRPr="008501DC">
        <w:rPr>
          <w:rFonts w:ascii="Verdana" w:hAnsi="Verdana"/>
        </w:rPr>
        <w:t>MoJ’s</w:t>
      </w:r>
      <w:r w:rsidRPr="008501DC">
        <w:rPr>
          <w:rFonts w:ascii="Verdana" w:hAnsi="Verdana"/>
        </w:rPr>
        <w:t xml:space="preserve"> female offender strategy acknowledged that women’s imprisonment had a greater impact on children as women are more likely to be their main carers.</w:t>
      </w:r>
      <w:r>
        <w:rPr>
          <w:rStyle w:val="FootnoteReference"/>
          <w:rFonts w:ascii="Verdana" w:hAnsi="Verdana"/>
        </w:rPr>
        <w:footnoteReference w:id="27"/>
      </w:r>
      <w:r w:rsidRPr="008501DC">
        <w:rPr>
          <w:rFonts w:ascii="Verdana" w:hAnsi="Verdana"/>
        </w:rPr>
        <w:t xml:space="preserve"> Custodial sentences may also impact an offender’s housing or employment status. Our May 2023 report, Improving support for prison leavers to reduce reoffending, highlighted that prison leavers are </w:t>
      </w:r>
      <w:r w:rsidRPr="008501DC">
        <w:rPr>
          <w:rFonts w:ascii="Verdana" w:hAnsi="Verdana"/>
        </w:rPr>
        <w:t>more likely to reoffend if they are not resettled into the community, for example if they have nowhere to live or no job.</w:t>
      </w:r>
      <w:r>
        <w:rPr>
          <w:rStyle w:val="FootnoteReference"/>
          <w:rFonts w:ascii="Verdana" w:hAnsi="Verdana"/>
        </w:rPr>
        <w:footnoteReference w:id="28"/>
      </w:r>
    </w:p>
    <w:p w:rsidR="00567549" w:rsidRPr="008501DC">
      <w:pPr>
        <w:rPr>
          <w:rFonts w:ascii="Verdana" w:hAnsi="Verdana"/>
        </w:rPr>
        <w:sectPr>
          <w:pgSz w:w="11906" w:h="16838"/>
          <w:pgMar w:top="1440" w:right="1440" w:bottom="1440" w:left="1440" w:header="708" w:footer="708" w:gutter="0"/>
          <w:cols w:space="708"/>
          <w:docGrid w:linePitch="360"/>
        </w:sectPr>
      </w:pPr>
    </w:p>
    <w:tbl>
      <w:tblPr>
        <w:tblStyle w:val="NAOTable"/>
        <w:tblW w:w="5000" w:type="pct"/>
        <w:tblLayout w:type="fixed"/>
        <w:tblLook w:val="0600"/>
      </w:tblPr>
      <w:tblGrid>
        <w:gridCol w:w="14570"/>
      </w:tblGrid>
      <w:tr w:rsidTr="00F16036">
        <w:tblPrEx>
          <w:tblW w:w="5000" w:type="pct"/>
          <w:tblLayout w:type="fixed"/>
          <w:tblLook w:val="0600"/>
        </w:tblPrEx>
        <w:tc>
          <w:tcPr>
            <w:tcW w:w="0" w:type="dxa"/>
          </w:tcPr>
          <w:p w:rsidR="00567549" w:rsidRPr="008501DC">
            <w:pPr>
              <w:pStyle w:val="Caption"/>
              <w:rPr>
                <w:rFonts w:ascii="Verdana" w:hAnsi="Verdana"/>
                <w:sz w:val="22"/>
                <w:szCs w:val="22"/>
              </w:rPr>
            </w:pPr>
            <w:r w:rsidRPr="008501DC">
              <w:rPr>
                <w:rFonts w:ascii="Verdana" w:hAnsi="Verdana"/>
                <w:sz w:val="22"/>
                <w:szCs w:val="22"/>
              </w:rPr>
              <w:t>Figure 6</w:t>
            </w:r>
          </w:p>
        </w:tc>
      </w:tr>
      <w:tr w:rsidTr="00F16036">
        <w:tblPrEx>
          <w:tblW w:w="5000" w:type="pct"/>
          <w:tblLayout w:type="fixed"/>
          <w:tblLook w:val="0600"/>
        </w:tblPrEx>
        <w:tc>
          <w:tcPr>
            <w:tcW w:w="0" w:type="dxa"/>
          </w:tcPr>
          <w:p w:rsidR="00567549" w:rsidRPr="008501DC">
            <w:pPr>
              <w:pStyle w:val="Figuretitle"/>
              <w:rPr>
                <w:rFonts w:ascii="Verdana" w:hAnsi="Verdana"/>
                <w:sz w:val="22"/>
                <w:szCs w:val="22"/>
              </w:rPr>
            </w:pPr>
            <w:r w:rsidRPr="008501DC">
              <w:rPr>
                <w:rFonts w:ascii="Verdana" w:hAnsi="Verdana"/>
                <w:sz w:val="22"/>
                <w:szCs w:val="22"/>
              </w:rPr>
              <w:t>Proportion of the prison population by sentence type as at March 2023</w:t>
            </w:r>
          </w:p>
        </w:tc>
      </w:tr>
      <w:tr w:rsidTr="00F16036">
        <w:tblPrEx>
          <w:tblW w:w="5000" w:type="pct"/>
          <w:tblLayout w:type="fixed"/>
          <w:tblLook w:val="0600"/>
        </w:tblPrEx>
        <w:tc>
          <w:tcPr>
            <w:tcW w:w="0" w:type="dxa"/>
          </w:tcPr>
          <w:p w:rsidR="00567549" w:rsidRPr="005445DC" w:rsidP="00042084">
            <w:pPr>
              <w:rPr>
                <w:rFonts w:ascii="Verdana" w:hAnsi="Verdana"/>
              </w:rPr>
            </w:pPr>
            <w:r w:rsidRPr="005445DC">
              <w:rPr>
                <w:rFonts w:ascii="Verdana" w:hAnsi="Verdana"/>
              </w:rPr>
              <w:t>As at March 2023, only 4% of the total prison population were serving sentences of less than 12 months. In the women’s estate this was higher at 9%.</w:t>
            </w:r>
          </w:p>
        </w:tc>
      </w:tr>
      <w:tr w:rsidTr="00F16036">
        <w:tblPrEx>
          <w:tblW w:w="5000" w:type="pct"/>
          <w:tblLayout w:type="fixed"/>
          <w:tblLook w:val="0600"/>
        </w:tblPrEx>
        <w:tc>
          <w:tcPr>
            <w:tcW w:w="0" w:type="dxa"/>
          </w:tcPr>
          <w:p w:rsidR="00567549" w:rsidRPr="008501DC">
            <w:pPr>
              <w:pStyle w:val="NOTES"/>
              <w:rPr>
                <w:rFonts w:ascii="Verdana" w:hAnsi="Verdana"/>
                <w:sz w:val="22"/>
                <w:szCs w:val="22"/>
              </w:rPr>
            </w:pPr>
          </w:p>
          <w:p w:rsidR="00567549" w:rsidRPr="008501DC">
            <w:pPr>
              <w:pStyle w:val="NOTES"/>
              <w:numPr>
                <w:ilvl w:val="0"/>
                <w:numId w:val="0"/>
              </w:numPr>
              <w:rPr>
                <w:rFonts w:ascii="Verdana" w:hAnsi="Verdana"/>
                <w:sz w:val="22"/>
                <w:szCs w:val="22"/>
              </w:rPr>
            </w:pPr>
          </w:p>
          <w:p w:rsidR="00567549" w:rsidRPr="008501DC">
            <w:pPr>
              <w:pStyle w:val="NOTES"/>
              <w:numPr>
                <w:ilvl w:val="0"/>
                <w:numId w:val="0"/>
              </w:numPr>
              <w:rPr>
                <w:rFonts w:ascii="Verdana" w:hAnsi="Verdana"/>
                <w:sz w:val="22"/>
                <w:szCs w:val="22"/>
              </w:rPr>
            </w:pPr>
          </w:p>
          <w:p w:rsidR="00567549" w:rsidRPr="008501DC">
            <w:pPr>
              <w:pStyle w:val="NOTES"/>
              <w:numPr>
                <w:ilvl w:val="0"/>
                <w:numId w:val="0"/>
              </w:numPr>
              <w:rPr>
                <w:rFonts w:ascii="Verdana" w:hAnsi="Verdana"/>
                <w:sz w:val="22"/>
                <w:szCs w:val="22"/>
              </w:rPr>
            </w:pPr>
          </w:p>
          <w:p w:rsidR="00567549" w:rsidRPr="008501DC">
            <w:pPr>
              <w:pStyle w:val="NOTES"/>
              <w:numPr>
                <w:ilvl w:val="0"/>
                <w:numId w:val="0"/>
              </w:numPr>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p>
          <w:p w:rsidR="00567549" w:rsidRPr="008501DC">
            <w:pPr>
              <w:pStyle w:val="NOTES"/>
              <w:rPr>
                <w:rFonts w:ascii="Verdana" w:hAnsi="Verdana"/>
                <w:sz w:val="22"/>
                <w:szCs w:val="22"/>
              </w:rPr>
            </w:pPr>
            <w:r w:rsidRPr="008501DC">
              <w:rPr>
                <w:rFonts w:ascii="Verdana" w:hAnsi="Verdana"/>
                <w:noProof/>
                <w:sz w:val="22"/>
                <w:szCs w:val="22"/>
              </w:rPr>
              <w:drawing>
                <wp:inline distT="0" distB="0" distL="0" distR="0">
                  <wp:extent cx="9072245" cy="35528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7549" w:rsidRPr="008501DC">
            <w:pPr>
              <w:pStyle w:val="NOTES"/>
              <w:rPr>
                <w:rFonts w:ascii="Verdana" w:hAnsi="Verdana"/>
                <w:sz w:val="22"/>
                <w:szCs w:val="22"/>
              </w:rPr>
            </w:pPr>
            <w:r w:rsidRPr="008501DC">
              <w:rPr>
                <w:rFonts w:ascii="Verdana" w:hAnsi="Verdana"/>
                <w:sz w:val="22"/>
                <w:szCs w:val="22"/>
              </w:rPr>
              <w:t>NOTES</w:t>
            </w:r>
          </w:p>
          <w:p w:rsidR="00567549" w:rsidRPr="008501DC">
            <w:pPr>
              <w:pStyle w:val="NumberedNotes"/>
              <w:rPr>
                <w:rFonts w:ascii="Verdana" w:hAnsi="Verdana"/>
                <w:sz w:val="22"/>
                <w:szCs w:val="22"/>
              </w:rPr>
            </w:pPr>
            <w:r w:rsidRPr="008501DC">
              <w:rPr>
                <w:rFonts w:ascii="Verdana" w:hAnsi="Verdana"/>
                <w:sz w:val="22"/>
                <w:szCs w:val="22"/>
              </w:rPr>
              <w:t xml:space="preserve">The non-criminal population includes prisoners held for civil offences and immigration detainees held in prisons. Civil offences include non-payment of council tax or contempt of court. </w:t>
            </w:r>
          </w:p>
          <w:p w:rsidR="00567549" w:rsidRPr="008501DC">
            <w:pPr>
              <w:pStyle w:val="NumberedNotes"/>
              <w:rPr>
                <w:rFonts w:ascii="Verdana" w:hAnsi="Verdana"/>
                <w:sz w:val="22"/>
                <w:szCs w:val="22"/>
              </w:rPr>
            </w:pPr>
            <w:r w:rsidRPr="008501DC">
              <w:rPr>
                <w:rFonts w:ascii="Verdana" w:hAnsi="Verdana"/>
                <w:sz w:val="22"/>
                <w:szCs w:val="22"/>
              </w:rPr>
              <w:t>Males account for around 96% of the total prison population.</w:t>
            </w:r>
          </w:p>
          <w:p w:rsidR="00567549" w:rsidRPr="008501DC">
            <w:pPr>
              <w:pStyle w:val="FigureSource"/>
              <w:rPr>
                <w:rFonts w:ascii="Verdana" w:hAnsi="Verdana"/>
                <w:sz w:val="22"/>
                <w:szCs w:val="22"/>
              </w:rPr>
            </w:pPr>
            <w:r w:rsidRPr="008501DC">
              <w:rPr>
                <w:rFonts w:ascii="Verdana" w:hAnsi="Verdana"/>
                <w:sz w:val="22"/>
                <w:szCs w:val="22"/>
              </w:rPr>
              <w:t>Source: NAO analysis of Ministry of Justice Offender Management statistics quarterly: October to December 2022: Prison population data</w:t>
            </w:r>
          </w:p>
        </w:tc>
      </w:tr>
    </w:tbl>
    <w:p w:rsidR="00567549" w:rsidRPr="008501DC">
      <w:pPr>
        <w:rPr>
          <w:rFonts w:ascii="Verdana" w:hAnsi="Verdana"/>
        </w:rPr>
      </w:pPr>
    </w:p>
    <w:p w:rsidR="00567549" w:rsidRPr="008501DC">
      <w:pPr>
        <w:rPr>
          <w:rFonts w:ascii="Verdana" w:hAnsi="Verdana"/>
        </w:rPr>
        <w:sectPr>
          <w:pgSz w:w="16838" w:h="11906" w:orient="landscape"/>
          <w:pgMar w:top="1701" w:right="1134" w:bottom="1134" w:left="1134" w:header="709" w:footer="709" w:gutter="0"/>
          <w:cols w:space="708"/>
          <w:docGrid w:linePitch="360"/>
        </w:sectPr>
      </w:pPr>
    </w:p>
    <w:p w:rsidR="00567549" w:rsidRPr="008501DC">
      <w:pPr>
        <w:pStyle w:val="Heading2"/>
        <w:rPr>
          <w:rFonts w:ascii="Verdana" w:hAnsi="Verdana"/>
          <w:sz w:val="22"/>
          <w:szCs w:val="22"/>
        </w:rPr>
      </w:pPr>
      <w:r w:rsidRPr="008501DC">
        <w:rPr>
          <w:rFonts w:ascii="Verdana" w:hAnsi="Verdana"/>
          <w:sz w:val="22"/>
          <w:szCs w:val="22"/>
        </w:rPr>
        <w:t>3c. Effectiveness of community sentences vs short custodial sentences in reducing reoffending</w:t>
      </w:r>
    </w:p>
    <w:p w:rsidR="00567549" w:rsidRPr="008501DC">
      <w:pPr>
        <w:pStyle w:val="Heading3"/>
        <w:rPr>
          <w:rFonts w:ascii="Verdana" w:hAnsi="Verdana"/>
          <w:sz w:val="22"/>
          <w:szCs w:val="22"/>
        </w:rPr>
      </w:pPr>
      <w:r w:rsidRPr="008501DC">
        <w:rPr>
          <w:rFonts w:ascii="Verdana" w:hAnsi="Verdana"/>
          <w:sz w:val="22"/>
          <w:szCs w:val="22"/>
        </w:rPr>
        <w:t>Overall cost of reoffending</w:t>
      </w:r>
    </w:p>
    <w:p w:rsidR="00567549" w:rsidRPr="008501DC">
      <w:pPr>
        <w:pStyle w:val="ListParagraph"/>
        <w:numPr>
          <w:ilvl w:val="0"/>
          <w:numId w:val="37"/>
        </w:numPr>
        <w:rPr>
          <w:rFonts w:ascii="Verdana" w:hAnsi="Verdana"/>
        </w:rPr>
      </w:pPr>
      <w:r w:rsidRPr="008501DC">
        <w:rPr>
          <w:rFonts w:ascii="Verdana" w:hAnsi="Verdana"/>
        </w:rPr>
        <w:t xml:space="preserve">In a 2019 report, </w:t>
      </w:r>
      <w:r w:rsidRPr="008501DC">
        <w:rPr>
          <w:rFonts w:ascii="Verdana" w:hAnsi="Verdana"/>
        </w:rPr>
        <w:t>MoJ</w:t>
      </w:r>
      <w:r w:rsidRPr="008501DC">
        <w:rPr>
          <w:rFonts w:ascii="Verdana" w:hAnsi="Verdana"/>
        </w:rPr>
        <w:t xml:space="preserve"> estimated that the total economic and social cost of reoffending by adults in 2016 was £16.7 billion (stated in 2017-18 prices). It found that the cost of reoffences committed by adults who had previously received a custodial sentence of less than 12 months was £5.0 billion.</w:t>
      </w:r>
      <w:r>
        <w:rPr>
          <w:rStyle w:val="FootnoteReference"/>
          <w:rFonts w:ascii="Verdana" w:hAnsi="Verdana"/>
        </w:rPr>
        <w:footnoteReference w:id="29"/>
      </w:r>
      <w:r w:rsidRPr="008501DC">
        <w:rPr>
          <w:rFonts w:ascii="Verdana" w:hAnsi="Verdana"/>
        </w:rPr>
        <w:t xml:space="preserve"> </w:t>
      </w:r>
    </w:p>
    <w:p w:rsidR="00567549" w:rsidRPr="008501DC">
      <w:pPr>
        <w:pStyle w:val="Heading3"/>
        <w:rPr>
          <w:rFonts w:ascii="Verdana" w:hAnsi="Verdana"/>
          <w:sz w:val="22"/>
          <w:szCs w:val="22"/>
        </w:rPr>
      </w:pPr>
      <w:r w:rsidRPr="008501DC">
        <w:rPr>
          <w:rFonts w:ascii="Verdana" w:hAnsi="Verdana"/>
          <w:sz w:val="22"/>
          <w:szCs w:val="22"/>
        </w:rPr>
        <w:t>Reoffending rates by sentence type</w:t>
      </w:r>
    </w:p>
    <w:p w:rsidR="00567549" w:rsidRPr="008501DC" w:rsidP="00CA3F68">
      <w:pPr>
        <w:pStyle w:val="ListParagraph"/>
        <w:numPr>
          <w:ilvl w:val="0"/>
          <w:numId w:val="37"/>
        </w:numPr>
        <w:ind w:left="567" w:hanging="284"/>
        <w:rPr>
          <w:rFonts w:ascii="Verdana" w:hAnsi="Verdana"/>
        </w:rPr>
      </w:pPr>
      <w:r w:rsidRPr="008501DC">
        <w:rPr>
          <w:rFonts w:ascii="Verdana" w:hAnsi="Verdana"/>
        </w:rPr>
        <w:t>MoJ</w:t>
      </w:r>
      <w:r w:rsidRPr="008501DC">
        <w:rPr>
          <w:rFonts w:ascii="Verdana" w:hAnsi="Verdana"/>
        </w:rPr>
        <w:t xml:space="preserve"> publishes data on reoffending outcomes for offenders given different types of sentences. Latest available figures, which cover a cohort of offenders from April to June 2021, showed that a significantly higher proportion of adults (54.4%) released from custodial sentences of less than 12 months reoffended than those starting a community or suspended sentence (29.5%).</w:t>
      </w:r>
      <w:r>
        <w:rPr>
          <w:rStyle w:val="FootnoteReference"/>
          <w:rFonts w:ascii="Verdana" w:hAnsi="Verdana"/>
        </w:rPr>
        <w:footnoteReference w:id="30"/>
      </w:r>
      <w:r>
        <w:rPr>
          <w:rStyle w:val="FootnoteReference"/>
          <w:rFonts w:ascii="Verdana" w:hAnsi="Verdana"/>
        </w:rPr>
        <w:footnoteReference w:id="31"/>
      </w:r>
      <w:r w:rsidRPr="008501DC">
        <w:rPr>
          <w:rFonts w:ascii="Verdana" w:hAnsi="Verdana"/>
        </w:rPr>
        <w:t xml:space="preserve">  </w:t>
      </w:r>
    </w:p>
    <w:p w:rsidR="00567549" w:rsidRPr="008501DC" w:rsidP="00CA3F68">
      <w:pPr>
        <w:pStyle w:val="ListParagraph"/>
        <w:ind w:left="567" w:hanging="284"/>
        <w:rPr>
          <w:rFonts w:ascii="Verdana" w:hAnsi="Verdana"/>
          <w:highlight w:val="yellow"/>
        </w:rPr>
      </w:pPr>
    </w:p>
    <w:p w:rsidR="00567549" w:rsidRPr="008501DC" w:rsidP="00CA3F68">
      <w:pPr>
        <w:pStyle w:val="ListParagraph"/>
        <w:numPr>
          <w:ilvl w:val="0"/>
          <w:numId w:val="37"/>
        </w:numPr>
        <w:ind w:left="567" w:hanging="284"/>
        <w:rPr>
          <w:rFonts w:ascii="Verdana" w:hAnsi="Verdana"/>
        </w:rPr>
      </w:pPr>
      <w:r w:rsidRPr="008501DC">
        <w:rPr>
          <w:rFonts w:ascii="Verdana" w:hAnsi="Verdana"/>
        </w:rPr>
        <w:t>However, to understand whether community sentences are more effective than short custodial sentences it is important to control for differences in the types of offenders in each group, which may impact how likely people are to reoffend. For example, those sentenced to custody tend to have greater criminal histories than those given court orders, so the two populations do not have exactly the same characteristics. This means it is not easy to determine whether the reoffending rate is lower for community sentences because the sentence is more effective, or because the offender’s characteristics make them less likely to offend.</w:t>
      </w:r>
    </w:p>
    <w:p w:rsidR="00567549" w:rsidRPr="008501DC" w:rsidP="00CA3F68">
      <w:pPr>
        <w:pStyle w:val="ListParagraph"/>
        <w:ind w:left="567" w:hanging="284"/>
        <w:rPr>
          <w:rFonts w:ascii="Verdana" w:hAnsi="Verdana"/>
        </w:rPr>
      </w:pPr>
    </w:p>
    <w:p w:rsidR="00567549" w:rsidRPr="008501DC" w:rsidP="00CA3F68">
      <w:pPr>
        <w:pStyle w:val="ListParagraph"/>
        <w:numPr>
          <w:ilvl w:val="0"/>
          <w:numId w:val="37"/>
        </w:numPr>
        <w:ind w:left="567" w:hanging="284"/>
        <w:rPr>
          <w:rFonts w:ascii="Verdana" w:hAnsi="Verdana"/>
        </w:rPr>
      </w:pPr>
      <w:r w:rsidRPr="008501DC">
        <w:rPr>
          <w:rFonts w:ascii="Verdana" w:hAnsi="Verdana"/>
        </w:rPr>
        <w:t>MoJ</w:t>
      </w:r>
      <w:r w:rsidRPr="008501DC">
        <w:rPr>
          <w:rFonts w:ascii="Verdana" w:hAnsi="Verdana"/>
        </w:rPr>
        <w:t xml:space="preserve"> has attempted to look at this by using statistical analysis to match people given particular sentences with other similar ones given different sentences. It includes various different variables in its analysis such as information on offenders’ demographics, offending history, employment history and elements of the Offender Assessment System (OASys), which assesses the risks and needs of offenders.</w:t>
      </w:r>
      <w:r w:rsidRPr="008501DC">
        <w:rPr>
          <w:rStyle w:val="FootnoteReference"/>
          <w:rFonts w:ascii="Verdana" w:hAnsi="Verdana"/>
        </w:rPr>
        <w:t xml:space="preserve"> </w:t>
      </w:r>
      <w:r>
        <w:rPr>
          <w:rStyle w:val="FootnoteReference"/>
          <w:rFonts w:ascii="Verdana" w:hAnsi="Verdana"/>
        </w:rPr>
        <w:footnoteReference w:id="32"/>
      </w:r>
      <w:r w:rsidRPr="008501DC">
        <w:rPr>
          <w:rFonts w:ascii="Verdana" w:hAnsi="Verdana"/>
        </w:rPr>
        <w:t xml:space="preserve">  In both its 2015 and 2019 reports, </w:t>
      </w:r>
      <w:r w:rsidRPr="008501DC">
        <w:rPr>
          <w:rFonts w:ascii="Verdana" w:hAnsi="Verdana"/>
        </w:rPr>
        <w:t>MoJ</w:t>
      </w:r>
      <w:r w:rsidRPr="008501DC">
        <w:rPr>
          <w:rFonts w:ascii="Verdana" w:hAnsi="Verdana"/>
        </w:rPr>
        <w:t xml:space="preserve"> found that short-term custodial sentences of  less than 12 months in prison were consistently associated with higher rates of proven re-offending than community orders and suspended sentences.</w:t>
      </w:r>
      <w:r>
        <w:rPr>
          <w:rStyle w:val="FootnoteReference"/>
          <w:rFonts w:ascii="Verdana" w:hAnsi="Verdana"/>
        </w:rPr>
        <w:footnoteReference w:id="33"/>
      </w:r>
      <w:r w:rsidRPr="008501DC">
        <w:rPr>
          <w:rFonts w:ascii="Verdana" w:hAnsi="Verdana"/>
        </w:rPr>
        <w:t xml:space="preserve"> </w:t>
      </w:r>
      <w:r>
        <w:rPr>
          <w:rStyle w:val="FootnoteReference"/>
          <w:rFonts w:ascii="Verdana" w:hAnsi="Verdana"/>
        </w:rPr>
        <w:footnoteReference w:id="34"/>
      </w:r>
      <w:r w:rsidRPr="008501DC">
        <w:rPr>
          <w:rFonts w:ascii="Verdana" w:hAnsi="Verdana"/>
        </w:rPr>
        <w:t xml:space="preserve"> </w:t>
      </w:r>
      <w:r w:rsidRPr="008501DC">
        <w:rPr>
          <w:rFonts w:ascii="Verdana" w:hAnsi="Verdana"/>
        </w:rPr>
        <w:t>MoJ</w:t>
      </w:r>
      <w:r w:rsidRPr="008501DC">
        <w:rPr>
          <w:rFonts w:ascii="Verdana" w:hAnsi="Verdana"/>
        </w:rPr>
        <w:t xml:space="preserve"> notes that care should be taken in generalising results from the studies as cases had to be discarded where data was incomplete. Findings therefore </w:t>
      </w:r>
      <w:r w:rsidRPr="008501DC">
        <w:rPr>
          <w:rFonts w:ascii="Verdana" w:hAnsi="Verdana"/>
        </w:rPr>
        <w:t>likely represent offenders with more entrenched problems as they are more likely to have had a comprehensive offender assessment.</w:t>
      </w:r>
    </w:p>
    <w:p w:rsidR="00567549" w:rsidRPr="008501DC">
      <w:pPr>
        <w:pStyle w:val="ListParagraph"/>
        <w:rPr>
          <w:rFonts w:ascii="Verdana" w:hAnsi="Verdana"/>
        </w:rPr>
      </w:pPr>
    </w:p>
    <w:p w:rsidR="00567549" w:rsidRPr="008501DC" w:rsidP="00E77337">
      <w:pPr>
        <w:pStyle w:val="ListParagraph"/>
        <w:numPr>
          <w:ilvl w:val="0"/>
          <w:numId w:val="37"/>
        </w:numPr>
        <w:ind w:left="567" w:hanging="283"/>
        <w:rPr>
          <w:rFonts w:ascii="Verdana" w:hAnsi="Verdana"/>
        </w:rPr>
      </w:pPr>
      <w:r w:rsidRPr="008501DC">
        <w:rPr>
          <w:rFonts w:ascii="Verdana" w:hAnsi="Verdana"/>
        </w:rPr>
        <w:t>Its most recent report in 2019 report specified that;</w:t>
      </w:r>
    </w:p>
    <w:p w:rsidR="00567549" w:rsidRPr="008501DC" w:rsidP="00E77337">
      <w:pPr>
        <w:pStyle w:val="ListParagraph"/>
        <w:numPr>
          <w:ilvl w:val="0"/>
          <w:numId w:val="12"/>
        </w:numPr>
        <w:ind w:left="1134" w:hanging="283"/>
        <w:rPr>
          <w:rFonts w:ascii="Verdana" w:hAnsi="Verdana"/>
        </w:rPr>
      </w:pPr>
      <w:r w:rsidRPr="008501DC">
        <w:rPr>
          <w:rFonts w:ascii="Verdana" w:hAnsi="Verdana"/>
        </w:rPr>
        <w:t xml:space="preserve">the one year re-offending rate following short-term custodial sentences of less than 12 months was 4 percentage points higher (around 76%) than if a community or suspended sentence had been given instead (around 72%). </w:t>
      </w:r>
    </w:p>
    <w:p w:rsidR="00567549" w:rsidRPr="008501DC" w:rsidP="00E77337">
      <w:pPr>
        <w:pStyle w:val="ListParagraph"/>
        <w:numPr>
          <w:ilvl w:val="0"/>
          <w:numId w:val="12"/>
        </w:numPr>
        <w:ind w:left="1134" w:hanging="283"/>
        <w:rPr>
          <w:rFonts w:ascii="Verdana" w:hAnsi="Verdana"/>
        </w:rPr>
      </w:pPr>
      <w:r w:rsidRPr="008501DC">
        <w:rPr>
          <w:rFonts w:ascii="Verdana" w:hAnsi="Verdana"/>
        </w:rPr>
        <w:t>The one year average number of reoffences per sentencing occasion was also higher for short term custodial sentences compared to a community sentence; and</w:t>
      </w:r>
    </w:p>
    <w:p w:rsidR="00567549" w:rsidRPr="008501DC" w:rsidP="00E77337">
      <w:pPr>
        <w:pStyle w:val="ListParagraph"/>
        <w:numPr>
          <w:ilvl w:val="0"/>
          <w:numId w:val="12"/>
        </w:numPr>
        <w:ind w:left="1134" w:hanging="283"/>
        <w:rPr>
          <w:rFonts w:ascii="Verdana" w:hAnsi="Verdana"/>
        </w:rPr>
      </w:pPr>
      <w:r w:rsidRPr="008501DC">
        <w:rPr>
          <w:rFonts w:ascii="Verdana" w:hAnsi="Verdana"/>
        </w:rPr>
        <w:t>additional analysis showed that the one-year reoffending impact of short-term custodial sentences compared to community sentences was of a similar scale (around 4 percentage points) whether the short-term custodial sentence length was less than 3, 6 or 12 months.</w:t>
      </w:r>
      <w:r>
        <w:rPr>
          <w:rStyle w:val="FootnoteReference"/>
          <w:rFonts w:ascii="Verdana" w:hAnsi="Verdana"/>
        </w:rPr>
        <w:footnoteReference w:id="35"/>
      </w:r>
    </w:p>
    <w:p w:rsidR="00567549" w:rsidRPr="008501DC">
      <w:pPr>
        <w:pStyle w:val="ListParagraph"/>
        <w:ind w:left="776"/>
        <w:rPr>
          <w:rFonts w:ascii="Verdana" w:hAnsi="Verdana"/>
        </w:rPr>
      </w:pPr>
    </w:p>
    <w:p w:rsidR="00567549" w:rsidRPr="008501DC" w:rsidP="00E77337">
      <w:pPr>
        <w:pStyle w:val="ListParagraph"/>
        <w:numPr>
          <w:ilvl w:val="0"/>
          <w:numId w:val="37"/>
        </w:numPr>
        <w:ind w:left="567" w:hanging="284"/>
        <w:rPr>
          <w:rFonts w:ascii="Verdana" w:hAnsi="Verdana"/>
        </w:rPr>
      </w:pPr>
      <w:r w:rsidRPr="008501DC">
        <w:rPr>
          <w:rFonts w:ascii="Verdana" w:hAnsi="Verdana"/>
        </w:rPr>
        <w:t xml:space="preserve">In its 2015 study, </w:t>
      </w:r>
      <w:r w:rsidRPr="008501DC">
        <w:rPr>
          <w:rFonts w:ascii="Verdana" w:hAnsi="Verdana"/>
        </w:rPr>
        <w:t>MoJ</w:t>
      </w:r>
      <w:r w:rsidRPr="008501DC">
        <w:rPr>
          <w:rFonts w:ascii="Verdana" w:hAnsi="Verdana"/>
        </w:rPr>
        <w:t xml:space="preserve"> looked at the effectiveness of different requirements that can be included with community sentences or suspended sentences. It found that those that included supervision by the probation service were generally associated with reduced proven reoffending. But it acknowledged that further work was needed to understand which combinations of requirements were most effective.  It noted that this can be difficult to determine due to difficulties in differentiating between different programmes and activities.</w:t>
      </w:r>
      <w:r>
        <w:rPr>
          <w:rStyle w:val="FootnoteReference"/>
          <w:rFonts w:ascii="Verdana" w:hAnsi="Verdana"/>
        </w:rPr>
        <w:footnoteReference w:id="36"/>
      </w:r>
      <w:r w:rsidRPr="008501DC">
        <w:rPr>
          <w:rFonts w:ascii="Verdana" w:hAnsi="Verdana"/>
        </w:rPr>
        <w:t xml:space="preserve"> </w:t>
      </w:r>
    </w:p>
    <w:p w:rsidR="00567549" w:rsidRPr="008501DC">
      <w:pPr>
        <w:pStyle w:val="Heading2"/>
        <w:rPr>
          <w:rFonts w:ascii="Verdana" w:hAnsi="Verdana"/>
          <w:sz w:val="22"/>
          <w:szCs w:val="22"/>
        </w:rPr>
      </w:pPr>
      <w:r w:rsidRPr="008501DC">
        <w:rPr>
          <w:rFonts w:ascii="Verdana" w:hAnsi="Verdana"/>
          <w:sz w:val="22"/>
          <w:szCs w:val="22"/>
        </w:rPr>
        <w:t xml:space="preserve">3d. Conclusion on what this means when comparing the value for money of both options </w:t>
      </w:r>
    </w:p>
    <w:p w:rsidR="00567549" w:rsidRPr="007A4427" w:rsidP="0074418A">
      <w:pPr>
        <w:pStyle w:val="ListParagraph"/>
        <w:numPr>
          <w:ilvl w:val="0"/>
          <w:numId w:val="37"/>
        </w:numPr>
        <w:ind w:left="567" w:hanging="283"/>
        <w:rPr>
          <w:rFonts w:ascii="Verdana" w:hAnsi="Verdana"/>
          <w:i/>
          <w:iCs/>
        </w:rPr>
      </w:pPr>
      <w:r w:rsidRPr="008501DC">
        <w:rPr>
          <w:rFonts w:ascii="Verdana" w:hAnsi="Verdana"/>
        </w:rPr>
        <w:t xml:space="preserve">Comparing the value for money of community sentences with short custodial sentences requires information on both the costs of each option and the corresponding outcomes. As detailed in the sections above, we found that there is evidence to suggest that community sentences may typically cost less and achieve better outcomes than short prison sentences. However, we identified some barriers to making a robust </w:t>
      </w:r>
      <w:r w:rsidRPr="007A4427">
        <w:rPr>
          <w:rFonts w:ascii="Verdana" w:hAnsi="Verdana"/>
          <w:i/>
          <w:iCs/>
        </w:rPr>
        <w:t>assessment. This includes:</w:t>
      </w:r>
    </w:p>
    <w:p w:rsidR="00567549" w:rsidRPr="008501DC" w:rsidP="0074418A">
      <w:pPr>
        <w:pStyle w:val="ListParagraph"/>
        <w:numPr>
          <w:ilvl w:val="0"/>
          <w:numId w:val="6"/>
        </w:numPr>
        <w:ind w:left="1418" w:hanging="284"/>
        <w:rPr>
          <w:rFonts w:ascii="Verdana" w:hAnsi="Verdana"/>
        </w:rPr>
      </w:pPr>
      <w:r w:rsidRPr="008501DC">
        <w:rPr>
          <w:rFonts w:ascii="Verdana" w:hAnsi="Verdana"/>
        </w:rPr>
        <w:t xml:space="preserve">a lack of current data on the cost of community sentences, at both a total level and for different sentence types; </w:t>
      </w:r>
    </w:p>
    <w:p w:rsidR="00567549" w:rsidRPr="008501DC" w:rsidP="0074418A">
      <w:pPr>
        <w:pStyle w:val="ListParagraph"/>
        <w:numPr>
          <w:ilvl w:val="0"/>
          <w:numId w:val="6"/>
        </w:numPr>
        <w:ind w:left="1418" w:hanging="284"/>
        <w:rPr>
          <w:rFonts w:ascii="Verdana" w:hAnsi="Verdana"/>
        </w:rPr>
      </w:pPr>
      <w:r w:rsidRPr="008501DC">
        <w:rPr>
          <w:rFonts w:ascii="Verdana" w:hAnsi="Verdana"/>
        </w:rPr>
        <w:t>where cost data exists, it does not always include wider costs to government; and</w:t>
      </w:r>
    </w:p>
    <w:p w:rsidR="00567549" w:rsidRPr="008501DC" w:rsidP="0074418A">
      <w:pPr>
        <w:pStyle w:val="ListParagraph"/>
        <w:numPr>
          <w:ilvl w:val="0"/>
          <w:numId w:val="6"/>
        </w:numPr>
        <w:ind w:left="1418" w:hanging="284"/>
        <w:rPr>
          <w:rFonts w:ascii="Verdana" w:hAnsi="Verdana"/>
        </w:rPr>
      </w:pPr>
      <w:r w:rsidRPr="008501DC">
        <w:rPr>
          <w:rFonts w:ascii="Verdana" w:hAnsi="Verdana"/>
        </w:rPr>
        <w:t>a lack of evidence on the effectiveness of different types of community sentences.</w:t>
      </w:r>
    </w:p>
    <w:p w:rsidR="00567549" w:rsidRPr="008501DC">
      <w:pPr>
        <w:pStyle w:val="ListParagraph"/>
        <w:rPr>
          <w:rFonts w:ascii="Verdana" w:hAnsi="Verdana"/>
        </w:rPr>
      </w:pPr>
    </w:p>
    <w:p w:rsidR="00567549" w:rsidRPr="008501DC">
      <w:pPr>
        <w:rPr>
          <w:rFonts w:ascii="Verdana" w:hAnsi="Verdana"/>
        </w:rPr>
      </w:pPr>
    </w:p>
    <w:p w:rsidR="00567549" w:rsidRPr="007A4427">
      <w:pPr>
        <w:rPr>
          <w:rFonts w:ascii="Verdana" w:hAnsi="Verdana"/>
          <w:i/>
          <w:iCs/>
        </w:rPr>
      </w:pPr>
      <w:r w:rsidRPr="007A4427">
        <w:rPr>
          <w:rFonts w:ascii="Verdana" w:hAnsi="Verdana"/>
          <w:i/>
          <w:iCs/>
        </w:rPr>
        <w:t>June 2023</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55639">
      <w:pPr>
        <w:spacing w:after="0" w:line="240" w:lineRule="auto"/>
      </w:pPr>
      <w:r>
        <w:separator/>
      </w:r>
    </w:p>
  </w:footnote>
  <w:footnote w:type="continuationSeparator" w:id="1">
    <w:p w:rsidR="00F55639">
      <w:pPr>
        <w:spacing w:after="0" w:line="240" w:lineRule="auto"/>
      </w:pPr>
      <w:r>
        <w:continuationSeparator/>
      </w:r>
    </w:p>
  </w:footnote>
  <w:footnote w:id="2">
    <w:p w:rsidR="00567549" w:rsidRPr="00AD4105">
      <w:pPr>
        <w:pStyle w:val="FootnoteText"/>
        <w:rPr>
          <w:rFonts w:ascii="Verdana" w:hAnsi="Verdana"/>
          <w:sz w:val="18"/>
          <w:szCs w:val="18"/>
        </w:rPr>
      </w:pPr>
      <w:r w:rsidRPr="00C36EAA">
        <w:rPr>
          <w:rStyle w:val="FootnoteReference"/>
          <w:rFonts w:ascii="Verdana" w:hAnsi="Verdana"/>
          <w:sz w:val="18"/>
          <w:szCs w:val="18"/>
        </w:rPr>
        <w:footnoteRef/>
      </w:r>
      <w:r w:rsidRPr="00C36EAA">
        <w:rPr>
          <w:rFonts w:ascii="Verdana" w:hAnsi="Verdana"/>
          <w:sz w:val="18"/>
          <w:szCs w:val="18"/>
        </w:rPr>
        <w:t xml:space="preserve"> Summary offences typically cover less serious offences which are usually handled by magistrates’ courts. There are two categories of summary offences: summary non-motoring offences such as </w:t>
      </w:r>
      <w:r w:rsidRPr="00AD4105">
        <w:rPr>
          <w:rFonts w:ascii="Verdana" w:hAnsi="Verdana"/>
          <w:sz w:val="18"/>
          <w:szCs w:val="18"/>
        </w:rPr>
        <w:t>television licence evasion and less serious criminal damage and summary motoring offences which includes speeding and driving whilst disqualified.</w:t>
      </w:r>
    </w:p>
  </w:footnote>
  <w:footnote w:id="3">
    <w:p w:rsidR="00567549" w:rsidRPr="002710A6">
      <w:pPr>
        <w:pStyle w:val="FootnoteText"/>
        <w:rPr>
          <w:rFonts w:ascii="Verdana" w:hAnsi="Verdana"/>
          <w:sz w:val="18"/>
          <w:szCs w:val="18"/>
        </w:rPr>
      </w:pPr>
      <w:r>
        <w:rPr>
          <w:rStyle w:val="FootnoteReference"/>
        </w:rPr>
        <w:footnoteRef/>
      </w:r>
      <w:r>
        <w:t xml:space="preserve"> </w:t>
      </w:r>
      <w:r w:rsidRPr="002710A6">
        <w:rPr>
          <w:rFonts w:ascii="Verdana" w:hAnsi="Verdana"/>
          <w:sz w:val="18"/>
          <w:szCs w:val="18"/>
        </w:rPr>
        <w:t>Ministry of Justice, Offender Management statistics quarterly: October to December 2022, Probation: 2022.</w:t>
      </w:r>
    </w:p>
  </w:footnote>
  <w:footnote w:id="4">
    <w:p w:rsidR="00567549" w:rsidRPr="00064B69">
      <w:pPr>
        <w:pStyle w:val="FootnoteText"/>
        <w:rPr>
          <w:rFonts w:ascii="Verdana" w:hAnsi="Verdana"/>
          <w:sz w:val="18"/>
          <w:szCs w:val="18"/>
        </w:rPr>
      </w:pPr>
      <w:r>
        <w:rPr>
          <w:rStyle w:val="FootnoteReference"/>
        </w:rPr>
        <w:footnoteRef/>
      </w:r>
      <w:r>
        <w:t xml:space="preserve"> </w:t>
      </w:r>
      <w:r w:rsidRPr="00064B69">
        <w:rPr>
          <w:rFonts w:ascii="Verdana" w:hAnsi="Verdana"/>
          <w:sz w:val="18"/>
          <w:szCs w:val="18"/>
        </w:rPr>
        <w:t xml:space="preserve">Comptroller and Auditor General, </w:t>
      </w:r>
      <w:r w:rsidRPr="00064B69">
        <w:rPr>
          <w:rFonts w:ascii="Verdana" w:hAnsi="Verdana"/>
          <w:i/>
          <w:iCs/>
          <w:sz w:val="18"/>
          <w:szCs w:val="18"/>
        </w:rPr>
        <w:t>Improving outcomes for women in the criminal justice system</w:t>
      </w:r>
      <w:r w:rsidRPr="00064B69">
        <w:rPr>
          <w:rFonts w:ascii="Verdana" w:hAnsi="Verdana"/>
          <w:sz w:val="18"/>
          <w:szCs w:val="18"/>
        </w:rPr>
        <w:t>, Session 2021–22, HC 1012, National Audit Office, January 2022.</w:t>
      </w:r>
    </w:p>
  </w:footnote>
  <w:footnote w:id="5">
    <w:p w:rsidR="00567549" w:rsidRPr="00064B69">
      <w:pPr>
        <w:pStyle w:val="FootnoteText"/>
        <w:rPr>
          <w:rFonts w:ascii="Verdana" w:hAnsi="Verdana"/>
          <w:sz w:val="18"/>
          <w:szCs w:val="18"/>
        </w:rPr>
      </w:pPr>
      <w:r w:rsidRPr="00064B69">
        <w:rPr>
          <w:rStyle w:val="FootnoteReference"/>
          <w:rFonts w:ascii="Verdana" w:hAnsi="Verdana"/>
          <w:sz w:val="18"/>
          <w:szCs w:val="18"/>
        </w:rPr>
        <w:footnoteRef/>
      </w:r>
      <w:r w:rsidRPr="00064B69" w:rsidR="008516D4">
        <w:rPr>
          <w:rFonts w:ascii="Verdana" w:hAnsi="Verdana"/>
          <w:sz w:val="18"/>
          <w:szCs w:val="18"/>
        </w:rPr>
        <w:t xml:space="preserve"> </w:t>
      </w:r>
      <w:r>
        <w:fldChar w:fldCharType="begin"/>
      </w:r>
      <w:r>
        <w:instrText xml:space="preserve"> HYPERLINK "https://www.gov.uk/guidance/pre-sentence-report-pilot-in-15-magistrates-courts" </w:instrText>
      </w:r>
      <w:r>
        <w:fldChar w:fldCharType="separate"/>
      </w:r>
      <w:r w:rsidRPr="00064B69" w:rsidR="008516D4">
        <w:rPr>
          <w:rStyle w:val="Hyperlink"/>
          <w:rFonts w:ascii="Verdana" w:hAnsi="Verdana"/>
          <w:sz w:val="18"/>
          <w:szCs w:val="18"/>
        </w:rPr>
        <w:t>https://www.gov.uk/guidance/pre-sentence-report-pilot-in-15-magistrates-courts</w:t>
      </w:r>
      <w:r>
        <w:fldChar w:fldCharType="end"/>
      </w:r>
    </w:p>
  </w:footnote>
  <w:footnote w:id="6">
    <w:p w:rsidR="00567549" w:rsidRPr="004F5C26">
      <w:pPr>
        <w:pStyle w:val="FootnoteText"/>
        <w:rPr>
          <w:rFonts w:ascii="Verdana" w:hAnsi="Verdana"/>
          <w:sz w:val="18"/>
          <w:szCs w:val="18"/>
        </w:rPr>
      </w:pPr>
      <w:r w:rsidRPr="004F5C26">
        <w:rPr>
          <w:rStyle w:val="FootnoteReference"/>
          <w:rFonts w:ascii="Verdana" w:hAnsi="Verdana"/>
          <w:sz w:val="18"/>
          <w:szCs w:val="18"/>
        </w:rPr>
        <w:footnoteRef/>
      </w:r>
      <w:r w:rsidRPr="004F5C26">
        <w:rPr>
          <w:rFonts w:ascii="Verdana" w:hAnsi="Verdana"/>
          <w:sz w:val="18"/>
          <w:szCs w:val="18"/>
        </w:rPr>
        <w:t xml:space="preserve"> In 2013, the Ministry embarked on major reforms of probation services. It created Community Rehabilitation Companies, run by private and voluntary sector providers, to manage low or medium risk offenders and the National Probation Service to manage those posing higher risks.</w:t>
      </w:r>
    </w:p>
  </w:footnote>
  <w:footnote w:id="7">
    <w:p w:rsidR="00567549" w:rsidRPr="004F5C26">
      <w:pPr>
        <w:pStyle w:val="FootnoteText"/>
        <w:rPr>
          <w:rFonts w:ascii="Verdana" w:hAnsi="Verdana"/>
          <w:sz w:val="18"/>
          <w:szCs w:val="18"/>
        </w:rPr>
      </w:pPr>
      <w:r w:rsidRPr="004F5C26">
        <w:rPr>
          <w:rStyle w:val="FootnoteReference"/>
          <w:rFonts w:ascii="Verdana" w:hAnsi="Verdana"/>
          <w:sz w:val="18"/>
          <w:szCs w:val="18"/>
        </w:rPr>
        <w:footnoteRef/>
      </w:r>
      <w:r w:rsidRPr="004F5C26">
        <w:rPr>
          <w:rFonts w:ascii="Verdana" w:hAnsi="Verdana"/>
          <w:sz w:val="18"/>
          <w:szCs w:val="18"/>
        </w:rPr>
        <w:t xml:space="preserve"> Comptroller and Auditor General, </w:t>
      </w:r>
      <w:r w:rsidRPr="004F5C26">
        <w:rPr>
          <w:rFonts w:ascii="Verdana" w:hAnsi="Verdana"/>
          <w:i/>
          <w:iCs/>
          <w:sz w:val="18"/>
          <w:szCs w:val="18"/>
        </w:rPr>
        <w:t>Transforming Rehabilitation: Progress review</w:t>
      </w:r>
      <w:r w:rsidRPr="004F5C26">
        <w:rPr>
          <w:rFonts w:ascii="Verdana" w:hAnsi="Verdana"/>
          <w:sz w:val="18"/>
          <w:szCs w:val="18"/>
        </w:rPr>
        <w:t>, Session 2017–2019, HC 1986, National Audit Office, March 2019.</w:t>
      </w:r>
    </w:p>
  </w:footnote>
  <w:footnote w:id="8">
    <w:p w:rsidR="00567549" w:rsidRPr="00E258E2">
      <w:pPr>
        <w:pStyle w:val="FootnoteText"/>
        <w:rPr>
          <w:rFonts w:ascii="Verdana" w:hAnsi="Verdana"/>
          <w:sz w:val="18"/>
          <w:szCs w:val="18"/>
        </w:rPr>
      </w:pPr>
      <w:r>
        <w:rPr>
          <w:rStyle w:val="FootnoteReference"/>
        </w:rPr>
        <w:footnoteRef/>
      </w:r>
      <w:r w:rsidR="008516D4">
        <w:t xml:space="preserve"> </w:t>
      </w:r>
      <w:r w:rsidRPr="00E258E2" w:rsidR="008516D4">
        <w:rPr>
          <w:rFonts w:ascii="Verdana" w:hAnsi="Verdana"/>
          <w:sz w:val="18"/>
          <w:szCs w:val="18"/>
        </w:rPr>
        <w:t xml:space="preserve">Ministry of Justice, </w:t>
      </w:r>
      <w:r>
        <w:fldChar w:fldCharType="begin"/>
      </w:r>
      <w:r>
        <w:instrText xml:space="preserve"> HYPERLINK "https://www.gov.uk/government/publications/female-offender-strategy-delivery-plan-2022-to-2025" </w:instrText>
      </w:r>
      <w:r>
        <w:fldChar w:fldCharType="separate"/>
      </w:r>
      <w:r w:rsidRPr="00E258E2" w:rsidR="008516D4">
        <w:rPr>
          <w:rStyle w:val="Hyperlink"/>
          <w:rFonts w:ascii="Verdana" w:hAnsi="Verdana"/>
          <w:sz w:val="18"/>
          <w:szCs w:val="18"/>
        </w:rPr>
        <w:t>Female Offender Strategy Delivery Plan 2022-2025</w:t>
      </w:r>
      <w:r>
        <w:fldChar w:fldCharType="end"/>
      </w:r>
      <w:r w:rsidRPr="00E258E2" w:rsidR="008516D4">
        <w:rPr>
          <w:rFonts w:ascii="Verdana" w:hAnsi="Verdana"/>
          <w:sz w:val="18"/>
          <w:szCs w:val="18"/>
        </w:rPr>
        <w:t>.</w:t>
      </w:r>
    </w:p>
  </w:footnote>
  <w:footnote w:id="9">
    <w:p w:rsidR="00567549" w:rsidRPr="00E258E2">
      <w:pPr>
        <w:pStyle w:val="FootnoteText"/>
        <w:rPr>
          <w:rFonts w:ascii="Verdana" w:hAnsi="Verdana"/>
          <w:sz w:val="18"/>
          <w:szCs w:val="18"/>
        </w:rPr>
      </w:pPr>
      <w:r>
        <w:fldChar w:fldCharType="begin"/>
      </w:r>
      <w:r>
        <w:instrText xml:space="preserve"> HYPERLINK "https://www.gov.uk/government/news/funding-boost-to-services-diverting-women-from-a-life-of-crime" </w:instrText>
      </w:r>
      <w:r>
        <w:fldChar w:fldCharType="separate"/>
      </w:r>
      <w:r w:rsidRPr="00E258E2" w:rsidR="008516D4">
        <w:rPr>
          <w:rStyle w:val="Hyperlink"/>
          <w:rFonts w:ascii="Verdana" w:hAnsi="Verdana"/>
          <w:sz w:val="18"/>
          <w:szCs w:val="18"/>
          <w:vertAlign w:val="superscript"/>
        </w:rPr>
        <w:footnoteRef/>
      </w:r>
      <w:r w:rsidRPr="00E258E2" w:rsidR="008516D4">
        <w:rPr>
          <w:rStyle w:val="Hyperlink"/>
          <w:rFonts w:ascii="Verdana" w:hAnsi="Verdana"/>
          <w:sz w:val="18"/>
          <w:szCs w:val="18"/>
        </w:rPr>
        <w:t xml:space="preserve"> https://www.gov.uk/government/news/funding-boost-to-services-diverting-women-from-a-life-of-crime</w:t>
      </w:r>
      <w:r>
        <w:fldChar w:fldCharType="end"/>
      </w:r>
      <w:r w:rsidRPr="00E258E2" w:rsidR="008516D4">
        <w:rPr>
          <w:rFonts w:ascii="Verdana" w:hAnsi="Verdana"/>
          <w:sz w:val="18"/>
          <w:szCs w:val="18"/>
        </w:rPr>
        <w:t>.</w:t>
      </w:r>
    </w:p>
  </w:footnote>
  <w:footnote w:id="10">
    <w:p w:rsidR="00567549" w:rsidRPr="00E258E2">
      <w:pPr>
        <w:pStyle w:val="FootnoteText"/>
        <w:rPr>
          <w:rFonts w:ascii="Verdana" w:hAnsi="Verdana"/>
          <w:sz w:val="18"/>
          <w:szCs w:val="18"/>
        </w:rPr>
      </w:pPr>
      <w:r w:rsidRPr="00E258E2">
        <w:rPr>
          <w:rStyle w:val="FootnoteReference"/>
          <w:rFonts w:ascii="Verdana" w:hAnsi="Verdana"/>
          <w:sz w:val="18"/>
          <w:szCs w:val="18"/>
        </w:rPr>
        <w:footnoteRef/>
      </w:r>
      <w:r w:rsidRPr="00E258E2" w:rsidR="008516D4">
        <w:rPr>
          <w:rFonts w:ascii="Verdana" w:hAnsi="Verdana"/>
          <w:sz w:val="18"/>
          <w:szCs w:val="18"/>
        </w:rPr>
        <w:t xml:space="preserve"> Ministry of Justice, Prison population figures: 2023, </w:t>
      </w:r>
      <w:r>
        <w:fldChar w:fldCharType="begin"/>
      </w:r>
      <w:r>
        <w:instrText xml:space="preserve"> HYPERLINK "https://view.officeapps.live.com/op/view.aspx?src=https%3A%2F%2Fassets.publishing.service.gov.uk%2Fgovernment%2Fuploads%2Fsystem%2Fuploads%2Fattachment_data%2Ffile%2F1159444%2Fprison-pop-26-may-2023.ods&amp;wdOrigin=BROWSELINK" </w:instrText>
      </w:r>
      <w:r>
        <w:fldChar w:fldCharType="separate"/>
      </w:r>
      <w:r w:rsidRPr="00E258E2" w:rsidR="008516D4">
        <w:rPr>
          <w:rStyle w:val="Hyperlink"/>
          <w:rFonts w:ascii="Verdana" w:hAnsi="Verdana"/>
          <w:sz w:val="18"/>
          <w:szCs w:val="18"/>
        </w:rPr>
        <w:t>Population bulletin: weekly 26 May 2023.</w:t>
      </w:r>
      <w:r>
        <w:fldChar w:fldCharType="end"/>
      </w:r>
    </w:p>
  </w:footnote>
  <w:footnote w:id="11">
    <w:p w:rsidR="00567549" w:rsidRPr="00E258E2">
      <w:pPr>
        <w:pStyle w:val="FootnoteText"/>
        <w:rPr>
          <w:rFonts w:ascii="Verdana" w:hAnsi="Verdana"/>
          <w:sz w:val="18"/>
          <w:szCs w:val="18"/>
        </w:rPr>
      </w:pPr>
      <w:r w:rsidRPr="00E258E2">
        <w:rPr>
          <w:rStyle w:val="FootnoteReference"/>
          <w:rFonts w:ascii="Verdana" w:hAnsi="Verdana"/>
          <w:sz w:val="18"/>
          <w:szCs w:val="18"/>
        </w:rPr>
        <w:footnoteRef/>
      </w:r>
      <w:r w:rsidRPr="00E258E2" w:rsidR="008516D4">
        <w:rPr>
          <w:rFonts w:ascii="Verdana" w:hAnsi="Verdana"/>
          <w:sz w:val="18"/>
          <w:szCs w:val="18"/>
        </w:rPr>
        <w:t xml:space="preserve"> See Hansard, </w:t>
      </w:r>
      <w:r>
        <w:fldChar w:fldCharType="begin"/>
      </w:r>
      <w:r>
        <w:instrText xml:space="preserve"> HYPERLINK "https://hansard.parliament.uk/Lords/2022-12-06/debates/F657709E-875C-40DD-AF26-DEB0BEE7A911/PrisonCapacity" </w:instrText>
      </w:r>
      <w:r>
        <w:fldChar w:fldCharType="separate"/>
      </w:r>
      <w:r w:rsidRPr="00E258E2" w:rsidR="008516D4">
        <w:rPr>
          <w:rStyle w:val="Hyperlink"/>
          <w:rFonts w:ascii="Verdana" w:hAnsi="Verdana"/>
          <w:sz w:val="18"/>
          <w:szCs w:val="18"/>
        </w:rPr>
        <w:t>Prison Capacity</w:t>
      </w:r>
      <w:r>
        <w:fldChar w:fldCharType="end"/>
      </w:r>
      <w:r w:rsidRPr="00E258E2" w:rsidR="008516D4">
        <w:rPr>
          <w:rFonts w:ascii="Verdana" w:hAnsi="Verdana"/>
          <w:sz w:val="18"/>
          <w:szCs w:val="18"/>
        </w:rPr>
        <w:t xml:space="preserve">, Volume 826: debated on Tuesday 6 December 2022 and </w:t>
      </w:r>
      <w:r>
        <w:fldChar w:fldCharType="begin"/>
      </w:r>
      <w:r>
        <w:instrText xml:space="preserve"> HYPERLINK "https://www.gov.uk/government/news/first-rapid-deployment-cells-unveiled-to-boost-prison-places" </w:instrText>
      </w:r>
      <w:r>
        <w:fldChar w:fldCharType="separate"/>
      </w:r>
      <w:r w:rsidRPr="00E258E2" w:rsidR="008516D4">
        <w:rPr>
          <w:rStyle w:val="Hyperlink"/>
          <w:rFonts w:ascii="Verdana" w:hAnsi="Verdana"/>
          <w:sz w:val="18"/>
          <w:szCs w:val="18"/>
        </w:rPr>
        <w:t>https://www.gov.uk/government/news/first-rapid-deployment-cells-unveiled-to-boost-prison-places</w:t>
      </w:r>
      <w:r>
        <w:fldChar w:fldCharType="end"/>
      </w:r>
      <w:r w:rsidRPr="00E258E2" w:rsidR="008516D4">
        <w:rPr>
          <w:rFonts w:ascii="Verdana" w:hAnsi="Verdana"/>
          <w:sz w:val="18"/>
          <w:szCs w:val="18"/>
        </w:rPr>
        <w:t>, 3 March 2023.</w:t>
      </w:r>
    </w:p>
  </w:footnote>
  <w:footnote w:id="12">
    <w:p w:rsidR="00567549" w:rsidRPr="00E258E2">
      <w:pPr>
        <w:pStyle w:val="FootnoteText"/>
        <w:rPr>
          <w:rFonts w:ascii="Verdana" w:hAnsi="Verdana"/>
          <w:sz w:val="18"/>
          <w:szCs w:val="18"/>
        </w:rPr>
      </w:pPr>
      <w:r w:rsidRPr="00E258E2">
        <w:rPr>
          <w:rStyle w:val="FootnoteReference"/>
          <w:rFonts w:ascii="Verdana" w:hAnsi="Verdana"/>
          <w:sz w:val="18"/>
          <w:szCs w:val="18"/>
        </w:rPr>
        <w:footnoteRef/>
      </w:r>
      <w:r w:rsidRPr="00E258E2">
        <w:rPr>
          <w:rFonts w:ascii="Verdana" w:hAnsi="Verdana"/>
          <w:sz w:val="18"/>
          <w:szCs w:val="18"/>
        </w:rPr>
        <w:t xml:space="preserve"> Comptroller and Auditor General, </w:t>
      </w:r>
      <w:r w:rsidRPr="00E258E2">
        <w:rPr>
          <w:rFonts w:ascii="Verdana" w:hAnsi="Verdana"/>
          <w:i/>
          <w:iCs/>
          <w:sz w:val="18"/>
          <w:szCs w:val="18"/>
        </w:rPr>
        <w:t>Improving resettlement support for prison leavers to reduce reoffending</w:t>
      </w:r>
      <w:r w:rsidRPr="00E258E2">
        <w:rPr>
          <w:rFonts w:ascii="Verdana" w:hAnsi="Verdana"/>
          <w:sz w:val="18"/>
          <w:szCs w:val="18"/>
        </w:rPr>
        <w:t>, Session 2022–23, HC 1282, National Audit Office, June 2023.</w:t>
      </w:r>
    </w:p>
  </w:footnote>
  <w:footnote w:id="13">
    <w:p w:rsidR="00567549" w:rsidRPr="00E258E2">
      <w:pPr>
        <w:pStyle w:val="FootnoteText"/>
        <w:rPr>
          <w:rFonts w:ascii="Verdana" w:hAnsi="Verdana"/>
          <w:sz w:val="18"/>
          <w:szCs w:val="18"/>
        </w:rPr>
      </w:pPr>
      <w:r w:rsidRPr="00E258E2">
        <w:rPr>
          <w:rStyle w:val="FootnoteReference"/>
          <w:rFonts w:ascii="Verdana" w:hAnsi="Verdana"/>
          <w:sz w:val="18"/>
          <w:szCs w:val="18"/>
        </w:rPr>
        <w:footnoteRef/>
      </w:r>
      <w:r w:rsidRPr="00E258E2" w:rsidR="008516D4">
        <w:rPr>
          <w:rFonts w:ascii="Verdana" w:hAnsi="Verdana"/>
          <w:sz w:val="18"/>
          <w:szCs w:val="18"/>
        </w:rPr>
        <w:t xml:space="preserve"> R v Arie Ali [2023] </w:t>
      </w:r>
      <w:r w:rsidRPr="00E258E2" w:rsidR="008516D4">
        <w:rPr>
          <w:rStyle w:val="Hyperlink"/>
          <w:rFonts w:ascii="Verdana" w:hAnsi="Verdana"/>
          <w:color w:val="auto"/>
          <w:sz w:val="18"/>
          <w:szCs w:val="18"/>
          <w:u w:val="none"/>
        </w:rPr>
        <w:t xml:space="preserve">. Available at </w:t>
      </w:r>
      <w:r>
        <w:fldChar w:fldCharType="begin"/>
      </w:r>
      <w:r>
        <w:instrText xml:space="preserve"> HYPERLINK "https://caselaw.nationalarchives.gov.uk/ewca/crim/2023/232" </w:instrText>
      </w:r>
      <w:r>
        <w:fldChar w:fldCharType="separate"/>
      </w:r>
      <w:r w:rsidRPr="00E258E2" w:rsidR="008516D4">
        <w:rPr>
          <w:rStyle w:val="Hyperlink"/>
          <w:rFonts w:ascii="Verdana" w:hAnsi="Verdana"/>
          <w:sz w:val="18"/>
          <w:szCs w:val="18"/>
        </w:rPr>
        <w:t>https://caselaw.nationalarchives.gov.uk/ewca/crim/2023/232</w:t>
      </w:r>
      <w:r>
        <w:fldChar w:fldCharType="end"/>
      </w:r>
      <w:r w:rsidRPr="00E258E2" w:rsidR="008516D4">
        <w:rPr>
          <w:rStyle w:val="Hyperlink"/>
          <w:rFonts w:ascii="Verdana" w:hAnsi="Verdana"/>
          <w:color w:val="auto"/>
          <w:sz w:val="18"/>
          <w:szCs w:val="18"/>
          <w:u w:val="none"/>
        </w:rPr>
        <w:t>.</w:t>
      </w:r>
    </w:p>
  </w:footnote>
  <w:footnote w:id="14">
    <w:p w:rsidR="00567549" w:rsidRPr="00DF61C7">
      <w:pPr>
        <w:pStyle w:val="FootnoteText"/>
        <w:rPr>
          <w:u w:val="single"/>
        </w:rPr>
      </w:pPr>
      <w:r w:rsidRPr="00E258E2">
        <w:rPr>
          <w:rStyle w:val="FootnoteReference"/>
          <w:rFonts w:ascii="Verdana" w:hAnsi="Verdana"/>
          <w:sz w:val="18"/>
          <w:szCs w:val="18"/>
        </w:rPr>
        <w:footnoteRef/>
      </w:r>
      <w:r w:rsidRPr="00E258E2" w:rsidR="008516D4">
        <w:rPr>
          <w:rFonts w:ascii="Verdana" w:hAnsi="Verdana"/>
          <w:sz w:val="18"/>
          <w:szCs w:val="18"/>
        </w:rPr>
        <w:t xml:space="preserve"> Legislation.gov.uk, </w:t>
      </w:r>
      <w:r>
        <w:fldChar w:fldCharType="begin"/>
      </w:r>
      <w:r>
        <w:instrText xml:space="preserve"> HYPERLINK "https://www.legislation.gov.uk/ukdsi/2023/9780348244595" </w:instrText>
      </w:r>
      <w:r>
        <w:fldChar w:fldCharType="separate"/>
      </w:r>
      <w:r w:rsidRPr="00E258E2" w:rsidR="008516D4">
        <w:rPr>
          <w:rStyle w:val="Hyperlink"/>
          <w:rFonts w:ascii="Verdana" w:hAnsi="Verdana"/>
          <w:color w:val="auto"/>
          <w:sz w:val="18"/>
          <w:szCs w:val="18"/>
        </w:rPr>
        <w:t>The Criminal Justice Act 2003 (Home Detention Curfew) Order 2023</w:t>
      </w:r>
      <w:r>
        <w:fldChar w:fldCharType="end"/>
      </w:r>
      <w:r w:rsidRPr="00DF61C7" w:rsidR="008516D4">
        <w:rPr>
          <w:rStyle w:val="Hyperlink"/>
          <w:color w:val="auto"/>
        </w:rPr>
        <w:t>.</w:t>
      </w:r>
    </w:p>
  </w:footnote>
  <w:footnote w:id="15">
    <w:p w:rsidR="00567549" w:rsidRPr="00661F5B">
      <w:pPr>
        <w:pStyle w:val="FootnoteText"/>
        <w:rPr>
          <w:rFonts w:ascii="Verdana" w:hAnsi="Verdana"/>
          <w:sz w:val="18"/>
          <w:szCs w:val="18"/>
        </w:rPr>
      </w:pPr>
      <w:r w:rsidRPr="00661F5B">
        <w:rPr>
          <w:rStyle w:val="FootnoteReference"/>
          <w:rFonts w:ascii="Verdana" w:hAnsi="Verdana"/>
          <w:sz w:val="18"/>
          <w:szCs w:val="18"/>
        </w:rPr>
        <w:footnoteRef/>
      </w:r>
      <w:r w:rsidRPr="00661F5B">
        <w:rPr>
          <w:rFonts w:ascii="Verdana" w:hAnsi="Verdana"/>
          <w:sz w:val="18"/>
          <w:szCs w:val="18"/>
        </w:rPr>
        <w:t xml:space="preserve"> Due to the Offender Rehabilitation Act in 2014, from 1 February 2015, all offenders given custodial sentences are now subject to statutory supervision on release from prison. Previously only adults sentenced to over 12 months in custody and all young offenders were subject to statutory supervision.</w:t>
      </w:r>
    </w:p>
  </w:footnote>
  <w:footnote w:id="16">
    <w:p w:rsidR="00567549" w:rsidRPr="00661F5B">
      <w:pPr>
        <w:pStyle w:val="FootnoteText"/>
        <w:rPr>
          <w:rFonts w:ascii="Verdana" w:hAnsi="Verdana"/>
          <w:sz w:val="18"/>
          <w:szCs w:val="18"/>
        </w:rPr>
      </w:pPr>
      <w:r w:rsidRPr="00661F5B">
        <w:rPr>
          <w:rStyle w:val="FootnoteReference"/>
          <w:rFonts w:ascii="Verdana" w:hAnsi="Verdana"/>
          <w:sz w:val="18"/>
          <w:szCs w:val="18"/>
        </w:rPr>
        <w:footnoteRef/>
      </w:r>
      <w:r w:rsidRPr="00661F5B" w:rsidR="008516D4">
        <w:rPr>
          <w:rFonts w:ascii="Verdana" w:hAnsi="Verdana"/>
          <w:sz w:val="18"/>
          <w:szCs w:val="18"/>
        </w:rPr>
        <w:t xml:space="preserve">Her Majesty’s Inspectorate of Probation, </w:t>
      </w:r>
      <w:r>
        <w:fldChar w:fldCharType="begin"/>
      </w:r>
      <w:r>
        <w:instrText xml:space="preserve"> HYPERLINK "https://www.justiceinspectorates.gov.uk/hmiprobation/wp-content/uploads/sites/5/2022/03/FINAL-Probation-Annual-Report-2021.pdf" </w:instrText>
      </w:r>
      <w:r>
        <w:fldChar w:fldCharType="separate"/>
      </w:r>
      <w:r w:rsidRPr="00661F5B" w:rsidR="008516D4">
        <w:rPr>
          <w:rStyle w:val="Hyperlink"/>
          <w:rFonts w:ascii="Verdana" w:hAnsi="Verdana"/>
          <w:sz w:val="18"/>
          <w:szCs w:val="18"/>
        </w:rPr>
        <w:t>2021 Annual Report: inspections of probation services</w:t>
      </w:r>
      <w:r>
        <w:fldChar w:fldCharType="end"/>
      </w:r>
      <w:r w:rsidRPr="00661F5B" w:rsidR="008516D4">
        <w:rPr>
          <w:rStyle w:val="Hyperlink"/>
          <w:rFonts w:ascii="Verdana" w:hAnsi="Verdana"/>
          <w:sz w:val="18"/>
          <w:szCs w:val="18"/>
        </w:rPr>
        <w:t>,</w:t>
      </w:r>
      <w:r w:rsidRPr="00661F5B" w:rsidR="008516D4">
        <w:rPr>
          <w:rFonts w:ascii="Verdana" w:hAnsi="Verdana"/>
          <w:sz w:val="18"/>
          <w:szCs w:val="18"/>
        </w:rPr>
        <w:t xml:space="preserve"> March 2022.</w:t>
      </w:r>
    </w:p>
  </w:footnote>
  <w:footnote w:id="17">
    <w:p w:rsidR="00567549" w:rsidRPr="00661F5B">
      <w:pPr>
        <w:pStyle w:val="FootnoteText"/>
        <w:rPr>
          <w:rFonts w:ascii="Verdana" w:hAnsi="Verdana"/>
          <w:sz w:val="18"/>
          <w:szCs w:val="18"/>
        </w:rPr>
      </w:pPr>
      <w:r w:rsidRPr="00661F5B">
        <w:rPr>
          <w:rStyle w:val="FootnoteReference"/>
          <w:rFonts w:ascii="Verdana" w:hAnsi="Verdana"/>
          <w:sz w:val="18"/>
          <w:szCs w:val="18"/>
        </w:rPr>
        <w:footnoteRef/>
      </w:r>
      <w:r w:rsidRPr="00661F5B">
        <w:rPr>
          <w:rFonts w:ascii="Verdana" w:hAnsi="Verdana"/>
          <w:sz w:val="18"/>
          <w:szCs w:val="18"/>
        </w:rPr>
        <w:t xml:space="preserve"> Comptroller and Auditor General, </w:t>
      </w:r>
      <w:r w:rsidRPr="00661F5B">
        <w:rPr>
          <w:rFonts w:ascii="Verdana" w:hAnsi="Verdana"/>
          <w:i/>
          <w:iCs/>
          <w:sz w:val="18"/>
          <w:szCs w:val="18"/>
        </w:rPr>
        <w:t>Improving resettlement support for prison leavers to reduce reoffending</w:t>
      </w:r>
      <w:r w:rsidRPr="00661F5B">
        <w:rPr>
          <w:rFonts w:ascii="Verdana" w:hAnsi="Verdana"/>
          <w:sz w:val="18"/>
          <w:szCs w:val="18"/>
        </w:rPr>
        <w:t>, Session 2022–23, HC 1282, National Audit Office, June 2023.</w:t>
      </w:r>
    </w:p>
  </w:footnote>
  <w:footnote w:id="18">
    <w:p w:rsidR="00567549" w:rsidRPr="000B7C8D">
      <w:pPr>
        <w:pStyle w:val="FootnoteText"/>
        <w:rPr>
          <w:rFonts w:ascii="Verdana" w:hAnsi="Verdana"/>
          <w:sz w:val="18"/>
          <w:szCs w:val="18"/>
        </w:rPr>
      </w:pPr>
      <w:r>
        <w:rPr>
          <w:rStyle w:val="FootnoteReference"/>
        </w:rPr>
        <w:footnoteRef/>
      </w:r>
      <w:r w:rsidR="008516D4">
        <w:t xml:space="preserve"> </w:t>
      </w:r>
      <w:r w:rsidRPr="000B7C8D" w:rsidR="008516D4">
        <w:rPr>
          <w:rFonts w:ascii="Verdana" w:hAnsi="Verdana"/>
          <w:sz w:val="18"/>
          <w:szCs w:val="18"/>
        </w:rPr>
        <w:t xml:space="preserve">Hansard, </w:t>
      </w:r>
      <w:r>
        <w:fldChar w:fldCharType="begin"/>
      </w:r>
      <w:r>
        <w:instrText xml:space="preserve"> HYPERLINK "https://hansard.parliament.uk/commons/2023-03-28/debates/84F434E5-07D3-4665-BA8B-D12D32D08041/ProbationServiceCaseloads" </w:instrText>
      </w:r>
      <w:r>
        <w:fldChar w:fldCharType="separate"/>
      </w:r>
      <w:r w:rsidRPr="000B7C8D" w:rsidR="008516D4">
        <w:rPr>
          <w:rStyle w:val="Hyperlink"/>
          <w:rFonts w:ascii="Verdana" w:hAnsi="Verdana"/>
          <w:sz w:val="18"/>
          <w:szCs w:val="18"/>
        </w:rPr>
        <w:t>Probation Service: Caseloads, Volume 730: debated on Tuesday 28 March, 2023</w:t>
      </w:r>
      <w:r>
        <w:fldChar w:fldCharType="end"/>
      </w:r>
      <w:r w:rsidRPr="000B7C8D" w:rsidR="008516D4">
        <w:rPr>
          <w:rStyle w:val="Hyperlink"/>
          <w:rFonts w:ascii="Verdana" w:hAnsi="Verdana"/>
          <w:sz w:val="18"/>
          <w:szCs w:val="18"/>
        </w:rPr>
        <w:t>.</w:t>
      </w:r>
    </w:p>
  </w:footnote>
  <w:footnote w:id="19">
    <w:p w:rsidR="00567549" w:rsidRPr="000B7C8D">
      <w:pPr>
        <w:pStyle w:val="FootnoteText"/>
        <w:rPr>
          <w:rFonts w:ascii="Verdana" w:hAnsi="Verdana"/>
          <w:sz w:val="18"/>
          <w:szCs w:val="18"/>
        </w:rPr>
      </w:pPr>
      <w:r w:rsidRPr="000B7C8D">
        <w:rPr>
          <w:rStyle w:val="FootnoteReference"/>
          <w:rFonts w:ascii="Verdana" w:hAnsi="Verdana"/>
          <w:sz w:val="18"/>
          <w:szCs w:val="18"/>
        </w:rPr>
        <w:footnoteRef/>
      </w:r>
      <w:r w:rsidRPr="000B7C8D" w:rsidR="008516D4">
        <w:rPr>
          <w:rFonts w:ascii="Verdana" w:hAnsi="Verdana"/>
          <w:sz w:val="18"/>
          <w:szCs w:val="18"/>
        </w:rPr>
        <w:t xml:space="preserve"> Ministry of Justice and HM Prison and Probation Service, Prison performance data 2021 to 2022: </w:t>
      </w:r>
      <w:r>
        <w:fldChar w:fldCharType="begin"/>
      </w:r>
      <w:r>
        <w:instrText xml:space="preserve"> HYPERLINK "https://assets.publishing.service.gov.uk/government/uploads/system/uploads/attachment_data/file/1140557/costs-per-place-and-costs-per-prisoner-2021-to-2022-summary.pdf" </w:instrText>
      </w:r>
      <w:r>
        <w:fldChar w:fldCharType="separate"/>
      </w:r>
      <w:r w:rsidRPr="000B7C8D" w:rsidR="008516D4">
        <w:rPr>
          <w:rStyle w:val="Hyperlink"/>
          <w:rFonts w:ascii="Verdana" w:hAnsi="Verdana"/>
          <w:sz w:val="18"/>
          <w:szCs w:val="18"/>
        </w:rPr>
        <w:t>Costs per prison place and costs per prisoner by individual prison 2021-2022 summary</w:t>
      </w:r>
      <w:r>
        <w:fldChar w:fldCharType="end"/>
      </w:r>
      <w:r w:rsidRPr="000B7C8D" w:rsidR="008516D4">
        <w:rPr>
          <w:rStyle w:val="Hyperlink"/>
          <w:rFonts w:ascii="Verdana" w:hAnsi="Verdana"/>
          <w:sz w:val="18"/>
          <w:szCs w:val="18"/>
        </w:rPr>
        <w:t>.</w:t>
      </w:r>
    </w:p>
  </w:footnote>
  <w:footnote w:id="20">
    <w:p w:rsidR="00567549" w:rsidRPr="000B7C8D">
      <w:pPr>
        <w:pStyle w:val="FootnoteText"/>
        <w:rPr>
          <w:rFonts w:ascii="Verdana" w:hAnsi="Verdana"/>
          <w:sz w:val="18"/>
          <w:szCs w:val="18"/>
        </w:rPr>
      </w:pPr>
      <w:r w:rsidRPr="000B7C8D">
        <w:rPr>
          <w:rStyle w:val="FootnoteReference"/>
          <w:rFonts w:ascii="Verdana" w:hAnsi="Verdana"/>
          <w:sz w:val="18"/>
          <w:szCs w:val="18"/>
        </w:rPr>
        <w:footnoteRef/>
      </w:r>
      <w:r w:rsidRPr="000B7C8D">
        <w:rPr>
          <w:rFonts w:ascii="Verdana" w:hAnsi="Verdana"/>
          <w:sz w:val="18"/>
          <w:szCs w:val="18"/>
        </w:rPr>
        <w:t xml:space="preserve"> Comptroller and Auditor General, </w:t>
      </w:r>
      <w:r w:rsidRPr="000B7C8D">
        <w:rPr>
          <w:rFonts w:ascii="Verdana" w:hAnsi="Verdana"/>
          <w:i/>
          <w:iCs/>
          <w:sz w:val="18"/>
          <w:szCs w:val="18"/>
        </w:rPr>
        <w:t>Improving outcomes for women in the criminal justice system</w:t>
      </w:r>
      <w:r w:rsidRPr="000B7C8D">
        <w:rPr>
          <w:rFonts w:ascii="Verdana" w:hAnsi="Verdana"/>
          <w:sz w:val="18"/>
          <w:szCs w:val="18"/>
        </w:rPr>
        <w:t>, Session 2021–22, HC 1012, National Audit Office, January 2022</w:t>
      </w:r>
    </w:p>
  </w:footnote>
  <w:footnote w:id="21">
    <w:p w:rsidR="00567549" w:rsidRPr="00EF2A16">
      <w:pPr>
        <w:pStyle w:val="FootnoteText"/>
        <w:rPr>
          <w:rFonts w:ascii="Verdana" w:hAnsi="Verdana"/>
          <w:sz w:val="18"/>
          <w:szCs w:val="18"/>
        </w:rPr>
      </w:pPr>
      <w:r w:rsidRPr="00EF2A16">
        <w:rPr>
          <w:rStyle w:val="FootnoteReference"/>
          <w:rFonts w:ascii="Verdana" w:hAnsi="Verdana"/>
          <w:sz w:val="18"/>
          <w:szCs w:val="18"/>
        </w:rPr>
        <w:footnoteRef/>
      </w:r>
      <w:r w:rsidRPr="00EF2A16" w:rsidR="008516D4">
        <w:rPr>
          <w:rFonts w:ascii="Verdana" w:hAnsi="Verdana"/>
          <w:sz w:val="18"/>
          <w:szCs w:val="18"/>
        </w:rPr>
        <w:t xml:space="preserve">Ministry of Justice, </w:t>
      </w:r>
      <w:r>
        <w:fldChar w:fldCharType="begin"/>
      </w:r>
      <w:r>
        <w:instrText xml:space="preserve"> HYPERLINK "https://www.gov.uk/government/statistics/criminal-justice-system-statistics-quarterly-december-2022" </w:instrText>
      </w:r>
      <w:r>
        <w:fldChar w:fldCharType="separate"/>
      </w:r>
      <w:r w:rsidRPr="00EF2A16" w:rsidR="008516D4">
        <w:rPr>
          <w:rStyle w:val="Hyperlink"/>
          <w:rFonts w:ascii="Verdana" w:hAnsi="Verdana"/>
          <w:sz w:val="18"/>
          <w:szCs w:val="18"/>
        </w:rPr>
        <w:t>Criminal Justice System statistics quarterly: December 2022</w:t>
      </w:r>
      <w:r>
        <w:fldChar w:fldCharType="end"/>
      </w:r>
      <w:r w:rsidRPr="00EF2A16" w:rsidR="008516D4">
        <w:rPr>
          <w:rStyle w:val="Hyperlink"/>
          <w:rFonts w:ascii="Verdana" w:hAnsi="Verdana"/>
          <w:sz w:val="18"/>
          <w:szCs w:val="18"/>
        </w:rPr>
        <w:t xml:space="preserve">: </w:t>
      </w:r>
      <w:r w:rsidRPr="00EF2A16" w:rsidR="008516D4">
        <w:rPr>
          <w:rStyle w:val="Hyperlink"/>
          <w:rFonts w:ascii="Verdana" w:hAnsi="Verdana"/>
          <w:color w:val="auto"/>
          <w:sz w:val="18"/>
          <w:szCs w:val="18"/>
          <w:u w:val="none"/>
        </w:rPr>
        <w:t>Outcomes by offence tool</w:t>
      </w:r>
    </w:p>
  </w:footnote>
  <w:footnote w:id="22">
    <w:p w:rsidR="00567549" w:rsidRPr="00EF2A16">
      <w:pPr>
        <w:pStyle w:val="FootnoteText"/>
        <w:rPr>
          <w:rFonts w:ascii="Verdana" w:hAnsi="Verdana"/>
          <w:sz w:val="18"/>
          <w:szCs w:val="18"/>
        </w:rPr>
      </w:pPr>
      <w:r w:rsidRPr="00EF2A16">
        <w:rPr>
          <w:rStyle w:val="FootnoteReference"/>
          <w:rFonts w:ascii="Verdana" w:hAnsi="Verdana"/>
          <w:sz w:val="18"/>
          <w:szCs w:val="18"/>
        </w:rPr>
        <w:footnoteRef/>
      </w:r>
      <w:r w:rsidRPr="00EF2A16">
        <w:rPr>
          <w:rFonts w:ascii="Verdana" w:hAnsi="Verdana"/>
          <w:sz w:val="18"/>
          <w:szCs w:val="18"/>
        </w:rPr>
        <w:t xml:space="preserve"> </w:t>
      </w:r>
      <w:r>
        <w:fldChar w:fldCharType="begin"/>
      </w:r>
      <w:r>
        <w:instrText xml:space="preserve"> HYPERLINK "https://www.gov.uk/government/publications/hmpps-annual-report-and-accounts-2021-22" </w:instrText>
      </w:r>
      <w:r>
        <w:fldChar w:fldCharType="separate"/>
      </w:r>
      <w:r w:rsidRPr="00EF2A16" w:rsidR="008516D4">
        <w:rPr>
          <w:rStyle w:val="Hyperlink"/>
          <w:rFonts w:ascii="Verdana" w:hAnsi="Verdana"/>
          <w:sz w:val="18"/>
          <w:szCs w:val="18"/>
        </w:rPr>
        <w:t>HM Prison &amp; Probation Service, Annual Report and Accounts 2021-22</w:t>
      </w:r>
      <w:r>
        <w:fldChar w:fldCharType="end"/>
      </w:r>
      <w:r w:rsidRPr="00EF2A16" w:rsidR="008516D4">
        <w:rPr>
          <w:rFonts w:ascii="Verdana" w:hAnsi="Verdana"/>
          <w:sz w:val="18"/>
          <w:szCs w:val="18"/>
        </w:rPr>
        <w:t xml:space="preserve">, </w:t>
      </w:r>
      <w:r w:rsidRPr="00EF2A16" w:rsidR="008516D4">
        <w:rPr>
          <w:rFonts w:ascii="Verdana" w:hAnsi="Verdana"/>
          <w:sz w:val="18"/>
          <w:szCs w:val="18"/>
        </w:rPr>
        <w:t>pg 17.</w:t>
      </w:r>
      <w:r w:rsidRPr="00EF2A16">
        <w:rPr>
          <w:rFonts w:ascii="Verdana" w:hAnsi="Verdana"/>
          <w:sz w:val="18"/>
          <w:szCs w:val="18"/>
        </w:rPr>
        <w:t xml:space="preserve"> The calculation excludes probation expenditure on probation reform and reducing reoffending and accommodation. The remaining cost includes frontline probation services, community interventions and electronic monitoring.</w:t>
      </w:r>
    </w:p>
  </w:footnote>
  <w:footnote w:id="23">
    <w:p w:rsidR="00567549" w:rsidRPr="006558C1">
      <w:pPr>
        <w:pStyle w:val="FootnoteText"/>
        <w:rPr>
          <w:rFonts w:ascii="Verdana" w:hAnsi="Verdana"/>
          <w:sz w:val="18"/>
          <w:szCs w:val="18"/>
        </w:rPr>
      </w:pPr>
      <w:r w:rsidRPr="006558C1">
        <w:rPr>
          <w:rStyle w:val="FootnoteReference"/>
          <w:rFonts w:ascii="Verdana" w:hAnsi="Verdana"/>
          <w:sz w:val="18"/>
          <w:szCs w:val="18"/>
        </w:rPr>
        <w:footnoteRef/>
      </w:r>
      <w:r w:rsidRPr="006558C1" w:rsidR="008516D4">
        <w:rPr>
          <w:rFonts w:ascii="Verdana" w:hAnsi="Verdana"/>
          <w:sz w:val="18"/>
          <w:szCs w:val="18"/>
        </w:rPr>
        <w:t xml:space="preserve">National Offender Management Service, </w:t>
      </w:r>
      <w:r>
        <w:fldChar w:fldCharType="begin"/>
      </w:r>
      <w:r>
        <w:instrText xml:space="preserve"> HYPERLINK "https://assets.publishing.service.gov.uk/government/uploads/system/uploads/attachment_data/file/302776/NOMS_Business_Plan_201415.pdf" </w:instrText>
      </w:r>
      <w:r>
        <w:fldChar w:fldCharType="separate"/>
      </w:r>
      <w:r w:rsidRPr="006558C1" w:rsidR="008516D4">
        <w:rPr>
          <w:rStyle w:val="Hyperlink"/>
          <w:rFonts w:ascii="Verdana" w:hAnsi="Verdana"/>
          <w:sz w:val="18"/>
          <w:szCs w:val="18"/>
        </w:rPr>
        <w:t>National Offender Management Service Business Plan 2014-15.</w:t>
      </w:r>
      <w:r>
        <w:fldChar w:fldCharType="end"/>
      </w:r>
      <w:r w:rsidRPr="006558C1" w:rsidR="008516D4">
        <w:rPr>
          <w:rFonts w:ascii="Verdana" w:hAnsi="Verdana"/>
          <w:sz w:val="18"/>
          <w:szCs w:val="18"/>
        </w:rPr>
        <w:t xml:space="preserve"> </w:t>
      </w:r>
    </w:p>
  </w:footnote>
  <w:footnote w:id="24">
    <w:p w:rsidR="00567549" w:rsidRPr="006558C1">
      <w:pPr>
        <w:pStyle w:val="FootnoteText"/>
        <w:rPr>
          <w:rFonts w:ascii="Verdana" w:hAnsi="Verdana"/>
          <w:sz w:val="18"/>
          <w:szCs w:val="18"/>
        </w:rPr>
      </w:pPr>
      <w:r w:rsidRPr="006558C1">
        <w:rPr>
          <w:rStyle w:val="FootnoteReference"/>
          <w:rFonts w:ascii="Verdana" w:hAnsi="Verdana"/>
          <w:sz w:val="18"/>
          <w:szCs w:val="18"/>
        </w:rPr>
        <w:footnoteRef/>
      </w:r>
      <w:r w:rsidRPr="006558C1">
        <w:rPr>
          <w:rFonts w:ascii="Verdana" w:hAnsi="Verdana"/>
          <w:sz w:val="18"/>
          <w:szCs w:val="18"/>
        </w:rPr>
        <w:t xml:space="preserve"> The National Offender Management Service was the former name of HM Prison and Probation Service.</w:t>
      </w:r>
    </w:p>
  </w:footnote>
  <w:footnote w:id="25">
    <w:p w:rsidR="00567549" w:rsidRPr="006558C1">
      <w:pPr>
        <w:pStyle w:val="FootnoteText"/>
        <w:rPr>
          <w:rFonts w:ascii="Verdana" w:hAnsi="Verdana"/>
          <w:sz w:val="18"/>
          <w:szCs w:val="18"/>
        </w:rPr>
      </w:pPr>
      <w:r w:rsidRPr="006558C1">
        <w:rPr>
          <w:rStyle w:val="FootnoteReference"/>
          <w:rFonts w:ascii="Verdana" w:hAnsi="Verdana"/>
          <w:sz w:val="18"/>
          <w:szCs w:val="18"/>
        </w:rPr>
        <w:footnoteRef/>
      </w:r>
      <w:r w:rsidRPr="006558C1" w:rsidR="008516D4">
        <w:rPr>
          <w:rFonts w:ascii="Verdana" w:hAnsi="Verdana"/>
          <w:sz w:val="18"/>
          <w:szCs w:val="18"/>
        </w:rPr>
        <w:t xml:space="preserve"> Ministry of Justice, </w:t>
      </w:r>
      <w:r>
        <w:fldChar w:fldCharType="begin"/>
      </w:r>
      <w:r>
        <w:instrText xml:space="preserve"> HYPERLINK "https://assets.publishing.service.gov.uk/government/uploads/system/uploads/attachment_data/file/1140557/costs-per-place-and-costs-per-prisoner-2021-to-2022-summary.pdf" </w:instrText>
      </w:r>
      <w:r>
        <w:fldChar w:fldCharType="separate"/>
      </w:r>
      <w:r w:rsidRPr="006558C1" w:rsidR="008516D4">
        <w:rPr>
          <w:rStyle w:val="Hyperlink"/>
          <w:rFonts w:ascii="Verdana" w:hAnsi="Verdana"/>
          <w:sz w:val="18"/>
          <w:szCs w:val="18"/>
        </w:rPr>
        <w:t>Costs per prison place and costs per individual prison</w:t>
      </w:r>
      <w:r>
        <w:fldChar w:fldCharType="end"/>
      </w:r>
      <w:r w:rsidRPr="006558C1" w:rsidR="008516D4">
        <w:rPr>
          <w:rFonts w:ascii="Verdana" w:hAnsi="Verdana"/>
          <w:sz w:val="18"/>
          <w:szCs w:val="18"/>
        </w:rPr>
        <w:t>, 9 March 2023.</w:t>
      </w:r>
    </w:p>
  </w:footnote>
  <w:footnote w:id="26">
    <w:p w:rsidR="00567549" w:rsidRPr="006558C1">
      <w:pPr>
        <w:pStyle w:val="FootnoteText"/>
        <w:rPr>
          <w:rFonts w:ascii="Verdana" w:hAnsi="Verdana"/>
          <w:sz w:val="18"/>
          <w:szCs w:val="18"/>
        </w:rPr>
      </w:pPr>
      <w:r w:rsidRPr="006558C1">
        <w:rPr>
          <w:rStyle w:val="FootnoteReference"/>
          <w:rFonts w:ascii="Verdana" w:hAnsi="Verdana"/>
          <w:sz w:val="18"/>
          <w:szCs w:val="18"/>
        </w:rPr>
        <w:footnoteRef/>
      </w:r>
      <w:r w:rsidRPr="006558C1" w:rsidR="008516D4">
        <w:rPr>
          <w:rFonts w:ascii="Verdana" w:hAnsi="Verdana"/>
          <w:sz w:val="18"/>
          <w:szCs w:val="18"/>
        </w:rPr>
        <w:t xml:space="preserve"> Ministry of Justice, </w:t>
      </w:r>
      <w:r>
        <w:fldChar w:fldCharType="begin"/>
      </w:r>
      <w:r>
        <w:instrText xml:space="preserve"> HYPERLINK "https://www.gov.uk/government/statistics/offender-management-statistics-quarterly-october-to-december-2022" </w:instrText>
      </w:r>
      <w:r>
        <w:fldChar w:fldCharType="separate"/>
      </w:r>
      <w:r w:rsidRPr="006558C1" w:rsidR="008516D4">
        <w:rPr>
          <w:rStyle w:val="Hyperlink"/>
          <w:rFonts w:ascii="Verdana" w:hAnsi="Verdana"/>
          <w:sz w:val="18"/>
          <w:szCs w:val="18"/>
        </w:rPr>
        <w:t>Offender management statistics quarterly: October to December 2022</w:t>
      </w:r>
      <w:r>
        <w:fldChar w:fldCharType="end"/>
      </w:r>
      <w:r w:rsidRPr="006558C1" w:rsidR="008516D4">
        <w:rPr>
          <w:rFonts w:ascii="Verdana" w:hAnsi="Verdana"/>
          <w:sz w:val="18"/>
          <w:szCs w:val="18"/>
        </w:rPr>
        <w:t>, Prison population: 31 March 2023.</w:t>
      </w:r>
    </w:p>
  </w:footnote>
  <w:footnote w:id="27">
    <w:p w:rsidR="00567549" w:rsidRPr="006558C1">
      <w:pPr>
        <w:pStyle w:val="FootnoteText"/>
        <w:rPr>
          <w:rFonts w:ascii="Verdana" w:hAnsi="Verdana"/>
          <w:sz w:val="18"/>
          <w:szCs w:val="18"/>
        </w:rPr>
      </w:pPr>
      <w:r w:rsidRPr="006558C1">
        <w:rPr>
          <w:rStyle w:val="FootnoteReference"/>
          <w:rFonts w:ascii="Verdana" w:hAnsi="Verdana"/>
          <w:sz w:val="18"/>
          <w:szCs w:val="18"/>
        </w:rPr>
        <w:footnoteRef/>
      </w:r>
      <w:r w:rsidRPr="006558C1">
        <w:rPr>
          <w:rFonts w:ascii="Verdana" w:hAnsi="Verdana"/>
          <w:sz w:val="18"/>
          <w:szCs w:val="18"/>
        </w:rPr>
        <w:t xml:space="preserve"> Comptroller and Auditor General, Improving outcomes for women in the criminal justice system, Session 2021–22, HC 1012, National Audit Office, January 2022</w:t>
      </w:r>
    </w:p>
  </w:footnote>
  <w:footnote w:id="28">
    <w:p w:rsidR="00567549" w:rsidRPr="00CA3F68">
      <w:pPr>
        <w:pStyle w:val="FootnoteText"/>
        <w:rPr>
          <w:rFonts w:ascii="Verdana" w:hAnsi="Verdana"/>
          <w:sz w:val="18"/>
          <w:szCs w:val="18"/>
        </w:rPr>
      </w:pPr>
      <w:r>
        <w:rPr>
          <w:rStyle w:val="FootnoteReference"/>
        </w:rPr>
        <w:footnoteRef/>
      </w:r>
      <w:r>
        <w:t xml:space="preserve"> </w:t>
      </w:r>
      <w:r w:rsidRPr="00CA3F68">
        <w:rPr>
          <w:rFonts w:ascii="Verdana" w:hAnsi="Verdana"/>
          <w:sz w:val="18"/>
          <w:szCs w:val="18"/>
        </w:rPr>
        <w:t xml:space="preserve">Comptroller and Auditor General, </w:t>
      </w:r>
      <w:r w:rsidRPr="00CA3F68">
        <w:rPr>
          <w:rFonts w:ascii="Verdana" w:hAnsi="Verdana"/>
          <w:i/>
          <w:iCs/>
          <w:sz w:val="18"/>
          <w:szCs w:val="18"/>
        </w:rPr>
        <w:t>Improving resettlement support for prison leavers to reduce reoffending</w:t>
      </w:r>
      <w:r w:rsidRPr="00CA3F68">
        <w:rPr>
          <w:rFonts w:ascii="Verdana" w:hAnsi="Verdana"/>
          <w:sz w:val="18"/>
          <w:szCs w:val="18"/>
        </w:rPr>
        <w:t>, Session 2022–23, HC 1282, National Audit Office, June 2023.</w:t>
      </w:r>
    </w:p>
    <w:p w:rsidR="00567549" w:rsidRPr="00CA3F68">
      <w:pPr>
        <w:pStyle w:val="FootnoteText"/>
        <w:rPr>
          <w:rFonts w:ascii="Verdana" w:hAnsi="Verdana"/>
          <w:sz w:val="18"/>
          <w:szCs w:val="18"/>
        </w:rPr>
      </w:pPr>
    </w:p>
  </w:footnote>
  <w:footnote w:id="29">
    <w:p w:rsidR="00567549" w:rsidRPr="00E77337">
      <w:pPr>
        <w:pStyle w:val="FootnoteText"/>
        <w:rPr>
          <w:rFonts w:ascii="Verdana" w:hAnsi="Verdana"/>
          <w:sz w:val="18"/>
          <w:szCs w:val="18"/>
        </w:rPr>
      </w:pPr>
      <w:r>
        <w:rPr>
          <w:rStyle w:val="FootnoteReference"/>
        </w:rPr>
        <w:footnoteRef/>
      </w:r>
      <w:r w:rsidR="008516D4">
        <w:t xml:space="preserve"> </w:t>
      </w:r>
      <w:r w:rsidRPr="00E77337" w:rsidR="008516D4">
        <w:rPr>
          <w:rFonts w:ascii="Verdana" w:hAnsi="Verdana"/>
          <w:sz w:val="18"/>
          <w:szCs w:val="18"/>
        </w:rPr>
        <w:t xml:space="preserve">Ministry of Justice, </w:t>
      </w:r>
      <w:r>
        <w:fldChar w:fldCharType="begin"/>
      </w:r>
      <w:r>
        <w:instrText xml:space="preserve"> HYPERLINK "https://assets.publishing.service.gov.uk/government/uploads/system/uploads/attachment_data/file/814650/economic-social-costs-reoffending.pdf" </w:instrText>
      </w:r>
      <w:r>
        <w:fldChar w:fldCharType="separate"/>
      </w:r>
      <w:r w:rsidRPr="00E77337" w:rsidR="008516D4">
        <w:rPr>
          <w:rStyle w:val="Hyperlink"/>
          <w:rFonts w:ascii="Verdana" w:hAnsi="Verdana"/>
          <w:sz w:val="18"/>
          <w:szCs w:val="18"/>
        </w:rPr>
        <w:t>Economic and social costs of reoffending, 2019.</w:t>
      </w:r>
      <w:r>
        <w:fldChar w:fldCharType="end"/>
      </w:r>
    </w:p>
  </w:footnote>
  <w:footnote w:id="30">
    <w:p w:rsidR="00567549" w:rsidRPr="00E77337">
      <w:pPr>
        <w:pStyle w:val="FootnoteText"/>
        <w:rPr>
          <w:rFonts w:ascii="Verdana" w:hAnsi="Verdana"/>
          <w:sz w:val="18"/>
          <w:szCs w:val="18"/>
        </w:rPr>
      </w:pPr>
      <w:r w:rsidRPr="00E77337">
        <w:rPr>
          <w:rStyle w:val="FootnoteReference"/>
          <w:rFonts w:ascii="Verdana" w:hAnsi="Verdana"/>
          <w:sz w:val="18"/>
          <w:szCs w:val="18"/>
        </w:rPr>
        <w:footnoteRef/>
      </w:r>
      <w:r w:rsidRPr="00E77337" w:rsidR="008516D4">
        <w:rPr>
          <w:rFonts w:ascii="Verdana" w:hAnsi="Verdana"/>
          <w:sz w:val="18"/>
          <w:szCs w:val="18"/>
        </w:rPr>
        <w:t xml:space="preserve">  Ministry of Justice, </w:t>
      </w:r>
      <w:r>
        <w:fldChar w:fldCharType="begin"/>
      </w:r>
      <w:r>
        <w:instrText xml:space="preserve"> HYPERLINK "https://www.gov.uk/government/statistics/proven-reoffending-statistics-april-to-june-2021/proven-reoffending-statistics-april-to-june-2021" </w:instrText>
      </w:r>
      <w:r>
        <w:fldChar w:fldCharType="separate"/>
      </w:r>
      <w:r w:rsidRPr="00E77337" w:rsidR="008516D4">
        <w:rPr>
          <w:rStyle w:val="Hyperlink"/>
          <w:rFonts w:ascii="Verdana" w:hAnsi="Verdana"/>
          <w:sz w:val="18"/>
          <w:szCs w:val="18"/>
        </w:rPr>
        <w:t>Proven reoffending statistics: April to June 2021, 27 April 2023</w:t>
      </w:r>
      <w:r>
        <w:fldChar w:fldCharType="end"/>
      </w:r>
      <w:r w:rsidRPr="00E77337" w:rsidR="008516D4">
        <w:rPr>
          <w:rStyle w:val="Hyperlink"/>
          <w:rFonts w:ascii="Verdana" w:hAnsi="Verdana"/>
          <w:sz w:val="18"/>
          <w:szCs w:val="18"/>
        </w:rPr>
        <w:t>.</w:t>
      </w:r>
    </w:p>
  </w:footnote>
  <w:footnote w:id="31">
    <w:p w:rsidR="00567549" w:rsidRPr="00E77337">
      <w:pPr>
        <w:pStyle w:val="FootnoteText"/>
        <w:rPr>
          <w:rFonts w:ascii="Verdana" w:hAnsi="Verdana"/>
          <w:sz w:val="18"/>
          <w:szCs w:val="18"/>
          <w:highlight w:val="yellow"/>
        </w:rPr>
      </w:pPr>
      <w:r w:rsidRPr="00E77337">
        <w:rPr>
          <w:rStyle w:val="FootnoteReference"/>
          <w:rFonts w:ascii="Verdana" w:hAnsi="Verdana"/>
          <w:sz w:val="18"/>
          <w:szCs w:val="18"/>
        </w:rPr>
        <w:footnoteRef/>
      </w:r>
      <w:r w:rsidRPr="00E77337">
        <w:rPr>
          <w:rFonts w:ascii="Verdana" w:hAnsi="Verdana"/>
          <w:sz w:val="18"/>
          <w:szCs w:val="18"/>
        </w:rPr>
        <w:t xml:space="preserve"> An offender enters the cohort if they were released from custody, received a non-custodial conviction at court or received a reprimand or warning in a three-month period.</w:t>
      </w:r>
    </w:p>
  </w:footnote>
  <w:footnote w:id="32">
    <w:p w:rsidR="00567549" w:rsidRPr="00E77337">
      <w:pPr>
        <w:pStyle w:val="FootnoteText"/>
        <w:rPr>
          <w:rFonts w:ascii="Verdana" w:hAnsi="Verdana"/>
          <w:sz w:val="18"/>
          <w:szCs w:val="18"/>
        </w:rPr>
      </w:pPr>
      <w:r w:rsidRPr="00E77337">
        <w:rPr>
          <w:rStyle w:val="FootnoteReference"/>
          <w:rFonts w:ascii="Verdana" w:hAnsi="Verdana"/>
          <w:sz w:val="18"/>
          <w:szCs w:val="18"/>
        </w:rPr>
        <w:footnoteRef/>
      </w:r>
      <w:r w:rsidRPr="00E77337" w:rsidR="008516D4">
        <w:rPr>
          <w:rFonts w:ascii="Verdana" w:hAnsi="Verdana"/>
          <w:sz w:val="18"/>
          <w:szCs w:val="18"/>
        </w:rPr>
        <w:t xml:space="preserve">See for example, Ministry of Justice, </w:t>
      </w:r>
      <w:r>
        <w:fldChar w:fldCharType="begin"/>
      </w:r>
      <w:r>
        <w:instrText xml:space="preserve"> HYPERLINK "https://assets.publishing.service.gov.uk/government/uploads/system/uploads/attachment_data/file/399389/impact-of-short-custodial-sentences-on-reoffending.PDF" </w:instrText>
      </w:r>
      <w:r>
        <w:fldChar w:fldCharType="separate"/>
      </w:r>
      <w:r w:rsidRPr="00E77337" w:rsidR="008516D4">
        <w:rPr>
          <w:rStyle w:val="Hyperlink"/>
          <w:rFonts w:ascii="Verdana" w:hAnsi="Verdana"/>
          <w:sz w:val="18"/>
          <w:szCs w:val="18"/>
        </w:rPr>
        <w:t>The impact of short custodial sentences, community orders and suspended sentence orders on reoffending</w:t>
      </w:r>
      <w:r>
        <w:fldChar w:fldCharType="end"/>
      </w:r>
      <w:r w:rsidRPr="00E77337" w:rsidR="008516D4">
        <w:rPr>
          <w:rFonts w:ascii="Verdana" w:hAnsi="Verdana"/>
          <w:sz w:val="18"/>
          <w:szCs w:val="18"/>
        </w:rPr>
        <w:t>, 2015.</w:t>
      </w:r>
    </w:p>
  </w:footnote>
  <w:footnote w:id="33">
    <w:p w:rsidR="00567549" w:rsidRPr="00E77337">
      <w:pPr>
        <w:pStyle w:val="FootnoteText"/>
        <w:rPr>
          <w:rFonts w:ascii="Verdana" w:hAnsi="Verdana"/>
          <w:sz w:val="18"/>
          <w:szCs w:val="18"/>
        </w:rPr>
      </w:pPr>
      <w:r w:rsidRPr="00E77337">
        <w:rPr>
          <w:rStyle w:val="FootnoteReference"/>
          <w:rFonts w:ascii="Verdana" w:hAnsi="Verdana"/>
          <w:sz w:val="18"/>
          <w:szCs w:val="18"/>
        </w:rPr>
        <w:footnoteRef/>
      </w:r>
      <w:r w:rsidRPr="00E77337">
        <w:rPr>
          <w:rFonts w:ascii="Verdana" w:hAnsi="Verdana"/>
          <w:sz w:val="18"/>
          <w:szCs w:val="18"/>
        </w:rPr>
        <w:t xml:space="preserve"> A proven re-offence is defined as any offence committed in a follow-up period that leads to a court conviction, caution, reprimand or warning. After the follow-up period, a further six-month waiting period is allowed for the offence to be proven in court.</w:t>
      </w:r>
    </w:p>
  </w:footnote>
  <w:footnote w:id="34">
    <w:p w:rsidR="00567549" w:rsidRPr="00E77337">
      <w:pPr>
        <w:pStyle w:val="FootnoteText"/>
        <w:rPr>
          <w:rFonts w:ascii="Verdana" w:hAnsi="Verdana"/>
          <w:sz w:val="18"/>
          <w:szCs w:val="18"/>
        </w:rPr>
      </w:pPr>
      <w:r w:rsidRPr="00E77337">
        <w:rPr>
          <w:rStyle w:val="FootnoteReference"/>
          <w:rFonts w:ascii="Verdana" w:hAnsi="Verdana"/>
          <w:sz w:val="18"/>
          <w:szCs w:val="18"/>
        </w:rPr>
        <w:footnoteRef/>
      </w:r>
      <w:r w:rsidRPr="00E77337">
        <w:rPr>
          <w:rFonts w:ascii="Verdana" w:hAnsi="Verdana"/>
          <w:sz w:val="18"/>
          <w:szCs w:val="18"/>
        </w:rPr>
        <w:t xml:space="preserve"> In the 2015 study short-term custody was defined as less than 12 months in prison without supervision. In the 2019 study it was defined as less than 12 months with supervision on release.</w:t>
      </w:r>
    </w:p>
  </w:footnote>
  <w:footnote w:id="35">
    <w:p w:rsidR="00567549" w:rsidRPr="0074418A">
      <w:pPr>
        <w:pStyle w:val="FootnoteText"/>
        <w:rPr>
          <w:rFonts w:ascii="Verdana" w:hAnsi="Verdana"/>
          <w:sz w:val="18"/>
          <w:szCs w:val="18"/>
          <w:highlight w:val="yellow"/>
        </w:rPr>
      </w:pPr>
      <w:r>
        <w:rPr>
          <w:rStyle w:val="FootnoteReference"/>
        </w:rPr>
        <w:footnoteRef/>
      </w:r>
      <w:r w:rsidR="008516D4">
        <w:t xml:space="preserve"> </w:t>
      </w:r>
      <w:r w:rsidRPr="0074418A" w:rsidR="008516D4">
        <w:rPr>
          <w:rFonts w:ascii="Verdana" w:hAnsi="Verdana"/>
          <w:sz w:val="18"/>
          <w:szCs w:val="18"/>
        </w:rPr>
        <w:t xml:space="preserve">Ministry of Justice, </w:t>
      </w:r>
      <w:r>
        <w:fldChar w:fldCharType="begin"/>
      </w:r>
      <w:r>
        <w:instrText xml:space="preserve"> HYPERLINK "https://assets.publishing.service.gov.uk/government/uploads/system/uploads/attachment_data/file/814177/impact-short-custodial-sentences.pdf" </w:instrText>
      </w:r>
      <w:r>
        <w:fldChar w:fldCharType="separate"/>
      </w:r>
      <w:r w:rsidRPr="0074418A" w:rsidR="008516D4">
        <w:rPr>
          <w:rStyle w:val="Hyperlink"/>
          <w:rFonts w:ascii="Verdana" w:hAnsi="Verdana"/>
          <w:sz w:val="18"/>
          <w:szCs w:val="18"/>
        </w:rPr>
        <w:t>The impact of short custodial sentences, community orders and suspended sentence orders on reoffending</w:t>
      </w:r>
      <w:r>
        <w:fldChar w:fldCharType="end"/>
      </w:r>
      <w:r w:rsidRPr="0074418A" w:rsidR="008516D4">
        <w:rPr>
          <w:rFonts w:ascii="Verdana" w:hAnsi="Verdana"/>
          <w:sz w:val="18"/>
          <w:szCs w:val="18"/>
        </w:rPr>
        <w:t>, 2019.</w:t>
      </w:r>
    </w:p>
  </w:footnote>
  <w:footnote w:id="36">
    <w:p w:rsidR="00567549" w:rsidRPr="0074418A">
      <w:pPr>
        <w:pStyle w:val="FootnoteText"/>
        <w:rPr>
          <w:rFonts w:ascii="Verdana" w:hAnsi="Verdana"/>
          <w:sz w:val="18"/>
          <w:szCs w:val="18"/>
        </w:rPr>
      </w:pPr>
      <w:r w:rsidRPr="0074418A">
        <w:rPr>
          <w:rStyle w:val="FootnoteReference"/>
          <w:rFonts w:ascii="Verdana" w:hAnsi="Verdana"/>
          <w:sz w:val="18"/>
          <w:szCs w:val="18"/>
        </w:rPr>
        <w:footnoteRef/>
      </w:r>
      <w:r w:rsidRPr="0074418A">
        <w:rPr>
          <w:rFonts w:ascii="Verdana" w:hAnsi="Verdana"/>
          <w:sz w:val="18"/>
          <w:szCs w:val="18"/>
        </w:rPr>
        <w:t xml:space="preserve"> See footnote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C0009"/>
    <w:multiLevelType w:val="hybridMultilevel"/>
    <w:tmpl w:val="29CCD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340EAF"/>
    <w:multiLevelType w:val="hybridMultilevel"/>
    <w:tmpl w:val="C038C5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A542AD"/>
    <w:multiLevelType w:val="hybridMultilevel"/>
    <w:tmpl w:val="460CA1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8B6CCD"/>
    <w:multiLevelType w:val="hybridMultilevel"/>
    <w:tmpl w:val="6BE48C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0851C1"/>
    <w:multiLevelType w:val="hybridMultilevel"/>
    <w:tmpl w:val="62A82A4C"/>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5">
    <w:nsid w:val="0D1C2C34"/>
    <w:multiLevelType w:val="hybridMultilevel"/>
    <w:tmpl w:val="F0CC61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2F1BBA"/>
    <w:multiLevelType w:val="hybridMultilevel"/>
    <w:tmpl w:val="A75295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9B0F8F"/>
    <w:multiLevelType w:val="hybridMultilevel"/>
    <w:tmpl w:val="7D8862D0"/>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8">
    <w:nsid w:val="168353C3"/>
    <w:multiLevelType w:val="hybridMultilevel"/>
    <w:tmpl w:val="10A25B16"/>
    <w:lvl w:ilvl="0">
      <w:start w:val="1"/>
      <w:numFmt w:val="decimal"/>
      <w:lvlText w:val="%1."/>
      <w:lvlJc w:val="left"/>
      <w:pPr>
        <w:ind w:left="643" w:hanging="360"/>
      </w:pPr>
      <w:rPr>
        <w:b w:val="0"/>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946BAB"/>
    <w:multiLevelType w:val="hybridMultilevel"/>
    <w:tmpl w:val="E7B0F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816410D"/>
    <w:multiLevelType w:val="hybridMultilevel"/>
    <w:tmpl w:val="F7F4F8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5E18FB"/>
    <w:multiLevelType w:val="hybridMultilevel"/>
    <w:tmpl w:val="0E96D1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1833F8"/>
    <w:multiLevelType w:val="hybridMultilevel"/>
    <w:tmpl w:val="034CDE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A9C5D10"/>
    <w:multiLevelType w:val="hybridMultilevel"/>
    <w:tmpl w:val="CC7E7A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ABD5170"/>
    <w:multiLevelType w:val="hybridMultilevel"/>
    <w:tmpl w:val="081C5E80"/>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5">
    <w:nsid w:val="2D794862"/>
    <w:multiLevelType w:val="hybridMultilevel"/>
    <w:tmpl w:val="278A3A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FCA0FE3"/>
    <w:multiLevelType w:val="hybridMultilevel"/>
    <w:tmpl w:val="3A0A008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24C5A06"/>
    <w:multiLevelType w:val="hybridMultilevel"/>
    <w:tmpl w:val="AB7679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A3D68A2"/>
    <w:multiLevelType w:val="multilevel"/>
    <w:tmpl w:val="89DC2BBE"/>
    <w:styleLink w:val="NAONotesnumber"/>
    <w:lvl w:ilvl="0">
      <w:start w:val="1"/>
      <w:numFmt w:val="none"/>
      <w:pStyle w:val="NOTES"/>
      <w:suff w:val="nothing"/>
      <w:lvlText w:val="%1"/>
      <w:lvlJc w:val="left"/>
      <w:pPr>
        <w:ind w:left="0" w:firstLine="0"/>
      </w:pPr>
      <w:rPr>
        <w:rFonts w:hint="default"/>
      </w:rPr>
    </w:lvl>
    <w:lvl w:ilvl="1">
      <w:start w:val="1"/>
      <w:numFmt w:val="decimal"/>
      <w:pStyle w:val="NumberedNotes"/>
      <w:lvlText w:val="%2."/>
      <w:lvlJc w:val="left"/>
      <w:pPr>
        <w:ind w:left="199" w:hanging="19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A97701B"/>
    <w:multiLevelType w:val="hybridMultilevel"/>
    <w:tmpl w:val="0EDA413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AD40EB4"/>
    <w:multiLevelType w:val="hybridMultilevel"/>
    <w:tmpl w:val="6E6C9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BE462DE"/>
    <w:multiLevelType w:val="hybridMultilevel"/>
    <w:tmpl w:val="3A820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0553208"/>
    <w:multiLevelType w:val="hybridMultilevel"/>
    <w:tmpl w:val="25ACB4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443C056D"/>
    <w:multiLevelType w:val="hybridMultilevel"/>
    <w:tmpl w:val="972CD71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45941332"/>
    <w:multiLevelType w:val="hybridMultilevel"/>
    <w:tmpl w:val="1E5862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E73C96"/>
    <w:multiLevelType w:val="hybridMultilevel"/>
    <w:tmpl w:val="37366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E00939"/>
    <w:multiLevelType w:val="hybridMultilevel"/>
    <w:tmpl w:val="4D96D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1475CB2"/>
    <w:multiLevelType w:val="hybridMultilevel"/>
    <w:tmpl w:val="CF7A2C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B28573C"/>
    <w:multiLevelType w:val="hybridMultilevel"/>
    <w:tmpl w:val="E02EFF80"/>
    <w:lvl w:ilvl="0">
      <w:start w:val="1"/>
      <w:numFmt w:val="decimal"/>
      <w:lvlText w:val="%1."/>
      <w:lvlJc w:val="left"/>
      <w:pPr>
        <w:ind w:left="720" w:hanging="360"/>
      </w:p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CA1846"/>
    <w:multiLevelType w:val="hybridMultilevel"/>
    <w:tmpl w:val="F0C41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C100A3C"/>
    <w:multiLevelType w:val="hybridMultilevel"/>
    <w:tmpl w:val="9AC85238"/>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31">
    <w:nsid w:val="62D13B4C"/>
    <w:multiLevelType w:val="hybridMultilevel"/>
    <w:tmpl w:val="38FA23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3573F69"/>
    <w:multiLevelType w:val="hybridMultilevel"/>
    <w:tmpl w:val="352A1B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5CE579F"/>
    <w:multiLevelType w:val="hybridMultilevel"/>
    <w:tmpl w:val="7B7254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0B5AD1"/>
    <w:multiLevelType w:val="hybridMultilevel"/>
    <w:tmpl w:val="2D404006"/>
    <w:lvl w:ilvl="0">
      <w:start w:val="1"/>
      <w:numFmt w:val="decimal"/>
      <w:lvlText w:val="%1."/>
      <w:lvlJc w:val="left"/>
      <w:pPr>
        <w:ind w:left="720" w:hanging="360"/>
      </w:pPr>
    </w:lvl>
    <w:lvl w:ilvl="1">
      <w:start w:val="1"/>
      <w:numFmt w:val="decimal"/>
      <w:lvlText w:val="%2."/>
      <w:lvlJc w:val="left"/>
      <w:pPr>
        <w:ind w:left="1440" w:hanging="360"/>
      </w:pPr>
      <w:rPr>
        <w:rFonts w:asciiTheme="minorHAnsi" w:eastAsiaTheme="minorHAnsi" w:hAnsiTheme="minorHAnsi" w:cstheme="minorBidi"/>
      </w:rPr>
    </w:lvl>
    <w:lvl w:ilvl="2">
      <w:start w:val="1"/>
      <w:numFmt w:val="lowerLetter"/>
      <w:lvlText w:val="%3."/>
      <w:lvlJc w:val="left"/>
      <w:pPr>
        <w:ind w:left="2205"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7A741B2"/>
    <w:multiLevelType w:val="hybridMultilevel"/>
    <w:tmpl w:val="2BDA8FA8"/>
    <w:lvl w:ilvl="0">
      <w:start w:val="1"/>
      <w:numFmt w:val="decimal"/>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36">
    <w:nsid w:val="68183006"/>
    <w:multiLevelType w:val="hybridMultilevel"/>
    <w:tmpl w:val="C6204B42"/>
    <w:lvl w:ilvl="0">
      <w:start w:val="1"/>
      <w:numFmt w:val="lowerLetter"/>
      <w:lvlText w:val="%1."/>
      <w:lvlJc w:val="left"/>
      <w:pPr>
        <w:ind w:left="2205" w:hanging="360"/>
      </w:pPr>
    </w:lvl>
    <w:lvl w:ilvl="1" w:tentative="1">
      <w:start w:val="1"/>
      <w:numFmt w:val="lowerLetter"/>
      <w:lvlText w:val="%2."/>
      <w:lvlJc w:val="left"/>
      <w:pPr>
        <w:ind w:left="2925" w:hanging="360"/>
      </w:pPr>
    </w:lvl>
    <w:lvl w:ilvl="2" w:tentative="1">
      <w:start w:val="1"/>
      <w:numFmt w:val="lowerRoman"/>
      <w:lvlText w:val="%3."/>
      <w:lvlJc w:val="right"/>
      <w:pPr>
        <w:ind w:left="3645" w:hanging="180"/>
      </w:pPr>
    </w:lvl>
    <w:lvl w:ilvl="3" w:tentative="1">
      <w:start w:val="1"/>
      <w:numFmt w:val="decimal"/>
      <w:lvlText w:val="%4."/>
      <w:lvlJc w:val="left"/>
      <w:pPr>
        <w:ind w:left="4365" w:hanging="360"/>
      </w:pPr>
    </w:lvl>
    <w:lvl w:ilvl="4" w:tentative="1">
      <w:start w:val="1"/>
      <w:numFmt w:val="lowerLetter"/>
      <w:lvlText w:val="%5."/>
      <w:lvlJc w:val="left"/>
      <w:pPr>
        <w:ind w:left="5085" w:hanging="360"/>
      </w:pPr>
    </w:lvl>
    <w:lvl w:ilvl="5" w:tentative="1">
      <w:start w:val="1"/>
      <w:numFmt w:val="lowerRoman"/>
      <w:lvlText w:val="%6."/>
      <w:lvlJc w:val="right"/>
      <w:pPr>
        <w:ind w:left="5805" w:hanging="180"/>
      </w:pPr>
    </w:lvl>
    <w:lvl w:ilvl="6" w:tentative="1">
      <w:start w:val="1"/>
      <w:numFmt w:val="decimal"/>
      <w:lvlText w:val="%7."/>
      <w:lvlJc w:val="left"/>
      <w:pPr>
        <w:ind w:left="6525" w:hanging="360"/>
      </w:pPr>
    </w:lvl>
    <w:lvl w:ilvl="7" w:tentative="1">
      <w:start w:val="1"/>
      <w:numFmt w:val="lowerLetter"/>
      <w:lvlText w:val="%8."/>
      <w:lvlJc w:val="left"/>
      <w:pPr>
        <w:ind w:left="7245" w:hanging="360"/>
      </w:pPr>
    </w:lvl>
    <w:lvl w:ilvl="8" w:tentative="1">
      <w:start w:val="1"/>
      <w:numFmt w:val="lowerRoman"/>
      <w:lvlText w:val="%9."/>
      <w:lvlJc w:val="right"/>
      <w:pPr>
        <w:ind w:left="7965" w:hanging="180"/>
      </w:pPr>
    </w:lvl>
  </w:abstractNum>
  <w:abstractNum w:abstractNumId="37">
    <w:nsid w:val="6CC16622"/>
    <w:multiLevelType w:val="hybridMultilevel"/>
    <w:tmpl w:val="DC5C5D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0E00AB5"/>
    <w:multiLevelType w:val="hybridMultilevel"/>
    <w:tmpl w:val="E676E6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F06929"/>
    <w:multiLevelType w:val="hybridMultilevel"/>
    <w:tmpl w:val="39DAC8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1CE3688"/>
    <w:multiLevelType w:val="hybridMultilevel"/>
    <w:tmpl w:val="5EBA8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39A339F"/>
    <w:multiLevelType w:val="hybridMultilevel"/>
    <w:tmpl w:val="447840C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5325B88"/>
    <w:multiLevelType w:val="hybridMultilevel"/>
    <w:tmpl w:val="B6A20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80070BA"/>
    <w:multiLevelType w:val="hybridMultilevel"/>
    <w:tmpl w:val="CD3C2D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EE57256"/>
    <w:multiLevelType w:val="hybridMultilevel"/>
    <w:tmpl w:val="46E4E7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3"/>
  </w:num>
  <w:num w:numId="4">
    <w:abstractNumId w:val="43"/>
  </w:num>
  <w:num w:numId="5">
    <w:abstractNumId w:val="1"/>
  </w:num>
  <w:num w:numId="6">
    <w:abstractNumId w:val="2"/>
  </w:num>
  <w:num w:numId="7">
    <w:abstractNumId w:val="41"/>
  </w:num>
  <w:num w:numId="8">
    <w:abstractNumId w:val="18"/>
  </w:num>
  <w:num w:numId="9">
    <w:abstractNumId w:val="17"/>
  </w:num>
  <w:num w:numId="10">
    <w:abstractNumId w:val="18"/>
  </w:num>
  <w:num w:numId="11">
    <w:abstractNumId w:val="4"/>
  </w:num>
  <w:num w:numId="12">
    <w:abstractNumId w:val="7"/>
  </w:num>
  <w:num w:numId="13">
    <w:abstractNumId w:val="29"/>
  </w:num>
  <w:num w:numId="14">
    <w:abstractNumId w:val="22"/>
  </w:num>
  <w:num w:numId="15">
    <w:abstractNumId w:val="40"/>
  </w:num>
  <w:num w:numId="16">
    <w:abstractNumId w:val="13"/>
  </w:num>
  <w:num w:numId="17">
    <w:abstractNumId w:val="32"/>
  </w:num>
  <w:num w:numId="18">
    <w:abstractNumId w:val="21"/>
  </w:num>
  <w:num w:numId="19">
    <w:abstractNumId w:val="42"/>
  </w:num>
  <w:num w:numId="20">
    <w:abstractNumId w:val="25"/>
  </w:num>
  <w:num w:numId="21">
    <w:abstractNumId w:val="26"/>
  </w:num>
  <w:num w:numId="22">
    <w:abstractNumId w:val="0"/>
  </w:num>
  <w:num w:numId="23">
    <w:abstractNumId w:val="44"/>
  </w:num>
  <w:num w:numId="24">
    <w:abstractNumId w:val="33"/>
  </w:num>
  <w:num w:numId="25">
    <w:abstractNumId w:val="30"/>
  </w:num>
  <w:num w:numId="26">
    <w:abstractNumId w:val="24"/>
  </w:num>
  <w:num w:numId="27">
    <w:abstractNumId w:val="14"/>
  </w:num>
  <w:num w:numId="28">
    <w:abstractNumId w:val="37"/>
  </w:num>
  <w:num w:numId="29">
    <w:abstractNumId w:val="20"/>
  </w:num>
  <w:num w:numId="30">
    <w:abstractNumId w:val="34"/>
  </w:num>
  <w:num w:numId="31">
    <w:abstractNumId w:val="9"/>
  </w:num>
  <w:num w:numId="32">
    <w:abstractNumId w:val="23"/>
  </w:num>
  <w:num w:numId="33">
    <w:abstractNumId w:val="19"/>
  </w:num>
  <w:num w:numId="34">
    <w:abstractNumId w:val="28"/>
  </w:num>
  <w:num w:numId="35">
    <w:abstractNumId w:val="5"/>
  </w:num>
  <w:num w:numId="36">
    <w:abstractNumId w:val="15"/>
  </w:num>
  <w:num w:numId="37">
    <w:abstractNumId w:val="8"/>
  </w:num>
  <w:num w:numId="38">
    <w:abstractNumId w:val="6"/>
  </w:num>
  <w:num w:numId="39">
    <w:abstractNumId w:val="10"/>
  </w:num>
  <w:num w:numId="40">
    <w:abstractNumId w:val="35"/>
  </w:num>
  <w:num w:numId="41">
    <w:abstractNumId w:val="36"/>
  </w:num>
  <w:num w:numId="42">
    <w:abstractNumId w:val="27"/>
  </w:num>
  <w:num w:numId="43">
    <w:abstractNumId w:val="16"/>
  </w:num>
  <w:num w:numId="44">
    <w:abstractNumId w:val="39"/>
  </w:num>
  <w:num w:numId="45">
    <w:abstractNumId w:val="11"/>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728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61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79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810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85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7285D"/>
    <w:pPr>
      <w:ind w:left="720"/>
      <w:contextualSpacing/>
    </w:pPr>
  </w:style>
  <w:style w:type="character" w:customStyle="1" w:styleId="Heading2Char">
    <w:name w:val="Heading 2 Char"/>
    <w:basedOn w:val="DefaultParagraphFont"/>
    <w:link w:val="Heading2"/>
    <w:uiPriority w:val="9"/>
    <w:rsid w:val="00086150"/>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7C18FF"/>
    <w:rPr>
      <w:sz w:val="16"/>
      <w:szCs w:val="16"/>
    </w:rPr>
  </w:style>
  <w:style w:type="paragraph" w:styleId="CommentText">
    <w:name w:val="annotation text"/>
    <w:basedOn w:val="Normal"/>
    <w:link w:val="CommentTextChar"/>
    <w:uiPriority w:val="99"/>
    <w:semiHidden/>
    <w:unhideWhenUsed/>
    <w:rsid w:val="007C18FF"/>
    <w:pPr>
      <w:spacing w:line="240" w:lineRule="auto"/>
    </w:pPr>
    <w:rPr>
      <w:sz w:val="20"/>
      <w:szCs w:val="20"/>
    </w:rPr>
  </w:style>
  <w:style w:type="character" w:customStyle="1" w:styleId="CommentTextChar">
    <w:name w:val="Comment Text Char"/>
    <w:basedOn w:val="DefaultParagraphFont"/>
    <w:link w:val="CommentText"/>
    <w:uiPriority w:val="99"/>
    <w:semiHidden/>
    <w:rsid w:val="007C18FF"/>
    <w:rPr>
      <w:sz w:val="20"/>
      <w:szCs w:val="20"/>
    </w:rPr>
  </w:style>
  <w:style w:type="paragraph" w:styleId="CommentSubject">
    <w:name w:val="annotation subject"/>
    <w:basedOn w:val="CommentText"/>
    <w:next w:val="CommentText"/>
    <w:link w:val="CommentSubjectChar"/>
    <w:uiPriority w:val="99"/>
    <w:semiHidden/>
    <w:unhideWhenUsed/>
    <w:rsid w:val="007C18FF"/>
    <w:rPr>
      <w:b/>
      <w:bCs/>
    </w:rPr>
  </w:style>
  <w:style w:type="character" w:customStyle="1" w:styleId="CommentSubjectChar">
    <w:name w:val="Comment Subject Char"/>
    <w:basedOn w:val="CommentTextChar"/>
    <w:link w:val="CommentSubject"/>
    <w:uiPriority w:val="99"/>
    <w:semiHidden/>
    <w:rsid w:val="007C18FF"/>
    <w:rPr>
      <w:b/>
      <w:bCs/>
      <w:sz w:val="20"/>
      <w:szCs w:val="20"/>
    </w:rPr>
  </w:style>
  <w:style w:type="paragraph" w:styleId="FootnoteText">
    <w:name w:val="footnote text"/>
    <w:basedOn w:val="Normal"/>
    <w:link w:val="FootnoteTextChar"/>
    <w:uiPriority w:val="99"/>
    <w:unhideWhenUsed/>
    <w:rsid w:val="00C61E0E"/>
    <w:pPr>
      <w:spacing w:after="0" w:line="240" w:lineRule="auto"/>
    </w:pPr>
    <w:rPr>
      <w:sz w:val="20"/>
      <w:szCs w:val="20"/>
    </w:rPr>
  </w:style>
  <w:style w:type="character" w:customStyle="1" w:styleId="FootnoteTextChar">
    <w:name w:val="Footnote Text Char"/>
    <w:basedOn w:val="DefaultParagraphFont"/>
    <w:link w:val="FootnoteText"/>
    <w:uiPriority w:val="99"/>
    <w:rsid w:val="00C61E0E"/>
    <w:rPr>
      <w:sz w:val="20"/>
      <w:szCs w:val="20"/>
    </w:rPr>
  </w:style>
  <w:style w:type="character" w:styleId="FootnoteReference">
    <w:name w:val="footnote reference"/>
    <w:basedOn w:val="DefaultParagraphFont"/>
    <w:uiPriority w:val="99"/>
    <w:semiHidden/>
    <w:unhideWhenUsed/>
    <w:rsid w:val="00C61E0E"/>
    <w:rPr>
      <w:vertAlign w:val="superscript"/>
    </w:rPr>
  </w:style>
  <w:style w:type="character" w:styleId="Hyperlink">
    <w:name w:val="Hyperlink"/>
    <w:basedOn w:val="DefaultParagraphFont"/>
    <w:uiPriority w:val="99"/>
    <w:unhideWhenUsed/>
    <w:rsid w:val="00D21688"/>
    <w:rPr>
      <w:color w:val="0563C1" w:themeColor="hyperlink"/>
      <w:u w:val="single"/>
    </w:rPr>
  </w:style>
  <w:style w:type="character" w:customStyle="1" w:styleId="UnresolvedMention1">
    <w:name w:val="Unresolved Mention1"/>
    <w:basedOn w:val="DefaultParagraphFont"/>
    <w:uiPriority w:val="99"/>
    <w:unhideWhenUsed/>
    <w:rsid w:val="00D21688"/>
    <w:rPr>
      <w:color w:val="605E5C"/>
      <w:shd w:val="clear" w:color="auto" w:fill="E1DFDD"/>
    </w:rPr>
  </w:style>
  <w:style w:type="character" w:styleId="FollowedHyperlink">
    <w:name w:val="FollowedHyperlink"/>
    <w:basedOn w:val="DefaultParagraphFont"/>
    <w:uiPriority w:val="99"/>
    <w:semiHidden/>
    <w:unhideWhenUsed/>
    <w:rsid w:val="00FA454B"/>
    <w:rPr>
      <w:color w:val="954F72" w:themeColor="followedHyperlink"/>
      <w:u w:val="single"/>
    </w:rPr>
  </w:style>
  <w:style w:type="paragraph" w:styleId="Header">
    <w:name w:val="header"/>
    <w:basedOn w:val="Normal"/>
    <w:link w:val="HeaderChar"/>
    <w:uiPriority w:val="99"/>
    <w:semiHidden/>
    <w:unhideWhenUsed/>
    <w:rsid w:val="00C22EF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2EFF"/>
  </w:style>
  <w:style w:type="paragraph" w:styleId="Footer">
    <w:name w:val="footer"/>
    <w:basedOn w:val="Normal"/>
    <w:link w:val="FooterChar"/>
    <w:uiPriority w:val="99"/>
    <w:semiHidden/>
    <w:unhideWhenUsed/>
    <w:rsid w:val="00C22EF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2EFF"/>
  </w:style>
  <w:style w:type="character" w:customStyle="1" w:styleId="Heading3Char">
    <w:name w:val="Heading 3 Char"/>
    <w:basedOn w:val="DefaultParagraphFont"/>
    <w:link w:val="Heading3"/>
    <w:uiPriority w:val="9"/>
    <w:rsid w:val="00D9799D"/>
    <w:rPr>
      <w:rFonts w:asciiTheme="majorHAnsi" w:eastAsiaTheme="majorEastAsia" w:hAnsiTheme="majorHAnsi" w:cstheme="majorBidi"/>
      <w:color w:val="1F3763" w:themeColor="accent1" w:themeShade="7F"/>
      <w:sz w:val="24"/>
      <w:szCs w:val="24"/>
    </w:rPr>
  </w:style>
  <w:style w:type="paragraph" w:customStyle="1" w:styleId="Figuretitle">
    <w:name w:val="Figure title"/>
    <w:basedOn w:val="Normal"/>
    <w:uiPriority w:val="18"/>
    <w:qFormat/>
    <w:rsid w:val="006F1FA9"/>
    <w:pPr>
      <w:keepNext/>
      <w:keepLines/>
      <w:spacing w:before="120" w:after="170" w:line="300" w:lineRule="exact"/>
    </w:pPr>
    <w:rPr>
      <w:rFonts w:ascii="Arial" w:hAnsi="Arial"/>
      <w:bCs/>
      <w:color w:val="000000"/>
      <w:sz w:val="24"/>
      <w:szCs w:val="20"/>
    </w:rPr>
  </w:style>
  <w:style w:type="paragraph" w:customStyle="1" w:styleId="FigureSource">
    <w:name w:val="Figure Source"/>
    <w:uiPriority w:val="21"/>
    <w:qFormat/>
    <w:rsid w:val="006F1FA9"/>
    <w:pPr>
      <w:keepNext/>
      <w:keepLines/>
      <w:spacing w:before="60" w:after="80" w:line="180" w:lineRule="exact"/>
    </w:pPr>
    <w:rPr>
      <w:rFonts w:ascii="Arial" w:eastAsia="Times New Roman" w:hAnsi="Arial" w:cs="Times New Roman"/>
      <w:sz w:val="14"/>
      <w:szCs w:val="16"/>
      <w:lang w:eastAsia="en-GB"/>
    </w:rPr>
  </w:style>
  <w:style w:type="paragraph" w:customStyle="1" w:styleId="Figuretext">
    <w:name w:val="Figure text"/>
    <w:basedOn w:val="Normal"/>
    <w:link w:val="FiguretextChar"/>
    <w:uiPriority w:val="20"/>
    <w:qFormat/>
    <w:rsid w:val="006F1FA9"/>
    <w:pPr>
      <w:spacing w:before="40" w:after="40" w:line="240" w:lineRule="atLeast"/>
    </w:pPr>
    <w:rPr>
      <w:rFonts w:ascii="Arial" w:hAnsi="Arial"/>
      <w:color w:val="000000"/>
      <w:sz w:val="16"/>
      <w:szCs w:val="16"/>
    </w:rPr>
  </w:style>
  <w:style w:type="paragraph" w:customStyle="1" w:styleId="NOTES">
    <w:name w:val="NOTES"/>
    <w:uiPriority w:val="22"/>
    <w:qFormat/>
    <w:rsid w:val="006F1FA9"/>
    <w:pPr>
      <w:keepNext/>
      <w:keepLines/>
      <w:numPr>
        <w:numId w:val="8"/>
      </w:numPr>
      <w:spacing w:before="120" w:after="0" w:line="180" w:lineRule="exact"/>
    </w:pPr>
    <w:rPr>
      <w:rFonts w:ascii="Arial" w:eastAsia="Times New Roman" w:hAnsi="Arial" w:cs="Times New Roman"/>
      <w:b/>
      <w:sz w:val="14"/>
      <w:szCs w:val="16"/>
      <w:lang w:eastAsia="en-GB"/>
    </w:rPr>
  </w:style>
  <w:style w:type="paragraph" w:customStyle="1" w:styleId="ColumnHeading">
    <w:name w:val="Column Heading"/>
    <w:basedOn w:val="Normal"/>
    <w:uiPriority w:val="19"/>
    <w:qFormat/>
    <w:rsid w:val="006F1FA9"/>
    <w:pPr>
      <w:spacing w:before="120" w:after="170" w:line="240" w:lineRule="atLeast"/>
    </w:pPr>
    <w:rPr>
      <w:rFonts w:ascii="Arial" w:hAnsi="Arial"/>
      <w:b/>
      <w:color w:val="000000"/>
      <w:sz w:val="16"/>
      <w:szCs w:val="16"/>
    </w:rPr>
  </w:style>
  <w:style w:type="paragraph" w:customStyle="1" w:styleId="NumberedNotes">
    <w:name w:val="Numbered Notes"/>
    <w:basedOn w:val="BodyText"/>
    <w:uiPriority w:val="23"/>
    <w:qFormat/>
    <w:rsid w:val="006F1FA9"/>
    <w:pPr>
      <w:keepNext/>
      <w:keepLines/>
      <w:numPr>
        <w:ilvl w:val="1"/>
        <w:numId w:val="8"/>
      </w:numPr>
      <w:tabs>
        <w:tab w:val="left" w:pos="454"/>
      </w:tabs>
      <w:spacing w:after="0" w:line="220" w:lineRule="exact"/>
    </w:pPr>
    <w:rPr>
      <w:rFonts w:ascii="Arial" w:hAnsi="Arial"/>
      <w:color w:val="000000"/>
      <w:sz w:val="14"/>
      <w:szCs w:val="20"/>
    </w:rPr>
  </w:style>
  <w:style w:type="character" w:customStyle="1" w:styleId="FiguretextChar">
    <w:name w:val="Figure text Char"/>
    <w:link w:val="Figuretext"/>
    <w:uiPriority w:val="20"/>
    <w:rsid w:val="006F1FA9"/>
    <w:rPr>
      <w:rFonts w:ascii="Arial" w:hAnsi="Arial"/>
      <w:color w:val="000000"/>
      <w:sz w:val="16"/>
      <w:szCs w:val="16"/>
    </w:rPr>
  </w:style>
  <w:style w:type="numbering" w:customStyle="1" w:styleId="NAONotesnumber">
    <w:name w:val="NAO_Notes number"/>
    <w:basedOn w:val="NoList"/>
    <w:uiPriority w:val="99"/>
    <w:rsid w:val="006F1FA9"/>
    <w:pPr>
      <w:numPr>
        <w:numId w:val="8"/>
      </w:numPr>
    </w:pPr>
  </w:style>
  <w:style w:type="paragraph" w:styleId="Caption">
    <w:name w:val="caption"/>
    <w:basedOn w:val="Normal"/>
    <w:next w:val="Normal"/>
    <w:uiPriority w:val="35"/>
    <w:qFormat/>
    <w:rsid w:val="006F1FA9"/>
    <w:pPr>
      <w:keepNext/>
      <w:spacing w:before="120" w:after="170" w:line="280" w:lineRule="exact"/>
    </w:pPr>
    <w:rPr>
      <w:rFonts w:ascii="Arial" w:hAnsi="Arial"/>
      <w:b/>
      <w:bCs/>
      <w:sz w:val="24"/>
      <w:szCs w:val="24"/>
    </w:rPr>
  </w:style>
  <w:style w:type="table" w:customStyle="1" w:styleId="NAOTable">
    <w:name w:val="NAO Table"/>
    <w:basedOn w:val="TableNormal"/>
    <w:rsid w:val="006F1FA9"/>
    <w:pPr>
      <w:spacing w:before="40" w:after="40" w:line="220" w:lineRule="atLeast"/>
    </w:pPr>
    <w:rPr>
      <w:rFonts w:ascii="Arial" w:eastAsia="Times New Roman" w:hAnsi="Arial" w:cs="Times New Roman"/>
      <w:color w:val="000000"/>
      <w:sz w:val="16"/>
      <w:szCs w:val="20"/>
      <w:lang w:eastAsia="en-GB"/>
    </w:rPr>
    <w:tblPr>
      <w:tblBorders>
        <w:top w:val="single" w:sz="4" w:space="0" w:color="auto"/>
        <w:bottom w:val="single" w:sz="4" w:space="0" w:color="auto"/>
      </w:tblBorders>
    </w:tblPr>
    <w:tblStylePr w:type="firstRow">
      <w:pPr>
        <w:wordWrap/>
        <w:spacing w:before="40" w:beforeLines="0" w:beforeAutospacing="0" w:after="40" w:afterLines="0" w:afterAutospacing="0" w:line="240" w:lineRule="atLeast"/>
      </w:pPr>
      <w:rPr>
        <w:rFonts w:ascii="Arial" w:hAnsi="Arial"/>
        <w:b/>
        <w:sz w:val="16"/>
      </w:rPr>
      <w:tblPr/>
      <w:tcPr>
        <w:tcBorders>
          <w:top w:val="single" w:sz="4" w:space="0" w:color="auto"/>
          <w:left w:val="nil"/>
          <w:bottom w:val="nil"/>
          <w:right w:val="nil"/>
          <w:insideH w:val="nil"/>
          <w:insideV w:val="nil"/>
          <w:tl2br w:val="nil"/>
          <w:tr2bl w:val="nil"/>
        </w:tcBorders>
      </w:tcPr>
    </w:tblStylePr>
    <w:tblStylePr w:type="lastRow">
      <w:rPr>
        <w:rFonts w:ascii="Courier New" w:hAnsi="Courier New"/>
      </w:rPr>
      <w:tblPr/>
      <w:tcPr>
        <w:tcBorders>
          <w:bottom w:val="single" w:sz="4" w:space="0" w:color="auto"/>
        </w:tcBorders>
      </w:tcPr>
    </w:tblStylePr>
  </w:style>
  <w:style w:type="paragraph" w:styleId="BodyText">
    <w:name w:val="Body Text"/>
    <w:basedOn w:val="Normal"/>
    <w:link w:val="BodyTextChar"/>
    <w:uiPriority w:val="99"/>
    <w:semiHidden/>
    <w:unhideWhenUsed/>
    <w:rsid w:val="006F1FA9"/>
    <w:pPr>
      <w:spacing w:after="120"/>
    </w:pPr>
  </w:style>
  <w:style w:type="character" w:customStyle="1" w:styleId="BodyTextChar">
    <w:name w:val="Body Text Char"/>
    <w:basedOn w:val="DefaultParagraphFont"/>
    <w:link w:val="BodyText"/>
    <w:uiPriority w:val="99"/>
    <w:semiHidden/>
    <w:rsid w:val="006F1FA9"/>
  </w:style>
  <w:style w:type="character" w:styleId="Strong">
    <w:name w:val="Strong"/>
    <w:basedOn w:val="DefaultParagraphFont"/>
    <w:uiPriority w:val="22"/>
    <w:qFormat/>
    <w:rsid w:val="003203F3"/>
    <w:rPr>
      <w:b/>
      <w:bCs/>
    </w:rPr>
  </w:style>
  <w:style w:type="paragraph" w:styleId="Revision">
    <w:name w:val="Revision"/>
    <w:hidden/>
    <w:uiPriority w:val="99"/>
    <w:semiHidden/>
    <w:rsid w:val="00BC2529"/>
    <w:pPr>
      <w:spacing w:after="0" w:line="240" w:lineRule="auto"/>
    </w:pPr>
  </w:style>
  <w:style w:type="table" w:styleId="TableGrid">
    <w:name w:val="Table Grid"/>
    <w:basedOn w:val="TableNormal"/>
    <w:uiPriority w:val="39"/>
    <w:rsid w:val="00E30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next w:val="Normal"/>
    <w:link w:val="imageChar"/>
    <w:rsid w:val="00ED31C7"/>
    <w:pPr>
      <w:keepNext/>
      <w:widowControl w:val="0"/>
      <w:adjustRightInd w:val="0"/>
      <w:spacing w:after="170" w:line="360" w:lineRule="atLeast"/>
      <w:textAlignment w:val="baseline"/>
    </w:pPr>
    <w:rPr>
      <w:rFonts w:ascii="Arial" w:eastAsia="Times New Roman" w:hAnsi="Arial" w:cs="Arial"/>
      <w:color w:val="FF0000"/>
      <w:sz w:val="18"/>
      <w:szCs w:val="20"/>
    </w:rPr>
  </w:style>
  <w:style w:type="character" w:customStyle="1" w:styleId="imageChar">
    <w:name w:val="image Char"/>
    <w:link w:val="image"/>
    <w:rsid w:val="00ED31C7"/>
    <w:rPr>
      <w:rFonts w:ascii="Arial" w:eastAsia="Times New Roman" w:hAnsi="Arial" w:cs="Arial"/>
      <w:color w:val="FF0000"/>
      <w:sz w:val="18"/>
      <w:szCs w:val="20"/>
    </w:rPr>
  </w:style>
  <w:style w:type="character" w:customStyle="1" w:styleId="Heading4Char">
    <w:name w:val="Heading 4 Char"/>
    <w:basedOn w:val="DefaultParagraphFont"/>
    <w:link w:val="Heading4"/>
    <w:uiPriority w:val="9"/>
    <w:rsid w:val="00881073"/>
    <w:rPr>
      <w:rFonts w:asciiTheme="majorHAnsi" w:eastAsiaTheme="majorEastAsia" w:hAnsiTheme="majorHAnsi" w:cstheme="majorBidi"/>
      <w:i/>
      <w:iCs/>
      <w:color w:val="2F5496" w:themeColor="accent1" w:themeShade="BF"/>
    </w:rPr>
  </w:style>
  <w:style w:type="character" w:customStyle="1" w:styleId="Mention1">
    <w:name w:val="Mention1"/>
    <w:basedOn w:val="DefaultParagraphFont"/>
    <w:uiPriority w:val="99"/>
    <w:unhideWhenUsed/>
    <w:rsid w:val="00895E5E"/>
    <w:rPr>
      <w:color w:val="2B579A"/>
      <w:shd w:val="clear" w:color="auto" w:fill="E1DFDD"/>
    </w:rPr>
  </w:style>
  <w:style w:type="character" w:customStyle="1" w:styleId="normaltextrun">
    <w:name w:val="normaltextrun"/>
    <w:basedOn w:val="DefaultParagraphFont"/>
    <w:rsid w:val="00D2007D"/>
  </w:style>
  <w:style w:type="character" w:customStyle="1" w:styleId="eop">
    <w:name w:val="eop"/>
    <w:basedOn w:val="DefaultParagraphFont"/>
    <w:rsid w:val="00D20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hart" Target="charts/chart1.xml" /><Relationship Id="rId11" Type="http://schemas.openxmlformats.org/officeDocument/2006/relationships/chart" Target="charts/chart2.xml" /><Relationship Id="rId12" Type="http://schemas.openxmlformats.org/officeDocument/2006/relationships/chart" Target="charts/chart3.xml" /><Relationship Id="rId13" Type="http://schemas.openxmlformats.org/officeDocument/2006/relationships/chart" Target="charts/chart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charts/_rels/chart1.xml.rels>&#65279;<?xml version="1.0" encoding="utf-8" standalone="yes"?><Relationships xmlns="http://schemas.openxmlformats.org/package/2006/relationships"><Relationship Id="rId1" Type="http://schemas.openxmlformats.org/officeDocument/2006/relationships/oleObject" Target="https://nationalauditoffice.sharepoint.com/sites/TMJustice/Shared%20Documents/VFM%20Audit%20Products/HOL%20Justice%20and%20Affair%20Committee%20-%20Community%20sentences/HOL%20brief%20data%20rec.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https://nationalauditoffice.sharepoint.com/sites/TMJustice/Shared%20Documents/VFM%20Audit%20Products/HOL%20Justice%20and%20Affair%20Committee%20-%20Community%20sentences/HOL%20brief%20data%20rec.xlsx" TargetMode="External" /></Relationships>
</file>

<file path=word/charts/_rels/chart3.xml.rels>&#65279;<?xml version="1.0" encoding="utf-8" standalone="yes"?><Relationships xmlns="http://schemas.openxmlformats.org/package/2006/relationships"><Relationship Id="rId1" Type="http://schemas.openxmlformats.org/officeDocument/2006/relationships/oleObject" Target="https://nationalauditoffice.sharepoint.com/sites/TMJustice/Shared%20Documents/VFM%20Audit%20Products/HOL%20Justice%20and%20Affair%20Committee%20-%20Community%20sentences/HOL%20brief%20data%20rec.xlsx" TargetMode="External" /></Relationships>
</file>

<file path=word/charts/_rels/chart4.xml.rels>&#65279;<?xml version="1.0" encoding="utf-8" standalone="yes"?><Relationships xmlns="http://schemas.openxmlformats.org/package/2006/relationships"><Relationship Id="rId1" Type="http://schemas.openxmlformats.org/officeDocument/2006/relationships/oleObject" Target="https://nationalauditoffice-my.sharepoint.com/personal/kemi_duroshola_nao_org_uk/Documents/Documents/HOL%20brief.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093476571534064E-2"/>
          <c:y val="1.9293803994647505E-2"/>
          <c:w val="0.86049245405787222"/>
          <c:h val="0.84707066550820642"/>
        </c:manualLayout>
      </c:layout>
      <c:barChart>
        <c:barDir val="col"/>
        <c:grouping val="stacked"/>
        <c:varyColors val="0"/>
        <c:ser>
          <c:idx val="7"/>
          <c:order val="7"/>
          <c:tx>
            <c:strRef>
              <c:f>'Figs 1 and 2 sent. outcomes'!$A$60</c:f>
              <c:strCache>
                <c:ptCount val="1"/>
                <c:pt idx="0">
                  <c:v>Total sentenced</c:v>
                </c:pt>
              </c:strCache>
            </c:strRef>
          </c:tx>
          <c:spPr>
            <a:solidFill>
              <a:srgbClr val="82C9E9"/>
            </a:solidFill>
            <a:ln>
              <a:no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E12-4DF2-9977-1AF37A315B56}"/>
                </c:ext>
              </c:extLst>
            </c:dLbl>
            <c:dLbl>
              <c:idx val="1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12-4DF2-9977-1AF37A315B5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outcomes'!$D$60:$N$60</c:f>
              <c:numCache>
                <c:formatCode>#,##0</c:formatCode>
                <c:ptCount val="11"/>
                <c:pt idx="0">
                  <c:v>1229807</c:v>
                </c:pt>
                <c:pt idx="1">
                  <c:v>1177133</c:v>
                </c:pt>
                <c:pt idx="2">
                  <c:v>1215697</c:v>
                </c:pt>
                <c:pt idx="3">
                  <c:v>1246949</c:v>
                </c:pt>
                <c:pt idx="4">
                  <c:v>1240970</c:v>
                </c:pt>
                <c:pt idx="5">
                  <c:v>1210986</c:v>
                </c:pt>
                <c:pt idx="6">
                  <c:v>1204533</c:v>
                </c:pt>
                <c:pt idx="7">
                  <c:v>1188862</c:v>
                </c:pt>
                <c:pt idx="8">
                  <c:v>814916</c:v>
                </c:pt>
                <c:pt idx="9">
                  <c:v>961524</c:v>
                </c:pt>
                <c:pt idx="10">
                  <c:v>1052271</c:v>
                </c:pt>
              </c:numCache>
              <c:extLst/>
            </c:numRef>
          </c:val>
          <c:extLst>
            <c:ext xmlns:c16="http://schemas.microsoft.com/office/drawing/2014/chart" uri="{C3380CC4-5D6E-409C-BE32-E72D297353CC}">
              <c16:uniqueId val="{00000000-0E12-4DF2-9977-1AF37A315B56}"/>
            </c:ext>
          </c:extLst>
        </c:ser>
        <c:dLbls>
          <c:showLegendKey val="0"/>
          <c:showVal val="0"/>
          <c:showCatName val="0"/>
          <c:showSerName val="0"/>
          <c:showPercent val="0"/>
          <c:showBubbleSize val="0"/>
        </c:dLbls>
        <c:gapWidth val="150"/>
        <c:overlap val="100"/>
        <c:axId val="978456511"/>
        <c:axId val="978435711"/>
      </c:barChart>
      <c:lineChart>
        <c:grouping val="standard"/>
        <c:varyColors val="0"/>
        <c:ser>
          <c:idx val="0"/>
          <c:order val="0"/>
          <c:tx>
            <c:strRef>
              <c:f>'Figs 1 and 2 sent. outcomes'!$A$53</c:f>
              <c:strCache>
                <c:ptCount val="1"/>
                <c:pt idx="0">
                  <c:v>Community sentence</c:v>
                </c:pt>
              </c:strCache>
            </c:strRef>
          </c:tx>
          <c:spPr>
            <a:ln w="19050" cap="rnd">
              <a:solidFill>
                <a:srgbClr val="7F1355"/>
              </a:solidFill>
              <a:round/>
            </a:ln>
            <a:effectLst/>
          </c:spPr>
          <c:marker>
            <c:symbol val="none"/>
          </c:marker>
          <c:dLbls>
            <c:dLbl>
              <c:idx val="0"/>
              <c:layout>
                <c:manualLayout>
                  <c:x val="-4.5380875202593235E-2"/>
                  <c:y val="-1.7274886633556467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12-4DF2-9977-1AF37A315B56}"/>
                </c:ext>
              </c:extLst>
            </c:dLbl>
            <c:dLbl>
              <c:idx val="10"/>
              <c:layout>
                <c:manualLayout>
                  <c:x val="-4.1058887088060506E-2"/>
                  <c:y val="6.4780824875836751E-2"/>
                </c:manualLayout>
              </c:layout>
              <c:tx>
                <c:rich>
                  <a:bodyPr/>
                  <a:lstStyle/>
                  <a:p>
                    <a:fld id="{741DC75E-F622-4989-B248-4652E66ADEE2}" type="VALUE">
                      <a:rPr lang="en-US" b="1"/>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E12-4DF2-9977-1AF37A315B5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12700" cap="flat" cmpd="sng" algn="ctr">
                      <a:solidFill>
                        <a:sysClr val="windowText" lastClr="000000">
                          <a:lumMod val="50000"/>
                          <a:lumOff val="50000"/>
                        </a:sysClr>
                      </a:solidFill>
                      <a:prstDash val="dash"/>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outcomes'!$D$53:$N$53</c:f>
              <c:numCache>
                <c:formatCode>#,##0</c:formatCode>
                <c:ptCount val="11"/>
                <c:pt idx="0">
                  <c:v>151183</c:v>
                </c:pt>
                <c:pt idx="1">
                  <c:v>126535</c:v>
                </c:pt>
                <c:pt idx="2">
                  <c:v>112638</c:v>
                </c:pt>
                <c:pt idx="3">
                  <c:v>114286</c:v>
                </c:pt>
                <c:pt idx="4">
                  <c:v>103250</c:v>
                </c:pt>
                <c:pt idx="5">
                  <c:v>95639</c:v>
                </c:pt>
                <c:pt idx="6">
                  <c:v>91423</c:v>
                </c:pt>
                <c:pt idx="7">
                  <c:v>87328</c:v>
                </c:pt>
                <c:pt idx="8">
                  <c:v>61073</c:v>
                </c:pt>
                <c:pt idx="9">
                  <c:v>71138</c:v>
                </c:pt>
                <c:pt idx="10">
                  <c:v>68994</c:v>
                </c:pt>
              </c:numCache>
              <c:extLst/>
            </c:numRef>
          </c:val>
          <c:smooth val="0"/>
          <c:extLst>
            <c:ext xmlns:c16="http://schemas.microsoft.com/office/drawing/2014/chart" uri="{C3380CC4-5D6E-409C-BE32-E72D297353CC}">
              <c16:uniqueId val="{00000001-0E12-4DF2-9977-1AF37A315B56}"/>
            </c:ext>
          </c:extLst>
        </c:ser>
        <c:dLbls>
          <c:showLegendKey val="0"/>
          <c:showVal val="0"/>
          <c:showCatName val="0"/>
          <c:showSerName val="0"/>
          <c:showPercent val="0"/>
          <c:showBubbleSize val="0"/>
        </c:dLbls>
        <c:marker val="1"/>
        <c:smooth val="0"/>
        <c:axId val="161443103"/>
        <c:axId val="161469311"/>
        <c:extLst>
          <c:ext xmlns:c15="http://schemas.microsoft.com/office/drawing/2012/chart" uri="{02D57815-91ED-43cb-92C2-25804820EDAC}">
            <c15:filteredLineSeries>
              <c15:ser>
                <c:idx val="1"/>
                <c:order val="1"/>
                <c:tx>
                  <c:strRef>
                    <c:extLst>
                      <c:ext uri="{02D57815-91ED-43cb-92C2-25804820EDAC}">
                        <c15:formulaRef>
                          <c15:sqref>'Figs 1 and 2 sent. outcomes'!$A$54</c15:sqref>
                        </c15:formulaRef>
                      </c:ext>
                    </c:extLst>
                    <c:strCache>
                      <c:ptCount val="1"/>
                      <c:pt idx="0">
                        <c:v>Suspended sentence </c:v>
                      </c:pt>
                    </c:strCache>
                  </c:strRef>
                </c:tx>
                <c:spPr>
                  <a:ln w="19050" cap="rnd">
                    <a:solidFill>
                      <a:schemeClr val="accent2"/>
                    </a:solidFill>
                    <a:round/>
                  </a:ln>
                  <a:effectLst/>
                </c:spPr>
                <c:marker>
                  <c:symbol val="none"/>
                </c:marker>
                <c:cat>
                  <c:numRef>
                    <c:extLst>
                      <c:ex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c:ext uri="{02D57815-91ED-43cb-92C2-25804820EDAC}">
                        <c15:formulaRef>
                          <c15:sqref>'Figs 1 and 2 sent. outcomes'!$D$54:$N$54</c15:sqref>
                        </c15:formulaRef>
                      </c:ext>
                    </c:extLst>
                    <c:numCache>
                      <c:formatCode>#,##0</c:formatCode>
                      <c:ptCount val="11"/>
                      <c:pt idx="0">
                        <c:v>44643</c:v>
                      </c:pt>
                      <c:pt idx="1">
                        <c:v>48765</c:v>
                      </c:pt>
                      <c:pt idx="2">
                        <c:v>52979</c:v>
                      </c:pt>
                      <c:pt idx="3">
                        <c:v>57072</c:v>
                      </c:pt>
                      <c:pt idx="4">
                        <c:v>56401</c:v>
                      </c:pt>
                      <c:pt idx="5">
                        <c:v>53262</c:v>
                      </c:pt>
                      <c:pt idx="6">
                        <c:v>42699</c:v>
                      </c:pt>
                      <c:pt idx="7">
                        <c:v>39885</c:v>
                      </c:pt>
                      <c:pt idx="8">
                        <c:v>35954</c:v>
                      </c:pt>
                      <c:pt idx="9">
                        <c:v>44478</c:v>
                      </c:pt>
                      <c:pt idx="10">
                        <c:v>42277</c:v>
                      </c:pt>
                    </c:numCache>
                  </c:numRef>
                </c:val>
                <c:smooth val="0"/>
                <c:extLst>
                  <c:ext xmlns:c16="http://schemas.microsoft.com/office/drawing/2014/chart" uri="{C3380CC4-5D6E-409C-BE32-E72D297353CC}">
                    <c16:uniqueId val="{00000002-0E12-4DF2-9977-1AF37A315B5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'Figs 1 and 2 sent. outcomes'!$A$55</c15:sqref>
                        </c15:formulaRef>
                      </c:ext>
                    </c:extLst>
                    <c:strCache>
                      <c:ptCount val="1"/>
                      <c:pt idx="0">
                        <c:v>immediate custody</c:v>
                      </c:pt>
                    </c:strCache>
                  </c:strRef>
                </c:tx>
                <c:spPr>
                  <a:ln w="19050"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outcomes'!$D$55:$N$55</c15:sqref>
                        </c15:formulaRef>
                      </c:ext>
                    </c:extLst>
                    <c:numCache>
                      <c:formatCode>#,##0</c:formatCode>
                      <c:ptCount val="11"/>
                      <c:pt idx="0">
                        <c:v>98044</c:v>
                      </c:pt>
                      <c:pt idx="1">
                        <c:v>92966</c:v>
                      </c:pt>
                      <c:pt idx="2">
                        <c:v>91313</c:v>
                      </c:pt>
                      <c:pt idx="3">
                        <c:v>90348</c:v>
                      </c:pt>
                      <c:pt idx="4">
                        <c:v>89862</c:v>
                      </c:pt>
                      <c:pt idx="5">
                        <c:v>86354</c:v>
                      </c:pt>
                      <c:pt idx="6">
                        <c:v>78876</c:v>
                      </c:pt>
                      <c:pt idx="7">
                        <c:v>75971</c:v>
                      </c:pt>
                      <c:pt idx="8">
                        <c:v>62006</c:v>
                      </c:pt>
                      <c:pt idx="9">
                        <c:v>64906</c:v>
                      </c:pt>
                      <c:pt idx="10">
                        <c:v>67812</c:v>
                      </c:pt>
                    </c:numCache>
                  </c:numRef>
                </c:val>
                <c:smooth val="0"/>
                <c:extLst xmlns:c15="http://schemas.microsoft.com/office/drawing/2012/chart">
                  <c:ext xmlns:c16="http://schemas.microsoft.com/office/drawing/2014/chart" uri="{C3380CC4-5D6E-409C-BE32-E72D297353CC}">
                    <c16:uniqueId val="{00000003-0E12-4DF2-9977-1AF37A315B5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'Figs 1 and 2 sent. outcomes'!$A$56</c15:sqref>
                        </c15:formulaRef>
                      </c:ext>
                    </c:extLst>
                    <c:strCache>
                      <c:ptCount val="1"/>
                      <c:pt idx="0">
                        <c:v>short sentence (less than 12 months)</c:v>
                      </c:pt>
                    </c:strCache>
                  </c:strRef>
                </c:tx>
                <c:spPr>
                  <a:ln w="19050"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outcomes'!$D$56:$N$56</c15:sqref>
                        </c15:formulaRef>
                      </c:ext>
                    </c:extLst>
                    <c:numCache>
                      <c:formatCode>#,##0</c:formatCode>
                      <c:ptCount val="11"/>
                      <c:pt idx="0">
                        <c:v>62561</c:v>
                      </c:pt>
                      <c:pt idx="1">
                        <c:v>59488</c:v>
                      </c:pt>
                      <c:pt idx="2">
                        <c:v>58750</c:v>
                      </c:pt>
                      <c:pt idx="3">
                        <c:v>57700</c:v>
                      </c:pt>
                      <c:pt idx="4">
                        <c:v>57503</c:v>
                      </c:pt>
                      <c:pt idx="5">
                        <c:v>54843</c:v>
                      </c:pt>
                      <c:pt idx="6">
                        <c:v>49730</c:v>
                      </c:pt>
                      <c:pt idx="7">
                        <c:v>45517</c:v>
                      </c:pt>
                      <c:pt idx="8">
                        <c:v>36695</c:v>
                      </c:pt>
                      <c:pt idx="9">
                        <c:v>35066</c:v>
                      </c:pt>
                      <c:pt idx="10">
                        <c:v>37284</c:v>
                      </c:pt>
                    </c:numCache>
                  </c:numRef>
                </c:val>
                <c:smooth val="0"/>
                <c:extLst xmlns:c15="http://schemas.microsoft.com/office/drawing/2012/chart">
                  <c:ext xmlns:c16="http://schemas.microsoft.com/office/drawing/2014/chart" uri="{C3380CC4-5D6E-409C-BE32-E72D297353CC}">
                    <c16:uniqueId val="{00000004-0E12-4DF2-9977-1AF37A315B5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'Figs 1 and 2 sent. outcomes'!$A$57</c15:sqref>
                        </c15:formulaRef>
                      </c:ext>
                    </c:extLst>
                    <c:strCache>
                      <c:ptCount val="1"/>
                      <c:pt idx="0">
                        <c:v>(6 months or less)</c:v>
                      </c:pt>
                    </c:strCache>
                  </c:strRef>
                </c:tx>
                <c:spPr>
                  <a:ln w="19050"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outcomes'!$D$57:$N$57</c15:sqref>
                        </c15:formulaRef>
                      </c:ext>
                    </c:extLst>
                    <c:numCache>
                      <c:formatCode>#,##0</c:formatCode>
                      <c:ptCount val="11"/>
                      <c:pt idx="0">
                        <c:v>55774</c:v>
                      </c:pt>
                      <c:pt idx="1">
                        <c:v>53057</c:v>
                      </c:pt>
                      <c:pt idx="2">
                        <c:v>52754</c:v>
                      </c:pt>
                      <c:pt idx="3">
                        <c:v>51601</c:v>
                      </c:pt>
                      <c:pt idx="4">
                        <c:v>51715</c:v>
                      </c:pt>
                      <c:pt idx="5">
                        <c:v>49467</c:v>
                      </c:pt>
                      <c:pt idx="6">
                        <c:v>44662</c:v>
                      </c:pt>
                      <c:pt idx="7">
                        <c:v>40378</c:v>
                      </c:pt>
                      <c:pt idx="8">
                        <c:v>32239</c:v>
                      </c:pt>
                      <c:pt idx="9">
                        <c:v>30418</c:v>
                      </c:pt>
                      <c:pt idx="10">
                        <c:v>32039</c:v>
                      </c:pt>
                    </c:numCache>
                  </c:numRef>
                </c:val>
                <c:smooth val="0"/>
                <c:extLst xmlns:c15="http://schemas.microsoft.com/office/drawing/2012/chart">
                  <c:ext xmlns:c16="http://schemas.microsoft.com/office/drawing/2014/chart" uri="{C3380CC4-5D6E-409C-BE32-E72D297353CC}">
                    <c16:uniqueId val="{00000005-0E12-4DF2-9977-1AF37A315B56}"/>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'Figs 1 and 2 sent. outcomes'!$A$58</c15:sqref>
                        </c15:formulaRef>
                      </c:ext>
                    </c:extLst>
                    <c:strCache>
                      <c:ptCount val="1"/>
                      <c:pt idx="0">
                        <c:v>Fine</c:v>
                      </c:pt>
                    </c:strCache>
                  </c:strRef>
                </c:tx>
                <c:spPr>
                  <a:ln w="19050"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outcomes'!$D$58:$N$58</c15:sqref>
                        </c15:formulaRef>
                      </c:ext>
                    </c:extLst>
                    <c:numCache>
                      <c:formatCode>#,##0</c:formatCode>
                      <c:ptCount val="11"/>
                      <c:pt idx="0">
                        <c:v>823290</c:v>
                      </c:pt>
                      <c:pt idx="1">
                        <c:v>799747</c:v>
                      </c:pt>
                      <c:pt idx="2">
                        <c:v>853336</c:v>
                      </c:pt>
                      <c:pt idx="3">
                        <c:v>891922</c:v>
                      </c:pt>
                      <c:pt idx="4">
                        <c:v>913152</c:v>
                      </c:pt>
                      <c:pt idx="5">
                        <c:v>904892</c:v>
                      </c:pt>
                      <c:pt idx="6">
                        <c:v>929866</c:v>
                      </c:pt>
                      <c:pt idx="7">
                        <c:v>926993</c:v>
                      </c:pt>
                      <c:pt idx="8">
                        <c:v>616193</c:v>
                      </c:pt>
                      <c:pt idx="9">
                        <c:v>736892</c:v>
                      </c:pt>
                      <c:pt idx="10">
                        <c:v>831052</c:v>
                      </c:pt>
                    </c:numCache>
                  </c:numRef>
                </c:val>
                <c:smooth val="0"/>
                <c:extLst xmlns:c15="http://schemas.microsoft.com/office/drawing/2012/chart">
                  <c:ext xmlns:c16="http://schemas.microsoft.com/office/drawing/2014/chart" uri="{C3380CC4-5D6E-409C-BE32-E72D297353CC}">
                    <c16:uniqueId val="{00000006-0E12-4DF2-9977-1AF37A315B56}"/>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'Figs 1 and 2 sent. outcomes'!$A$59</c15:sqref>
                        </c15:formulaRef>
                      </c:ext>
                    </c:extLst>
                    <c:strCache>
                      <c:ptCount val="1"/>
                      <c:pt idx="0">
                        <c:v>Other disposals</c:v>
                      </c:pt>
                    </c:strCache>
                  </c:strRef>
                </c:tx>
                <c:spPr>
                  <a:ln w="19050"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outcomes'!$D$59:$N$59</c15:sqref>
                        </c15:formulaRef>
                      </c:ext>
                    </c:extLst>
                    <c:numCache>
                      <c:formatCode>#,##0</c:formatCode>
                      <c:ptCount val="11"/>
                      <c:pt idx="0">
                        <c:v>112647</c:v>
                      </c:pt>
                      <c:pt idx="1">
                        <c:v>109120</c:v>
                      </c:pt>
                      <c:pt idx="2">
                        <c:v>105431</c:v>
                      </c:pt>
                      <c:pt idx="3">
                        <c:v>93321</c:v>
                      </c:pt>
                      <c:pt idx="4">
                        <c:v>78305</c:v>
                      </c:pt>
                      <c:pt idx="5">
                        <c:v>70839</c:v>
                      </c:pt>
                      <c:pt idx="6">
                        <c:v>61669</c:v>
                      </c:pt>
                      <c:pt idx="7">
                        <c:v>58685</c:v>
                      </c:pt>
                      <c:pt idx="8">
                        <c:v>39690</c:v>
                      </c:pt>
                      <c:pt idx="9">
                        <c:v>44110</c:v>
                      </c:pt>
                      <c:pt idx="10">
                        <c:v>42136</c:v>
                      </c:pt>
                    </c:numCache>
                  </c:numRef>
                </c:val>
                <c:smooth val="0"/>
                <c:extLst xmlns:c15="http://schemas.microsoft.com/office/drawing/2012/chart">
                  <c:ext xmlns:c16="http://schemas.microsoft.com/office/drawing/2014/chart" uri="{C3380CC4-5D6E-409C-BE32-E72D297353CC}">
                    <c16:uniqueId val="{00000007-0E12-4DF2-9977-1AF37A315B56}"/>
                  </c:ext>
                </c:extLst>
              </c15:ser>
            </c15:filteredLineSeries>
          </c:ext>
        </c:extLst>
      </c:lineChart>
      <c:catAx>
        <c:axId val="16144310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lgn="ct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1469311"/>
        <c:crosses val="autoZero"/>
        <c:auto val="1"/>
        <c:lblAlgn val="ctr"/>
        <c:lblOffset val="100"/>
        <c:noMultiLvlLbl val="0"/>
      </c:catAx>
      <c:valAx>
        <c:axId val="161469311"/>
        <c:scaling>
          <c:orientation val="minMax"/>
        </c:scaling>
        <c:delete val="0"/>
        <c:axPos val="l"/>
        <c:majorGridlines>
          <c:spPr>
            <a:ln w="317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Number offenders</a:t>
                </a:r>
                <a:r>
                  <a:rPr lang="en-GB" baseline="0"/>
                  <a:t> sentenced</a:t>
                </a:r>
                <a:endParaRPr lang="en-GB"/>
              </a:p>
            </c:rich>
          </c:tx>
          <c:layout>
            <c:manualLayout>
              <c:xMode val="edge"/>
              <c:yMode val="edge"/>
              <c:x val="0"/>
              <c:y val="0.3532608678526965"/>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lgn="ct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1443103"/>
        <c:crosses val="autoZero"/>
        <c:crossBetween val="between"/>
      </c:valAx>
      <c:valAx>
        <c:axId val="978435711"/>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78456511"/>
        <c:crosses val="max"/>
        <c:crossBetween val="between"/>
      </c:valAx>
      <c:catAx>
        <c:axId val="978456511"/>
        <c:scaling>
          <c:orientation val="minMax"/>
        </c:scaling>
        <c:delete val="1"/>
        <c:axPos val="b"/>
        <c:numFmt formatCode="General" sourceLinked="1"/>
        <c:majorTickMark val="out"/>
        <c:minorTickMark val="none"/>
        <c:tickLblPos val="nextTo"/>
        <c:crossAx val="978435711"/>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t"/>
      <c:layout>
        <c:manualLayout>
          <c:xMode val="edge"/>
          <c:yMode val="edge"/>
          <c:x val="0.34429110461678514"/>
          <c:y val="2.5912329950334701E-2"/>
          <c:w val="0.467009192732594"/>
          <c:h val="6.411397344496265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ysClr val="window" lastClr="FFFFFF"/>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'Figs 1 and 2 sent. outcomes'!$A$68</c:f>
              <c:strCache>
                <c:ptCount val="1"/>
                <c:pt idx="0">
                  <c:v>Fine</c:v>
                </c:pt>
              </c:strCache>
            </c:strRef>
          </c:tx>
          <c:spPr>
            <a:solidFill>
              <a:srgbClr val="82C9E9"/>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outcomes'!$D$68:$N$68</c:f>
              <c:numCache>
                <c:formatCode>0%</c:formatCode>
                <c:ptCount val="11"/>
                <c:pt idx="0">
                  <c:v>0.66944650664697791</c:v>
                </c:pt>
                <c:pt idx="1">
                  <c:v>0.67940241247165778</c:v>
                </c:pt>
                <c:pt idx="2">
                  <c:v>0.70193148457222487</c:v>
                </c:pt>
                <c:pt idx="3">
                  <c:v>0.71528346387863495</c:v>
                </c:pt>
                <c:pt idx="4">
                  <c:v>0.73583728857264885</c:v>
                </c:pt>
                <c:pt idx="5">
                  <c:v>0.74723572361695345</c:v>
                </c:pt>
                <c:pt idx="6">
                  <c:v>0.77197220831641811</c:v>
                </c:pt>
                <c:pt idx="7">
                  <c:v>0.77973137336377141</c:v>
                </c:pt>
                <c:pt idx="8">
                  <c:v>0.75614296442823559</c:v>
                </c:pt>
                <c:pt idx="9">
                  <c:v>0.7663792063432634</c:v>
                </c:pt>
                <c:pt idx="10">
                  <c:v>0.78976993569147114</c:v>
                </c:pt>
              </c:numCache>
              <c:extLst/>
            </c:numRef>
          </c:val>
          <c:extLst>
            <c:ext xmlns:c16="http://schemas.microsoft.com/office/drawing/2014/chart" uri="{C3380CC4-5D6E-409C-BE32-E72D297353CC}">
              <c16:uniqueId val="{00000000-E4AA-4658-AC72-59153CE6790E}"/>
            </c:ext>
          </c:extLst>
        </c:ser>
        <c:ser>
          <c:idx val="3"/>
          <c:order val="2"/>
          <c:tx>
            <c:strRef>
              <c:f>'Figs 1 and 2 sent. outcomes'!$A$63</c:f>
              <c:strCache>
                <c:ptCount val="1"/>
                <c:pt idx="0">
                  <c:v>Community sentence</c:v>
                </c:pt>
              </c:strCache>
            </c:strRef>
          </c:tx>
          <c:spPr>
            <a:solidFill>
              <a:srgbClr val="F9BE14"/>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outcomes'!$D$63:$N$63</c:f>
              <c:numCache>
                <c:formatCode>0%</c:formatCode>
                <c:ptCount val="11"/>
                <c:pt idx="0">
                  <c:v>0.12293229750684458</c:v>
                </c:pt>
                <c:pt idx="1">
                  <c:v>0.10749422537640181</c:v>
                </c:pt>
                <c:pt idx="2">
                  <c:v>9.2653021270925243E-2</c:v>
                </c:pt>
                <c:pt idx="3">
                  <c:v>9.1652505435266401E-2</c:v>
                </c:pt>
                <c:pt idx="4">
                  <c:v>8.3201044344343542E-2</c:v>
                </c:pt>
                <c:pt idx="5">
                  <c:v>7.8976140104014408E-2</c:v>
                </c:pt>
                <c:pt idx="6">
                  <c:v>7.5899124390946537E-2</c:v>
                </c:pt>
                <c:pt idx="7">
                  <c:v>7.3455119265314228E-2</c:v>
                </c:pt>
                <c:pt idx="8">
                  <c:v>7.4943920600405445E-2</c:v>
                </c:pt>
                <c:pt idx="9">
                  <c:v>7.3984632728876246E-2</c:v>
                </c:pt>
                <c:pt idx="10">
                  <c:v>6.5566759893601556E-2</c:v>
                </c:pt>
              </c:numCache>
              <c:extLst/>
            </c:numRef>
          </c:val>
          <c:extLst>
            <c:ext xmlns:c16="http://schemas.microsoft.com/office/drawing/2014/chart" uri="{C3380CC4-5D6E-409C-BE32-E72D297353CC}">
              <c16:uniqueId val="{00000001-E4AA-4658-AC72-59153CE6790E}"/>
            </c:ext>
          </c:extLst>
        </c:ser>
        <c:ser>
          <c:idx val="2"/>
          <c:order val="3"/>
          <c:tx>
            <c:strRef>
              <c:f>'Figs 1 and 2 sent. outcomes'!$A$69</c:f>
              <c:strCache>
                <c:ptCount val="1"/>
                <c:pt idx="0">
                  <c:v>Other disposals</c:v>
                </c:pt>
              </c:strCache>
            </c:strRef>
          </c:tx>
          <c:spPr>
            <a:solidFill>
              <a:srgbClr val="1468A8"/>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outcomes'!$D$69:$N$69</c:f>
              <c:numCache>
                <c:formatCode>0%</c:formatCode>
                <c:ptCount val="11"/>
                <c:pt idx="0">
                  <c:v>9.1597299413647831E-2</c:v>
                </c:pt>
                <c:pt idx="1">
                  <c:v>9.2699805374583846E-2</c:v>
                </c:pt>
                <c:pt idx="2">
                  <c:v>8.6724734864032732E-2</c:v>
                </c:pt>
                <c:pt idx="3">
                  <c:v>7.4839468173918899E-2</c:v>
                </c:pt>
                <c:pt idx="4">
                  <c:v>6.309983319500069E-2</c:v>
                </c:pt>
                <c:pt idx="5">
                  <c:v>5.8496960328195374E-2</c:v>
                </c:pt>
                <c:pt idx="6">
                  <c:v>5.1197435022535702E-2</c:v>
                </c:pt>
                <c:pt idx="7">
                  <c:v>4.93623313723544E-2</c:v>
                </c:pt>
                <c:pt idx="8">
                  <c:v>4.8704406343721314E-2</c:v>
                </c:pt>
                <c:pt idx="9">
                  <c:v>4.5875089961353019E-2</c:v>
                </c:pt>
                <c:pt idx="10">
                  <c:v>4.0042916701115969E-2</c:v>
                </c:pt>
              </c:numCache>
              <c:extLst/>
            </c:numRef>
          </c:val>
          <c:extLst>
            <c:ext xmlns:c16="http://schemas.microsoft.com/office/drawing/2014/chart" uri="{C3380CC4-5D6E-409C-BE32-E72D297353CC}">
              <c16:uniqueId val="{00000002-E4AA-4658-AC72-59153CE6790E}"/>
            </c:ext>
          </c:extLst>
        </c:ser>
        <c:ser>
          <c:idx val="5"/>
          <c:order val="4"/>
          <c:tx>
            <c:strRef>
              <c:f>'Figs 1 and 2 sent. outcomes'!$A$65</c:f>
              <c:strCache>
                <c:ptCount val="1"/>
                <c:pt idx="0">
                  <c:v>Immediate custody</c:v>
                </c:pt>
              </c:strCache>
            </c:strRef>
          </c:tx>
          <c:spPr>
            <a:solidFill>
              <a:srgbClr val="7BC6B8"/>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outcomes'!$D$65:$N$65</c:f>
              <c:numCache>
                <c:formatCode>0%</c:formatCode>
                <c:ptCount val="11"/>
                <c:pt idx="0">
                  <c:v>7.9723078499309236E-2</c:v>
                </c:pt>
                <c:pt idx="1">
                  <c:v>7.897663220723572E-2</c:v>
                </c:pt>
                <c:pt idx="2">
                  <c:v>7.5111643773078329E-2</c:v>
                </c:pt>
                <c:pt idx="3">
                  <c:v>7.2455248771200742E-2</c:v>
                </c:pt>
                <c:pt idx="4">
                  <c:v>7.2412709412798051E-2</c:v>
                </c:pt>
                <c:pt idx="5">
                  <c:v>7.1308834288753134E-2</c:v>
                </c:pt>
                <c:pt idx="6">
                  <c:v>6.5482639329931189E-2</c:v>
                </c:pt>
                <c:pt idx="7">
                  <c:v>6.3902286388159438E-2</c:v>
                </c:pt>
                <c:pt idx="8">
                  <c:v>7.6088823878780146E-2</c:v>
                </c:pt>
                <c:pt idx="9">
                  <c:v>6.7503255248958949E-2</c:v>
                </c:pt>
                <c:pt idx="10">
                  <c:v>6.4443475112399756E-2</c:v>
                </c:pt>
              </c:numCache>
              <c:extLst/>
            </c:numRef>
          </c:val>
          <c:extLst>
            <c:ext xmlns:c16="http://schemas.microsoft.com/office/drawing/2014/chart" uri="{C3380CC4-5D6E-409C-BE32-E72D297353CC}">
              <c16:uniqueId val="{00000003-E4AA-4658-AC72-59153CE6790E}"/>
            </c:ext>
          </c:extLst>
        </c:ser>
        <c:ser>
          <c:idx val="4"/>
          <c:order val="5"/>
          <c:tx>
            <c:strRef>
              <c:f>'Figs 1 and 2 sent. outcomes'!$A$64</c:f>
              <c:strCache>
                <c:ptCount val="1"/>
                <c:pt idx="0">
                  <c:v>Suspended sentence </c:v>
                </c:pt>
              </c:strCache>
            </c:strRef>
          </c:tx>
          <c:spPr>
            <a:solidFill>
              <a:srgbClr val="EC6B4E"/>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'Figs 1 and 2 sent. outcomes'!$D$52:$N$52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extLst/>
            </c:numRef>
          </c:cat>
          <c:val>
            <c:numRef>
              <c:f>'Figs 1 and 2 sent. outcomes'!$D$64:$N$64</c:f>
              <c:numCache>
                <c:formatCode>0%</c:formatCode>
                <c:ptCount val="11"/>
                <c:pt idx="0">
                  <c:v>3.6300817933220417E-2</c:v>
                </c:pt>
                <c:pt idx="1">
                  <c:v>4.1426924570120795E-2</c:v>
                </c:pt>
                <c:pt idx="2">
                  <c:v>4.3579115519738885E-2</c:v>
                </c:pt>
                <c:pt idx="3">
                  <c:v>4.5769313740978979E-2</c:v>
                </c:pt>
                <c:pt idx="4">
                  <c:v>4.5449124475208907E-2</c:v>
                </c:pt>
                <c:pt idx="5">
                  <c:v>4.3982341662083625E-2</c:v>
                </c:pt>
                <c:pt idx="6">
                  <c:v>3.5448592940168513E-2</c:v>
                </c:pt>
                <c:pt idx="7">
                  <c:v>3.3548889610400534E-2</c:v>
                </c:pt>
                <c:pt idx="8">
                  <c:v>4.411988474885755E-2</c:v>
                </c:pt>
                <c:pt idx="9">
                  <c:v>4.625781571754839E-2</c:v>
                </c:pt>
                <c:pt idx="10">
                  <c:v>4.017691260141161E-2</c:v>
                </c:pt>
              </c:numCache>
              <c:extLst/>
            </c:numRef>
          </c:val>
          <c:extLst>
            <c:ext xmlns:c16="http://schemas.microsoft.com/office/drawing/2014/chart" uri="{C3380CC4-5D6E-409C-BE32-E72D297353CC}">
              <c16:uniqueId val="{00000004-E4AA-4658-AC72-59153CE6790E}"/>
            </c:ext>
          </c:extLst>
        </c:ser>
        <c:dLbls>
          <c:showLegendKey val="0"/>
          <c:showVal val="1"/>
          <c:showCatName val="0"/>
          <c:showSerName val="0"/>
          <c:showPercent val="0"/>
          <c:showBubbleSize val="0"/>
        </c:dLbls>
        <c:gapWidth val="150"/>
        <c:overlap val="100"/>
        <c:axId val="2104211423"/>
        <c:axId val="1964319407"/>
        <c:extLst>
          <c:ext xmlns:c15="http://schemas.microsoft.com/office/drawing/2012/chart" uri="{02D57815-91ED-43cb-92C2-25804820EDAC}">
            <c15:filteredBarSeries>
              <c15:ser>
                <c:idx val="0"/>
                <c:order val="0"/>
                <c:tx>
                  <c:strRef>
                    <c:extLst>
                      <c:ext uri="{02D57815-91ED-43cb-92C2-25804820EDAC}">
                        <c15:formulaRef>
                          <c15:sqref>'Figs 1 and 2 sent. outcomes'!$A$62</c15:sqref>
                        </c15:formulaRef>
                      </c:ext>
                    </c:extLst>
                    <c:strCache>
                      <c:ptCount val="1"/>
                      <c:pt idx="0">
                        <c:v>outcomes as % of all sentenced</c:v>
                      </c:pt>
                    </c:strCache>
                  </c:strRef>
                </c:tx>
                <c:spPr>
                  <a:solidFill>
                    <a:srgbClr val="7F1355"/>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c:ext uri="{02D57815-91ED-43cb-92C2-25804820EDAC}">
                        <c15:formulaRef>
                          <c15:sqref>'Figs 1 and 2 sent. outcomes'!$D$62:$N$62</c15:sqref>
                        </c15:formulaRef>
                      </c:ext>
                    </c:extLst>
                    <c:numCache>
                      <c:formatCode>General</c:formatCode>
                      <c:ptCount val="11"/>
                    </c:numCache>
                  </c:numRef>
                </c:val>
                <c:extLst>
                  <c:ext xmlns:c16="http://schemas.microsoft.com/office/drawing/2014/chart" uri="{C3380CC4-5D6E-409C-BE32-E72D297353CC}">
                    <c16:uniqueId val="{00000005-E4AA-4658-AC72-59153CE6790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'Figs 1 and 2 sent. outcomes'!$A$66</c15:sqref>
                        </c15:formulaRef>
                      </c:ext>
                    </c:extLst>
                    <c:strCache>
                      <c:ptCount val="1"/>
                      <c:pt idx="0">
                        <c:v>short sentence (less than 12 months)</c:v>
                      </c:pt>
                    </c:strCache>
                  </c:strRef>
                </c:tx>
                <c:spPr>
                  <a:solidFill>
                    <a:srgbClr val="2F7A8E"/>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outcomes'!$D$66:$N$66</c15:sqref>
                        </c15:formulaRef>
                      </c:ext>
                    </c:extLst>
                    <c:numCache>
                      <c:formatCode>0%</c:formatCode>
                      <c:ptCount val="11"/>
                      <c:pt idx="0">
                        <c:v>5.0870583758264511E-2</c:v>
                      </c:pt>
                      <c:pt idx="1">
                        <c:v>5.0536345510660226E-2</c:v>
                      </c:pt>
                      <c:pt idx="2">
                        <c:v>4.8326186541547772E-2</c:v>
                      </c:pt>
                      <c:pt idx="3">
                        <c:v>4.6272942999272627E-2</c:v>
                      </c:pt>
                      <c:pt idx="4">
                        <c:v>4.6337139495717057E-2</c:v>
                      </c:pt>
                      <c:pt idx="5">
                        <c:v>4.5287889372792087E-2</c:v>
                      </c:pt>
                      <c:pt idx="6">
                        <c:v>4.128570989752875E-2</c:v>
                      </c:pt>
                      <c:pt idx="7">
                        <c:v>3.8286193014832673E-2</c:v>
                      </c:pt>
                      <c:pt idx="8">
                        <c:v>4.502918092171463E-2</c:v>
                      </c:pt>
                      <c:pt idx="9">
                        <c:v>3.6469188496594987E-2</c:v>
                      </c:pt>
                      <c:pt idx="10">
                        <c:v>3.5431937210091316E-2</c:v>
                      </c:pt>
                    </c:numCache>
                  </c:numRef>
                </c:val>
                <c:extLst xmlns:c15="http://schemas.microsoft.com/office/drawing/2012/chart">
                  <c:ext xmlns:c16="http://schemas.microsoft.com/office/drawing/2014/chart" uri="{C3380CC4-5D6E-409C-BE32-E72D297353CC}">
                    <c16:uniqueId val="{00000006-E4AA-4658-AC72-59153CE6790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'Figs 1 and 2 sent. outcomes'!$A$67</c15:sqref>
                        </c15:formulaRef>
                      </c:ext>
                    </c:extLst>
                    <c:strCache>
                      <c:ptCount val="1"/>
                      <c:pt idx="0">
                        <c:v>(6 months or less)</c:v>
                      </c:pt>
                    </c:strCache>
                  </c:strRef>
                </c:tx>
                <c:spPr>
                  <a:solidFill>
                    <a:srgbClr val="00A3BE"/>
                  </a:solidFill>
                  <a:ln>
                    <a:noFill/>
                  </a:ln>
                  <a:effectLst/>
                </c:spPr>
                <c:invertIfNegative val="0"/>
                <c:dLbls>
                  <c:spPr>
                    <a:noFill/>
                    <a:ln>
                      <a:noFill/>
                    </a:ln>
                    <a:effectLst/>
                  </c:spPr>
                  <c:txPr>
                    <a:bodyPr rot="0" spcFirstLastPara="1" vertOverflow="ellipsis" vert="horz" wrap="square" anchor="ctr" anchorCtr="1"/>
                    <a:lstStyle/>
                    <a:p>
                      <a:pP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'Figs 1 and 2 sent. outcomes'!$D$52:$N$52</c15:sqref>
                        </c15:formulaRef>
                      </c:ext>
                    </c:extLst>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extLst xmlns:c15="http://schemas.microsoft.com/office/drawing/2012/chart">
                      <c:ext xmlns:c15="http://schemas.microsoft.com/office/drawing/2012/chart" uri="{02D57815-91ED-43cb-92C2-25804820EDAC}">
                        <c15:formulaRef>
                          <c15:sqref>'Figs 1 and 2 sent. outcomes'!$D$67:$N$67</c15:sqref>
                        </c15:formulaRef>
                      </c:ext>
                    </c:extLst>
                    <c:numCache>
                      <c:formatCode>0%</c:formatCode>
                      <c:ptCount val="11"/>
                      <c:pt idx="0">
                        <c:v>4.5351831628865344E-2</c:v>
                      </c:pt>
                      <c:pt idx="1">
                        <c:v>4.507307160703166E-2</c:v>
                      </c:pt>
                      <c:pt idx="2">
                        <c:v>4.3394036507452105E-2</c:v>
                      </c:pt>
                      <c:pt idx="3">
                        <c:v>4.1381804708933566E-2</c:v>
                      </c:pt>
                      <c:pt idx="4">
                        <c:v>4.1673046084917446E-2</c:v>
                      </c:pt>
                      <c:pt idx="5">
                        <c:v>4.0848531692356478E-2</c:v>
                      </c:pt>
                      <c:pt idx="6">
                        <c:v>3.7078270167774562E-2</c:v>
                      </c:pt>
                      <c:pt idx="7">
                        <c:v>3.3963571886392194E-2</c:v>
                      </c:pt>
                      <c:pt idx="8">
                        <c:v>3.9561132681159773E-2</c:v>
                      </c:pt>
                      <c:pt idx="9">
                        <c:v>3.1635195793344735E-2</c:v>
                      </c:pt>
                      <c:pt idx="10">
                        <c:v>3.0447479784200079E-2</c:v>
                      </c:pt>
                    </c:numCache>
                  </c:numRef>
                </c:val>
                <c:extLst xmlns:c15="http://schemas.microsoft.com/office/drawing/2012/chart">
                  <c:ext xmlns:c16="http://schemas.microsoft.com/office/drawing/2014/chart" uri="{C3380CC4-5D6E-409C-BE32-E72D297353CC}">
                    <c16:uniqueId val="{00000007-E4AA-4658-AC72-59153CE6790E}"/>
                  </c:ext>
                </c:extLst>
              </c15:ser>
            </c15:filteredBarSeries>
          </c:ext>
        </c:extLst>
      </c:barChart>
      <c:catAx>
        <c:axId val="2104211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64319407"/>
        <c:crosses val="autoZero"/>
        <c:auto val="1"/>
        <c:lblAlgn val="ctr"/>
        <c:lblOffset val="100"/>
        <c:noMultiLvlLbl val="0"/>
      </c:catAx>
      <c:valAx>
        <c:axId val="1964319407"/>
        <c:scaling>
          <c:orientation val="minMax"/>
          <c:max val="1"/>
        </c:scaling>
        <c:delete val="0"/>
        <c:axPos val="l"/>
        <c:majorGridlines>
          <c:spPr>
            <a:ln w="317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lang="en-US"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Propoirtion of all offenders sentenced</a:t>
                </a:r>
              </a:p>
            </c:rich>
          </c:tx>
          <c:layout>
            <c:manualLayout>
              <c:xMode val="edge"/>
              <c:yMode val="edge"/>
              <c:x val="1.0229785408492497E-2"/>
              <c:y val="0.1892940350507971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lang="en-US"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421142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lgn="ctr">
        <a:defRPr lang="en-US"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7"/>
          <c:order val="7"/>
          <c:tx>
            <c:strRef>
              <c:f>'Figure 4 - court reports'!$A$13</c:f>
              <c:strCache>
                <c:ptCount val="1"/>
                <c:pt idx="0">
                  <c:v>Magistrates' courts</c:v>
                </c:pt>
              </c:strCache>
            </c:strRef>
          </c:tx>
          <c:spPr>
            <a:ln w="28575" cap="rnd">
              <a:solidFill>
                <a:schemeClr val="accent2">
                  <a:lumMod val="60000"/>
                </a:schemeClr>
              </a:solidFill>
              <a:round/>
            </a:ln>
            <a:effectLst/>
          </c:spPr>
          <c:marker>
            <c:symbol val="none"/>
          </c:marker>
          <c:cat>
            <c:strRef>
              <c:f>'Figure 4 - court reports'!$B$5:$L$5</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'Figure 4 - court reports'!$B$13:$L$13</c:f>
              <c:numCache>
                <c:formatCode>#,##0</c:formatCode>
                <c:ptCount val="11"/>
                <c:pt idx="0">
                  <c:v>135205</c:v>
                </c:pt>
                <c:pt idx="1">
                  <c:v>121447</c:v>
                </c:pt>
                <c:pt idx="2">
                  <c:v>104076</c:v>
                </c:pt>
                <c:pt idx="3">
                  <c:v>114397</c:v>
                </c:pt>
                <c:pt idx="4">
                  <c:v>110163</c:v>
                </c:pt>
                <c:pt idx="5">
                  <c:v>95907</c:v>
                </c:pt>
                <c:pt idx="6">
                  <c:v>83711</c:v>
                </c:pt>
                <c:pt idx="7">
                  <c:v>75900</c:v>
                </c:pt>
                <c:pt idx="8">
                  <c:v>47764</c:v>
                </c:pt>
                <c:pt idx="9">
                  <c:v>60878</c:v>
                </c:pt>
                <c:pt idx="10">
                  <c:v>58161</c:v>
                </c:pt>
              </c:numCache>
            </c:numRef>
          </c:val>
          <c:smooth val="0"/>
          <c:extLst>
            <c:ext xmlns:c16="http://schemas.microsoft.com/office/drawing/2014/chart" uri="{C3380CC4-5D6E-409C-BE32-E72D297353CC}">
              <c16:uniqueId val="{00000000-BC82-4326-9CFD-34607192F68F}"/>
            </c:ext>
          </c:extLst>
        </c:ser>
        <c:ser>
          <c:idx val="13"/>
          <c:order val="13"/>
          <c:tx>
            <c:strRef>
              <c:f>'Figure 4 - court reports'!$A$19</c:f>
              <c:strCache>
                <c:ptCount val="1"/>
                <c:pt idx="0">
                  <c:v>Crown Court</c:v>
                </c:pt>
              </c:strCache>
            </c:strRef>
          </c:tx>
          <c:spPr>
            <a:ln w="28575" cap="rnd">
              <a:solidFill>
                <a:schemeClr val="accent2">
                  <a:lumMod val="80000"/>
                  <a:lumOff val="20000"/>
                </a:schemeClr>
              </a:solidFill>
              <a:round/>
            </a:ln>
            <a:effectLst/>
          </c:spPr>
          <c:marker>
            <c:symbol val="none"/>
          </c:marker>
          <c:cat>
            <c:strRef>
              <c:f>'Figure 4 - court reports'!$B$5:$L$5</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'Figure 4 - court reports'!$B$19:$L$19</c:f>
              <c:numCache>
                <c:formatCode>#,##0</c:formatCode>
                <c:ptCount val="11"/>
                <c:pt idx="0">
                  <c:v>57523</c:v>
                </c:pt>
                <c:pt idx="1">
                  <c:v>42352</c:v>
                </c:pt>
                <c:pt idx="2">
                  <c:v>37856</c:v>
                </c:pt>
                <c:pt idx="3">
                  <c:v>44881</c:v>
                </c:pt>
                <c:pt idx="4">
                  <c:v>38133</c:v>
                </c:pt>
                <c:pt idx="5">
                  <c:v>33735</c:v>
                </c:pt>
                <c:pt idx="6">
                  <c:v>29517</c:v>
                </c:pt>
                <c:pt idx="7">
                  <c:v>27104</c:v>
                </c:pt>
                <c:pt idx="8">
                  <c:v>20313</c:v>
                </c:pt>
                <c:pt idx="9">
                  <c:v>27779</c:v>
                </c:pt>
                <c:pt idx="10">
                  <c:v>25079</c:v>
                </c:pt>
              </c:numCache>
            </c:numRef>
          </c:val>
          <c:smooth val="0"/>
          <c:extLst>
            <c:ext xmlns:c16="http://schemas.microsoft.com/office/drawing/2014/chart" uri="{C3380CC4-5D6E-409C-BE32-E72D297353CC}">
              <c16:uniqueId val="{00000001-BC82-4326-9CFD-34607192F68F}"/>
            </c:ext>
          </c:extLst>
        </c:ser>
        <c:dLbls>
          <c:showLegendKey val="0"/>
          <c:showVal val="0"/>
          <c:showCatName val="0"/>
          <c:showSerName val="0"/>
          <c:showPercent val="0"/>
          <c:showBubbleSize val="0"/>
        </c:dLbls>
        <c:smooth val="0"/>
        <c:axId val="66252527"/>
        <c:axId val="66254607"/>
        <c:extLst>
          <c:ext xmlns:c15="http://schemas.microsoft.com/office/drawing/2012/chart" uri="{02D57815-91ED-43cb-92C2-25804820EDAC}">
            <c15:filteredLineSeries>
              <c15:ser>
                <c:idx val="0"/>
                <c:order val="0"/>
                <c:tx>
                  <c:strRef>
                    <c:extLst>
                      <c:ext uri="{02D57815-91ED-43cb-92C2-25804820EDAC}">
                        <c15:formulaRef>
                          <c15:sqref>#REF!</c15:sqref>
                        </c15:formulaRef>
                      </c:ext>
                    </c:extLst>
                    <c:strCache>
                      <c:ptCount val="1"/>
                    </c:strCache>
                  </c:strRef>
                </c:tx>
                <c:spPr>
                  <a:ln w="28575" cap="rnd">
                    <a:solidFill>
                      <a:schemeClr val="accent1"/>
                    </a:solidFill>
                    <a:round/>
                  </a:ln>
                  <a:effectLst/>
                </c:spPr>
                <c:marker>
                  <c:symbol val="none"/>
                </c:marker>
                <c:cat>
                  <c:strRef>
                    <c:extLst>
                      <c:ex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c:ext uri="{02D57815-91ED-43cb-92C2-25804820EDAC}">
                        <c15:formulaRef>
                          <c15:sqref>#REF!</c15:sqref>
                        </c15:formulaRef>
                      </c:ext>
                    </c:extLst>
                    <c:numCache>
                      <c:formatCode>General</c:formatCode>
                      <c:ptCount val="11"/>
                    </c:numCache>
                  </c:numRef>
                </c:val>
                <c:smooth val="0"/>
                <c:extLst>
                  <c:ext xmlns:c16="http://schemas.microsoft.com/office/drawing/2014/chart" uri="{C3380CC4-5D6E-409C-BE32-E72D297353CC}">
                    <c16:uniqueId val="{00000002-BC82-4326-9CFD-34607192F68F}"/>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#REF!</c15:sqref>
                        </c15:formulaRef>
                      </c:ext>
                    </c:extLst>
                    <c:strCache>
                      <c:ptCount val="1"/>
                      <c:pt idx="0">
                        <c:v>Total pre-sentencing court reports (PSR)</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192728</c:v>
                      </c:pt>
                      <c:pt idx="1">
                        <c:v>163799</c:v>
                      </c:pt>
                      <c:pt idx="2">
                        <c:v>141932</c:v>
                      </c:pt>
                      <c:pt idx="3">
                        <c:v>159278</c:v>
                      </c:pt>
                      <c:pt idx="4">
                        <c:v>148296</c:v>
                      </c:pt>
                      <c:pt idx="5">
                        <c:v>129642</c:v>
                      </c:pt>
                      <c:pt idx="6">
                        <c:v>113228</c:v>
                      </c:pt>
                      <c:pt idx="7">
                        <c:v>103004</c:v>
                      </c:pt>
                      <c:pt idx="8">
                        <c:v>68077</c:v>
                      </c:pt>
                      <c:pt idx="9">
                        <c:v>88657</c:v>
                      </c:pt>
                      <c:pt idx="10">
                        <c:v>83240</c:v>
                      </c:pt>
                    </c:numCache>
                  </c:numRef>
                </c:val>
                <c:smooth val="0"/>
                <c:extLst xmlns:c15="http://schemas.microsoft.com/office/drawing/2012/chart">
                  <c:ext xmlns:c16="http://schemas.microsoft.com/office/drawing/2014/chart" uri="{C3380CC4-5D6E-409C-BE32-E72D297353CC}">
                    <c16:uniqueId val="{00000003-BC82-4326-9CFD-34607192F68F}"/>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#REF!</c15:sqref>
                        </c15:formulaRef>
                      </c:ext>
                    </c:extLst>
                    <c:strCache>
                      <c:ptCount val="1"/>
                      <c:pt idx="0">
                        <c:v>Standard PSR</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61174</c:v>
                      </c:pt>
                      <c:pt idx="1">
                        <c:v>42959</c:v>
                      </c:pt>
                      <c:pt idx="2">
                        <c:v>33753</c:v>
                      </c:pt>
                      <c:pt idx="3">
                        <c:v>25750</c:v>
                      </c:pt>
                      <c:pt idx="4">
                        <c:v>9596</c:v>
                      </c:pt>
                      <c:pt idx="5">
                        <c:v>4739</c:v>
                      </c:pt>
                      <c:pt idx="6">
                        <c:v>3705</c:v>
                      </c:pt>
                      <c:pt idx="7">
                        <c:v>3286</c:v>
                      </c:pt>
                      <c:pt idx="8">
                        <c:v>2565</c:v>
                      </c:pt>
                      <c:pt idx="9">
                        <c:v>3548</c:v>
                      </c:pt>
                      <c:pt idx="10">
                        <c:v>3561</c:v>
                      </c:pt>
                    </c:numCache>
                  </c:numRef>
                </c:val>
                <c:smooth val="0"/>
                <c:extLst xmlns:c15="http://schemas.microsoft.com/office/drawing/2012/chart">
                  <c:ext xmlns:c16="http://schemas.microsoft.com/office/drawing/2014/chart" uri="{C3380CC4-5D6E-409C-BE32-E72D297353CC}">
                    <c16:uniqueId val="{00000004-BC82-4326-9CFD-34607192F68F}"/>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#REF!</c15:sqref>
                        </c15:formulaRef>
                      </c:ext>
                    </c:extLst>
                    <c:strCache>
                      <c:ptCount val="1"/>
                      <c:pt idx="0">
                        <c:v>Fast Delivery PSR written</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77204</c:v>
                      </c:pt>
                      <c:pt idx="1">
                        <c:v>74423</c:v>
                      </c:pt>
                      <c:pt idx="2">
                        <c:v>69020</c:v>
                      </c:pt>
                      <c:pt idx="3">
                        <c:v>82527</c:v>
                      </c:pt>
                      <c:pt idx="4">
                        <c:v>62977</c:v>
                      </c:pt>
                      <c:pt idx="5">
                        <c:v>49415</c:v>
                      </c:pt>
                      <c:pt idx="6">
                        <c:v>43322</c:v>
                      </c:pt>
                      <c:pt idx="7">
                        <c:v>44629</c:v>
                      </c:pt>
                      <c:pt idx="8">
                        <c:v>42852</c:v>
                      </c:pt>
                      <c:pt idx="9">
                        <c:v>62523</c:v>
                      </c:pt>
                      <c:pt idx="10">
                        <c:v>58375</c:v>
                      </c:pt>
                    </c:numCache>
                  </c:numRef>
                </c:val>
                <c:smooth val="0"/>
                <c:extLst xmlns:c15="http://schemas.microsoft.com/office/drawing/2012/chart">
                  <c:ext xmlns:c16="http://schemas.microsoft.com/office/drawing/2014/chart" uri="{C3380CC4-5D6E-409C-BE32-E72D297353CC}">
                    <c16:uniqueId val="{00000005-BC82-4326-9CFD-34607192F68F}"/>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#REF!</c15:sqref>
                        </c15:formulaRef>
                      </c:ext>
                    </c:extLst>
                    <c:strCache>
                      <c:ptCount val="1"/>
                      <c:pt idx="0">
                        <c:v>Fast Delivery PSR oral</c:v>
                      </c:pt>
                    </c:strCache>
                  </c:strRef>
                </c:tx>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54350</c:v>
                      </c:pt>
                      <c:pt idx="1">
                        <c:v>46417</c:v>
                      </c:pt>
                      <c:pt idx="2">
                        <c:v>39159</c:v>
                      </c:pt>
                      <c:pt idx="3">
                        <c:v>51001</c:v>
                      </c:pt>
                      <c:pt idx="4">
                        <c:v>75723</c:v>
                      </c:pt>
                      <c:pt idx="5">
                        <c:v>75488</c:v>
                      </c:pt>
                      <c:pt idx="6">
                        <c:v>66201</c:v>
                      </c:pt>
                      <c:pt idx="7">
                        <c:v>55089</c:v>
                      </c:pt>
                      <c:pt idx="8">
                        <c:v>22660</c:v>
                      </c:pt>
                      <c:pt idx="9">
                        <c:v>22586</c:v>
                      </c:pt>
                      <c:pt idx="10">
                        <c:v>21304</c:v>
                      </c:pt>
                    </c:numCache>
                  </c:numRef>
                </c:val>
                <c:smooth val="0"/>
                <c:extLst xmlns:c15="http://schemas.microsoft.com/office/drawing/2012/chart">
                  <c:ext xmlns:c16="http://schemas.microsoft.com/office/drawing/2014/chart" uri="{C3380CC4-5D6E-409C-BE32-E72D297353CC}">
                    <c16:uniqueId val="{00000006-BC82-4326-9CFD-34607192F68F}"/>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#REF!</c15:sqref>
                        </c15:formulaRef>
                      </c:ext>
                    </c:extLst>
                    <c:strCache>
                      <c:ptCount val="1"/>
                    </c:strCache>
                  </c:strRef>
                </c:tx>
                <c:spPr>
                  <a:ln w="28575" cap="rnd">
                    <a:solidFill>
                      <a:schemeClr val="accent6"/>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numCache>
                  </c:numRef>
                </c:val>
                <c:smooth val="0"/>
                <c:extLst xmlns:c15="http://schemas.microsoft.com/office/drawing/2012/chart">
                  <c:ext xmlns:c16="http://schemas.microsoft.com/office/drawing/2014/chart" uri="{C3380CC4-5D6E-409C-BE32-E72D297353CC}">
                    <c16:uniqueId val="{00000007-BC82-4326-9CFD-34607192F68F}"/>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#REF!</c15:sqref>
                        </c15:formulaRef>
                      </c:ext>
                    </c:extLst>
                    <c:strCache>
                      <c:ptCount val="1"/>
                    </c:strCache>
                  </c:strRef>
                </c:tx>
                <c:spPr>
                  <a:ln w="28575" cap="rnd">
                    <a:solidFill>
                      <a:schemeClr val="accent1">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numCache>
                  </c:numRef>
                </c:val>
                <c:smooth val="0"/>
                <c:extLst xmlns:c15="http://schemas.microsoft.com/office/drawing/2012/chart">
                  <c:ext xmlns:c16="http://schemas.microsoft.com/office/drawing/2014/chart" uri="{C3380CC4-5D6E-409C-BE32-E72D297353CC}">
                    <c16:uniqueId val="{00000008-BC82-4326-9CFD-34607192F68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#REF!</c15:sqref>
                        </c15:formulaRef>
                      </c:ext>
                    </c:extLst>
                    <c:strCache>
                      <c:ptCount val="1"/>
                      <c:pt idx="0">
                        <c:v>Standard PSR</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31101</c:v>
                      </c:pt>
                      <c:pt idx="1">
                        <c:v>24481</c:v>
                      </c:pt>
                      <c:pt idx="2">
                        <c:v>18708</c:v>
                      </c:pt>
                      <c:pt idx="3">
                        <c:v>12637</c:v>
                      </c:pt>
                      <c:pt idx="4">
                        <c:v>3492</c:v>
                      </c:pt>
                      <c:pt idx="5">
                        <c:v>1109</c:v>
                      </c:pt>
                      <c:pt idx="6">
                        <c:v>854</c:v>
                      </c:pt>
                      <c:pt idx="7">
                        <c:v>738</c:v>
                      </c:pt>
                      <c:pt idx="8">
                        <c:v>652</c:v>
                      </c:pt>
                      <c:pt idx="9">
                        <c:v>738</c:v>
                      </c:pt>
                      <c:pt idx="10">
                        <c:v>782</c:v>
                      </c:pt>
                    </c:numCache>
                  </c:numRef>
                </c:val>
                <c:smooth val="0"/>
                <c:extLst xmlns:c15="http://schemas.microsoft.com/office/drawing/2012/chart">
                  <c:ext xmlns:c16="http://schemas.microsoft.com/office/drawing/2014/chart" uri="{C3380CC4-5D6E-409C-BE32-E72D297353CC}">
                    <c16:uniqueId val="{00000009-BC82-4326-9CFD-34607192F68F}"/>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#REF!</c15:sqref>
                        </c15:formulaRef>
                      </c:ext>
                    </c:extLst>
                    <c:strCache>
                      <c:ptCount val="1"/>
                      <c:pt idx="0">
                        <c:v>Fast Delivery PSR written</c:v>
                      </c:pt>
                    </c:strCache>
                  </c:strRef>
                </c:tx>
                <c:spPr>
                  <a:ln w="28575" cap="rnd">
                    <a:solidFill>
                      <a:schemeClr val="accent4">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52246</c:v>
                      </c:pt>
                      <c:pt idx="1">
                        <c:v>52174</c:v>
                      </c:pt>
                      <c:pt idx="2">
                        <c:v>47584</c:v>
                      </c:pt>
                      <c:pt idx="3">
                        <c:v>53339</c:v>
                      </c:pt>
                      <c:pt idx="4">
                        <c:v>38887</c:v>
                      </c:pt>
                      <c:pt idx="5">
                        <c:v>28575</c:v>
                      </c:pt>
                      <c:pt idx="6">
                        <c:v>24213</c:v>
                      </c:pt>
                      <c:pt idx="7">
                        <c:v>25765</c:v>
                      </c:pt>
                      <c:pt idx="8">
                        <c:v>26810</c:v>
                      </c:pt>
                      <c:pt idx="9">
                        <c:v>39456</c:v>
                      </c:pt>
                      <c:pt idx="10">
                        <c:v>37766</c:v>
                      </c:pt>
                    </c:numCache>
                  </c:numRef>
                </c:val>
                <c:smooth val="0"/>
                <c:extLst xmlns:c15="http://schemas.microsoft.com/office/drawing/2012/chart">
                  <c:ext xmlns:c16="http://schemas.microsoft.com/office/drawing/2014/chart" uri="{C3380CC4-5D6E-409C-BE32-E72D297353CC}">
                    <c16:uniqueId val="{0000000A-BC82-4326-9CFD-34607192F68F}"/>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#REF!</c15:sqref>
                        </c15:formulaRef>
                      </c:ext>
                    </c:extLst>
                    <c:strCache>
                      <c:ptCount val="1"/>
                      <c:pt idx="0">
                        <c:v>Fast Delivery PSR oral</c:v>
                      </c:pt>
                    </c:strCache>
                  </c:strRef>
                </c:tx>
                <c:spPr>
                  <a:ln w="28575" cap="rnd">
                    <a:solidFill>
                      <a:schemeClr val="accent5">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pt idx="0">
                        <c:v>51858</c:v>
                      </c:pt>
                      <c:pt idx="1">
                        <c:v>44792</c:v>
                      </c:pt>
                      <c:pt idx="2">
                        <c:v>37784</c:v>
                      </c:pt>
                      <c:pt idx="3">
                        <c:v>48421</c:v>
                      </c:pt>
                      <c:pt idx="4">
                        <c:v>67784</c:v>
                      </c:pt>
                      <c:pt idx="5">
                        <c:v>66223</c:v>
                      </c:pt>
                      <c:pt idx="6">
                        <c:v>58644</c:v>
                      </c:pt>
                      <c:pt idx="7">
                        <c:v>49397</c:v>
                      </c:pt>
                      <c:pt idx="8">
                        <c:v>20302</c:v>
                      </c:pt>
                      <c:pt idx="9">
                        <c:v>20684</c:v>
                      </c:pt>
                      <c:pt idx="10">
                        <c:v>19613</c:v>
                      </c:pt>
                    </c:numCache>
                  </c:numRef>
                </c:val>
                <c:smooth val="0"/>
                <c:extLst xmlns:c15="http://schemas.microsoft.com/office/drawing/2012/chart">
                  <c:ext xmlns:c16="http://schemas.microsoft.com/office/drawing/2014/chart" uri="{C3380CC4-5D6E-409C-BE32-E72D297353CC}">
                    <c16:uniqueId val="{0000000B-BC82-4326-9CFD-34607192F68F}"/>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#REF!</c15:sqref>
                        </c15:formulaRef>
                      </c:ext>
                    </c:extLst>
                    <c:strCache>
                      <c:ptCount val="1"/>
                    </c:strCache>
                  </c:strRef>
                </c:tx>
                <c:spPr>
                  <a:ln w="28575" cap="rnd">
                    <a:solidFill>
                      <a:schemeClr val="accent6">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numCache>
                  </c:numRef>
                </c:val>
                <c:smooth val="0"/>
                <c:extLst xmlns:c15="http://schemas.microsoft.com/office/drawing/2012/chart">
                  <c:ext xmlns:c16="http://schemas.microsoft.com/office/drawing/2014/chart" uri="{C3380CC4-5D6E-409C-BE32-E72D297353CC}">
                    <c16:uniqueId val="{0000000C-BC82-4326-9CFD-34607192F68F}"/>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#REF!</c15:sqref>
                        </c15:formulaRef>
                      </c:ext>
                    </c:extLst>
                    <c:strCache>
                      <c:ptCount val="1"/>
                    </c:strCache>
                  </c:strRef>
                </c:tx>
                <c:spPr>
                  <a:ln w="28575" cap="rnd">
                    <a:solidFill>
                      <a:schemeClr val="accent1">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#REF!</c15:sqref>
                        </c15:formulaRef>
                      </c:ext>
                    </c:extLst>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extLst xmlns:c15="http://schemas.microsoft.com/office/drawing/2012/chart">
                      <c:ext xmlns:c15="http://schemas.microsoft.com/office/drawing/2012/chart" uri="{02D57815-91ED-43cb-92C2-25804820EDAC}">
                        <c15:formulaRef>
                          <c15:sqref>#REF!</c15:sqref>
                        </c15:formulaRef>
                      </c:ext>
                    </c:extLst>
                    <c:numCache>
                      <c:formatCode>General</c:formatCode>
                      <c:ptCount val="11"/>
                    </c:numCache>
                  </c:numRef>
                </c:val>
                <c:smooth val="0"/>
                <c:extLst xmlns:c15="http://schemas.microsoft.com/office/drawing/2012/chart">
                  <c:ext xmlns:c16="http://schemas.microsoft.com/office/drawing/2014/chart" uri="{C3380CC4-5D6E-409C-BE32-E72D297353CC}">
                    <c16:uniqueId val="{0000000D-BC82-4326-9CFD-34607192F68F}"/>
                  </c:ext>
                </c:extLst>
              </c15:ser>
            </c15:filteredLineSeries>
          </c:ext>
        </c:extLst>
      </c:lineChart>
      <c:catAx>
        <c:axId val="66252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254607"/>
        <c:crosses val="autoZero"/>
        <c:auto val="1"/>
        <c:lblAlgn val="ctr"/>
        <c:lblOffset val="100"/>
        <c:noMultiLvlLbl val="0"/>
      </c:catAx>
      <c:valAx>
        <c:axId val="66254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t>Number of pre-sentence reports</a:t>
                </a:r>
              </a:p>
            </c:rich>
          </c:tx>
          <c:layout>
            <c:manualLayout>
              <c:xMode val="edge"/>
              <c:yMode val="edge"/>
              <c:x val="0.10571004674358951"/>
              <c:y val="0.1302987401242074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62525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5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01979388784144"/>
          <c:y val="3.9083318529046014E-2"/>
          <c:w val="0.78894970318813062"/>
          <c:h val="0.62002705337796538"/>
        </c:manualLayout>
      </c:layout>
      <c:barChart>
        <c:barDir val="col"/>
        <c:grouping val="clustered"/>
        <c:varyColors val="0"/>
        <c:ser>
          <c:idx val="0"/>
          <c:order val="0"/>
          <c:tx>
            <c:strRef>
              <c:f>'Figure 5 prison pop %'!$R$6</c:f>
              <c:strCache>
                <c:ptCount val="1"/>
                <c:pt idx="0">
                  <c:v>Total prison population</c:v>
                </c:pt>
              </c:strCache>
            </c:strRef>
          </c:tx>
          <c:spPr>
            <a:solidFill>
              <a:srgbClr val="7F1355"/>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DA-4C79-8554-CE4BEE9DE5E1}"/>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 prison pop %'!$Q$7,'Figure 5 prison pop %'!$Q$9:$Q$15)</c:f>
              <c:strCache>
                <c:ptCount val="8"/>
                <c:pt idx="0">
                  <c:v>Remand</c:v>
                </c:pt>
                <c:pt idx="1">
                  <c:v>sentenced to less than 12 months</c:v>
                </c:pt>
                <c:pt idx="2">
                  <c:v>12 months to less than 4 years</c:v>
                </c:pt>
                <c:pt idx="3">
                  <c:v>4 years or more (excluding indeterminate sentences)</c:v>
                </c:pt>
                <c:pt idx="4">
                  <c:v>Indeterminate sentences</c:v>
                </c:pt>
                <c:pt idx="5">
                  <c:v>Recalls</c:v>
                </c:pt>
                <c:pt idx="6">
                  <c:v>Sentence length not recorded</c:v>
                </c:pt>
                <c:pt idx="7">
                  <c:v>Non criminal prisoners</c:v>
                </c:pt>
              </c:strCache>
              <c:extLst/>
            </c:strRef>
          </c:cat>
          <c:val>
            <c:numRef>
              <c:f>('Figure 5 prison pop %'!$R$7,'Figure 5 prison pop %'!$R$9:$R$15)</c:f>
              <c:numCache>
                <c:formatCode>0%</c:formatCode>
                <c:ptCount val="8"/>
                <c:pt idx="0">
                  <c:v>0.17293651922438724</c:v>
                </c:pt>
                <c:pt idx="1">
                  <c:v>4.4742331579196888E-2</c:v>
                </c:pt>
                <c:pt idx="2">
                  <c:v>0.15737448442611293</c:v>
                </c:pt>
                <c:pt idx="3">
                  <c:v>0.37551557388707152</c:v>
                </c:pt>
                <c:pt idx="4">
                  <c:v>0.10080358412743565</c:v>
                </c:pt>
                <c:pt idx="5">
                  <c:v>0.13570852889584223</c:v>
                </c:pt>
                <c:pt idx="6">
                  <c:v>4.7883183994690184E-3</c:v>
                </c:pt>
                <c:pt idx="7">
                  <c:v>7.8462049021002234E-3</c:v>
                </c:pt>
              </c:numCache>
              <c:extLst/>
            </c:numRef>
          </c:val>
          <c:extLst>
            <c:ext xmlns:c16="http://schemas.microsoft.com/office/drawing/2014/chart" uri="{C3380CC4-5D6E-409C-BE32-E72D297353CC}">
              <c16:uniqueId val="{00000001-BADA-4C79-8554-CE4BEE9DE5E1}"/>
            </c:ext>
          </c:extLst>
        </c:ser>
        <c:ser>
          <c:idx val="1"/>
          <c:order val="1"/>
          <c:tx>
            <c:strRef>
              <c:f>'Figure 5 prison pop %'!$S$6</c:f>
              <c:strCache>
                <c:ptCount val="1"/>
                <c:pt idx="0">
                  <c:v>Female prison population</c:v>
                </c:pt>
              </c:strCache>
            </c:strRef>
          </c:tx>
          <c:spPr>
            <a:solidFill>
              <a:srgbClr val="82C9E9"/>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DA-4C79-8554-CE4BEE9DE5E1}"/>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5 prison pop %'!$Q$7,'Figure 5 prison pop %'!$Q$9:$Q$15)</c:f>
              <c:strCache>
                <c:ptCount val="8"/>
                <c:pt idx="0">
                  <c:v>Remand</c:v>
                </c:pt>
                <c:pt idx="1">
                  <c:v>sentenced to less than 12 months</c:v>
                </c:pt>
                <c:pt idx="2">
                  <c:v>12 months to less than 4 years</c:v>
                </c:pt>
                <c:pt idx="3">
                  <c:v>4 years or more (excluding indeterminate sentences)</c:v>
                </c:pt>
                <c:pt idx="4">
                  <c:v>Indeterminate sentences</c:v>
                </c:pt>
                <c:pt idx="5">
                  <c:v>Recalls</c:v>
                </c:pt>
                <c:pt idx="6">
                  <c:v>Sentence length not recorded</c:v>
                </c:pt>
                <c:pt idx="7">
                  <c:v>Non criminal prisoners</c:v>
                </c:pt>
              </c:strCache>
              <c:extLst/>
            </c:strRef>
          </c:cat>
          <c:val>
            <c:numRef>
              <c:f>('Figure 5 prison pop %'!$S$7,'Figure 5 prison pop %'!$S$9:$S$15)</c:f>
              <c:numCache>
                <c:formatCode>0%</c:formatCode>
                <c:ptCount val="8"/>
                <c:pt idx="0">
                  <c:v>0.21749622926093515</c:v>
                </c:pt>
                <c:pt idx="1">
                  <c:v>9.1402714932126691E-2</c:v>
                </c:pt>
                <c:pt idx="2">
                  <c:v>0.19095022624434388</c:v>
                </c:pt>
                <c:pt idx="3">
                  <c:v>0.25429864253393664</c:v>
                </c:pt>
                <c:pt idx="4">
                  <c:v>9.8944193061840116E-2</c:v>
                </c:pt>
                <c:pt idx="5">
                  <c:v>0.1339366515837104</c:v>
                </c:pt>
                <c:pt idx="6">
                  <c:v>6.3348416289592761E-3</c:v>
                </c:pt>
                <c:pt idx="7">
                  <c:v>6.6365007541478128E-3</c:v>
                </c:pt>
              </c:numCache>
              <c:extLst/>
            </c:numRef>
          </c:val>
          <c:extLst>
            <c:ext xmlns:c16="http://schemas.microsoft.com/office/drawing/2014/chart" uri="{C3380CC4-5D6E-409C-BE32-E72D297353CC}">
              <c16:uniqueId val="{00000003-BADA-4C79-8554-CE4BEE9DE5E1}"/>
            </c:ext>
          </c:extLst>
        </c:ser>
        <c:dLbls>
          <c:showLegendKey val="0"/>
          <c:showVal val="0"/>
          <c:showCatName val="0"/>
          <c:showSerName val="0"/>
          <c:showPercent val="0"/>
          <c:showBubbleSize val="0"/>
        </c:dLbls>
        <c:gapWidth val="219"/>
        <c:overlap val="-27"/>
        <c:axId val="1855770239"/>
        <c:axId val="1855762335"/>
      </c:barChart>
      <c:catAx>
        <c:axId val="1855770239"/>
        <c:scaling>
          <c:orientation val="minMax"/>
        </c:scaling>
        <c:delete val="0"/>
        <c:axPos val="b"/>
        <c:title>
          <c:tx>
            <c:rich>
              <a:bodyPr rot="0" spcFirstLastPara="1" vertOverflow="ellipsis" vert="horz" wrap="square" anchor="ctr" anchorCtr="1"/>
              <a:lstStyle/>
              <a:p>
                <a:pPr algn="ctr" rtl="0">
                  <a:defRPr lang="en-US" sz="800" b="1" i="0" u="none" strike="noStrike" kern="1200" baseline="0">
                    <a:solidFill>
                      <a:schemeClr val="tx1"/>
                    </a:solidFill>
                    <a:latin typeface="Arial" panose="020B0604020202020204" pitchFamily="34" charset="0"/>
                    <a:ea typeface="+mn-ea"/>
                    <a:cs typeface="Arial" panose="020B0604020202020204" pitchFamily="34" charset="0"/>
                  </a:defRPr>
                </a:pPr>
                <a:r>
                  <a:rPr lang="en-GB"/>
                  <a:t>Sentence</a:t>
                </a:r>
                <a:r>
                  <a:rPr lang="en-GB" baseline="0"/>
                  <a:t> type</a:t>
                </a:r>
                <a:endParaRPr lang="en-GB"/>
              </a:p>
            </c:rich>
          </c:tx>
          <c:layout>
            <c:manualLayout>
              <c:xMode val="edge"/>
              <c:yMode val="edge"/>
              <c:x val="0.49643675808357579"/>
              <c:y val="0.9564653390768406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55762335"/>
        <c:crosses val="autoZero"/>
        <c:auto val="1"/>
        <c:lblAlgn val="ctr"/>
        <c:lblOffset val="100"/>
        <c:noMultiLvlLbl val="0"/>
      </c:catAx>
      <c:valAx>
        <c:axId val="1855762335"/>
        <c:scaling>
          <c:orientation val="minMax"/>
        </c:scaling>
        <c:delete val="0"/>
        <c:axPos val="l"/>
        <c:title>
          <c:tx>
            <c:rich>
              <a:bodyPr rot="-5400000" spcFirstLastPara="1" vertOverflow="ellipsis" vert="horz" wrap="square" anchor="ctr" anchorCtr="1"/>
              <a:lstStyle/>
              <a:p>
                <a:pPr algn="ctr" rtl="0">
                  <a:defRPr lang="en-US" sz="800" b="1" i="0" u="none" strike="noStrike" kern="1200" baseline="0">
                    <a:solidFill>
                      <a:schemeClr val="tx1"/>
                    </a:solidFill>
                    <a:latin typeface="Arial" panose="020B0604020202020204" pitchFamily="34" charset="0"/>
                    <a:ea typeface="+mn-ea"/>
                    <a:cs typeface="Arial" panose="020B0604020202020204" pitchFamily="34" charset="0"/>
                  </a:defRPr>
                </a:pPr>
                <a:r>
                  <a:rPr lang="en-US"/>
                  <a:t>Proportion of prison population serving sentence type</a:t>
                </a:r>
              </a:p>
            </c:rich>
          </c:tx>
          <c:layout>
            <c:manualLayout>
              <c:xMode val="edge"/>
              <c:yMode val="edge"/>
              <c:x val="2.5807724548885091E-2"/>
              <c:y val="5.16976903912948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557702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lgn="ctr" rtl="0">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Table>
      <c:spPr>
        <a:noFill/>
        <a:ln>
          <a:noFill/>
        </a:ln>
        <a:effectLst/>
      </c:spPr>
    </c:plotArea>
    <c:legend>
      <c:legendPos val="r"/>
      <c:layout>
        <c:manualLayout>
          <c:xMode val="edge"/>
          <c:yMode val="edge"/>
          <c:x val="0.77625009024778324"/>
          <c:y val="2.853626740366064E-2"/>
          <c:w val="0.21054270469988412"/>
          <c:h val="0.29139411795379883"/>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noFill/>
      <a:round/>
    </a:ln>
    <a:effectLst/>
  </c:spPr>
  <c:txPr>
    <a:bodyPr/>
    <a:lstStyle/>
    <a:p>
      <a:pPr algn="ctr" rtl="0">
        <a:defRPr lang="en-US"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NAOProjectID xmlns="cd25de05-9eba-472c-bd7b-5232dca662d3" xsi:nil="true"/>
    <NAOProjectName xmlns="cd25de05-9eba-472c-bd7b-5232dca662d3" xsi:nil="true"/>
    <lcf76f155ced4ddcb4097134ff3c332f xmlns="2a6cbebc-e876-4519-902b-ceeb55315817">
      <Terms xmlns="http://schemas.microsoft.com/office/infopath/2007/PartnerControls"/>
    </lcf76f155ced4ddcb4097134ff3c332f>
    <IconOverlay xmlns="http://schemas.microsoft.com/sharepoint/v4" xsi:nil="true"/>
    <TaxCatchAll xmlns="cd25de05-9eba-472c-bd7b-5232dca662d3">
      <Value>1</Value>
    </TaxCatchAll>
    <NAOonPremFilePath xmlns="cd25de05-9eba-472c-bd7b-5232dca662d3" xsi:nil="true"/>
    <g1dc0937975a4bc9bf1ed5735e77dfda xmlns="cd25de05-9eba-472c-bd7b-5232dca662d3">
      <Terms xmlns="http://schemas.microsoft.com/office/infopath/2007/PartnerControls">
        <TermInfo xmlns="http://schemas.microsoft.com/office/infopath/2007/PartnerControls">
          <TermName xmlns="http://schemas.microsoft.com/office/infopath/2007/PartnerControls">Delivery through networks</TermName>
          <TermId xmlns="http://schemas.microsoft.com/office/infopath/2007/PartnerControls">b6a37c90-2d22-461f-a4df-be444b47ecf5</TermId>
        </TermInfo>
      </Terms>
    </g1dc0937975a4bc9bf1ed5735e77dfda>
    <_dlc_DocId xmlns="cd25de05-9eba-472c-bd7b-5232dca662d3">TMJUSTICE-1081564922-140082</_dlc_DocId>
    <_dlc_DocIdUrl xmlns="cd25de05-9eba-472c-bd7b-5232dca662d3">
      <Url>https://nationalauditoffice.sharepoint.com/sites/TMJustice/_layouts/15/DocIdRedir.aspx?ID=TMJUSTICE-1081564922-140082</Url>
      <Description>TMJUSTICE-1081564922-140082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NAO Document" ma:contentTypeID="0x010100D882B6F1CB2D5A4E8316F306AEDE3FF3010044A5E72244521847978302A7CD187967" ma:contentTypeVersion="203" ma:contentTypeDescription="Create a new document." ma:contentTypeScope="" ma:versionID="deb83877839639f64cb2064309a8ed5c">
  <xsd:schema xmlns:xsd="http://www.w3.org/2001/XMLSchema" xmlns:xs="http://www.w3.org/2001/XMLSchema" xmlns:p="http://schemas.microsoft.com/office/2006/metadata/properties" xmlns:ns1="http://schemas.microsoft.com/sharepoint/v3" xmlns:ns2="cd25de05-9eba-472c-bd7b-5232dca662d3" xmlns:ns3="2a6cbebc-e876-4519-902b-ceeb55315817" xmlns:ns4="http://schemas.microsoft.com/sharepoint/v4" targetNamespace="http://schemas.microsoft.com/office/2006/metadata/properties" ma:root="true" ma:fieldsID="c306eab3edbae3f301c07181e0310f5c" ns1:_="" ns2:_="" ns3:_="" ns4:_="">
    <xsd:import namespace="http://schemas.microsoft.com/sharepoint/v3"/>
    <xsd:import namespace="cd25de05-9eba-472c-bd7b-5232dca662d3"/>
    <xsd:import namespace="2a6cbebc-e876-4519-902b-ceeb55315817"/>
    <xsd:import namespace="http://schemas.microsoft.com/sharepoint/v4"/>
    <xsd:element name="properties">
      <xsd:complexType>
        <xsd:sequence>
          <xsd:element name="documentManagement">
            <xsd:complexType>
              <xsd:all>
                <xsd:element ref="ns2:NAOProjectID" minOccurs="0"/>
                <xsd:element ref="ns2:NAOProjectName" minOccurs="0"/>
                <xsd:element ref="ns2:g1dc0937975a4bc9bf1ed5735e77dfda" minOccurs="0"/>
                <xsd:element ref="ns2:TaxCatchAll" minOccurs="0"/>
                <xsd:element ref="ns2:TaxCatchAllLabel" minOccurs="0"/>
                <xsd:element ref="ns2:NAOonPremFilePath" minOccurs="0"/>
                <xsd:element ref="ns2:_dlc_DocId" minOccurs="0"/>
                <xsd:element ref="ns2:_dlc_DocIdUrl" minOccurs="0"/>
                <xsd:element ref="ns2:_dlc_DocIdPersistId" minOccurs="0"/>
                <xsd:element ref="ns3:MediaServiceMetadata" minOccurs="0"/>
                <xsd:element ref="ns3:MediaServiceFastMetadata" minOccurs="0"/>
                <xsd:element ref="ns4:IconOverlay" minOccurs="0"/>
                <xsd:element ref="ns1:_vti_ItemDeclaredRecord" minOccurs="0"/>
                <xsd:element ref="ns1:_vti_ItemHoldRecordStatus" minOccurs="0"/>
                <xsd:element ref="ns2:SharedWithUsers" minOccurs="0"/>
                <xsd:element ref="ns2:SharedWithDetail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1" nillable="true" ma:displayName="Declared Record" ma:hidden="true" ma:internalName="_vti_ItemDeclaredRecord" ma:readOnly="true">
      <xsd:simpleType>
        <xsd:restriction base="dms:DateTime"/>
      </xsd:simpleType>
    </xsd:element>
    <xsd:element name="_vti_ItemHoldRecordStatus" ma:index="22"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25de05-9eba-472c-bd7b-5232dca662d3" elementFormDefault="qualified">
    <xsd:import namespace="http://schemas.microsoft.com/office/2006/documentManagement/types"/>
    <xsd:import namespace="http://schemas.microsoft.com/office/infopath/2007/PartnerControls"/>
    <xsd:element name="NAOProjectID" ma:index="8" nillable="true" ma:displayName="Project ID" ma:internalName="NAOProjectID">
      <xsd:simpleType>
        <xsd:restriction base="dms:Text"/>
      </xsd:simpleType>
    </xsd:element>
    <xsd:element name="NAOProjectName" ma:index="9" nillable="true" ma:displayName="Project Name" ma:internalName="NAOProjectName">
      <xsd:simpleType>
        <xsd:restriction base="dms:Text"/>
      </xsd:simpleType>
    </xsd:element>
    <xsd:element name="g1dc0937975a4bc9bf1ed5735e77dfda" ma:index="10" nillable="true" ma:taxonomy="true" ma:internalName="g1dc0937975a4bc9bf1ed5735e77dfda" ma:taxonomyFieldName="NAOCluster" ma:displayName="Group" ma:readOnly="false" ma:fieldId="{01dc0937-975a-4bc9-bf1e-d5735e77dfda}" ma:sspId="d7be2620-9bcb-4da7-afa1-29b1f21a0e7f" ma:termSetId="26397254-421f-4ad8-917b-b59e1274c0a5"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9d4bf1f7-058c-4dc8-b4b5-85bdf03d5ba6}" ma:internalName="TaxCatchAll" ma:showField="CatchAllData" ma:web="cd25de05-9eba-472c-bd7b-5232dca662d3">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d4bf1f7-058c-4dc8-b4b5-85bdf03d5ba6}" ma:internalName="TaxCatchAllLabel" ma:readOnly="true" ma:showField="CatchAllDataLabel" ma:web="cd25de05-9eba-472c-bd7b-5232dca662d3">
      <xsd:complexType>
        <xsd:complexContent>
          <xsd:extension base="dms:MultiChoiceLookup">
            <xsd:sequence>
              <xsd:element name="Value" type="dms:Lookup" maxOccurs="unbounded" minOccurs="0" nillable="true"/>
            </xsd:sequence>
          </xsd:extension>
        </xsd:complexContent>
      </xsd:complexType>
    </xsd:element>
    <xsd:element name="NAOonPremFilePath" ma:index="14" nillable="true" ma:displayName="OnPrem FilePath" ma:hidden="true" ma:internalName="NAOonPremFilePath" ma:readOnly="false">
      <xsd:simpleType>
        <xsd:restriction base="dms:Text"/>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cbebc-e876-4519-902b-ceeb55315817"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7be2620-9bcb-4da7-afa1-29b1f21a0e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AD8121-C4F2-4D12-BAE4-BA59A3E4E9C4}">
  <ds:schemaRefs>
    <ds:schemaRef ds:uri="http://schemas.microsoft.com/office/2006/metadata/properties"/>
    <ds:schemaRef ds:uri="http://schemas.microsoft.com/office/infopath/2007/PartnerControls"/>
    <ds:schemaRef ds:uri="cd25de05-9eba-472c-bd7b-5232dca662d3"/>
    <ds:schemaRef ds:uri="2a6cbebc-e876-4519-902b-ceeb55315817"/>
    <ds:schemaRef ds:uri="http://schemas.microsoft.com/sharepoint/v4"/>
  </ds:schemaRefs>
</ds:datastoreItem>
</file>

<file path=customXml/itemProps2.xml><?xml version="1.0" encoding="utf-8"?>
<ds:datastoreItem xmlns:ds="http://schemas.openxmlformats.org/officeDocument/2006/customXml" ds:itemID="{9D48EF37-0311-46D6-8104-93ED4CAC6263}">
  <ds:schemaRefs>
    <ds:schemaRef ds:uri="http://schemas.microsoft.com/sharepoint/v3/contenttype/forms"/>
  </ds:schemaRefs>
</ds:datastoreItem>
</file>

<file path=customXml/itemProps3.xml><?xml version="1.0" encoding="utf-8"?>
<ds:datastoreItem xmlns:ds="http://schemas.openxmlformats.org/officeDocument/2006/customXml" ds:itemID="{53695F57-1DA5-426D-A6FC-FBF944BDA1FD}">
  <ds:schemaRefs>
    <ds:schemaRef ds:uri="http://schemas.openxmlformats.org/officeDocument/2006/bibliography"/>
  </ds:schemaRefs>
</ds:datastoreItem>
</file>

<file path=customXml/itemProps4.xml><?xml version="1.0" encoding="utf-8"?>
<ds:datastoreItem xmlns:ds="http://schemas.openxmlformats.org/officeDocument/2006/customXml" ds:itemID="{13F70ACE-0D16-44B9-84EF-FA86D03D9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25de05-9eba-472c-bd7b-5232dca662d3"/>
    <ds:schemaRef ds:uri="2a6cbebc-e876-4519-902b-ceeb5531581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22D97E-C4BC-44CD-AE7E-F2AE96E58B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