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F36CA" w:rsidRPr="00301DAF" w:rsidP="005C2DB2">
      <w:pPr>
        <w:ind w:left="426" w:hanging="426"/>
        <w:jc w:val="both"/>
      </w:pPr>
      <w:r>
        <w:rPr>
          <w:b/>
          <w:bCs/>
        </w:rPr>
        <w:t>Committee</w:t>
      </w:r>
      <w:r w:rsidRPr="006F36CA">
        <w:rPr>
          <w:b/>
          <w:bCs/>
        </w:rPr>
        <w:t xml:space="preserve">: </w:t>
      </w:r>
      <w:r w:rsidRPr="00301DAF">
        <w:t>International Development Committee</w:t>
      </w:r>
    </w:p>
    <w:p w:rsidR="006F36CA" w:rsidP="005C2DB2">
      <w:pPr>
        <w:ind w:left="426" w:hanging="426"/>
        <w:jc w:val="both"/>
      </w:pPr>
      <w:r w:rsidRPr="00301DAF">
        <w:rPr>
          <w:b/>
          <w:bCs/>
        </w:rPr>
        <w:t>Name and Date of Call:</w:t>
      </w:r>
      <w:r w:rsidRPr="00301DAF">
        <w:t xml:space="preserve"> UK Small Island Developing States Strategy (</w:t>
      </w:r>
      <w:r w:rsidR="0008385C">
        <w:t xml:space="preserve">16 </w:t>
      </w:r>
      <w:r w:rsidRPr="00301DAF">
        <w:t>June 2023</w:t>
      </w:r>
      <w:r w:rsidRPr="00301DAF">
        <w:rPr>
          <w:i/>
          <w:iCs/>
        </w:rPr>
        <w:t>)</w:t>
      </w:r>
    </w:p>
    <w:p w:rsidR="00301DAF" w:rsidP="005C2DB2">
      <w:pPr>
        <w:ind w:left="426" w:hanging="426"/>
        <w:jc w:val="both"/>
        <w:rPr>
          <w:b/>
          <w:bCs/>
        </w:rPr>
      </w:pPr>
    </w:p>
    <w:p w:rsidR="00CE54F5" w:rsidP="005C2DB2">
      <w:pPr>
        <w:ind w:left="426" w:hanging="426"/>
        <w:jc w:val="both"/>
      </w:pPr>
      <w:r>
        <w:rPr>
          <w:b/>
          <w:bCs/>
        </w:rPr>
        <w:t>Subject</w:t>
      </w:r>
      <w:r w:rsidR="006F36CA">
        <w:rPr>
          <w:b/>
          <w:bCs/>
        </w:rPr>
        <w:t xml:space="preserve"> of Evidence</w:t>
      </w:r>
      <w:r w:rsidRPr="006F36CA" w:rsidR="006F36CA">
        <w:rPr>
          <w:b/>
          <w:bCs/>
        </w:rPr>
        <w:t xml:space="preserve">: </w:t>
      </w:r>
      <w:r w:rsidRPr="00301DAF" w:rsidR="006F36CA">
        <w:rPr>
          <w:u w:val="single"/>
        </w:rPr>
        <w:t>SIDS, Legal Statehood, and Sea-level Rise</w:t>
      </w:r>
    </w:p>
    <w:p w:rsidR="0046466E" w:rsidRPr="00301DAF" w:rsidP="005C2DB2">
      <w:pPr>
        <w:ind w:left="426" w:hanging="426"/>
        <w:jc w:val="both"/>
      </w:pPr>
      <w:r w:rsidRPr="0046466E">
        <w:rPr>
          <w:b/>
          <w:bCs/>
        </w:rPr>
        <w:t xml:space="preserve">Primary Area of Focus: </w:t>
      </w:r>
      <w:r w:rsidRPr="00301DAF">
        <w:t>Climate change and natural disasters</w:t>
      </w:r>
    </w:p>
    <w:p w:rsidR="0046466E" w:rsidRPr="00301DAF" w:rsidP="005C2DB2">
      <w:pPr>
        <w:ind w:left="426" w:hanging="426"/>
        <w:jc w:val="both"/>
      </w:pPr>
      <w:r w:rsidRPr="00301DAF">
        <w:rPr>
          <w:b/>
          <w:bCs/>
        </w:rPr>
        <w:t>Secondary Areas of Focus:</w:t>
      </w:r>
      <w:r w:rsidRPr="00301DAF">
        <w:t xml:space="preserve"> Economic diversification and prosperity; Inclusive governance and shared values</w:t>
      </w:r>
    </w:p>
    <w:p w:rsidR="00301DAF" w:rsidP="005C2DB2">
      <w:pPr>
        <w:ind w:left="426" w:hanging="426"/>
        <w:jc w:val="both"/>
        <w:rPr>
          <w:b/>
          <w:bCs/>
        </w:rPr>
      </w:pPr>
    </w:p>
    <w:p w:rsidR="00821C9E" w:rsidRPr="00301DAF" w:rsidP="005C2DB2">
      <w:pPr>
        <w:ind w:left="426" w:hanging="426"/>
        <w:jc w:val="both"/>
        <w:rPr>
          <w:i/>
          <w:iCs/>
        </w:rPr>
      </w:pPr>
      <w:r w:rsidRPr="006F36CA">
        <w:rPr>
          <w:b/>
          <w:bCs/>
        </w:rPr>
        <w:t xml:space="preserve">Author: </w:t>
      </w:r>
      <w:r w:rsidRPr="00301DAF">
        <w:rPr>
          <w:i/>
          <w:iCs/>
        </w:rPr>
        <w:t>Dr Alex Green, University of York</w:t>
      </w:r>
      <w:r>
        <w:rPr>
          <w:rStyle w:val="FootnoteReference"/>
          <w:i/>
          <w:iCs/>
        </w:rPr>
        <w:footnoteReference w:customMarkFollows="1" w:id="2"/>
        <w:t xml:space="preserve">*</w:t>
      </w:r>
    </w:p>
    <w:p w:rsidR="00821C9E" w:rsidP="005C2DB2">
      <w:pPr>
        <w:ind w:left="426" w:hanging="426"/>
        <w:jc w:val="both"/>
      </w:pPr>
    </w:p>
    <w:sdt>
      <w:sdtPr>
        <w:rPr>
          <w:rFonts w:ascii="Arial" w:hAnsi="Arial" w:eastAsiaTheme="minorHAnsi" w:cs="Arial"/>
          <w:color w:val="auto"/>
          <w:kern w:val="2"/>
          <w:sz w:val="24"/>
          <w:szCs w:val="24"/>
          <w:lang w:val="en-GB"/>
        </w:rPr>
        <w:id w:val="-530728431"/>
        <w:docPartObj>
          <w:docPartGallery w:val="Table of Contents"/>
          <w:docPartUnique/>
        </w:docPartObj>
      </w:sdtPr>
      <w:sdtEndPr>
        <w:rPr>
          <w:b/>
          <w:bCs/>
          <w:noProof/>
        </w:rPr>
      </w:sdtEndPr>
      <w:sdtContent>
        <w:p w:rsidR="00821C9E" w:rsidRPr="00FF2107" w:rsidP="005C2DB2">
          <w:pPr>
            <w:pStyle w:val="TOCHeading"/>
            <w:spacing w:before="0" w:line="360" w:lineRule="auto"/>
            <w:ind w:left="426" w:hanging="426"/>
            <w:jc w:val="both"/>
            <w:rPr>
              <w:rFonts w:ascii="Arial" w:hAnsi="Arial" w:cs="Arial"/>
              <w:b/>
              <w:bCs/>
              <w:color w:val="auto"/>
              <w:sz w:val="24"/>
              <w:szCs w:val="24"/>
            </w:rPr>
          </w:pPr>
          <w:r w:rsidRPr="00FF2107">
            <w:rPr>
              <w:rFonts w:ascii="Arial" w:hAnsi="Arial" w:cs="Arial"/>
              <w:b/>
              <w:bCs/>
              <w:color w:val="auto"/>
              <w:sz w:val="24"/>
              <w:szCs w:val="24"/>
            </w:rPr>
            <w:t>Table of Contents</w:t>
          </w:r>
        </w:p>
        <w:p w:rsidR="00AF53A8" w:rsidRPr="00AF53A8">
          <w:pPr>
            <w:pStyle w:val="TOC1"/>
            <w:tabs>
              <w:tab w:val="right" w:leader="dot" w:pos="9016"/>
            </w:tabs>
            <w:rPr>
              <w:rFonts w:asciiTheme="minorHAnsi" w:eastAsiaTheme="minorEastAsia" w:hAnsiTheme="minorHAnsi" w:cstheme="minorBidi"/>
              <w:noProof/>
              <w:sz w:val="22"/>
              <w:szCs w:val="22"/>
              <w:lang w:eastAsia="en-GB"/>
            </w:rPr>
          </w:pPr>
          <w:r w:rsidRPr="00FF2107">
            <w:fldChar w:fldCharType="begin"/>
          </w:r>
          <w:r w:rsidRPr="00FF2107">
            <w:instrText xml:space="preserve"> TOC \o "1-3" \h \z \u </w:instrText>
          </w:r>
          <w:r w:rsidRPr="00FF2107">
            <w:fldChar w:fldCharType="separate"/>
          </w:r>
          <w:r>
            <w:fldChar w:fldCharType="begin"/>
          </w:r>
          <w:r>
            <w:instrText xml:space="preserve"> HYPERLINK \l "_Toc137564408" </w:instrText>
          </w:r>
          <w:r>
            <w:fldChar w:fldCharType="separate"/>
          </w:r>
          <w:r w:rsidRPr="00AF53A8">
            <w:rPr>
              <w:rStyle w:val="Hyperlink"/>
              <w:noProof/>
            </w:rPr>
            <w:t>Executive Summary</w:t>
          </w:r>
          <w:r w:rsidRPr="00AF53A8">
            <w:rPr>
              <w:noProof/>
              <w:webHidden/>
            </w:rPr>
            <w:tab/>
          </w:r>
          <w:r w:rsidRPr="00AF53A8">
            <w:rPr>
              <w:noProof/>
              <w:webHidden/>
            </w:rPr>
            <w:fldChar w:fldCharType="begin"/>
          </w:r>
          <w:r w:rsidRPr="00AF53A8">
            <w:rPr>
              <w:noProof/>
              <w:webHidden/>
            </w:rPr>
            <w:instrText xml:space="preserve"> PAGEREF _Toc137564408 \h </w:instrText>
          </w:r>
          <w:r w:rsidRPr="00AF53A8">
            <w:rPr>
              <w:noProof/>
              <w:webHidden/>
            </w:rPr>
            <w:fldChar w:fldCharType="separate"/>
          </w:r>
          <w:r w:rsidR="0008385C">
            <w:rPr>
              <w:noProof/>
              <w:webHidden/>
            </w:rPr>
            <w:t>2</w:t>
          </w:r>
          <w:r w:rsidRPr="00AF53A8">
            <w:rPr>
              <w:noProof/>
              <w:webHidden/>
            </w:rPr>
            <w:fldChar w:fldCharType="end"/>
          </w:r>
          <w:r>
            <w:fldChar w:fldCharType="end"/>
          </w:r>
        </w:p>
        <w:p w:rsidR="00AF53A8" w:rsidRPr="00AF53A8">
          <w:pPr>
            <w:pStyle w:val="TOC1"/>
            <w:tabs>
              <w:tab w:val="right" w:leader="dot" w:pos="9016"/>
            </w:tabs>
            <w:rPr>
              <w:rFonts w:asciiTheme="minorHAnsi" w:eastAsiaTheme="minorEastAsia" w:hAnsiTheme="minorHAnsi" w:cstheme="minorBidi"/>
              <w:noProof/>
              <w:sz w:val="22"/>
              <w:szCs w:val="22"/>
              <w:lang w:eastAsia="en-GB"/>
            </w:rPr>
          </w:pPr>
          <w:r>
            <w:fldChar w:fldCharType="begin"/>
          </w:r>
          <w:r>
            <w:instrText xml:space="preserve"> HYPERLINK \l "_Toc137564409" </w:instrText>
          </w:r>
          <w:r>
            <w:fldChar w:fldCharType="separate"/>
          </w:r>
          <w:r w:rsidRPr="00AF53A8">
            <w:rPr>
              <w:rStyle w:val="Hyperlink"/>
              <w:noProof/>
            </w:rPr>
            <w:t>The Importance of Statehood:</w:t>
          </w:r>
          <w:r w:rsidRPr="00AF53A8">
            <w:rPr>
              <w:noProof/>
              <w:webHidden/>
            </w:rPr>
            <w:tab/>
          </w:r>
          <w:r w:rsidRPr="00AF53A8">
            <w:rPr>
              <w:noProof/>
              <w:webHidden/>
            </w:rPr>
            <w:fldChar w:fldCharType="begin"/>
          </w:r>
          <w:r w:rsidRPr="00AF53A8">
            <w:rPr>
              <w:noProof/>
              <w:webHidden/>
            </w:rPr>
            <w:instrText xml:space="preserve"> PAGEREF _Toc137564409 \h </w:instrText>
          </w:r>
          <w:r w:rsidRPr="00AF53A8">
            <w:rPr>
              <w:noProof/>
              <w:webHidden/>
            </w:rPr>
            <w:fldChar w:fldCharType="separate"/>
          </w:r>
          <w:r w:rsidR="0008385C">
            <w:rPr>
              <w:noProof/>
              <w:webHidden/>
            </w:rPr>
            <w:t>3</w:t>
          </w:r>
          <w:r w:rsidRPr="00AF53A8">
            <w:rPr>
              <w:noProof/>
              <w:webHidden/>
            </w:rPr>
            <w:fldChar w:fldCharType="end"/>
          </w:r>
          <w:r>
            <w:fldChar w:fldCharType="end"/>
          </w:r>
        </w:p>
        <w:p w:rsidR="00AF53A8" w:rsidRPr="00AF53A8">
          <w:pPr>
            <w:pStyle w:val="TOC1"/>
            <w:tabs>
              <w:tab w:val="right" w:leader="dot" w:pos="9016"/>
            </w:tabs>
            <w:rPr>
              <w:rFonts w:asciiTheme="minorHAnsi" w:eastAsiaTheme="minorEastAsia" w:hAnsiTheme="minorHAnsi" w:cstheme="minorBidi"/>
              <w:noProof/>
              <w:sz w:val="22"/>
              <w:szCs w:val="22"/>
              <w:lang w:eastAsia="en-GB"/>
            </w:rPr>
          </w:pPr>
          <w:r>
            <w:fldChar w:fldCharType="begin"/>
          </w:r>
          <w:r>
            <w:instrText xml:space="preserve"> HYPERLINK \l "_Toc137564410" </w:instrText>
          </w:r>
          <w:r>
            <w:fldChar w:fldCharType="separate"/>
          </w:r>
          <w:r w:rsidRPr="00AF53A8">
            <w:rPr>
              <w:rStyle w:val="Hyperlink"/>
              <w:noProof/>
            </w:rPr>
            <w:t>The Nature of Statehood</w:t>
          </w:r>
          <w:r w:rsidRPr="00AF53A8">
            <w:rPr>
              <w:noProof/>
              <w:webHidden/>
            </w:rPr>
            <w:tab/>
          </w:r>
          <w:r w:rsidRPr="00AF53A8">
            <w:rPr>
              <w:noProof/>
              <w:webHidden/>
            </w:rPr>
            <w:fldChar w:fldCharType="begin"/>
          </w:r>
          <w:r w:rsidRPr="00AF53A8">
            <w:rPr>
              <w:noProof/>
              <w:webHidden/>
            </w:rPr>
            <w:instrText xml:space="preserve"> PAGEREF _Toc137564410 \h </w:instrText>
          </w:r>
          <w:r w:rsidRPr="00AF53A8">
            <w:rPr>
              <w:noProof/>
              <w:webHidden/>
            </w:rPr>
            <w:fldChar w:fldCharType="separate"/>
          </w:r>
          <w:r w:rsidR="0008385C">
            <w:rPr>
              <w:noProof/>
              <w:webHidden/>
            </w:rPr>
            <w:t>4</w:t>
          </w:r>
          <w:r w:rsidRPr="00AF53A8">
            <w:rPr>
              <w:noProof/>
              <w:webHidden/>
            </w:rPr>
            <w:fldChar w:fldCharType="end"/>
          </w:r>
          <w:r>
            <w:fldChar w:fldCharType="end"/>
          </w:r>
        </w:p>
        <w:p w:rsidR="00AF53A8" w:rsidRPr="00AF53A8">
          <w:pPr>
            <w:pStyle w:val="TOC1"/>
            <w:tabs>
              <w:tab w:val="right" w:leader="dot" w:pos="9016"/>
            </w:tabs>
            <w:rPr>
              <w:rFonts w:asciiTheme="minorHAnsi" w:eastAsiaTheme="minorEastAsia" w:hAnsiTheme="minorHAnsi" w:cstheme="minorBidi"/>
              <w:noProof/>
              <w:sz w:val="22"/>
              <w:szCs w:val="22"/>
              <w:lang w:eastAsia="en-GB"/>
            </w:rPr>
          </w:pPr>
          <w:r>
            <w:fldChar w:fldCharType="begin"/>
          </w:r>
          <w:r>
            <w:instrText xml:space="preserve"> HYPERLINK \l "_Toc137564411" </w:instrText>
          </w:r>
          <w:r>
            <w:fldChar w:fldCharType="separate"/>
          </w:r>
          <w:r w:rsidRPr="00AF53A8">
            <w:rPr>
              <w:rStyle w:val="Hyperlink"/>
              <w:noProof/>
            </w:rPr>
            <w:t>The Law of State Continuity – Relevant Issues</w:t>
          </w:r>
          <w:r w:rsidRPr="00AF53A8">
            <w:rPr>
              <w:noProof/>
              <w:webHidden/>
            </w:rPr>
            <w:tab/>
          </w:r>
          <w:r w:rsidRPr="00AF53A8">
            <w:rPr>
              <w:noProof/>
              <w:webHidden/>
            </w:rPr>
            <w:fldChar w:fldCharType="begin"/>
          </w:r>
          <w:r w:rsidRPr="00AF53A8">
            <w:rPr>
              <w:noProof/>
              <w:webHidden/>
            </w:rPr>
            <w:instrText xml:space="preserve"> PAGEREF _Toc137564411 \h </w:instrText>
          </w:r>
          <w:r w:rsidRPr="00AF53A8">
            <w:rPr>
              <w:noProof/>
              <w:webHidden/>
            </w:rPr>
            <w:fldChar w:fldCharType="separate"/>
          </w:r>
          <w:r w:rsidR="0008385C">
            <w:rPr>
              <w:noProof/>
              <w:webHidden/>
            </w:rPr>
            <w:t>5</w:t>
          </w:r>
          <w:r w:rsidRPr="00AF53A8">
            <w:rPr>
              <w:noProof/>
              <w:webHidden/>
            </w:rPr>
            <w:fldChar w:fldCharType="end"/>
          </w:r>
          <w:r>
            <w:fldChar w:fldCharType="end"/>
          </w:r>
        </w:p>
        <w:p w:rsidR="00AF53A8" w:rsidRPr="00AF53A8">
          <w:pPr>
            <w:pStyle w:val="TOC1"/>
            <w:tabs>
              <w:tab w:val="right" w:leader="dot" w:pos="9016"/>
            </w:tabs>
            <w:rPr>
              <w:rFonts w:asciiTheme="minorHAnsi" w:eastAsiaTheme="minorEastAsia" w:hAnsiTheme="minorHAnsi" w:cstheme="minorBidi"/>
              <w:noProof/>
              <w:sz w:val="22"/>
              <w:szCs w:val="22"/>
              <w:lang w:eastAsia="en-GB"/>
            </w:rPr>
          </w:pPr>
          <w:r>
            <w:fldChar w:fldCharType="begin"/>
          </w:r>
          <w:r>
            <w:instrText xml:space="preserve"> HYPERLINK \l "_Toc137564412" </w:instrText>
          </w:r>
          <w:r>
            <w:fldChar w:fldCharType="separate"/>
          </w:r>
          <w:r w:rsidRPr="00AF53A8">
            <w:rPr>
              <w:rStyle w:val="Hyperlink"/>
              <w:noProof/>
            </w:rPr>
            <w:t>Indicative Recommendations</w:t>
          </w:r>
          <w:r w:rsidRPr="00AF53A8">
            <w:rPr>
              <w:noProof/>
              <w:webHidden/>
            </w:rPr>
            <w:tab/>
          </w:r>
          <w:r w:rsidRPr="00AF53A8">
            <w:rPr>
              <w:noProof/>
              <w:webHidden/>
            </w:rPr>
            <w:fldChar w:fldCharType="begin"/>
          </w:r>
          <w:r w:rsidRPr="00AF53A8">
            <w:rPr>
              <w:noProof/>
              <w:webHidden/>
            </w:rPr>
            <w:instrText xml:space="preserve"> PAGEREF _Toc137564412 \h </w:instrText>
          </w:r>
          <w:r w:rsidRPr="00AF53A8">
            <w:rPr>
              <w:noProof/>
              <w:webHidden/>
            </w:rPr>
            <w:fldChar w:fldCharType="separate"/>
          </w:r>
          <w:r w:rsidR="0008385C">
            <w:rPr>
              <w:noProof/>
              <w:webHidden/>
            </w:rPr>
            <w:t>7</w:t>
          </w:r>
          <w:r w:rsidRPr="00AF53A8">
            <w:rPr>
              <w:noProof/>
              <w:webHidden/>
            </w:rPr>
            <w:fldChar w:fldCharType="end"/>
          </w:r>
          <w:r>
            <w:fldChar w:fldCharType="end"/>
          </w:r>
        </w:p>
        <w:p w:rsidR="00AF53A8" w:rsidRPr="00AF53A8">
          <w:pPr>
            <w:pStyle w:val="TOC2"/>
            <w:tabs>
              <w:tab w:val="right" w:leader="dot" w:pos="9016"/>
            </w:tabs>
            <w:rPr>
              <w:rFonts w:asciiTheme="minorHAnsi" w:eastAsiaTheme="minorEastAsia" w:hAnsiTheme="minorHAnsi" w:cstheme="minorBidi"/>
              <w:noProof/>
              <w:sz w:val="22"/>
              <w:szCs w:val="22"/>
              <w:lang w:eastAsia="en-GB"/>
            </w:rPr>
          </w:pPr>
          <w:r>
            <w:fldChar w:fldCharType="begin"/>
          </w:r>
          <w:r>
            <w:instrText xml:space="preserve"> HYPERLINK \l "_Toc137564413" </w:instrText>
          </w:r>
          <w:r>
            <w:fldChar w:fldCharType="separate"/>
          </w:r>
          <w:r w:rsidRPr="00AF53A8">
            <w:rPr>
              <w:rStyle w:val="Hyperlink"/>
              <w:i/>
              <w:iCs/>
              <w:noProof/>
            </w:rPr>
            <w:t>Recommendation 1 – An Inclusive Recognition Policy</w:t>
          </w:r>
          <w:r w:rsidRPr="00AF53A8">
            <w:rPr>
              <w:noProof/>
              <w:webHidden/>
            </w:rPr>
            <w:tab/>
          </w:r>
          <w:r w:rsidRPr="00AF53A8">
            <w:rPr>
              <w:noProof/>
              <w:webHidden/>
            </w:rPr>
            <w:fldChar w:fldCharType="begin"/>
          </w:r>
          <w:r w:rsidRPr="00AF53A8">
            <w:rPr>
              <w:noProof/>
              <w:webHidden/>
            </w:rPr>
            <w:instrText xml:space="preserve"> PAGEREF _Toc137564413 \h </w:instrText>
          </w:r>
          <w:r w:rsidRPr="00AF53A8">
            <w:rPr>
              <w:noProof/>
              <w:webHidden/>
            </w:rPr>
            <w:fldChar w:fldCharType="separate"/>
          </w:r>
          <w:r w:rsidR="0008385C">
            <w:rPr>
              <w:noProof/>
              <w:webHidden/>
            </w:rPr>
            <w:t>7</w:t>
          </w:r>
          <w:r w:rsidRPr="00AF53A8">
            <w:rPr>
              <w:noProof/>
              <w:webHidden/>
            </w:rPr>
            <w:fldChar w:fldCharType="end"/>
          </w:r>
          <w:r>
            <w:fldChar w:fldCharType="end"/>
          </w:r>
        </w:p>
        <w:p w:rsidR="00AF53A8" w:rsidRPr="00AF53A8">
          <w:pPr>
            <w:pStyle w:val="TOC2"/>
            <w:tabs>
              <w:tab w:val="right" w:leader="dot" w:pos="9016"/>
            </w:tabs>
            <w:rPr>
              <w:rFonts w:asciiTheme="minorHAnsi" w:eastAsiaTheme="minorEastAsia" w:hAnsiTheme="minorHAnsi" w:cstheme="minorBidi"/>
              <w:noProof/>
              <w:sz w:val="22"/>
              <w:szCs w:val="22"/>
              <w:lang w:eastAsia="en-GB"/>
            </w:rPr>
          </w:pPr>
          <w:r>
            <w:fldChar w:fldCharType="begin"/>
          </w:r>
          <w:r>
            <w:instrText xml:space="preserve"> HYPERLINK \l "_Toc137564414" </w:instrText>
          </w:r>
          <w:r>
            <w:fldChar w:fldCharType="separate"/>
          </w:r>
          <w:r w:rsidRPr="00AF53A8">
            <w:rPr>
              <w:rStyle w:val="Hyperlink"/>
              <w:i/>
              <w:iCs/>
              <w:noProof/>
            </w:rPr>
            <w:t>Recommendation 2 – Support ‘Fixed Baselines’</w:t>
          </w:r>
          <w:r w:rsidRPr="00AF53A8">
            <w:rPr>
              <w:noProof/>
              <w:webHidden/>
            </w:rPr>
            <w:tab/>
          </w:r>
          <w:r w:rsidRPr="00AF53A8">
            <w:rPr>
              <w:noProof/>
              <w:webHidden/>
            </w:rPr>
            <w:fldChar w:fldCharType="begin"/>
          </w:r>
          <w:r w:rsidRPr="00AF53A8">
            <w:rPr>
              <w:noProof/>
              <w:webHidden/>
            </w:rPr>
            <w:instrText xml:space="preserve"> PAGEREF _Toc137564414 \h </w:instrText>
          </w:r>
          <w:r w:rsidRPr="00AF53A8">
            <w:rPr>
              <w:noProof/>
              <w:webHidden/>
            </w:rPr>
            <w:fldChar w:fldCharType="separate"/>
          </w:r>
          <w:r w:rsidR="0008385C">
            <w:rPr>
              <w:noProof/>
              <w:webHidden/>
            </w:rPr>
            <w:t>8</w:t>
          </w:r>
          <w:r w:rsidRPr="00AF53A8">
            <w:rPr>
              <w:noProof/>
              <w:webHidden/>
            </w:rPr>
            <w:fldChar w:fldCharType="end"/>
          </w:r>
          <w:r>
            <w:fldChar w:fldCharType="end"/>
          </w:r>
        </w:p>
        <w:p w:rsidR="00AF53A8" w:rsidRPr="00AF53A8">
          <w:pPr>
            <w:pStyle w:val="TOC2"/>
            <w:tabs>
              <w:tab w:val="right" w:leader="dot" w:pos="9016"/>
            </w:tabs>
            <w:rPr>
              <w:rFonts w:asciiTheme="minorHAnsi" w:eastAsiaTheme="minorEastAsia" w:hAnsiTheme="minorHAnsi" w:cstheme="minorBidi"/>
              <w:noProof/>
              <w:sz w:val="22"/>
              <w:szCs w:val="22"/>
              <w:lang w:eastAsia="en-GB"/>
            </w:rPr>
          </w:pPr>
          <w:r>
            <w:fldChar w:fldCharType="begin"/>
          </w:r>
          <w:r>
            <w:instrText xml:space="preserve"> HYPERLINK \l "_Toc137564415" </w:instrText>
          </w:r>
          <w:r>
            <w:fldChar w:fldCharType="separate"/>
          </w:r>
          <w:r w:rsidRPr="00AF53A8">
            <w:rPr>
              <w:rStyle w:val="Hyperlink"/>
              <w:i/>
              <w:iCs/>
              <w:noProof/>
            </w:rPr>
            <w:t>Recommendation 3 – Financial and Logistical Support</w:t>
          </w:r>
          <w:r w:rsidRPr="00AF53A8">
            <w:rPr>
              <w:noProof/>
              <w:webHidden/>
            </w:rPr>
            <w:tab/>
          </w:r>
          <w:r w:rsidRPr="00AF53A8">
            <w:rPr>
              <w:noProof/>
              <w:webHidden/>
            </w:rPr>
            <w:fldChar w:fldCharType="begin"/>
          </w:r>
          <w:r w:rsidRPr="00AF53A8">
            <w:rPr>
              <w:noProof/>
              <w:webHidden/>
            </w:rPr>
            <w:instrText xml:space="preserve"> PAGEREF _Toc137564415 \h </w:instrText>
          </w:r>
          <w:r w:rsidRPr="00AF53A8">
            <w:rPr>
              <w:noProof/>
              <w:webHidden/>
            </w:rPr>
            <w:fldChar w:fldCharType="separate"/>
          </w:r>
          <w:r w:rsidR="0008385C">
            <w:rPr>
              <w:noProof/>
              <w:webHidden/>
            </w:rPr>
            <w:t>9</w:t>
          </w:r>
          <w:r w:rsidRPr="00AF53A8">
            <w:rPr>
              <w:noProof/>
              <w:webHidden/>
            </w:rPr>
            <w:fldChar w:fldCharType="end"/>
          </w:r>
          <w:r>
            <w:fldChar w:fldCharType="end"/>
          </w:r>
        </w:p>
        <w:p w:rsidR="00AF53A8" w:rsidRPr="00AF53A8">
          <w:pPr>
            <w:pStyle w:val="TOC1"/>
            <w:tabs>
              <w:tab w:val="right" w:leader="dot" w:pos="9016"/>
            </w:tabs>
            <w:rPr>
              <w:rFonts w:asciiTheme="minorHAnsi" w:eastAsiaTheme="minorEastAsia" w:hAnsiTheme="minorHAnsi" w:cstheme="minorBidi"/>
              <w:noProof/>
              <w:sz w:val="22"/>
              <w:szCs w:val="22"/>
              <w:lang w:eastAsia="en-GB"/>
            </w:rPr>
          </w:pPr>
          <w:r>
            <w:fldChar w:fldCharType="begin"/>
          </w:r>
          <w:r>
            <w:instrText xml:space="preserve"> HYPERLINK \l "_Toc137564416" </w:instrText>
          </w:r>
          <w:r>
            <w:fldChar w:fldCharType="separate"/>
          </w:r>
          <w:r w:rsidRPr="00AF53A8">
            <w:rPr>
              <w:rStyle w:val="Hyperlink"/>
              <w:noProof/>
            </w:rPr>
            <w:t>Endnotes</w:t>
          </w:r>
          <w:r w:rsidRPr="00AF53A8">
            <w:rPr>
              <w:noProof/>
              <w:webHidden/>
            </w:rPr>
            <w:tab/>
          </w:r>
          <w:r w:rsidRPr="00AF53A8">
            <w:rPr>
              <w:noProof/>
              <w:webHidden/>
            </w:rPr>
            <w:fldChar w:fldCharType="begin"/>
          </w:r>
          <w:r w:rsidRPr="00AF53A8">
            <w:rPr>
              <w:noProof/>
              <w:webHidden/>
            </w:rPr>
            <w:instrText xml:space="preserve"> PAGEREF _Toc137564416 \h </w:instrText>
          </w:r>
          <w:r w:rsidRPr="00AF53A8">
            <w:rPr>
              <w:noProof/>
              <w:webHidden/>
            </w:rPr>
            <w:fldChar w:fldCharType="separate"/>
          </w:r>
          <w:r w:rsidR="0008385C">
            <w:rPr>
              <w:noProof/>
              <w:webHidden/>
            </w:rPr>
            <w:t>11</w:t>
          </w:r>
          <w:r w:rsidRPr="00AF53A8">
            <w:rPr>
              <w:noProof/>
              <w:webHidden/>
            </w:rPr>
            <w:fldChar w:fldCharType="end"/>
          </w:r>
          <w:r>
            <w:fldChar w:fldCharType="end"/>
          </w:r>
        </w:p>
        <w:p w:rsidR="00821C9E" w:rsidP="005C2DB2">
          <w:pPr>
            <w:ind w:left="426" w:hanging="426"/>
            <w:jc w:val="both"/>
          </w:pPr>
          <w:r w:rsidRPr="00FF2107">
            <w:rPr>
              <w:noProof/>
            </w:rPr>
            <w:fldChar w:fldCharType="end"/>
          </w:r>
        </w:p>
      </w:sdtContent>
    </w:sdt>
    <w:p w:rsidR="007C2AEC">
      <w:pPr>
        <w:rPr>
          <w:rFonts w:eastAsiaTheme="majorEastAsia"/>
          <w:b/>
          <w:bCs/>
          <w:color w:val="000000" w:themeColor="text1"/>
        </w:rPr>
      </w:pPr>
      <w:bookmarkStart w:id="0" w:name="_Toc137564408"/>
      <w:r>
        <w:rPr>
          <w:b/>
          <w:bCs/>
          <w:color w:val="000000" w:themeColor="text1"/>
        </w:rPr>
        <w:br w:type="page"/>
      </w:r>
    </w:p>
    <w:p w:rsidR="00821C9E" w:rsidRPr="00FF2107" w:rsidP="005C2DB2">
      <w:pPr>
        <w:pStyle w:val="Heading1"/>
        <w:spacing w:before="0"/>
        <w:ind w:left="426" w:hanging="426"/>
        <w:jc w:val="both"/>
        <w:rPr>
          <w:rFonts w:ascii="Arial" w:hAnsi="Arial" w:cs="Arial"/>
          <w:b/>
          <w:bCs/>
          <w:color w:val="000000" w:themeColor="text1"/>
          <w:sz w:val="24"/>
          <w:szCs w:val="24"/>
        </w:rPr>
      </w:pPr>
      <w:r>
        <w:rPr>
          <w:rFonts w:ascii="Arial" w:hAnsi="Arial" w:cs="Arial"/>
          <w:b/>
          <w:bCs/>
          <w:noProof/>
          <w:color w:val="000000" w:themeColor="text1"/>
          <w:sz w:val="24"/>
          <w:szCs w:val="24"/>
        </w:rPr>
        <mc:AlternateContent>
          <mc:Choice Requires="wps">
            <w:drawing>
              <wp:anchor distT="0" distB="0" distL="114300" distR="114300" simplePos="0" relativeHeight="251658240" behindDoc="0" locked="0" layoutInCell="1" allowOverlap="1">
                <wp:simplePos x="0" y="0"/>
                <wp:positionH relativeFrom="margin">
                  <wp:posOffset>-391795</wp:posOffset>
                </wp:positionH>
                <wp:positionV relativeFrom="paragraph">
                  <wp:posOffset>-170180</wp:posOffset>
                </wp:positionV>
                <wp:extent cx="6486525" cy="7981950"/>
                <wp:effectExtent l="0" t="0" r="28575" b="19050"/>
                <wp:wrapNone/>
                <wp:docPr id="1239652143" name="Rectangle 1"/>
                <wp:cNvGraphicFramePr/>
                <a:graphic xmlns:a="http://schemas.openxmlformats.org/drawingml/2006/main">
                  <a:graphicData uri="http://schemas.microsoft.com/office/word/2010/wordprocessingShape">
                    <wps:wsp xmlns:wps="http://schemas.microsoft.com/office/word/2010/wordprocessingShape">
                      <wps:cNvSpPr/>
                      <wps:spPr>
                        <a:xfrm>
                          <a:off x="0" y="0"/>
                          <a:ext cx="6486525" cy="7981950"/>
                        </a:xfrm>
                        <a:prstGeom prst="rect">
                          <a:avLst/>
                        </a:prstGeom>
                        <a:solidFill>
                          <a:srgbClr val="4472C4">
                            <a:alpha val="16078"/>
                          </a:srgb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 o:spid="_x0000_s1025" style="height:628.5pt;margin-left:-30.85pt;margin-top:-13.4pt;mso-height-percent:0;mso-height-relative:margin;mso-position-horizontal-relative:margin;mso-width-percent:0;mso-width-relative:margin;mso-wrap-distance-bottom:0;mso-wrap-distance-left:9pt;mso-wrap-distance-right:9pt;mso-wrap-distance-top:0;mso-wrap-style:square;position:absolute;v-text-anchor:middle;visibility:visible;width:510.75pt;z-index:251659264" fillcolor="#4472c4" strokecolor="#1f3763" strokeweight="1pt">
                <v:fill opacity="10537f"/>
                <w10:wrap anchorx="margin"/>
              </v:rect>
            </w:pict>
          </mc:Fallback>
        </mc:AlternateContent>
      </w:r>
      <w:r>
        <w:rPr>
          <w:rFonts w:ascii="Arial" w:hAnsi="Arial" w:cs="Arial"/>
          <w:b/>
          <w:bCs/>
          <w:color w:val="000000" w:themeColor="text1"/>
          <w:sz w:val="24"/>
          <w:szCs w:val="24"/>
        </w:rPr>
        <w:t xml:space="preserve">Executive </w:t>
      </w:r>
      <w:r w:rsidRPr="00FF2107">
        <w:rPr>
          <w:rFonts w:ascii="Arial" w:hAnsi="Arial" w:cs="Arial"/>
          <w:b/>
          <w:bCs/>
          <w:color w:val="000000" w:themeColor="text1"/>
          <w:sz w:val="24"/>
          <w:szCs w:val="24"/>
        </w:rPr>
        <w:t>Summar</w:t>
      </w:r>
      <w:r>
        <w:rPr>
          <w:rFonts w:ascii="Arial" w:hAnsi="Arial" w:cs="Arial"/>
          <w:b/>
          <w:bCs/>
          <w:color w:val="000000" w:themeColor="text1"/>
          <w:sz w:val="24"/>
          <w:szCs w:val="24"/>
        </w:rPr>
        <w:t>y</w:t>
      </w:r>
      <w:bookmarkEnd w:id="0"/>
    </w:p>
    <w:p w:rsidR="007C2AEC" w:rsidP="007C2AEC">
      <w:pPr>
        <w:spacing w:after="120"/>
        <w:jc w:val="both"/>
      </w:pPr>
      <w:r>
        <w:t xml:space="preserve">Small Island Developing States (SIDS) face </w:t>
      </w:r>
      <w:r>
        <w:t>a</w:t>
      </w:r>
      <w:r>
        <w:t xml:space="preserve"> discretely </w:t>
      </w:r>
      <w:r w:rsidRPr="00E36941">
        <w:t>legal</w:t>
      </w:r>
      <w:r>
        <w:t xml:space="preserve"> threat of </w:t>
      </w:r>
      <w:r w:rsidR="00E0524A">
        <w:t>‘</w:t>
      </w:r>
      <w:r>
        <w:t>formal extinction</w:t>
      </w:r>
      <w:r w:rsidR="00E0524A">
        <w:t>’</w:t>
      </w:r>
      <w:r w:rsidR="00E0524A">
        <w:rPr>
          <w:b/>
          <w:bCs/>
          <w:noProof/>
          <w:color w:val="000000" w:themeColor="text1"/>
        </w:rPr>
        <w:t>,</w:t>
      </w:r>
      <w:r>
        <w:t xml:space="preserve"> due to the interaction between sea-level rise and prevailing interpretations of international law. As sea-levels continue to rise, many SIDS face the loss of inhabitable land.</w:t>
      </w:r>
      <w:r>
        <w:rPr>
          <w:rStyle w:val="EndnoteReference"/>
        </w:rPr>
        <w:endnoteReference w:id="2"/>
      </w:r>
      <w:r>
        <w:t xml:space="preserve"> Under orthodox understandings of legal statehood, states cannot exist without </w:t>
      </w:r>
      <w:r w:rsidRPr="007C2AEC">
        <w:rPr>
          <w:i/>
          <w:iCs/>
        </w:rPr>
        <w:t>some</w:t>
      </w:r>
      <w:r>
        <w:t xml:space="preserve"> land of this kind.</w:t>
      </w:r>
      <w:r>
        <w:rPr>
          <w:rStyle w:val="EndnoteReference"/>
        </w:rPr>
        <w:endnoteReference w:id="3"/>
      </w:r>
      <w:r>
        <w:t xml:space="preserve"> This means that if SIDS lose all </w:t>
      </w:r>
      <w:r>
        <w:t xml:space="preserve">of their </w:t>
      </w:r>
      <w:r>
        <w:t xml:space="preserve">inhabitable </w:t>
      </w:r>
      <w:r>
        <w:t>land</w:t>
      </w:r>
      <w:r>
        <w:t xml:space="preserve"> they may lose their statehood as well.</w:t>
      </w:r>
      <w:r>
        <w:rPr>
          <w:rStyle w:val="EndnoteReference"/>
        </w:rPr>
        <w:endnoteReference w:id="4"/>
      </w:r>
    </w:p>
    <w:p w:rsidR="007C2AEC" w:rsidP="007C2AEC">
      <w:pPr>
        <w:spacing w:after="120"/>
        <w:jc w:val="both"/>
      </w:pPr>
      <w:r>
        <w:t>That loss would be catastrophic. Legally speaking, only states can issue nationality,</w:t>
      </w:r>
      <w:r>
        <w:rPr>
          <w:rStyle w:val="EndnoteReference"/>
        </w:rPr>
        <w:endnoteReference w:id="5"/>
      </w:r>
      <w:r>
        <w:t xml:space="preserve"> provide diplomatic protection to their citizens,</w:t>
      </w:r>
      <w:r>
        <w:rPr>
          <w:rStyle w:val="EndnoteReference"/>
        </w:rPr>
        <w:endnoteReference w:id="6"/>
      </w:r>
      <w:r>
        <w:t xml:space="preserve"> hold maritime territory,</w:t>
      </w:r>
      <w:r>
        <w:rPr>
          <w:rStyle w:val="EndnoteReference"/>
        </w:rPr>
        <w:endnoteReference w:id="7"/>
      </w:r>
      <w:r>
        <w:t xml:space="preserve"> and maintain sovereignty over </w:t>
      </w:r>
      <w:r w:rsidR="002D4FFA">
        <w:t>essential</w:t>
      </w:r>
      <w:r>
        <w:t xml:space="preserve"> natural resources.</w:t>
      </w:r>
      <w:r>
        <w:rPr>
          <w:rStyle w:val="EndnoteReference"/>
        </w:rPr>
        <w:endnoteReference w:id="8"/>
      </w:r>
      <w:r>
        <w:t xml:space="preserve"> Conversely, without their states, the current populations of SIDS face statelessness, with all the cultural, economic, and social deprivation that this implies.</w:t>
      </w:r>
      <w:r>
        <w:rPr>
          <w:rStyle w:val="EndnoteReference"/>
        </w:rPr>
        <w:endnoteReference w:id="9"/>
      </w:r>
    </w:p>
    <w:p w:rsidR="007C2AEC" w:rsidP="007C2AEC">
      <w:pPr>
        <w:spacing w:after="120"/>
        <w:jc w:val="both"/>
      </w:pPr>
      <w:r>
        <w:t xml:space="preserve">In </w:t>
      </w:r>
      <w:r>
        <w:t>this submission</w:t>
      </w:r>
      <w:r>
        <w:t>, I detail the nature and importance of legal statehood, summaris</w:t>
      </w:r>
      <w:r>
        <w:t>e</w:t>
      </w:r>
      <w:r>
        <w:t xml:space="preserve"> the law of state continuity</w:t>
      </w:r>
      <w:r>
        <w:t>,</w:t>
      </w:r>
      <w:r>
        <w:t xml:space="preserve"> and explain the unique legal threat that sea-level rise creates. Finally, I </w:t>
      </w:r>
      <w:r>
        <w:t xml:space="preserve">make </w:t>
      </w:r>
      <w:r>
        <w:t xml:space="preserve">three </w:t>
      </w:r>
      <w:r>
        <w:t xml:space="preserve">indicative </w:t>
      </w:r>
      <w:r>
        <w:t xml:space="preserve">recommendations that the Foreign Commonwealth and Development Office (FDCO) might consider including within the </w:t>
      </w:r>
      <w:r w:rsidRPr="006F36CA">
        <w:t>UK Small Island Developing States Strategy</w:t>
      </w:r>
      <w:r>
        <w:t>.</w:t>
      </w:r>
      <w:r>
        <w:t xml:space="preserve"> These recommendations are as follows:</w:t>
      </w:r>
    </w:p>
    <w:p w:rsidR="007C2AEC" w:rsidP="007C2AEC">
      <w:pPr>
        <w:pStyle w:val="ListParagraph"/>
        <w:numPr>
          <w:ilvl w:val="0"/>
          <w:numId w:val="4"/>
        </w:numPr>
        <w:spacing w:after="120"/>
        <w:jc w:val="both"/>
      </w:pPr>
      <w:r>
        <w:t>The UK should make a formal commitment to observing the legal continuity of SIDS, notwithstanding any future losses of inhabitable land they may suffer. Three ways in which this could be accomplished are provided.</w:t>
      </w:r>
    </w:p>
    <w:p w:rsidR="007C2AEC" w:rsidP="007C2AEC">
      <w:pPr>
        <w:pStyle w:val="ListParagraph"/>
        <w:numPr>
          <w:ilvl w:val="0"/>
          <w:numId w:val="4"/>
        </w:numPr>
        <w:spacing w:after="120"/>
        <w:jc w:val="both"/>
      </w:pPr>
      <w:r>
        <w:t>The UK should make a formal commitment to</w:t>
      </w:r>
      <w:r w:rsidR="00D11F87">
        <w:t xml:space="preserve"> </w:t>
      </w:r>
      <w:r>
        <w:t xml:space="preserve">maritime baselines being ‘fixed’ rather than ‘ambulatory’ for the purposes of the </w:t>
      </w:r>
      <w:r w:rsidR="000F1367">
        <w:t xml:space="preserve">1982 </w:t>
      </w:r>
      <w:r>
        <w:t>United Nations (UN) Convention on the Law of the Sea (UNCLOS).</w:t>
      </w:r>
      <w:r w:rsidR="00D11F87">
        <w:t xml:space="preserve"> An interpretive declaration on the text of UNCLOS should also be sought along these lines.</w:t>
      </w:r>
    </w:p>
    <w:p w:rsidR="007C2AEC" w:rsidP="007C2AEC">
      <w:pPr>
        <w:pStyle w:val="ListParagraph"/>
        <w:numPr>
          <w:ilvl w:val="0"/>
          <w:numId w:val="4"/>
        </w:numPr>
        <w:spacing w:after="120"/>
        <w:jc w:val="both"/>
      </w:pPr>
      <w:r>
        <w:t>The UK should provide financial and logistical support for technological and other initiatives by SIDS designed to prevent and mitigate the loss of statehood.</w:t>
      </w:r>
    </w:p>
    <w:p w:rsidR="00821C9E" w:rsidP="007C2AEC">
      <w:pPr>
        <w:spacing w:after="120"/>
        <w:jc w:val="both"/>
      </w:pPr>
      <w:r>
        <w:t xml:space="preserve">References and further detail are provided in endnotes, with online links </w:t>
      </w:r>
      <w:r w:rsidR="002D4FFA">
        <w:t xml:space="preserve">made available </w:t>
      </w:r>
      <w:r>
        <w:t>wherever possible</w:t>
      </w:r>
      <w:r w:rsidR="002D4FFA">
        <w:t xml:space="preserve"> (functional as of 16 June 2023)</w:t>
      </w:r>
      <w:r>
        <w:t>.</w:t>
      </w:r>
      <w:r w:rsidRPr="00E0524A" w:rsidR="00E0524A">
        <w:rPr>
          <w:b/>
          <w:bCs/>
          <w:noProof/>
          <w:color w:val="000000" w:themeColor="text1"/>
        </w:rPr>
        <w:t xml:space="preserve"> </w:t>
      </w:r>
    </w:p>
    <w:p w:rsidR="00821C9E" w:rsidP="005C2DB2">
      <w:pPr>
        <w:pStyle w:val="ListParagraph"/>
        <w:ind w:left="426" w:hanging="426"/>
        <w:jc w:val="both"/>
      </w:pPr>
    </w:p>
    <w:p w:rsidR="007C2AEC">
      <w:pPr>
        <w:rPr>
          <w:rFonts w:eastAsiaTheme="majorEastAsia"/>
          <w:b/>
          <w:bCs/>
        </w:rPr>
      </w:pPr>
      <w:bookmarkStart w:id="1" w:name="_Toc137564409"/>
      <w:r>
        <w:rPr>
          <w:b/>
          <w:bCs/>
        </w:rPr>
        <w:br w:type="page"/>
      </w:r>
    </w:p>
    <w:p w:rsidR="00821C9E" w:rsidRPr="00776125" w:rsidP="005C2DB2">
      <w:pPr>
        <w:pStyle w:val="Heading1"/>
        <w:spacing w:before="0"/>
        <w:ind w:left="426" w:hanging="426"/>
        <w:rPr>
          <w:rFonts w:ascii="Arial" w:hAnsi="Arial" w:cs="Arial"/>
          <w:b/>
          <w:bCs/>
          <w:color w:val="auto"/>
          <w:sz w:val="24"/>
          <w:szCs w:val="24"/>
        </w:rPr>
      </w:pPr>
      <w:r w:rsidRPr="00776125">
        <w:rPr>
          <w:rFonts w:ascii="Arial" w:hAnsi="Arial" w:cs="Arial"/>
          <w:b/>
          <w:bCs/>
          <w:color w:val="auto"/>
          <w:sz w:val="24"/>
          <w:szCs w:val="24"/>
        </w:rPr>
        <w:t>The Importance of Statehood:</w:t>
      </w:r>
      <w:bookmarkEnd w:id="1"/>
    </w:p>
    <w:p w:rsidR="00821C9E" w:rsidP="005C2DB2">
      <w:pPr>
        <w:pStyle w:val="ListParagraph"/>
        <w:numPr>
          <w:ilvl w:val="0"/>
          <w:numId w:val="1"/>
        </w:numPr>
        <w:ind w:left="426" w:hanging="426"/>
        <w:jc w:val="both"/>
      </w:pPr>
      <w:r>
        <w:t xml:space="preserve">As </w:t>
      </w:r>
      <w:r w:rsidRPr="00EA47A0">
        <w:t xml:space="preserve">the Independent State of </w:t>
      </w:r>
      <w:r w:rsidRPr="00B0656C">
        <w:t xml:space="preserve">Papua New Guinea </w:t>
      </w:r>
      <w:r>
        <w:t xml:space="preserve">recently stated within the </w:t>
      </w:r>
      <w:r w:rsidR="002D4FFA">
        <w:t>Sixth</w:t>
      </w:r>
      <w:r>
        <w:t xml:space="preserve"> Committee of the UN General Assembly, statehood is a ‘threshold issue’ for international law.</w:t>
      </w:r>
      <w:r>
        <w:rPr>
          <w:rStyle w:val="EndnoteReference"/>
        </w:rPr>
        <w:endnoteReference w:id="10"/>
      </w:r>
      <w:r>
        <w:t xml:space="preserve"> Although non-state territorial entities do exist, such as the Republic of China (Taiwan),</w:t>
      </w:r>
      <w:r>
        <w:rPr>
          <w:rStyle w:val="EndnoteReference"/>
        </w:rPr>
        <w:endnoteReference w:id="11"/>
      </w:r>
      <w:r>
        <w:t xml:space="preserve"> only states are presumed to hold full </w:t>
      </w:r>
      <w:r w:rsidR="002D4FFA">
        <w:t xml:space="preserve">legal </w:t>
      </w:r>
      <w:r>
        <w:t>rights</w:t>
      </w:r>
      <w:r w:rsidR="002D4FFA">
        <w:t xml:space="preserve"> at the international level</w:t>
      </w:r>
      <w:r>
        <w:t>.</w:t>
      </w:r>
      <w:r>
        <w:rPr>
          <w:rStyle w:val="EndnoteReference"/>
        </w:rPr>
        <w:endnoteReference w:id="12"/>
      </w:r>
      <w:r>
        <w:t xml:space="preserve"> Crucially for SIDS, whose seas and oceans supply irreplaceable cultural, ecological, and economic resources,</w:t>
      </w:r>
      <w:r>
        <w:rPr>
          <w:rStyle w:val="EndnoteReference"/>
        </w:rPr>
        <w:endnoteReference w:id="13"/>
      </w:r>
      <w:r>
        <w:t xml:space="preserve"> only states are capable of generating maritime territory. This means that, should SIDS lose their statehood due to sea-level rise, they will lose their maritime territory as well, and with it their permanent sovereignty over all the natural resources therein.</w:t>
      </w:r>
      <w:r>
        <w:rPr>
          <w:rStyle w:val="EndnoteReference"/>
        </w:rPr>
        <w:endnoteReference w:id="14"/>
      </w:r>
      <w:r>
        <w:t xml:space="preserve"> Moreover, without a maritime territory of their own, under the law of the sea SIDS will no longer generate ‘exclusive economic zones’, which are financially indispensable to them.</w:t>
      </w:r>
      <w:r>
        <w:rPr>
          <w:rStyle w:val="EndnoteReference"/>
        </w:rPr>
        <w:endnoteReference w:id="15"/>
      </w:r>
      <w:r>
        <w:t xml:space="preserve"> All of the above also impacts the capacity SIDS would have to attract foreign investment: a people and government with neither statehood nor territory would have no legal standing to </w:t>
      </w:r>
      <w:r w:rsidR="002D4FFA">
        <w:t>control</w:t>
      </w:r>
      <w:r>
        <w:t xml:space="preserve"> access to their erstwhile resources.</w:t>
      </w:r>
    </w:p>
    <w:p w:rsidR="00821C9E" w:rsidP="005C2DB2">
      <w:pPr>
        <w:pStyle w:val="ListParagraph"/>
        <w:ind w:left="426" w:hanging="426"/>
        <w:jc w:val="both"/>
      </w:pPr>
    </w:p>
    <w:p w:rsidR="00821C9E" w:rsidRPr="00DB2766" w:rsidP="005C2DB2">
      <w:pPr>
        <w:pStyle w:val="ListParagraph"/>
        <w:numPr>
          <w:ilvl w:val="0"/>
          <w:numId w:val="1"/>
        </w:numPr>
        <w:ind w:left="426" w:hanging="426"/>
        <w:jc w:val="both"/>
      </w:pPr>
      <w:r>
        <w:t>Moreover, SIDS that lose statehood would be unable to issue or maintain a discrete nationality, meaning that their citizens would most likely become stateless.</w:t>
      </w:r>
      <w:r>
        <w:rPr>
          <w:rStyle w:val="EndnoteReference"/>
        </w:rPr>
        <w:endnoteReference w:id="16"/>
      </w:r>
      <w:r>
        <w:t xml:space="preserve"> Given the extremely poor track record of the international community when it comes to protecting stateless persons,</w:t>
      </w:r>
      <w:r>
        <w:rPr>
          <w:rStyle w:val="EndnoteReference"/>
        </w:rPr>
        <w:endnoteReference w:id="17"/>
      </w:r>
      <w:r>
        <w:t xml:space="preserve"> and the consequent cultural,</w:t>
      </w:r>
      <w:r>
        <w:rPr>
          <w:rStyle w:val="EndnoteReference"/>
        </w:rPr>
        <w:endnoteReference w:id="18"/>
      </w:r>
      <w:r>
        <w:t xml:space="preserve"> economic, political,</w:t>
      </w:r>
      <w:r>
        <w:rPr>
          <w:rStyle w:val="EndnoteReference"/>
        </w:rPr>
        <w:endnoteReference w:id="19"/>
      </w:r>
      <w:r>
        <w:t xml:space="preserve"> and social deprivation that such individuals suffer,</w:t>
      </w:r>
      <w:r>
        <w:rPr>
          <w:rStyle w:val="EndnoteReference"/>
        </w:rPr>
        <w:endnoteReference w:id="20"/>
      </w:r>
      <w:r>
        <w:t xml:space="preserve"> it is imperative that the 65 million people currently resident within SIDS do not suffer this fate.</w:t>
      </w:r>
      <w:r>
        <w:rPr>
          <w:rStyle w:val="EndnoteReference"/>
        </w:rPr>
        <w:endnoteReference w:id="21"/>
      </w:r>
      <w:r>
        <w:t xml:space="preserve"> Allowing this to occur would be a global humanitarian catastrophe. In immediate practical terms, political communities without statehood characteristically struggle to maintain embassies or offer their members diplomatic protection.</w:t>
      </w:r>
      <w:r>
        <w:rPr>
          <w:rStyle w:val="EndnoteReference"/>
        </w:rPr>
        <w:endnoteReference w:id="22"/>
      </w:r>
      <w:r>
        <w:t xml:space="preserve"> Neither can they issue passports with any real international value,</w:t>
      </w:r>
      <w:r>
        <w:rPr>
          <w:rStyle w:val="EndnoteReference"/>
        </w:rPr>
        <w:endnoteReference w:id="23"/>
      </w:r>
      <w:r>
        <w:t xml:space="preserve"> nor petition as states on their population’s behalf before organisations like the UN or the International Court of Justice.</w:t>
      </w:r>
      <w:r>
        <w:rPr>
          <w:rStyle w:val="EndnoteReference"/>
        </w:rPr>
        <w:endnoteReference w:id="24"/>
      </w:r>
    </w:p>
    <w:p w:rsidR="00821C9E" w:rsidP="005C2DB2">
      <w:pPr>
        <w:ind w:left="426" w:hanging="426"/>
        <w:jc w:val="both"/>
      </w:pPr>
    </w:p>
    <w:p w:rsidR="00821C9E" w:rsidRPr="00640889" w:rsidP="005C2DB2">
      <w:pPr>
        <w:pStyle w:val="Heading1"/>
        <w:spacing w:before="0"/>
        <w:ind w:left="426" w:hanging="426"/>
        <w:rPr>
          <w:rFonts w:ascii="Arial" w:hAnsi="Arial" w:cs="Arial"/>
          <w:b/>
          <w:bCs/>
          <w:color w:val="auto"/>
          <w:sz w:val="24"/>
          <w:szCs w:val="24"/>
        </w:rPr>
      </w:pPr>
      <w:bookmarkStart w:id="2" w:name="_Toc137564410"/>
      <w:r w:rsidRPr="00640889">
        <w:rPr>
          <w:rFonts w:ascii="Arial" w:hAnsi="Arial" w:cs="Arial"/>
          <w:b/>
          <w:bCs/>
          <w:color w:val="auto"/>
          <w:sz w:val="24"/>
          <w:szCs w:val="24"/>
        </w:rPr>
        <w:t xml:space="preserve">The </w:t>
      </w:r>
      <w:r>
        <w:rPr>
          <w:rFonts w:ascii="Arial" w:hAnsi="Arial" w:cs="Arial"/>
          <w:b/>
          <w:bCs/>
          <w:color w:val="auto"/>
          <w:sz w:val="24"/>
          <w:szCs w:val="24"/>
        </w:rPr>
        <w:t xml:space="preserve">Nature </w:t>
      </w:r>
      <w:r w:rsidRPr="00640889">
        <w:rPr>
          <w:rFonts w:ascii="Arial" w:hAnsi="Arial" w:cs="Arial"/>
          <w:b/>
          <w:bCs/>
          <w:color w:val="auto"/>
          <w:sz w:val="24"/>
          <w:szCs w:val="24"/>
        </w:rPr>
        <w:t>of Statehood</w:t>
      </w:r>
      <w:bookmarkEnd w:id="2"/>
    </w:p>
    <w:p w:rsidR="00821C9E" w:rsidP="005C2DB2">
      <w:pPr>
        <w:pStyle w:val="ListParagraph"/>
        <w:numPr>
          <w:ilvl w:val="0"/>
          <w:numId w:val="1"/>
        </w:numPr>
        <w:ind w:left="426" w:hanging="426"/>
        <w:jc w:val="both"/>
      </w:pPr>
      <w:r>
        <w:t>The presence or absence of statehood is not a straightforward matter of fact but rather one of legal status.</w:t>
      </w:r>
      <w:r>
        <w:rPr>
          <w:rStyle w:val="EndnoteReference"/>
        </w:rPr>
        <w:endnoteReference w:id="25"/>
      </w:r>
      <w:r>
        <w:t xml:space="preserve"> Whether or not a particular political community </w:t>
      </w:r>
      <w:r w:rsidRPr="0034094D">
        <w:rPr>
          <w:i/>
          <w:iCs/>
        </w:rPr>
        <w:t>counts</w:t>
      </w:r>
      <w:r>
        <w:t xml:space="preserve"> as a state for legal purposes turns on whether it meets the criteria for statehood established under international law.</w:t>
      </w:r>
      <w:r>
        <w:rPr>
          <w:rStyle w:val="EndnoteReference"/>
        </w:rPr>
        <w:endnoteReference w:id="26"/>
      </w:r>
      <w:r>
        <w:t xml:space="preserve"> These criteria are highly contested,</w:t>
      </w:r>
      <w:r>
        <w:rPr>
          <w:rStyle w:val="EndnoteReference"/>
        </w:rPr>
        <w:endnoteReference w:id="27"/>
      </w:r>
      <w:r>
        <w:t xml:space="preserve"> however their generally accepted core can be briefly stated as follows.</w:t>
      </w:r>
    </w:p>
    <w:p w:rsidR="00821C9E" w:rsidP="005C2DB2">
      <w:pPr>
        <w:ind w:left="426" w:hanging="426"/>
        <w:jc w:val="both"/>
      </w:pPr>
    </w:p>
    <w:p w:rsidR="00821C9E" w:rsidP="005C2DB2">
      <w:pPr>
        <w:pStyle w:val="ListParagraph"/>
        <w:numPr>
          <w:ilvl w:val="0"/>
          <w:numId w:val="1"/>
        </w:numPr>
        <w:ind w:left="426" w:hanging="426"/>
        <w:jc w:val="both"/>
      </w:pPr>
      <w:r>
        <w:t>First, to count as states, political communities must satisfy the ‘antecedents of statehood’,</w:t>
      </w:r>
      <w:r>
        <w:rPr>
          <w:rStyle w:val="EndnoteReference"/>
        </w:rPr>
        <w:endnoteReference w:id="28"/>
      </w:r>
      <w:r>
        <w:t xml:space="preserve"> which establish the basic conditions for state creation and continuity.</w:t>
      </w:r>
      <w:r>
        <w:rPr>
          <w:rStyle w:val="EndnoteReference"/>
        </w:rPr>
        <w:endnoteReference w:id="29"/>
      </w:r>
      <w:r>
        <w:t xml:space="preserve"> These are as follows: a permanent population; a more-or-less determinate territory; an effective government; and relative political independence.</w:t>
      </w:r>
      <w:r>
        <w:rPr>
          <w:rStyle w:val="EndnoteReference"/>
        </w:rPr>
        <w:endnoteReference w:id="30"/>
      </w:r>
      <w:r>
        <w:t xml:space="preserve"> Political communities without these antecedents typically cannot emerge as states, while states that lose one or more of them permanently risk losing their statehood. The antecedents of population and territory are particularly relevant to SIDS threatened by sea-level rise since any losses of inhabitable land directly affect whether these states might be said to possess either ‘population’ or ‘territory’ (see </w:t>
      </w:r>
      <w:r w:rsidRPr="005724C8">
        <w:rPr>
          <w:u w:val="single"/>
        </w:rPr>
        <w:t>paragraphs 1</w:t>
      </w:r>
      <w:r w:rsidR="00D15CEF">
        <w:rPr>
          <w:u w:val="single"/>
        </w:rPr>
        <w:t>0</w:t>
      </w:r>
      <w:r w:rsidRPr="005724C8">
        <w:rPr>
          <w:u w:val="single"/>
        </w:rPr>
        <w:t xml:space="preserve"> and 1</w:t>
      </w:r>
      <w:r w:rsidR="00D15CEF">
        <w:rPr>
          <w:u w:val="single"/>
        </w:rPr>
        <w:t>1</w:t>
      </w:r>
      <w:r>
        <w:t xml:space="preserve"> below).</w:t>
      </w:r>
    </w:p>
    <w:p w:rsidR="00821C9E" w:rsidP="005C2DB2">
      <w:pPr>
        <w:ind w:left="426" w:hanging="426"/>
        <w:jc w:val="both"/>
      </w:pPr>
    </w:p>
    <w:p w:rsidR="00821C9E" w:rsidP="005C2DB2">
      <w:pPr>
        <w:pStyle w:val="ListParagraph"/>
        <w:numPr>
          <w:ilvl w:val="0"/>
          <w:numId w:val="1"/>
        </w:numPr>
        <w:ind w:left="426" w:hanging="426"/>
        <w:jc w:val="both"/>
      </w:pPr>
      <w:r>
        <w:t>Second, to count as states, a political communities must emerge in manner consistent with other important principles of international law, such as the prohibition on the use or threat of force contained in Article 2(4) of the UN Charter.</w:t>
      </w:r>
      <w:r>
        <w:rPr>
          <w:rStyle w:val="EndnoteReference"/>
        </w:rPr>
        <w:endnoteReference w:id="31"/>
      </w:r>
      <w:r>
        <w:t xml:space="preserve"> Certain remedial options available to SIDS are implicated by these principles. For example, states at risk of total submergence could merge with other political communities to create new states.</w:t>
      </w:r>
      <w:r>
        <w:rPr>
          <w:rStyle w:val="EndnoteReference"/>
        </w:rPr>
        <w:endnoteReference w:id="32"/>
      </w:r>
      <w:r>
        <w:t xml:space="preserve"> However, since such options effectively concede that many SIDS are doomed to legal extinction</w:t>
      </w:r>
      <w:r>
        <w:rPr>
          <w:rStyle w:val="EndnoteReference"/>
        </w:rPr>
        <w:endnoteReference w:id="33"/>
      </w:r>
      <w:r>
        <w:t xml:space="preserve"> – a point which should </w:t>
      </w:r>
      <w:r w:rsidRPr="00DB2766">
        <w:rPr>
          <w:i/>
          <w:iCs/>
        </w:rPr>
        <w:t xml:space="preserve">not </w:t>
      </w:r>
      <w:r>
        <w:t>be conceded – I say no more about them here.</w:t>
      </w:r>
    </w:p>
    <w:p w:rsidR="00821C9E" w:rsidP="005C2DB2">
      <w:pPr>
        <w:ind w:left="426" w:hanging="426"/>
        <w:jc w:val="both"/>
      </w:pPr>
    </w:p>
    <w:p w:rsidR="00821C9E" w:rsidP="005C2DB2">
      <w:pPr>
        <w:pStyle w:val="ListParagraph"/>
        <w:numPr>
          <w:ilvl w:val="0"/>
          <w:numId w:val="1"/>
        </w:numPr>
        <w:ind w:left="426" w:hanging="426"/>
        <w:jc w:val="both"/>
      </w:pPr>
      <w:r>
        <w:t>Third, and finally, legal statehood is bolstered when the political communities in question are formally recognised by the governments of other established states.</w:t>
      </w:r>
      <w:r>
        <w:rPr>
          <w:rStyle w:val="EndnoteReference"/>
        </w:rPr>
        <w:endnoteReference w:id="34"/>
      </w:r>
      <w:r>
        <w:t xml:space="preserve"> Some debate persists as to whether such recognition is ‘constitutive’ of statehood or merely ‘declaratory’.</w:t>
      </w:r>
      <w:r>
        <w:rPr>
          <w:rStyle w:val="EndnoteReference"/>
        </w:rPr>
        <w:endnoteReference w:id="35"/>
      </w:r>
      <w:r>
        <w:t xml:space="preserve"> However, </w:t>
      </w:r>
      <w:r w:rsidR="00E900EC">
        <w:t xml:space="preserve">for </w:t>
      </w:r>
      <w:r>
        <w:t xml:space="preserve">most practical purposes this is immaterial: wherever a community is generally recognised to possess statehood, it will be </w:t>
      </w:r>
      <w:r>
        <w:t xml:space="preserve">treated </w:t>
      </w:r>
      <w:r w:rsidRPr="005724C8">
        <w:t>as</w:t>
      </w:r>
      <w:r>
        <w:rPr>
          <w:i/>
          <w:iCs/>
        </w:rPr>
        <w:t xml:space="preserve"> </w:t>
      </w:r>
      <w:r>
        <w:t xml:space="preserve">a state in every way that truly matters. As detailed in </w:t>
      </w:r>
      <w:r w:rsidRPr="005724C8">
        <w:rPr>
          <w:u w:val="single"/>
        </w:rPr>
        <w:t>paragraphs 1</w:t>
      </w:r>
      <w:r w:rsidR="00D15CEF">
        <w:rPr>
          <w:u w:val="single"/>
        </w:rPr>
        <w:t>3</w:t>
      </w:r>
      <w:r w:rsidRPr="005724C8">
        <w:rPr>
          <w:u w:val="single"/>
        </w:rPr>
        <w:t xml:space="preserve"> </w:t>
      </w:r>
      <w:r>
        <w:rPr>
          <w:u w:val="single"/>
        </w:rPr>
        <w:t>to 1</w:t>
      </w:r>
      <w:r w:rsidR="00D15CEF">
        <w:rPr>
          <w:u w:val="single"/>
        </w:rPr>
        <w:t>5</w:t>
      </w:r>
      <w:r>
        <w:t xml:space="preserve"> below, providing a clear and inclusive recognition policy is of supreme importance for the </w:t>
      </w:r>
      <w:r w:rsidRPr="00301DAF">
        <w:t>UK Small Island Developing States Strategy</w:t>
      </w:r>
      <w:r>
        <w:t xml:space="preserve"> for this very reason.</w:t>
      </w:r>
    </w:p>
    <w:p w:rsidR="00821C9E" w:rsidP="007D2A61">
      <w:pPr>
        <w:jc w:val="both"/>
      </w:pPr>
    </w:p>
    <w:p w:rsidR="00821C9E" w:rsidRPr="00FF2107" w:rsidP="005C2DB2">
      <w:pPr>
        <w:pStyle w:val="Heading1"/>
        <w:spacing w:before="0"/>
        <w:ind w:left="426" w:hanging="426"/>
        <w:jc w:val="both"/>
        <w:rPr>
          <w:rFonts w:ascii="Arial" w:hAnsi="Arial" w:cs="Arial"/>
          <w:b/>
          <w:bCs/>
          <w:color w:val="000000" w:themeColor="text1"/>
          <w:sz w:val="24"/>
          <w:szCs w:val="24"/>
        </w:rPr>
      </w:pPr>
      <w:bookmarkStart w:id="3" w:name="_Toc137564411"/>
      <w:r>
        <w:rPr>
          <w:rFonts w:ascii="Arial" w:hAnsi="Arial" w:cs="Arial"/>
          <w:b/>
          <w:bCs/>
          <w:color w:val="000000" w:themeColor="text1"/>
          <w:sz w:val="24"/>
          <w:szCs w:val="24"/>
        </w:rPr>
        <w:t xml:space="preserve">The Law of </w:t>
      </w:r>
      <w:r w:rsidRPr="00FF2107">
        <w:rPr>
          <w:rFonts w:ascii="Arial" w:hAnsi="Arial" w:cs="Arial"/>
          <w:b/>
          <w:bCs/>
          <w:color w:val="000000" w:themeColor="text1"/>
          <w:sz w:val="24"/>
          <w:szCs w:val="24"/>
        </w:rPr>
        <w:t>State</w:t>
      </w:r>
      <w:r>
        <w:rPr>
          <w:rFonts w:ascii="Arial" w:hAnsi="Arial" w:cs="Arial"/>
          <w:b/>
          <w:bCs/>
          <w:color w:val="000000" w:themeColor="text1"/>
          <w:sz w:val="24"/>
          <w:szCs w:val="24"/>
        </w:rPr>
        <w:t xml:space="preserve"> Continuity – Relevant Issues</w:t>
      </w:r>
      <w:bookmarkEnd w:id="3"/>
    </w:p>
    <w:p w:rsidR="00821C9E" w:rsidP="007F67C0">
      <w:pPr>
        <w:pStyle w:val="ListParagraph"/>
        <w:numPr>
          <w:ilvl w:val="0"/>
          <w:numId w:val="1"/>
        </w:numPr>
        <w:ind w:left="426" w:hanging="426"/>
        <w:jc w:val="both"/>
      </w:pPr>
      <w:r>
        <w:t>There is a strong presumption at international law that once a state can be shown to exist it will continue to do so, notwithstanding significant disruption to its population, territory, government, or political independence.</w:t>
      </w:r>
      <w:r>
        <w:rPr>
          <w:rStyle w:val="EndnoteReference"/>
        </w:rPr>
        <w:endnoteReference w:id="36"/>
      </w:r>
      <w:r>
        <w:t xml:space="preserve"> This explains, for example, the phenomenon of ‘governments in exile’ and the principle that the belligerent occupation of territory will not disrupt extant statehood within the occupied territory.</w:t>
      </w:r>
      <w:r>
        <w:rPr>
          <w:rStyle w:val="EndnoteReference"/>
        </w:rPr>
        <w:endnoteReference w:id="37"/>
      </w:r>
    </w:p>
    <w:p w:rsidR="00821C9E" w:rsidP="007F67C0">
      <w:pPr>
        <w:pStyle w:val="ListParagraph"/>
        <w:ind w:left="426"/>
        <w:jc w:val="both"/>
      </w:pPr>
    </w:p>
    <w:p w:rsidR="00821C9E" w:rsidP="007F67C0">
      <w:pPr>
        <w:pStyle w:val="ListParagraph"/>
        <w:numPr>
          <w:ilvl w:val="0"/>
          <w:numId w:val="1"/>
        </w:numPr>
        <w:ind w:left="426" w:hanging="426"/>
        <w:jc w:val="both"/>
      </w:pPr>
      <w:r>
        <w:t>SIDS facing extinction due to sea-level rise are afforded considerable protection by this presumption,</w:t>
      </w:r>
      <w:r>
        <w:rPr>
          <w:rStyle w:val="EndnoteReference"/>
        </w:rPr>
        <w:endnoteReference w:id="38"/>
      </w:r>
      <w:r>
        <w:t xml:space="preserve"> however it has two significant limitations. First, the presumption of state continuity is rebuttable. States can </w:t>
      </w:r>
      <w:r w:rsidR="00E900EC">
        <w:t>(</w:t>
      </w:r>
      <w:r>
        <w:t>and have</w:t>
      </w:r>
      <w:r w:rsidR="00E900EC">
        <w:t>)</w:t>
      </w:r>
      <w:r>
        <w:t xml:space="preserve"> become extinct where their losses of population, territory, government, or independence have been total or permanent.</w:t>
      </w:r>
      <w:r>
        <w:rPr>
          <w:rStyle w:val="EndnoteReference"/>
        </w:rPr>
        <w:endnoteReference w:id="39"/>
      </w:r>
      <w:r>
        <w:t xml:space="preserve"> Ultimately, it is these ‘antecedents of statehood’ (see </w:t>
      </w:r>
      <w:r w:rsidRPr="004E77DC">
        <w:rPr>
          <w:u w:val="single"/>
        </w:rPr>
        <w:t xml:space="preserve">paragraph </w:t>
      </w:r>
      <w:r w:rsidR="00D15CEF">
        <w:rPr>
          <w:u w:val="single"/>
        </w:rPr>
        <w:t>4</w:t>
      </w:r>
      <w:r>
        <w:t xml:space="preserve"> above) that currently determine whether statehood endures or whether a state becomes extinct.</w:t>
      </w:r>
      <w:r>
        <w:rPr>
          <w:rStyle w:val="EndnoteReference"/>
        </w:rPr>
        <w:endnoteReference w:id="40"/>
      </w:r>
      <w:r>
        <w:t xml:space="preserve"> Second, unlike all previous cases where legal statehood has endured notwithstanding significant disruption, sea-level rise constitutes a </w:t>
      </w:r>
      <w:r w:rsidRPr="007D713C">
        <w:rPr>
          <w:i/>
          <w:iCs/>
        </w:rPr>
        <w:t>physical</w:t>
      </w:r>
      <w:r>
        <w:t xml:space="preserve"> and </w:t>
      </w:r>
      <w:r w:rsidRPr="007D713C">
        <w:rPr>
          <w:i/>
          <w:iCs/>
        </w:rPr>
        <w:t>potentially permanent</w:t>
      </w:r>
      <w:r>
        <w:t xml:space="preserve"> undermining of that status.</w:t>
      </w:r>
      <w:r>
        <w:rPr>
          <w:rStyle w:val="EndnoteReference"/>
        </w:rPr>
        <w:endnoteReference w:id="41"/>
      </w:r>
      <w:r>
        <w:t xml:space="preserve"> Historically, almost every case in which states have endured ‘against the odds’ has transpired in relation to </w:t>
      </w:r>
      <w:r w:rsidRPr="007D713C">
        <w:rPr>
          <w:i/>
          <w:iCs/>
        </w:rPr>
        <w:t>political</w:t>
      </w:r>
      <w:r>
        <w:t xml:space="preserve"> and </w:t>
      </w:r>
      <w:r w:rsidR="00E900EC">
        <w:rPr>
          <w:i/>
          <w:iCs/>
        </w:rPr>
        <w:t xml:space="preserve">presumptively </w:t>
      </w:r>
      <w:r w:rsidRPr="007D713C">
        <w:rPr>
          <w:i/>
          <w:iCs/>
        </w:rPr>
        <w:t>temporary</w:t>
      </w:r>
      <w:r>
        <w:t xml:space="preserve"> causes, such as foreign invasion or civil war.</w:t>
      </w:r>
      <w:r>
        <w:rPr>
          <w:rStyle w:val="EndnoteReference"/>
        </w:rPr>
        <w:endnoteReference w:id="42"/>
      </w:r>
      <w:r>
        <w:t xml:space="preserve"> This makes sea-level rise an unprecedented threat to state continuity, and so one for which no legal precedents in favour of continuity exist.</w:t>
      </w:r>
      <w:r>
        <w:rPr>
          <w:rStyle w:val="EndnoteReference"/>
        </w:rPr>
        <w:endnoteReference w:id="43"/>
      </w:r>
    </w:p>
    <w:p w:rsidR="00821C9E" w:rsidP="00E34EDA">
      <w:pPr>
        <w:pStyle w:val="ListParagraph"/>
      </w:pPr>
    </w:p>
    <w:p w:rsidR="00821C9E" w:rsidP="007F67C0">
      <w:pPr>
        <w:pStyle w:val="ListParagraph"/>
        <w:numPr>
          <w:ilvl w:val="0"/>
          <w:numId w:val="1"/>
        </w:numPr>
        <w:ind w:left="426" w:hanging="426"/>
        <w:jc w:val="both"/>
      </w:pPr>
      <w:r>
        <w:t xml:space="preserve">In </w:t>
      </w:r>
      <w:r w:rsidRPr="007D713C">
        <w:rPr>
          <w:u w:val="single"/>
        </w:rPr>
        <w:t>paragraph 1</w:t>
      </w:r>
      <w:r w:rsidR="00D15CEF">
        <w:rPr>
          <w:u w:val="single"/>
        </w:rPr>
        <w:t>4</w:t>
      </w:r>
      <w:r w:rsidRPr="007D713C">
        <w:rPr>
          <w:u w:val="single"/>
        </w:rPr>
        <w:t>(c)</w:t>
      </w:r>
      <w:r>
        <w:t xml:space="preserve">, I suggest that the </w:t>
      </w:r>
      <w:r w:rsidRPr="00301DAF">
        <w:t xml:space="preserve">UK </w:t>
      </w:r>
      <w:r>
        <w:t xml:space="preserve">should commit to a more robust interpretation of state continuity, specifically in relation to ‘oceanic submergence’. However, if the FCDO were to adopt this approach, it would be fighting against a strong current of international legal opinion. This current, which I have described </w:t>
      </w:r>
      <w:r>
        <w:t>elsewhere as the ‘austere view’ of state continuity, holds that states without inhabitable land simply cannot exist.</w:t>
      </w:r>
      <w:r>
        <w:rPr>
          <w:rStyle w:val="EndnoteReference"/>
        </w:rPr>
        <w:endnoteReference w:id="44"/>
      </w:r>
      <w:r>
        <w:t xml:space="preserve"> Although the legal grounds for this view are suspect, it has attracted widespread support within academic commentary and international practice.</w:t>
      </w:r>
      <w:r>
        <w:rPr>
          <w:rStyle w:val="EndnoteReference"/>
        </w:rPr>
        <w:endnoteReference w:id="45"/>
      </w:r>
      <w:r>
        <w:t xml:space="preserve"> The dominance of the austere view can only be challenged by states such as the UK officially adopting a more liberal position on state continuity.</w:t>
      </w:r>
    </w:p>
    <w:p w:rsidR="00821C9E" w:rsidP="007D08DB">
      <w:pPr>
        <w:pStyle w:val="ListParagraph"/>
      </w:pPr>
    </w:p>
    <w:p w:rsidR="00821C9E" w:rsidP="007F67C0">
      <w:pPr>
        <w:pStyle w:val="ListParagraph"/>
        <w:numPr>
          <w:ilvl w:val="0"/>
          <w:numId w:val="1"/>
        </w:numPr>
        <w:ind w:left="426" w:hanging="426"/>
        <w:jc w:val="both"/>
      </w:pPr>
      <w:r>
        <w:t>Within this context, it is particularly important to ask what it means for states to possess both a ‘permanent population’ and a ‘more-or-less determinate territory’, since these are the elements of legal statehood ostensibly under threat from sea-level rise. The austere view of state continuity holds that ‘territory’ necessarily implies at least some inhabitable land, such that, for example, the idea of maritime territory without a land-based ‘anchor’ is legally nonsensical.</w:t>
      </w:r>
      <w:r>
        <w:rPr>
          <w:rStyle w:val="EndnoteReference"/>
        </w:rPr>
        <w:endnoteReference w:id="46"/>
      </w:r>
      <w:r>
        <w:t xml:space="preserve"> Similarly, the austere view understands ‘permanent population’ to denote a people who are habitually resident </w:t>
      </w:r>
      <w:r>
        <w:rPr>
          <w:i/>
          <w:iCs/>
        </w:rPr>
        <w:t>upon the land in question</w:t>
      </w:r>
      <w:r>
        <w:t>.</w:t>
      </w:r>
      <w:r>
        <w:rPr>
          <w:rStyle w:val="EndnoteReference"/>
        </w:rPr>
        <w:endnoteReference w:id="47"/>
      </w:r>
      <w:r>
        <w:t xml:space="preserve"> </w:t>
      </w:r>
    </w:p>
    <w:p w:rsidR="00821C9E" w:rsidP="0007547E">
      <w:pPr>
        <w:pStyle w:val="ListParagraph"/>
      </w:pPr>
    </w:p>
    <w:p w:rsidR="00821C9E" w:rsidP="007F67C0">
      <w:pPr>
        <w:pStyle w:val="ListParagraph"/>
        <w:numPr>
          <w:ilvl w:val="0"/>
          <w:numId w:val="1"/>
        </w:numPr>
        <w:ind w:left="426" w:hanging="426"/>
        <w:jc w:val="both"/>
      </w:pPr>
      <w:r>
        <w:t xml:space="preserve">However, neither of these austere interpretations necessarily follow from the separate proposition that states must possess both territory and </w:t>
      </w:r>
      <w:r w:rsidR="00E900EC">
        <w:t xml:space="preserve">a </w:t>
      </w:r>
      <w:r>
        <w:t>population. First, it is entirely plausible that an area of exclusively maritime territory might be demarcated in relation to currently uninhabitable ‘submerged land’, whether or not the cause of that submergence is sea-level rise.</w:t>
      </w:r>
      <w:r>
        <w:rPr>
          <w:rStyle w:val="EndnoteReference"/>
        </w:rPr>
        <w:endnoteReference w:id="48"/>
      </w:r>
      <w:r>
        <w:t xml:space="preserve"> Second, there are historical precedents for entire political communities existing primarily in relation to stretches of sea or ocean, rather than inhabitable landmasses.</w:t>
      </w:r>
      <w:r>
        <w:rPr>
          <w:rStyle w:val="EndnoteReference"/>
        </w:rPr>
        <w:endnoteReference w:id="49"/>
      </w:r>
      <w:r>
        <w:t xml:space="preserve"> Third, it remains possible that ‘permanent populations’ might exist notwithstanding the fact that those populations occupy no discrete territories. The conceptual space for this last point is evident from the very existence of ‘governments in exile’, which proves that, under certain conditions, states can possess governments even though those governments lack any control over their nominal territories. If governments can be ‘landless’, in the sense that they cannot access their territory in an ‘ordinary’ manner, this may also hold for populations.</w:t>
      </w:r>
      <w:r>
        <w:rPr>
          <w:rStyle w:val="EndnoteReference"/>
        </w:rPr>
        <w:endnoteReference w:id="50"/>
      </w:r>
      <w:r>
        <w:t xml:space="preserve"> For instance, the population of submerged states could be defined in terms of formal citizenship,</w:t>
      </w:r>
      <w:r>
        <w:rPr>
          <w:rStyle w:val="EndnoteReference"/>
        </w:rPr>
        <w:endnoteReference w:id="51"/>
      </w:r>
      <w:r>
        <w:t xml:space="preserve"> while cultural and political cohesion could be maintained through initiatives such as </w:t>
      </w:r>
      <w:r w:rsidR="00AE05C6">
        <w:t>Tuvalu</w:t>
      </w:r>
      <w:r>
        <w:t xml:space="preserve">’s </w:t>
      </w:r>
      <w:r>
        <w:t>Digital Nation project.</w:t>
      </w:r>
      <w:r>
        <w:rPr>
          <w:rStyle w:val="EndnoteReference"/>
        </w:rPr>
        <w:endnoteReference w:id="52"/>
      </w:r>
      <w:r w:rsidR="00EA4E68">
        <w:t xml:space="preserve"> Several SIDS already have a significant percentage of nationals that live beyond their island territories – some </w:t>
      </w:r>
      <w:r w:rsidR="00E900EC">
        <w:t xml:space="preserve">more than </w:t>
      </w:r>
      <w:r w:rsidR="00EA4E68">
        <w:t xml:space="preserve">half – indicating that large non-resident populations are already </w:t>
      </w:r>
      <w:r w:rsidR="00E900EC">
        <w:t>commonplace</w:t>
      </w:r>
      <w:r w:rsidR="00EA4E68">
        <w:t>.</w:t>
      </w:r>
      <w:r>
        <w:rPr>
          <w:rStyle w:val="EndnoteReference"/>
        </w:rPr>
        <w:endnoteReference w:id="53"/>
      </w:r>
    </w:p>
    <w:p w:rsidR="00821C9E" w:rsidP="00B601CF">
      <w:pPr>
        <w:jc w:val="both"/>
      </w:pPr>
    </w:p>
    <w:p w:rsidR="00821C9E" w:rsidP="005C2DB2">
      <w:pPr>
        <w:pStyle w:val="Heading1"/>
        <w:spacing w:before="0"/>
        <w:ind w:left="426" w:hanging="426"/>
        <w:jc w:val="both"/>
        <w:rPr>
          <w:rFonts w:ascii="Arial" w:hAnsi="Arial" w:cs="Arial"/>
          <w:b/>
          <w:bCs/>
          <w:color w:val="000000" w:themeColor="text1"/>
          <w:sz w:val="24"/>
          <w:szCs w:val="24"/>
        </w:rPr>
      </w:pPr>
      <w:bookmarkStart w:id="4" w:name="_Toc137564412"/>
      <w:r>
        <w:rPr>
          <w:rFonts w:ascii="Arial" w:hAnsi="Arial" w:cs="Arial"/>
          <w:b/>
          <w:bCs/>
          <w:color w:val="000000" w:themeColor="text1"/>
          <w:sz w:val="24"/>
          <w:szCs w:val="24"/>
        </w:rPr>
        <w:t>Indicative</w:t>
      </w:r>
      <w:r w:rsidRPr="00FF2107">
        <w:rPr>
          <w:rFonts w:ascii="Arial" w:hAnsi="Arial" w:cs="Arial"/>
          <w:b/>
          <w:bCs/>
          <w:color w:val="000000" w:themeColor="text1"/>
          <w:sz w:val="24"/>
          <w:szCs w:val="24"/>
        </w:rPr>
        <w:t xml:space="preserve"> Recommendations</w:t>
      </w:r>
      <w:bookmarkEnd w:id="4"/>
    </w:p>
    <w:p w:rsidR="00821C9E" w:rsidP="005C2DB2">
      <w:pPr>
        <w:pStyle w:val="ListParagraph"/>
        <w:numPr>
          <w:ilvl w:val="0"/>
          <w:numId w:val="1"/>
        </w:numPr>
        <w:ind w:left="426" w:hanging="426"/>
        <w:jc w:val="both"/>
      </w:pPr>
      <w:r>
        <w:t xml:space="preserve">The three recommendations </w:t>
      </w:r>
      <w:r w:rsidR="00E900EC">
        <w:t>below</w:t>
      </w:r>
      <w:r>
        <w:t xml:space="preserve"> are indicative and not intended to exhaust the support that SIDS should receive in relation to sea-level rise and international law. I have omitted more radical suggestions, such as those calling for legal statehood itself to be reconstructed and applied in an altogether different and non-territorial manner,</w:t>
      </w:r>
      <w:r>
        <w:rPr>
          <w:rStyle w:val="EndnoteReference"/>
        </w:rPr>
        <w:endnoteReference w:id="54"/>
      </w:r>
      <w:r>
        <w:t xml:space="preserve"> with an eye to what is most immediately feasible for the UK to adopt.</w:t>
      </w:r>
    </w:p>
    <w:p w:rsidR="00821C9E" w:rsidP="005C2DB2">
      <w:pPr>
        <w:ind w:left="426" w:hanging="426"/>
        <w:jc w:val="both"/>
      </w:pPr>
    </w:p>
    <w:p w:rsidR="00821C9E" w:rsidRPr="00FF2107" w:rsidP="005C2DB2">
      <w:pPr>
        <w:pStyle w:val="Heading2"/>
        <w:ind w:left="426" w:hanging="426"/>
        <w:jc w:val="both"/>
        <w:rPr>
          <w:rFonts w:ascii="Arial" w:hAnsi="Arial" w:cs="Arial"/>
          <w:i/>
          <w:iCs/>
          <w:color w:val="auto"/>
          <w:sz w:val="24"/>
          <w:szCs w:val="24"/>
          <w:u w:val="single"/>
        </w:rPr>
      </w:pPr>
      <w:bookmarkStart w:id="5" w:name="_Toc137564413"/>
      <w:r w:rsidRPr="00FF2107">
        <w:rPr>
          <w:rFonts w:ascii="Arial" w:hAnsi="Arial" w:cs="Arial"/>
          <w:i/>
          <w:iCs/>
          <w:color w:val="auto"/>
          <w:sz w:val="24"/>
          <w:szCs w:val="24"/>
          <w:u w:val="single"/>
        </w:rPr>
        <w:t xml:space="preserve">Recommendation </w:t>
      </w:r>
      <w:r>
        <w:rPr>
          <w:rFonts w:ascii="Arial" w:hAnsi="Arial" w:cs="Arial"/>
          <w:i/>
          <w:iCs/>
          <w:color w:val="auto"/>
          <w:sz w:val="24"/>
          <w:szCs w:val="24"/>
          <w:u w:val="single"/>
        </w:rPr>
        <w:t>1</w:t>
      </w:r>
      <w:r w:rsidRPr="00FF2107">
        <w:rPr>
          <w:rFonts w:ascii="Arial" w:hAnsi="Arial" w:cs="Arial"/>
          <w:i/>
          <w:iCs/>
          <w:color w:val="auto"/>
          <w:sz w:val="24"/>
          <w:szCs w:val="24"/>
          <w:u w:val="single"/>
        </w:rPr>
        <w:t xml:space="preserve"> – </w:t>
      </w:r>
      <w:r>
        <w:rPr>
          <w:rFonts w:ascii="Arial" w:hAnsi="Arial" w:cs="Arial"/>
          <w:i/>
          <w:iCs/>
          <w:color w:val="auto"/>
          <w:sz w:val="24"/>
          <w:szCs w:val="24"/>
          <w:u w:val="single"/>
        </w:rPr>
        <w:t xml:space="preserve">An Inclusive </w:t>
      </w:r>
      <w:r w:rsidRPr="00FF2107">
        <w:rPr>
          <w:rFonts w:ascii="Arial" w:hAnsi="Arial" w:cs="Arial"/>
          <w:i/>
          <w:iCs/>
          <w:color w:val="auto"/>
          <w:sz w:val="24"/>
          <w:szCs w:val="24"/>
          <w:u w:val="single"/>
        </w:rPr>
        <w:t>Recognition Policy</w:t>
      </w:r>
      <w:bookmarkEnd w:id="5"/>
    </w:p>
    <w:p w:rsidR="00821C9E" w:rsidP="005C2DB2">
      <w:pPr>
        <w:pStyle w:val="ListParagraph"/>
        <w:numPr>
          <w:ilvl w:val="0"/>
          <w:numId w:val="1"/>
        </w:numPr>
        <w:ind w:left="426" w:hanging="426"/>
        <w:jc w:val="both"/>
      </w:pPr>
      <w:r>
        <w:t xml:space="preserve">The </w:t>
      </w:r>
      <w:r w:rsidRPr="00301DAF">
        <w:t>UK Small Island Developing States Strategy</w:t>
      </w:r>
      <w:r>
        <w:t xml:space="preserve"> should include a concrete commitment to the formal legal continuity of submerged SIDS as part of its ‘c</w:t>
      </w:r>
      <w:r w:rsidRPr="00301DAF">
        <w:t>limate change and natural disasters</w:t>
      </w:r>
      <w:r>
        <w:t>’ area of focus. Moreover, given that legal statehood is prerequisite for the existence of discrete national governments and economies, this pressing issue implicates the ‘e</w:t>
      </w:r>
      <w:r w:rsidRPr="00301DAF">
        <w:t>conomic diversification and prosperity</w:t>
      </w:r>
      <w:r>
        <w:t>’ and ‘i</w:t>
      </w:r>
      <w:r w:rsidRPr="00301DAF">
        <w:t>nclusive governance and shared values</w:t>
      </w:r>
      <w:r>
        <w:t>’ areas of focus as well.</w:t>
      </w:r>
    </w:p>
    <w:p w:rsidR="00821C9E" w:rsidP="00BA3B20">
      <w:pPr>
        <w:pStyle w:val="ListParagraph"/>
        <w:ind w:left="426"/>
        <w:jc w:val="both"/>
      </w:pPr>
    </w:p>
    <w:p w:rsidR="00821C9E" w:rsidP="00624301">
      <w:pPr>
        <w:pStyle w:val="ListParagraph"/>
        <w:numPr>
          <w:ilvl w:val="0"/>
          <w:numId w:val="1"/>
        </w:numPr>
        <w:ind w:left="426" w:hanging="426"/>
        <w:jc w:val="both"/>
      </w:pPr>
      <w:r>
        <w:t>A commitment to SIDS continuity might proceed along three different lines, each of which could be adopted either discretely or in combination:</w:t>
      </w:r>
    </w:p>
    <w:p w:rsidR="00821C9E" w:rsidP="00624301">
      <w:pPr>
        <w:pStyle w:val="ListParagraph"/>
      </w:pPr>
    </w:p>
    <w:p w:rsidR="00821C9E" w:rsidP="00BD5560">
      <w:pPr>
        <w:pStyle w:val="ListParagraph"/>
        <w:numPr>
          <w:ilvl w:val="1"/>
          <w:numId w:val="3"/>
        </w:numPr>
        <w:jc w:val="both"/>
      </w:pPr>
      <w:r>
        <w:t>First, via either unilateral declaration or treaty,</w:t>
      </w:r>
      <w:r>
        <w:rPr>
          <w:rStyle w:val="EndnoteReference"/>
        </w:rPr>
        <w:endnoteReference w:id="55"/>
      </w:r>
      <w:r>
        <w:t xml:space="preserve"> the UK could commit not to withdraw either recognition or formal diplomatic relations from existing SIDS, even if all of their inhabitable land is lost to ‘oceanic submergence’.</w:t>
      </w:r>
      <w:r>
        <w:rPr>
          <w:rStyle w:val="EndnoteReference"/>
        </w:rPr>
        <w:endnoteReference w:id="56"/>
      </w:r>
      <w:r>
        <w:t xml:space="preserve"> This has the virtue of being relatively self-contained: the category of affected states would be closed (they could even be listed), and although there may be costs involved in maintaining diplomatic relations with submerged states</w:t>
      </w:r>
      <w:r w:rsidR="00E900EC">
        <w:t xml:space="preserve">, </w:t>
      </w:r>
      <w:r>
        <w:t>just as there is with governments in exile, these are likely to be minor.</w:t>
      </w:r>
    </w:p>
    <w:p w:rsidR="00821C9E" w:rsidP="00624301">
      <w:pPr>
        <w:pStyle w:val="ListParagraph"/>
        <w:ind w:left="1440"/>
        <w:jc w:val="both"/>
      </w:pPr>
    </w:p>
    <w:p w:rsidR="00821C9E" w:rsidP="00BD5560">
      <w:pPr>
        <w:pStyle w:val="ListParagraph"/>
        <w:numPr>
          <w:ilvl w:val="1"/>
          <w:numId w:val="3"/>
        </w:numPr>
        <w:jc w:val="both"/>
      </w:pPr>
      <w:r>
        <w:t>Second, the UK could issue a unilateral declaration that it will not recognise any loss</w:t>
      </w:r>
      <w:r w:rsidR="00E900EC">
        <w:t>es</w:t>
      </w:r>
      <w:r>
        <w:t xml:space="preserve"> of territorial title or statehood arising from oceanic submergence. This coheres with </w:t>
      </w:r>
      <w:r w:rsidRPr="00467E5D">
        <w:rPr>
          <w:i/>
          <w:iCs/>
          <w:u w:val="single"/>
        </w:rPr>
        <w:t>Recommendation 2</w:t>
      </w:r>
      <w:r>
        <w:t xml:space="preserve"> (</w:t>
      </w:r>
      <w:r w:rsidRPr="00F771E8">
        <w:rPr>
          <w:u w:val="single"/>
        </w:rPr>
        <w:t>paragraphs 1</w:t>
      </w:r>
      <w:r w:rsidR="00D15CEF">
        <w:rPr>
          <w:u w:val="single"/>
        </w:rPr>
        <w:t>6</w:t>
      </w:r>
      <w:r w:rsidRPr="00F771E8">
        <w:rPr>
          <w:u w:val="single"/>
        </w:rPr>
        <w:t xml:space="preserve"> </w:t>
      </w:r>
      <w:r>
        <w:rPr>
          <w:u w:val="single"/>
        </w:rPr>
        <w:t>to</w:t>
      </w:r>
      <w:r w:rsidRPr="00F771E8">
        <w:rPr>
          <w:u w:val="single"/>
        </w:rPr>
        <w:t xml:space="preserve"> 1</w:t>
      </w:r>
      <w:r w:rsidR="00D15CEF">
        <w:rPr>
          <w:u w:val="single"/>
        </w:rPr>
        <w:t>8</w:t>
      </w:r>
      <w:r>
        <w:t>). It also takes a bolder stance on mitigating climate-related loss and damage, the inequity of which several SIDS emphasise.</w:t>
      </w:r>
      <w:r>
        <w:rPr>
          <w:rStyle w:val="EndnoteReference"/>
        </w:rPr>
        <w:endnoteReference w:id="57"/>
      </w:r>
      <w:r>
        <w:t xml:space="preserve"> However, it is an open-ended commitment and therefore makes more space for unforeseen legal consequences.</w:t>
      </w:r>
    </w:p>
    <w:p w:rsidR="00821C9E" w:rsidP="00624301">
      <w:pPr>
        <w:pStyle w:val="ListParagraph"/>
      </w:pPr>
    </w:p>
    <w:p w:rsidR="00821C9E" w:rsidP="00BD5560">
      <w:pPr>
        <w:pStyle w:val="ListParagraph"/>
        <w:numPr>
          <w:ilvl w:val="1"/>
          <w:numId w:val="3"/>
        </w:numPr>
        <w:jc w:val="both"/>
      </w:pPr>
      <w:r>
        <w:t xml:space="preserve">Third, the UK could make a unilateral declaration that it takes the principle of state continuity to be irrebuttable, at least in circumstances where oceanic submergence would be a major (or sole) cause of lost statehood. This mirrors </w:t>
      </w:r>
      <w:r w:rsidRPr="00E900EC" w:rsidR="00E900EC">
        <w:rPr>
          <w:u w:val="single"/>
        </w:rPr>
        <w:t xml:space="preserve">paragraph </w:t>
      </w:r>
      <w:r w:rsidRPr="00E900EC">
        <w:rPr>
          <w:u w:val="single"/>
        </w:rPr>
        <w:t>1</w:t>
      </w:r>
      <w:r w:rsidRPr="00E900EC" w:rsidR="00D15CEF">
        <w:rPr>
          <w:u w:val="single"/>
        </w:rPr>
        <w:t>4</w:t>
      </w:r>
      <w:r w:rsidRPr="00E900EC">
        <w:rPr>
          <w:u w:val="single"/>
        </w:rPr>
        <w:t>(b)</w:t>
      </w:r>
      <w:r>
        <w:t xml:space="preserve"> in substantive terms, however it has the added benefit of explicitly addressing the current content of customary international law.</w:t>
      </w:r>
      <w:r>
        <w:rPr>
          <w:rStyle w:val="EndnoteReference"/>
        </w:rPr>
        <w:endnoteReference w:id="58"/>
      </w:r>
      <w:r>
        <w:t xml:space="preserve"> By adopting this declaration, and reflecting it within its recognition practices, the UK could exert influence upon </w:t>
      </w:r>
      <w:r w:rsidR="00E900EC">
        <w:t xml:space="preserve">the development of </w:t>
      </w:r>
      <w:r>
        <w:t>international custom in excess of what it could accomplish through purely bilateral or multilateral commitments, such as those</w:t>
      </w:r>
      <w:r w:rsidR="00E900EC">
        <w:t xml:space="preserve"> suggested</w:t>
      </w:r>
      <w:r>
        <w:t xml:space="preserve"> in </w:t>
      </w:r>
      <w:r w:rsidRPr="00E900EC" w:rsidR="00E900EC">
        <w:rPr>
          <w:u w:val="single"/>
        </w:rPr>
        <w:t xml:space="preserve">paragraphs </w:t>
      </w:r>
      <w:r w:rsidRPr="00E900EC">
        <w:rPr>
          <w:u w:val="single"/>
        </w:rPr>
        <w:t>1</w:t>
      </w:r>
      <w:r w:rsidRPr="00E900EC" w:rsidR="00D15CEF">
        <w:rPr>
          <w:u w:val="single"/>
        </w:rPr>
        <w:t>4</w:t>
      </w:r>
      <w:r w:rsidRPr="00E900EC">
        <w:rPr>
          <w:u w:val="single"/>
        </w:rPr>
        <w:t>(a) or 1</w:t>
      </w:r>
      <w:r w:rsidRPr="00E900EC" w:rsidR="00D15CEF">
        <w:rPr>
          <w:u w:val="single"/>
        </w:rPr>
        <w:t>4</w:t>
      </w:r>
      <w:r w:rsidRPr="00E900EC">
        <w:rPr>
          <w:u w:val="single"/>
        </w:rPr>
        <w:t>(b)</w:t>
      </w:r>
      <w:r>
        <w:t>.</w:t>
      </w:r>
      <w:r>
        <w:rPr>
          <w:rStyle w:val="EndnoteReference"/>
        </w:rPr>
        <w:endnoteReference w:id="59"/>
      </w:r>
    </w:p>
    <w:p w:rsidR="00821C9E" w:rsidP="00A846C2">
      <w:pPr>
        <w:pStyle w:val="ListParagraph"/>
      </w:pPr>
    </w:p>
    <w:p w:rsidR="00821C9E" w:rsidP="00A846C2">
      <w:pPr>
        <w:pStyle w:val="ListParagraph"/>
        <w:numPr>
          <w:ilvl w:val="0"/>
          <w:numId w:val="1"/>
        </w:numPr>
        <w:ind w:left="426" w:hanging="426"/>
        <w:jc w:val="both"/>
      </w:pPr>
      <w:r>
        <w:t xml:space="preserve">Should the FCDO wish to implement my recommendation in </w:t>
      </w:r>
      <w:r w:rsidRPr="00A846C2">
        <w:rPr>
          <w:u w:val="single"/>
        </w:rPr>
        <w:t>paragraph 1</w:t>
      </w:r>
      <w:r w:rsidR="00D15CEF">
        <w:rPr>
          <w:u w:val="single"/>
        </w:rPr>
        <w:t>4</w:t>
      </w:r>
      <w:r w:rsidRPr="00A846C2">
        <w:rPr>
          <w:u w:val="single"/>
        </w:rPr>
        <w:t>(c)</w:t>
      </w:r>
      <w:r>
        <w:t>, it may also consider action within the UN General Assembly, for example calling for a resolution to the same effect.</w:t>
      </w:r>
      <w:r>
        <w:rPr>
          <w:rStyle w:val="EndnoteReference"/>
        </w:rPr>
        <w:endnoteReference w:id="60"/>
      </w:r>
      <w:r>
        <w:t xml:space="preserve"> </w:t>
      </w:r>
      <w:r w:rsidR="00C96F73">
        <w:t xml:space="preserve">Such a text would accelerate the alteration of customary international law in favour of SIDS existential resilience. </w:t>
      </w:r>
      <w:r>
        <w:t xml:space="preserve">Moreover, </w:t>
      </w:r>
      <w:r w:rsidR="00E900EC">
        <w:t>the UK</w:t>
      </w:r>
      <w:r>
        <w:t xml:space="preserve"> should consider reflecting this position on state continuity within its written statement to International Court of Justice in relation to the forthcoming advisory opinion on the obligations of states in respect of climate change.</w:t>
      </w:r>
      <w:r>
        <w:rPr>
          <w:rStyle w:val="EndnoteReference"/>
        </w:rPr>
        <w:endnoteReference w:id="61"/>
      </w:r>
    </w:p>
    <w:p w:rsidR="00821C9E" w:rsidP="005C2DB2">
      <w:pPr>
        <w:ind w:left="426" w:hanging="426"/>
        <w:jc w:val="both"/>
      </w:pPr>
    </w:p>
    <w:p w:rsidR="00821C9E" w:rsidRPr="00FF2107" w:rsidP="005C2DB2">
      <w:pPr>
        <w:pStyle w:val="Heading2"/>
        <w:ind w:left="426" w:hanging="426"/>
        <w:jc w:val="both"/>
        <w:rPr>
          <w:rFonts w:ascii="Arial" w:hAnsi="Arial" w:cs="Arial"/>
          <w:i/>
          <w:iCs/>
          <w:color w:val="auto"/>
          <w:sz w:val="24"/>
          <w:szCs w:val="24"/>
          <w:u w:val="single"/>
        </w:rPr>
      </w:pPr>
      <w:bookmarkStart w:id="6" w:name="_Toc137564414"/>
      <w:r w:rsidRPr="00FF2107">
        <w:rPr>
          <w:rFonts w:ascii="Arial" w:hAnsi="Arial" w:cs="Arial"/>
          <w:i/>
          <w:iCs/>
          <w:color w:val="auto"/>
          <w:sz w:val="24"/>
          <w:szCs w:val="24"/>
          <w:u w:val="single"/>
        </w:rPr>
        <w:t xml:space="preserve">Recommendation </w:t>
      </w:r>
      <w:r>
        <w:rPr>
          <w:rFonts w:ascii="Arial" w:hAnsi="Arial" w:cs="Arial"/>
          <w:i/>
          <w:iCs/>
          <w:color w:val="auto"/>
          <w:sz w:val="24"/>
          <w:szCs w:val="24"/>
          <w:u w:val="single"/>
        </w:rPr>
        <w:t>2</w:t>
      </w:r>
      <w:r w:rsidRPr="00FF2107">
        <w:rPr>
          <w:rFonts w:ascii="Arial" w:hAnsi="Arial" w:cs="Arial"/>
          <w:i/>
          <w:iCs/>
          <w:color w:val="auto"/>
          <w:sz w:val="24"/>
          <w:szCs w:val="24"/>
          <w:u w:val="single"/>
        </w:rPr>
        <w:t xml:space="preserve"> –</w:t>
      </w:r>
      <w:r>
        <w:rPr>
          <w:rFonts w:ascii="Arial" w:hAnsi="Arial" w:cs="Arial"/>
          <w:i/>
          <w:iCs/>
          <w:color w:val="auto"/>
          <w:sz w:val="24"/>
          <w:szCs w:val="24"/>
          <w:u w:val="single"/>
        </w:rPr>
        <w:t xml:space="preserve"> Support ‘Fixed</w:t>
      </w:r>
      <w:r w:rsidRPr="00FF2107">
        <w:rPr>
          <w:rFonts w:ascii="Arial" w:hAnsi="Arial" w:cs="Arial"/>
          <w:i/>
          <w:iCs/>
          <w:color w:val="auto"/>
          <w:sz w:val="24"/>
          <w:szCs w:val="24"/>
          <w:u w:val="single"/>
        </w:rPr>
        <w:t xml:space="preserve"> Baselines</w:t>
      </w:r>
      <w:r>
        <w:rPr>
          <w:rFonts w:ascii="Arial" w:hAnsi="Arial" w:cs="Arial"/>
          <w:i/>
          <w:iCs/>
          <w:color w:val="auto"/>
          <w:sz w:val="24"/>
          <w:szCs w:val="24"/>
          <w:u w:val="single"/>
        </w:rPr>
        <w:t>’</w:t>
      </w:r>
      <w:bookmarkEnd w:id="6"/>
    </w:p>
    <w:p w:rsidR="00821C9E" w:rsidP="005C2DB2">
      <w:pPr>
        <w:pStyle w:val="ListParagraph"/>
        <w:numPr>
          <w:ilvl w:val="0"/>
          <w:numId w:val="1"/>
        </w:numPr>
        <w:ind w:left="426" w:hanging="426"/>
        <w:jc w:val="both"/>
      </w:pPr>
      <w:r>
        <w:t xml:space="preserve">As explained in </w:t>
      </w:r>
      <w:r w:rsidRPr="004E4BC9">
        <w:rPr>
          <w:u w:val="single"/>
        </w:rPr>
        <w:t>paragraphs 1</w:t>
      </w:r>
      <w:r w:rsidR="00D15CEF">
        <w:rPr>
          <w:u w:val="single"/>
        </w:rPr>
        <w:t>0</w:t>
      </w:r>
      <w:r w:rsidRPr="004E4BC9">
        <w:rPr>
          <w:u w:val="single"/>
        </w:rPr>
        <w:t xml:space="preserve"> and 1</w:t>
      </w:r>
      <w:r w:rsidR="00D15CEF">
        <w:rPr>
          <w:u w:val="single"/>
        </w:rPr>
        <w:t>1</w:t>
      </w:r>
      <w:r>
        <w:t xml:space="preserve"> above, key to the loss of statehood will be the prior loss of both land and maritime territory. Moreover, as referenced in </w:t>
      </w:r>
      <w:r w:rsidRPr="000D7B3C">
        <w:rPr>
          <w:u w:val="single"/>
        </w:rPr>
        <w:t xml:space="preserve">paragraph </w:t>
      </w:r>
      <w:r w:rsidR="00D15CEF">
        <w:rPr>
          <w:u w:val="single"/>
        </w:rPr>
        <w:t>1</w:t>
      </w:r>
      <w:r>
        <w:t xml:space="preserve">, the loss of maritime territory itself will be debilitating for SIDS, given their reliance upon their seas and oceans for cultural, ecological, and economic </w:t>
      </w:r>
      <w:r>
        <w:t xml:space="preserve">resources. To this end, the UK should implement the </w:t>
      </w:r>
      <w:r w:rsidRPr="000D7B3C">
        <w:t>International Relations and</w:t>
      </w:r>
      <w:r>
        <w:t xml:space="preserve"> </w:t>
      </w:r>
      <w:r w:rsidRPr="000D7B3C">
        <w:t>Defence Committee</w:t>
      </w:r>
      <w:r>
        <w:t>’s 2022 recommendation to formally adopt a ‘fixed baseline’ approach to the calculation of maritime zones,</w:t>
      </w:r>
      <w:r>
        <w:rPr>
          <w:rStyle w:val="EndnoteReference"/>
        </w:rPr>
        <w:endnoteReference w:id="62"/>
      </w:r>
      <w:r>
        <w:t xml:space="preserve"> </w:t>
      </w:r>
      <w:r w:rsidR="00AE05C6">
        <w:t>reflecting the commitment</w:t>
      </w:r>
      <w:r>
        <w:t xml:space="preserve"> already adopted by the Pacific Islands Forum in their 2021 Declaration.</w:t>
      </w:r>
      <w:r>
        <w:rPr>
          <w:rStyle w:val="EndnoteReference"/>
        </w:rPr>
        <w:endnoteReference w:id="63"/>
      </w:r>
    </w:p>
    <w:p w:rsidR="00821C9E" w:rsidP="00B601CF">
      <w:pPr>
        <w:pStyle w:val="ListParagraph"/>
        <w:ind w:left="426"/>
        <w:jc w:val="both"/>
      </w:pPr>
    </w:p>
    <w:p w:rsidR="00821C9E" w:rsidP="005C2DB2">
      <w:pPr>
        <w:pStyle w:val="ListParagraph"/>
        <w:numPr>
          <w:ilvl w:val="0"/>
          <w:numId w:val="1"/>
        </w:numPr>
        <w:ind w:left="426" w:hanging="426"/>
        <w:jc w:val="both"/>
      </w:pPr>
      <w:r>
        <w:t xml:space="preserve">Moreover, the UK should call for an interpretative declaration to be adopted to the same effect under the auspices of the UNCLOS </w:t>
      </w:r>
      <w:r w:rsidRPr="00FC424B">
        <w:t>Meeting of States Parties</w:t>
      </w:r>
      <w:r>
        <w:t>.</w:t>
      </w:r>
      <w:r>
        <w:rPr>
          <w:rStyle w:val="EndnoteReference"/>
        </w:rPr>
        <w:endnoteReference w:id="64"/>
      </w:r>
      <w:r>
        <w:t xml:space="preserve"> That declaration should speak to </w:t>
      </w:r>
      <w:r w:rsidR="00952F34">
        <w:t xml:space="preserve">at least </w:t>
      </w:r>
      <w:r>
        <w:t xml:space="preserve">Articles </w:t>
      </w:r>
      <w:r w:rsidR="000E67AA">
        <w:t xml:space="preserve">5-7, 9, 10, 13, 14, </w:t>
      </w:r>
      <w:r w:rsidR="00952F34">
        <w:t xml:space="preserve">16, </w:t>
      </w:r>
      <w:r w:rsidR="000E67AA">
        <w:t>47, 48</w:t>
      </w:r>
      <w:r w:rsidR="00952F34">
        <w:t>, 76,</w:t>
      </w:r>
      <w:r>
        <w:rPr>
          <w:rStyle w:val="EndnoteReference"/>
        </w:rPr>
        <w:endnoteReference w:id="65"/>
      </w:r>
      <w:r w:rsidR="00952F34">
        <w:t xml:space="preserve"> and 121</w:t>
      </w:r>
      <w:r>
        <w:t xml:space="preserve"> of UNCLOS,</w:t>
      </w:r>
      <w:r>
        <w:rPr>
          <w:rStyle w:val="EndnoteReference"/>
        </w:rPr>
        <w:endnoteReference w:id="66"/>
      </w:r>
      <w:r>
        <w:t xml:space="preserve"> emphasising that baselines are understood by all </w:t>
      </w:r>
      <w:r w:rsidR="00AE05C6">
        <w:t xml:space="preserve">signatory </w:t>
      </w:r>
      <w:r>
        <w:t xml:space="preserve">States Parties to be fixed in their current positions. The UK should be diplomatically active in securing universal assent to such a </w:t>
      </w:r>
      <w:r w:rsidR="00AE05C6">
        <w:t>declaration</w:t>
      </w:r>
      <w:r>
        <w:t>.</w:t>
      </w:r>
    </w:p>
    <w:p w:rsidR="00821C9E" w:rsidP="00F25EAC">
      <w:pPr>
        <w:pStyle w:val="ListParagraph"/>
        <w:ind w:left="426"/>
        <w:jc w:val="both"/>
      </w:pPr>
    </w:p>
    <w:p w:rsidR="00821C9E" w:rsidP="00227ABB">
      <w:pPr>
        <w:pStyle w:val="ListParagraph"/>
        <w:numPr>
          <w:ilvl w:val="0"/>
          <w:numId w:val="1"/>
        </w:numPr>
        <w:ind w:left="426" w:hanging="426"/>
        <w:jc w:val="both"/>
      </w:pPr>
      <w:r>
        <w:t xml:space="preserve">The full rationale for this position is provided within paragraphs 114 to 126 of the </w:t>
      </w:r>
      <w:r w:rsidRPr="000D7B3C">
        <w:t>International Relations and</w:t>
      </w:r>
      <w:r>
        <w:t xml:space="preserve"> </w:t>
      </w:r>
      <w:r w:rsidRPr="000D7B3C">
        <w:t>Defence Committee</w:t>
      </w:r>
      <w:r>
        <w:t xml:space="preserve"> report.</w:t>
      </w:r>
      <w:r>
        <w:rPr>
          <w:rStyle w:val="EndnoteReference"/>
        </w:rPr>
        <w:endnoteReference w:id="67"/>
      </w:r>
      <w:r>
        <w:t xml:space="preserve"> In sum, maritime zones (including exclusive economic zones, territorial seas, and internal waters) are currently calculated in relation to ‘baselines’, which are most commonly defined by the low-water line along the coast of the relevant state.</w:t>
      </w:r>
      <w:r>
        <w:rPr>
          <w:rStyle w:val="EndnoteReference"/>
        </w:rPr>
        <w:endnoteReference w:id="68"/>
      </w:r>
      <w:r>
        <w:t xml:space="preserve"> Opinion is currently divided as to whether these baselines move as the low-water line itself alters (‘ambulatory’) or whether they </w:t>
      </w:r>
      <w:r w:rsidR="00AE05C6">
        <w:t>remain</w:t>
      </w:r>
      <w:r>
        <w:t xml:space="preserve"> ‘fixed’ at their current coordinates, as deposited with the UN Secretary-General.</w:t>
      </w:r>
      <w:r>
        <w:rPr>
          <w:rStyle w:val="EndnoteReference"/>
        </w:rPr>
        <w:endnoteReference w:id="69"/>
      </w:r>
      <w:r>
        <w:t xml:space="preserve"> The UK currently adopts an ambulatory approach.</w:t>
      </w:r>
      <w:r>
        <w:rPr>
          <w:rStyle w:val="EndnoteReference"/>
        </w:rPr>
        <w:endnoteReference w:id="70"/>
      </w:r>
      <w:r>
        <w:t xml:space="preserve"> The salience of fixed baselines is twofold. First, they secure extant maritime zones, and the resources they provide, against the threat of sea-level rise. Second, they provide stable and determinate coordinates for the delineation of territory,</w:t>
      </w:r>
      <w:r>
        <w:rPr>
          <w:rStyle w:val="EndnoteReference"/>
        </w:rPr>
        <w:endnoteReference w:id="71"/>
      </w:r>
      <w:r>
        <w:t xml:space="preserve"> whether land or maritime, whether submerged or inhabitable, in relation to which statehood claims can continue to be made by SIDS facing oceanic submergence.</w:t>
      </w:r>
    </w:p>
    <w:p w:rsidR="00821C9E" w:rsidP="005C2DB2">
      <w:pPr>
        <w:ind w:left="426" w:hanging="426"/>
        <w:jc w:val="both"/>
      </w:pPr>
    </w:p>
    <w:p w:rsidR="00821C9E" w:rsidRPr="00FF2107" w:rsidP="005C2DB2">
      <w:pPr>
        <w:pStyle w:val="Heading2"/>
        <w:ind w:left="426" w:hanging="426"/>
        <w:jc w:val="both"/>
        <w:rPr>
          <w:rFonts w:ascii="Arial" w:hAnsi="Arial" w:cs="Arial"/>
          <w:i/>
          <w:iCs/>
          <w:color w:val="auto"/>
          <w:sz w:val="24"/>
          <w:szCs w:val="24"/>
          <w:u w:val="single"/>
        </w:rPr>
      </w:pPr>
      <w:bookmarkStart w:id="7" w:name="_Toc137564415"/>
      <w:r w:rsidRPr="00FF2107">
        <w:rPr>
          <w:rFonts w:ascii="Arial" w:hAnsi="Arial" w:cs="Arial"/>
          <w:i/>
          <w:iCs/>
          <w:color w:val="auto"/>
          <w:sz w:val="24"/>
          <w:szCs w:val="24"/>
          <w:u w:val="single"/>
        </w:rPr>
        <w:t xml:space="preserve">Recommendation </w:t>
      </w:r>
      <w:r>
        <w:rPr>
          <w:rFonts w:ascii="Arial" w:hAnsi="Arial" w:cs="Arial"/>
          <w:i/>
          <w:iCs/>
          <w:color w:val="auto"/>
          <w:sz w:val="24"/>
          <w:szCs w:val="24"/>
          <w:u w:val="single"/>
        </w:rPr>
        <w:t>3</w:t>
      </w:r>
      <w:r w:rsidRPr="00FF2107">
        <w:rPr>
          <w:rFonts w:ascii="Arial" w:hAnsi="Arial" w:cs="Arial"/>
          <w:i/>
          <w:iCs/>
          <w:color w:val="auto"/>
          <w:sz w:val="24"/>
          <w:szCs w:val="24"/>
          <w:u w:val="single"/>
        </w:rPr>
        <w:t xml:space="preserve"> – Financial and Logistical Support</w:t>
      </w:r>
      <w:bookmarkEnd w:id="7"/>
    </w:p>
    <w:p w:rsidR="00821C9E" w:rsidP="00A3699B">
      <w:pPr>
        <w:pStyle w:val="ListParagraph"/>
        <w:numPr>
          <w:ilvl w:val="0"/>
          <w:numId w:val="1"/>
        </w:numPr>
        <w:ind w:left="426" w:hanging="426"/>
        <w:jc w:val="both"/>
      </w:pPr>
      <w:r>
        <w:t xml:space="preserve">If the FCDO is not prepared to endorse </w:t>
      </w:r>
      <w:r w:rsidRPr="00B601CF">
        <w:rPr>
          <w:i/>
          <w:iCs/>
          <w:u w:val="single"/>
        </w:rPr>
        <w:t xml:space="preserve">Recommendations 1 </w:t>
      </w:r>
      <w:r>
        <w:rPr>
          <w:i/>
          <w:iCs/>
          <w:u w:val="single"/>
        </w:rPr>
        <w:t>or</w:t>
      </w:r>
      <w:r w:rsidRPr="00B601CF">
        <w:rPr>
          <w:i/>
          <w:iCs/>
          <w:u w:val="single"/>
        </w:rPr>
        <w:t xml:space="preserve"> 2</w:t>
      </w:r>
      <w:r>
        <w:t xml:space="preserve"> – and even if they take the ‘austere’ view that a complete loss of inhabitable land </w:t>
      </w:r>
      <w:r w:rsidRPr="00A3699B">
        <w:rPr>
          <w:i/>
          <w:iCs/>
        </w:rPr>
        <w:t>must</w:t>
      </w:r>
      <w:r>
        <w:t xml:space="preserve"> result in state extinction – there are various strategies that might be adopted to combat the physical fact of oceanic submergence.</w:t>
      </w:r>
      <w:r>
        <w:rPr>
          <w:rStyle w:val="EndnoteReference"/>
        </w:rPr>
        <w:endnoteReference w:id="72"/>
      </w:r>
      <w:r>
        <w:t xml:space="preserve"> These include, for example, the use of </w:t>
      </w:r>
      <w:r>
        <w:t>artificial islands to ‘anchor’ legal claims, not only to extant maritime territories, but also to statehood itself,</w:t>
      </w:r>
      <w:r>
        <w:rPr>
          <w:rStyle w:val="EndnoteReference"/>
        </w:rPr>
        <w:endnoteReference w:id="73"/>
      </w:r>
      <w:r>
        <w:t xml:space="preserve"> or the creation of artificial coastlines or coastal defences to prevent sea-level rise from resulting in the submergence of currently inhabitable land. Such measures, it must be emphasised, are typically extremely costly both in financial and ecological terms,</w:t>
      </w:r>
      <w:r>
        <w:rPr>
          <w:rStyle w:val="EndnoteReference"/>
        </w:rPr>
        <w:endnoteReference w:id="74"/>
      </w:r>
      <w:r>
        <w:t xml:space="preserve"> and are </w:t>
      </w:r>
      <w:r w:rsidR="00AE05C6">
        <w:t>characteristically</w:t>
      </w:r>
      <w:r>
        <w:t xml:space="preserve"> beyond the economic capacity of SIDS to adopt unaided.</w:t>
      </w:r>
      <w:r>
        <w:rPr>
          <w:rStyle w:val="EndnoteReference"/>
        </w:rPr>
        <w:endnoteReference w:id="75"/>
      </w:r>
      <w:r>
        <w:t xml:space="preserve"> As such, the </w:t>
      </w:r>
      <w:r w:rsidRPr="00301DAF">
        <w:t xml:space="preserve">UK </w:t>
      </w:r>
      <w:r>
        <w:t xml:space="preserve">should consider enhanced provision for such measures within </w:t>
      </w:r>
      <w:r w:rsidR="00AE05C6">
        <w:t>its</w:t>
      </w:r>
      <w:r>
        <w:t xml:space="preserve"> foreign aid budget.</w:t>
      </w:r>
    </w:p>
    <w:p w:rsidR="00821C9E" w:rsidP="00352900">
      <w:pPr>
        <w:pStyle w:val="ListParagraph"/>
        <w:ind w:left="426"/>
        <w:jc w:val="both"/>
      </w:pPr>
    </w:p>
    <w:p w:rsidR="00352900" w:rsidP="005C2DB2">
      <w:pPr>
        <w:pStyle w:val="ListParagraph"/>
        <w:numPr>
          <w:ilvl w:val="0"/>
          <w:numId w:val="1"/>
        </w:numPr>
        <w:ind w:left="426" w:hanging="426"/>
        <w:jc w:val="both"/>
      </w:pPr>
      <w:r>
        <w:t xml:space="preserve">Financial and logistical support should also be given to initiatives aimed at mitigating any losses of statehood, such as </w:t>
      </w:r>
      <w:r w:rsidR="00AE05C6">
        <w:t>Tuvalu’s</w:t>
      </w:r>
      <w:r>
        <w:t xml:space="preserve"> Digital Nation project, mentioned in </w:t>
      </w:r>
      <w:r w:rsidRPr="00A3699B">
        <w:rPr>
          <w:u w:val="single"/>
        </w:rPr>
        <w:t>paragraph 1</w:t>
      </w:r>
      <w:r w:rsidR="000F260E">
        <w:rPr>
          <w:u w:val="single"/>
        </w:rPr>
        <w:t>1</w:t>
      </w:r>
      <w:r>
        <w:t xml:space="preserve">. As referenced in </w:t>
      </w:r>
      <w:r w:rsidRPr="00A3699B">
        <w:rPr>
          <w:u w:val="single"/>
        </w:rPr>
        <w:t xml:space="preserve">paragraphs </w:t>
      </w:r>
      <w:r w:rsidR="000F260E">
        <w:rPr>
          <w:u w:val="single"/>
        </w:rPr>
        <w:t>1</w:t>
      </w:r>
      <w:r w:rsidRPr="00A3699B">
        <w:rPr>
          <w:u w:val="single"/>
        </w:rPr>
        <w:t xml:space="preserve"> and </w:t>
      </w:r>
      <w:r w:rsidR="000F260E">
        <w:rPr>
          <w:u w:val="single"/>
        </w:rPr>
        <w:t>2</w:t>
      </w:r>
      <w:r>
        <w:t>, statehood is instrumental for cultural, political, and social flourishing. Proper support for virtual alternatives, alongside international efforts to relocate climate refugees and provide them with sufficient guarantees of continuing national</w:t>
      </w:r>
      <w:r w:rsidR="008D2BEC">
        <w:t>,</w:t>
      </w:r>
      <w:r>
        <w:t xml:space="preserve"> cultural</w:t>
      </w:r>
      <w:r w:rsidR="008D2BEC">
        <w:t>, and, where appropriate, Indigenous</w:t>
      </w:r>
      <w:r>
        <w:t xml:space="preserve"> identity,</w:t>
      </w:r>
      <w:r>
        <w:rPr>
          <w:rStyle w:val="EndnoteReference"/>
        </w:rPr>
        <w:endnoteReference w:id="76"/>
      </w:r>
      <w:r>
        <w:t xml:space="preserve"> w</w:t>
      </w:r>
      <w:r w:rsidR="00F771E8">
        <w:t>ill be crucial to the extent that sea-level rise results in statehood becoming lost.</w:t>
      </w:r>
    </w:p>
    <w:p w:rsidR="00AF53A8">
      <w:r>
        <w:br w:type="page"/>
      </w:r>
    </w:p>
    <w:p w:rsidR="004178E8" w:rsidRPr="00AF53A8" w:rsidP="00AF53A8">
      <w:pPr>
        <w:pStyle w:val="Heading1"/>
        <w:rPr>
          <w:rFonts w:ascii="Arial" w:hAnsi="Arial" w:cs="Arial"/>
          <w:b/>
          <w:bCs/>
          <w:color w:val="auto"/>
          <w:sz w:val="24"/>
          <w:szCs w:val="24"/>
        </w:rPr>
      </w:pPr>
      <w:bookmarkStart w:id="8" w:name="_Toc137564416"/>
      <w:r w:rsidRPr="00AF53A8">
        <w:rPr>
          <w:rFonts w:ascii="Arial" w:hAnsi="Arial" w:cs="Arial"/>
          <w:b/>
          <w:bCs/>
          <w:color w:val="auto"/>
          <w:sz w:val="24"/>
          <w:szCs w:val="24"/>
        </w:rPr>
        <w:t>Endnotes</w:t>
      </w:r>
      <w:bookmarkEnd w:id="8"/>
    </w:p>
    <w:sectPr w:rsidSect="00B601CF">
      <w:footerReference w:type="default" r:id="rId7"/>
      <w:endnotePr>
        <w:numFmt w:val="decimal"/>
      </w:endnotePr>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endnote w:type="separator" w:id="0">
    <w:p w:rsidR="00985122" w:rsidP="006F36CA">
      <w:pPr>
        <w:spacing w:line="240" w:lineRule="auto"/>
      </w:pPr>
      <w:r>
        <w:separator/>
      </w:r>
    </w:p>
  </w:endnote>
  <w:endnote w:type="continuationSeparator" w:id="1">
    <w:p w:rsidR="00985122" w:rsidP="006F36CA">
      <w:pPr>
        <w:spacing w:line="240" w:lineRule="auto"/>
      </w:pPr>
      <w:r>
        <w:continuationSeparator/>
      </w:r>
    </w:p>
  </w:endnote>
  <w:endnote w:id="2">
    <w:p w:rsidR="00821C9E" w:rsidRPr="00821C9E" w:rsidP="001142BD">
      <w:pPr>
        <w:pStyle w:val="EndnoteText"/>
        <w:spacing w:after="120" w:line="360" w:lineRule="auto"/>
        <w:jc w:val="both"/>
      </w:pPr>
      <w:r w:rsidRPr="00821C9E">
        <w:rPr>
          <w:rStyle w:val="EndnoteReference"/>
        </w:rPr>
        <w:endnoteRef/>
      </w:r>
      <w:r w:rsidRPr="00821C9E">
        <w:t xml:space="preserve"> Curt Storlazzi, Stephen Gingerich, AP van Dongeren, Olivia Cheriton, Peter Swarzenski, Ellen Quataert, Clifford Voss, Donald Field, Hariharasubramanian Annamalai, Greg Pinak, and Robert McCall, </w:t>
      </w:r>
      <w:r>
        <w:fldChar w:fldCharType="begin"/>
      </w:r>
      <w:r>
        <w:instrText xml:space="preserve"> HYPERLINK "https://www.science.org/doi/10.1126/sciadv.aap9741" </w:instrText>
      </w:r>
      <w:r>
        <w:fldChar w:fldCharType="separate"/>
      </w:r>
      <w:r w:rsidRPr="00AD59F3">
        <w:rPr>
          <w:rStyle w:val="Hyperlink"/>
        </w:rPr>
        <w:t>‘Most Atolls will be Uninhabitable by the Mid-21st Century because of Sea-level Rise Exacerbating Wave-driven Flooding’</w:t>
      </w:r>
      <w:r>
        <w:fldChar w:fldCharType="end"/>
      </w:r>
      <w:r w:rsidRPr="00821C9E">
        <w:t xml:space="preserve"> (2018) 4(4) Science Advances 1.</w:t>
      </w:r>
    </w:p>
  </w:endnote>
  <w:endnote w:id="3">
    <w:p w:rsidR="00821C9E" w:rsidRPr="00821C9E" w:rsidP="001142BD">
      <w:pPr>
        <w:pStyle w:val="EndnoteText"/>
        <w:spacing w:after="120" w:line="360" w:lineRule="auto"/>
        <w:jc w:val="both"/>
      </w:pPr>
      <w:r w:rsidRPr="00821C9E">
        <w:rPr>
          <w:rStyle w:val="EndnoteReference"/>
        </w:rPr>
        <w:endnoteRef/>
      </w:r>
      <w:r w:rsidRPr="00821C9E">
        <w:t xml:space="preserve"> Alex Green, </w:t>
      </w:r>
      <w:r>
        <w:fldChar w:fldCharType="begin"/>
      </w:r>
      <w:r>
        <w:instrText xml:space="preserve"> HYPERLINK "https://brill.com/view/journals/auso/40/1/article-p67_4.xml?ebody=pdf-63199" </w:instrText>
      </w:r>
      <w:r>
        <w:fldChar w:fldCharType="separate"/>
      </w:r>
      <w:r w:rsidRPr="00821C9E">
        <w:rPr>
          <w:rStyle w:val="Hyperlink"/>
        </w:rPr>
        <w:t>‘</w:t>
      </w:r>
      <w:r w:rsidRPr="00821C9E">
        <w:rPr>
          <w:rStyle w:val="Hyperlink"/>
          <w:i/>
          <w:iCs/>
        </w:rPr>
        <w:t xml:space="preserve">The Creation of States </w:t>
      </w:r>
      <w:r w:rsidRPr="00821C9E">
        <w:rPr>
          <w:rStyle w:val="Hyperlink"/>
        </w:rPr>
        <w:t>as a Cardinal Point: James Crawford’s Contribution to International Legal Scholarship’</w:t>
      </w:r>
      <w:r>
        <w:fldChar w:fldCharType="end"/>
      </w:r>
      <w:r w:rsidRPr="00821C9E">
        <w:t xml:space="preserve"> (2022) 40(1) Australian Yearbook of International Law 67: 82-83.</w:t>
      </w:r>
    </w:p>
  </w:endnote>
  <w:endnote w:id="4">
    <w:p w:rsidR="00821C9E" w:rsidRPr="00821C9E" w:rsidP="001142BD">
      <w:pPr>
        <w:pStyle w:val="EndnoteText"/>
        <w:spacing w:after="120" w:line="360" w:lineRule="auto"/>
        <w:jc w:val="both"/>
      </w:pPr>
      <w:r w:rsidRPr="00821C9E">
        <w:rPr>
          <w:rStyle w:val="EndnoteReference"/>
        </w:rPr>
        <w:endnoteRef/>
      </w:r>
      <w:r w:rsidRPr="00821C9E">
        <w:t xml:space="preserve"> Ibid. See also: Kate Purcell. </w:t>
      </w:r>
      <w:r>
        <w:fldChar w:fldCharType="begin"/>
      </w:r>
      <w:r>
        <w:instrText xml:space="preserve"> HYPERLINK "https://academic.oup.com/book/36831" </w:instrText>
      </w:r>
      <w:r>
        <w:fldChar w:fldCharType="separate"/>
      </w:r>
      <w:r w:rsidRPr="00AD59F3">
        <w:rPr>
          <w:rStyle w:val="Hyperlink"/>
          <w:i/>
          <w:iCs/>
        </w:rPr>
        <w:t>Geographical Change and the Law of the Sea</w:t>
      </w:r>
      <w:r>
        <w:fldChar w:fldCharType="end"/>
      </w:r>
      <w:r w:rsidRPr="00821C9E">
        <w:t xml:space="preserve"> (O</w:t>
      </w:r>
      <w:r w:rsidR="00AE05C6">
        <w:t xml:space="preserve">xford University </w:t>
      </w:r>
      <w:r w:rsidRPr="00821C9E">
        <w:t>P</w:t>
      </w:r>
      <w:r w:rsidR="00AE05C6">
        <w:t>ress</w:t>
      </w:r>
      <w:r w:rsidRPr="00821C9E">
        <w:t xml:space="preserve"> 2019) 229; Ryan Mitra and Samskriti Sanghi, </w:t>
      </w:r>
      <w:r>
        <w:fldChar w:fldCharType="begin"/>
      </w:r>
      <w:r>
        <w:instrText xml:space="preserve"> HYPERLINK "https://www.tandfonline.com/doi/full/10.1080/10192557.2023.2181806" </w:instrText>
      </w:r>
      <w:r>
        <w:fldChar w:fldCharType="separate"/>
      </w:r>
      <w:r w:rsidRPr="00AD59F3">
        <w:rPr>
          <w:rStyle w:val="Hyperlink"/>
        </w:rPr>
        <w:t>‘The Small Island States in the Indo-Pacific: Sovereignty Lost?’</w:t>
      </w:r>
      <w:r>
        <w:fldChar w:fldCharType="end"/>
      </w:r>
      <w:r w:rsidRPr="00821C9E">
        <w:t xml:space="preserve"> (2023) Asia Pacific Law Review (first release); Melissa Stewart, </w:t>
      </w:r>
      <w:r>
        <w:fldChar w:fldCharType="begin"/>
      </w:r>
      <w:r>
        <w:instrText xml:space="preserve"> HYPERLINK "https://papers.ssrn.com/sol3/papers.cfm?abstract_id=4321214" \l ":~:text=The%20cascading%20consequences%20of%20sinking%20states%20include%20undermining%20of%20the,humanitarian%20crises%20related%20to%20climate" </w:instrText>
      </w:r>
      <w:r>
        <w:fldChar w:fldCharType="separate"/>
      </w:r>
      <w:r w:rsidRPr="00AD59F3">
        <w:rPr>
          <w:rStyle w:val="Hyperlink"/>
        </w:rPr>
        <w:t>‘The Cascading Consequences of Sinking States’</w:t>
      </w:r>
      <w:r>
        <w:fldChar w:fldCharType="end"/>
      </w:r>
      <w:r w:rsidRPr="00821C9E">
        <w:t xml:space="preserve"> (2023, forthcoming) Stanford Journal of International Law; Derek Wong, </w:t>
      </w:r>
      <w:r>
        <w:fldChar w:fldCharType="begin"/>
      </w:r>
      <w:r>
        <w:instrText xml:space="preserve"> HYPERLINK "http://classic.austlii.edu.au/au/journals/MelbJIL/2013/13.pdf" </w:instrText>
      </w:r>
      <w:r>
        <w:fldChar w:fldCharType="separate"/>
      </w:r>
      <w:r w:rsidRPr="00AD59F3">
        <w:rPr>
          <w:rStyle w:val="Hyperlink"/>
        </w:rPr>
        <w:t>‘Sovereignty Sunk? The Position of ‘Sinking States’ at International Law’</w:t>
      </w:r>
      <w:r>
        <w:fldChar w:fldCharType="end"/>
      </w:r>
      <w:r w:rsidRPr="00821C9E">
        <w:t xml:space="preserve"> (2013) 14(2) Melbourne Journal of International Law 346; Abhimanyu George Jain, </w:t>
      </w:r>
      <w:r>
        <w:fldChar w:fldCharType="begin"/>
      </w:r>
      <w:r>
        <w:instrText xml:space="preserve"> HYPERLINK "https://papers.ssrn.com/sol3/papers.cfm?abstract_id=2341876" </w:instrText>
      </w:r>
      <w:r>
        <w:fldChar w:fldCharType="separate"/>
      </w:r>
      <w:r w:rsidRPr="00AD59F3">
        <w:rPr>
          <w:rStyle w:val="Hyperlink"/>
        </w:rPr>
        <w:t>‘The 21st Century Atlantis: The International Law of Statehood and Climate Change Induced Loss of Territory’</w:t>
      </w:r>
      <w:r>
        <w:fldChar w:fldCharType="end"/>
      </w:r>
      <w:r w:rsidRPr="00821C9E">
        <w:t xml:space="preserve"> (2014) 50 Stanford Journal International Law 1; Veronika Bílková, </w:t>
      </w:r>
      <w:r>
        <w:fldChar w:fldCharType="begin"/>
      </w:r>
      <w:r>
        <w:instrText xml:space="preserve"> HYPERLINK "https://link.springer.com/chapter/10.1007/978-94-6265-207-1_2" </w:instrText>
      </w:r>
      <w:r>
        <w:fldChar w:fldCharType="separate"/>
      </w:r>
      <w:r w:rsidRPr="00AD59F3">
        <w:rPr>
          <w:rStyle w:val="Hyperlink"/>
        </w:rPr>
        <w:t>‘A State Without Territory?’</w:t>
      </w:r>
      <w:r>
        <w:fldChar w:fldCharType="end"/>
      </w:r>
      <w:r w:rsidRPr="00821C9E">
        <w:t xml:space="preserve"> (2016) 47 Netherlands Yearbook of International Law 19.</w:t>
      </w:r>
    </w:p>
  </w:endnote>
  <w:endnote w:id="5">
    <w:p w:rsidR="00821C9E" w:rsidRPr="00821C9E" w:rsidP="001142BD">
      <w:pPr>
        <w:pStyle w:val="EndnoteText"/>
        <w:spacing w:after="120" w:line="360" w:lineRule="auto"/>
        <w:jc w:val="both"/>
      </w:pPr>
      <w:r w:rsidRPr="00821C9E">
        <w:rPr>
          <w:rStyle w:val="EndnoteReference"/>
        </w:rPr>
        <w:endnoteRef/>
      </w:r>
      <w:r w:rsidRPr="00821C9E">
        <w:t xml:space="preserve"> The traditional definition of ‘nationality’ is, ‘politico-legal term denoting membership of a State’, see: Paul Weis, </w:t>
      </w:r>
      <w:r>
        <w:fldChar w:fldCharType="begin"/>
      </w:r>
      <w:r>
        <w:instrText xml:space="preserve"> HYPERLINK "https://brill.com/display/title/9949" </w:instrText>
      </w:r>
      <w:r>
        <w:fldChar w:fldCharType="separate"/>
      </w:r>
      <w:r w:rsidRPr="008563D5">
        <w:rPr>
          <w:rStyle w:val="Hyperlink"/>
          <w:i/>
          <w:iCs/>
        </w:rPr>
        <w:t>Nationality and Statelessness in International Law</w:t>
      </w:r>
      <w:r>
        <w:fldChar w:fldCharType="end"/>
      </w:r>
      <w:r w:rsidRPr="00821C9E">
        <w:t>, 2</w:t>
      </w:r>
      <w:r w:rsidRPr="00821C9E">
        <w:rPr>
          <w:vertAlign w:val="superscript"/>
        </w:rPr>
        <w:t>nd</w:t>
      </w:r>
      <w:r w:rsidRPr="00821C9E">
        <w:t xml:space="preserve"> ed. (Brill 1979) 3.</w:t>
      </w:r>
    </w:p>
  </w:endnote>
  <w:endnote w:id="6">
    <w:p w:rsidR="00821C9E" w:rsidRPr="00821C9E" w:rsidP="001142BD">
      <w:pPr>
        <w:pStyle w:val="EndnoteText"/>
        <w:spacing w:after="120" w:line="360" w:lineRule="auto"/>
        <w:jc w:val="both"/>
      </w:pPr>
      <w:r w:rsidRPr="00821C9E">
        <w:rPr>
          <w:rStyle w:val="EndnoteReference"/>
        </w:rPr>
        <w:endnoteRef/>
      </w:r>
      <w:r w:rsidRPr="00821C9E">
        <w:t xml:space="preserve"> International Law Commission, </w:t>
      </w:r>
      <w:r>
        <w:fldChar w:fldCharType="begin"/>
      </w:r>
      <w:r>
        <w:instrText xml:space="preserve"> HYPERLINK "https://legal.un.org/ilc/texts/instruments/english/draft_articles/9_8_2006.pdf" </w:instrText>
      </w:r>
      <w:r>
        <w:fldChar w:fldCharType="separate"/>
      </w:r>
      <w:r w:rsidRPr="008563D5">
        <w:rPr>
          <w:rStyle w:val="Hyperlink"/>
          <w:i/>
          <w:iCs/>
        </w:rPr>
        <w:t>2006 Draft Articles on Diplomatic Protection</w:t>
      </w:r>
      <w:r>
        <w:fldChar w:fldCharType="end"/>
      </w:r>
      <w:r w:rsidRPr="00821C9E">
        <w:t>, UN Doc A/RES/61/35 (18 December 2006).</w:t>
      </w:r>
    </w:p>
  </w:endnote>
  <w:endnote w:id="7">
    <w:p w:rsidR="00821C9E" w:rsidRPr="00821C9E" w:rsidP="001142BD">
      <w:pPr>
        <w:pStyle w:val="EndnoteText"/>
        <w:spacing w:after="120" w:line="360" w:lineRule="auto"/>
        <w:jc w:val="both"/>
      </w:pPr>
      <w:r w:rsidRPr="00821C9E">
        <w:rPr>
          <w:rStyle w:val="EndnoteReference"/>
        </w:rPr>
        <w:endnoteRef/>
      </w:r>
      <w:r w:rsidRPr="00821C9E">
        <w:t xml:space="preserve"> </w:t>
      </w:r>
      <w:r>
        <w:fldChar w:fldCharType="begin"/>
      </w:r>
      <w:r>
        <w:instrText xml:space="preserve"> HYPERLINK "https://www.icj-cij.org/sites/default/files/case-related/52/052-19690220-JUD-01-00-EN.pdf" </w:instrText>
      </w:r>
      <w:r>
        <w:fldChar w:fldCharType="separate"/>
      </w:r>
      <w:r w:rsidRPr="008563D5">
        <w:rPr>
          <w:rStyle w:val="Hyperlink"/>
          <w:i/>
          <w:iCs/>
        </w:rPr>
        <w:t>North Sea Continental Shelf (Federal Republic of Germany v Denmark; Federal Republic of Germany v Netherlands, Judgment</w:t>
      </w:r>
      <w:r>
        <w:fldChar w:fldCharType="end"/>
      </w:r>
      <w:r w:rsidRPr="00821C9E">
        <w:t xml:space="preserve">, ICJ Reports 1969, p.3, para 96; Bing Bing Ja, </w:t>
      </w:r>
      <w:r>
        <w:fldChar w:fldCharType="begin"/>
      </w:r>
      <w:r>
        <w:instrText xml:space="preserve"> HYPERLINK "https://www.iilj.org/wp-content/uploads/2016/09/JiaIILJColloq2015.pdf" </w:instrText>
      </w:r>
      <w:r>
        <w:fldChar w:fldCharType="separate"/>
      </w:r>
      <w:r w:rsidRPr="008563D5">
        <w:rPr>
          <w:rStyle w:val="Hyperlink"/>
        </w:rPr>
        <w:t>‘The Principle of the Domination of the Land over the Sea: A Historical Perspective on the Adaptability of the Law of the Sea to New Challenges’</w:t>
      </w:r>
      <w:r>
        <w:fldChar w:fldCharType="end"/>
      </w:r>
      <w:r w:rsidRPr="00821C9E">
        <w:t xml:space="preserve"> (2014) 57 German Yearbook of International Law 1.</w:t>
      </w:r>
    </w:p>
  </w:endnote>
  <w:endnote w:id="8">
    <w:p w:rsidR="00821C9E" w:rsidRPr="00821C9E" w:rsidP="001142BD">
      <w:pPr>
        <w:pStyle w:val="EndnoteText"/>
        <w:spacing w:after="120" w:line="360" w:lineRule="auto"/>
        <w:jc w:val="both"/>
      </w:pPr>
      <w:r w:rsidRPr="00821C9E">
        <w:rPr>
          <w:rStyle w:val="EndnoteReference"/>
        </w:rPr>
        <w:endnoteRef/>
      </w:r>
      <w:r w:rsidRPr="00821C9E">
        <w:t xml:space="preserve"> </w:t>
      </w:r>
      <w:r>
        <w:fldChar w:fldCharType="begin"/>
      </w:r>
      <w:r>
        <w:instrText xml:space="preserve"> HYPERLINK "https://wedocs.unep.org/bitstream/handle/20.500.11822/29567/ELGP1StockD.pdf" </w:instrText>
      </w:r>
      <w:r>
        <w:fldChar w:fldCharType="separate"/>
      </w:r>
      <w:r w:rsidRPr="008563D5">
        <w:rPr>
          <w:rStyle w:val="Hyperlink"/>
          <w:i/>
          <w:iCs/>
        </w:rPr>
        <w:t>Declaration of the United Nations Conference on the Human Environment</w:t>
      </w:r>
      <w:r>
        <w:fldChar w:fldCharType="end"/>
      </w:r>
      <w:r w:rsidRPr="00821C9E">
        <w:t xml:space="preserve">, Stockholm, 16 June 1972, Principle 21; </w:t>
      </w:r>
      <w:r>
        <w:fldChar w:fldCharType="begin"/>
      </w:r>
      <w:r>
        <w:instrText xml:space="preserve"> HYPERLINK "https://www.un.org/en/development/desa/population/migration/generalassembly/docs/globalcompact/A_CONF.151_26_Vol.I_Declaration.pdf" </w:instrText>
      </w:r>
      <w:r>
        <w:fldChar w:fldCharType="separate"/>
      </w:r>
      <w:r w:rsidRPr="008563D5">
        <w:rPr>
          <w:rStyle w:val="Hyperlink"/>
          <w:i/>
          <w:iCs/>
        </w:rPr>
        <w:t>Rio Declaration on Environment and Development</w:t>
      </w:r>
      <w:r>
        <w:fldChar w:fldCharType="end"/>
      </w:r>
      <w:r w:rsidRPr="00821C9E">
        <w:t xml:space="preserve">, Rio de Janeiro, 12 August 1992, A/CONF.151/26 (Vol.I), Principle 2. See also: Alex Green, ‘States’ in Sué González Hauck, Raffaela Kunz, and Max Milas (eds.) </w:t>
      </w:r>
      <w:r>
        <w:fldChar w:fldCharType="begin"/>
      </w:r>
      <w:r>
        <w:instrText xml:space="preserve"> HYPERLINK "https://en.wikibooks.org/wiki/Public_International_Law/Actors_in_International_Law/States" </w:instrText>
      </w:r>
      <w:r>
        <w:fldChar w:fldCharType="separate"/>
      </w:r>
      <w:r w:rsidRPr="00821C9E">
        <w:rPr>
          <w:rStyle w:val="Hyperlink"/>
          <w:i/>
          <w:iCs/>
        </w:rPr>
        <w:t>Public International Law: An Open Textbook</w:t>
      </w:r>
      <w:r>
        <w:fldChar w:fldCharType="end"/>
      </w:r>
      <w:r w:rsidRPr="00821C9E">
        <w:rPr>
          <w:i/>
          <w:iCs/>
        </w:rPr>
        <w:t xml:space="preserve"> </w:t>
      </w:r>
      <w:r w:rsidRPr="00821C9E">
        <w:t>(2023).</w:t>
      </w:r>
    </w:p>
  </w:endnote>
  <w:endnote w:id="9">
    <w:p w:rsidR="00821C9E" w:rsidRPr="00821C9E" w:rsidP="001142BD">
      <w:pPr>
        <w:pStyle w:val="EndnoteText"/>
        <w:spacing w:after="120" w:line="360" w:lineRule="auto"/>
        <w:jc w:val="both"/>
      </w:pPr>
      <w:r w:rsidRPr="00821C9E">
        <w:rPr>
          <w:rStyle w:val="EndnoteReference"/>
        </w:rPr>
        <w:endnoteRef/>
      </w:r>
      <w:r w:rsidRPr="00821C9E">
        <w:t xml:space="preserve"> </w:t>
      </w:r>
      <w:r w:rsidRPr="00821C9E">
        <w:rPr>
          <w:rStyle w:val="markedcontent"/>
          <w:shd w:val="clear" w:color="auto" w:fill="FFFFFF"/>
        </w:rPr>
        <w:t xml:space="preserve">William Conklin, </w:t>
      </w:r>
      <w:r>
        <w:fldChar w:fldCharType="begin"/>
      </w:r>
      <w:r>
        <w:instrText xml:space="preserve"> HYPERLINK "https://www.bloomsbury.com/uk/statelessness-9781782253730/" </w:instrText>
      </w:r>
      <w:r>
        <w:fldChar w:fldCharType="separate"/>
      </w:r>
      <w:r w:rsidRPr="004E3CB8">
        <w:rPr>
          <w:rStyle w:val="Hyperlink"/>
          <w:i/>
          <w:iCs/>
          <w:shd w:val="clear" w:color="auto" w:fill="FFFFFF"/>
        </w:rPr>
        <w:t>Statelessness: The Enigma of the International Community</w:t>
      </w:r>
      <w:r>
        <w:fldChar w:fldCharType="end"/>
      </w:r>
      <w:r w:rsidRPr="00821C9E">
        <w:rPr>
          <w:rStyle w:val="markedcontent"/>
          <w:shd w:val="clear" w:color="auto" w:fill="FFFFFF"/>
        </w:rPr>
        <w:t xml:space="preserve"> (Hart</w:t>
      </w:r>
      <w:r w:rsidRPr="00821C9E">
        <w:rPr>
          <w:shd w:val="clear" w:color="auto" w:fill="FFFFFF"/>
        </w:rPr>
        <w:br/>
      </w:r>
      <w:r w:rsidRPr="00821C9E">
        <w:rPr>
          <w:rStyle w:val="markedcontent"/>
          <w:shd w:val="clear" w:color="auto" w:fill="FFFFFF"/>
        </w:rPr>
        <w:t>2014) 126–134.</w:t>
      </w:r>
    </w:p>
  </w:endnote>
  <w:endnote w:id="10">
    <w:p w:rsidR="00821C9E" w:rsidRPr="00821C9E" w:rsidP="001142BD">
      <w:pPr>
        <w:pStyle w:val="EndnoteText"/>
        <w:spacing w:after="120" w:line="360" w:lineRule="auto"/>
        <w:jc w:val="both"/>
      </w:pPr>
      <w:r w:rsidRPr="00821C9E">
        <w:rPr>
          <w:rStyle w:val="EndnoteReference"/>
        </w:rPr>
        <w:endnoteRef/>
      </w:r>
      <w:r w:rsidRPr="00821C9E">
        <w:t xml:space="preserve"> UN General Assembly, </w:t>
      </w:r>
      <w:r w:rsidRPr="00821C9E">
        <w:rPr>
          <w:i/>
          <w:iCs/>
        </w:rPr>
        <w:t>Sixth Committee: Summary record of the 23rd meeting</w:t>
      </w:r>
      <w:r w:rsidRPr="00821C9E">
        <w:t xml:space="preserve">, </w:t>
      </w:r>
      <w:r>
        <w:fldChar w:fldCharType="begin"/>
      </w:r>
      <w:r>
        <w:instrText xml:space="preserve"> HYPERLINK "https://digitallibrary.un.org/record/1657056?ln=zh_ENG" </w:instrText>
      </w:r>
      <w:r>
        <w:fldChar w:fldCharType="separate"/>
      </w:r>
      <w:r w:rsidRPr="004E3CB8">
        <w:rPr>
          <w:rStyle w:val="Hyperlink"/>
        </w:rPr>
        <w:t>UN Doc A/C.6/73/SR.23</w:t>
      </w:r>
      <w:r>
        <w:fldChar w:fldCharType="end"/>
      </w:r>
      <w:r w:rsidRPr="00821C9E">
        <w:t xml:space="preserve"> (14 November 2018) 5, para 36. </w:t>
      </w:r>
      <w:r w:rsidR="004E3CB8">
        <w:t>See also the detailed consideration in</w:t>
      </w:r>
      <w:r w:rsidRPr="00821C9E">
        <w:t xml:space="preserve">: International Law Commission, </w:t>
      </w:r>
      <w:r>
        <w:fldChar w:fldCharType="begin"/>
      </w:r>
      <w:r>
        <w:instrText xml:space="preserve"> HYPERLINK "https://documents-dds-ny.un.org/doc/UNDOC/GEN/N22/276/29/PDF/N2227629.pdf?OpenElement" </w:instrText>
      </w:r>
      <w:r>
        <w:fldChar w:fldCharType="separate"/>
      </w:r>
      <w:r w:rsidRPr="007824E7">
        <w:rPr>
          <w:rStyle w:val="Hyperlink"/>
          <w:i/>
          <w:iCs/>
        </w:rPr>
        <w:t>Second Issues Paper on Sea-level Rise in Relation to International Law</w:t>
      </w:r>
      <w:r>
        <w:fldChar w:fldCharType="end"/>
      </w:r>
      <w:r w:rsidRPr="00821C9E">
        <w:t>, UN Doc A/CN.4/752 (18 April–3 June and 4 July–5 August 2022) 21–56</w:t>
      </w:r>
      <w:r w:rsidR="004E3CB8">
        <w:t xml:space="preserve">. This issues paper sets out the context and current progress of the International Law Commission on statehood, forming a major resource for its ongoing work. For indicative statements from SIDS, see: </w:t>
      </w:r>
      <w:r w:rsidRPr="00821C9E">
        <w:t xml:space="preserve">Stuart Minchin (Director General of The Pacific Community), ‘Remarks’, </w:t>
      </w:r>
      <w:r>
        <w:fldChar w:fldCharType="begin"/>
      </w:r>
      <w:r>
        <w:instrText xml:space="preserve"> HYPERLINK "https://www.forumsec.org/2023/03/27/35754/" </w:instrText>
      </w:r>
      <w:r>
        <w:fldChar w:fldCharType="separate"/>
      </w:r>
      <w:r w:rsidRPr="00821C9E">
        <w:rPr>
          <w:rStyle w:val="Hyperlink"/>
          <w:i/>
          <w:iCs/>
        </w:rPr>
        <w:t>Official Opening of the 2023 Regional Conference on Preserving Statehood and Protecting Persons: Legal Options and Institutional Responses to the Impacts of Sea-Level Rise</w:t>
      </w:r>
      <w:r>
        <w:fldChar w:fldCharType="end"/>
      </w:r>
      <w:r w:rsidRPr="00821C9E">
        <w:t xml:space="preserve">, 27 March 2023; Simon Kofe, </w:t>
      </w:r>
      <w:r w:rsidRPr="00821C9E">
        <w:rPr>
          <w:i/>
          <w:iCs/>
        </w:rPr>
        <w:t xml:space="preserve">Keynote address, </w:t>
      </w:r>
      <w:r>
        <w:fldChar w:fldCharType="begin"/>
      </w:r>
      <w:r>
        <w:instrText xml:space="preserve"> HYPERLINK "https://www.forumsec.org/2023/03/27/remarks-keynote-address-tuvalu-foreign-affairs-minister-simon-kofe-to-regional-conference-on-statehood-protection-of-persons-affected-by-sea-level-rise/" </w:instrText>
      </w:r>
      <w:r>
        <w:fldChar w:fldCharType="separate"/>
      </w:r>
      <w:r w:rsidRPr="00821C9E">
        <w:rPr>
          <w:rStyle w:val="Hyperlink"/>
          <w:i/>
          <w:iCs/>
        </w:rPr>
        <w:t>Tuvalu Foreign Affairs Minister Simon Kofe to Regional Conference on Statehood, Protection of Persons Affected by Sea Level Rise</w:t>
      </w:r>
      <w:r>
        <w:fldChar w:fldCharType="end"/>
      </w:r>
      <w:r w:rsidRPr="00821C9E">
        <w:t>, 27 March 2023.</w:t>
      </w:r>
    </w:p>
  </w:endnote>
  <w:endnote w:id="11">
    <w:p w:rsidR="00821C9E" w:rsidRPr="00821C9E" w:rsidP="001142BD">
      <w:pPr>
        <w:pStyle w:val="EndnoteText"/>
        <w:spacing w:after="120" w:line="360" w:lineRule="auto"/>
        <w:jc w:val="both"/>
      </w:pPr>
      <w:r w:rsidRPr="00821C9E">
        <w:rPr>
          <w:rStyle w:val="EndnoteReference"/>
        </w:rPr>
        <w:endnoteRef/>
      </w:r>
      <w:r w:rsidRPr="00821C9E">
        <w:t xml:space="preserve"> The difficulties faced by Taiwan due to its lack of statehood include expulsion from the UN in favour of the People’s Republic of China (</w:t>
      </w:r>
      <w:r>
        <w:fldChar w:fldCharType="begin"/>
      </w:r>
      <w:r>
        <w:instrText xml:space="preserve"> HYPERLINK "https://digitallibrary.un.org/record/192054?ln=en" </w:instrText>
      </w:r>
      <w:r>
        <w:fldChar w:fldCharType="separate"/>
      </w:r>
      <w:r w:rsidRPr="004E3CB8">
        <w:rPr>
          <w:rStyle w:val="Hyperlink"/>
          <w:lang w:eastAsia="zh-HK"/>
        </w:rPr>
        <w:t>UN General Assembly resolution 2758 (XXVI), 25 October 1971</w:t>
      </w:r>
      <w:r>
        <w:fldChar w:fldCharType="end"/>
      </w:r>
      <w:r w:rsidRPr="00821C9E">
        <w:rPr>
          <w:lang w:eastAsia="zh-HK"/>
        </w:rPr>
        <w:t>) and a peripheral role in other organisations, such as the Commission for the Conservation of Southern Bluefin Tuna, under which is relegated to the role of ‘Fishing Entity’ (</w:t>
      </w:r>
      <w:r w:rsidRPr="00821C9E">
        <w:t xml:space="preserve">CCSBT, </w:t>
      </w:r>
      <w:r>
        <w:fldChar w:fldCharType="begin"/>
      </w:r>
      <w:r>
        <w:instrText xml:space="preserve"> HYPERLINK "https://www.ccsbt.org/en/content/reports-past-meetings" </w:instrText>
      </w:r>
      <w:r>
        <w:fldChar w:fldCharType="separate"/>
      </w:r>
      <w:r w:rsidRPr="004E3CB8">
        <w:rPr>
          <w:rStyle w:val="Hyperlink"/>
          <w:i/>
        </w:rPr>
        <w:t>Reports of the Meetings for the Seventh and Eighth Year of the Commission (including Financial Statements)</w:t>
      </w:r>
      <w:r w:rsidRPr="004E3CB8">
        <w:rPr>
          <w:rStyle w:val="Hyperlink"/>
        </w:rPr>
        <w:t>, 2002</w:t>
      </w:r>
      <w:r>
        <w:fldChar w:fldCharType="end"/>
      </w:r>
      <w:r w:rsidRPr="00821C9E">
        <w:t xml:space="preserve">, 54). The latter is usefully analysed in: </w:t>
      </w:r>
      <w:r w:rsidRPr="00821C9E">
        <w:rPr>
          <w:lang w:eastAsia="zh-HK"/>
        </w:rPr>
        <w:t xml:space="preserve">Andrew Serdy, </w:t>
      </w:r>
      <w:r>
        <w:fldChar w:fldCharType="begin"/>
      </w:r>
      <w:r>
        <w:instrText xml:space="preserve"> HYPERLINK "https://academic.oup.com/bybil/article/75/1/183/468003" </w:instrText>
      </w:r>
      <w:r>
        <w:fldChar w:fldCharType="separate"/>
      </w:r>
      <w:r w:rsidRPr="004E3CB8">
        <w:rPr>
          <w:rStyle w:val="Hyperlink"/>
          <w:lang w:eastAsia="zh-HK"/>
        </w:rPr>
        <w:t>‘Bringing Taiwan into the International Fisheries Fold: the Legal Personality of a Fishing Entity’</w:t>
      </w:r>
      <w:r>
        <w:fldChar w:fldCharType="end"/>
      </w:r>
      <w:r w:rsidRPr="00821C9E">
        <w:rPr>
          <w:lang w:eastAsia="zh-HK"/>
        </w:rPr>
        <w:t xml:space="preserve"> (2005) 75(1) </w:t>
      </w:r>
      <w:r w:rsidRPr="00821C9E">
        <w:rPr>
          <w:iCs/>
          <w:lang w:eastAsia="zh-HK"/>
        </w:rPr>
        <w:t>British Yearbook of International Law</w:t>
      </w:r>
      <w:r w:rsidRPr="00821C9E">
        <w:rPr>
          <w:lang w:eastAsia="zh-HK"/>
        </w:rPr>
        <w:t xml:space="preserve"> 183: 186-191.</w:t>
      </w:r>
    </w:p>
  </w:endnote>
  <w:endnote w:id="12">
    <w:p w:rsidR="00821C9E" w:rsidRPr="00821C9E" w:rsidP="001142BD">
      <w:pPr>
        <w:pStyle w:val="EndnoteText"/>
        <w:spacing w:after="120" w:line="360" w:lineRule="auto"/>
        <w:jc w:val="both"/>
      </w:pPr>
      <w:r w:rsidRPr="00821C9E">
        <w:rPr>
          <w:rStyle w:val="EndnoteReference"/>
        </w:rPr>
        <w:endnoteRef/>
      </w:r>
      <w:r w:rsidRPr="00821C9E">
        <w:t xml:space="preserve"> Crawford, </w:t>
      </w:r>
      <w:r>
        <w:fldChar w:fldCharType="begin"/>
      </w:r>
      <w:r>
        <w:instrText xml:space="preserve"> HYPERLINK "https://academic.oup.com/book/3288" </w:instrText>
      </w:r>
      <w:r>
        <w:fldChar w:fldCharType="separate"/>
      </w:r>
      <w:r w:rsidRPr="004E3CB8">
        <w:rPr>
          <w:rStyle w:val="Hyperlink"/>
          <w:i/>
          <w:iCs/>
        </w:rPr>
        <w:t>The Creation of States in International Law</w:t>
      </w:r>
      <w:r>
        <w:fldChar w:fldCharType="end"/>
      </w:r>
      <w:r w:rsidRPr="00821C9E">
        <w:rPr>
          <w:i/>
          <w:iCs/>
        </w:rPr>
        <w:t xml:space="preserve"> </w:t>
      </w:r>
      <w:r w:rsidRPr="00821C9E">
        <w:t xml:space="preserve">(OUP 2007) </w:t>
      </w:r>
      <w:r w:rsidR="00E169DE">
        <w:t>40-45</w:t>
      </w:r>
      <w:r w:rsidRPr="00821C9E">
        <w:t>.</w:t>
      </w:r>
    </w:p>
  </w:endnote>
  <w:endnote w:id="13">
    <w:p w:rsidR="00821C9E" w:rsidRPr="00821C9E" w:rsidP="001142BD">
      <w:pPr>
        <w:pStyle w:val="EndnoteText"/>
        <w:spacing w:after="120" w:line="360" w:lineRule="auto"/>
        <w:jc w:val="both"/>
      </w:pPr>
      <w:r w:rsidRPr="00821C9E">
        <w:rPr>
          <w:rStyle w:val="EndnoteReference"/>
        </w:rPr>
        <w:endnoteRef/>
      </w:r>
      <w:r w:rsidRPr="00821C9E">
        <w:t xml:space="preserve"> </w:t>
      </w:r>
      <w:r w:rsidRPr="00797A28" w:rsidR="003D7157">
        <w:t xml:space="preserve">United Nations, </w:t>
      </w:r>
      <w:r>
        <w:fldChar w:fldCharType="begin"/>
      </w:r>
      <w:r>
        <w:instrText xml:space="preserve"> HYPERLINK "https://sdgs.un.org/sites/default/files/2022-01/2014248-DESA-Oceans_Sustainable_final-WEB.pdf" </w:instrText>
      </w:r>
      <w:r>
        <w:fldChar w:fldCharType="separate"/>
      </w:r>
      <w:r w:rsidRPr="00797A28" w:rsidR="003D7157">
        <w:rPr>
          <w:rStyle w:val="Hyperlink"/>
        </w:rPr>
        <w:t>Promotion and Strengthening of Sustainable Ocean-based Economies: Sustainable Development Goal 14</w:t>
      </w:r>
      <w:r>
        <w:fldChar w:fldCharType="end"/>
      </w:r>
      <w:r w:rsidR="003D7157">
        <w:t xml:space="preserve"> </w:t>
      </w:r>
      <w:r w:rsidRPr="00797A28" w:rsidR="003D7157">
        <w:t>(United Nations 2021)</w:t>
      </w:r>
      <w:r w:rsidR="003D7157">
        <w:t xml:space="preserve">; </w:t>
      </w:r>
      <w:r w:rsidR="00C85A57">
        <w:t>International Law Commission (</w:t>
      </w:r>
      <w:r>
        <w:fldChar w:fldCharType="begin"/>
      </w:r>
      <w:r>
        <w:instrText xml:space="preserve"> HYPERLINK "https://documents-dds-ny.un.org/doc/UNDOC/GEN/N23/044/38/PDF/N2304438.pdf?OpenElement" </w:instrText>
      </w:r>
      <w:r>
        <w:fldChar w:fldCharType="separate"/>
      </w:r>
      <w:r w:rsidRPr="007824E7" w:rsidR="00C85A57">
        <w:rPr>
          <w:rStyle w:val="Hyperlink"/>
        </w:rPr>
        <w:t>Additional paper to the first issues paper (2020), by Bogdan Aurescu and Nilüfer Oral, Co-chairs of the Study Group on sea-level rise and in relation to international law</w:t>
      </w:r>
      <w:r>
        <w:fldChar w:fldCharType="end"/>
      </w:r>
      <w:r w:rsidRPr="007824E7" w:rsidR="00C85A57">
        <w:t>, UN Doc A/CN.4/761 (24 April–2 June and 3 July–4 August 2023)</w:t>
      </w:r>
      <w:r w:rsidR="00C85A57">
        <w:t xml:space="preserve"> para 184.</w:t>
      </w:r>
    </w:p>
  </w:endnote>
  <w:endnote w:id="14">
    <w:p w:rsidR="00821C9E" w:rsidRPr="00821C9E" w:rsidP="001142BD">
      <w:pPr>
        <w:pStyle w:val="EndnoteText"/>
        <w:spacing w:after="120" w:line="360" w:lineRule="auto"/>
        <w:jc w:val="both"/>
      </w:pPr>
      <w:r w:rsidRPr="00821C9E">
        <w:rPr>
          <w:rStyle w:val="EndnoteReference"/>
        </w:rPr>
        <w:endnoteRef/>
      </w:r>
      <w:r w:rsidRPr="00821C9E">
        <w:t xml:space="preserve"> </w:t>
      </w:r>
      <w:r w:rsidRPr="008B7DE3" w:rsidR="008B7DE3">
        <w:t>Kamal Hossain,</w:t>
      </w:r>
      <w:r w:rsidR="008B7DE3">
        <w:t xml:space="preserve"> for example, writes that ‘</w:t>
      </w:r>
      <w:r w:rsidRPr="008B7DE3" w:rsidR="008B7DE3">
        <w:t xml:space="preserve">At the core of the concept of permanent sovereignty is the inherent and overriding right of a state to control and dispose of the natural wealth and resources </w:t>
      </w:r>
      <w:r w:rsidRPr="008B7DE3" w:rsidR="008B7DE3">
        <w:rPr>
          <w:b/>
          <w:bCs/>
          <w:i/>
          <w:iCs/>
          <w:u w:val="single"/>
        </w:rPr>
        <w:t>in its territory</w:t>
      </w:r>
      <w:r w:rsidRPr="008B7DE3" w:rsidR="008B7DE3">
        <w:t xml:space="preserve"> for the benefit of its own people.</w:t>
      </w:r>
      <w:r w:rsidR="008B7DE3">
        <w:t>’ [my emphasis] (‘</w:t>
      </w:r>
      <w:r w:rsidRPr="008B7DE3" w:rsidR="008B7DE3">
        <w:t>Introduction</w:t>
      </w:r>
      <w:r w:rsidR="008B7DE3">
        <w:t>’</w:t>
      </w:r>
      <w:r w:rsidRPr="008B7DE3" w:rsidR="008B7DE3">
        <w:t xml:space="preserve"> in Kamal Hossain and Subrata Roy Chowdhury (eds.), </w:t>
      </w:r>
      <w:r w:rsidRPr="008B7DE3" w:rsidR="008B7DE3">
        <w:rPr>
          <w:i/>
          <w:iCs/>
        </w:rPr>
        <w:t>Permanent Sovereignty over Natural Resources in International Law: Principle and Practice</w:t>
      </w:r>
      <w:r w:rsidRPr="008B7DE3" w:rsidR="008B7DE3">
        <w:t xml:space="preserve"> (Pinter 1984)</w:t>
      </w:r>
      <w:r w:rsidR="008B7DE3">
        <w:t xml:space="preserve"> </w:t>
      </w:r>
      <w:r w:rsidRPr="008B7DE3" w:rsidR="008B7DE3">
        <w:t>xiii.</w:t>
      </w:r>
      <w:r w:rsidR="008B7DE3">
        <w:t>)</w:t>
      </w:r>
    </w:p>
  </w:endnote>
  <w:endnote w:id="15">
    <w:p w:rsidR="00821C9E" w:rsidRPr="00797A28" w:rsidP="001142BD">
      <w:pPr>
        <w:pStyle w:val="EndnoteText"/>
        <w:spacing w:after="120" w:line="360" w:lineRule="auto"/>
        <w:jc w:val="both"/>
      </w:pPr>
      <w:r w:rsidRPr="00821C9E">
        <w:rPr>
          <w:rStyle w:val="EndnoteReference"/>
        </w:rPr>
        <w:endnoteRef/>
      </w:r>
      <w:r w:rsidRPr="00821C9E">
        <w:t xml:space="preserve"> </w:t>
      </w:r>
      <w:r w:rsidR="00797A28">
        <w:t xml:space="preserve">Robin Churchill, Vaughan Lowe, and Amy Sander, </w:t>
      </w:r>
      <w:r>
        <w:fldChar w:fldCharType="begin"/>
      </w:r>
      <w:r>
        <w:instrText xml:space="preserve"> HYPERLINK "https://manchesteruniversitypress.co.uk/9780719079689/" </w:instrText>
      </w:r>
      <w:r>
        <w:fldChar w:fldCharType="separate"/>
      </w:r>
      <w:r w:rsidRPr="004E3CB8" w:rsidR="00797A28">
        <w:rPr>
          <w:rStyle w:val="Hyperlink"/>
          <w:i/>
          <w:iCs/>
        </w:rPr>
        <w:t>The Law of the Sea</w:t>
      </w:r>
      <w:r>
        <w:fldChar w:fldCharType="end"/>
      </w:r>
      <w:r w:rsidR="00797A28">
        <w:t>, 4</w:t>
      </w:r>
      <w:r w:rsidRPr="00797A28" w:rsidR="00797A28">
        <w:rPr>
          <w:vertAlign w:val="superscript"/>
        </w:rPr>
        <w:t>th</w:t>
      </w:r>
      <w:r w:rsidR="00797A28">
        <w:t xml:space="preserve"> ed (Manchester University Press 2022) 253-299; </w:t>
      </w:r>
      <w:r w:rsidRPr="00797A28" w:rsidR="00797A28">
        <w:t>United Nations</w:t>
      </w:r>
      <w:r w:rsidR="003D7157">
        <w:t xml:space="preserve"> (n 12</w:t>
      </w:r>
      <w:r w:rsidRPr="00797A28" w:rsidR="00797A28">
        <w:t>)</w:t>
      </w:r>
      <w:r w:rsidR="00797A28">
        <w:t>.</w:t>
      </w:r>
    </w:p>
  </w:endnote>
  <w:endnote w:id="16">
    <w:p w:rsidR="00821C9E" w:rsidRPr="00821C9E" w:rsidP="001142BD">
      <w:pPr>
        <w:pStyle w:val="EndnoteText"/>
        <w:spacing w:after="120" w:line="360" w:lineRule="auto"/>
        <w:jc w:val="both"/>
      </w:pPr>
      <w:r w:rsidRPr="00821C9E">
        <w:rPr>
          <w:rStyle w:val="EndnoteReference"/>
        </w:rPr>
        <w:endnoteRef/>
      </w:r>
      <w:r w:rsidRPr="00821C9E">
        <w:t xml:space="preserve"> International Law Commission (n 5); </w:t>
      </w:r>
      <w:r w:rsidRPr="00821C9E" w:rsidR="00797A28">
        <w:t xml:space="preserve">International Law Commission </w:t>
      </w:r>
      <w:r w:rsidR="00797A28">
        <w:t xml:space="preserve">(n 9) </w:t>
      </w:r>
      <w:r w:rsidR="00735C7F">
        <w:t>paras 230-235, 252, 262-270, 277-283, 419</w:t>
      </w:r>
      <w:r w:rsidR="00797A28">
        <w:t xml:space="preserve">; </w:t>
      </w:r>
      <w:r w:rsidRPr="00797A28" w:rsidR="00797A28">
        <w:t xml:space="preserve">Michel Rouleau-Dick, </w:t>
      </w:r>
      <w:r>
        <w:fldChar w:fldCharType="begin"/>
      </w:r>
      <w:r>
        <w:instrText xml:space="preserve"> HYPERLINK "https://statelessnessandcitizenshipreview.com/index.php/journal/article/view/271" </w:instrText>
      </w:r>
      <w:r>
        <w:fldChar w:fldCharType="separate"/>
      </w:r>
      <w:r w:rsidRPr="00797A28" w:rsidR="00797A28">
        <w:rPr>
          <w:rStyle w:val="Hyperlink"/>
        </w:rPr>
        <w:t>‘Sea Level Rise and Climate Statelessness From 'Too Little, Too Late' to Context-Based Relevance’</w:t>
      </w:r>
      <w:r>
        <w:fldChar w:fldCharType="end"/>
      </w:r>
      <w:r w:rsidRPr="00797A28" w:rsidR="00797A28">
        <w:t xml:space="preserve"> (2021) 3(2) Statelessness &amp; Citizenship Review 287 </w:t>
      </w:r>
    </w:p>
  </w:endnote>
  <w:endnote w:id="17">
    <w:p w:rsidR="00821C9E" w:rsidRPr="00821C9E" w:rsidP="001142BD">
      <w:pPr>
        <w:pStyle w:val="EndnoteText"/>
        <w:spacing w:after="120" w:line="360" w:lineRule="auto"/>
        <w:jc w:val="both"/>
      </w:pPr>
      <w:r w:rsidRPr="00821C9E">
        <w:rPr>
          <w:rStyle w:val="EndnoteReference"/>
        </w:rPr>
        <w:endnoteRef/>
      </w:r>
      <w:r w:rsidRPr="00821C9E">
        <w:t xml:space="preserve"> </w:t>
      </w:r>
      <w:r w:rsidRPr="00821C9E">
        <w:rPr>
          <w:rStyle w:val="markedcontent"/>
          <w:shd w:val="clear" w:color="auto" w:fill="FFFFFF"/>
        </w:rPr>
        <w:t>Conklin (n 8) 113-117.</w:t>
      </w:r>
    </w:p>
  </w:endnote>
  <w:endnote w:id="18">
    <w:p w:rsidR="00821C9E" w:rsidRPr="00821C9E" w:rsidP="001142BD">
      <w:pPr>
        <w:pStyle w:val="EndnoteText"/>
        <w:spacing w:after="120" w:line="360" w:lineRule="auto"/>
        <w:jc w:val="both"/>
      </w:pPr>
      <w:r w:rsidRPr="00821C9E">
        <w:rPr>
          <w:rStyle w:val="EndnoteReference"/>
        </w:rPr>
        <w:endnoteRef/>
      </w:r>
      <w:r w:rsidRPr="00821C9E">
        <w:t xml:space="preserve"> Wong (n 3) 349-350; Lucas Lixinski, Jane McAdam, and Patricia Tupou, </w:t>
      </w:r>
      <w:r>
        <w:fldChar w:fldCharType="begin"/>
      </w:r>
      <w:r>
        <w:instrText xml:space="preserve"> HYPERLINK "https://papers.ssrn.com/sol3/papers.cfm?abstract_id=4250799" </w:instrText>
      </w:r>
      <w:r>
        <w:fldChar w:fldCharType="separate"/>
      </w:r>
      <w:r w:rsidRPr="004E3CB8">
        <w:rPr>
          <w:rStyle w:val="Hyperlink"/>
        </w:rPr>
        <w:t>‘Ocean Cultures, the Anthropocene and International Law: Cultural Heritage and Mobility Law as Imaginative Gateways’</w:t>
      </w:r>
      <w:r>
        <w:fldChar w:fldCharType="end"/>
      </w:r>
      <w:r w:rsidRPr="00821C9E">
        <w:t xml:space="preserve"> (2022) 23(1) Melbourne Journal of International Law 1.</w:t>
      </w:r>
    </w:p>
  </w:endnote>
  <w:endnote w:id="19">
    <w:p w:rsidR="00821C9E" w:rsidRPr="00821C9E" w:rsidP="001142BD">
      <w:pPr>
        <w:pStyle w:val="EndnoteText"/>
        <w:spacing w:after="120" w:line="360" w:lineRule="auto"/>
        <w:jc w:val="both"/>
      </w:pPr>
      <w:r w:rsidRPr="00821C9E">
        <w:rPr>
          <w:rStyle w:val="EndnoteReference"/>
        </w:rPr>
        <w:endnoteRef/>
      </w:r>
      <w:r w:rsidRPr="00821C9E">
        <w:t xml:space="preserve"> On the political value of statehood, see: Alex Green, </w:t>
      </w:r>
      <w:r>
        <w:fldChar w:fldCharType="begin"/>
      </w:r>
      <w:r>
        <w:instrText xml:space="preserve"> HYPERLINK "https://papers.ssrn.com/sol3/papers.cfm?abstract_id=4446101" </w:instrText>
      </w:r>
      <w:r>
        <w:fldChar w:fldCharType="separate"/>
      </w:r>
      <w:r w:rsidRPr="00821C9E">
        <w:rPr>
          <w:rStyle w:val="Hyperlink"/>
        </w:rPr>
        <w:t>‘A Political Theory of State Equality’</w:t>
      </w:r>
      <w:r>
        <w:fldChar w:fldCharType="end"/>
      </w:r>
      <w:r w:rsidRPr="00821C9E">
        <w:t xml:space="preserve"> (2023) 14(2) Transnational Legal Theory (Forthcoming)</w:t>
      </w:r>
      <w:r w:rsidR="00797A28">
        <w:t xml:space="preserve">; </w:t>
      </w:r>
      <w:r w:rsidRPr="00821C9E" w:rsidR="00797A28">
        <w:t xml:space="preserve">Alex Green, </w:t>
      </w:r>
      <w:r w:rsidRPr="00821C9E" w:rsidR="00797A28">
        <w:rPr>
          <w:i/>
          <w:iCs/>
        </w:rPr>
        <w:t xml:space="preserve">Statehood as Political Community: International Law and the Emergence of New States </w:t>
      </w:r>
      <w:r w:rsidRPr="00821C9E" w:rsidR="00797A28">
        <w:t>(forthcoming, C</w:t>
      </w:r>
      <w:r w:rsidR="00AE05C6">
        <w:t xml:space="preserve">ambridge </w:t>
      </w:r>
      <w:r w:rsidRPr="00821C9E" w:rsidR="00797A28">
        <w:t>U</w:t>
      </w:r>
      <w:r w:rsidR="00AE05C6">
        <w:t xml:space="preserve">niversity </w:t>
      </w:r>
      <w:r w:rsidRPr="00821C9E" w:rsidR="00797A28">
        <w:t>P</w:t>
      </w:r>
      <w:r w:rsidR="00AE05C6">
        <w:t>ress</w:t>
      </w:r>
      <w:r w:rsidRPr="00821C9E" w:rsidR="00797A28">
        <w:t xml:space="preserve"> 2023),</w:t>
      </w:r>
      <w:r w:rsidR="00797A28">
        <w:t xml:space="preserve"> Part I.</w:t>
      </w:r>
    </w:p>
  </w:endnote>
  <w:endnote w:id="20">
    <w:p w:rsidR="00821C9E" w:rsidRPr="00821C9E" w:rsidP="001142BD">
      <w:pPr>
        <w:pStyle w:val="EndnoteText"/>
        <w:spacing w:after="120" w:line="360" w:lineRule="auto"/>
        <w:jc w:val="both"/>
      </w:pPr>
      <w:r w:rsidRPr="00821C9E">
        <w:rPr>
          <w:rStyle w:val="EndnoteReference"/>
        </w:rPr>
        <w:endnoteRef/>
      </w:r>
      <w:r w:rsidRPr="00821C9E">
        <w:t xml:space="preserve"> Ibid 126-134.</w:t>
      </w:r>
    </w:p>
  </w:endnote>
  <w:endnote w:id="21">
    <w:p w:rsidR="00821C9E" w:rsidRPr="00821C9E" w:rsidP="001142BD">
      <w:pPr>
        <w:pStyle w:val="EndnoteText"/>
        <w:spacing w:after="120" w:line="360" w:lineRule="auto"/>
        <w:jc w:val="both"/>
      </w:pPr>
      <w:r w:rsidRPr="00821C9E">
        <w:rPr>
          <w:rStyle w:val="EndnoteReference"/>
        </w:rPr>
        <w:endnoteRef/>
      </w:r>
      <w:r w:rsidRPr="00821C9E">
        <w:t xml:space="preserve"> Office of the High Representative for the Least Developed Countries, Landlocked Developing Countries and Small Island Developing States, </w:t>
      </w:r>
      <w:r>
        <w:fldChar w:fldCharType="begin"/>
      </w:r>
      <w:r>
        <w:instrText xml:space="preserve"> HYPERLINK "https://www.un.org/ohrlls/content/about-small-island-developing-states" \l ":~:text=Small%20Island%20Developing%20States%20(SIDS,social%2C%20economic%20and%20environmental%20vulnerabilities." </w:instrText>
      </w:r>
      <w:r>
        <w:fldChar w:fldCharType="separate"/>
      </w:r>
      <w:r w:rsidRPr="00821C9E">
        <w:rPr>
          <w:rStyle w:val="Hyperlink"/>
        </w:rPr>
        <w:t>‘About Small Island Developing States’</w:t>
      </w:r>
      <w:r>
        <w:fldChar w:fldCharType="end"/>
      </w:r>
      <w:r w:rsidRPr="00821C9E">
        <w:t>.</w:t>
      </w:r>
    </w:p>
  </w:endnote>
  <w:endnote w:id="22">
    <w:p w:rsidR="00821C9E" w:rsidRPr="00821C9E" w:rsidP="001142BD">
      <w:pPr>
        <w:pStyle w:val="EndnoteText"/>
        <w:spacing w:after="120" w:line="360" w:lineRule="auto"/>
        <w:jc w:val="both"/>
      </w:pPr>
      <w:r w:rsidRPr="00821C9E">
        <w:rPr>
          <w:rStyle w:val="EndnoteReference"/>
        </w:rPr>
        <w:endnoteRef/>
      </w:r>
      <w:r w:rsidRPr="00821C9E">
        <w:t xml:space="preserve"> </w:t>
      </w:r>
      <w:r w:rsidR="00D0435F">
        <w:t xml:space="preserve">The Republic of Somaliland, for example, which remains unrecognised by the international community despite satisfying all the antecedents of statehood, maintains only 19 ‘Representative Offices’ in other states, none of which has full consular or diplomatic status under the </w:t>
      </w:r>
      <w:r>
        <w:fldChar w:fldCharType="begin"/>
      </w:r>
      <w:r>
        <w:instrText xml:space="preserve"> HYPERLINK "https://legal.un.org/ilc/texts/instruments/english/conventions/9_1_1961.pdf" </w:instrText>
      </w:r>
      <w:r>
        <w:fldChar w:fldCharType="separate"/>
      </w:r>
      <w:r w:rsidRPr="004E3CB8" w:rsidR="00D0435F">
        <w:rPr>
          <w:rStyle w:val="Hyperlink"/>
        </w:rPr>
        <w:t>1961 Vienna Convention on Diplomatic Relations</w:t>
      </w:r>
      <w:r>
        <w:fldChar w:fldCharType="end"/>
      </w:r>
      <w:r w:rsidR="00D0435F">
        <w:t>.</w:t>
      </w:r>
    </w:p>
  </w:endnote>
  <w:endnote w:id="23">
    <w:p w:rsidR="00821C9E" w:rsidRPr="00821C9E" w:rsidP="001142BD">
      <w:pPr>
        <w:pStyle w:val="EndnoteText"/>
        <w:spacing w:after="120" w:line="360" w:lineRule="auto"/>
        <w:jc w:val="both"/>
      </w:pPr>
      <w:r w:rsidRPr="00821C9E">
        <w:rPr>
          <w:rStyle w:val="EndnoteReference"/>
        </w:rPr>
        <w:endnoteRef/>
      </w:r>
      <w:r w:rsidRPr="00821C9E">
        <w:t xml:space="preserve"> Special domestic legislation and bilateral agreements beyond formal recognition are usually required for passports from non-states to be accepted, see: Andrew Grossman, </w:t>
      </w:r>
      <w:r>
        <w:fldChar w:fldCharType="begin"/>
      </w:r>
      <w:r>
        <w:instrText xml:space="preserve"> HYPERLINK "https://www.cambridge.org/core/journals/international-and-comparative-law-quarterly/article/abs/nationality-and-the-unrecognised-state/5F5D507DB8A4AA343FFB7C08E5368A7C" </w:instrText>
      </w:r>
      <w:r>
        <w:fldChar w:fldCharType="separate"/>
      </w:r>
      <w:r w:rsidRPr="006026B0">
        <w:rPr>
          <w:rStyle w:val="Hyperlink"/>
        </w:rPr>
        <w:t>‘Nationality and the Unrecognised State’</w:t>
      </w:r>
      <w:r>
        <w:fldChar w:fldCharType="end"/>
      </w:r>
      <w:r w:rsidRPr="00821C9E">
        <w:t xml:space="preserve"> (2001) 50(4) I</w:t>
      </w:r>
      <w:r w:rsidR="00AE05C6">
        <w:t xml:space="preserve">nternational and </w:t>
      </w:r>
      <w:r w:rsidRPr="00821C9E">
        <w:t>C</w:t>
      </w:r>
      <w:r w:rsidR="00AE05C6">
        <w:t xml:space="preserve">omparative </w:t>
      </w:r>
      <w:r w:rsidRPr="00821C9E">
        <w:t>L</w:t>
      </w:r>
      <w:r w:rsidR="00AE05C6">
        <w:t xml:space="preserve">aw </w:t>
      </w:r>
      <w:r w:rsidRPr="00821C9E">
        <w:t>Q</w:t>
      </w:r>
      <w:r w:rsidR="00AE05C6">
        <w:t>uarterly</w:t>
      </w:r>
      <w:r w:rsidRPr="00821C9E">
        <w:t xml:space="preserve"> 849: 861.</w:t>
      </w:r>
      <w:r w:rsidR="00D0435F">
        <w:t xml:space="preserve"> To continue the example in the previous endnote, passports from Somaliland are recognised by only 15 states.</w:t>
      </w:r>
    </w:p>
  </w:endnote>
  <w:endnote w:id="24">
    <w:p w:rsidR="00821C9E" w:rsidRPr="00821C9E" w:rsidP="001142BD">
      <w:pPr>
        <w:pStyle w:val="EndnoteText"/>
        <w:spacing w:after="120" w:line="360" w:lineRule="auto"/>
        <w:jc w:val="both"/>
      </w:pPr>
      <w:r w:rsidRPr="00821C9E">
        <w:rPr>
          <w:rStyle w:val="EndnoteReference"/>
        </w:rPr>
        <w:endnoteRef/>
      </w:r>
      <w:r w:rsidRPr="00821C9E">
        <w:t xml:space="preserve"> </w:t>
      </w:r>
      <w:r>
        <w:fldChar w:fldCharType="begin"/>
      </w:r>
      <w:r>
        <w:instrText xml:space="preserve"> HYPERLINK "https://www.un.org/en/about-us/un-charter/full-text" </w:instrText>
      </w:r>
      <w:r>
        <w:fldChar w:fldCharType="separate"/>
      </w:r>
      <w:r w:rsidRPr="006026B0">
        <w:rPr>
          <w:rStyle w:val="Hyperlink"/>
        </w:rPr>
        <w:t>United Nations Charter</w:t>
      </w:r>
      <w:r>
        <w:fldChar w:fldCharType="end"/>
      </w:r>
      <w:r w:rsidRPr="00821C9E">
        <w:t xml:space="preserve"> 1945, Article 4; </w:t>
      </w:r>
      <w:r>
        <w:fldChar w:fldCharType="begin"/>
      </w:r>
      <w:r>
        <w:instrText xml:space="preserve"> HYPERLINK "https://www.icj-cij.org/statute" </w:instrText>
      </w:r>
      <w:r>
        <w:fldChar w:fldCharType="separate"/>
      </w:r>
      <w:r w:rsidRPr="006026B0">
        <w:rPr>
          <w:rStyle w:val="Hyperlink"/>
        </w:rPr>
        <w:t>Statute of the International Court of Justice</w:t>
      </w:r>
      <w:r>
        <w:fldChar w:fldCharType="end"/>
      </w:r>
      <w:r w:rsidRPr="00821C9E">
        <w:t xml:space="preserve"> 1945, Article 34(1). If non-state territorial entities are admitted to the UN, they are consigned ‘non-Member Permanent Observer State’ status. General Assembly resolution 67/19, 29 November 2012, </w:t>
      </w:r>
      <w:r>
        <w:fldChar w:fldCharType="begin"/>
      </w:r>
      <w:r>
        <w:instrText xml:space="preserve"> HYPERLINK "https://documents-dds-ny.un.org/doc/UNDOC/GEN/N12/479/74/PDF/N1247974.pdf?OpenElement" </w:instrText>
      </w:r>
      <w:r>
        <w:fldChar w:fldCharType="separate"/>
      </w:r>
      <w:r w:rsidRPr="006026B0">
        <w:rPr>
          <w:rStyle w:val="Hyperlink"/>
        </w:rPr>
        <w:t>A/RES/67/19</w:t>
      </w:r>
      <w:r>
        <w:fldChar w:fldCharType="end"/>
      </w:r>
      <w:r w:rsidRPr="00821C9E">
        <w:t xml:space="preserve">; for a detailed analysis of this position, see: Shadi Sakran, </w:t>
      </w:r>
      <w:r>
        <w:fldChar w:fldCharType="begin"/>
      </w:r>
      <w:r>
        <w:instrText xml:space="preserve"> HYPERLINK "https://www.routledge.com/The-Legal-Consequences-of-Limited-Statehood-Palestine-in-Multilateral-Frameworks/Sakran/p/book/9781032239446" </w:instrText>
      </w:r>
      <w:r>
        <w:fldChar w:fldCharType="separate"/>
      </w:r>
      <w:r w:rsidRPr="006026B0">
        <w:rPr>
          <w:rStyle w:val="Hyperlink"/>
          <w:i/>
          <w:iCs/>
        </w:rPr>
        <w:t>The Legal Consequences of Limited Statehood: Palestine in Multilateral Frameworks</w:t>
      </w:r>
      <w:r>
        <w:fldChar w:fldCharType="end"/>
      </w:r>
      <w:r w:rsidRPr="00821C9E">
        <w:rPr>
          <w:i/>
          <w:iCs/>
        </w:rPr>
        <w:t xml:space="preserve"> </w:t>
      </w:r>
      <w:r w:rsidRPr="00821C9E">
        <w:t>(Routledge 2022), in particular Chapter 3</w:t>
      </w:r>
    </w:p>
  </w:endnote>
  <w:endnote w:id="25">
    <w:p w:rsidR="00821C9E" w:rsidRPr="00821C9E" w:rsidP="001142BD">
      <w:pPr>
        <w:pStyle w:val="EndnoteText"/>
        <w:spacing w:after="120" w:line="360" w:lineRule="auto"/>
        <w:jc w:val="both"/>
      </w:pPr>
      <w:r w:rsidRPr="00821C9E">
        <w:rPr>
          <w:rStyle w:val="EndnoteReference"/>
        </w:rPr>
        <w:endnoteRef/>
      </w:r>
      <w:r w:rsidRPr="00821C9E">
        <w:t xml:space="preserve"> Crawford (n 11) </w:t>
      </w:r>
      <w:r w:rsidR="00E169DE">
        <w:t>5</w:t>
      </w:r>
      <w:r w:rsidRPr="00821C9E">
        <w:t>.</w:t>
      </w:r>
    </w:p>
  </w:endnote>
  <w:endnote w:id="26">
    <w:p w:rsidR="00821C9E" w:rsidRPr="00821C9E" w:rsidP="001142BD">
      <w:pPr>
        <w:pStyle w:val="EndnoteText"/>
        <w:spacing w:after="120" w:line="360" w:lineRule="auto"/>
        <w:jc w:val="both"/>
      </w:pPr>
      <w:r w:rsidRPr="00821C9E">
        <w:rPr>
          <w:rStyle w:val="EndnoteReference"/>
        </w:rPr>
        <w:endnoteRef/>
      </w:r>
      <w:r w:rsidRPr="00821C9E">
        <w:t xml:space="preserve"> Ibid </w:t>
      </w:r>
      <w:r w:rsidR="00E169DE">
        <w:t>45-46</w:t>
      </w:r>
      <w:r w:rsidRPr="00821C9E">
        <w:t>.</w:t>
      </w:r>
    </w:p>
  </w:endnote>
  <w:endnote w:id="27">
    <w:p w:rsidR="00821C9E" w:rsidRPr="00821C9E" w:rsidP="001142BD">
      <w:pPr>
        <w:pStyle w:val="EndnoteText"/>
        <w:spacing w:after="120" w:line="360" w:lineRule="auto"/>
        <w:jc w:val="both"/>
      </w:pPr>
      <w:r w:rsidRPr="00821C9E">
        <w:rPr>
          <w:rStyle w:val="EndnoteReference"/>
        </w:rPr>
        <w:endnoteRef/>
      </w:r>
      <w:r w:rsidRPr="00821C9E">
        <w:t xml:space="preserve"> For one highly unorthodox view, see: Jure Vidmar, </w:t>
      </w:r>
      <w:r>
        <w:fldChar w:fldCharType="begin"/>
      </w:r>
      <w:r>
        <w:instrText xml:space="preserve"> HYPERLINK "https://www.bloomsburycollections.com/book/democratic-statehood-in-international-law-the-emergence-of-new-states-in-post-cold-war-practice/ch1-democracy-and-statehood-in-international-law" </w:instrText>
      </w:r>
      <w:r>
        <w:fldChar w:fldCharType="separate"/>
      </w:r>
      <w:r w:rsidRPr="004E3CB8">
        <w:rPr>
          <w:rStyle w:val="Hyperlink"/>
          <w:i/>
          <w:iCs/>
        </w:rPr>
        <w:t>Democratic Statehood: The Emergence of New States in Post-Cold War Practice</w:t>
      </w:r>
      <w:r>
        <w:fldChar w:fldCharType="end"/>
      </w:r>
      <w:r w:rsidRPr="00821C9E">
        <w:rPr>
          <w:i/>
          <w:iCs/>
        </w:rPr>
        <w:t xml:space="preserve"> </w:t>
      </w:r>
      <w:r w:rsidRPr="00821C9E">
        <w:t>(Hart 2013) 239-253.</w:t>
      </w:r>
    </w:p>
  </w:endnote>
  <w:endnote w:id="28">
    <w:p w:rsidR="00821C9E" w:rsidRPr="00821C9E" w:rsidP="001142BD">
      <w:pPr>
        <w:pStyle w:val="EndnoteText"/>
        <w:spacing w:after="120" w:line="360" w:lineRule="auto"/>
        <w:jc w:val="both"/>
      </w:pPr>
      <w:r w:rsidRPr="00821C9E">
        <w:rPr>
          <w:rStyle w:val="EndnoteReference"/>
        </w:rPr>
        <w:endnoteRef/>
      </w:r>
      <w:r w:rsidRPr="00821C9E">
        <w:t xml:space="preserve"> Green, </w:t>
      </w:r>
      <w:r w:rsidR="00797A28">
        <w:t xml:space="preserve">(n 18b) </w:t>
      </w:r>
      <w:r w:rsidRPr="00821C9E">
        <w:t xml:space="preserve">Chapter 3. </w:t>
      </w:r>
    </w:p>
  </w:endnote>
  <w:endnote w:id="29">
    <w:p w:rsidR="00821C9E" w:rsidRPr="00821C9E" w:rsidP="001142BD">
      <w:pPr>
        <w:pStyle w:val="EndnoteText"/>
        <w:spacing w:after="120" w:line="360" w:lineRule="auto"/>
        <w:jc w:val="both"/>
      </w:pPr>
      <w:r w:rsidRPr="00821C9E">
        <w:rPr>
          <w:rStyle w:val="EndnoteReference"/>
        </w:rPr>
        <w:endnoteRef/>
      </w:r>
      <w:r w:rsidRPr="00821C9E">
        <w:t xml:space="preserve"> Crawford (n 11) </w:t>
      </w:r>
      <w:r w:rsidR="00E169DE">
        <w:t>669-672</w:t>
      </w:r>
      <w:r w:rsidRPr="00821C9E">
        <w:t>.</w:t>
      </w:r>
    </w:p>
  </w:endnote>
  <w:endnote w:id="30">
    <w:p w:rsidR="00821C9E" w:rsidRPr="00821C9E" w:rsidP="001142BD">
      <w:pPr>
        <w:pStyle w:val="EndnoteText"/>
        <w:spacing w:after="120" w:line="360" w:lineRule="auto"/>
        <w:jc w:val="both"/>
      </w:pPr>
      <w:r w:rsidRPr="00821C9E">
        <w:rPr>
          <w:rStyle w:val="EndnoteReference"/>
        </w:rPr>
        <w:endnoteRef/>
      </w:r>
      <w:r w:rsidRPr="00821C9E">
        <w:t xml:space="preserve"> These antecedents are sometimes elided with the criteria for statehood set out in Article 1 of the 1933 </w:t>
      </w:r>
      <w:r>
        <w:fldChar w:fldCharType="begin"/>
      </w:r>
      <w:r>
        <w:instrText xml:space="preserve"> HYPERLINK "https://www.ilsa.org/Jessup/Jessup15/Montevideo%20Convention.pdf" </w:instrText>
      </w:r>
      <w:r>
        <w:fldChar w:fldCharType="separate"/>
      </w:r>
      <w:r w:rsidRPr="006026B0">
        <w:rPr>
          <w:rStyle w:val="Hyperlink"/>
        </w:rPr>
        <w:t>Montevideo Convention on the Rights and Duties of States</w:t>
      </w:r>
      <w:r>
        <w:fldChar w:fldCharType="end"/>
      </w:r>
      <w:r w:rsidRPr="00821C9E">
        <w:t xml:space="preserve">, which reads as follows: “The state as a person of international law should possess the following qualifications: a) a permanent population; b) a defined territory; c) government; and d) capacity to enter into relations with the other states.” The formulation in 1933 Convention is now somewhat antiquated (Crawford (n 11) </w:t>
      </w:r>
      <w:r w:rsidR="00E169DE">
        <w:t>61-62</w:t>
      </w:r>
      <w:r w:rsidRPr="00821C9E">
        <w:t xml:space="preserve">), although it nonetheless arguably still points to the more basic thesis that states, in order to exist, must be ‘effective’ in a socio-political sense, see: </w:t>
      </w:r>
      <w:r>
        <w:fldChar w:fldCharType="begin"/>
      </w:r>
      <w:r>
        <w:instrText xml:space="preserve"> HYPERLINK "https://www.cambridge.org/core/journals/international-law-reports/article/abs/opinion-no1/08D0CCF726116E399A0BD66DA2D38F3F" </w:instrText>
      </w:r>
      <w:r>
        <w:fldChar w:fldCharType="separate"/>
      </w:r>
      <w:r w:rsidRPr="006026B0">
        <w:rPr>
          <w:rStyle w:val="Hyperlink"/>
          <w:i/>
          <w:iCs/>
        </w:rPr>
        <w:t>Opinion 1 of the Arbitration Commission of the Peace Conference on Yugoslavia</w:t>
      </w:r>
      <w:r>
        <w:fldChar w:fldCharType="end"/>
      </w:r>
      <w:r w:rsidRPr="00821C9E">
        <w:t xml:space="preserve"> (1991) 92 ILR 162, 164-165; </w:t>
      </w:r>
      <w:r>
        <w:fldChar w:fldCharType="begin"/>
      </w:r>
      <w:r>
        <w:instrText xml:space="preserve"> HYPERLINK "https://www.cambridge.org/core/journals/annual-digest-of-public-international-law-cases/article/abs/deutsche-continental-gasgesellschaft-v-polish-state/DBCC478C40E4C1EA8A715567D3C2BB40" </w:instrText>
      </w:r>
      <w:r>
        <w:fldChar w:fldCharType="separate"/>
      </w:r>
      <w:r w:rsidRPr="006026B0">
        <w:rPr>
          <w:rStyle w:val="Hyperlink"/>
          <w:i/>
          <w:iCs/>
        </w:rPr>
        <w:t>Deutsche Continental Gas-Gesellschaft v Polish State</w:t>
      </w:r>
      <w:r>
        <w:fldChar w:fldCharType="end"/>
      </w:r>
      <w:r w:rsidRPr="00821C9E">
        <w:rPr>
          <w:i/>
          <w:iCs/>
        </w:rPr>
        <w:t xml:space="preserve"> </w:t>
      </w:r>
      <w:r w:rsidRPr="00821C9E">
        <w:t xml:space="preserve">(1929) 9 Recueil TAM 336, 344; Green (n </w:t>
      </w:r>
      <w:r w:rsidR="00AE05C6">
        <w:t>18b</w:t>
      </w:r>
      <w:r w:rsidRPr="00821C9E">
        <w:t xml:space="preserve">) Chapter 3; ‘United States Department of State Press Relations Office Notice’, Nov. 1, 1976, as quoted in Eleanor McDowell, </w:t>
      </w:r>
      <w:r>
        <w:fldChar w:fldCharType="begin"/>
      </w:r>
      <w:r>
        <w:instrText xml:space="preserve"> HYPERLINK "https://www.cambridge.org/core/journals/american-journal-of-international-law/article/abs/contemporary-practice-of-the-united-states-relating-to-international-law/996C67E9E957DE4CFAE3B5FBAB6786EC" </w:instrText>
      </w:r>
      <w:r>
        <w:fldChar w:fldCharType="separate"/>
      </w:r>
      <w:r w:rsidRPr="006026B0">
        <w:rPr>
          <w:rStyle w:val="Hyperlink"/>
        </w:rPr>
        <w:t>‘Contemporary Practice of the United States Relating to International Law’</w:t>
      </w:r>
      <w:r>
        <w:fldChar w:fldCharType="end"/>
      </w:r>
      <w:r w:rsidRPr="00821C9E">
        <w:t xml:space="preserve"> (1977) 71 American Journal of International Law 337; Rowan Nicholson, </w:t>
      </w:r>
      <w:r>
        <w:fldChar w:fldCharType="begin"/>
      </w:r>
      <w:r>
        <w:instrText xml:space="preserve"> HYPERLINK "https://academic.oup.com/book/35117" </w:instrText>
      </w:r>
      <w:r>
        <w:fldChar w:fldCharType="separate"/>
      </w:r>
      <w:r w:rsidRPr="000244C8">
        <w:rPr>
          <w:rStyle w:val="Hyperlink"/>
          <w:i/>
          <w:iCs/>
        </w:rPr>
        <w:t>Statehood and the State-Like in International Law</w:t>
      </w:r>
      <w:r>
        <w:fldChar w:fldCharType="end"/>
      </w:r>
      <w:r w:rsidRPr="00821C9E">
        <w:rPr>
          <w:i/>
          <w:iCs/>
        </w:rPr>
        <w:t xml:space="preserve"> </w:t>
      </w:r>
      <w:r w:rsidRPr="00821C9E">
        <w:t>(O</w:t>
      </w:r>
      <w:r w:rsidR="00AE05C6">
        <w:t xml:space="preserve">xford </w:t>
      </w:r>
      <w:r w:rsidRPr="00821C9E">
        <w:t>U</w:t>
      </w:r>
      <w:r w:rsidR="00AE05C6">
        <w:t xml:space="preserve">niversity </w:t>
      </w:r>
      <w:r w:rsidRPr="00821C9E">
        <w:t>P</w:t>
      </w:r>
      <w:r w:rsidR="00AE05C6">
        <w:t>ress</w:t>
      </w:r>
      <w:r w:rsidRPr="00821C9E">
        <w:t xml:space="preserve"> 2019) 106-108.</w:t>
      </w:r>
    </w:p>
  </w:endnote>
  <w:endnote w:id="31">
    <w:p w:rsidR="00821C9E" w:rsidRPr="00821C9E" w:rsidP="001142BD">
      <w:pPr>
        <w:pStyle w:val="EndnoteText"/>
        <w:spacing w:after="120" w:line="360" w:lineRule="auto"/>
        <w:jc w:val="both"/>
      </w:pPr>
      <w:r w:rsidRPr="00821C9E">
        <w:rPr>
          <w:rStyle w:val="EndnoteReference"/>
        </w:rPr>
        <w:endnoteRef/>
      </w:r>
      <w:r w:rsidRPr="00821C9E">
        <w:t xml:space="preserve"> </w:t>
      </w:r>
      <w:r w:rsidRPr="00821C9E" w:rsidR="00C8329B">
        <w:t xml:space="preserve">Crawford (n 11) </w:t>
      </w:r>
      <w:r w:rsidR="00E169DE">
        <w:t>97-155</w:t>
      </w:r>
      <w:r w:rsidR="00C8329B">
        <w:t xml:space="preserve">; </w:t>
      </w:r>
      <w:r w:rsidR="00C84630">
        <w:t>Green (n18b) Chapter 4</w:t>
      </w:r>
      <w:r w:rsidR="00C8329B">
        <w:t>.</w:t>
      </w:r>
    </w:p>
  </w:endnote>
  <w:endnote w:id="32">
    <w:p w:rsidR="00821C9E" w:rsidRPr="00821C9E" w:rsidP="001142BD">
      <w:pPr>
        <w:pStyle w:val="EndnoteText"/>
        <w:spacing w:after="120" w:line="360" w:lineRule="auto"/>
        <w:jc w:val="both"/>
      </w:pPr>
      <w:r w:rsidRPr="00821C9E">
        <w:rPr>
          <w:rStyle w:val="EndnoteReference"/>
        </w:rPr>
        <w:endnoteRef/>
      </w:r>
      <w:r w:rsidRPr="00821C9E">
        <w:t xml:space="preserve"> International Law Commission, </w:t>
      </w:r>
      <w:r>
        <w:fldChar w:fldCharType="begin"/>
      </w:r>
      <w:r>
        <w:instrText xml:space="preserve"> HYPERLINK "https://legal.un.org/ilc/reports/2022/" </w:instrText>
      </w:r>
      <w:r>
        <w:fldChar w:fldCharType="separate"/>
      </w:r>
      <w:r w:rsidRPr="000244C8">
        <w:rPr>
          <w:rStyle w:val="Hyperlink"/>
          <w:i/>
          <w:iCs/>
        </w:rPr>
        <w:t>Report of the International Law Commission on the work of its Seventy-third session</w:t>
      </w:r>
      <w:r>
        <w:fldChar w:fldCharType="end"/>
      </w:r>
      <w:r w:rsidRPr="00821C9E">
        <w:t>, UN Doc A/77/10 (18 April–3 June and 4 July–5 August 2022), paras 206-216.</w:t>
      </w:r>
    </w:p>
  </w:endnote>
  <w:endnote w:id="33">
    <w:p w:rsidR="00821C9E" w:rsidRPr="00821C9E" w:rsidP="001142BD">
      <w:pPr>
        <w:pStyle w:val="EndnoteText"/>
        <w:spacing w:after="120" w:line="360" w:lineRule="auto"/>
        <w:jc w:val="both"/>
      </w:pPr>
      <w:r w:rsidRPr="00821C9E">
        <w:rPr>
          <w:rStyle w:val="EndnoteReference"/>
        </w:rPr>
        <w:endnoteRef/>
      </w:r>
      <w:r w:rsidRPr="00821C9E">
        <w:t xml:space="preserve"> Ibid, paras 207-208.</w:t>
      </w:r>
    </w:p>
  </w:endnote>
  <w:endnote w:id="34">
    <w:p w:rsidR="00821C9E" w:rsidRPr="00821C9E" w:rsidP="001142BD">
      <w:pPr>
        <w:pStyle w:val="EndnoteText"/>
        <w:spacing w:after="120" w:line="360" w:lineRule="auto"/>
        <w:jc w:val="both"/>
      </w:pPr>
      <w:r w:rsidRPr="00821C9E">
        <w:rPr>
          <w:rStyle w:val="EndnoteReference"/>
        </w:rPr>
        <w:endnoteRef/>
      </w:r>
      <w:r w:rsidRPr="00821C9E">
        <w:t xml:space="preserve"> </w:t>
      </w:r>
      <w:r w:rsidRPr="00821C9E" w:rsidR="002B153D">
        <w:t xml:space="preserve">Crawford (n 11) </w:t>
      </w:r>
      <w:r w:rsidR="00E169DE">
        <w:t>17-27</w:t>
      </w:r>
      <w:r w:rsidR="002B153D">
        <w:t xml:space="preserve">; </w:t>
      </w:r>
      <w:r w:rsidR="005F04E2">
        <w:t xml:space="preserve">Alex Green, </w:t>
      </w:r>
      <w:r>
        <w:fldChar w:fldCharType="begin"/>
      </w:r>
      <w:r>
        <w:instrText xml:space="preserve"> HYPERLINK "https://www.elgaronline.com/display/book/9781788971751/book-part-9781788971751-12.xml" </w:instrText>
      </w:r>
      <w:r>
        <w:fldChar w:fldCharType="separate"/>
      </w:r>
      <w:r w:rsidRPr="005F04E2" w:rsidR="005F04E2">
        <w:rPr>
          <w:rStyle w:val="Hyperlink"/>
        </w:rPr>
        <w:t>‘Successful Secession and the Value of International Recognition’</w:t>
      </w:r>
      <w:r>
        <w:fldChar w:fldCharType="end"/>
      </w:r>
      <w:r w:rsidR="005F04E2">
        <w:t xml:space="preserve"> in</w:t>
      </w:r>
      <w:r w:rsidRPr="005F04E2" w:rsidR="005F04E2">
        <w:t xml:space="preserve"> Jure Vidmar, Sarah McGibbon, and Lea Raible, Research Handbook on Secession (Routledge 2022)</w:t>
      </w:r>
      <w:r w:rsidR="005F04E2">
        <w:t xml:space="preserve">; </w:t>
      </w:r>
      <w:r w:rsidR="002B153D">
        <w:t>Green (18b) Chapter 4.</w:t>
      </w:r>
    </w:p>
  </w:endnote>
  <w:endnote w:id="35">
    <w:p w:rsidR="00821C9E" w:rsidRPr="00821C9E" w:rsidP="001142BD">
      <w:pPr>
        <w:pStyle w:val="EndnoteText"/>
        <w:spacing w:after="120" w:line="360" w:lineRule="auto"/>
        <w:jc w:val="both"/>
      </w:pPr>
      <w:r w:rsidRPr="00821C9E">
        <w:rPr>
          <w:rStyle w:val="EndnoteReference"/>
        </w:rPr>
        <w:endnoteRef/>
      </w:r>
      <w:r w:rsidRPr="00821C9E">
        <w:t xml:space="preserve"> </w:t>
      </w:r>
      <w:r w:rsidRPr="00821C9E" w:rsidR="009C0660">
        <w:t xml:space="preserve">Crawford (n 11) </w:t>
      </w:r>
      <w:r w:rsidR="00E169DE">
        <w:t>19-26</w:t>
      </w:r>
      <w:r w:rsidR="009C0660">
        <w:t xml:space="preserve">; Hersch Lauterpacht, </w:t>
      </w:r>
      <w:r>
        <w:fldChar w:fldCharType="begin"/>
      </w:r>
      <w:r>
        <w:instrText xml:space="preserve"> HYPERLINK "https://www.cambridge.org/gb/universitypress/subjects/law/public-international-law/recognition-international-law?format=PB&amp;isbn=9781107609433" </w:instrText>
      </w:r>
      <w:r>
        <w:fldChar w:fldCharType="separate"/>
      </w:r>
      <w:r w:rsidRPr="000244C8" w:rsidR="009C0660">
        <w:rPr>
          <w:rStyle w:val="Hyperlink"/>
          <w:i/>
          <w:iCs/>
        </w:rPr>
        <w:t>Recognition of States in International Law</w:t>
      </w:r>
      <w:r>
        <w:fldChar w:fldCharType="end"/>
      </w:r>
      <w:r w:rsidRPr="009C0660" w:rsidR="009C0660">
        <w:t xml:space="preserve"> (C</w:t>
      </w:r>
      <w:r w:rsidR="00AE05C6">
        <w:t xml:space="preserve">ambridge </w:t>
      </w:r>
      <w:r w:rsidRPr="009C0660" w:rsidR="009C0660">
        <w:t>U</w:t>
      </w:r>
      <w:r w:rsidR="00AE05C6">
        <w:t xml:space="preserve">niversity </w:t>
      </w:r>
      <w:r w:rsidRPr="009C0660" w:rsidR="009C0660">
        <w:t>P</w:t>
      </w:r>
      <w:r w:rsidR="00AE05C6">
        <w:t>ress</w:t>
      </w:r>
      <w:r w:rsidRPr="009C0660" w:rsidR="009C0660">
        <w:t xml:space="preserve"> 1947)</w:t>
      </w:r>
      <w:r w:rsidR="009C0660">
        <w:t xml:space="preserve"> 38-58.</w:t>
      </w:r>
    </w:p>
  </w:endnote>
  <w:endnote w:id="36">
    <w:p w:rsidR="00821C9E" w:rsidRPr="00821C9E" w:rsidP="001142BD">
      <w:pPr>
        <w:pStyle w:val="EndnoteText"/>
        <w:spacing w:after="120" w:line="360" w:lineRule="auto"/>
        <w:jc w:val="both"/>
      </w:pPr>
      <w:r w:rsidRPr="00821C9E">
        <w:rPr>
          <w:rStyle w:val="EndnoteReference"/>
        </w:rPr>
        <w:endnoteRef/>
      </w:r>
      <w:r w:rsidRPr="00821C9E">
        <w:t xml:space="preserve"> Vaughan Lowe, </w:t>
      </w:r>
      <w:r>
        <w:fldChar w:fldCharType="begin"/>
      </w:r>
      <w:r>
        <w:instrText xml:space="preserve"> HYPERLINK "https://opil.ouplaw.com/display/10.1093/law/9780199268849.001.0001/law-9780199268849" </w:instrText>
      </w:r>
      <w:r>
        <w:fldChar w:fldCharType="separate"/>
      </w:r>
      <w:r w:rsidRPr="000244C8">
        <w:rPr>
          <w:rStyle w:val="Hyperlink"/>
          <w:i/>
          <w:iCs/>
        </w:rPr>
        <w:t>International Law</w:t>
      </w:r>
      <w:r>
        <w:fldChar w:fldCharType="end"/>
      </w:r>
      <w:r w:rsidRPr="00821C9E">
        <w:t xml:space="preserve"> (O</w:t>
      </w:r>
      <w:r w:rsidR="00AE05C6">
        <w:t xml:space="preserve">xford </w:t>
      </w:r>
      <w:r w:rsidRPr="00821C9E">
        <w:t>U</w:t>
      </w:r>
      <w:r w:rsidR="00AE05C6">
        <w:t xml:space="preserve">niversity </w:t>
      </w:r>
      <w:r w:rsidRPr="00821C9E">
        <w:t>P</w:t>
      </w:r>
      <w:r w:rsidR="00AE05C6">
        <w:t>ress</w:t>
      </w:r>
      <w:r w:rsidRPr="00821C9E">
        <w:t xml:space="preserve"> 2007) 165.</w:t>
      </w:r>
    </w:p>
  </w:endnote>
  <w:endnote w:id="37">
    <w:p w:rsidR="00821C9E" w:rsidRPr="00821C9E" w:rsidP="001142BD">
      <w:pPr>
        <w:pStyle w:val="EndnoteText"/>
        <w:spacing w:after="120" w:line="360" w:lineRule="auto"/>
        <w:jc w:val="both"/>
      </w:pPr>
      <w:r w:rsidRPr="00821C9E">
        <w:rPr>
          <w:rStyle w:val="EndnoteReference"/>
        </w:rPr>
        <w:endnoteRef/>
      </w:r>
      <w:r w:rsidRPr="00821C9E">
        <w:t xml:space="preserve"> </w:t>
      </w:r>
      <w:r w:rsidR="009C0660">
        <w:t xml:space="preserve">International Law Commission (n 9) </w:t>
      </w:r>
      <w:r w:rsidR="00735C7F">
        <w:t>paras 138-154</w:t>
      </w:r>
      <w:r w:rsidR="009C0660">
        <w:t>.</w:t>
      </w:r>
    </w:p>
  </w:endnote>
  <w:endnote w:id="38">
    <w:p w:rsidR="00821C9E" w:rsidRPr="00821C9E" w:rsidP="001142BD">
      <w:pPr>
        <w:pStyle w:val="EndnoteText"/>
        <w:spacing w:after="120" w:line="360" w:lineRule="auto"/>
        <w:jc w:val="both"/>
      </w:pPr>
      <w:r w:rsidRPr="00821C9E">
        <w:rPr>
          <w:rStyle w:val="EndnoteReference"/>
        </w:rPr>
        <w:endnoteRef/>
      </w:r>
      <w:r w:rsidRPr="00821C9E">
        <w:t xml:space="preserve"> </w:t>
      </w:r>
      <w:r w:rsidR="009C0660">
        <w:t xml:space="preserve">Ibid </w:t>
      </w:r>
      <w:r w:rsidR="00735C7F">
        <w:t>paras 183-196</w:t>
      </w:r>
      <w:r w:rsidR="009C0660">
        <w:t>.</w:t>
      </w:r>
    </w:p>
  </w:endnote>
  <w:endnote w:id="39">
    <w:p w:rsidR="00821C9E" w:rsidRPr="00821C9E" w:rsidP="001142BD">
      <w:pPr>
        <w:pStyle w:val="EndnoteText"/>
        <w:spacing w:after="120" w:line="360" w:lineRule="auto"/>
        <w:jc w:val="both"/>
      </w:pPr>
      <w:r w:rsidRPr="00821C9E">
        <w:rPr>
          <w:rStyle w:val="EndnoteReference"/>
        </w:rPr>
        <w:endnoteRef/>
      </w:r>
      <w:r w:rsidRPr="00821C9E">
        <w:t xml:space="preserve"> </w:t>
      </w:r>
      <w:r w:rsidRPr="00821C9E" w:rsidR="009C0660">
        <w:t xml:space="preserve">Crawford (n 11) </w:t>
      </w:r>
      <w:r w:rsidR="00E169DE">
        <w:t>715-716</w:t>
      </w:r>
      <w:r w:rsidR="009C0660">
        <w:t>.</w:t>
      </w:r>
    </w:p>
  </w:endnote>
  <w:endnote w:id="40">
    <w:p w:rsidR="00821C9E" w:rsidRPr="00821C9E" w:rsidP="001142BD">
      <w:pPr>
        <w:pStyle w:val="EndnoteText"/>
        <w:spacing w:after="120" w:line="360" w:lineRule="auto"/>
        <w:jc w:val="both"/>
      </w:pPr>
      <w:r w:rsidRPr="00821C9E">
        <w:rPr>
          <w:rStyle w:val="EndnoteReference"/>
        </w:rPr>
        <w:endnoteRef/>
      </w:r>
      <w:r w:rsidRPr="00821C9E">
        <w:t xml:space="preserve"> </w:t>
      </w:r>
      <w:r w:rsidR="009C0660">
        <w:t xml:space="preserve">Ibid </w:t>
      </w:r>
      <w:r w:rsidR="00E169DE">
        <w:t>669-672</w:t>
      </w:r>
      <w:r w:rsidR="009C0660">
        <w:t xml:space="preserve">; cf. International Law Commission (n 31) </w:t>
      </w:r>
      <w:r w:rsidR="001142BD">
        <w:t>para 52</w:t>
      </w:r>
      <w:r w:rsidR="009C0660">
        <w:t>.</w:t>
      </w:r>
    </w:p>
  </w:endnote>
  <w:endnote w:id="41">
    <w:p w:rsidR="00821C9E" w:rsidRPr="00821C9E" w:rsidP="001142BD">
      <w:pPr>
        <w:pStyle w:val="EndnoteText"/>
        <w:spacing w:after="120" w:line="360" w:lineRule="auto"/>
        <w:jc w:val="both"/>
      </w:pPr>
      <w:r w:rsidRPr="00821C9E">
        <w:rPr>
          <w:rStyle w:val="EndnoteReference"/>
        </w:rPr>
        <w:endnoteRef/>
      </w:r>
      <w:r w:rsidRPr="00821C9E">
        <w:t xml:space="preserve"> </w:t>
      </w:r>
      <w:r w:rsidR="009E7C3B">
        <w:t>Green (n 2) 83.</w:t>
      </w:r>
    </w:p>
  </w:endnote>
  <w:endnote w:id="42">
    <w:p w:rsidR="00821C9E" w:rsidRPr="00821C9E" w:rsidP="001142BD">
      <w:pPr>
        <w:pStyle w:val="EndnoteText"/>
        <w:spacing w:after="120" w:line="360" w:lineRule="auto"/>
        <w:jc w:val="both"/>
      </w:pPr>
      <w:r w:rsidRPr="00821C9E">
        <w:rPr>
          <w:rStyle w:val="EndnoteReference"/>
        </w:rPr>
        <w:endnoteRef/>
      </w:r>
      <w:r w:rsidRPr="00821C9E">
        <w:t xml:space="preserve"> Even in cases of the extreme change, such as between Poland pre-1939 and post-1945, no substantial changes in territory, population, or government have ever involved anything like the total uninhabitability of the relevant land. During that period of transition, Alfred Jarry’s famous reference to that same nation (in 1896) as ‘Poland—that is to say, nowhere’ may have seemed apt: Alfred Jarry, Ubu Roi, tr Gershon Legman (Dover Publications 2003) vi. However, there was still very much a sense in which Poland, for all its territorial and governmental ephemerality, was ‘still there’ throughout the 20th century. The same cannot necessarily be said in circumstances, akin to Plato’s fictional Atlantis, where the oceans rise up to claim an island that was. The plausibility of this intuition perhaps follows from our attachment, as a species, to notions of ‘place’ and of ‘home’: Avery Kolers, </w:t>
      </w:r>
      <w:r>
        <w:fldChar w:fldCharType="begin"/>
      </w:r>
      <w:r>
        <w:instrText xml:space="preserve"> HYPERLINK "https://www.cambridge.org/core/books/land-conflict-and-justice/2D3AC9BEB7BF081656866CFD913BBFB5" </w:instrText>
      </w:r>
      <w:r>
        <w:fldChar w:fldCharType="separate"/>
      </w:r>
      <w:r w:rsidRPr="000244C8">
        <w:rPr>
          <w:rStyle w:val="Hyperlink"/>
          <w:i/>
          <w:iCs/>
        </w:rPr>
        <w:t>Land, Conflict, and Justice: A Political Theory of Territory</w:t>
      </w:r>
      <w:r>
        <w:fldChar w:fldCharType="end"/>
      </w:r>
      <w:r w:rsidRPr="00821C9E">
        <w:t xml:space="preserve"> (Cambridge University Press 2009) 66–70; Margret Moore, </w:t>
      </w:r>
      <w:r>
        <w:fldChar w:fldCharType="begin"/>
      </w:r>
      <w:r>
        <w:instrText xml:space="preserve"> HYPERLINK "https://academic.oup.com/book/1473" </w:instrText>
      </w:r>
      <w:r>
        <w:fldChar w:fldCharType="separate"/>
      </w:r>
      <w:r w:rsidRPr="000244C8">
        <w:rPr>
          <w:rStyle w:val="Hyperlink"/>
          <w:i/>
          <w:iCs/>
        </w:rPr>
        <w:t>A Political Theory of Territory</w:t>
      </w:r>
      <w:r>
        <w:fldChar w:fldCharType="end"/>
      </w:r>
      <w:r w:rsidRPr="00821C9E">
        <w:t xml:space="preserve"> (Oxford University Press 2015) 35–6.</w:t>
      </w:r>
    </w:p>
  </w:endnote>
  <w:endnote w:id="43">
    <w:p w:rsidR="00821C9E" w:rsidRPr="00821C9E" w:rsidP="001142BD">
      <w:pPr>
        <w:pStyle w:val="EndnoteText"/>
        <w:spacing w:after="120" w:line="360" w:lineRule="auto"/>
        <w:jc w:val="both"/>
      </w:pPr>
      <w:r w:rsidRPr="00821C9E">
        <w:rPr>
          <w:rStyle w:val="EndnoteReference"/>
        </w:rPr>
        <w:endnoteRef/>
      </w:r>
      <w:r w:rsidRPr="00821C9E">
        <w:t xml:space="preserve"> </w:t>
      </w:r>
      <w:r w:rsidR="002C2B92">
        <w:t>Green (n 2) 83.</w:t>
      </w:r>
    </w:p>
  </w:endnote>
  <w:endnote w:id="44">
    <w:p w:rsidR="00821C9E" w:rsidRPr="00821C9E" w:rsidP="001142BD">
      <w:pPr>
        <w:pStyle w:val="EndnoteText"/>
        <w:spacing w:after="120" w:line="360" w:lineRule="auto"/>
        <w:jc w:val="both"/>
      </w:pPr>
      <w:r w:rsidRPr="00821C9E">
        <w:rPr>
          <w:rStyle w:val="EndnoteReference"/>
        </w:rPr>
        <w:endnoteRef/>
      </w:r>
      <w:r w:rsidRPr="00821C9E">
        <w:t xml:space="preserve"> </w:t>
      </w:r>
      <w:r w:rsidR="002C2B92">
        <w:t xml:space="preserve">Ibid 82-83; </w:t>
      </w:r>
      <w:r w:rsidRPr="00821C9E" w:rsidR="002C2B92">
        <w:t xml:space="preserve">Alex Green, </w:t>
      </w:r>
      <w:r>
        <w:fldChar w:fldCharType="begin"/>
      </w:r>
      <w:r>
        <w:instrText xml:space="preserve"> HYPERLINK "https://papers.ssrn.com/sol3/papers.cfm?abstract_id=4476141" </w:instrText>
      </w:r>
      <w:r>
        <w:fldChar w:fldCharType="separate"/>
      </w:r>
      <w:r w:rsidRPr="00821C9E" w:rsidR="002C2B92">
        <w:rPr>
          <w:rStyle w:val="Hyperlink"/>
        </w:rPr>
        <w:t>‘Towards an Impossible Polis: Legal Imagination and State Continuity’</w:t>
      </w:r>
      <w:r>
        <w:fldChar w:fldCharType="end"/>
      </w:r>
      <w:r w:rsidRPr="00821C9E" w:rsidR="002C2B92">
        <w:t xml:space="preserve"> in Alex Green, Mitchell Travis, and Kieran Tranter, </w:t>
      </w:r>
      <w:r w:rsidRPr="00821C9E" w:rsidR="002C2B92">
        <w:rPr>
          <w:i/>
          <w:iCs/>
        </w:rPr>
        <w:t>Cultural Legal Studies of Science Fiction</w:t>
      </w:r>
      <w:r w:rsidRPr="00821C9E" w:rsidR="002C2B92">
        <w:t xml:space="preserve"> (forthcoming, Routledge 2024) </w:t>
      </w:r>
      <w:r w:rsidR="002C2B92">
        <w:t>15-19.</w:t>
      </w:r>
    </w:p>
  </w:endnote>
  <w:endnote w:id="45">
    <w:p w:rsidR="00821C9E" w:rsidRPr="00821C9E" w:rsidP="001142BD">
      <w:pPr>
        <w:pStyle w:val="EndnoteText"/>
        <w:spacing w:after="120" w:line="360" w:lineRule="auto"/>
        <w:jc w:val="both"/>
      </w:pPr>
      <w:r w:rsidRPr="00821C9E">
        <w:rPr>
          <w:rStyle w:val="EndnoteReference"/>
        </w:rPr>
        <w:endnoteRef/>
      </w:r>
      <w:r w:rsidRPr="00821C9E">
        <w:t xml:space="preserve"> The austere view is expressed, for example, by Lassa Oppenheim in the phrase ‘a State without a territory is not possible’ (</w:t>
      </w:r>
      <w:r w:rsidRPr="00821C9E">
        <w:rPr>
          <w:i/>
          <w:iCs/>
        </w:rPr>
        <w:t>International Law</w:t>
      </w:r>
      <w:r w:rsidRPr="00821C9E">
        <w:t>, Vol. 1, 8</w:t>
      </w:r>
      <w:r w:rsidRPr="00821C9E">
        <w:rPr>
          <w:vertAlign w:val="superscript"/>
        </w:rPr>
        <w:t>th</w:t>
      </w:r>
      <w:r w:rsidRPr="00821C9E">
        <w:t xml:space="preserve"> ed. (D. McKay 1955) 451) and by Philip Jessup as ‘one cannot contemplate a State as a kind of disembodied spirit’ (UN Security Council Official Record, 383rd mtg, </w:t>
      </w:r>
      <w:r>
        <w:fldChar w:fldCharType="begin"/>
      </w:r>
      <w:r>
        <w:instrText xml:space="preserve"> HYPERLINK "https://documents-dds-ny.un.org/doc/UNDOC/GEN/NL4/818/10/PDF/NL481810.pdf" </w:instrText>
      </w:r>
      <w:r>
        <w:fldChar w:fldCharType="separate"/>
      </w:r>
      <w:r w:rsidRPr="000244C8">
        <w:rPr>
          <w:rStyle w:val="Hyperlink"/>
        </w:rPr>
        <w:t>UN Doc S/PV.383</w:t>
      </w:r>
      <w:r>
        <w:fldChar w:fldCharType="end"/>
      </w:r>
      <w:r w:rsidRPr="00821C9E">
        <w:t xml:space="preserve"> (2 December 1948) 11). As Malcolm Shaw notes, some version of this view is at least as old as Plato, although it was not always predominant (</w:t>
      </w:r>
      <w:r>
        <w:fldChar w:fldCharType="begin"/>
      </w:r>
      <w:r>
        <w:instrText xml:space="preserve"> HYPERLINK "https://www.cambridge.org/core/journals/netherlands-yearbook-of-international-law/article/abs/territory-in-international-law/579943DB9A33B439A1A98140288528CB" </w:instrText>
      </w:r>
      <w:r>
        <w:fldChar w:fldCharType="separate"/>
      </w:r>
      <w:r w:rsidRPr="000244C8">
        <w:rPr>
          <w:rStyle w:val="Hyperlink"/>
        </w:rPr>
        <w:t>‘Territory in International Law’</w:t>
      </w:r>
      <w:r>
        <w:fldChar w:fldCharType="end"/>
      </w:r>
      <w:r w:rsidRPr="00821C9E">
        <w:t xml:space="preserve"> (2009) 13 Netherlands Journal of International Law 61: 61-63).</w:t>
      </w:r>
    </w:p>
  </w:endnote>
  <w:endnote w:id="46">
    <w:p w:rsidR="00821C9E" w:rsidRPr="00821C9E" w:rsidP="001142BD">
      <w:pPr>
        <w:pStyle w:val="EndnoteText"/>
        <w:spacing w:after="120" w:line="360" w:lineRule="auto"/>
        <w:jc w:val="both"/>
      </w:pPr>
      <w:r w:rsidRPr="00821C9E">
        <w:rPr>
          <w:rStyle w:val="EndnoteReference"/>
        </w:rPr>
        <w:endnoteRef/>
      </w:r>
      <w:r w:rsidRPr="00821C9E">
        <w:t xml:space="preserve"> </w:t>
      </w:r>
      <w:r w:rsidR="00170C45">
        <w:t>This is sometimes captured by the idea that ‘the land dominates the sea</w:t>
      </w:r>
      <w:r w:rsidR="007824E7">
        <w:t>’</w:t>
      </w:r>
      <w:r w:rsidR="00170C45">
        <w:t xml:space="preserve"> (n 6)</w:t>
      </w:r>
      <w:r w:rsidR="007824E7">
        <w:t>. Despite some doubts as to the status of this principle being raised within</w:t>
      </w:r>
      <w:r w:rsidR="00C85A57">
        <w:t>:</w:t>
      </w:r>
      <w:r w:rsidR="007824E7">
        <w:t xml:space="preserve"> International Law Commission (</w:t>
      </w:r>
      <w:r w:rsidR="00C85A57">
        <w:t>n 12)</w:t>
      </w:r>
      <w:r w:rsidRPr="007824E7" w:rsidR="007824E7">
        <w:t xml:space="preserve"> paras 148-155</w:t>
      </w:r>
      <w:r w:rsidR="00C85A57">
        <w:t>;</w:t>
      </w:r>
      <w:r w:rsidR="007824E7">
        <w:t xml:space="preserve"> in other </w:t>
      </w:r>
      <w:r w:rsidR="001142BD">
        <w:t>respects,</w:t>
      </w:r>
      <w:r w:rsidR="007824E7">
        <w:t xml:space="preserve"> it appears to be accepted as orthodox</w:t>
      </w:r>
      <w:r w:rsidR="00C85A57">
        <w:t xml:space="preserve">: </w:t>
      </w:r>
      <w:r w:rsidR="007824E7">
        <w:t xml:space="preserve">International Law Commission (n 31) </w:t>
      </w:r>
      <w:r w:rsidR="001142BD">
        <w:t>para 68</w:t>
      </w:r>
      <w:r w:rsidR="007824E7">
        <w:t>).</w:t>
      </w:r>
    </w:p>
  </w:endnote>
  <w:endnote w:id="47">
    <w:p w:rsidR="00821C9E" w:rsidRPr="00821C9E" w:rsidP="001142BD">
      <w:pPr>
        <w:pStyle w:val="EndnoteText"/>
        <w:spacing w:after="120" w:line="360" w:lineRule="auto"/>
        <w:jc w:val="both"/>
      </w:pPr>
      <w:r w:rsidRPr="00821C9E">
        <w:rPr>
          <w:rStyle w:val="EndnoteReference"/>
        </w:rPr>
        <w:endnoteRef/>
      </w:r>
      <w:r w:rsidRPr="00821C9E">
        <w:t xml:space="preserve"> </w:t>
      </w:r>
      <w:r w:rsidRPr="00821C9E" w:rsidR="007824E7">
        <w:t xml:space="preserve">Crawford (n 11) </w:t>
      </w:r>
      <w:r w:rsidR="004205B2">
        <w:t>52-55</w:t>
      </w:r>
      <w:r w:rsidR="007824E7">
        <w:t>.</w:t>
      </w:r>
    </w:p>
  </w:endnote>
  <w:endnote w:id="48">
    <w:p w:rsidR="00821C9E" w:rsidRPr="00821C9E" w:rsidP="001142BD">
      <w:pPr>
        <w:pStyle w:val="EndnoteText"/>
        <w:spacing w:after="120" w:line="360" w:lineRule="auto"/>
        <w:jc w:val="both"/>
      </w:pPr>
      <w:r w:rsidRPr="00821C9E">
        <w:rPr>
          <w:rStyle w:val="EndnoteReference"/>
        </w:rPr>
        <w:endnoteRef/>
      </w:r>
      <w:r w:rsidRPr="00821C9E">
        <w:t xml:space="preserve"> Green</w:t>
      </w:r>
      <w:r w:rsidR="002C2B92">
        <w:t xml:space="preserve"> (n 43b</w:t>
      </w:r>
      <w:r w:rsidRPr="00821C9E">
        <w:t>) 20-22. Support might also be found in: International Law Commission (n 31) para 196, which states ‘a territory that became fully submerged because of sea-level rise should not be considered a non-existent territory’. However, that paragraph also contests that ‘the existence of land territory had been a deeply rooted aspect of statehood’, which makes its overall thrust somewhat unclear.</w:t>
      </w:r>
    </w:p>
  </w:endnote>
  <w:endnote w:id="49">
    <w:p w:rsidR="00821C9E" w:rsidRPr="00821C9E" w:rsidP="001142BD">
      <w:pPr>
        <w:pStyle w:val="EndnoteText"/>
        <w:spacing w:after="120" w:line="360" w:lineRule="auto"/>
        <w:jc w:val="both"/>
      </w:pPr>
      <w:r w:rsidRPr="00821C9E">
        <w:rPr>
          <w:rStyle w:val="EndnoteReference"/>
        </w:rPr>
        <w:endnoteRef/>
      </w:r>
      <w:r w:rsidRPr="00821C9E">
        <w:t xml:space="preserve"> Rodney Jubilado, </w:t>
      </w:r>
      <w:r>
        <w:fldChar w:fldCharType="begin"/>
      </w:r>
      <w:r>
        <w:instrText xml:space="preserve"> HYPERLINK "https://ro.uow.edu.au/cgi/viewcontent.cgi?referer=&amp;httpsredir=1&amp;article=1257&amp;context=kunapipi" </w:instrText>
      </w:r>
      <w:r>
        <w:fldChar w:fldCharType="separate"/>
      </w:r>
      <w:r w:rsidRPr="00010C6B">
        <w:rPr>
          <w:rStyle w:val="Hyperlink"/>
        </w:rPr>
        <w:t>‘On cultural fluidity: The Sama-Bajau of the Sulu-Sulawesi Seas’</w:t>
      </w:r>
      <w:r>
        <w:fldChar w:fldCharType="end"/>
      </w:r>
      <w:r w:rsidRPr="00821C9E">
        <w:t xml:space="preserve"> (2010) 32(1) Kunapipi 89; Rodney Jubilado, Hanafi Hussin, and Maria Manueli, </w:t>
      </w:r>
      <w:r>
        <w:fldChar w:fldCharType="begin"/>
      </w:r>
      <w:r>
        <w:instrText xml:space="preserve"> HYPERLINK "https://jati.um.edu.my/index.php/jati/article/view/6100" </w:instrText>
      </w:r>
      <w:r>
        <w:fldChar w:fldCharType="separate"/>
      </w:r>
      <w:r w:rsidRPr="00010C6B">
        <w:rPr>
          <w:rStyle w:val="Hyperlink"/>
        </w:rPr>
        <w:t>‘The Sama-Bajaus of the Sulu-Sulawesi Seas: Perspectives from Linguistics and Culture’</w:t>
      </w:r>
      <w:r>
        <w:fldChar w:fldCharType="end"/>
      </w:r>
      <w:r w:rsidRPr="00821C9E">
        <w:t xml:space="preserve"> (2010) 15 Jati 83. These historical cases are further supported, at least to some extent, by the existence of maritime ‘micronations’, like the Principality of Sealand, see: Harry Hobbs, </w:t>
      </w:r>
      <w:r>
        <w:fldChar w:fldCharType="begin"/>
      </w:r>
      <w:r>
        <w:instrText xml:space="preserve"> HYPERLINK "https://academic.oup.com/icon/article/19/1/71/6247754" </w:instrText>
      </w:r>
      <w:r>
        <w:fldChar w:fldCharType="separate"/>
      </w:r>
      <w:r w:rsidRPr="00010C6B">
        <w:rPr>
          <w:rStyle w:val="Hyperlink"/>
        </w:rPr>
        <w:t>‘Micronations: A lacuna in the law’</w:t>
      </w:r>
      <w:r>
        <w:fldChar w:fldCharType="end"/>
      </w:r>
      <w:r w:rsidRPr="00821C9E">
        <w:t xml:space="preserve"> (2021) 19(1) Int</w:t>
      </w:r>
      <w:r w:rsidR="00F12394">
        <w:t>ernationa</w:t>
      </w:r>
      <w:r w:rsidRPr="00821C9E">
        <w:t>l J</w:t>
      </w:r>
      <w:r w:rsidR="00F12394">
        <w:t>ournal of</w:t>
      </w:r>
      <w:r w:rsidRPr="00821C9E">
        <w:t xml:space="preserve"> Constitutional L</w:t>
      </w:r>
      <w:r w:rsidR="00F12394">
        <w:t>aw</w:t>
      </w:r>
      <w:r w:rsidRPr="00821C9E">
        <w:t xml:space="preserve"> 71; see also Harry Hobbs and George Williams, </w:t>
      </w:r>
      <w:r>
        <w:fldChar w:fldCharType="begin"/>
      </w:r>
      <w:r>
        <w:instrText xml:space="preserve"> HYPERLINK "https://www.cambridge.org/core/books/micronations-and-the-search-for-sovereignty/B0414A3A322695D9EE71E4CDDFDA06DE" \l ":~:text=Micronations%20and%20the%20Search%20for%20Sovereignty%20is%20the%20first%20comprehensive,and%20create%20their%20own%20country." </w:instrText>
      </w:r>
      <w:r>
        <w:fldChar w:fldCharType="separate"/>
      </w:r>
      <w:r w:rsidRPr="00010C6B">
        <w:rPr>
          <w:rStyle w:val="Hyperlink"/>
          <w:i/>
          <w:iCs/>
        </w:rPr>
        <w:t>Micronations and the Search for Sovereignty</w:t>
      </w:r>
      <w:r>
        <w:fldChar w:fldCharType="end"/>
      </w:r>
      <w:r w:rsidRPr="00821C9E">
        <w:t xml:space="preserve"> (O</w:t>
      </w:r>
      <w:r w:rsidR="00F12394">
        <w:t xml:space="preserve">xford </w:t>
      </w:r>
      <w:r w:rsidRPr="00821C9E">
        <w:t>U</w:t>
      </w:r>
      <w:r w:rsidR="00F12394">
        <w:t xml:space="preserve">niversity </w:t>
      </w:r>
      <w:r w:rsidRPr="00821C9E">
        <w:t>P</w:t>
      </w:r>
      <w:r w:rsidR="00F12394">
        <w:t>ress</w:t>
      </w:r>
      <w:r w:rsidRPr="00821C9E">
        <w:t xml:space="preserve"> 2022), in particular pages 20-81.</w:t>
      </w:r>
    </w:p>
  </w:endnote>
  <w:endnote w:id="50">
    <w:p w:rsidR="00821C9E" w:rsidRPr="00821C9E" w:rsidP="001142BD">
      <w:pPr>
        <w:pStyle w:val="EndnoteText"/>
        <w:spacing w:after="120" w:line="360" w:lineRule="auto"/>
        <w:jc w:val="both"/>
      </w:pPr>
      <w:r w:rsidRPr="00821C9E">
        <w:rPr>
          <w:rStyle w:val="EndnoteReference"/>
        </w:rPr>
        <w:endnoteRef/>
      </w:r>
      <w:r w:rsidRPr="00821C9E">
        <w:t xml:space="preserve"> </w:t>
      </w:r>
      <w:r w:rsidR="00110AE3">
        <w:t>Green (n 18b) Conclusion; Green (n 43b) 19-23</w:t>
      </w:r>
      <w:r w:rsidR="00614B01">
        <w:t xml:space="preserve">. </w:t>
      </w:r>
    </w:p>
  </w:endnote>
  <w:endnote w:id="51">
    <w:p w:rsidR="00821C9E" w:rsidRPr="00821C9E" w:rsidP="001142BD">
      <w:pPr>
        <w:pStyle w:val="EndnoteText"/>
        <w:spacing w:after="120" w:line="360" w:lineRule="auto"/>
        <w:jc w:val="both"/>
      </w:pPr>
      <w:r w:rsidRPr="00821C9E">
        <w:rPr>
          <w:rStyle w:val="EndnoteReference"/>
        </w:rPr>
        <w:endnoteRef/>
      </w:r>
      <w:r w:rsidRPr="00821C9E">
        <w:t xml:space="preserve"> For the relationship between citizenship and political membership, see: Alex Green, </w:t>
      </w:r>
      <w:r>
        <w:fldChar w:fldCharType="begin"/>
      </w:r>
      <w:r>
        <w:instrText xml:space="preserve"> HYPERLINK "https://academic.oup.com/ojls/article-abstract/41/2/565/6041200?redirectedFrom=fulltext" </w:instrText>
      </w:r>
      <w:r>
        <w:fldChar w:fldCharType="separate"/>
      </w:r>
      <w:r w:rsidRPr="00821C9E">
        <w:rPr>
          <w:rStyle w:val="Hyperlink"/>
        </w:rPr>
        <w:t>‘Three Models of Political Membership: Delineating ‘The People in Question”</w:t>
      </w:r>
      <w:r>
        <w:fldChar w:fldCharType="end"/>
      </w:r>
      <w:r w:rsidRPr="00821C9E">
        <w:t xml:space="preserve"> (2021) 41(2) Oxford Journal of Legal Studies 565.</w:t>
      </w:r>
    </w:p>
  </w:endnote>
  <w:endnote w:id="52">
    <w:p w:rsidR="00821C9E" w:rsidRPr="00821C9E" w:rsidP="001142BD">
      <w:pPr>
        <w:pStyle w:val="EndnoteText"/>
        <w:spacing w:after="120" w:line="360" w:lineRule="auto"/>
        <w:jc w:val="both"/>
      </w:pPr>
      <w:r w:rsidRPr="00821C9E">
        <w:rPr>
          <w:rStyle w:val="EndnoteReference"/>
        </w:rPr>
        <w:endnoteRef/>
      </w:r>
      <w:r w:rsidRPr="00821C9E">
        <w:t xml:space="preserve"> Natalie Jonas, </w:t>
      </w:r>
      <w:r>
        <w:fldChar w:fldCharType="begin"/>
      </w:r>
      <w:r>
        <w:instrText xml:space="preserve"> HYPERLINK "https://www.salon.com/2022/12/03/as-tuvalu-succumbs-to-rising-sea-levels-the-island-nation-wants-to-be-the-first-virtual-country/" </w:instrText>
      </w:r>
      <w:r>
        <w:fldChar w:fldCharType="separate"/>
      </w:r>
      <w:r w:rsidRPr="00821C9E">
        <w:rPr>
          <w:rStyle w:val="Hyperlink"/>
        </w:rPr>
        <w:t>‘As Tuvalu succumbs to rising sea levels, the island nation wants to be the first virtue country’</w:t>
      </w:r>
      <w:r>
        <w:fldChar w:fldCharType="end"/>
      </w:r>
      <w:r w:rsidRPr="00821C9E">
        <w:t xml:space="preserve"> </w:t>
      </w:r>
      <w:r w:rsidRPr="00821C9E">
        <w:rPr>
          <w:i/>
          <w:iCs/>
        </w:rPr>
        <w:t>Salon</w:t>
      </w:r>
      <w:r w:rsidRPr="00821C9E">
        <w:t xml:space="preserve"> (3 December 2022); Tuvalu, </w:t>
      </w:r>
      <w:r>
        <w:fldChar w:fldCharType="begin"/>
      </w:r>
      <w:r>
        <w:instrText xml:space="preserve"> HYPERLINK "https://www.tuvalu.tv/" </w:instrText>
      </w:r>
      <w:r>
        <w:fldChar w:fldCharType="separate"/>
      </w:r>
      <w:r w:rsidRPr="00821C9E">
        <w:rPr>
          <w:rStyle w:val="Hyperlink"/>
        </w:rPr>
        <w:t>The First Digital Nation</w:t>
      </w:r>
      <w:r>
        <w:fldChar w:fldCharType="end"/>
      </w:r>
      <w:r w:rsidRPr="00821C9E">
        <w:t xml:space="preserve"> (official website).</w:t>
      </w:r>
    </w:p>
  </w:endnote>
  <w:endnote w:id="53">
    <w:p w:rsidR="00EA4E68" w:rsidP="001142BD">
      <w:pPr>
        <w:pStyle w:val="EndnoteText"/>
        <w:spacing w:after="120" w:line="360" w:lineRule="auto"/>
        <w:jc w:val="both"/>
      </w:pPr>
      <w:r>
        <w:rPr>
          <w:rStyle w:val="EndnoteReference"/>
        </w:rPr>
        <w:endnoteRef/>
      </w:r>
      <w:r>
        <w:t xml:space="preserve"> </w:t>
      </w:r>
      <w:r w:rsidRPr="00EA4E68">
        <w:t>Jane McAdam</w:t>
      </w:r>
      <w:r>
        <w:t xml:space="preserve">, </w:t>
      </w:r>
      <w:r>
        <w:fldChar w:fldCharType="begin"/>
      </w:r>
      <w:r>
        <w:instrText xml:space="preserve"> HYPERLINK "https://papers.ssrn.com/sol3/papers.cfm?abstract_id=1539766" </w:instrText>
      </w:r>
      <w:r>
        <w:fldChar w:fldCharType="separate"/>
      </w:r>
      <w:r w:rsidRPr="00EA4E68">
        <w:rPr>
          <w:rStyle w:val="Hyperlink"/>
        </w:rPr>
        <w:t>“Disappearing States’, Statelessness and the Boundaries of International Law’</w:t>
      </w:r>
      <w:r>
        <w:fldChar w:fldCharType="end"/>
      </w:r>
      <w:r w:rsidRPr="00EA4E68">
        <w:t xml:space="preserve"> (2010) UNSW Law Research Paper No.2010-2: </w:t>
      </w:r>
      <w:r>
        <w:t>8.</w:t>
      </w:r>
    </w:p>
  </w:endnote>
  <w:endnote w:id="54">
    <w:p w:rsidR="00821C9E" w:rsidRPr="00821C9E" w:rsidP="001142BD">
      <w:pPr>
        <w:pStyle w:val="EndnoteText"/>
        <w:spacing w:after="120" w:line="360" w:lineRule="auto"/>
        <w:jc w:val="both"/>
      </w:pPr>
      <w:r w:rsidRPr="00821C9E">
        <w:rPr>
          <w:rStyle w:val="EndnoteReference"/>
        </w:rPr>
        <w:endnoteRef/>
      </w:r>
      <w:r w:rsidRPr="00821C9E">
        <w:t xml:space="preserve"> </w:t>
      </w:r>
      <w:r w:rsidR="00B17BB5">
        <w:t xml:space="preserve">For example: </w:t>
      </w:r>
      <w:r w:rsidRPr="00B17BB5" w:rsidR="00B17BB5">
        <w:t xml:space="preserve">Maxine Burkett, </w:t>
      </w:r>
      <w:r>
        <w:fldChar w:fldCharType="begin"/>
      </w:r>
      <w:r>
        <w:instrText xml:space="preserve"> HYPERLINK "https://papers.ssrn.com/sol3/papers.cfm?abstract_id=2372457" </w:instrText>
      </w:r>
      <w:r>
        <w:fldChar w:fldCharType="separate"/>
      </w:r>
      <w:r w:rsidRPr="00B17BB5" w:rsidR="00B17BB5">
        <w:rPr>
          <w:rStyle w:val="Hyperlink"/>
        </w:rPr>
        <w:t>‘The Nation Ex-Situ: On Climate Change, Deterritorialized Nationhood, and the Post-Climate Era’</w:t>
      </w:r>
      <w:r>
        <w:fldChar w:fldCharType="end"/>
      </w:r>
      <w:r w:rsidRPr="00B17BB5" w:rsidR="00B17BB5">
        <w:t xml:space="preserve"> (2011) 2 Climate Law 345. </w:t>
      </w:r>
    </w:p>
  </w:endnote>
  <w:endnote w:id="55">
    <w:p w:rsidR="00821C9E" w:rsidRPr="00821C9E" w:rsidP="001142BD">
      <w:pPr>
        <w:pStyle w:val="EndnoteText"/>
        <w:spacing w:after="120" w:line="360" w:lineRule="auto"/>
        <w:jc w:val="both"/>
      </w:pPr>
      <w:r w:rsidRPr="00821C9E">
        <w:rPr>
          <w:rStyle w:val="EndnoteReference"/>
        </w:rPr>
        <w:endnoteRef/>
      </w:r>
      <w:r w:rsidRPr="00821C9E">
        <w:t xml:space="preserve"> </w:t>
      </w:r>
      <w:r w:rsidR="008838F4">
        <w:t xml:space="preserve">Unilateral declarations can take many forms, such as: </w:t>
      </w:r>
      <w:r w:rsidRPr="00821C9E" w:rsidR="008838F4">
        <w:rPr>
          <w:rStyle w:val="markedcontent"/>
          <w:shd w:val="clear" w:color="auto" w:fill="FFFFFF"/>
        </w:rPr>
        <w:t xml:space="preserve">Pacific Islands Forum, </w:t>
      </w:r>
      <w:r>
        <w:fldChar w:fldCharType="begin"/>
      </w:r>
      <w:r>
        <w:instrText xml:space="preserve"> HYPERLINK "https://www.forumsec.org/2021/08/11/declaration-on-preserving-maritime-zones-in-the-face-of-climate-change-related-sea-level-rise/" </w:instrText>
      </w:r>
      <w:r>
        <w:fldChar w:fldCharType="separate"/>
      </w:r>
      <w:r w:rsidRPr="00821C9E" w:rsidR="008838F4">
        <w:rPr>
          <w:rStyle w:val="Hyperlink"/>
          <w:shd w:val="clear" w:color="auto" w:fill="FFFFFF"/>
        </w:rPr>
        <w:t>‘Declaration on Preserving Maritime Zones in the Face of Climate Change-related Sea-Level Rise’</w:t>
      </w:r>
      <w:r>
        <w:fldChar w:fldCharType="end"/>
      </w:r>
      <w:r w:rsidRPr="00821C9E" w:rsidR="008838F4">
        <w:rPr>
          <w:rStyle w:val="markedcontent"/>
          <w:shd w:val="clear" w:color="auto" w:fill="FFFFFF"/>
        </w:rPr>
        <w:t xml:space="preserve"> (6 August 2021)</w:t>
      </w:r>
      <w:r w:rsidR="008838F4">
        <w:rPr>
          <w:rStyle w:val="markedcontent"/>
          <w:shd w:val="clear" w:color="auto" w:fill="FFFFFF"/>
        </w:rPr>
        <w:t xml:space="preserve">. One straightforward means would be for the FCDO to make a formal statement to this effect in Parliament, along the lines of Lord Carrington’s 1980 statement on UK policy concerning the recognition of foreign governments, see: </w:t>
      </w:r>
      <w:r>
        <w:fldChar w:fldCharType="begin"/>
      </w:r>
      <w:r>
        <w:instrText xml:space="preserve"> HYPERLINK "https://hansard.parliament.uk/Lords/1980-04-28/debates/26222023-9174-440b-bec7-96ba70e6b810/RecognitionOfGovernmentsPolicyAndPractice" </w:instrText>
      </w:r>
      <w:r>
        <w:fldChar w:fldCharType="separate"/>
      </w:r>
      <w:r w:rsidRPr="00010C6B" w:rsidR="008838F4">
        <w:rPr>
          <w:rStyle w:val="Hyperlink"/>
          <w:i/>
        </w:rPr>
        <w:t>Hansard</w:t>
      </w:r>
      <w:r w:rsidRPr="00010C6B" w:rsidR="008838F4">
        <w:rPr>
          <w:rStyle w:val="Hyperlink"/>
        </w:rPr>
        <w:t>, House of Lords, vol. 408, cols. 1121-1122</w:t>
      </w:r>
      <w:r>
        <w:fldChar w:fldCharType="end"/>
      </w:r>
      <w:r w:rsidRPr="00A94DE4" w:rsidR="008838F4">
        <w:t>.</w:t>
      </w:r>
    </w:p>
  </w:endnote>
  <w:endnote w:id="56">
    <w:p w:rsidR="00821C9E" w:rsidRPr="00821C9E" w:rsidP="001142BD">
      <w:pPr>
        <w:pStyle w:val="EndnoteText"/>
        <w:spacing w:after="120" w:line="360" w:lineRule="auto"/>
        <w:jc w:val="both"/>
      </w:pPr>
      <w:r w:rsidRPr="00821C9E">
        <w:rPr>
          <w:rStyle w:val="EndnoteReference"/>
        </w:rPr>
        <w:endnoteRef/>
      </w:r>
      <w:r w:rsidRPr="00821C9E">
        <w:t xml:space="preserve"> By focusing on ‘oceanic submergence’ rather than the more commonplace ‘sea-level rise’ fine questions about the relative roles played by rising sea levels on the one hand, and landmass subsidence on the other, could be avoided. </w:t>
      </w:r>
      <w:r w:rsidR="00214FDE">
        <w:t xml:space="preserve">(For example: </w:t>
      </w:r>
      <w:r w:rsidRPr="00214FDE" w:rsidR="00214FDE">
        <w:t xml:space="preserve">Cheryl Tay, Eric Lindsey, Shi Tong Chin, Jamie McCaughey, David Bekaert, Michele Nguyen, Hook Hua, Gerald Manipon, Mohammed Karim, Benjamin Horton, Tanghua Li, and Emma Hill, </w:t>
      </w:r>
      <w:r>
        <w:fldChar w:fldCharType="begin"/>
      </w:r>
      <w:r>
        <w:instrText xml:space="preserve"> HYPERLINK "https://www.nature.com/articles/s41893-022-00947-z" </w:instrText>
      </w:r>
      <w:r>
        <w:fldChar w:fldCharType="separate"/>
      </w:r>
      <w:r w:rsidRPr="00214FDE" w:rsidR="00214FDE">
        <w:rPr>
          <w:rStyle w:val="Hyperlink"/>
        </w:rPr>
        <w:t>‘Sea-level rise from land subsidence in major coastal cities’</w:t>
      </w:r>
      <w:r>
        <w:fldChar w:fldCharType="end"/>
      </w:r>
      <w:r w:rsidRPr="00214FDE" w:rsidR="00214FDE">
        <w:t xml:space="preserve"> (2022) 5 Nature Sustainability 1049.</w:t>
      </w:r>
      <w:r w:rsidR="00214FDE">
        <w:t>)</w:t>
      </w:r>
      <w:r w:rsidRPr="00214FDE" w:rsidR="00214FDE">
        <w:t xml:space="preserve"> </w:t>
      </w:r>
      <w:r w:rsidRPr="00821C9E">
        <w:t xml:space="preserve">The recommendations in </w:t>
      </w:r>
      <w:r w:rsidRPr="000F260E">
        <w:rPr>
          <w:u w:val="single"/>
        </w:rPr>
        <w:t>paragraph 1</w:t>
      </w:r>
      <w:r w:rsidRPr="000F260E" w:rsidR="000F260E">
        <w:rPr>
          <w:u w:val="single"/>
        </w:rPr>
        <w:t>4</w:t>
      </w:r>
      <w:r w:rsidRPr="000F260E">
        <w:rPr>
          <w:u w:val="single"/>
        </w:rPr>
        <w:t>(a) to 1</w:t>
      </w:r>
      <w:r w:rsidRPr="000F260E" w:rsidR="000F260E">
        <w:rPr>
          <w:u w:val="single"/>
        </w:rPr>
        <w:t>4</w:t>
      </w:r>
      <w:r w:rsidRPr="000F260E">
        <w:rPr>
          <w:u w:val="single"/>
        </w:rPr>
        <w:t>(c)</w:t>
      </w:r>
      <w:r w:rsidRPr="00821C9E">
        <w:t xml:space="preserve"> could all be maintained without this terminology, should the FCDO prefer the more traditional ‘sea-level rise’.</w:t>
      </w:r>
    </w:p>
  </w:endnote>
  <w:endnote w:id="57">
    <w:p w:rsidR="00821C9E" w:rsidRPr="00821C9E" w:rsidP="001142BD">
      <w:pPr>
        <w:pStyle w:val="EndnoteText"/>
        <w:spacing w:after="120" w:line="360" w:lineRule="auto"/>
        <w:jc w:val="both"/>
      </w:pPr>
      <w:r w:rsidRPr="00821C9E">
        <w:rPr>
          <w:rStyle w:val="EndnoteReference"/>
        </w:rPr>
        <w:endnoteRef/>
      </w:r>
      <w:r w:rsidRPr="00821C9E">
        <w:t xml:space="preserve"> </w:t>
      </w:r>
      <w:r w:rsidR="00124FC1">
        <w:t xml:space="preserve">See, for example, early demands for equitable treatment by the Alliance of Small Island States (AOSIS): </w:t>
      </w:r>
      <w:r w:rsidRPr="00124FC1" w:rsidR="00124FC1">
        <w:t xml:space="preserve">Intergovernmental Negotiating Committee for a Framework Convention on Climate Change, </w:t>
      </w:r>
      <w:r>
        <w:fldChar w:fldCharType="begin"/>
      </w:r>
      <w:r>
        <w:instrText xml:space="preserve"> HYPERLINK "https://unfccc.int/resource/docs/a/wg2crp08.pdf" </w:instrText>
      </w:r>
      <w:r>
        <w:fldChar w:fldCharType="separate"/>
      </w:r>
      <w:r w:rsidRPr="00124FC1" w:rsidR="00124FC1">
        <w:rPr>
          <w:rStyle w:val="Hyperlink"/>
        </w:rPr>
        <w:t>Negotiation of a Framework Convention on Climate Change: Annex Insurance Mechanism</w:t>
      </w:r>
      <w:r>
        <w:fldChar w:fldCharType="end"/>
      </w:r>
      <w:r w:rsidRPr="00124FC1" w:rsidR="00124FC1">
        <w:t xml:space="preserve"> (17 December 1991) A/AC.237/WG.II/CRP.8</w:t>
      </w:r>
      <w:r w:rsidR="00124FC1">
        <w:t xml:space="preserve">; </w:t>
      </w:r>
      <w:r w:rsidRPr="00124FC1" w:rsidR="00124FC1">
        <w:t xml:space="preserve">AOSIS, </w:t>
      </w:r>
      <w:r>
        <w:fldChar w:fldCharType="begin"/>
      </w:r>
      <w:r>
        <w:instrText xml:space="preserve"> HYPERLINK "https://unfccc.int/files/kyoto_protocol/application/pdf/aosisinsurance061208.pdf" </w:instrText>
      </w:r>
      <w:r>
        <w:fldChar w:fldCharType="separate"/>
      </w:r>
      <w:r w:rsidRPr="00124FC1" w:rsidR="00124FC1">
        <w:rPr>
          <w:rStyle w:val="Hyperlink"/>
        </w:rPr>
        <w:t>Proposal to the AWG-LCA: Multi-Window Mechanism to Address Loss and Damage from Climate Change Impacts</w:t>
      </w:r>
      <w:r>
        <w:fldChar w:fldCharType="end"/>
      </w:r>
      <w:r w:rsidRPr="00124FC1" w:rsidR="00124FC1">
        <w:t>, 2.</w:t>
      </w:r>
    </w:p>
  </w:endnote>
  <w:endnote w:id="58">
    <w:p w:rsidR="00821C9E" w:rsidRPr="00821C9E" w:rsidP="001142BD">
      <w:pPr>
        <w:pStyle w:val="EndnoteText"/>
        <w:spacing w:after="120" w:line="360" w:lineRule="auto"/>
        <w:jc w:val="both"/>
      </w:pPr>
      <w:r w:rsidRPr="00821C9E">
        <w:rPr>
          <w:rStyle w:val="EndnoteReference"/>
        </w:rPr>
        <w:endnoteRef/>
      </w:r>
      <w:r w:rsidRPr="00821C9E">
        <w:t xml:space="preserve"> </w:t>
      </w:r>
      <w:r w:rsidR="00B85388">
        <w:t xml:space="preserve">Lowe (n 35) </w:t>
      </w:r>
      <w:r w:rsidR="00443C41">
        <w:t>36-53</w:t>
      </w:r>
      <w:r w:rsidR="00B85388">
        <w:t>.</w:t>
      </w:r>
    </w:p>
  </w:endnote>
  <w:endnote w:id="59">
    <w:p w:rsidR="00821C9E" w:rsidRPr="00821C9E" w:rsidP="001142BD">
      <w:pPr>
        <w:pStyle w:val="EndnoteText"/>
        <w:spacing w:after="120" w:line="360" w:lineRule="auto"/>
        <w:jc w:val="both"/>
      </w:pPr>
      <w:r w:rsidRPr="00821C9E">
        <w:rPr>
          <w:rStyle w:val="EndnoteReference"/>
        </w:rPr>
        <w:endnoteRef/>
      </w:r>
      <w:r w:rsidRPr="00821C9E">
        <w:t xml:space="preserve"> </w:t>
      </w:r>
      <w:r w:rsidRPr="00614B01" w:rsidR="00614B01">
        <w:t xml:space="preserve">Maxine Burkett, </w:t>
      </w:r>
      <w:r>
        <w:fldChar w:fldCharType="begin"/>
      </w:r>
      <w:r>
        <w:instrText xml:space="preserve"> HYPERLINK "https://papers.ssrn.com/sol3/papers.cfm?abstract_id=2372457" </w:instrText>
      </w:r>
      <w:r>
        <w:fldChar w:fldCharType="separate"/>
      </w:r>
      <w:r w:rsidRPr="00614B01" w:rsidR="00614B01">
        <w:rPr>
          <w:rStyle w:val="Hyperlink"/>
        </w:rPr>
        <w:t>‘The Nation Ex-Situ: On climate change, deterritorialized nationhood and the post-climate era’</w:t>
      </w:r>
      <w:r>
        <w:fldChar w:fldCharType="end"/>
      </w:r>
      <w:r w:rsidRPr="00614B01" w:rsidR="00614B01">
        <w:t xml:space="preserve"> (2011) 2 Climate Law 345.</w:t>
      </w:r>
    </w:p>
  </w:endnote>
  <w:endnote w:id="60">
    <w:p w:rsidR="006D0EE2" w:rsidP="001142BD">
      <w:pPr>
        <w:pStyle w:val="EndnoteText"/>
        <w:spacing w:after="120" w:line="360" w:lineRule="auto"/>
        <w:jc w:val="both"/>
      </w:pPr>
      <w:r>
        <w:rPr>
          <w:rStyle w:val="EndnoteReference"/>
        </w:rPr>
        <w:endnoteRef/>
      </w:r>
      <w:r>
        <w:t xml:space="preserve"> The ordinary route for developing such a resolution would be via the Sixth Committee of the General Assembly, which deals with legal questions such as this. Since the International Law Commission has yet to deliver its final recommendations on sea-level rise in relation to international law, which shall address the issue of statehood explicitly, the FCDO may wish to wait until it has the opportunity to review those recommendations, before pursuing this possibility.</w:t>
      </w:r>
    </w:p>
  </w:endnote>
  <w:endnote w:id="61">
    <w:p w:rsidR="00821C9E" w:rsidRPr="00821C9E" w:rsidP="001142BD">
      <w:pPr>
        <w:pStyle w:val="EndnoteText"/>
        <w:spacing w:after="120" w:line="360" w:lineRule="auto"/>
        <w:jc w:val="both"/>
      </w:pPr>
      <w:r w:rsidRPr="00821C9E">
        <w:rPr>
          <w:rStyle w:val="EndnoteReference"/>
        </w:rPr>
        <w:endnoteRef/>
      </w:r>
      <w:r w:rsidRPr="00821C9E">
        <w:t xml:space="preserve"> </w:t>
      </w:r>
      <w:r w:rsidRPr="004736AD" w:rsidR="004736AD">
        <w:t xml:space="preserve">UNGA resolution 77/276 (29 March 2023) </w:t>
      </w:r>
      <w:r>
        <w:fldChar w:fldCharType="begin"/>
      </w:r>
      <w:r>
        <w:instrText xml:space="preserve"> HYPERLINK "https://www.icj-cij.org/sites/default/files/case-related/187/187-20230412-APP-01-00-EN.pdf" </w:instrText>
      </w:r>
      <w:r>
        <w:fldChar w:fldCharType="separate"/>
      </w:r>
      <w:r w:rsidRPr="004736AD" w:rsidR="004736AD">
        <w:rPr>
          <w:rStyle w:val="Hyperlink"/>
        </w:rPr>
        <w:t>UN Doc A/RES/77/276</w:t>
      </w:r>
      <w:r>
        <w:fldChar w:fldCharType="end"/>
      </w:r>
      <w:r w:rsidR="004736AD">
        <w:t xml:space="preserve">; </w:t>
      </w:r>
      <w:r w:rsidRPr="004736AD" w:rsidR="004736AD">
        <w:rPr>
          <w:i/>
          <w:iCs/>
        </w:rPr>
        <w:t>Obligations of States in Respect of Climate Change (Request for an Advisory Opinion)</w:t>
      </w:r>
      <w:r w:rsidRPr="004736AD" w:rsidR="004736AD">
        <w:t xml:space="preserve">, </w:t>
      </w:r>
      <w:r>
        <w:fldChar w:fldCharType="begin"/>
      </w:r>
      <w:r>
        <w:instrText xml:space="preserve"> HYPERLINK "https://www.icj-cij.org/sites/default/files/case-related/187/187-20230420-ORD-01-00-EN.pdf" </w:instrText>
      </w:r>
      <w:r>
        <w:fldChar w:fldCharType="separate"/>
      </w:r>
      <w:r w:rsidRPr="004736AD" w:rsidR="004736AD">
        <w:rPr>
          <w:rStyle w:val="Hyperlink"/>
        </w:rPr>
        <w:t>Order of 20 April 2023</w:t>
      </w:r>
      <w:r>
        <w:fldChar w:fldCharType="end"/>
      </w:r>
      <w:r w:rsidRPr="004736AD" w:rsidR="004736AD">
        <w:t>.</w:t>
      </w:r>
    </w:p>
  </w:endnote>
  <w:endnote w:id="62">
    <w:p w:rsidR="00821C9E" w:rsidRPr="00821C9E" w:rsidP="001142BD">
      <w:pPr>
        <w:pStyle w:val="EndnoteText"/>
        <w:spacing w:after="120" w:line="360" w:lineRule="auto"/>
        <w:jc w:val="both"/>
      </w:pPr>
      <w:r w:rsidRPr="00821C9E">
        <w:rPr>
          <w:rStyle w:val="EndnoteReference"/>
        </w:rPr>
        <w:endnoteRef/>
      </w:r>
      <w:r w:rsidRPr="00821C9E">
        <w:t xml:space="preserve">  International Relations and Defence Committee, </w:t>
      </w:r>
      <w:r>
        <w:fldChar w:fldCharType="begin"/>
      </w:r>
      <w:r>
        <w:instrText xml:space="preserve"> HYPERLINK "https://committees.parliament.uk/publications/9005/documents/159002/default/" </w:instrText>
      </w:r>
      <w:r>
        <w:fldChar w:fldCharType="separate"/>
      </w:r>
      <w:r w:rsidRPr="00821C9E">
        <w:rPr>
          <w:rStyle w:val="Hyperlink"/>
          <w:i/>
          <w:iCs/>
        </w:rPr>
        <w:t>UNCLOS: the law of the sea in the 21st century</w:t>
      </w:r>
      <w:r>
        <w:fldChar w:fldCharType="end"/>
      </w:r>
      <w:r w:rsidRPr="00821C9E">
        <w:t xml:space="preserve"> (House of Lords Paper No 159, 2nd Report of Session 2021–2022), para 126.</w:t>
      </w:r>
    </w:p>
  </w:endnote>
  <w:endnote w:id="63">
    <w:p w:rsidR="00821C9E" w:rsidRPr="00821C9E" w:rsidP="001142BD">
      <w:pPr>
        <w:pStyle w:val="EndnoteText"/>
        <w:spacing w:after="120" w:line="360" w:lineRule="auto"/>
        <w:jc w:val="both"/>
      </w:pPr>
      <w:r w:rsidRPr="00821C9E">
        <w:rPr>
          <w:rStyle w:val="EndnoteReference"/>
        </w:rPr>
        <w:endnoteRef/>
      </w:r>
      <w:r w:rsidRPr="00821C9E">
        <w:t xml:space="preserve"> </w:t>
      </w:r>
      <w:r w:rsidRPr="00821C9E">
        <w:rPr>
          <w:rStyle w:val="markedcontent"/>
          <w:shd w:val="clear" w:color="auto" w:fill="FFFFFF"/>
        </w:rPr>
        <w:t>Pacific Islands Forum</w:t>
      </w:r>
      <w:r w:rsidR="008838F4">
        <w:rPr>
          <w:rStyle w:val="markedcontent"/>
          <w:shd w:val="clear" w:color="auto" w:fill="FFFFFF"/>
        </w:rPr>
        <w:t xml:space="preserve"> (n 54</w:t>
      </w:r>
      <w:r w:rsidRPr="00821C9E">
        <w:rPr>
          <w:rStyle w:val="markedcontent"/>
          <w:shd w:val="clear" w:color="auto" w:fill="FFFFFF"/>
        </w:rPr>
        <w:t>). The signatory states and territories were: Australia, the Cook Islands, the Federated States of Micronesia, the Republic of Fiji, French Polynesia, the Republic of Kiribati, the Republic of Nauru, New Caledonia, New Zealand, Niue, the Republic of Palau, the Independent State of Papua New Guinea, the Republic of the Marshall Islands, the Independent State of Samoa, Solomon Islands, the Kingdom of Tonga, Tuvalu, and Vanuatu.</w:t>
      </w:r>
    </w:p>
  </w:endnote>
  <w:endnote w:id="64">
    <w:p w:rsidR="00821C9E" w:rsidRPr="00821C9E" w:rsidP="001142BD">
      <w:pPr>
        <w:pStyle w:val="EndnoteText"/>
        <w:spacing w:after="120" w:line="360" w:lineRule="auto"/>
        <w:jc w:val="both"/>
      </w:pPr>
      <w:r w:rsidRPr="00821C9E">
        <w:rPr>
          <w:rStyle w:val="EndnoteReference"/>
        </w:rPr>
        <w:endnoteRef/>
      </w:r>
      <w:r w:rsidRPr="00821C9E">
        <w:t xml:space="preserve"> </w:t>
      </w:r>
      <w:r w:rsidR="00170C45">
        <w:t>For detail on how this might be adopted, see: Churchill, Lowe, and Sandor (n 14) 30-32, 38-40.</w:t>
      </w:r>
    </w:p>
  </w:endnote>
  <w:endnote w:id="65">
    <w:p w:rsidR="00952F34" w:rsidRPr="00952F34" w:rsidP="001142BD">
      <w:pPr>
        <w:pStyle w:val="EndnoteText"/>
        <w:spacing w:after="120" w:line="360" w:lineRule="auto"/>
        <w:jc w:val="both"/>
        <w:rPr>
          <w:vertAlign w:val="subscript"/>
        </w:rPr>
      </w:pPr>
      <w:r>
        <w:rPr>
          <w:rStyle w:val="EndnoteReference"/>
        </w:rPr>
        <w:endnoteRef/>
      </w:r>
      <w:r>
        <w:t xml:space="preserve"> The primary argument under UNCLOS for considering baselines to be ‘ambulatory’ is based on an interpretation of Articles 7(2) and 76(9. Given that these two articles are the only provisions of UNCLOS that stipulate conditions under which baselines might be treated as ‘fixed’, the implications sometimes drawn is that ordinarily they must be ambulatory. A powerful rejection of this claim is provided in Chapter 2 of Purcell</w:t>
      </w:r>
      <w:r w:rsidR="00010C6B">
        <w:t xml:space="preserve"> (n 3</w:t>
      </w:r>
      <w:r>
        <w:t xml:space="preserve">) – her rationale could, in my view, </w:t>
      </w:r>
      <w:r w:rsidR="0050535D">
        <w:t xml:space="preserve">also </w:t>
      </w:r>
      <w:r>
        <w:t>be formally adopted by the UK.</w:t>
      </w:r>
    </w:p>
  </w:endnote>
  <w:endnote w:id="66">
    <w:p w:rsidR="0050535D" w:rsidP="001142BD">
      <w:pPr>
        <w:pStyle w:val="EndnoteText"/>
        <w:spacing w:after="120" w:line="360" w:lineRule="auto"/>
        <w:jc w:val="both"/>
      </w:pPr>
      <w:r>
        <w:rPr>
          <w:rStyle w:val="EndnoteReference"/>
        </w:rPr>
        <w:endnoteRef/>
      </w:r>
      <w:r>
        <w:t xml:space="preserve"> Article 121(3) is particularly relevant, given its explicit invocation of (un)inhabitable land to distinguish between islands, which generate exclusive economic zones and a continental shelf, and rocks, which do not.</w:t>
      </w:r>
    </w:p>
  </w:endnote>
  <w:endnote w:id="67">
    <w:p w:rsidR="00821C9E" w:rsidRPr="00821C9E" w:rsidP="001142BD">
      <w:pPr>
        <w:pStyle w:val="EndnoteText"/>
        <w:spacing w:after="120" w:line="360" w:lineRule="auto"/>
        <w:jc w:val="both"/>
      </w:pPr>
      <w:r w:rsidRPr="00821C9E">
        <w:rPr>
          <w:rStyle w:val="EndnoteReference"/>
        </w:rPr>
        <w:endnoteRef/>
      </w:r>
      <w:r w:rsidRPr="00821C9E">
        <w:t xml:space="preserve"> </w:t>
      </w:r>
      <w:r w:rsidRPr="00821C9E" w:rsidR="000F1367">
        <w:t>International Relations and Defence Committee</w:t>
      </w:r>
      <w:r w:rsidR="000F1367">
        <w:t xml:space="preserve"> (n 61) </w:t>
      </w:r>
      <w:r w:rsidR="00864EBA">
        <w:t xml:space="preserve">paras </w:t>
      </w:r>
      <w:r w:rsidR="000F1367">
        <w:t>114-126.</w:t>
      </w:r>
    </w:p>
  </w:endnote>
  <w:endnote w:id="68">
    <w:p w:rsidR="00821C9E" w:rsidRPr="00821C9E" w:rsidP="001142BD">
      <w:pPr>
        <w:pStyle w:val="EndnoteText"/>
        <w:spacing w:after="120" w:line="360" w:lineRule="auto"/>
        <w:jc w:val="both"/>
      </w:pPr>
      <w:r w:rsidRPr="00821C9E">
        <w:rPr>
          <w:rStyle w:val="EndnoteReference"/>
        </w:rPr>
        <w:endnoteRef/>
      </w:r>
      <w:r w:rsidRPr="00821C9E">
        <w:t xml:space="preserve"> </w:t>
      </w:r>
      <w:r w:rsidR="00864EBA">
        <w:t>Churchill, Lowe, and Sandor (n 14) 54-60.</w:t>
      </w:r>
    </w:p>
  </w:endnote>
  <w:endnote w:id="69">
    <w:p w:rsidR="00821C9E" w:rsidRPr="00821C9E" w:rsidP="001142BD">
      <w:pPr>
        <w:pStyle w:val="EndnoteText"/>
        <w:spacing w:after="120" w:line="360" w:lineRule="auto"/>
        <w:jc w:val="both"/>
      </w:pPr>
      <w:r w:rsidRPr="00821C9E">
        <w:rPr>
          <w:rStyle w:val="EndnoteReference"/>
        </w:rPr>
        <w:endnoteRef/>
      </w:r>
      <w:r w:rsidRPr="00821C9E">
        <w:t xml:space="preserve"> </w:t>
      </w:r>
      <w:r w:rsidR="00864EBA">
        <w:t>Ibid 100-108.</w:t>
      </w:r>
    </w:p>
  </w:endnote>
  <w:endnote w:id="70">
    <w:p w:rsidR="00821C9E" w:rsidRPr="00821C9E" w:rsidP="001142BD">
      <w:pPr>
        <w:pStyle w:val="EndnoteText"/>
        <w:spacing w:after="120" w:line="360" w:lineRule="auto"/>
        <w:jc w:val="both"/>
      </w:pPr>
      <w:r w:rsidRPr="00821C9E">
        <w:rPr>
          <w:rStyle w:val="EndnoteReference"/>
        </w:rPr>
        <w:endnoteRef/>
      </w:r>
      <w:r w:rsidRPr="00821C9E">
        <w:t xml:space="preserve"> </w:t>
      </w:r>
      <w:r w:rsidRPr="00821C9E" w:rsidR="00864EBA">
        <w:t>International Relations and Defence Committee</w:t>
      </w:r>
      <w:r w:rsidR="00864EBA">
        <w:t xml:space="preserve"> (n 61) para 124.</w:t>
      </w:r>
    </w:p>
  </w:endnote>
  <w:endnote w:id="71">
    <w:p w:rsidR="00821C9E" w:rsidRPr="00821C9E" w:rsidP="001142BD">
      <w:pPr>
        <w:pStyle w:val="EndnoteText"/>
        <w:spacing w:after="120" w:line="360" w:lineRule="auto"/>
        <w:jc w:val="both"/>
      </w:pPr>
      <w:r w:rsidRPr="00821C9E">
        <w:rPr>
          <w:rStyle w:val="EndnoteReference"/>
        </w:rPr>
        <w:endnoteRef/>
      </w:r>
      <w:r w:rsidRPr="00821C9E">
        <w:t xml:space="preserve"> </w:t>
      </w:r>
      <w:r w:rsidR="00864EBA">
        <w:t xml:space="preserve">International Law Commission (n </w:t>
      </w:r>
      <w:r w:rsidR="00C85A57">
        <w:t>12</w:t>
      </w:r>
      <w:r w:rsidR="00864EBA">
        <w:t xml:space="preserve">) </w:t>
      </w:r>
      <w:r w:rsidR="00253E1D">
        <w:t>paras 16-96</w:t>
      </w:r>
      <w:r w:rsidRPr="00821C9E">
        <w:t xml:space="preserve">; Alina Miron, ‘Les conséquences de l’élévation du niveau des mers sur le tracé des lignes de base’ in V. Boré Eveno (ed), </w:t>
      </w:r>
      <w:r w:rsidRPr="00821C9E">
        <w:rPr>
          <w:i/>
          <w:iCs/>
        </w:rPr>
        <w:t>Elévation du niveau de la mer et droit international. De l’adaptation à l’action</w:t>
      </w:r>
      <w:r w:rsidRPr="00821C9E">
        <w:t xml:space="preserve"> (Pedone 2022) 106-108.</w:t>
      </w:r>
    </w:p>
  </w:endnote>
  <w:endnote w:id="72">
    <w:p w:rsidR="00821C9E" w:rsidRPr="00821C9E" w:rsidP="001142BD">
      <w:pPr>
        <w:pStyle w:val="EndnoteText"/>
        <w:spacing w:after="120" w:line="360" w:lineRule="auto"/>
        <w:jc w:val="both"/>
      </w:pPr>
      <w:r w:rsidRPr="00821C9E">
        <w:rPr>
          <w:rStyle w:val="EndnoteReference"/>
        </w:rPr>
        <w:endnoteRef/>
      </w:r>
      <w:r w:rsidRPr="00821C9E">
        <w:t xml:space="preserve"> </w:t>
      </w:r>
      <w:r w:rsidR="00253E1D">
        <w:t xml:space="preserve">International Law Commission (n 9) </w:t>
      </w:r>
      <w:r w:rsidR="008D2BEC">
        <w:t>paras 22, 32-33</w:t>
      </w:r>
      <w:r w:rsidR="00253E1D">
        <w:t>.</w:t>
      </w:r>
    </w:p>
  </w:endnote>
  <w:endnote w:id="73">
    <w:p w:rsidR="00821C9E" w:rsidRPr="00821C9E" w:rsidP="001142BD">
      <w:pPr>
        <w:pStyle w:val="EndnoteText"/>
        <w:spacing w:after="120" w:line="360" w:lineRule="auto"/>
        <w:jc w:val="both"/>
      </w:pPr>
      <w:r w:rsidRPr="00821C9E">
        <w:rPr>
          <w:rStyle w:val="EndnoteReference"/>
        </w:rPr>
        <w:endnoteRef/>
      </w:r>
      <w:r w:rsidRPr="00821C9E">
        <w:t xml:space="preserve"> Possible uses for such structures were considered by: International Law Commission (n 9) 43-44, paras 166-174; but see the doubts raised in International Law Commission (n 31) para 205.</w:t>
      </w:r>
    </w:p>
  </w:endnote>
  <w:endnote w:id="74">
    <w:p w:rsidR="00821C9E" w:rsidRPr="00821C9E" w:rsidP="001142BD">
      <w:pPr>
        <w:pStyle w:val="EndnoteText"/>
        <w:spacing w:after="120" w:line="360" w:lineRule="auto"/>
        <w:jc w:val="both"/>
      </w:pPr>
      <w:r w:rsidRPr="00821C9E">
        <w:rPr>
          <w:rStyle w:val="EndnoteReference"/>
        </w:rPr>
        <w:endnoteRef/>
      </w:r>
      <w:r w:rsidRPr="00821C9E">
        <w:t xml:space="preserve"> </w:t>
      </w:r>
      <w:r w:rsidRPr="00E5114F" w:rsidR="00E5114F">
        <w:t xml:space="preserve">Needa Javed, </w:t>
      </w:r>
      <w:r>
        <w:fldChar w:fldCharType="begin"/>
      </w:r>
      <w:r>
        <w:instrText xml:space="preserve"> HYPERLINK "https://pdfs.semanticscholar.org/6bd3/dd8e9900799ca13166fe07f958104f3144ef.pdf" </w:instrText>
      </w:r>
      <w:r>
        <w:fldChar w:fldCharType="separate"/>
      </w:r>
      <w:r w:rsidRPr="00E5114F" w:rsidR="00E5114F">
        <w:rPr>
          <w:rStyle w:val="Hyperlink"/>
        </w:rPr>
        <w:t>‘Significance of Artificial Island in Overcoming the Scarcity of Land due to Global Warming and Sea-Level Rise’</w:t>
      </w:r>
      <w:r>
        <w:fldChar w:fldCharType="end"/>
      </w:r>
      <w:r w:rsidRPr="00E5114F" w:rsidR="00E5114F">
        <w:t xml:space="preserve"> (2017) 11 Journal of Energy and Power Engineering 11</w:t>
      </w:r>
      <w:r w:rsidR="00E5114F">
        <w:t xml:space="preserve">; </w:t>
      </w:r>
      <w:r w:rsidRPr="00E5114F" w:rsidR="00E5114F">
        <w:t xml:space="preserve">Matthew Southerland, </w:t>
      </w:r>
      <w:r>
        <w:fldChar w:fldCharType="begin"/>
      </w:r>
      <w:r>
        <w:instrText xml:space="preserve"> HYPERLINK "https://www.uscc.gov/sites/default/files/Research/China%27s%20Island%20Building%20in%20the%20South%20China%20Sea_0.pdf" </w:instrText>
      </w:r>
      <w:r>
        <w:fldChar w:fldCharType="separate"/>
      </w:r>
      <w:r w:rsidRPr="00E5114F" w:rsidR="00E5114F">
        <w:rPr>
          <w:rStyle w:val="Hyperlink"/>
          <w:i/>
          <w:iCs/>
        </w:rPr>
        <w:t>China’s Island Building in the South China Sea: Damage to the Marine Environment, Implications, and International Law</w:t>
      </w:r>
      <w:r>
        <w:fldChar w:fldCharType="end"/>
      </w:r>
      <w:r w:rsidRPr="00E5114F" w:rsidR="00E5114F">
        <w:t xml:space="preserve"> (U.S.-China Economic and Security Review Commission 2016).</w:t>
      </w:r>
    </w:p>
  </w:endnote>
  <w:endnote w:id="75">
    <w:p w:rsidR="001142BD" w:rsidP="001142BD">
      <w:pPr>
        <w:pStyle w:val="EndnoteText"/>
        <w:spacing w:after="120" w:line="360" w:lineRule="auto"/>
      </w:pPr>
      <w:r>
        <w:rPr>
          <w:rStyle w:val="EndnoteReference"/>
        </w:rPr>
        <w:endnoteRef/>
      </w:r>
      <w:r>
        <w:t xml:space="preserve"> </w:t>
      </w:r>
      <w:r w:rsidRPr="00821C9E">
        <w:t>International Law Commission</w:t>
      </w:r>
      <w:r>
        <w:t xml:space="preserve"> (n 31) para 56.</w:t>
      </w:r>
    </w:p>
  </w:endnote>
  <w:endnote w:id="76">
    <w:p w:rsidR="00821C9E" w:rsidRPr="00821C9E" w:rsidP="001142BD">
      <w:pPr>
        <w:pStyle w:val="EndnoteText"/>
        <w:spacing w:after="120" w:line="360" w:lineRule="auto"/>
        <w:jc w:val="both"/>
      </w:pPr>
      <w:r w:rsidRPr="00821C9E">
        <w:rPr>
          <w:rStyle w:val="EndnoteReference"/>
        </w:rPr>
        <w:endnoteRef/>
      </w:r>
      <w:r w:rsidRPr="00821C9E">
        <w:t xml:space="preserve"> </w:t>
      </w:r>
      <w:r w:rsidRPr="00821C9E" w:rsidR="008D2BEC">
        <w:t>International Law Commission (n 9)</w:t>
      </w:r>
      <w:r w:rsidR="008D2BEC">
        <w:t xml:space="preserve"> 425-434</w:t>
      </w:r>
      <w:r w:rsidR="00253E1D">
        <w:t xml:space="preserve">; </w:t>
      </w:r>
      <w:r w:rsidRPr="00821C9E" w:rsidR="00F12C8A">
        <w:t>Kolers</w:t>
      </w:r>
      <w:r w:rsidR="00F12C8A">
        <w:t xml:space="preserve"> (n 41)</w:t>
      </w:r>
      <w:r w:rsidRPr="00821C9E" w:rsidR="00F12C8A">
        <w:t>; Margret Moore</w:t>
      </w:r>
      <w:r w:rsidR="00F12C8A">
        <w:t xml:space="preserve"> (n 41)</w:t>
      </w:r>
      <w:r w:rsidRPr="00821C9E" w:rsidR="00F12C8A">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149401133"/>
      <w:docPartObj>
        <w:docPartGallery w:val="Page Numbers (Bottom of Page)"/>
        <w:docPartUnique/>
      </w:docPartObj>
    </w:sdtPr>
    <w:sdtEndPr>
      <w:rPr>
        <w:noProof/>
      </w:rPr>
    </w:sdtEndPr>
    <w:sdtContent>
      <w:p w:rsidR="004178E8">
        <w:pPr>
          <w:pStyle w:val="Footer"/>
          <w:jc w:val="center"/>
        </w:pPr>
      </w:p>
      <w:p w:rsidR="00FF210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FF210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985122" w:rsidP="006F36CA">
      <w:pPr>
        <w:spacing w:line="240" w:lineRule="auto"/>
      </w:pPr>
      <w:r>
        <w:separator/>
      </w:r>
    </w:p>
  </w:footnote>
  <w:footnote w:type="continuationSeparator" w:id="1">
    <w:p w:rsidR="00985122" w:rsidP="006F36CA">
      <w:pPr>
        <w:spacing w:line="240" w:lineRule="auto"/>
      </w:pPr>
      <w:r>
        <w:continuationSeparator/>
      </w:r>
    </w:p>
  </w:footnote>
  <w:footnote w:id="2">
    <w:p w:rsidR="00AF53A8" w:rsidRPr="00821C9E" w:rsidP="00AF53A8">
      <w:pPr>
        <w:pStyle w:val="EndnoteText"/>
        <w:spacing w:line="360" w:lineRule="auto"/>
        <w:jc w:val="both"/>
      </w:pPr>
      <w:r>
        <w:rPr>
          <w:rStyle w:val="FootnoteReference"/>
        </w:rPr>
        <w:t>*</w:t>
      </w:r>
      <w:r>
        <w:t xml:space="preserve"> </w:t>
      </w:r>
      <w:r w:rsidRPr="00821C9E">
        <w:t>Lecturer, York Law School; Fellow, University of York Interdisciplinary Global Development Centre; Academic Associate, 23ES Chambers (London and Manchester).</w:t>
      </w:r>
    </w:p>
    <w:p w:rsidR="00AF53A8" w:rsidP="00AF53A8">
      <w:pPr>
        <w:pStyle w:val="FootnoteText"/>
      </w:pPr>
      <w:r w:rsidRPr="00821C9E">
        <w:t xml:space="preserve">Contact email: </w:t>
      </w:r>
      <w:r>
        <w:fldChar w:fldCharType="begin"/>
      </w:r>
      <w:r>
        <w:instrText xml:space="preserve"> HYPERLINK "mailto:alex.green@york.ac.uk" </w:instrText>
      </w:r>
      <w:r>
        <w:fldChar w:fldCharType="separate"/>
      </w:r>
      <w:r w:rsidRPr="00821C9E">
        <w:rPr>
          <w:rStyle w:val="Hyperlink"/>
        </w:rPr>
        <w:t>alex.green@york.ac.uk</w:t>
      </w:r>
      <w:r>
        <w:fldChar w:fldCharType="end"/>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5343AD1"/>
    <w:multiLevelType w:val="hybridMultilevel"/>
    <w:tmpl w:val="78E6A83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369C377E"/>
    <w:multiLevelType w:val="hybridMultilevel"/>
    <w:tmpl w:val="312E30F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627866B5"/>
    <w:multiLevelType w:val="hybridMultilevel"/>
    <w:tmpl w:val="DBC6C12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7EDE6220"/>
    <w:multiLevelType w:val="hybridMultilevel"/>
    <w:tmpl w:val="3FC60170"/>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20"/>
  <w:drawingGridHorizontalSpacing w:val="110"/>
  <w:displayHorizontalDrawingGridEvery w:val="2"/>
  <w:displayVerticalDrawingGridEvery w:val="2"/>
  <w:characterSpacingControl w:val="doNotCompress"/>
  <w:footnotePr>
    <w:footnote w:id="0"/>
    <w:footnote w:id="1"/>
  </w:footnotePr>
  <w:endnotePr>
    <w:numFmt w:val="decimal"/>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hAnsi="Arial" w:eastAsiaTheme="minorHAnsi" w:cs="Arial"/>
        <w:kern w:val="2"/>
        <w:sz w:val="24"/>
        <w:szCs w:val="24"/>
        <w:lang w:val="en-GB" w:eastAsia="en-US"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FF210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F2107"/>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46466E"/>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6F36CA"/>
    <w:rPr>
      <w:sz w:val="20"/>
      <w:szCs w:val="20"/>
    </w:rPr>
  </w:style>
  <w:style w:type="character" w:customStyle="1" w:styleId="FootnoteTextChar">
    <w:name w:val="Footnote Text Char"/>
    <w:basedOn w:val="DefaultParagraphFont"/>
    <w:link w:val="FootnoteText"/>
    <w:uiPriority w:val="99"/>
    <w:semiHidden/>
    <w:rsid w:val="006F36CA"/>
    <w:rPr>
      <w:sz w:val="20"/>
      <w:szCs w:val="20"/>
    </w:rPr>
  </w:style>
  <w:style w:type="character" w:styleId="FootnoteReference">
    <w:name w:val="footnote reference"/>
    <w:basedOn w:val="DefaultParagraphFont"/>
    <w:uiPriority w:val="99"/>
    <w:semiHidden/>
    <w:unhideWhenUsed/>
    <w:rsid w:val="006F36CA"/>
    <w:rPr>
      <w:vertAlign w:val="superscript"/>
    </w:rPr>
  </w:style>
  <w:style w:type="character" w:styleId="Hyperlink">
    <w:name w:val="Hyperlink"/>
    <w:basedOn w:val="DefaultParagraphFont"/>
    <w:uiPriority w:val="99"/>
    <w:unhideWhenUsed/>
    <w:rsid w:val="006F36CA"/>
    <w:rPr>
      <w:color w:val="0563C1" w:themeColor="hyperlink"/>
      <w:u w:val="single"/>
    </w:rPr>
  </w:style>
  <w:style w:type="character" w:customStyle="1" w:styleId="UnresolvedMention">
    <w:name w:val="Unresolved Mention"/>
    <w:basedOn w:val="DefaultParagraphFont"/>
    <w:uiPriority w:val="99"/>
    <w:semiHidden/>
    <w:unhideWhenUsed/>
    <w:rsid w:val="006F36CA"/>
    <w:rPr>
      <w:color w:val="605E5C"/>
      <w:shd w:val="clear" w:color="auto" w:fill="E1DFDD"/>
    </w:rPr>
  </w:style>
  <w:style w:type="character" w:customStyle="1" w:styleId="Heading1Char">
    <w:name w:val="Heading 1 Char"/>
    <w:basedOn w:val="DefaultParagraphFont"/>
    <w:link w:val="Heading1"/>
    <w:uiPriority w:val="9"/>
    <w:rsid w:val="00FF2107"/>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FF2107"/>
    <w:pPr>
      <w:tabs>
        <w:tab w:val="center" w:pos="4513"/>
        <w:tab w:val="right" w:pos="9026"/>
      </w:tabs>
    </w:pPr>
  </w:style>
  <w:style w:type="character" w:customStyle="1" w:styleId="HeaderChar">
    <w:name w:val="Header Char"/>
    <w:basedOn w:val="DefaultParagraphFont"/>
    <w:link w:val="Header"/>
    <w:uiPriority w:val="99"/>
    <w:rsid w:val="00FF2107"/>
  </w:style>
  <w:style w:type="paragraph" w:styleId="Footer">
    <w:name w:val="footer"/>
    <w:basedOn w:val="Normal"/>
    <w:link w:val="FooterChar"/>
    <w:uiPriority w:val="99"/>
    <w:unhideWhenUsed/>
    <w:rsid w:val="00FF2107"/>
    <w:pPr>
      <w:tabs>
        <w:tab w:val="center" w:pos="4513"/>
        <w:tab w:val="right" w:pos="9026"/>
      </w:tabs>
    </w:pPr>
  </w:style>
  <w:style w:type="character" w:customStyle="1" w:styleId="FooterChar">
    <w:name w:val="Footer Char"/>
    <w:basedOn w:val="DefaultParagraphFont"/>
    <w:link w:val="Footer"/>
    <w:uiPriority w:val="99"/>
    <w:rsid w:val="00FF2107"/>
  </w:style>
  <w:style w:type="paragraph" w:styleId="TOCHeading">
    <w:name w:val="TOC Heading"/>
    <w:basedOn w:val="Heading1"/>
    <w:next w:val="Normal"/>
    <w:uiPriority w:val="39"/>
    <w:unhideWhenUsed/>
    <w:qFormat/>
    <w:rsid w:val="00FF2107"/>
    <w:pPr>
      <w:spacing w:line="259" w:lineRule="auto"/>
      <w:outlineLvl w:val="9"/>
    </w:pPr>
    <w:rPr>
      <w:kern w:val="0"/>
      <w:lang w:val="en-US"/>
    </w:rPr>
  </w:style>
  <w:style w:type="paragraph" w:styleId="TOC1">
    <w:name w:val="toc 1"/>
    <w:basedOn w:val="Normal"/>
    <w:next w:val="Normal"/>
    <w:autoRedefine/>
    <w:uiPriority w:val="39"/>
    <w:unhideWhenUsed/>
    <w:rsid w:val="00FF2107"/>
    <w:pPr>
      <w:spacing w:after="100"/>
    </w:pPr>
  </w:style>
  <w:style w:type="character" w:customStyle="1" w:styleId="Heading2Char">
    <w:name w:val="Heading 2 Char"/>
    <w:basedOn w:val="DefaultParagraphFont"/>
    <w:link w:val="Heading2"/>
    <w:uiPriority w:val="9"/>
    <w:rsid w:val="00FF2107"/>
    <w:rPr>
      <w:rFonts w:asciiTheme="majorHAnsi" w:eastAsiaTheme="majorEastAsia" w:hAnsiTheme="majorHAnsi" w:cstheme="majorBidi"/>
      <w:color w:val="2F5496" w:themeColor="accent1" w:themeShade="BF"/>
      <w:sz w:val="26"/>
      <w:szCs w:val="26"/>
    </w:rPr>
  </w:style>
  <w:style w:type="paragraph" w:styleId="TOC2">
    <w:name w:val="toc 2"/>
    <w:basedOn w:val="Normal"/>
    <w:next w:val="Normal"/>
    <w:autoRedefine/>
    <w:uiPriority w:val="39"/>
    <w:unhideWhenUsed/>
    <w:rsid w:val="00681168"/>
    <w:pPr>
      <w:spacing w:after="100"/>
      <w:ind w:left="240"/>
    </w:pPr>
  </w:style>
  <w:style w:type="character" w:customStyle="1" w:styleId="Heading3Char">
    <w:name w:val="Heading 3 Char"/>
    <w:basedOn w:val="DefaultParagraphFont"/>
    <w:link w:val="Heading3"/>
    <w:uiPriority w:val="9"/>
    <w:semiHidden/>
    <w:rsid w:val="0046466E"/>
    <w:rPr>
      <w:rFonts w:asciiTheme="majorHAnsi" w:eastAsiaTheme="majorEastAsia" w:hAnsiTheme="majorHAnsi" w:cstheme="majorBidi"/>
      <w:color w:val="1F3763" w:themeColor="accent1" w:themeShade="7F"/>
    </w:rPr>
  </w:style>
  <w:style w:type="paragraph" w:styleId="ListParagraph">
    <w:name w:val="List Paragraph"/>
    <w:basedOn w:val="Normal"/>
    <w:uiPriority w:val="34"/>
    <w:qFormat/>
    <w:rsid w:val="00DB2766"/>
    <w:pPr>
      <w:ind w:left="720"/>
      <w:contextualSpacing/>
    </w:pPr>
  </w:style>
  <w:style w:type="character" w:customStyle="1" w:styleId="markedcontent">
    <w:name w:val="markedcontent"/>
    <w:basedOn w:val="DefaultParagraphFont"/>
    <w:rsid w:val="00C21DA2"/>
  </w:style>
  <w:style w:type="paragraph" w:styleId="EndnoteText">
    <w:name w:val="endnote text"/>
    <w:basedOn w:val="Normal"/>
    <w:link w:val="EndnoteTextChar"/>
    <w:uiPriority w:val="99"/>
    <w:semiHidden/>
    <w:unhideWhenUsed/>
    <w:rsid w:val="00821C9E"/>
    <w:pPr>
      <w:spacing w:line="240" w:lineRule="auto"/>
    </w:pPr>
    <w:rPr>
      <w:sz w:val="20"/>
      <w:szCs w:val="20"/>
    </w:rPr>
  </w:style>
  <w:style w:type="character" w:customStyle="1" w:styleId="EndnoteTextChar">
    <w:name w:val="Endnote Text Char"/>
    <w:basedOn w:val="DefaultParagraphFont"/>
    <w:link w:val="EndnoteText"/>
    <w:uiPriority w:val="99"/>
    <w:semiHidden/>
    <w:rsid w:val="00821C9E"/>
    <w:rPr>
      <w:sz w:val="20"/>
      <w:szCs w:val="20"/>
    </w:rPr>
  </w:style>
  <w:style w:type="character" w:styleId="EndnoteReference">
    <w:name w:val="endnote reference"/>
    <w:basedOn w:val="DefaultParagraphFont"/>
    <w:uiPriority w:val="99"/>
    <w:semiHidden/>
    <w:unhideWhenUsed/>
    <w:rsid w:val="00821C9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footer" Target="footer1.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2184DA-475F-4E85-BBAF-F280F598A0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