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87F5A" w:rsidRPr="00795B23" w:rsidP="00760200">
      <w:pPr>
        <w:spacing w:before="100" w:beforeAutospacing="1" w:after="100" w:afterAutospacing="1" w:line="270" w:lineRule="atLeast"/>
        <w:rPr>
          <w:rFonts w:eastAsia="Times New Roman"/>
          <w:bCs/>
          <w:sz w:val="24"/>
          <w:u w:val="single"/>
        </w:rPr>
      </w:pPr>
      <w:r w:rsidRPr="00795B23">
        <w:rPr>
          <w:rFonts w:eastAsia="Times New Roman"/>
          <w:bCs/>
          <w:sz w:val="24"/>
        </w:rPr>
        <w:br/>
      </w:r>
      <w:r w:rsidRPr="00795B23">
        <w:rPr>
          <w:rFonts w:eastAsia="Times New Roman"/>
          <w:bCs/>
          <w:sz w:val="24"/>
          <w:u w:val="single"/>
        </w:rPr>
        <w:t>International Development Committee inquiry into ‘FCDO’s approach to sexual and reproductive health’</w:t>
      </w:r>
    </w:p>
    <w:p w:rsidR="00A87F5A" w:rsidRPr="00795B23" w:rsidP="00760200">
      <w:pPr>
        <w:spacing w:before="100" w:beforeAutospacing="1" w:after="100" w:afterAutospacing="1" w:line="270" w:lineRule="atLeast"/>
        <w:rPr>
          <w:rFonts w:eastAsia="Times New Roman"/>
          <w:bCs/>
          <w:sz w:val="24"/>
        </w:rPr>
      </w:pPr>
      <w:r w:rsidRPr="00795B23">
        <w:rPr>
          <w:rFonts w:eastAsia="Times New Roman"/>
          <w:bCs/>
          <w:sz w:val="24"/>
        </w:rPr>
        <w:t>Submission from the Royal College of Obstetricians and Gynaecologists</w:t>
      </w:r>
    </w:p>
    <w:p w:rsidR="00A87F5A" w:rsidRPr="006C0431" w:rsidP="00760200">
      <w:pPr>
        <w:spacing w:before="100" w:beforeAutospacing="1" w:after="100" w:afterAutospacing="1" w:line="270" w:lineRule="atLeast"/>
        <w:rPr>
          <w:rFonts w:eastAsia="Times New Roman"/>
          <w:bCs/>
          <w:i/>
        </w:rPr>
      </w:pPr>
      <w:r w:rsidRPr="006C0431">
        <w:rPr>
          <w:rFonts w:eastAsia="Times New Roman"/>
          <w:bCs/>
          <w:i/>
        </w:rPr>
        <w:t>April 2023</w:t>
      </w:r>
    </w:p>
    <w:p w:rsidR="00A87F5A" w:rsidRPr="00795B23" w:rsidP="00760200">
      <w:pPr>
        <w:spacing w:before="100" w:beforeAutospacing="1" w:after="100" w:afterAutospacing="1" w:line="270" w:lineRule="atLeast"/>
        <w:rPr>
          <w:rFonts w:eastAsia="Times New Roman"/>
          <w:b/>
          <w:bCs/>
        </w:rPr>
      </w:pPr>
      <w:r w:rsidRPr="00795B23">
        <w:rPr>
          <w:rFonts w:eastAsia="Times New Roman"/>
          <w:b/>
          <w:bCs/>
        </w:rPr>
        <w:t>Background</w:t>
      </w:r>
      <w:bookmarkStart w:id="0" w:name="_GoBack"/>
      <w:bookmarkEnd w:id="0"/>
    </w:p>
    <w:p w:rsidR="00760200" w:rsidRPr="00760200" w:rsidP="00760200">
      <w:pPr>
        <w:spacing w:before="100" w:beforeAutospacing="1" w:after="100" w:afterAutospacing="1" w:line="270" w:lineRule="atLeast"/>
        <w:rPr>
          <w:rFonts w:eastAsia="Times New Roman"/>
          <w:bCs/>
        </w:rPr>
      </w:pPr>
      <w:r w:rsidRPr="00760200">
        <w:rPr>
          <w:rFonts w:eastAsia="Times New Roman"/>
          <w:bCs/>
        </w:rPr>
        <w:t>The Royal College of Obstetricians and Gynaecologists (RCOG) works to improve women’s healthcare across the world.</w:t>
      </w:r>
      <w:r>
        <w:rPr>
          <w:rFonts w:eastAsia="Times New Roman"/>
          <w:bCs/>
        </w:rPr>
        <w:t xml:space="preserve"> </w:t>
      </w:r>
      <w:r w:rsidRPr="00760200">
        <w:rPr>
          <w:rFonts w:eastAsia="Times New Roman"/>
          <w:bCs/>
        </w:rPr>
        <w:t>The Centre for Women’s Global Health delivers the RCOG’s mission to improve girls’ and women’s sexual, reproductive and maternal health in low and middle-income countries. We work with local partners to promote access to available, acceptable, high quality sexual and reproductive health (SRH), gynaecological and maternal health services to ensure women and girls can realise their right to health. This is critical to achieving the UN’s Sustainable Development Goals 3 (SDG3) on maternal mortality and 5 (SDG5) on gender equality and empowering all girls and women by 2030.</w:t>
      </w:r>
    </w:p>
    <w:p w:rsidR="00760200" w:rsidRPr="00760200" w:rsidP="00760200">
      <w:pPr>
        <w:spacing w:before="100" w:beforeAutospacing="1" w:after="100" w:afterAutospacing="1" w:line="270" w:lineRule="atLeast"/>
        <w:rPr>
          <w:rFonts w:eastAsia="Times New Roman"/>
          <w:bCs/>
        </w:rPr>
      </w:pPr>
      <w:r w:rsidRPr="00760200">
        <w:rPr>
          <w:rFonts w:eastAsia="Times New Roman"/>
          <w:bCs/>
        </w:rPr>
        <w:t>In recent years, the Centre has successfully implemented global health projects to</w:t>
      </w:r>
      <w:r w:rsidR="001B32C2">
        <w:rPr>
          <w:rFonts w:eastAsia="Times New Roman"/>
          <w:bCs/>
        </w:rPr>
        <w:t>:</w:t>
      </w:r>
      <w:r w:rsidRPr="00760200">
        <w:rPr>
          <w:rFonts w:eastAsia="Times New Roman"/>
          <w:bCs/>
        </w:rPr>
        <w:t xml:space="preserve"> address maternal mortality by strengthening the skills of healthcare workers in emergency obstetric skills in Myanmar, Somaliland and Uganda;  raise awareness o</w:t>
      </w:r>
      <w:r w:rsidR="001B32C2">
        <w:rPr>
          <w:rFonts w:eastAsia="Times New Roman"/>
          <w:bCs/>
        </w:rPr>
        <w:t>f</w:t>
      </w:r>
      <w:r w:rsidRPr="00760200">
        <w:rPr>
          <w:rFonts w:eastAsia="Times New Roman"/>
          <w:bCs/>
        </w:rPr>
        <w:t xml:space="preserve"> the burden of gynaecological disease and build the skills of non-specialised doctors and nurses to deliver quality, respectful gynaecological care in Bangladesh; and expand</w:t>
      </w:r>
      <w:r w:rsidR="001B32C2">
        <w:rPr>
          <w:rFonts w:eastAsia="Times New Roman"/>
          <w:bCs/>
        </w:rPr>
        <w:t xml:space="preserve"> </w:t>
      </w:r>
      <w:r w:rsidRPr="00760200">
        <w:rPr>
          <w:rFonts w:eastAsia="Times New Roman"/>
          <w:bCs/>
        </w:rPr>
        <w:t>contraceptive choice and advocat</w:t>
      </w:r>
      <w:r w:rsidR="001B32C2">
        <w:rPr>
          <w:rFonts w:eastAsia="Times New Roman"/>
          <w:bCs/>
        </w:rPr>
        <w:t>e</w:t>
      </w:r>
      <w:r w:rsidRPr="00760200">
        <w:rPr>
          <w:rFonts w:eastAsia="Times New Roman"/>
          <w:bCs/>
        </w:rPr>
        <w:t xml:space="preserve"> for improved access to safe abortion and post abortion care in Nigeria, Sudan, Zimbabwe, Rwanda, Sierra Leone, Tanzania and South Africa. </w:t>
      </w:r>
    </w:p>
    <w:p w:rsidR="00760200" w:rsidRPr="00760200" w:rsidP="00760200">
      <w:pPr>
        <w:spacing w:before="100" w:beforeAutospacing="1" w:after="100" w:afterAutospacing="1" w:line="270" w:lineRule="atLeast"/>
        <w:rPr>
          <w:rFonts w:eastAsia="Times New Roman"/>
          <w:bCs/>
        </w:rPr>
      </w:pPr>
      <w:r w:rsidRPr="00760200">
        <w:rPr>
          <w:rFonts w:eastAsia="Times New Roman"/>
          <w:bCs/>
        </w:rPr>
        <w:t>Our operational model places members, and the women they serve</w:t>
      </w:r>
      <w:r w:rsidR="001B32C2">
        <w:rPr>
          <w:rFonts w:eastAsia="Times New Roman"/>
          <w:bCs/>
        </w:rPr>
        <w:t>,</w:t>
      </w:r>
      <w:r w:rsidRPr="00760200">
        <w:rPr>
          <w:rFonts w:eastAsia="Times New Roman"/>
          <w:bCs/>
        </w:rPr>
        <w:t xml:space="preserve"> front and centre of all we do.  We provide clinical expertise that helps to improve health service delivery, often through the training of non-specialist health providers. Additionally, we use our clinical expertise to advocate for the importance of prioritisation of sexual and reproductive health right</w:t>
      </w:r>
      <w:r w:rsidR="001B32C2">
        <w:rPr>
          <w:rFonts w:eastAsia="Times New Roman"/>
          <w:bCs/>
        </w:rPr>
        <w:t>s</w:t>
      </w:r>
      <w:r w:rsidRPr="00760200">
        <w:rPr>
          <w:rFonts w:eastAsia="Times New Roman"/>
          <w:bCs/>
        </w:rPr>
        <w:t>.</w:t>
      </w:r>
    </w:p>
    <w:p w:rsidR="004D2ED3" w:rsidP="004D2ED3">
      <w:pPr>
        <w:pStyle w:val="ListParagraph"/>
        <w:numPr>
          <w:ilvl w:val="0"/>
          <w:numId w:val="2"/>
        </w:numPr>
        <w:spacing w:before="100" w:beforeAutospacing="1" w:after="100" w:afterAutospacing="1" w:line="270" w:lineRule="atLeast"/>
        <w:rPr>
          <w:rFonts w:eastAsia="Times New Roman"/>
          <w:b/>
          <w:bCs/>
        </w:rPr>
      </w:pPr>
      <w:r w:rsidRPr="004D2ED3">
        <w:rPr>
          <w:rFonts w:eastAsia="Times New Roman"/>
          <w:b/>
          <w:bCs/>
        </w:rPr>
        <w:t>Is the FCDO's approach to sexual and reproductive health programming in lower-income countries sufficiently responsive to the needs of communities in lower-income countries, including in its new Sexual and Reproductive Health and Rights programme?</w:t>
      </w:r>
    </w:p>
    <w:p w:rsidR="005B1E5E" w:rsidP="00C87A6E">
      <w:pPr>
        <w:spacing w:before="100" w:beforeAutospacing="1" w:after="100" w:afterAutospacing="1" w:line="270" w:lineRule="atLeast"/>
        <w:jc w:val="both"/>
        <w:rPr>
          <w:color w:val="000000"/>
        </w:rPr>
      </w:pPr>
      <w:r>
        <w:rPr>
          <w:color w:val="000000"/>
        </w:rPr>
        <w:t xml:space="preserve">The FCDO occupies a unique position within the SRHR donor landscape, as both one of the largest donors in support </w:t>
      </w:r>
      <w:r w:rsidR="001B32C2">
        <w:rPr>
          <w:color w:val="000000"/>
        </w:rPr>
        <w:t xml:space="preserve">of </w:t>
      </w:r>
      <w:r>
        <w:rPr>
          <w:color w:val="000000"/>
        </w:rPr>
        <w:t xml:space="preserve">SRHR services and supplies and as one of the most comprehensive in its approach to SRHR programming. As a former architect of the FP2020 Initiative, the FCDO has </w:t>
      </w:r>
      <w:r w:rsidR="00B92310">
        <w:rPr>
          <w:color w:val="000000"/>
        </w:rPr>
        <w:t>historically</w:t>
      </w:r>
      <w:r>
        <w:rPr>
          <w:color w:val="000000"/>
        </w:rPr>
        <w:t xml:space="preserve"> been a global leader in support for</w:t>
      </w:r>
      <w:r w:rsidRPr="00EB73A8" w:rsidR="00C87A6E">
        <w:rPr>
          <w:color w:val="000000"/>
        </w:rPr>
        <w:t xml:space="preserve"> the provision and delivery of contraception counselling, services and supplies</w:t>
      </w:r>
      <w:r>
        <w:rPr>
          <w:color w:val="000000"/>
        </w:rPr>
        <w:t>.</w:t>
      </w:r>
      <w:r w:rsidRPr="00EB73A8" w:rsidR="00C87A6E">
        <w:rPr>
          <w:color w:val="000000"/>
        </w:rPr>
        <w:t xml:space="preserve"> </w:t>
      </w:r>
      <w:r w:rsidRPr="00B92310">
        <w:rPr>
          <w:color w:val="000000" w:themeColor="text1"/>
        </w:rPr>
        <w:t xml:space="preserve">It has also </w:t>
      </w:r>
      <w:r w:rsidRPr="00B92310" w:rsidR="00B92310">
        <w:rPr>
          <w:color w:val="000000" w:themeColor="text1"/>
        </w:rPr>
        <w:t>supported</w:t>
      </w:r>
      <w:r w:rsidRPr="00B92310" w:rsidR="00B35A90">
        <w:rPr>
          <w:color w:val="000000" w:themeColor="text1"/>
        </w:rPr>
        <w:t xml:space="preserve"> broader SRHR interventions such as</w:t>
      </w:r>
      <w:r w:rsidRPr="00B92310" w:rsidR="008C37F9">
        <w:rPr>
          <w:color w:val="000000" w:themeColor="text1"/>
        </w:rPr>
        <w:t xml:space="preserve"> comprehensive sexuality education</w:t>
      </w:r>
      <w:r w:rsidRPr="00B92310" w:rsidR="00B92310">
        <w:rPr>
          <w:color w:val="000000" w:themeColor="text1"/>
        </w:rPr>
        <w:t>, maternal and neo-natal health</w:t>
      </w:r>
      <w:r w:rsidRPr="00B92310" w:rsidR="008C37F9">
        <w:rPr>
          <w:color w:val="000000" w:themeColor="text1"/>
        </w:rPr>
        <w:t xml:space="preserve"> and gender-based violence. </w:t>
      </w:r>
    </w:p>
    <w:p w:rsidR="00D775EB" w:rsidP="00C87A6E">
      <w:pPr>
        <w:spacing w:before="100" w:beforeAutospacing="1" w:after="100" w:afterAutospacing="1" w:line="270" w:lineRule="atLeast"/>
        <w:jc w:val="both"/>
        <w:rPr>
          <w:color w:val="000000"/>
        </w:rPr>
      </w:pPr>
      <w:r>
        <w:rPr>
          <w:color w:val="000000"/>
        </w:rPr>
        <w:t>However</w:t>
      </w:r>
      <w:r w:rsidR="00250B30">
        <w:rPr>
          <w:color w:val="000000"/>
        </w:rPr>
        <w:t>, t</w:t>
      </w:r>
      <w:r w:rsidR="004A4F21">
        <w:rPr>
          <w:color w:val="000000"/>
        </w:rPr>
        <w:t>he</w:t>
      </w:r>
      <w:r w:rsidR="00C87A6E">
        <w:rPr>
          <w:color w:val="000000"/>
        </w:rPr>
        <w:t xml:space="preserve"> FCDO’s </w:t>
      </w:r>
      <w:r w:rsidR="006D283F">
        <w:rPr>
          <w:color w:val="000000"/>
        </w:rPr>
        <w:t xml:space="preserve">programming </w:t>
      </w:r>
      <w:r w:rsidR="00C87A6E">
        <w:rPr>
          <w:color w:val="000000"/>
        </w:rPr>
        <w:t xml:space="preserve">does not </w:t>
      </w:r>
      <w:r w:rsidR="00B35A90">
        <w:rPr>
          <w:color w:val="000000"/>
        </w:rPr>
        <w:t xml:space="preserve">currently </w:t>
      </w:r>
      <w:r w:rsidR="00C87A6E">
        <w:rPr>
          <w:color w:val="000000"/>
        </w:rPr>
        <w:t xml:space="preserve">address </w:t>
      </w:r>
      <w:r w:rsidR="009B6C57">
        <w:rPr>
          <w:color w:val="000000"/>
        </w:rPr>
        <w:t xml:space="preserve">the global burden of </w:t>
      </w:r>
      <w:r w:rsidR="00C87A6E">
        <w:rPr>
          <w:color w:val="000000"/>
        </w:rPr>
        <w:t xml:space="preserve">gynaecological </w:t>
      </w:r>
      <w:r w:rsidR="009B6C57">
        <w:rPr>
          <w:color w:val="000000"/>
        </w:rPr>
        <w:t>disease</w:t>
      </w:r>
      <w:r w:rsidR="001A4C09">
        <w:rPr>
          <w:color w:val="000000"/>
        </w:rPr>
        <w:t>,</w:t>
      </w:r>
      <w:r w:rsidR="009B6C57">
        <w:rPr>
          <w:color w:val="000000"/>
        </w:rPr>
        <w:t xml:space="preserve"> </w:t>
      </w:r>
      <w:r w:rsidR="00152803">
        <w:rPr>
          <w:color w:val="000000"/>
        </w:rPr>
        <w:t>as a priority</w:t>
      </w:r>
      <w:r w:rsidR="00C87A6E">
        <w:rPr>
          <w:color w:val="000000"/>
        </w:rPr>
        <w:t xml:space="preserve"> in </w:t>
      </w:r>
      <w:r w:rsidR="009B6C57">
        <w:rPr>
          <w:color w:val="000000"/>
        </w:rPr>
        <w:t xml:space="preserve">its </w:t>
      </w:r>
      <w:r w:rsidR="00C87A6E">
        <w:rPr>
          <w:color w:val="000000"/>
        </w:rPr>
        <w:t>own right</w:t>
      </w:r>
      <w:r w:rsidR="009B6C57">
        <w:rPr>
          <w:color w:val="000000"/>
        </w:rPr>
        <w:t xml:space="preserve"> </w:t>
      </w:r>
      <w:r w:rsidR="00795B23">
        <w:rPr>
          <w:color w:val="000000"/>
        </w:rPr>
        <w:t>n</w:t>
      </w:r>
      <w:r w:rsidR="009B6C57">
        <w:rPr>
          <w:color w:val="000000"/>
        </w:rPr>
        <w:t xml:space="preserve">or </w:t>
      </w:r>
      <w:r w:rsidR="00795B23">
        <w:rPr>
          <w:color w:val="000000"/>
        </w:rPr>
        <w:t xml:space="preserve">as </w:t>
      </w:r>
      <w:r w:rsidR="000A416E">
        <w:rPr>
          <w:color w:val="000000"/>
        </w:rPr>
        <w:t>a key element</w:t>
      </w:r>
      <w:r w:rsidR="00795B23">
        <w:rPr>
          <w:color w:val="000000"/>
        </w:rPr>
        <w:t xml:space="preserve"> of its integrated SRHR response</w:t>
      </w:r>
      <w:r w:rsidR="004A4F21">
        <w:rPr>
          <w:color w:val="000000"/>
        </w:rPr>
        <w:t>. This</w:t>
      </w:r>
      <w:r w:rsidR="00C87A6E">
        <w:rPr>
          <w:color w:val="000000"/>
        </w:rPr>
        <w:t xml:space="preserve"> is a glaring omission</w:t>
      </w:r>
      <w:r w:rsidR="004A4F21">
        <w:rPr>
          <w:color w:val="000000"/>
        </w:rPr>
        <w:t>: g</w:t>
      </w:r>
      <w:r w:rsidRPr="00C038D3" w:rsidR="00C87A6E">
        <w:rPr>
          <w:color w:val="000000"/>
        </w:rPr>
        <w:t>lobally, gynaecological health is one of the least prioritised areas of health</w:t>
      </w:r>
      <w:r w:rsidR="00C87A6E">
        <w:rPr>
          <w:color w:val="000000"/>
        </w:rPr>
        <w:t>, despite the enormous burden of morbidity and mortality</w:t>
      </w:r>
      <w:r w:rsidRPr="00C038D3" w:rsidR="00C87A6E">
        <w:rPr>
          <w:color w:val="000000"/>
        </w:rPr>
        <w:t>. Cervical cancer is the fourth most common cancer among women globally, with around 90% of new cases and deaths worldwide in 2020 occurring in LMICs</w:t>
      </w:r>
      <w:r>
        <w:rPr>
          <w:rStyle w:val="FootnoteReference"/>
          <w:color w:val="000000"/>
        </w:rPr>
        <w:footnoteReference w:id="2"/>
      </w:r>
      <w:r w:rsidRPr="00C038D3" w:rsidR="00C87A6E">
        <w:rPr>
          <w:color w:val="000000"/>
        </w:rPr>
        <w:t xml:space="preserve">. Other </w:t>
      </w:r>
      <w:r w:rsidR="00C87A6E">
        <w:rPr>
          <w:color w:val="000000"/>
        </w:rPr>
        <w:t>so-called ‘benign’ gynaecological conditions</w:t>
      </w:r>
      <w:r w:rsidRPr="008C37F9" w:rsidR="008C37F9">
        <w:rPr>
          <w:color w:val="000000"/>
        </w:rPr>
        <w:t xml:space="preserve"> </w:t>
      </w:r>
      <w:r w:rsidR="008C37F9">
        <w:rPr>
          <w:color w:val="000000"/>
        </w:rPr>
        <w:t xml:space="preserve">are particularly overlooked, despite the </w:t>
      </w:r>
      <w:r w:rsidR="008C37F9">
        <w:rPr>
          <w:color w:val="000000"/>
        </w:rPr>
        <w:t>life-changing and often life-limiting toll they take on those affected. These conditions include</w:t>
      </w:r>
      <w:r w:rsidRPr="00C038D3" w:rsidR="00C87A6E">
        <w:rPr>
          <w:color w:val="000000"/>
        </w:rPr>
        <w:t xml:space="preserve"> endometriosis</w:t>
      </w:r>
      <w:r w:rsidR="008C37F9">
        <w:rPr>
          <w:color w:val="000000"/>
        </w:rPr>
        <w:t xml:space="preserve">, </w:t>
      </w:r>
      <w:r w:rsidR="00C87A6E">
        <w:rPr>
          <w:color w:val="000000"/>
        </w:rPr>
        <w:t>fibroids</w:t>
      </w:r>
      <w:r w:rsidRPr="00C038D3" w:rsidR="00C87A6E">
        <w:rPr>
          <w:color w:val="000000"/>
        </w:rPr>
        <w:t>,</w:t>
      </w:r>
      <w:r w:rsidR="002E2997">
        <w:rPr>
          <w:color w:val="000000"/>
        </w:rPr>
        <w:t xml:space="preserve"> menstrual conditions</w:t>
      </w:r>
      <w:r w:rsidR="008C37F9">
        <w:rPr>
          <w:color w:val="000000"/>
        </w:rPr>
        <w:t xml:space="preserve">, </w:t>
      </w:r>
      <w:r w:rsidRPr="008C37F9" w:rsidR="008C37F9">
        <w:rPr>
          <w:color w:val="000000"/>
        </w:rPr>
        <w:t>infertility and subfertility, urogynaecological</w:t>
      </w:r>
      <w:r w:rsidR="002E2997">
        <w:rPr>
          <w:color w:val="000000"/>
        </w:rPr>
        <w:t xml:space="preserve"> problems</w:t>
      </w:r>
      <w:r w:rsidR="008C37F9">
        <w:rPr>
          <w:color w:val="000000"/>
        </w:rPr>
        <w:t xml:space="preserve"> and obstetric fistula</w:t>
      </w:r>
      <w:r w:rsidR="002E2997">
        <w:rPr>
          <w:color w:val="000000"/>
        </w:rPr>
        <w:t>, among others</w:t>
      </w:r>
      <w:r w:rsidR="008C37F9">
        <w:rPr>
          <w:color w:val="000000"/>
        </w:rPr>
        <w:t xml:space="preserve">. </w:t>
      </w:r>
      <w:r w:rsidR="00C87A6E">
        <w:rPr>
          <w:color w:val="000000"/>
        </w:rPr>
        <w:t xml:space="preserve"> </w:t>
      </w:r>
      <w:r w:rsidR="008C37F9">
        <w:rPr>
          <w:color w:val="000000"/>
        </w:rPr>
        <w:t>Forthcoming RCOG research</w:t>
      </w:r>
      <w:r>
        <w:rPr>
          <w:rStyle w:val="FootnoteReference"/>
          <w:color w:val="000000"/>
        </w:rPr>
        <w:footnoteReference w:id="3"/>
      </w:r>
      <w:r w:rsidR="008C37F9">
        <w:rPr>
          <w:color w:val="000000"/>
        </w:rPr>
        <w:t xml:space="preserve"> details how, overall,</w:t>
      </w:r>
      <w:r w:rsidRPr="00C038D3" w:rsidR="00C87A6E">
        <w:rPr>
          <w:color w:val="000000"/>
        </w:rPr>
        <w:t xml:space="preserve"> morbidity </w:t>
      </w:r>
      <w:r w:rsidR="009572C7">
        <w:rPr>
          <w:color w:val="000000"/>
        </w:rPr>
        <w:t xml:space="preserve">for women and girls </w:t>
      </w:r>
      <w:r w:rsidRPr="00C038D3" w:rsidR="00C87A6E">
        <w:rPr>
          <w:color w:val="000000"/>
        </w:rPr>
        <w:t xml:space="preserve">due to </w:t>
      </w:r>
      <w:r w:rsidR="00C87A6E">
        <w:rPr>
          <w:color w:val="000000"/>
        </w:rPr>
        <w:t>so-called ‘</w:t>
      </w:r>
      <w:r w:rsidRPr="00C038D3" w:rsidR="00C87A6E">
        <w:rPr>
          <w:color w:val="000000"/>
        </w:rPr>
        <w:t>benign</w:t>
      </w:r>
      <w:r w:rsidR="00C87A6E">
        <w:rPr>
          <w:color w:val="000000"/>
        </w:rPr>
        <w:t>’</w:t>
      </w:r>
      <w:r w:rsidRPr="00C038D3" w:rsidR="00C87A6E">
        <w:rPr>
          <w:color w:val="000000"/>
        </w:rPr>
        <w:t xml:space="preserve"> gynaecological conditions outweighs the combined morbidity from malaria, TB and HIV/AIDS</w:t>
      </w:r>
      <w:r w:rsidRPr="008C37F9" w:rsidR="008C37F9">
        <w:rPr>
          <w:color w:val="000000"/>
        </w:rPr>
        <w:t xml:space="preserve"> </w:t>
      </w:r>
      <w:r w:rsidR="00C47FED">
        <w:rPr>
          <w:color w:val="000000"/>
        </w:rPr>
        <w:t xml:space="preserve">in </w:t>
      </w:r>
      <w:r w:rsidRPr="00C038D3" w:rsidR="008C37F9">
        <w:rPr>
          <w:color w:val="000000"/>
        </w:rPr>
        <w:t>low and middle-income countries</w:t>
      </w:r>
      <w:r w:rsidR="001A4C09">
        <w:rPr>
          <w:color w:val="000000"/>
        </w:rPr>
        <w:t>. This demonstrates</w:t>
      </w:r>
      <w:r w:rsidR="00D94B0D">
        <w:rPr>
          <w:color w:val="000000"/>
        </w:rPr>
        <w:t xml:space="preserve"> the scale of the </w:t>
      </w:r>
      <w:r w:rsidR="00044BD2">
        <w:rPr>
          <w:color w:val="000000"/>
        </w:rPr>
        <w:t xml:space="preserve">burden of gynaecological disease </w:t>
      </w:r>
      <w:r w:rsidR="004A6E99">
        <w:rPr>
          <w:color w:val="000000"/>
        </w:rPr>
        <w:t>and the</w:t>
      </w:r>
      <w:r w:rsidR="003B73E4">
        <w:rPr>
          <w:color w:val="000000"/>
        </w:rPr>
        <w:t xml:space="preserve"> urgent</w:t>
      </w:r>
      <w:r w:rsidR="004A6E99">
        <w:rPr>
          <w:color w:val="000000"/>
        </w:rPr>
        <w:t xml:space="preserve"> need to </w:t>
      </w:r>
      <w:r w:rsidR="001A4C09">
        <w:rPr>
          <w:color w:val="000000"/>
        </w:rPr>
        <w:t>afford it the same priority given to</w:t>
      </w:r>
      <w:r w:rsidR="003B73E4">
        <w:rPr>
          <w:color w:val="000000"/>
        </w:rPr>
        <w:t xml:space="preserve"> </w:t>
      </w:r>
      <w:r w:rsidR="004A6E99">
        <w:rPr>
          <w:color w:val="000000"/>
        </w:rPr>
        <w:t>mater</w:t>
      </w:r>
      <w:r w:rsidR="0080699D">
        <w:rPr>
          <w:color w:val="000000"/>
        </w:rPr>
        <w:t>nal mortality and diseases such as malaria, TB and HIV/AIDS.</w:t>
      </w:r>
      <w:r w:rsidR="00C87A6E">
        <w:rPr>
          <w:color w:val="000000"/>
        </w:rPr>
        <w:t xml:space="preserve"> </w:t>
      </w:r>
    </w:p>
    <w:p w:rsidR="00271638" w:rsidP="00C87A6E">
      <w:pPr>
        <w:spacing w:before="100" w:beforeAutospacing="1" w:after="100" w:afterAutospacing="1" w:line="270" w:lineRule="atLeast"/>
        <w:jc w:val="both"/>
        <w:rPr>
          <w:color w:val="000000"/>
        </w:rPr>
      </w:pPr>
      <w:r>
        <w:t xml:space="preserve">To address this enormous unmet need, gynaecological health </w:t>
      </w:r>
      <w:r w:rsidR="00B0785D">
        <w:t xml:space="preserve">should </w:t>
      </w:r>
      <w:r>
        <w:t xml:space="preserve">be </w:t>
      </w:r>
      <w:r w:rsidR="001A4C09">
        <w:t>mainstreamed throughout</w:t>
      </w:r>
      <w:r>
        <w:t xml:space="preserve"> </w:t>
      </w:r>
      <w:r w:rsidR="00D775EB">
        <w:t xml:space="preserve">the FCDO’s </w:t>
      </w:r>
      <w:r>
        <w:t xml:space="preserve">SRHR programming and prioritised in </w:t>
      </w:r>
      <w:r w:rsidR="00D775EB">
        <w:t xml:space="preserve">its </w:t>
      </w:r>
      <w:r>
        <w:t xml:space="preserve">healthcare </w:t>
      </w:r>
      <w:r w:rsidR="00D775EB">
        <w:t xml:space="preserve">programming </w:t>
      </w:r>
      <w:r>
        <w:t>more generally. This require</w:t>
      </w:r>
      <w:r w:rsidR="008C37F9">
        <w:t xml:space="preserve">s </w:t>
      </w:r>
      <w:r w:rsidRPr="002C6B8F">
        <w:t>a change of perspective among polic</w:t>
      </w:r>
      <w:r>
        <w:t xml:space="preserve">y makers to view women </w:t>
      </w:r>
      <w:r w:rsidRPr="002C6B8F">
        <w:t>beyond their roles as mothers</w:t>
      </w:r>
      <w:r>
        <w:t xml:space="preserve"> and address their health throughout the</w:t>
      </w:r>
      <w:r w:rsidR="00C47FED">
        <w:t>ir</w:t>
      </w:r>
      <w:r>
        <w:t xml:space="preserve"> life course</w:t>
      </w:r>
      <w:r w:rsidR="003B6961">
        <w:t xml:space="preserve">. </w:t>
      </w:r>
      <w:r w:rsidR="00592D55">
        <w:t>The</w:t>
      </w:r>
      <w:r>
        <w:rPr>
          <w:color w:val="000000"/>
        </w:rPr>
        <w:t xml:space="preserve"> RCOG has put </w:t>
      </w:r>
      <w:r w:rsidR="00592D55">
        <w:rPr>
          <w:color w:val="000000"/>
        </w:rPr>
        <w:t xml:space="preserve">this </w:t>
      </w:r>
      <w:r>
        <w:rPr>
          <w:color w:val="000000"/>
        </w:rPr>
        <w:t xml:space="preserve">life-course approach into practice in our Gynaecological Health Matters (GHM) programme. Together with in-country partners and with national government endorsement, we are delivering essential gynaecological skills training to nurses and non-specialist doctors in Bangladesh. </w:t>
      </w:r>
      <w:r w:rsidR="00385A9C">
        <w:rPr>
          <w:color w:val="000000"/>
        </w:rPr>
        <w:t xml:space="preserve">With this focus on </w:t>
      </w:r>
      <w:r w:rsidR="000F076F">
        <w:rPr>
          <w:color w:val="000000"/>
        </w:rPr>
        <w:t>task shifting</w:t>
      </w:r>
      <w:r w:rsidR="00385A9C">
        <w:rPr>
          <w:color w:val="000000"/>
        </w:rPr>
        <w:t xml:space="preserve">, </w:t>
      </w:r>
      <w:r w:rsidR="000F7314">
        <w:rPr>
          <w:color w:val="000000"/>
        </w:rPr>
        <w:t xml:space="preserve">the </w:t>
      </w:r>
      <w:r w:rsidR="00385A9C">
        <w:rPr>
          <w:color w:val="000000"/>
        </w:rPr>
        <w:t xml:space="preserve">GHM </w:t>
      </w:r>
      <w:r w:rsidR="000F7314">
        <w:rPr>
          <w:color w:val="000000"/>
        </w:rPr>
        <w:t xml:space="preserve">programme </w:t>
      </w:r>
      <w:r w:rsidR="00385A9C">
        <w:rPr>
          <w:color w:val="000000"/>
        </w:rPr>
        <w:t xml:space="preserve">is responding to the unmet need for quality gynaecological health care at the primary </w:t>
      </w:r>
      <w:r w:rsidR="00D775EB">
        <w:rPr>
          <w:color w:val="000000"/>
        </w:rPr>
        <w:t>level in Bangladesh.</w:t>
      </w:r>
      <w:r w:rsidR="00590A09">
        <w:rPr>
          <w:color w:val="000000"/>
        </w:rPr>
        <w:t xml:space="preserve"> </w:t>
      </w:r>
    </w:p>
    <w:p w:rsidR="00C87A6E" w:rsidP="00C87A6E">
      <w:pPr>
        <w:spacing w:before="100" w:beforeAutospacing="1" w:after="100" w:afterAutospacing="1" w:line="270" w:lineRule="atLeast"/>
        <w:jc w:val="both"/>
        <w:rPr>
          <w:color w:val="000000"/>
        </w:rPr>
      </w:pPr>
      <w:r>
        <w:rPr>
          <w:color w:val="000000"/>
        </w:rPr>
        <w:t xml:space="preserve">Replicating this </w:t>
      </w:r>
      <w:r w:rsidR="003C263B">
        <w:rPr>
          <w:color w:val="000000"/>
        </w:rPr>
        <w:t xml:space="preserve">life course </w:t>
      </w:r>
      <w:r w:rsidR="00C20A2C">
        <w:rPr>
          <w:color w:val="000000"/>
        </w:rPr>
        <w:t xml:space="preserve">approach would </w:t>
      </w:r>
      <w:r w:rsidR="005B5156">
        <w:rPr>
          <w:color w:val="000000"/>
        </w:rPr>
        <w:t>help</w:t>
      </w:r>
      <w:r w:rsidR="005B59CD">
        <w:rPr>
          <w:color w:val="000000"/>
        </w:rPr>
        <w:t xml:space="preserve"> to</w:t>
      </w:r>
      <w:r w:rsidR="00B73AAE">
        <w:rPr>
          <w:color w:val="000000"/>
        </w:rPr>
        <w:t xml:space="preserve"> </w:t>
      </w:r>
      <w:r w:rsidR="00C20A2C">
        <w:rPr>
          <w:color w:val="000000"/>
        </w:rPr>
        <w:t>improve</w:t>
      </w:r>
      <w:r w:rsidR="00B73AAE">
        <w:rPr>
          <w:color w:val="000000"/>
        </w:rPr>
        <w:t xml:space="preserve"> girls’ and women’</w:t>
      </w:r>
      <w:r w:rsidR="005B5156">
        <w:rPr>
          <w:color w:val="000000"/>
        </w:rPr>
        <w:t xml:space="preserve">s health and quality of life. As such, it is also </w:t>
      </w:r>
      <w:r w:rsidR="003C263B">
        <w:rPr>
          <w:color w:val="000000"/>
        </w:rPr>
        <w:t xml:space="preserve">key to achieving the FCDO’s objectives </w:t>
      </w:r>
      <w:r w:rsidR="00C20A2C">
        <w:rPr>
          <w:color w:val="000000"/>
        </w:rPr>
        <w:t>of educating, empowering and ending violence against women and girls.</w:t>
      </w:r>
      <w:r w:rsidR="003C263B">
        <w:rPr>
          <w:color w:val="000000"/>
        </w:rPr>
        <w:t xml:space="preserve"> </w:t>
      </w:r>
      <w:r w:rsidR="00271638">
        <w:rPr>
          <w:color w:val="000000"/>
        </w:rPr>
        <w:t>Menstrual disorders are strongly associated with girls’ absenteeism, which over time has a significant impact on access to education and confounds pre-existing gender disparities in opportunities for economic security and autonomy</w:t>
      </w:r>
      <w:r>
        <w:rPr>
          <w:rStyle w:val="FootnoteReference"/>
          <w:color w:val="000000"/>
        </w:rPr>
        <w:footnoteReference w:id="4"/>
      </w:r>
      <w:r w:rsidR="003D6166">
        <w:rPr>
          <w:color w:val="000000"/>
        </w:rPr>
        <w:t>.</w:t>
      </w:r>
      <w:r>
        <w:rPr>
          <w:color w:val="000000"/>
        </w:rPr>
        <w:t xml:space="preserve"> </w:t>
      </w:r>
      <w:r w:rsidR="005B59CD">
        <w:rPr>
          <w:color w:val="000000"/>
        </w:rPr>
        <w:t xml:space="preserve">Women </w:t>
      </w:r>
      <w:r w:rsidR="005B5156">
        <w:rPr>
          <w:color w:val="000000"/>
        </w:rPr>
        <w:t xml:space="preserve">also </w:t>
      </w:r>
      <w:r w:rsidR="005B59CD">
        <w:rPr>
          <w:color w:val="000000"/>
        </w:rPr>
        <w:t xml:space="preserve">disproportionately shoulder the ‘social burden’ </w:t>
      </w:r>
      <w:r w:rsidR="005B5156">
        <w:rPr>
          <w:color w:val="000000"/>
        </w:rPr>
        <w:t xml:space="preserve">and </w:t>
      </w:r>
      <w:r w:rsidR="005B59CD">
        <w:rPr>
          <w:color w:val="000000"/>
        </w:rPr>
        <w:t>exclusion associated with infertility</w:t>
      </w:r>
      <w:r w:rsidR="005B5156">
        <w:rPr>
          <w:color w:val="000000"/>
        </w:rPr>
        <w:t>, with infertile women facing a higher risk of intimate partner violence</w:t>
      </w:r>
      <w:r>
        <w:rPr>
          <w:rStyle w:val="FootnoteReference"/>
          <w:color w:val="000000"/>
        </w:rPr>
        <w:footnoteReference w:id="5"/>
      </w:r>
      <w:r w:rsidR="005B5156">
        <w:rPr>
          <w:color w:val="000000"/>
        </w:rPr>
        <w:t>.</w:t>
      </w:r>
    </w:p>
    <w:p w:rsidR="00B35A90" w:rsidP="00017EB0">
      <w:pPr>
        <w:spacing w:before="100" w:beforeAutospacing="1" w:after="100" w:afterAutospacing="1" w:line="270" w:lineRule="atLeast"/>
        <w:jc w:val="both"/>
      </w:pPr>
      <w:r>
        <w:t>The FCDO</w:t>
      </w:r>
      <w:r w:rsidR="006D283F">
        <w:t>’s programming is notable</w:t>
      </w:r>
      <w:r w:rsidR="005B5156">
        <w:t xml:space="preserve"> as well</w:t>
      </w:r>
      <w:r w:rsidR="00AF2FDD">
        <w:t>, compared to other donors,</w:t>
      </w:r>
      <w:r w:rsidR="006D283F">
        <w:t xml:space="preserve"> in its</w:t>
      </w:r>
      <w:r w:rsidRPr="00B35A90">
        <w:t xml:space="preserve"> support and advocacy for access to safe abortion</w:t>
      </w:r>
      <w:r w:rsidR="006D283F">
        <w:t xml:space="preserve">, </w:t>
      </w:r>
      <w:r w:rsidR="005B1E5E">
        <w:t>an often neglected SRHR intervention</w:t>
      </w:r>
      <w:r w:rsidRPr="00B35A90">
        <w:t xml:space="preserve">. Mainstreaming safe abortion services and post abortion care is essential to reducing maternal morbidity and mortality. Unsafe abortion remains one of the leading causes </w:t>
      </w:r>
      <w:r>
        <w:t>of maternal mortality worldwide</w:t>
      </w:r>
      <w:r>
        <w:rPr>
          <w:rStyle w:val="FootnoteReference"/>
        </w:rPr>
        <w:footnoteReference w:id="6"/>
      </w:r>
      <w:r w:rsidRPr="00B35A90">
        <w:t>. The risk of dying from an unsafe abortion is highest for women in Africa, where nearly half of all abortions happen in pote</w:t>
      </w:r>
      <w:r>
        <w:t>ntially dangerous circumstances</w:t>
      </w:r>
      <w:r>
        <w:rPr>
          <w:rStyle w:val="FootnoteReference"/>
        </w:rPr>
        <w:footnoteReference w:id="7"/>
      </w:r>
      <w:r w:rsidRPr="00B35A90">
        <w:t xml:space="preserve">. </w:t>
      </w:r>
    </w:p>
    <w:p w:rsidR="0086238B" w:rsidP="00017EB0">
      <w:pPr>
        <w:spacing w:before="100" w:beforeAutospacing="1" w:after="100" w:afterAutospacing="1" w:line="270" w:lineRule="atLeast"/>
        <w:jc w:val="both"/>
        <w:rPr>
          <w:color w:val="000000"/>
        </w:rPr>
      </w:pPr>
      <w:r>
        <w:t>The importance of safe abortion care</w:t>
      </w:r>
      <w:r w:rsidR="003B1EBD">
        <w:t xml:space="preserve"> </w:t>
      </w:r>
      <w:r>
        <w:t xml:space="preserve">is rightly recognised in the FCDO’s approach to Ending the Preventable Deaths </w:t>
      </w:r>
      <w:r w:rsidR="006620AC">
        <w:t xml:space="preserve">(EPD) </w:t>
      </w:r>
      <w:r>
        <w:t>of Mothers, Babies and Children by 2030</w:t>
      </w:r>
      <w:r>
        <w:rPr>
          <w:rStyle w:val="FootnoteReference"/>
        </w:rPr>
        <w:footnoteReference w:id="8"/>
      </w:r>
      <w:r>
        <w:t xml:space="preserve">. </w:t>
      </w:r>
      <w:r w:rsidR="006D283F">
        <w:t>However</w:t>
      </w:r>
      <w:r w:rsidR="00645C42">
        <w:t xml:space="preserve">, </w:t>
      </w:r>
      <w:r w:rsidR="006D283F">
        <w:t xml:space="preserve">FCDO programming does not </w:t>
      </w:r>
      <w:r w:rsidR="002E2997">
        <w:t xml:space="preserve">sufficiently </w:t>
      </w:r>
      <w:r w:rsidR="006D283F">
        <w:t>invest in telemedicine and self-management for abortion</w:t>
      </w:r>
      <w:r w:rsidR="00705818">
        <w:t>, as an additional safe pathway which can increase patient access and choice</w:t>
      </w:r>
      <w:r w:rsidR="00C87A6E">
        <w:rPr>
          <w:color w:val="000000"/>
        </w:rPr>
        <w:t xml:space="preserve">. </w:t>
      </w:r>
      <w:r w:rsidR="00170006">
        <w:rPr>
          <w:color w:val="000000"/>
        </w:rPr>
        <w:t xml:space="preserve">Guidance from the </w:t>
      </w:r>
      <w:r w:rsidR="000C4C66">
        <w:rPr>
          <w:color w:val="000000"/>
        </w:rPr>
        <w:t>RCOG</w:t>
      </w:r>
      <w:r>
        <w:rPr>
          <w:rStyle w:val="FootnoteReference"/>
          <w:color w:val="000000"/>
        </w:rPr>
        <w:footnoteReference w:id="9"/>
      </w:r>
      <w:r w:rsidR="00705818">
        <w:rPr>
          <w:color w:val="000000"/>
          <w:vertAlign w:val="superscript"/>
        </w:rPr>
        <w:t>,</w:t>
      </w:r>
      <w:r>
        <w:rPr>
          <w:rStyle w:val="FootnoteReference"/>
          <w:color w:val="000000"/>
        </w:rPr>
        <w:footnoteReference w:id="10"/>
      </w:r>
      <w:r w:rsidR="000C4C66">
        <w:rPr>
          <w:color w:val="000000"/>
        </w:rPr>
        <w:t xml:space="preserve"> the WHO</w:t>
      </w:r>
      <w:r>
        <w:rPr>
          <w:rStyle w:val="FootnoteReference"/>
          <w:color w:val="000000"/>
        </w:rPr>
        <w:footnoteReference w:id="11"/>
      </w:r>
      <w:r w:rsidR="000C4C66">
        <w:rPr>
          <w:color w:val="000000"/>
        </w:rPr>
        <w:t xml:space="preserve"> </w:t>
      </w:r>
      <w:r w:rsidR="00170006">
        <w:rPr>
          <w:color w:val="000000"/>
        </w:rPr>
        <w:t xml:space="preserve">and other authorities on clinical standards all affirm that telemedicine and self-management of abortion are </w:t>
      </w:r>
      <w:r w:rsidRPr="002C7BD5" w:rsidR="002C7BD5">
        <w:rPr>
          <w:color w:val="000000"/>
        </w:rPr>
        <w:t xml:space="preserve">safe and critical in expanding </w:t>
      </w:r>
      <w:r w:rsidR="007E1237">
        <w:rPr>
          <w:color w:val="000000"/>
        </w:rPr>
        <w:t xml:space="preserve">access to quality </w:t>
      </w:r>
      <w:r w:rsidRPr="002C7BD5" w:rsidR="002C7BD5">
        <w:rPr>
          <w:color w:val="000000"/>
        </w:rPr>
        <w:t>abortion care.</w:t>
      </w:r>
      <w:r w:rsidR="002C7BD5">
        <w:rPr>
          <w:color w:val="000000"/>
        </w:rPr>
        <w:t xml:space="preserve"> </w:t>
      </w:r>
      <w:r w:rsidR="007E1237">
        <w:rPr>
          <w:color w:val="000000"/>
        </w:rPr>
        <w:t>These service delivery models reduce</w:t>
      </w:r>
      <w:r w:rsidR="00D00B02">
        <w:rPr>
          <w:color w:val="000000"/>
        </w:rPr>
        <w:t xml:space="preserve"> transport costs,</w:t>
      </w:r>
      <w:r w:rsidR="007E1237">
        <w:rPr>
          <w:color w:val="000000"/>
        </w:rPr>
        <w:t xml:space="preserve"> increase</w:t>
      </w:r>
      <w:r w:rsidR="009D798E">
        <w:rPr>
          <w:color w:val="000000"/>
        </w:rPr>
        <w:t xml:space="preserve"> privacy </w:t>
      </w:r>
      <w:r w:rsidR="007E1237">
        <w:rPr>
          <w:color w:val="000000"/>
        </w:rPr>
        <w:t>and enable</w:t>
      </w:r>
      <w:r w:rsidRPr="002C7BD5" w:rsidR="002C7BD5">
        <w:rPr>
          <w:color w:val="000000"/>
        </w:rPr>
        <w:t xml:space="preserve"> abortions to be performed </w:t>
      </w:r>
      <w:r w:rsidR="002C7BD5">
        <w:rPr>
          <w:color w:val="000000"/>
        </w:rPr>
        <w:t>earlier in the pregnancy</w:t>
      </w:r>
      <w:r w:rsidRPr="002C7BD5" w:rsidR="002C7BD5">
        <w:rPr>
          <w:color w:val="000000"/>
        </w:rPr>
        <w:t>.</w:t>
      </w:r>
      <w:r w:rsidR="002C7BD5">
        <w:rPr>
          <w:color w:val="000000"/>
        </w:rPr>
        <w:t xml:space="preserve"> </w:t>
      </w:r>
      <w:r w:rsidR="009D798E">
        <w:rPr>
          <w:color w:val="000000"/>
        </w:rPr>
        <w:t>Patients’ participation in their own healthcare affirms their bodily autonomy and mitigates the stigma around abortion</w:t>
      </w:r>
      <w:r w:rsidR="00005173">
        <w:rPr>
          <w:color w:val="000000"/>
        </w:rPr>
        <w:t>. Moreover, telemedicine and self-management</w:t>
      </w:r>
      <w:r w:rsidR="00EA2445">
        <w:rPr>
          <w:color w:val="000000"/>
        </w:rPr>
        <w:t xml:space="preserve"> afford more equal access </w:t>
      </w:r>
      <w:r w:rsidR="002E2997">
        <w:rPr>
          <w:color w:val="000000"/>
        </w:rPr>
        <w:t>for</w:t>
      </w:r>
      <w:r w:rsidR="00EA2445">
        <w:rPr>
          <w:color w:val="000000"/>
        </w:rPr>
        <w:t xml:space="preserve"> marginalised groups </w:t>
      </w:r>
      <w:r w:rsidR="00AD022F">
        <w:rPr>
          <w:color w:val="000000"/>
        </w:rPr>
        <w:t xml:space="preserve">including </w:t>
      </w:r>
      <w:r w:rsidR="00EA2445">
        <w:rPr>
          <w:color w:val="000000"/>
        </w:rPr>
        <w:t>those living in rural communities, survivors of gender-based violence, LGBTQ+ people and people with disabilities</w:t>
      </w:r>
      <w:r w:rsidR="00AD022F">
        <w:rPr>
          <w:color w:val="000000"/>
        </w:rPr>
        <w:t>, among others</w:t>
      </w:r>
      <w:r w:rsidR="00EA2445">
        <w:rPr>
          <w:color w:val="000000"/>
        </w:rPr>
        <w:t xml:space="preserve">. </w:t>
      </w:r>
      <w:r w:rsidR="00A453A5">
        <w:rPr>
          <w:color w:val="000000"/>
        </w:rPr>
        <w:t>FCDO programming on abortion should</w:t>
      </w:r>
      <w:r w:rsidR="004D6A7A">
        <w:rPr>
          <w:color w:val="000000"/>
        </w:rPr>
        <w:t xml:space="preserve"> ensure</w:t>
      </w:r>
      <w:r w:rsidR="00F766A9">
        <w:rPr>
          <w:color w:val="000000"/>
        </w:rPr>
        <w:t xml:space="preserve"> that h</w:t>
      </w:r>
      <w:r w:rsidRPr="00F766A9" w:rsidR="00F766A9">
        <w:rPr>
          <w:color w:val="000000"/>
        </w:rPr>
        <w:t xml:space="preserve">ealthcare providers and health systems more broadly </w:t>
      </w:r>
      <w:r w:rsidR="00F766A9">
        <w:rPr>
          <w:color w:val="000000"/>
        </w:rPr>
        <w:t xml:space="preserve">are </w:t>
      </w:r>
      <w:r w:rsidRPr="00F766A9" w:rsidR="00F766A9">
        <w:rPr>
          <w:color w:val="000000"/>
        </w:rPr>
        <w:t xml:space="preserve">supportive, equipped and willing to care for individuals </w:t>
      </w:r>
      <w:r w:rsidR="00F766A9">
        <w:rPr>
          <w:color w:val="000000"/>
        </w:rPr>
        <w:t xml:space="preserve">opting for a self-managed or </w:t>
      </w:r>
      <w:r w:rsidR="00705818">
        <w:rPr>
          <w:color w:val="000000"/>
        </w:rPr>
        <w:t>telemedical</w:t>
      </w:r>
      <w:r w:rsidR="00F766A9">
        <w:rPr>
          <w:color w:val="000000"/>
        </w:rPr>
        <w:t xml:space="preserve"> abortion. </w:t>
      </w:r>
      <w:r w:rsidR="004D6A7A">
        <w:rPr>
          <w:color w:val="000000"/>
        </w:rPr>
        <w:t xml:space="preserve">By </w:t>
      </w:r>
      <w:r w:rsidR="00705818">
        <w:rPr>
          <w:color w:val="000000"/>
        </w:rPr>
        <w:t>investing in</w:t>
      </w:r>
      <w:r w:rsidR="004D6A7A">
        <w:rPr>
          <w:color w:val="000000"/>
        </w:rPr>
        <w:t xml:space="preserve"> telemedicine and self-management</w:t>
      </w:r>
      <w:r w:rsidR="00082C99">
        <w:rPr>
          <w:color w:val="000000"/>
        </w:rPr>
        <w:t>,</w:t>
      </w:r>
      <w:r w:rsidR="00705818">
        <w:rPr>
          <w:color w:val="000000"/>
        </w:rPr>
        <w:t xml:space="preserve"> in addition to </w:t>
      </w:r>
      <w:r w:rsidR="00082C99">
        <w:rPr>
          <w:color w:val="000000"/>
        </w:rPr>
        <w:t>other abortion service delivery models</w:t>
      </w:r>
      <w:r w:rsidR="004D6A7A">
        <w:rPr>
          <w:color w:val="000000"/>
        </w:rPr>
        <w:t>, FCDO programming would respond to contemporary best practice in abortion care</w:t>
      </w:r>
      <w:r w:rsidR="00705818">
        <w:rPr>
          <w:color w:val="000000"/>
        </w:rPr>
        <w:t>, increase patient choice</w:t>
      </w:r>
      <w:r w:rsidR="004D6A7A">
        <w:rPr>
          <w:color w:val="000000"/>
        </w:rPr>
        <w:t xml:space="preserve"> and address </w:t>
      </w:r>
      <w:r w:rsidR="004E201B">
        <w:rPr>
          <w:color w:val="000000"/>
        </w:rPr>
        <w:t xml:space="preserve">the </w:t>
      </w:r>
      <w:r w:rsidR="004D6A7A">
        <w:rPr>
          <w:color w:val="000000"/>
        </w:rPr>
        <w:t xml:space="preserve">unmet need of those who face the highest barriers to quality abortion care. </w:t>
      </w:r>
      <w:r w:rsidR="00D334F0">
        <w:rPr>
          <w:color w:val="000000"/>
        </w:rPr>
        <w:t xml:space="preserve"> </w:t>
      </w:r>
    </w:p>
    <w:p w:rsidR="00C87A6E" w:rsidRPr="00017EB0" w:rsidP="00017EB0">
      <w:pPr>
        <w:spacing w:before="100" w:beforeAutospacing="1" w:after="100" w:afterAutospacing="1" w:line="270" w:lineRule="atLeast"/>
        <w:jc w:val="both"/>
        <w:rPr>
          <w:color w:val="000000"/>
        </w:rPr>
      </w:pPr>
      <w:r>
        <w:rPr>
          <w:color w:val="000000"/>
        </w:rPr>
        <w:t>T</w:t>
      </w:r>
      <w:r w:rsidR="00D334F0">
        <w:rPr>
          <w:color w:val="000000"/>
        </w:rPr>
        <w:t xml:space="preserve">he principles of self-management and telemedicine </w:t>
      </w:r>
      <w:r w:rsidR="0086238B">
        <w:rPr>
          <w:color w:val="000000"/>
        </w:rPr>
        <w:t>should</w:t>
      </w:r>
      <w:r w:rsidR="00D334F0">
        <w:rPr>
          <w:color w:val="000000"/>
        </w:rPr>
        <w:t xml:space="preserve"> also be applied in other areas of SRHR </w:t>
      </w:r>
      <w:r>
        <w:rPr>
          <w:color w:val="000000"/>
        </w:rPr>
        <w:t>programming</w:t>
      </w:r>
      <w:r w:rsidR="00D334F0">
        <w:rPr>
          <w:color w:val="000000"/>
        </w:rPr>
        <w:t>. Self</w:t>
      </w:r>
      <w:r w:rsidR="00AB3160">
        <w:rPr>
          <w:color w:val="000000"/>
        </w:rPr>
        <w:t>-</w:t>
      </w:r>
      <w:r w:rsidR="00017EB0">
        <w:rPr>
          <w:color w:val="000000"/>
        </w:rPr>
        <w:t>collection of blood or swab samples</w:t>
      </w:r>
      <w:r>
        <w:rPr>
          <w:color w:val="000000"/>
        </w:rPr>
        <w:t xml:space="preserve"> </w:t>
      </w:r>
      <w:r w:rsidR="00AB3160">
        <w:rPr>
          <w:color w:val="000000"/>
        </w:rPr>
        <w:t>is an increasingly important part of programmes for the prevention and treatment of HIV and STIs</w:t>
      </w:r>
      <w:r w:rsidR="00017EB0">
        <w:rPr>
          <w:color w:val="000000"/>
        </w:rPr>
        <w:t xml:space="preserve"> around the world</w:t>
      </w:r>
      <w:r>
        <w:rPr>
          <w:rStyle w:val="FootnoteReference"/>
          <w:color w:val="000000"/>
        </w:rPr>
        <w:footnoteReference w:id="12"/>
      </w:r>
      <w:r w:rsidR="00AB3160">
        <w:rPr>
          <w:color w:val="000000"/>
        </w:rPr>
        <w:t xml:space="preserve">. Similarly, cervical cancer prevention programmes are beginning to adopt self-sampling as part of their screening </w:t>
      </w:r>
      <w:r w:rsidR="00017EB0">
        <w:rPr>
          <w:color w:val="000000"/>
        </w:rPr>
        <w:t>apparatus</w:t>
      </w:r>
      <w:r>
        <w:rPr>
          <w:color w:val="000000"/>
        </w:rPr>
        <w:t>. This approach</w:t>
      </w:r>
      <w:r w:rsidR="00017EB0">
        <w:rPr>
          <w:color w:val="000000"/>
        </w:rPr>
        <w:t xml:space="preserve"> expand</w:t>
      </w:r>
      <w:r>
        <w:rPr>
          <w:color w:val="000000"/>
        </w:rPr>
        <w:t>s</w:t>
      </w:r>
      <w:r w:rsidR="00017EB0">
        <w:rPr>
          <w:color w:val="000000"/>
        </w:rPr>
        <w:t xml:space="preserve"> the reach of screening programmes and, with the right guidance and referral pathways, can dramatically improve cervical cancer prevention and treatment outcomes. </w:t>
      </w:r>
      <w:r w:rsidR="0086238B">
        <w:rPr>
          <w:color w:val="000000"/>
        </w:rPr>
        <w:t xml:space="preserve">As with self-management for abortion, these service delivery models </w:t>
      </w:r>
      <w:r w:rsidR="005F7374">
        <w:rPr>
          <w:color w:val="000000"/>
        </w:rPr>
        <w:t>improve health outcomes by providing more pathways to SRHR care</w:t>
      </w:r>
      <w:r w:rsidR="00AF7B90">
        <w:rPr>
          <w:color w:val="000000"/>
        </w:rPr>
        <w:t xml:space="preserve">. They help tackle stigma around these areas of SRHR </w:t>
      </w:r>
      <w:r w:rsidR="00664445">
        <w:rPr>
          <w:color w:val="000000"/>
        </w:rPr>
        <w:t>and normalise the</w:t>
      </w:r>
      <w:r w:rsidR="00AF7B90">
        <w:rPr>
          <w:color w:val="000000"/>
        </w:rPr>
        <w:t xml:space="preserve"> testing process, as patients integrate it into their regular routine of healthcare at home. </w:t>
      </w:r>
    </w:p>
    <w:p w:rsidR="004D2ED3" w:rsidRPr="004D2ED3" w:rsidP="004D2ED3">
      <w:pPr>
        <w:pStyle w:val="ListParagraph"/>
        <w:numPr>
          <w:ilvl w:val="0"/>
          <w:numId w:val="2"/>
        </w:numPr>
        <w:spacing w:before="100" w:beforeAutospacing="1" w:after="100" w:afterAutospacing="1" w:line="270" w:lineRule="atLeast"/>
        <w:rPr>
          <w:rFonts w:eastAsia="Times New Roman"/>
          <w:b/>
          <w:bCs/>
        </w:rPr>
      </w:pPr>
      <w:r w:rsidRPr="004D2ED3">
        <w:rPr>
          <w:rFonts w:eastAsia="Times New Roman"/>
          <w:b/>
          <w:bCs/>
        </w:rPr>
        <w:t xml:space="preserve">How effective is the FCDO's work on sexual and reproductive health in support for the provision and delivery of: </w:t>
      </w:r>
    </w:p>
    <w:p w:rsidR="00890E25" w:rsidP="00890E25">
      <w:pPr>
        <w:numPr>
          <w:ilvl w:val="1"/>
          <w:numId w:val="2"/>
        </w:numPr>
        <w:spacing w:after="0" w:line="270" w:lineRule="atLeast"/>
        <w:rPr>
          <w:rFonts w:eastAsia="Times New Roman"/>
          <w:b/>
          <w:bCs/>
        </w:rPr>
      </w:pPr>
      <w:r w:rsidRPr="004D2ED3">
        <w:rPr>
          <w:rFonts w:eastAsia="Times New Roman"/>
          <w:b/>
          <w:bCs/>
        </w:rPr>
        <w:t>contraceptive supplies and healthcare services</w:t>
      </w:r>
    </w:p>
    <w:p w:rsidR="00890E25" w:rsidRPr="00890E25" w:rsidP="00890E25">
      <w:pPr>
        <w:pStyle w:val="NoSpacing"/>
      </w:pPr>
    </w:p>
    <w:p w:rsidR="004D2ED3" w:rsidP="00890E25">
      <w:pPr>
        <w:numPr>
          <w:ilvl w:val="1"/>
          <w:numId w:val="2"/>
        </w:numPr>
        <w:spacing w:after="0" w:line="270" w:lineRule="atLeast"/>
        <w:rPr>
          <w:rFonts w:eastAsia="Times New Roman"/>
          <w:b/>
          <w:bCs/>
        </w:rPr>
      </w:pPr>
      <w:r w:rsidRPr="004D2ED3">
        <w:rPr>
          <w:rFonts w:eastAsia="Times New Roman"/>
          <w:b/>
          <w:bCs/>
        </w:rPr>
        <w:t>family planning education and information programmes to communities</w:t>
      </w:r>
    </w:p>
    <w:p w:rsidR="00890E25" w:rsidRPr="004D2ED3" w:rsidP="00890E25">
      <w:pPr>
        <w:spacing w:after="0" w:line="270" w:lineRule="atLeast"/>
        <w:rPr>
          <w:rFonts w:eastAsia="Times New Roman"/>
          <w:b/>
          <w:bCs/>
        </w:rPr>
      </w:pPr>
    </w:p>
    <w:p w:rsidR="00D85388" w:rsidP="00890E25">
      <w:pPr>
        <w:numPr>
          <w:ilvl w:val="1"/>
          <w:numId w:val="2"/>
        </w:numPr>
        <w:spacing w:after="0" w:line="270" w:lineRule="atLeast"/>
        <w:rPr>
          <w:rFonts w:eastAsia="Times New Roman"/>
          <w:b/>
          <w:bCs/>
        </w:rPr>
      </w:pPr>
      <w:r w:rsidRPr="004D2ED3">
        <w:rPr>
          <w:rFonts w:eastAsia="Times New Roman"/>
          <w:b/>
          <w:bCs/>
        </w:rPr>
        <w:t>information programmes to tackle practices that damage the sexual and reproductive health of women and girls, such as FGM</w:t>
      </w:r>
    </w:p>
    <w:p w:rsidR="00B617A8" w:rsidP="00B617A8">
      <w:pPr>
        <w:spacing w:before="100" w:beforeAutospacing="1" w:after="100" w:afterAutospacing="1" w:line="270" w:lineRule="atLeast"/>
        <w:jc w:val="both"/>
      </w:pPr>
      <w:r>
        <w:t xml:space="preserve">The RCOG welcomes the commitment of the FCDO to </w:t>
      </w:r>
      <w:r w:rsidR="009D569E">
        <w:t>supporting efforts to end the practice of FGM</w:t>
      </w:r>
      <w:r>
        <w:t xml:space="preserve">. </w:t>
      </w:r>
      <w:r w:rsidR="0017517C">
        <w:t>In light of the increasing incidence of FGM being performed by doctors and other healthcare providers</w:t>
      </w:r>
      <w:r w:rsidR="00A71BFB">
        <w:t>, particularly in countries such as Egypt, o</w:t>
      </w:r>
      <w:r>
        <w:t xml:space="preserve">ur new programmatic work seeks to </w:t>
      </w:r>
      <w:r w:rsidRPr="008054A8">
        <w:t xml:space="preserve">equip doctors with the knowledge, skills, competencies and attitudes to help </w:t>
      </w:r>
      <w:r>
        <w:t>eliminate</w:t>
      </w:r>
      <w:r w:rsidRPr="008054A8">
        <w:t xml:space="preserve"> this practice.</w:t>
      </w:r>
      <w:r>
        <w:t xml:space="preserve"> </w:t>
      </w:r>
      <w:r w:rsidR="00A71BFB">
        <w:t xml:space="preserve">As influential figures in their communities, doctors and healthcare workers have a key role to play in eradicating FGM and promoting the sexual and reproductive rights of women and girls. </w:t>
      </w:r>
      <w:r>
        <w:t>Medicalisation provides a false legitimacy to FGM practice: families and individuals involved in FGM perceive healthcare workers as doing no harm and that their involvement shields them from legal consequences. The FCDO should seek to complement its existing support to FGM and gender-based violence programmes by collaborating with medical bodies and colleges, such as the RCOG, who can mobilise large global networks of healthcare professionals to tackle</w:t>
      </w:r>
      <w:r w:rsidRPr="00082C99">
        <w:t xml:space="preserve"> </w:t>
      </w:r>
      <w:r>
        <w:t xml:space="preserve">the rising medicalisation of FGM. </w:t>
      </w:r>
    </w:p>
    <w:p w:rsidR="00B617A8" w:rsidRPr="00B617A8" w:rsidP="00B617A8">
      <w:pPr>
        <w:spacing w:before="100" w:beforeAutospacing="1" w:after="100" w:afterAutospacing="1" w:line="270" w:lineRule="atLeast"/>
        <w:jc w:val="both"/>
        <w:rPr>
          <w:rFonts w:eastAsia="Times New Roman"/>
          <w:b/>
          <w:bCs/>
        </w:rPr>
      </w:pPr>
      <w:r w:rsidRPr="00A71BFB">
        <w:rPr>
          <w:color w:val="000000" w:themeColor="text1"/>
        </w:rPr>
        <w:t xml:space="preserve">Health workers have an important role to play as advocates to influence attitudinal change and reforms across a range of SRHR issues. </w:t>
      </w:r>
      <w:r w:rsidRPr="009B29B2">
        <w:rPr>
          <w:color w:val="000000" w:themeColor="text1"/>
        </w:rPr>
        <w:t xml:space="preserve">Including heavily stigmatised areas of SRHR, such as abortion, into mainstream curricula for health-worker training is an important step towards the normalisation of SRHR care. </w:t>
      </w:r>
      <w:r>
        <w:t>The RCOG’s Making Abortion Safe (MAS) programme advocates for the inclusion of abortion in mainstream healthcare training and education. The mainstreaming of abortion education is a key finding and recommendation of the MAS programme’s research into the stigma facing providers and forthcoming guidance</w:t>
      </w:r>
      <w:r w:rsidRPr="00B617A8">
        <w:rPr>
          <w:rStyle w:val="CommentReference"/>
          <w:rFonts w:ascii="Calibri" w:hAnsi="Calibri" w:cs="Calibri"/>
        </w:rPr>
        <w:t xml:space="preserve"> </w:t>
      </w:r>
      <w:r>
        <w:t xml:space="preserve">to be published in 2023 to support healthcare professionals and </w:t>
      </w:r>
      <w:r>
        <w:t>decision makers to tackle stigma. To tackle stigma and mainstream abortion care, the MAS programme has supported healthcare professionals  to work with other healthcare professionals and decision makers as  ‘SRHR Champions’ to advocate for reforms to improve curricula and increase access to quality abortion services in Nigeria, Zimbabwe and Rwanda.</w:t>
      </w:r>
    </w:p>
    <w:p w:rsidR="004D2ED3" w:rsidRPr="004D2ED3" w:rsidP="004D2ED3">
      <w:pPr>
        <w:numPr>
          <w:ilvl w:val="1"/>
          <w:numId w:val="2"/>
        </w:numPr>
        <w:spacing w:before="100" w:beforeAutospacing="1" w:after="100" w:afterAutospacing="1" w:line="270" w:lineRule="atLeast"/>
        <w:rPr>
          <w:rFonts w:eastAsia="Times New Roman"/>
          <w:b/>
          <w:bCs/>
        </w:rPr>
      </w:pPr>
      <w:r w:rsidRPr="004D2ED3">
        <w:rPr>
          <w:rFonts w:eastAsia="Times New Roman"/>
          <w:b/>
          <w:bCs/>
        </w:rPr>
        <w:t>maternity services and support for new-borns, including ending preventable deaths</w:t>
      </w:r>
    </w:p>
    <w:p w:rsidR="00D85388" w:rsidP="00516970">
      <w:pPr>
        <w:spacing w:before="100" w:beforeAutospacing="1" w:after="100" w:afterAutospacing="1" w:line="270" w:lineRule="atLeast"/>
        <w:jc w:val="both"/>
      </w:pPr>
      <w:r>
        <w:t>The RCOG</w:t>
      </w:r>
      <w:r w:rsidR="00E523FE">
        <w:t xml:space="preserve"> welcome</w:t>
      </w:r>
      <w:r>
        <w:t>s</w:t>
      </w:r>
      <w:r w:rsidR="00E523FE">
        <w:t xml:space="preserve"> </w:t>
      </w:r>
      <w:r>
        <w:t xml:space="preserve">the FCDO’s </w:t>
      </w:r>
      <w:r w:rsidR="00E523FE">
        <w:t xml:space="preserve">commitment to strengthening </w:t>
      </w:r>
      <w:r>
        <w:t xml:space="preserve">the health </w:t>
      </w:r>
      <w:r w:rsidR="00E523FE">
        <w:t xml:space="preserve">workforce as part of </w:t>
      </w:r>
      <w:r>
        <w:t>its Ending Preventable D</w:t>
      </w:r>
      <w:r w:rsidR="00E523FE">
        <w:t xml:space="preserve">eaths agenda. </w:t>
      </w:r>
      <w:r w:rsidRPr="000B4545" w:rsidR="000B4545">
        <w:t>Skilled medical professionals play an essential role in the delivery of universal and comprehensive sexual and reproductive health</w:t>
      </w:r>
      <w:r w:rsidR="000B4545">
        <w:t>, including maternity services</w:t>
      </w:r>
      <w:r w:rsidRPr="000B4545" w:rsidR="000B4545">
        <w:t xml:space="preserve">. </w:t>
      </w:r>
      <w:r w:rsidR="00A71BFB">
        <w:t>However, FCDO health workforce programming would have increased impact by working with health workers across cadres</w:t>
      </w:r>
      <w:r w:rsidR="000B4545">
        <w:t>,</w:t>
      </w:r>
      <w:r w:rsidR="00A71BFB">
        <w:t xml:space="preserve"> rather than </w:t>
      </w:r>
      <w:r w:rsidR="00E523FE">
        <w:t>focus</w:t>
      </w:r>
      <w:r w:rsidR="00A71BFB">
        <w:t>ing</w:t>
      </w:r>
      <w:r w:rsidR="00E523FE">
        <w:t xml:space="preserve"> on community and primary care. </w:t>
      </w:r>
    </w:p>
    <w:p w:rsidR="00734C56" w:rsidP="00516970">
      <w:pPr>
        <w:spacing w:before="100" w:beforeAutospacing="1" w:after="100" w:afterAutospacing="1" w:line="270" w:lineRule="atLeast"/>
        <w:jc w:val="both"/>
      </w:pPr>
      <w:r>
        <w:t xml:space="preserve">The RCOG’s global health programmes provides examples of </w:t>
      </w:r>
      <w:r w:rsidR="00F82F2F">
        <w:t>approaches that</w:t>
      </w:r>
      <w:r>
        <w:t xml:space="preserve"> </w:t>
      </w:r>
      <w:r w:rsidR="00197BB6">
        <w:t>deliver training to</w:t>
      </w:r>
      <w:r w:rsidR="00516970">
        <w:t xml:space="preserve"> </w:t>
      </w:r>
      <w:r>
        <w:t xml:space="preserve">multiple cadres of </w:t>
      </w:r>
      <w:r w:rsidR="00516970">
        <w:t>healthcare professionals</w:t>
      </w:r>
      <w:r>
        <w:t xml:space="preserve"> </w:t>
      </w:r>
      <w:r w:rsidR="00516970">
        <w:t>to promote task-shifting</w:t>
      </w:r>
      <w:r w:rsidR="009A4BC2">
        <w:t xml:space="preserve"> and sharing</w:t>
      </w:r>
      <w:r w:rsidR="00516970">
        <w:t>. As described in our</w:t>
      </w:r>
      <w:r w:rsidR="005B59CD">
        <w:t xml:space="preserve"> previous</w:t>
      </w:r>
      <w:r w:rsidR="00516970">
        <w:t xml:space="preserve"> response, our Gynaecological Health Matters programme is mainstreaming gynaecological skills and knowledge by training nurses and non-specialist doctors in Bangladesh. We have also applied this task-shifting principle in our</w:t>
      </w:r>
      <w:r w:rsidR="00F82F2F">
        <w:t xml:space="preserve"> </w:t>
      </w:r>
      <w:r w:rsidR="00516970">
        <w:t>programme</w:t>
      </w:r>
      <w:r w:rsidR="009141FF">
        <w:t xml:space="preserve">’s strengthening </w:t>
      </w:r>
      <w:r w:rsidR="002A67BC">
        <w:t xml:space="preserve">essential and emergency </w:t>
      </w:r>
      <w:r w:rsidR="00BC0CB1">
        <w:t>obstetric</w:t>
      </w:r>
      <w:r w:rsidR="009141FF">
        <w:t xml:space="preserve"> </w:t>
      </w:r>
      <w:r w:rsidR="00FD3073">
        <w:t>skills</w:t>
      </w:r>
      <w:r w:rsidR="009141FF">
        <w:t xml:space="preserve"> for health workers</w:t>
      </w:r>
      <w:r w:rsidR="00516970">
        <w:t xml:space="preserve">. These programmes are built on the knowledge that task-shifting </w:t>
      </w:r>
      <w:r w:rsidR="00E603B1">
        <w:t xml:space="preserve">and sharing </w:t>
      </w:r>
      <w:r w:rsidR="00516970">
        <w:t xml:space="preserve">across cadres </w:t>
      </w:r>
      <w:r w:rsidR="00CD216E">
        <w:t xml:space="preserve">and strengthening the skills of multi-disciplinary teams </w:t>
      </w:r>
      <w:r w:rsidR="00227997">
        <w:t xml:space="preserve">of healthcare professionals </w:t>
      </w:r>
      <w:r w:rsidR="00CD216E">
        <w:t xml:space="preserve">to provide obstetric care </w:t>
      </w:r>
      <w:r w:rsidR="00516970">
        <w:t xml:space="preserve">allows patients to access quality SRHR </w:t>
      </w:r>
      <w:r w:rsidR="00342E27">
        <w:t xml:space="preserve">and maternity </w:t>
      </w:r>
      <w:r w:rsidR="00516970">
        <w:t>care, whe</w:t>
      </w:r>
      <w:r w:rsidR="00FD3073">
        <w:t xml:space="preserve">n they first enter the </w:t>
      </w:r>
      <w:r w:rsidR="00516970">
        <w:t xml:space="preserve">health system. </w:t>
      </w:r>
      <w:r>
        <w:t xml:space="preserve">  </w:t>
      </w:r>
    </w:p>
    <w:p w:rsidR="00F61768" w:rsidRPr="00915D29" w:rsidP="00F61768">
      <w:pPr>
        <w:numPr>
          <w:ilvl w:val="0"/>
          <w:numId w:val="2"/>
        </w:numPr>
        <w:spacing w:before="100" w:beforeAutospacing="1" w:after="100" w:afterAutospacing="1" w:line="270" w:lineRule="atLeast"/>
        <w:rPr>
          <w:rFonts w:eastAsia="Times New Roman"/>
          <w:b/>
          <w:bCs/>
        </w:rPr>
      </w:pPr>
      <w:r w:rsidRPr="004D2ED3">
        <w:rPr>
          <w:rFonts w:eastAsia="Times New Roman"/>
          <w:b/>
          <w:bCs/>
        </w:rPr>
        <w:t>How could the FCDO target the use of funding for sexual and reproductive health programmes more effectively?</w:t>
      </w:r>
    </w:p>
    <w:p w:rsidR="00F61768" w:rsidP="00F61768">
      <w:pPr>
        <w:spacing w:before="100" w:beforeAutospacing="1" w:after="100" w:afterAutospacing="1" w:line="270" w:lineRule="atLeast"/>
        <w:rPr>
          <w:color w:val="000000" w:themeColor="text1"/>
        </w:rPr>
      </w:pPr>
      <w:r w:rsidRPr="00543DDC">
        <w:rPr>
          <w:color w:val="000000" w:themeColor="text1"/>
        </w:rPr>
        <w:t xml:space="preserve">A discussion of the effective use of funding for SRHR cannot begin without </w:t>
      </w:r>
      <w:r>
        <w:rPr>
          <w:color w:val="000000" w:themeColor="text1"/>
        </w:rPr>
        <w:t>highlighting</w:t>
      </w:r>
      <w:r w:rsidRPr="00543DDC">
        <w:rPr>
          <w:color w:val="000000" w:themeColor="text1"/>
        </w:rPr>
        <w:t xml:space="preserve"> the devastating impact of cuts to SRHR programmes in the last few years. </w:t>
      </w:r>
      <w:r w:rsidRPr="008B4B3F">
        <w:rPr>
          <w:color w:val="000000" w:themeColor="text1"/>
        </w:rPr>
        <w:t>Occurring at the worst possible moment, when health services were already under enormous pressure from the global pandemic, there is no doubt that these cuts seriously jeopardised the health and wellbeing of women and girls globally.</w:t>
      </w:r>
      <w:r w:rsidRPr="00487523">
        <w:rPr>
          <w:color w:val="ED7D31" w:themeColor="accent2"/>
        </w:rPr>
        <w:t xml:space="preserve"> </w:t>
      </w:r>
      <w:r w:rsidRPr="00543DDC">
        <w:rPr>
          <w:color w:val="000000" w:themeColor="text1"/>
        </w:rPr>
        <w:t>Estimates suggest</w:t>
      </w:r>
      <w:r w:rsidR="00634688">
        <w:rPr>
          <w:color w:val="000000" w:themeColor="text1"/>
        </w:rPr>
        <w:t>ed</w:t>
      </w:r>
      <w:r w:rsidRPr="00543DDC">
        <w:rPr>
          <w:color w:val="000000" w:themeColor="text1"/>
        </w:rPr>
        <w:t xml:space="preserve"> that cuts </w:t>
      </w:r>
      <w:r>
        <w:rPr>
          <w:color w:val="000000" w:themeColor="text1"/>
        </w:rPr>
        <w:t xml:space="preserve">to family planning in the year 2021-22 alone </w:t>
      </w:r>
      <w:r w:rsidR="00634688">
        <w:rPr>
          <w:color w:val="000000" w:themeColor="text1"/>
        </w:rPr>
        <w:t xml:space="preserve">could </w:t>
      </w:r>
      <w:r w:rsidRPr="00543DDC">
        <w:rPr>
          <w:color w:val="000000" w:themeColor="text1"/>
        </w:rPr>
        <w:t xml:space="preserve">directly result in 9.5 million fewer women and girls having access to modern methods of contraception, </w:t>
      </w:r>
      <w:r w:rsidR="00634688">
        <w:rPr>
          <w:color w:val="000000" w:themeColor="text1"/>
        </w:rPr>
        <w:t xml:space="preserve">meaning </w:t>
      </w:r>
      <w:r w:rsidRPr="00543DDC">
        <w:rPr>
          <w:color w:val="000000" w:themeColor="text1"/>
        </w:rPr>
        <w:t xml:space="preserve">4.3 million more unintended pregnancies, 1.4 million more unsafe abortions and </w:t>
      </w:r>
      <w:r w:rsidR="00634688">
        <w:rPr>
          <w:color w:val="000000" w:themeColor="text1"/>
        </w:rPr>
        <w:t xml:space="preserve">a possible </w:t>
      </w:r>
      <w:r w:rsidRPr="00543DDC">
        <w:rPr>
          <w:color w:val="000000" w:themeColor="text1"/>
        </w:rPr>
        <w:t>8,000 more avoidable maternal deaths</w:t>
      </w:r>
      <w:r>
        <w:rPr>
          <w:rStyle w:val="FootnoteReference"/>
          <w:color w:val="000000" w:themeColor="text1"/>
        </w:rPr>
        <w:footnoteReference w:id="13"/>
      </w:r>
      <w:r w:rsidRPr="00543DDC">
        <w:rPr>
          <w:color w:val="000000" w:themeColor="text1"/>
        </w:rPr>
        <w:t>. These statistics are even more shocking when you consider every two minutes a woman dies during pregnancy or childbirth globally</w:t>
      </w:r>
      <w:r>
        <w:rPr>
          <w:rStyle w:val="FootnoteReference"/>
          <w:color w:val="000000" w:themeColor="text1"/>
        </w:rPr>
        <w:footnoteReference w:id="14"/>
      </w:r>
      <w:r w:rsidRPr="00543DDC">
        <w:rPr>
          <w:color w:val="000000" w:themeColor="text1"/>
        </w:rPr>
        <w:t>.</w:t>
      </w:r>
    </w:p>
    <w:p w:rsidR="00F61768" w:rsidRPr="00E3635B" w:rsidP="00F61768">
      <w:pPr>
        <w:spacing w:before="100" w:beforeAutospacing="1" w:after="100" w:afterAutospacing="1" w:line="270" w:lineRule="atLeast"/>
        <w:rPr>
          <w:color w:val="000000" w:themeColor="text1"/>
        </w:rPr>
      </w:pPr>
      <w:r>
        <w:rPr>
          <w:color w:val="000000" w:themeColor="text1"/>
        </w:rPr>
        <w:t xml:space="preserve">There is an urgent need for the FCDO to return stability, longevity and transparency to its budget for SRHR. </w:t>
      </w:r>
      <w:r w:rsidRPr="00E3635B">
        <w:rPr>
          <w:color w:val="000000" w:themeColor="text1"/>
        </w:rPr>
        <w:t>Prior to the pandemic, UK spending on SRHR constituted 4% of the aid budget</w:t>
      </w:r>
      <w:r>
        <w:rPr>
          <w:rStyle w:val="FootnoteReference"/>
          <w:color w:val="000000" w:themeColor="text1"/>
        </w:rPr>
        <w:footnoteReference w:id="15"/>
      </w:r>
      <w:r w:rsidRPr="00E3635B">
        <w:rPr>
          <w:color w:val="000000" w:themeColor="text1"/>
        </w:rPr>
        <w:t>, around £500 million, per year.</w:t>
      </w:r>
      <w:r>
        <w:rPr>
          <w:color w:val="000000" w:themeColor="text1"/>
        </w:rPr>
        <w:t xml:space="preserve"> A new FP2030 commitment to restoring this spending every year for the next three years (2022 – 2025) presents an opportunity for the FCDO to help regain lost momentum towards universal comprehensive SRHR and to return to its position as a leading </w:t>
      </w:r>
      <w:r w:rsidR="00097E16">
        <w:rPr>
          <w:color w:val="000000" w:themeColor="text1"/>
        </w:rPr>
        <w:t xml:space="preserve">and reliable </w:t>
      </w:r>
      <w:r>
        <w:rPr>
          <w:color w:val="000000" w:themeColor="text1"/>
        </w:rPr>
        <w:t xml:space="preserve">donor. </w:t>
      </w:r>
      <w:r w:rsidRPr="00097E16" w:rsidR="00097E16">
        <w:rPr>
          <w:color w:val="000000" w:themeColor="text1"/>
        </w:rPr>
        <w:t>This funding should be a comprehensive investment</w:t>
      </w:r>
      <w:r w:rsidR="00097E16">
        <w:rPr>
          <w:color w:val="000000" w:themeColor="text1"/>
        </w:rPr>
        <w:t xml:space="preserve">, including interventions </w:t>
      </w:r>
      <w:r w:rsidR="00B64ACE">
        <w:rPr>
          <w:color w:val="000000" w:themeColor="text1"/>
        </w:rPr>
        <w:t xml:space="preserve">addressing the burden of </w:t>
      </w:r>
      <w:r w:rsidR="00097E16">
        <w:rPr>
          <w:color w:val="000000" w:themeColor="text1"/>
        </w:rPr>
        <w:t xml:space="preserve">gynaecological </w:t>
      </w:r>
      <w:r w:rsidR="00B64ACE">
        <w:rPr>
          <w:color w:val="000000" w:themeColor="text1"/>
        </w:rPr>
        <w:t>disease</w:t>
      </w:r>
      <w:r w:rsidR="00097E16">
        <w:rPr>
          <w:color w:val="000000" w:themeColor="text1"/>
        </w:rPr>
        <w:t xml:space="preserve"> as a part of a </w:t>
      </w:r>
      <w:r w:rsidR="003C263B">
        <w:rPr>
          <w:color w:val="000000" w:themeColor="text1"/>
        </w:rPr>
        <w:t>life-course</w:t>
      </w:r>
      <w:r w:rsidR="00097E16">
        <w:rPr>
          <w:color w:val="000000" w:themeColor="text1"/>
        </w:rPr>
        <w:t xml:space="preserve"> approach, and strengthening and educating the health workforce as </w:t>
      </w:r>
      <w:r w:rsidR="00AF2FDD">
        <w:rPr>
          <w:color w:val="000000" w:themeColor="text1"/>
        </w:rPr>
        <w:t>foundational to quality SRH care</w:t>
      </w:r>
      <w:r w:rsidR="00097E16">
        <w:rPr>
          <w:color w:val="000000" w:themeColor="text1"/>
        </w:rPr>
        <w:t xml:space="preserve">. </w:t>
      </w:r>
      <w:r>
        <w:rPr>
          <w:color w:val="000000" w:themeColor="text1"/>
        </w:rPr>
        <w:t xml:space="preserve">It is </w:t>
      </w:r>
      <w:r w:rsidR="00097E16">
        <w:rPr>
          <w:color w:val="000000" w:themeColor="text1"/>
        </w:rPr>
        <w:t xml:space="preserve">also </w:t>
      </w:r>
      <w:r>
        <w:rPr>
          <w:color w:val="000000" w:themeColor="text1"/>
        </w:rPr>
        <w:t xml:space="preserve">important that this commitment is a </w:t>
      </w:r>
      <w:r>
        <w:rPr>
          <w:color w:val="000000" w:themeColor="text1"/>
        </w:rPr>
        <w:t>financial target rather than focused on user goals to ensure that the UK’s contribution is centred on women and girls’ choice and bodily autonomy, as imagined by UN SDG 3.7.1 indicator</w:t>
      </w:r>
      <w:r>
        <w:rPr>
          <w:rStyle w:val="FootnoteReference"/>
          <w:color w:val="000000" w:themeColor="text1"/>
        </w:rPr>
        <w:footnoteReference w:id="16"/>
      </w:r>
      <w:r>
        <w:rPr>
          <w:color w:val="000000" w:themeColor="text1"/>
        </w:rPr>
        <w:t>.</w:t>
      </w:r>
      <w:r w:rsidR="00097E16">
        <w:rPr>
          <w:color w:val="000000" w:themeColor="text1"/>
        </w:rPr>
        <w:t xml:space="preserve"> </w:t>
      </w:r>
    </w:p>
    <w:p w:rsidR="00890E25" w:rsidP="00890E25">
      <w:pPr>
        <w:rPr>
          <w:color w:val="000000" w:themeColor="text1"/>
        </w:rPr>
      </w:pPr>
      <w:r w:rsidRPr="002C09F4">
        <w:rPr>
          <w:color w:val="000000" w:themeColor="text1"/>
        </w:rPr>
        <w:t>The announcement of funding for a new SRHR programme</w:t>
      </w:r>
      <w:r>
        <w:rPr>
          <w:rStyle w:val="FootnoteReference"/>
          <w:color w:val="000000" w:themeColor="text1"/>
        </w:rPr>
        <w:footnoteReference w:id="17"/>
      </w:r>
      <w:r w:rsidRPr="002C09F4">
        <w:rPr>
          <w:color w:val="000000" w:themeColor="text1"/>
        </w:rPr>
        <w:t xml:space="preserve"> is welcome </w:t>
      </w:r>
      <w:r>
        <w:rPr>
          <w:color w:val="000000" w:themeColor="text1"/>
        </w:rPr>
        <w:t>but it is important that the UK Government continues to also invest in sustainable SRHR supply chains. Sexual and reproductive rights cannot be realised without available and affordable reproductive health supplies. 40% of the world’s contraceptive supply is provided by UNFPA, reaching approximately 20 million women and young people ever year</w:t>
      </w:r>
      <w:r>
        <w:rPr>
          <w:rStyle w:val="FootnoteReference"/>
          <w:color w:val="000000" w:themeColor="text1"/>
        </w:rPr>
        <w:footnoteReference w:id="18"/>
      </w:r>
      <w:r>
        <w:rPr>
          <w:color w:val="000000" w:themeColor="text1"/>
        </w:rPr>
        <w:t xml:space="preserve"> but, in 2021, </w:t>
      </w:r>
      <w:r w:rsidR="006C0431">
        <w:rPr>
          <w:color w:val="000000" w:themeColor="text1"/>
        </w:rPr>
        <w:t xml:space="preserve">UK funding to </w:t>
      </w:r>
      <w:r>
        <w:rPr>
          <w:color w:val="000000" w:themeColor="text1"/>
        </w:rPr>
        <w:t>UNFPA Supplies faced an 85% cut</w:t>
      </w:r>
      <w:r>
        <w:rPr>
          <w:rStyle w:val="FootnoteReference"/>
          <w:color w:val="000000" w:themeColor="text1"/>
        </w:rPr>
        <w:footnoteReference w:id="19"/>
      </w:r>
      <w:r>
        <w:rPr>
          <w:color w:val="000000" w:themeColor="text1"/>
        </w:rPr>
        <w:t xml:space="preserve">, putting immense pressure on global SRHR supply chains. </w:t>
      </w:r>
    </w:p>
    <w:p w:rsidR="00F61768" w:rsidRPr="00097E16" w:rsidP="00890E25">
      <w:pPr>
        <w:rPr>
          <w:rFonts w:eastAsia="Times New Roman"/>
          <w:b/>
          <w:bCs/>
        </w:rPr>
      </w:pPr>
      <w:r w:rsidRPr="00097E16">
        <w:rPr>
          <w:rFonts w:eastAsia="Times New Roman"/>
          <w:b/>
          <w:bCs/>
        </w:rPr>
        <w:t>Does the FCDO's new global Women and Girls strategy sufficiently address sexual and reproductive health?</w:t>
      </w:r>
    </w:p>
    <w:p w:rsidR="00F61768" w:rsidP="00F61768">
      <w:pPr>
        <w:spacing w:before="100" w:beforeAutospacing="1" w:after="100" w:afterAutospacing="1" w:line="270" w:lineRule="atLeast"/>
        <w:rPr>
          <w:rFonts w:eastAsia="Times New Roman"/>
          <w:bCs/>
        </w:rPr>
      </w:pPr>
      <w:r>
        <w:rPr>
          <w:rFonts w:eastAsia="Times New Roman"/>
          <w:bCs/>
        </w:rPr>
        <w:t xml:space="preserve">We are pleased to see sexual and reproductive health and rights recognised as essential to the FCDO’s ambitions for gender equality. Bodily autonomy is the foundation upon which women and girls are able to exercise their rights, a point strongly made by the Minister for Development in his foreword. </w:t>
      </w:r>
    </w:p>
    <w:p w:rsidR="00F61768" w:rsidRPr="00D96158" w:rsidP="00F61768">
      <w:pPr>
        <w:spacing w:before="100" w:beforeAutospacing="1" w:after="100" w:afterAutospacing="1" w:line="270" w:lineRule="atLeast"/>
        <w:rPr>
          <w:color w:val="000000" w:themeColor="text1"/>
        </w:rPr>
      </w:pPr>
      <w:r>
        <w:rPr>
          <w:rFonts w:eastAsia="Times New Roman"/>
          <w:bCs/>
        </w:rPr>
        <w:t>However, resurrecting the problems of the 2022 International Development Strategy, the Women &amp; Girls Strategy’s approach to SRHR continues to be limited by the framework of the ‘Three Es’ of education, empowerment and ending violence. A new expanded definition of empowerment to include ‘</w:t>
      </w:r>
      <w:r w:rsidRPr="00014229">
        <w:rPr>
          <w:rFonts w:eastAsia="Times New Roman"/>
          <w:bCs/>
          <w:i/>
        </w:rPr>
        <w:t>championing health and rights’</w:t>
      </w:r>
      <w:r>
        <w:rPr>
          <w:rFonts w:eastAsia="Times New Roman"/>
          <w:bCs/>
        </w:rPr>
        <w:t xml:space="preserve"> suggests that this criticism has been partially heard. Still, the opportunity to provide sufficient detail on the FCDO’s ambition for SRHR is lost by shoehorning it into the same bracket as the not in</w:t>
      </w:r>
      <w:r>
        <w:t xml:space="preserve">significant projects of women’s political, social and economic empowerment. </w:t>
      </w:r>
      <w:r w:rsidRPr="00D96158">
        <w:rPr>
          <w:rFonts w:eastAsia="Times New Roman"/>
          <w:bCs/>
          <w:color w:val="000000" w:themeColor="text1"/>
        </w:rPr>
        <w:t xml:space="preserve">In comparison, SRHR </w:t>
      </w:r>
      <w:r>
        <w:rPr>
          <w:rFonts w:eastAsia="Times New Roman"/>
          <w:bCs/>
          <w:color w:val="000000" w:themeColor="text1"/>
        </w:rPr>
        <w:t>stands in its own right as</w:t>
      </w:r>
      <w:r w:rsidRPr="00D96158">
        <w:rPr>
          <w:rFonts w:eastAsia="Times New Roman"/>
          <w:bCs/>
          <w:color w:val="000000" w:themeColor="text1"/>
        </w:rPr>
        <w:t xml:space="preserve"> one </w:t>
      </w:r>
      <w:r>
        <w:rPr>
          <w:rFonts w:eastAsia="Times New Roman"/>
          <w:bCs/>
          <w:color w:val="000000" w:themeColor="text1"/>
        </w:rPr>
        <w:t>of four ‘</w:t>
      </w:r>
      <w:r w:rsidRPr="00250DAF">
        <w:rPr>
          <w:rFonts w:eastAsia="Times New Roman"/>
          <w:bCs/>
          <w:i/>
          <w:color w:val="000000" w:themeColor="text1"/>
        </w:rPr>
        <w:t>interlinked foundations</w:t>
      </w:r>
      <w:r>
        <w:rPr>
          <w:rFonts w:eastAsia="Times New Roman"/>
          <w:bCs/>
          <w:color w:val="000000" w:themeColor="text1"/>
        </w:rPr>
        <w:t>’</w:t>
      </w:r>
      <w:r w:rsidRPr="00D96158">
        <w:rPr>
          <w:rFonts w:eastAsia="Times New Roman"/>
          <w:bCs/>
          <w:color w:val="000000" w:themeColor="text1"/>
        </w:rPr>
        <w:t xml:space="preserve"> of the </w:t>
      </w:r>
      <w:r>
        <w:rPr>
          <w:rFonts w:eastAsia="Times New Roman"/>
          <w:bCs/>
          <w:color w:val="000000" w:themeColor="text1"/>
        </w:rPr>
        <w:t xml:space="preserve">former </w:t>
      </w:r>
      <w:r w:rsidRPr="00D96158">
        <w:rPr>
          <w:rFonts w:eastAsia="Times New Roman"/>
          <w:bCs/>
          <w:color w:val="000000" w:themeColor="text1"/>
        </w:rPr>
        <w:t>Department for International Development</w:t>
      </w:r>
      <w:r>
        <w:rPr>
          <w:rFonts w:eastAsia="Times New Roman"/>
          <w:bCs/>
          <w:color w:val="000000" w:themeColor="text1"/>
        </w:rPr>
        <w:t xml:space="preserve"> (DfID)</w:t>
      </w:r>
      <w:r w:rsidRPr="00D96158">
        <w:rPr>
          <w:rFonts w:eastAsia="Times New Roman"/>
          <w:bCs/>
          <w:color w:val="000000" w:themeColor="text1"/>
        </w:rPr>
        <w:t>’s 2018 Strategic Vision for Gender Equality</w:t>
      </w:r>
      <w:r>
        <w:rPr>
          <w:rStyle w:val="FootnoteReference"/>
          <w:rFonts w:eastAsia="Times New Roman"/>
          <w:bCs/>
          <w:color w:val="000000" w:themeColor="text1"/>
        </w:rPr>
        <w:footnoteReference w:id="20"/>
      </w:r>
      <w:r>
        <w:rPr>
          <w:rFonts w:eastAsia="Times New Roman"/>
          <w:bCs/>
          <w:color w:val="000000" w:themeColor="text1"/>
        </w:rPr>
        <w:t>.</w:t>
      </w:r>
    </w:p>
    <w:p w:rsidR="00F61768" w:rsidRPr="00D96158" w:rsidP="00F61768">
      <w:pPr>
        <w:spacing w:before="100" w:beforeAutospacing="1" w:after="100" w:afterAutospacing="1" w:line="270" w:lineRule="atLeast"/>
        <w:rPr>
          <w:color w:val="ED7D31" w:themeColor="accent2"/>
        </w:rPr>
      </w:pPr>
      <w:r w:rsidRPr="003B7AEE">
        <w:rPr>
          <w:color w:val="000000" w:themeColor="text1"/>
        </w:rPr>
        <w:t>Framing SRHR as an issue of empowerment in the Women &amp; Girls Strategy means that it is not only paid insufficient political attention but inappropriate political attention.</w:t>
      </w:r>
      <w:r>
        <w:rPr>
          <w:color w:val="ED7D31" w:themeColor="accent2"/>
        </w:rPr>
        <w:t xml:space="preserve"> </w:t>
      </w:r>
      <w:r w:rsidRPr="003B7AEE">
        <w:rPr>
          <w:color w:val="000000" w:themeColor="text1"/>
        </w:rPr>
        <w:t xml:space="preserve">The fundamental challenge facing universal SRHR is not </w:t>
      </w:r>
      <w:r w:rsidRPr="003B7AEE">
        <w:rPr>
          <w:rFonts w:eastAsia="Times New Roman"/>
          <w:bCs/>
          <w:color w:val="000000" w:themeColor="text1"/>
        </w:rPr>
        <w:t>individual capacity but structural inequalities which mean that the poorest and most vulnerable people bear a disproportionate burden of poor sexual and reproductive health.</w:t>
      </w:r>
      <w:r>
        <w:rPr>
          <w:rFonts w:eastAsia="Times New Roman"/>
          <w:bCs/>
          <w:color w:val="ED7D31" w:themeColor="accent2"/>
        </w:rPr>
        <w:t xml:space="preserve"> </w:t>
      </w:r>
      <w:r w:rsidRPr="00250DAF">
        <w:rPr>
          <w:rFonts w:eastAsia="Times New Roman"/>
          <w:bCs/>
          <w:color w:val="000000" w:themeColor="text1"/>
        </w:rPr>
        <w:t>Again, the approach of DfID</w:t>
      </w:r>
      <w:r w:rsidR="002E19A9">
        <w:rPr>
          <w:rFonts w:eastAsia="Times New Roman"/>
          <w:bCs/>
          <w:color w:val="000000" w:themeColor="text1"/>
        </w:rPr>
        <w:t>’s</w:t>
      </w:r>
      <w:r w:rsidRPr="00250DAF">
        <w:rPr>
          <w:rFonts w:eastAsia="Times New Roman"/>
          <w:bCs/>
          <w:color w:val="000000" w:themeColor="text1"/>
        </w:rPr>
        <w:t xml:space="preserve"> Strategic Vision is exemplary, </w:t>
      </w:r>
      <w:r w:rsidRPr="00890E25">
        <w:rPr>
          <w:color w:val="000000" w:themeColor="text1"/>
        </w:rPr>
        <w:t>recognis</w:t>
      </w:r>
      <w:r w:rsidRPr="00890E25" w:rsidR="00AF2FDD">
        <w:rPr>
          <w:color w:val="000000" w:themeColor="text1"/>
        </w:rPr>
        <w:t>ing</w:t>
      </w:r>
      <w:r w:rsidRPr="00890E25">
        <w:rPr>
          <w:color w:val="000000" w:themeColor="text1"/>
        </w:rPr>
        <w:t xml:space="preserve"> that</w:t>
      </w:r>
      <w:r w:rsidRPr="00890E25">
        <w:rPr>
          <w:i/>
          <w:color w:val="000000" w:themeColor="text1"/>
        </w:rPr>
        <w:t xml:space="preserve"> </w:t>
      </w:r>
      <w:r w:rsidRPr="00890E25" w:rsidR="00AF2FDD">
        <w:rPr>
          <w:i/>
          <w:color w:val="000000" w:themeColor="text1"/>
        </w:rPr>
        <w:t>‘</w:t>
      </w:r>
      <w:r w:rsidRPr="00890E25">
        <w:rPr>
          <w:i/>
          <w:color w:val="000000" w:themeColor="text1"/>
        </w:rPr>
        <w:t>the challenges that poor girls and women face are</w:t>
      </w:r>
      <w:r w:rsidRPr="00890E25" w:rsidR="00AF2FDD">
        <w:rPr>
          <w:i/>
          <w:color w:val="000000" w:themeColor="text1"/>
        </w:rPr>
        <w:t xml:space="preserve"> complex</w:t>
      </w:r>
      <w:r w:rsidRPr="00890E25">
        <w:rPr>
          <w:i/>
          <w:color w:val="000000" w:themeColor="text1"/>
        </w:rPr>
        <w:t>, deep seated</w:t>
      </w:r>
      <w:r w:rsidRPr="00890E25" w:rsidR="00AF2FDD">
        <w:rPr>
          <w:i/>
          <w:color w:val="000000" w:themeColor="text1"/>
        </w:rPr>
        <w:t xml:space="preserve"> and interlinked’</w:t>
      </w:r>
      <w:r w:rsidRPr="00890E25">
        <w:rPr>
          <w:color w:val="000000" w:themeColor="text1"/>
        </w:rPr>
        <w:t>.</w:t>
      </w:r>
    </w:p>
    <w:p w:rsidR="00F61768" w:rsidRPr="00DC6D6F" w:rsidP="00F61768">
      <w:r>
        <w:t>The focus on</w:t>
      </w:r>
      <w:r w:rsidRPr="00C92CD6">
        <w:t xml:space="preserve"> </w:t>
      </w:r>
      <w:r>
        <w:t>SRHR</w:t>
      </w:r>
      <w:r w:rsidRPr="00C92CD6">
        <w:t xml:space="preserve"> as a ‘</w:t>
      </w:r>
      <w:r w:rsidRPr="00A25B00">
        <w:rPr>
          <w:i/>
        </w:rPr>
        <w:t>long-term’</w:t>
      </w:r>
      <w:r w:rsidRPr="00C92CD6">
        <w:t xml:space="preserve"> development issue</w:t>
      </w:r>
      <w:r>
        <w:t xml:space="preserve"> is a promising change of tac</w:t>
      </w:r>
      <w:r w:rsidR="00266903">
        <w:t>k</w:t>
      </w:r>
      <w:r>
        <w:t xml:space="preserve"> from the sudden and devastating cuts to SRHR funding </w:t>
      </w:r>
      <w:r w:rsidR="00266903">
        <w:t xml:space="preserve">in </w:t>
      </w:r>
      <w:r>
        <w:t>2021</w:t>
      </w:r>
      <w:r w:rsidRPr="00C92CD6">
        <w:t>.</w:t>
      </w:r>
      <w:r>
        <w:t xml:space="preserve"> </w:t>
      </w:r>
      <w:r w:rsidRPr="00C92CD6">
        <w:t>Investing in SRHR is not only important for ensuring access to life-saving services now but is also essential to unlocking the social, economic and political agency of women and girls to make decisions about their futures.</w:t>
      </w:r>
      <w:r>
        <w:t xml:space="preserve"> However, without a significant multi-year financial commitment to SRHR such as that suggested above, this remains an empty promise.</w:t>
      </w:r>
    </w:p>
    <w:p w:rsidR="00F61768" w:rsidRPr="00C26C3B" w:rsidP="00F61768">
      <w:r>
        <w:t>Finally, we welcome the Strategy’s focus on promoting ‘neglected’ SRHR issues including safe abortion. This brings the Strategy closer to advancing and implementing the Guttmacher Lancet’s definition of comprehensive SRHR</w:t>
      </w:r>
      <w:r>
        <w:rPr>
          <w:rStyle w:val="FootnoteReference"/>
        </w:rPr>
        <w:footnoteReference w:id="21"/>
      </w:r>
      <w:r>
        <w:t>. However, as discussed above, the Strate</w:t>
      </w:r>
      <w:r w:rsidR="00A25B00">
        <w:t xml:space="preserve">gy would benefit from taking a </w:t>
      </w:r>
      <w:r>
        <w:t xml:space="preserve">life </w:t>
      </w:r>
      <w:r w:rsidR="00A25B00">
        <w:t>course</w:t>
      </w:r>
      <w:r>
        <w:t xml:space="preserve"> approach which views women beyond their role of mothers, including addressing </w:t>
      </w:r>
      <w:r w:rsidR="00E967D8">
        <w:t>the significant burden of gynaecological disease affecting women and girls around the world</w:t>
      </w:r>
      <w:r>
        <w:t>.</w:t>
      </w:r>
    </w:p>
    <w:sectPr>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30855519"/>
      <w:docPartObj>
        <w:docPartGallery w:val="Page Numbers (Bottom of Page)"/>
        <w:docPartUnique/>
      </w:docPartObj>
    </w:sdtPr>
    <w:sdtEndPr>
      <w:rPr>
        <w:noProof/>
      </w:rPr>
    </w:sdtEndPr>
    <w:sdtContent>
      <w:p w:rsidR="005B59CD">
        <w:pPr>
          <w:pStyle w:val="Footer"/>
          <w:jc w:val="center"/>
        </w:pPr>
        <w:r>
          <w:fldChar w:fldCharType="begin"/>
        </w:r>
        <w:r>
          <w:instrText xml:space="preserve"> PAGE   \* MERGEFORMAT </w:instrText>
        </w:r>
        <w:r>
          <w:fldChar w:fldCharType="separate"/>
        </w:r>
        <w:r w:rsidR="007007DD">
          <w:rPr>
            <w:noProof/>
          </w:rPr>
          <w:t>6</w:t>
        </w:r>
        <w:r>
          <w:rPr>
            <w:noProof/>
          </w:rPr>
          <w:fldChar w:fldCharType="end"/>
        </w:r>
      </w:p>
    </w:sdtContent>
  </w:sdt>
  <w:p w:rsidR="005B5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61768" w:rsidP="00F61768">
      <w:pPr>
        <w:spacing w:after="0" w:line="240" w:lineRule="auto"/>
      </w:pPr>
      <w:r>
        <w:separator/>
      </w:r>
    </w:p>
  </w:footnote>
  <w:footnote w:type="continuationSeparator" w:id="1">
    <w:p w:rsidR="00F61768" w:rsidP="00F61768">
      <w:pPr>
        <w:spacing w:after="0" w:line="240" w:lineRule="auto"/>
      </w:pPr>
      <w:r>
        <w:continuationSeparator/>
      </w:r>
    </w:p>
  </w:footnote>
  <w:footnote w:id="2">
    <w:p w:rsidR="00B92310">
      <w:pPr>
        <w:pStyle w:val="FootnoteText"/>
      </w:pPr>
      <w:r>
        <w:rPr>
          <w:rStyle w:val="FootnoteReference"/>
        </w:rPr>
        <w:footnoteRef/>
      </w:r>
      <w:r>
        <w:t xml:space="preserve"> </w:t>
      </w:r>
      <w:r>
        <w:fldChar w:fldCharType="begin"/>
      </w:r>
      <w:r>
        <w:instrText xml:space="preserve"> HYPERLINK "https://acsjournals.onlinelibrary.wiley.com/doi/10.3322/caac.21660" </w:instrText>
      </w:r>
      <w:r>
        <w:fldChar w:fldCharType="separate"/>
      </w:r>
      <w:r w:rsidRPr="00F14910">
        <w:rPr>
          <w:rStyle w:val="Hyperlink"/>
        </w:rPr>
        <w:t>https://acsjournals.onlinelibrary.wiley.com/doi/10.3322/caac.21660</w:t>
      </w:r>
      <w:r>
        <w:fldChar w:fldCharType="end"/>
      </w:r>
      <w:r>
        <w:t xml:space="preserve"> </w:t>
      </w:r>
    </w:p>
  </w:footnote>
  <w:footnote w:id="3">
    <w:p w:rsidR="000A416E">
      <w:pPr>
        <w:pStyle w:val="FootnoteText"/>
      </w:pPr>
      <w:r>
        <w:rPr>
          <w:rStyle w:val="FootnoteReference"/>
        </w:rPr>
        <w:footnoteRef/>
      </w:r>
      <w:r>
        <w:t xml:space="preserve"> To be published in 2023</w:t>
      </w:r>
    </w:p>
  </w:footnote>
  <w:footnote w:id="4">
    <w:p w:rsidR="005B59CD">
      <w:pPr>
        <w:pStyle w:val="FootnoteText"/>
      </w:pPr>
      <w:r>
        <w:rPr>
          <w:rStyle w:val="FootnoteReference"/>
        </w:rPr>
        <w:footnoteRef/>
      </w:r>
      <w:r>
        <w:t xml:space="preserve"> </w:t>
      </w:r>
      <w:r>
        <w:fldChar w:fldCharType="begin"/>
      </w:r>
      <w:r>
        <w:instrText xml:space="preserve"> HYPERLINK "https://www.degruyter.com/document/doi/10.1515/ijamh-2019-0081/html" </w:instrText>
      </w:r>
      <w:r>
        <w:fldChar w:fldCharType="separate"/>
      </w:r>
      <w:r w:rsidRPr="00BC0844">
        <w:rPr>
          <w:rStyle w:val="Hyperlink"/>
        </w:rPr>
        <w:t>https://www.degruyter.com/document/doi/10.1515/ijamh-2019-0081/html</w:t>
      </w:r>
      <w:r>
        <w:fldChar w:fldCharType="end"/>
      </w:r>
      <w:r>
        <w:t xml:space="preserve"> </w:t>
      </w:r>
    </w:p>
  </w:footnote>
  <w:footnote w:id="5">
    <w:p w:rsidR="005B5156">
      <w:pPr>
        <w:pStyle w:val="FootnoteText"/>
      </w:pPr>
      <w:r>
        <w:rPr>
          <w:rStyle w:val="FootnoteReference"/>
        </w:rPr>
        <w:footnoteRef/>
      </w:r>
      <w:r>
        <w:t xml:space="preserve"> </w:t>
      </w:r>
      <w:r>
        <w:fldChar w:fldCharType="begin"/>
      </w:r>
      <w:r>
        <w:instrText xml:space="preserve"> HYPERLINK "https://www.thelancet.com/journals/langlo/article/PIIS2214-109X(22)00098-5/fulltext" </w:instrText>
      </w:r>
      <w:r>
        <w:fldChar w:fldCharType="separate"/>
      </w:r>
      <w:r w:rsidRPr="00BC0844">
        <w:rPr>
          <w:rStyle w:val="Hyperlink"/>
        </w:rPr>
        <w:t>https://www.thelancet.com/journals/langlo/article/PIIS2214-109X(22)00098-5/fulltext</w:t>
      </w:r>
      <w:r>
        <w:fldChar w:fldCharType="end"/>
      </w:r>
      <w:r>
        <w:t xml:space="preserve"> </w:t>
      </w:r>
    </w:p>
  </w:footnote>
  <w:footnote w:id="6">
    <w:p w:rsidR="00B35A90">
      <w:pPr>
        <w:pStyle w:val="FootnoteText"/>
      </w:pPr>
      <w:r>
        <w:rPr>
          <w:rStyle w:val="FootnoteReference"/>
        </w:rPr>
        <w:footnoteRef/>
      </w:r>
      <w:r>
        <w:t xml:space="preserve"> </w:t>
      </w:r>
      <w:r>
        <w:fldChar w:fldCharType="begin"/>
      </w:r>
      <w:r>
        <w:instrText xml:space="preserve"> HYPERLINK "https://www.who.int/news-room/fact-sheets/detail/abortion" </w:instrText>
      </w:r>
      <w:r>
        <w:fldChar w:fldCharType="separate"/>
      </w:r>
      <w:r w:rsidRPr="00F14910">
        <w:rPr>
          <w:rStyle w:val="Hyperlink"/>
        </w:rPr>
        <w:t>https://www.who.int/news-room/fact-sheets/detail/abortion</w:t>
      </w:r>
      <w:r>
        <w:fldChar w:fldCharType="end"/>
      </w:r>
      <w:r>
        <w:t xml:space="preserve"> </w:t>
      </w:r>
    </w:p>
  </w:footnote>
  <w:footnote w:id="7">
    <w:p w:rsidR="00B35A90">
      <w:pPr>
        <w:pStyle w:val="FootnoteText"/>
      </w:pPr>
      <w:r>
        <w:rPr>
          <w:rStyle w:val="FootnoteReference"/>
        </w:rPr>
        <w:footnoteRef/>
      </w:r>
      <w:r>
        <w:t xml:space="preserve"> </w:t>
      </w:r>
      <w:r>
        <w:fldChar w:fldCharType="begin"/>
      </w:r>
      <w:r>
        <w:instrText xml:space="preserve"> HYPERLINK "https://www.thelancet.com/journals/lancet/article/PIIS0140-6736(17)31794-4/fulltext" </w:instrText>
      </w:r>
      <w:r>
        <w:fldChar w:fldCharType="separate"/>
      </w:r>
      <w:r w:rsidRPr="00F14910">
        <w:rPr>
          <w:rStyle w:val="Hyperlink"/>
        </w:rPr>
        <w:t>https://www.thelancet.com/journals/lancet/article/PIIS0140-6736(17)31794-4/fulltext</w:t>
      </w:r>
      <w:r>
        <w:fldChar w:fldCharType="end"/>
      </w:r>
      <w:r>
        <w:t xml:space="preserve"> </w:t>
      </w:r>
    </w:p>
  </w:footnote>
  <w:footnote w:id="8">
    <w:p w:rsidR="000C1B3E">
      <w:pPr>
        <w:pStyle w:val="FootnoteText"/>
      </w:pPr>
      <w:r>
        <w:rPr>
          <w:rStyle w:val="FootnoteReference"/>
        </w:rPr>
        <w:footnoteRef/>
      </w:r>
      <w:r>
        <w:t xml:space="preserve"> </w:t>
      </w:r>
      <w:r>
        <w:fldChar w:fldCharType="begin"/>
      </w:r>
      <w:r>
        <w:instrText xml:space="preserve"> HYPERLINK "https://www.gov.uk/government/publications/ending-preventable-deaths-of-mothers-babies-and-children-by-2030" </w:instrText>
      </w:r>
      <w:r>
        <w:fldChar w:fldCharType="separate"/>
      </w:r>
      <w:r w:rsidRPr="00BC0844">
        <w:rPr>
          <w:rStyle w:val="Hyperlink"/>
        </w:rPr>
        <w:t>https://www.gov.uk/government/publications/ending-preventable-deaths-of-mothers-babies-and-children-by-2030</w:t>
      </w:r>
      <w:r>
        <w:fldChar w:fldCharType="end"/>
      </w:r>
      <w:r>
        <w:t xml:space="preserve"> </w:t>
      </w:r>
    </w:p>
  </w:footnote>
  <w:footnote w:id="9">
    <w:p w:rsidR="001A4C09">
      <w:pPr>
        <w:pStyle w:val="FootnoteText"/>
      </w:pPr>
      <w:r>
        <w:rPr>
          <w:rStyle w:val="FootnoteReference"/>
        </w:rPr>
        <w:footnoteRef/>
      </w:r>
      <w:r>
        <w:t xml:space="preserve"> </w:t>
      </w:r>
      <w:r>
        <w:fldChar w:fldCharType="begin"/>
      </w:r>
      <w:r>
        <w:instrText xml:space="preserve"> HYPERLINK "https://www.rcog.org.uk/media/f32nniuk/abortion-care-telemedicine-best-practice-paper-2022.pdf" </w:instrText>
      </w:r>
      <w:r>
        <w:fldChar w:fldCharType="separate"/>
      </w:r>
      <w:r w:rsidRPr="006C3A80">
        <w:rPr>
          <w:rStyle w:val="Hyperlink"/>
        </w:rPr>
        <w:t>https://www.rcog.org.uk/media/f32nniuk/abortion-care-telemedicine-best-practice-paper-2022.pdf</w:t>
      </w:r>
      <w:r>
        <w:fldChar w:fldCharType="end"/>
      </w:r>
    </w:p>
  </w:footnote>
  <w:footnote w:id="10">
    <w:p w:rsidR="00705818">
      <w:pPr>
        <w:pStyle w:val="FootnoteText"/>
      </w:pPr>
      <w:r>
        <w:rPr>
          <w:rStyle w:val="FootnoteReference"/>
        </w:rPr>
        <w:footnoteRef/>
      </w:r>
      <w:r>
        <w:t xml:space="preserve"> </w:t>
      </w:r>
      <w:r>
        <w:fldChar w:fldCharType="begin"/>
      </w:r>
      <w:r>
        <w:instrText xml:space="preserve"> HYPERLINK "https://rcog.org.uk/about-us/campaigning-and-opinions/position-statements/position-statement-self-managed-abortion/" </w:instrText>
      </w:r>
      <w:r>
        <w:fldChar w:fldCharType="separate"/>
      </w:r>
      <w:r w:rsidRPr="00B338D8" w:rsidR="00C15B1E">
        <w:rPr>
          <w:rStyle w:val="Hyperlink"/>
        </w:rPr>
        <w:t>https://rcog.org.uk/about-us/campaigning-and-opinions/position-statements/position-statement-self-managed-abortion/</w:t>
      </w:r>
      <w:r>
        <w:fldChar w:fldCharType="end"/>
      </w:r>
      <w:r w:rsidR="00C15B1E">
        <w:rPr>
          <w:color w:val="C00000"/>
        </w:rPr>
        <w:t xml:space="preserve"> </w:t>
      </w:r>
    </w:p>
  </w:footnote>
  <w:footnote w:id="11">
    <w:p w:rsidR="00705818" w:rsidP="00705818">
      <w:pPr>
        <w:pStyle w:val="FootnoteText"/>
      </w:pPr>
      <w:r>
        <w:rPr>
          <w:rStyle w:val="FootnoteReference"/>
        </w:rPr>
        <w:footnoteRef/>
      </w:r>
      <w:r>
        <w:t xml:space="preserve"> </w:t>
      </w:r>
      <w:r>
        <w:fldChar w:fldCharType="begin"/>
      </w:r>
      <w:r>
        <w:instrText xml:space="preserve"> HYPERLINK "https://www.who.int/publications/i/item/9789240039483" </w:instrText>
      </w:r>
      <w:r>
        <w:fldChar w:fldCharType="separate"/>
      </w:r>
      <w:r w:rsidRPr="00B338D8" w:rsidR="00C15B1E">
        <w:rPr>
          <w:rStyle w:val="Hyperlink"/>
        </w:rPr>
        <w:t>https://www.who.int/publications/i/item/9789240039483</w:t>
      </w:r>
      <w:r>
        <w:fldChar w:fldCharType="end"/>
      </w:r>
      <w:r>
        <w:t xml:space="preserve"> </w:t>
      </w:r>
    </w:p>
  </w:footnote>
  <w:footnote w:id="12">
    <w:p w:rsidR="00B92310">
      <w:pPr>
        <w:pStyle w:val="FootnoteText"/>
      </w:pPr>
      <w:r>
        <w:rPr>
          <w:rStyle w:val="FootnoteReference"/>
        </w:rPr>
        <w:footnoteRef/>
      </w:r>
      <w:r>
        <w:t xml:space="preserve"> </w:t>
      </w:r>
      <w:r>
        <w:fldChar w:fldCharType="begin"/>
      </w:r>
      <w:r>
        <w:instrText xml:space="preserve"> HYPERLINK "https://www.who.int/news/item/29-07-2022-who-and-unaids-support-countries-to-introduce-virtual-interventions-and-hiv-self-testing" </w:instrText>
      </w:r>
      <w:r>
        <w:fldChar w:fldCharType="separate"/>
      </w:r>
      <w:r w:rsidRPr="005D26DA">
        <w:rPr>
          <w:rStyle w:val="Hyperlink"/>
        </w:rPr>
        <w:t>https://www.who.int/news/item/29-07-2022-who-and-unaids-support-countries-to-introduce-virtual-interventions-and-hiv-self-testing</w:t>
      </w:r>
      <w:r>
        <w:fldChar w:fldCharType="end"/>
      </w:r>
      <w:r>
        <w:rPr>
          <w:rStyle w:val="Hyperlink"/>
        </w:rPr>
        <w:t xml:space="preserve"> </w:t>
      </w:r>
    </w:p>
  </w:footnote>
  <w:footnote w:id="13">
    <w:p w:rsidR="00F61768" w:rsidP="00F61768">
      <w:pPr>
        <w:pStyle w:val="FootnoteText"/>
      </w:pPr>
      <w:r>
        <w:rPr>
          <w:rStyle w:val="FootnoteReference"/>
        </w:rPr>
        <w:footnoteRef/>
      </w:r>
      <w:r>
        <w:t xml:space="preserve"> </w:t>
      </w:r>
      <w:r>
        <w:fldChar w:fldCharType="begin"/>
      </w:r>
      <w:r>
        <w:instrText xml:space="preserve"> HYPERLINK "https://www.guttmacher.org/just-numbers-impact-uk-international-family-planning-assistance-2021-2022" </w:instrText>
      </w:r>
      <w:r>
        <w:fldChar w:fldCharType="separate"/>
      </w:r>
      <w:r w:rsidRPr="00F14910" w:rsidR="00AF2FDD">
        <w:rPr>
          <w:rStyle w:val="Hyperlink"/>
        </w:rPr>
        <w:t>https://www.guttmacher.org/just-numbers-impact-uk-international-family-planning-assistance-2021-2022</w:t>
      </w:r>
      <w:r>
        <w:fldChar w:fldCharType="end"/>
      </w:r>
      <w:r w:rsidR="00AF2FDD">
        <w:t xml:space="preserve"> </w:t>
      </w:r>
    </w:p>
  </w:footnote>
  <w:footnote w:id="14">
    <w:p w:rsidR="00F61768" w:rsidP="00F61768">
      <w:pPr>
        <w:pStyle w:val="FootnoteText"/>
      </w:pPr>
      <w:r>
        <w:rPr>
          <w:rStyle w:val="FootnoteReference"/>
        </w:rPr>
        <w:footnoteRef/>
      </w:r>
      <w:r>
        <w:t xml:space="preserve"> </w:t>
      </w:r>
      <w:r>
        <w:fldChar w:fldCharType="begin"/>
      </w:r>
      <w:r>
        <w:instrText xml:space="preserve"> HYPERLINK "https://www.who.int/news/item/23-02-2023-a-woman-dies-every-two-minutes-due-to-pregnancy-or-childbirth--un-agencies" </w:instrText>
      </w:r>
      <w:r>
        <w:fldChar w:fldCharType="separate"/>
      </w:r>
      <w:r w:rsidRPr="00F14910" w:rsidR="00AF2FDD">
        <w:rPr>
          <w:rStyle w:val="Hyperlink"/>
        </w:rPr>
        <w:t>https://www.who.int/news/item/23-02-2023-a-woman-dies-every-two-minutes-due-to-pregnancy-or-childbirth--un-agencies</w:t>
      </w:r>
      <w:r>
        <w:fldChar w:fldCharType="end"/>
      </w:r>
      <w:r w:rsidR="00AF2FDD">
        <w:t xml:space="preserve"> </w:t>
      </w:r>
    </w:p>
  </w:footnote>
  <w:footnote w:id="15">
    <w:p w:rsidR="00A25B00" w:rsidP="00A25B00">
      <w:pPr>
        <w:pStyle w:val="FootnoteText"/>
      </w:pPr>
      <w:r>
        <w:rPr>
          <w:rStyle w:val="FootnoteReference"/>
        </w:rPr>
        <w:footnoteRef/>
      </w:r>
      <w:r>
        <w:t xml:space="preserve"> </w:t>
      </w:r>
      <w:r>
        <w:fldChar w:fldCharType="begin"/>
      </w:r>
      <w:r>
        <w:instrText xml:space="preserve"> HYPERLINK "https://donorsdelivering.report/wp-content/uploads/2021/09/DD_Report_2021.pdf" </w:instrText>
      </w:r>
      <w:r>
        <w:fldChar w:fldCharType="separate"/>
      </w:r>
      <w:r w:rsidRPr="00F14910">
        <w:rPr>
          <w:rStyle w:val="Hyperlink"/>
        </w:rPr>
        <w:t>https://donorsdelivering.report/wp-content/uploads/2021/09/DD_Report_2021.pdf</w:t>
      </w:r>
      <w:r>
        <w:fldChar w:fldCharType="end"/>
      </w:r>
      <w:r>
        <w:t xml:space="preserve"> </w:t>
      </w:r>
    </w:p>
  </w:footnote>
  <w:footnote w:id="16">
    <w:p w:rsidR="006C0431">
      <w:pPr>
        <w:pStyle w:val="FootnoteText"/>
      </w:pPr>
      <w:r>
        <w:rPr>
          <w:rStyle w:val="FootnoteReference"/>
        </w:rPr>
        <w:footnoteRef/>
      </w:r>
      <w:r>
        <w:t xml:space="preserve"> </w:t>
      </w:r>
      <w:r>
        <w:fldChar w:fldCharType="begin"/>
      </w:r>
      <w:r>
        <w:instrText xml:space="preserve"> HYPERLINK "https://sdgs.un.org/goals/goal3" </w:instrText>
      </w:r>
      <w:r>
        <w:fldChar w:fldCharType="separate"/>
      </w:r>
      <w:r w:rsidRPr="00BC0844">
        <w:rPr>
          <w:rStyle w:val="Hyperlink"/>
        </w:rPr>
        <w:t>https://sdgs.un.org/goals/goal3</w:t>
      </w:r>
      <w:r>
        <w:fldChar w:fldCharType="end"/>
      </w:r>
      <w:r>
        <w:t xml:space="preserve"> </w:t>
      </w:r>
    </w:p>
  </w:footnote>
  <w:footnote w:id="17">
    <w:p w:rsidR="006C0431">
      <w:pPr>
        <w:pStyle w:val="FootnoteText"/>
      </w:pPr>
      <w:r>
        <w:rPr>
          <w:rStyle w:val="FootnoteReference"/>
        </w:rPr>
        <w:footnoteRef/>
      </w:r>
      <w:r>
        <w:t xml:space="preserve"> </w:t>
      </w:r>
      <w:r>
        <w:fldChar w:fldCharType="begin"/>
      </w:r>
      <w:r>
        <w:instrText xml:space="preserve"> HYPERLINK "https://www.gov.uk/government/news/uk-launches-new-global-women-and-girls-strategy-on-international-womens-day" </w:instrText>
      </w:r>
      <w:r>
        <w:fldChar w:fldCharType="separate"/>
      </w:r>
      <w:r w:rsidRPr="00BC0844">
        <w:rPr>
          <w:rStyle w:val="Hyperlink"/>
        </w:rPr>
        <w:t>https://www.gov.uk/government/news/uk-launches-new-global-women-and-girls-strategy-on-international-womens-day</w:t>
      </w:r>
      <w:r>
        <w:fldChar w:fldCharType="end"/>
      </w:r>
      <w:r>
        <w:t xml:space="preserve"> </w:t>
      </w:r>
    </w:p>
  </w:footnote>
  <w:footnote w:id="18">
    <w:p w:rsidR="00F61768" w:rsidP="00F61768">
      <w:pPr>
        <w:pStyle w:val="FootnoteText"/>
      </w:pPr>
      <w:r>
        <w:rPr>
          <w:rStyle w:val="FootnoteReference"/>
        </w:rPr>
        <w:footnoteRef/>
      </w:r>
      <w:r>
        <w:t xml:space="preserve"> </w:t>
      </w:r>
      <w:r>
        <w:fldChar w:fldCharType="begin"/>
      </w:r>
      <w:r>
        <w:instrText xml:space="preserve"> HYPERLINK "https://www.unfpa.org/sites/default/files/resource-pdf/FINAL_UNFPA_Backgrounder_web.pdf" </w:instrText>
      </w:r>
      <w:r>
        <w:fldChar w:fldCharType="separate"/>
      </w:r>
      <w:r w:rsidRPr="00F14910" w:rsidR="00993B7C">
        <w:rPr>
          <w:rStyle w:val="Hyperlink"/>
        </w:rPr>
        <w:t>https://www.unfpa.org/sites/default/files/resource-pdf/FINAL_UNFPA_Backgrounder_web.pdf</w:t>
      </w:r>
      <w:r>
        <w:fldChar w:fldCharType="end"/>
      </w:r>
      <w:r w:rsidR="00993B7C">
        <w:t xml:space="preserve"> </w:t>
      </w:r>
    </w:p>
  </w:footnote>
  <w:footnote w:id="19">
    <w:p w:rsidR="00F61768" w:rsidP="00F61768">
      <w:pPr>
        <w:pStyle w:val="FootnoteText"/>
      </w:pPr>
      <w:r>
        <w:rPr>
          <w:rStyle w:val="FootnoteReference"/>
        </w:rPr>
        <w:footnoteRef/>
      </w:r>
      <w:r>
        <w:t xml:space="preserve"> </w:t>
      </w:r>
      <w:r>
        <w:fldChar w:fldCharType="begin"/>
      </w:r>
      <w:r>
        <w:instrText xml:space="preserve"> HYPERLINK "https://www.unfpa.org/press/statement-uk-government-funding-cuts" \l ":~:text=UNFPA%2C%20the%20United%20Nations%20sexual,for%20family%20planning%2C%20this%20year" </w:instrText>
      </w:r>
      <w:r>
        <w:fldChar w:fldCharType="separate"/>
      </w:r>
      <w:r w:rsidRPr="00F14910" w:rsidR="00AF2FDD">
        <w:rPr>
          <w:rStyle w:val="Hyperlink"/>
        </w:rPr>
        <w:t>https://www.unfpa.org/press/statement-uk-government-funding-cuts#:~:text=UNFPA%2C%20the%20United%20Nations%20sexual,for%20family%20planning%2C%20this%20year</w:t>
      </w:r>
      <w:r>
        <w:fldChar w:fldCharType="end"/>
      </w:r>
      <w:r w:rsidRPr="00AF2FDD" w:rsidR="00AF2FDD">
        <w:t>.</w:t>
      </w:r>
      <w:r w:rsidR="00AF2FDD">
        <w:t xml:space="preserve"> </w:t>
      </w:r>
    </w:p>
  </w:footnote>
  <w:footnote w:id="20">
    <w:p w:rsidR="006C0431">
      <w:pPr>
        <w:pStyle w:val="FootnoteText"/>
      </w:pPr>
      <w:r>
        <w:rPr>
          <w:rStyle w:val="FootnoteReference"/>
        </w:rPr>
        <w:footnoteRef/>
      </w:r>
      <w:r>
        <w:t xml:space="preserve"> </w:t>
      </w:r>
      <w:r>
        <w:fldChar w:fldCharType="begin"/>
      </w:r>
      <w:r>
        <w:instrText xml:space="preserve"> HYPERLINK "https://www.gov.uk/government/publications/dfid-strategic-vision-for-gender-equality-her-potential-our-future" </w:instrText>
      </w:r>
      <w:r>
        <w:fldChar w:fldCharType="separate"/>
      </w:r>
      <w:r w:rsidRPr="00BC0844">
        <w:rPr>
          <w:rStyle w:val="Hyperlink"/>
        </w:rPr>
        <w:t>https://www.gov.uk/government/publications/dfid-strategic-vision-for-gender-equality-her-potential-our-future</w:t>
      </w:r>
      <w:r>
        <w:fldChar w:fldCharType="end"/>
      </w:r>
      <w:r>
        <w:t xml:space="preserve"> </w:t>
      </w:r>
    </w:p>
  </w:footnote>
  <w:footnote w:id="21">
    <w:p w:rsidR="00C26C3B">
      <w:pPr>
        <w:pStyle w:val="FootnoteText"/>
      </w:pPr>
      <w:r>
        <w:rPr>
          <w:rStyle w:val="FootnoteReference"/>
        </w:rPr>
        <w:footnoteRef/>
      </w:r>
      <w:r>
        <w:t xml:space="preserve"> </w:t>
      </w:r>
      <w:r>
        <w:fldChar w:fldCharType="begin"/>
      </w:r>
      <w:r>
        <w:instrText xml:space="preserve"> HYPERLINK "https://www.guttmacher.org/guttmacher-lancet-commission/accelerate-progress-executive-summary" </w:instrText>
      </w:r>
      <w:r>
        <w:fldChar w:fldCharType="separate"/>
      </w:r>
      <w:r w:rsidRPr="00BC0844">
        <w:rPr>
          <w:rStyle w:val="Hyperlink"/>
        </w:rPr>
        <w:t>https://www.guttmacher.org/guttmacher-lancet-commission/accelerate-progress-executive-summary</w:t>
      </w:r>
      <w:r>
        <w:fldChar w:fldCharType="end"/>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10E03EA"/>
    <w:multiLevelType w:val="multilevel"/>
    <w:tmpl w:val="A9280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C256676"/>
    <w:multiLevelType w:val="hybridMultilevel"/>
    <w:tmpl w:val="5A6408CA"/>
    <w:lvl w:ilvl="0">
      <w:start w:val="5"/>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332279C"/>
    <w:multiLevelType w:val="hybridMultilevel"/>
    <w:tmpl w:val="3C888A7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2ED3"/>
    <w:pPr>
      <w:ind w:left="720"/>
      <w:contextualSpacing/>
    </w:pPr>
  </w:style>
  <w:style w:type="character" w:styleId="CommentReference">
    <w:name w:val="annotation reference"/>
    <w:basedOn w:val="DefaultParagraphFont"/>
    <w:uiPriority w:val="99"/>
    <w:semiHidden/>
    <w:unhideWhenUsed/>
    <w:rsid w:val="00C87A6E"/>
    <w:rPr>
      <w:sz w:val="16"/>
      <w:szCs w:val="16"/>
    </w:rPr>
  </w:style>
  <w:style w:type="paragraph" w:styleId="CommentText">
    <w:name w:val="annotation text"/>
    <w:basedOn w:val="Normal"/>
    <w:link w:val="CommentTextChar"/>
    <w:uiPriority w:val="99"/>
    <w:unhideWhenUsed/>
    <w:rsid w:val="00C87A6E"/>
    <w:pPr>
      <w:spacing w:after="0" w:line="240" w:lineRule="auto"/>
    </w:pPr>
    <w:rPr>
      <w:rFonts w:ascii="Calibri" w:hAnsi="Calibri" w:cs="Calibri"/>
      <w:sz w:val="20"/>
      <w:szCs w:val="20"/>
    </w:rPr>
  </w:style>
  <w:style w:type="character" w:customStyle="1" w:styleId="CommentTextChar">
    <w:name w:val="Comment Text Char"/>
    <w:basedOn w:val="DefaultParagraphFont"/>
    <w:link w:val="CommentText"/>
    <w:uiPriority w:val="99"/>
    <w:rsid w:val="00C87A6E"/>
    <w:rPr>
      <w:rFonts w:ascii="Calibri" w:hAnsi="Calibri" w:cs="Calibri"/>
      <w:sz w:val="20"/>
      <w:szCs w:val="20"/>
    </w:rPr>
  </w:style>
  <w:style w:type="paragraph" w:styleId="BalloonText">
    <w:name w:val="Balloon Text"/>
    <w:basedOn w:val="Normal"/>
    <w:link w:val="BalloonTextChar"/>
    <w:uiPriority w:val="99"/>
    <w:semiHidden/>
    <w:unhideWhenUsed/>
    <w:rsid w:val="00C87A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A6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00B02"/>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D00B02"/>
    <w:rPr>
      <w:rFonts w:ascii="Calibri" w:hAnsi="Calibri" w:cs="Calibri"/>
      <w:b/>
      <w:bCs/>
      <w:sz w:val="20"/>
      <w:szCs w:val="20"/>
    </w:rPr>
  </w:style>
  <w:style w:type="paragraph" w:styleId="FootnoteText">
    <w:name w:val="footnote text"/>
    <w:basedOn w:val="Normal"/>
    <w:link w:val="FootnoteTextChar"/>
    <w:uiPriority w:val="99"/>
    <w:semiHidden/>
    <w:unhideWhenUsed/>
    <w:rsid w:val="00F617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1768"/>
    <w:rPr>
      <w:sz w:val="20"/>
      <w:szCs w:val="20"/>
    </w:rPr>
  </w:style>
  <w:style w:type="character" w:styleId="FootnoteReference">
    <w:name w:val="footnote reference"/>
    <w:basedOn w:val="DefaultParagraphFont"/>
    <w:uiPriority w:val="99"/>
    <w:semiHidden/>
    <w:unhideWhenUsed/>
    <w:rsid w:val="00F61768"/>
    <w:rPr>
      <w:vertAlign w:val="superscript"/>
    </w:rPr>
  </w:style>
  <w:style w:type="character" w:styleId="Hyperlink">
    <w:name w:val="Hyperlink"/>
    <w:basedOn w:val="DefaultParagraphFont"/>
    <w:uiPriority w:val="99"/>
    <w:unhideWhenUsed/>
    <w:rsid w:val="00B35A90"/>
    <w:rPr>
      <w:color w:val="0563C1" w:themeColor="hyperlink"/>
      <w:u w:val="single"/>
    </w:rPr>
  </w:style>
  <w:style w:type="paragraph" w:styleId="Header">
    <w:name w:val="header"/>
    <w:basedOn w:val="Normal"/>
    <w:link w:val="HeaderChar"/>
    <w:uiPriority w:val="99"/>
    <w:unhideWhenUsed/>
    <w:rsid w:val="00A87F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7F5A"/>
  </w:style>
  <w:style w:type="paragraph" w:styleId="Footer">
    <w:name w:val="footer"/>
    <w:basedOn w:val="Normal"/>
    <w:link w:val="FooterChar"/>
    <w:uiPriority w:val="99"/>
    <w:unhideWhenUsed/>
    <w:rsid w:val="00A87F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F5A"/>
  </w:style>
  <w:style w:type="character" w:styleId="FollowedHyperlink">
    <w:name w:val="FollowedHyperlink"/>
    <w:basedOn w:val="DefaultParagraphFont"/>
    <w:uiPriority w:val="99"/>
    <w:semiHidden/>
    <w:unhideWhenUsed/>
    <w:rsid w:val="004E201B"/>
    <w:rPr>
      <w:color w:val="954F72" w:themeColor="followedHyperlink"/>
      <w:u w:val="single"/>
    </w:rPr>
  </w:style>
  <w:style w:type="paragraph" w:styleId="NoSpacing">
    <w:name w:val="No Spacing"/>
    <w:uiPriority w:val="1"/>
    <w:qFormat/>
    <w:rsid w:val="00D853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4D83D-0AB7-4D61-8DC5-9302BEB83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