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D7318" w:rsidRPr="00EE369D" w:rsidP="00EE369D">
      <w:pPr>
        <w:pStyle w:val="ListParagraph"/>
        <w:spacing w:line="240" w:lineRule="auto"/>
        <w:ind w:left="0"/>
        <w:jc w:val="center"/>
        <w:rPr>
          <w:rFonts w:ascii="Arial" w:hAnsi="Arial" w:cs="Arial"/>
          <w:b/>
          <w:bCs/>
          <w:u w:val="single"/>
          <w:lang w:val="en-US"/>
        </w:rPr>
      </w:pPr>
      <w:r>
        <w:rPr>
          <w:rFonts w:ascii="Arial" w:hAnsi="Arial" w:cs="Arial"/>
          <w:b/>
          <w:bCs/>
          <w:u w:val="single"/>
          <w:lang w:val="en-US"/>
        </w:rPr>
        <w:t xml:space="preserve">Written evidence submitted by </w:t>
      </w:r>
      <w:r w:rsidRPr="00EE369D">
        <w:rPr>
          <w:rFonts w:ascii="Arial" w:hAnsi="Arial" w:cs="Arial"/>
          <w:b/>
          <w:bCs/>
          <w:u w:val="single"/>
          <w:lang w:val="en-US"/>
        </w:rPr>
        <w:t>Mr David C</w:t>
      </w:r>
    </w:p>
    <w:p w:rsidR="00B31CD6" w:rsidRPr="00EE369D" w:rsidP="008125CA">
      <w:pPr>
        <w:pStyle w:val="ListParagraph"/>
        <w:spacing w:line="240" w:lineRule="auto"/>
        <w:ind w:left="0"/>
        <w:rPr>
          <w:rFonts w:ascii="Arial" w:hAnsi="Arial" w:cs="Arial"/>
          <w:b/>
          <w:bCs/>
          <w:lang w:val="en-US"/>
        </w:rPr>
      </w:pPr>
    </w:p>
    <w:p w:rsidR="00BD7318" w:rsidRPr="00EE369D" w:rsidP="008125CA">
      <w:pPr>
        <w:pStyle w:val="ListParagraph"/>
        <w:spacing w:line="240" w:lineRule="auto"/>
        <w:ind w:left="0"/>
        <w:rPr>
          <w:rFonts w:ascii="Arial" w:hAnsi="Arial" w:cs="Arial"/>
          <w:b/>
          <w:bCs/>
          <w:lang w:val="en-US"/>
        </w:rPr>
      </w:pPr>
      <w:r w:rsidRPr="00EE369D">
        <w:rPr>
          <w:rFonts w:ascii="Arial" w:hAnsi="Arial" w:cs="Arial"/>
          <w:b/>
          <w:bCs/>
          <w:lang w:val="en-US"/>
        </w:rPr>
        <w:t>My Role</w:t>
      </w:r>
    </w:p>
    <w:p w:rsidR="00B31CD6" w:rsidRPr="00EE369D" w:rsidP="008125CA">
      <w:pPr>
        <w:pStyle w:val="ListParagraph"/>
        <w:spacing w:line="240" w:lineRule="auto"/>
        <w:ind w:left="0"/>
        <w:rPr>
          <w:rFonts w:ascii="Arial" w:hAnsi="Arial" w:cs="Arial"/>
          <w:b/>
          <w:bCs/>
          <w:lang w:val="en-US"/>
        </w:rPr>
      </w:pPr>
    </w:p>
    <w:p w:rsidR="00BD7318" w:rsidRPr="00EE369D" w:rsidP="008125CA">
      <w:pPr>
        <w:pStyle w:val="ListParagraph"/>
        <w:numPr>
          <w:ilvl w:val="0"/>
          <w:numId w:val="12"/>
        </w:numPr>
        <w:spacing w:line="240" w:lineRule="auto"/>
        <w:rPr>
          <w:rFonts w:ascii="Arial" w:hAnsi="Arial" w:cs="Arial"/>
          <w:lang w:val="en-US"/>
        </w:rPr>
      </w:pPr>
      <w:r w:rsidRPr="00EE369D">
        <w:rPr>
          <w:rFonts w:ascii="Arial" w:hAnsi="Arial" w:cs="Arial"/>
          <w:lang w:val="en-US"/>
        </w:rPr>
        <w:t xml:space="preserve">Between July 2020 and July 2022, I was the Watchkeeper Remotely Piloted Air System (RPAS) In-Service Capability Manager within the Joint Helicopter Command (JHC). </w:t>
      </w:r>
    </w:p>
    <w:p w:rsidR="00B31CD6" w:rsidRPr="00EE369D" w:rsidP="008125CA">
      <w:pPr>
        <w:pStyle w:val="ListParagraph"/>
        <w:spacing w:line="240" w:lineRule="auto"/>
        <w:ind w:left="0"/>
        <w:rPr>
          <w:rFonts w:ascii="Arial" w:hAnsi="Arial" w:cs="Arial"/>
          <w:lang w:val="en-US"/>
        </w:rPr>
      </w:pPr>
    </w:p>
    <w:p w:rsidR="00764323" w:rsidRPr="00EE369D" w:rsidP="008125CA">
      <w:pPr>
        <w:pStyle w:val="ListParagraph"/>
        <w:numPr>
          <w:ilvl w:val="0"/>
          <w:numId w:val="12"/>
        </w:numPr>
        <w:spacing w:line="240" w:lineRule="auto"/>
        <w:rPr>
          <w:rFonts w:ascii="Arial" w:hAnsi="Arial" w:cs="Arial"/>
          <w:lang w:val="en-US"/>
        </w:rPr>
      </w:pPr>
      <w:r w:rsidRPr="00EE369D">
        <w:rPr>
          <w:rFonts w:ascii="Arial" w:hAnsi="Arial" w:cs="Arial"/>
          <w:lang w:val="en-US"/>
        </w:rPr>
        <w:t xml:space="preserve">My role was to manage the capability to upkeep and upgrade the equipment to deliver the defense tasks for Watchkeeper. It involved daily contact directly with DE&amp;S and therefore I feel credible to comment and respond to the call for evidence. </w:t>
      </w:r>
    </w:p>
    <w:p w:rsidR="00B31CD6" w:rsidRPr="00EE369D" w:rsidP="008125CA">
      <w:pPr>
        <w:pStyle w:val="ListParagraph"/>
        <w:spacing w:line="240" w:lineRule="auto"/>
        <w:ind w:left="0"/>
        <w:rPr>
          <w:rFonts w:ascii="Arial" w:hAnsi="Arial" w:cs="Arial"/>
          <w:lang w:val="en-US"/>
        </w:rPr>
      </w:pPr>
    </w:p>
    <w:p w:rsidR="00BD7318" w:rsidRPr="00EE369D" w:rsidP="008125CA">
      <w:pPr>
        <w:pStyle w:val="ListParagraph"/>
        <w:numPr>
          <w:ilvl w:val="0"/>
          <w:numId w:val="12"/>
        </w:numPr>
        <w:spacing w:line="240" w:lineRule="auto"/>
        <w:rPr>
          <w:rFonts w:ascii="Arial" w:hAnsi="Arial" w:cs="Arial"/>
          <w:lang w:val="en-US"/>
        </w:rPr>
      </w:pPr>
      <w:r w:rsidRPr="00EE369D">
        <w:rPr>
          <w:rFonts w:ascii="Arial" w:hAnsi="Arial" w:cs="Arial"/>
          <w:lang w:val="en-US"/>
        </w:rPr>
        <w:t xml:space="preserve">It quickly became apparent that Watchkeeper RPAS was a failing program in which a catalogue of errors had led to a Capability that was not delivering for Defence but was costing the taxpayer billions. Watchkeeper RPAS seemed to be the only defence programme that was in three states simultaneously; Still being delivered, In-service and awaiting a midlife upgrade. I will use this letter to outline my perspective on how this programme reached a failed state. </w:t>
      </w:r>
    </w:p>
    <w:p w:rsidR="00B31CD6" w:rsidRPr="00EE369D" w:rsidP="008125CA">
      <w:pPr>
        <w:pStyle w:val="ListParagraph"/>
        <w:spacing w:line="240" w:lineRule="auto"/>
        <w:ind w:left="0"/>
        <w:rPr>
          <w:rFonts w:ascii="Arial" w:hAnsi="Arial" w:cs="Arial"/>
          <w:lang w:val="en-US"/>
        </w:rPr>
      </w:pPr>
    </w:p>
    <w:p w:rsidR="00764323" w:rsidRPr="00EE369D" w:rsidP="008125CA">
      <w:pPr>
        <w:pStyle w:val="ListParagraph"/>
        <w:numPr>
          <w:ilvl w:val="0"/>
          <w:numId w:val="12"/>
        </w:numPr>
        <w:spacing w:line="240" w:lineRule="auto"/>
        <w:rPr>
          <w:rFonts w:ascii="Arial" w:hAnsi="Arial" w:cs="Arial"/>
          <w:lang w:val="en-US"/>
        </w:rPr>
      </w:pPr>
      <w:r w:rsidRPr="00EE369D">
        <w:rPr>
          <w:rFonts w:ascii="Arial" w:hAnsi="Arial" w:cs="Arial"/>
          <w:lang w:val="en-US"/>
        </w:rPr>
        <w:t>The words and opinions below are my own and do not represent any official position. I will be using data that was relevant between 2020 and 2022 which will give an insight into the issues. This data may be superseded by more current data. I no longer work in the Watchkeeper Capability Manager role, should you request more current evidence please email my successor on JHC-CapMan-ISCM-Mailbox@mod.gov.uk.</w:t>
      </w:r>
    </w:p>
    <w:p w:rsidR="00B31CD6" w:rsidRPr="00EE369D" w:rsidP="008125CA">
      <w:pPr>
        <w:pStyle w:val="ListParagraph"/>
        <w:spacing w:line="240" w:lineRule="auto"/>
        <w:ind w:left="0"/>
        <w:rPr>
          <w:rFonts w:ascii="Arial" w:hAnsi="Arial" w:cs="Arial"/>
          <w:lang w:val="en-US"/>
        </w:rPr>
      </w:pPr>
    </w:p>
    <w:p w:rsidR="00B31CD6" w:rsidRPr="00EE369D" w:rsidP="008125CA">
      <w:pPr>
        <w:pStyle w:val="ListParagraph"/>
        <w:spacing w:line="240" w:lineRule="auto"/>
        <w:ind w:left="0"/>
        <w:rPr>
          <w:rFonts w:ascii="Arial" w:hAnsi="Arial" w:cs="Arial"/>
          <w:b/>
          <w:bCs/>
          <w:lang w:val="en-US"/>
        </w:rPr>
      </w:pPr>
      <w:r w:rsidRPr="00EE369D">
        <w:rPr>
          <w:rFonts w:ascii="Arial" w:hAnsi="Arial" w:cs="Arial"/>
          <w:b/>
          <w:bCs/>
          <w:lang w:val="en-US"/>
        </w:rPr>
        <w:t>Watchkeeper RPAS Context</w:t>
      </w:r>
    </w:p>
    <w:p w:rsidR="00B31CD6" w:rsidRPr="00EE369D" w:rsidP="008125CA">
      <w:pPr>
        <w:pStyle w:val="ListParagraph"/>
        <w:spacing w:line="240" w:lineRule="auto"/>
        <w:ind w:left="0"/>
        <w:rPr>
          <w:rFonts w:ascii="Arial" w:hAnsi="Arial" w:cs="Arial"/>
          <w:lang w:val="en-US"/>
        </w:rPr>
      </w:pPr>
    </w:p>
    <w:p w:rsidR="00764323" w:rsidRPr="00EE369D" w:rsidP="008125CA">
      <w:pPr>
        <w:pStyle w:val="ListParagraph"/>
        <w:numPr>
          <w:ilvl w:val="0"/>
          <w:numId w:val="12"/>
        </w:numPr>
        <w:spacing w:line="240" w:lineRule="auto"/>
        <w:rPr>
          <w:rFonts w:ascii="Arial" w:hAnsi="Arial" w:cs="Arial"/>
          <w:lang w:val="en-US"/>
        </w:rPr>
      </w:pPr>
      <w:r w:rsidRPr="00EE369D">
        <w:rPr>
          <w:rFonts w:ascii="Arial" w:hAnsi="Arial" w:cs="Arial"/>
          <w:lang w:val="en-US"/>
        </w:rPr>
        <w:t xml:space="preserve">Annex A sets out the Background context for Watchkeeper RPAS. It outlines the Capability and the Procurement history. </w:t>
      </w:r>
    </w:p>
    <w:p w:rsidR="00B31CD6" w:rsidRPr="00EE369D" w:rsidP="008125CA">
      <w:pPr>
        <w:pStyle w:val="ListParagraph"/>
        <w:spacing w:line="240" w:lineRule="auto"/>
        <w:ind w:left="0"/>
        <w:rPr>
          <w:rFonts w:ascii="Arial" w:hAnsi="Arial" w:cs="Arial"/>
          <w:b/>
          <w:bCs/>
          <w:lang w:val="en-US"/>
        </w:rPr>
      </w:pPr>
    </w:p>
    <w:p w:rsidR="00BD7318" w:rsidRPr="00EE369D" w:rsidP="008125CA">
      <w:pPr>
        <w:pStyle w:val="ListParagraph"/>
        <w:spacing w:line="240" w:lineRule="auto"/>
        <w:ind w:left="0"/>
        <w:rPr>
          <w:rFonts w:ascii="Arial" w:hAnsi="Arial" w:cs="Arial"/>
          <w:b/>
          <w:bCs/>
          <w:lang w:val="en-US"/>
        </w:rPr>
      </w:pPr>
      <w:r w:rsidRPr="00EE369D">
        <w:rPr>
          <w:rFonts w:ascii="Arial" w:hAnsi="Arial" w:cs="Arial"/>
          <w:b/>
          <w:bCs/>
          <w:lang w:val="en-US"/>
        </w:rPr>
        <w:t>Watchkeeper Procurement</w:t>
      </w:r>
    </w:p>
    <w:p w:rsidR="00B31CD6" w:rsidRPr="00EE369D" w:rsidP="008125CA">
      <w:pPr>
        <w:pStyle w:val="ListParagraph"/>
        <w:spacing w:line="240" w:lineRule="auto"/>
        <w:ind w:left="0"/>
        <w:rPr>
          <w:rFonts w:ascii="Arial" w:hAnsi="Arial" w:cs="Arial"/>
          <w:b/>
          <w:bCs/>
          <w:lang w:val="en-US"/>
        </w:rPr>
      </w:pPr>
    </w:p>
    <w:p w:rsidR="00937BFE" w:rsidRPr="00EE369D" w:rsidP="008125CA">
      <w:pPr>
        <w:pStyle w:val="ListParagraph"/>
        <w:numPr>
          <w:ilvl w:val="0"/>
          <w:numId w:val="12"/>
        </w:numPr>
        <w:spacing w:line="240" w:lineRule="auto"/>
        <w:rPr>
          <w:rFonts w:ascii="Arial" w:hAnsi="Arial" w:cs="Arial"/>
          <w:lang w:val="en-US"/>
        </w:rPr>
      </w:pPr>
      <w:r w:rsidRPr="00EE369D">
        <w:rPr>
          <w:rFonts w:ascii="Arial" w:hAnsi="Arial" w:cs="Arial"/>
          <w:lang w:val="en-US"/>
        </w:rPr>
        <w:t>Watchkeeper RPAS Full Operational Capability (FOC) was declared on 30 Nov 2018</w:t>
      </w:r>
      <w:r>
        <w:rPr>
          <w:rStyle w:val="FootnoteReference"/>
          <w:rFonts w:ascii="Arial" w:hAnsi="Arial" w:cs="Arial"/>
          <w:lang w:val="en-US"/>
        </w:rPr>
        <w:footnoteReference w:id="2"/>
      </w:r>
      <w:r w:rsidRPr="00EE369D">
        <w:rPr>
          <w:rFonts w:ascii="Arial" w:hAnsi="Arial" w:cs="Arial"/>
          <w:lang w:val="en-US"/>
        </w:rPr>
        <w:t>. The fundamental problem were:</w:t>
      </w:r>
    </w:p>
    <w:p w:rsidR="00637D26" w:rsidRPr="00EE369D" w:rsidP="008125CA">
      <w:pPr>
        <w:pStyle w:val="ListParagraph"/>
        <w:spacing w:line="240" w:lineRule="auto"/>
        <w:ind w:left="0"/>
        <w:rPr>
          <w:rFonts w:ascii="Arial" w:hAnsi="Arial" w:cs="Arial"/>
          <w:lang w:val="en-US"/>
        </w:rPr>
      </w:pPr>
    </w:p>
    <w:p w:rsidR="00637D26" w:rsidRPr="00EE369D" w:rsidP="004E305F">
      <w:pPr>
        <w:pStyle w:val="ListParagraph"/>
        <w:numPr>
          <w:ilvl w:val="1"/>
          <w:numId w:val="12"/>
        </w:numPr>
        <w:spacing w:line="240" w:lineRule="auto"/>
        <w:rPr>
          <w:rFonts w:ascii="Arial" w:hAnsi="Arial" w:cs="Arial"/>
          <w:lang w:val="en-US"/>
        </w:rPr>
      </w:pPr>
      <w:r w:rsidRPr="00EE369D">
        <w:rPr>
          <w:rFonts w:ascii="Arial" w:hAnsi="Arial" w:cs="Arial"/>
        </w:rPr>
        <w:t xml:space="preserve">The Watchkeeper system is defined by 265 User Requirements, eleven of which are Key User Requirements. Linked to these are 1910, System Requirements through which DE&amp;S should have demonstrated System Capability to the Army. Requirements through which the supplier has demonstrated system compliance to DE&amp;S. </w:t>
      </w:r>
      <w:r w:rsidRPr="00EE369D">
        <w:rPr>
          <w:rFonts w:ascii="Arial" w:hAnsi="Arial" w:cs="Arial"/>
          <w:lang w:val="en-US"/>
        </w:rPr>
        <w:t>As at 30 Nov 18, only 1</w:t>
      </w:r>
      <w:r>
        <w:rPr>
          <w:rStyle w:val="FootnoteReference"/>
          <w:rFonts w:ascii="Arial" w:hAnsi="Arial" w:cs="Arial"/>
          <w:lang w:val="en-US"/>
        </w:rPr>
        <w:footnoteReference w:id="3"/>
      </w:r>
      <w:r w:rsidRPr="00EE369D">
        <w:rPr>
          <w:rFonts w:ascii="Arial" w:hAnsi="Arial" w:cs="Arial"/>
          <w:lang w:val="en-US"/>
        </w:rPr>
        <w:t xml:space="preserve"> of the 11 Key User Requirement and 40% of the 1910 System requirements had been achieved:</w:t>
      </w:r>
    </w:p>
    <w:tbl>
      <w:tblPr>
        <w:tblStyle w:val="TableGrid"/>
        <w:tblW w:w="0" w:type="auto"/>
        <w:tblInd w:w="360" w:type="dxa"/>
        <w:tblLook w:val="04A0"/>
      </w:tblPr>
      <w:tblGrid>
        <w:gridCol w:w="899"/>
        <w:gridCol w:w="6541"/>
        <w:gridCol w:w="1216"/>
      </w:tblGrid>
      <w:tr w:rsidTr="00EA4FFF">
        <w:tblPrEx>
          <w:tblW w:w="0" w:type="auto"/>
          <w:tblInd w:w="360" w:type="dxa"/>
          <w:tblLook w:val="04A0"/>
        </w:tblPrEx>
        <w:tc>
          <w:tcPr>
            <w:tcW w:w="899" w:type="dxa"/>
            <w:vAlign w:val="center"/>
          </w:tcPr>
          <w:p w:rsidR="00637D26" w:rsidRPr="00EE369D" w:rsidP="00EA4FFF">
            <w:pPr>
              <w:rPr>
                <w:rFonts w:ascii="Arial" w:hAnsi="Arial" w:cs="Arial"/>
                <w:b/>
                <w:sz w:val="22"/>
                <w:szCs w:val="22"/>
              </w:rPr>
            </w:pPr>
            <w:r w:rsidRPr="00EE369D">
              <w:rPr>
                <w:rFonts w:ascii="Arial" w:hAnsi="Arial" w:cs="Arial"/>
                <w:b/>
                <w:sz w:val="22"/>
                <w:szCs w:val="22"/>
              </w:rPr>
              <w:t>URD</w:t>
            </w:r>
          </w:p>
        </w:tc>
        <w:tc>
          <w:tcPr>
            <w:tcW w:w="6541" w:type="dxa"/>
            <w:vAlign w:val="center"/>
          </w:tcPr>
          <w:p w:rsidR="00637D26" w:rsidRPr="00EE369D" w:rsidP="00EA4FFF">
            <w:pPr>
              <w:rPr>
                <w:rFonts w:ascii="Arial" w:hAnsi="Arial" w:cs="Arial"/>
                <w:b/>
                <w:sz w:val="22"/>
                <w:szCs w:val="22"/>
              </w:rPr>
            </w:pPr>
            <w:r w:rsidRPr="00EE369D">
              <w:rPr>
                <w:rFonts w:ascii="Arial" w:hAnsi="Arial" w:cs="Arial"/>
                <w:b/>
                <w:sz w:val="22"/>
                <w:szCs w:val="22"/>
              </w:rPr>
              <w:t>Key User Requirement</w:t>
            </w:r>
          </w:p>
        </w:tc>
        <w:tc>
          <w:tcPr>
            <w:tcW w:w="1216" w:type="dxa"/>
            <w:vAlign w:val="center"/>
          </w:tcPr>
          <w:p w:rsidR="00637D26" w:rsidRPr="00EE369D" w:rsidP="00EA4FFF">
            <w:pPr>
              <w:rPr>
                <w:rFonts w:ascii="Arial" w:hAnsi="Arial" w:cs="Arial"/>
                <w:b/>
                <w:sz w:val="22"/>
                <w:szCs w:val="22"/>
              </w:rPr>
            </w:pPr>
            <w:r w:rsidRPr="00EE369D">
              <w:rPr>
                <w:rFonts w:ascii="Arial" w:hAnsi="Arial" w:cs="Arial"/>
                <w:b/>
                <w:sz w:val="22"/>
                <w:szCs w:val="22"/>
              </w:rPr>
              <w:t>RAGY Status</w:t>
            </w:r>
          </w:p>
        </w:tc>
      </w:tr>
      <w:tr w:rsidTr="00EA4FFF">
        <w:tblPrEx>
          <w:tblW w:w="0" w:type="auto"/>
          <w:tblInd w:w="360" w:type="dxa"/>
          <w:tblLook w:val="04A0"/>
        </w:tblPrEx>
        <w:tc>
          <w:tcPr>
            <w:tcW w:w="899" w:type="dxa"/>
            <w:vAlign w:val="center"/>
          </w:tcPr>
          <w:p w:rsidR="00637D26" w:rsidRPr="00EE369D" w:rsidP="00EA4FFF">
            <w:pPr>
              <w:rPr>
                <w:rFonts w:ascii="Arial" w:hAnsi="Arial" w:cs="Arial"/>
                <w:sz w:val="22"/>
                <w:szCs w:val="22"/>
              </w:rPr>
            </w:pPr>
            <w:r w:rsidRPr="00EE369D">
              <w:rPr>
                <w:rFonts w:ascii="Arial" w:hAnsi="Arial" w:cs="Arial"/>
                <w:sz w:val="22"/>
                <w:szCs w:val="22"/>
              </w:rPr>
              <w:t>134</w:t>
            </w:r>
          </w:p>
        </w:tc>
        <w:tc>
          <w:tcPr>
            <w:tcW w:w="6541" w:type="dxa"/>
            <w:vAlign w:val="center"/>
          </w:tcPr>
          <w:p w:rsidR="00637D26" w:rsidRPr="00EE369D" w:rsidP="00EA4FFF">
            <w:pPr>
              <w:rPr>
                <w:rFonts w:ascii="Arial" w:hAnsi="Arial" w:cs="Arial"/>
                <w:sz w:val="22"/>
                <w:szCs w:val="22"/>
              </w:rPr>
            </w:pPr>
            <w:r w:rsidRPr="00EE369D">
              <w:rPr>
                <w:rFonts w:ascii="Arial" w:hAnsi="Arial" w:cs="Arial"/>
                <w:sz w:val="22"/>
                <w:szCs w:val="22"/>
              </w:rPr>
              <w:t xml:space="preserve">WATCHKEEPER shall have at least a 95% probability of detecting all 5 of 5 static NATO standard tank targets within an open area of 4 km2 in no more than 8 minutes. </w:t>
            </w:r>
          </w:p>
        </w:tc>
        <w:tc>
          <w:tcPr>
            <w:tcW w:w="1216" w:type="dxa"/>
            <w:vAlign w:val="center"/>
          </w:tcPr>
          <w:p w:rsidR="00637D26" w:rsidRPr="00EE369D" w:rsidP="00EA4FFF">
            <w:pPr>
              <w:rPr>
                <w:rFonts w:ascii="Arial" w:hAnsi="Arial" w:cs="Arial"/>
                <w:b/>
                <w:sz w:val="22"/>
                <w:szCs w:val="22"/>
              </w:rPr>
            </w:pPr>
          </w:p>
          <w:p w:rsidR="00637D26" w:rsidRPr="00EE369D" w:rsidP="00EA4FFF">
            <w:pPr>
              <w:rPr>
                <w:rFonts w:ascii="Arial" w:hAnsi="Arial" w:cs="Arial"/>
                <w:b/>
                <w:sz w:val="22"/>
                <w:szCs w:val="22"/>
              </w:rPr>
            </w:pPr>
            <w:r w:rsidRPr="00EE369D">
              <w:rPr>
                <w:rFonts w:ascii="Arial" w:hAnsi="Arial" w:cs="Arial"/>
                <w:b/>
                <w:color w:val="FF0000"/>
                <w:sz w:val="22"/>
                <w:szCs w:val="22"/>
              </w:rPr>
              <w:t>RED</w:t>
            </w:r>
          </w:p>
        </w:tc>
      </w:tr>
      <w:tr w:rsidTr="00EA4FFF">
        <w:tblPrEx>
          <w:tblW w:w="0" w:type="auto"/>
          <w:tblInd w:w="360" w:type="dxa"/>
          <w:tblLook w:val="04A0"/>
        </w:tblPrEx>
        <w:tc>
          <w:tcPr>
            <w:tcW w:w="899" w:type="dxa"/>
            <w:vAlign w:val="center"/>
          </w:tcPr>
          <w:p w:rsidR="00637D26" w:rsidRPr="00EE369D" w:rsidP="00EA4FFF">
            <w:pPr>
              <w:rPr>
                <w:rFonts w:ascii="Arial" w:hAnsi="Arial" w:cs="Arial"/>
                <w:sz w:val="22"/>
                <w:szCs w:val="22"/>
              </w:rPr>
            </w:pPr>
            <w:r w:rsidRPr="00EE369D">
              <w:rPr>
                <w:rFonts w:ascii="Arial" w:hAnsi="Arial" w:cs="Arial"/>
                <w:sz w:val="22"/>
                <w:szCs w:val="22"/>
              </w:rPr>
              <w:t>272</w:t>
            </w:r>
          </w:p>
        </w:tc>
        <w:tc>
          <w:tcPr>
            <w:tcW w:w="6541" w:type="dxa"/>
            <w:vAlign w:val="center"/>
          </w:tcPr>
          <w:p w:rsidR="00637D26" w:rsidRPr="00EE369D" w:rsidP="00EA4FFF">
            <w:pPr>
              <w:rPr>
                <w:rFonts w:ascii="Arial" w:hAnsi="Arial" w:cs="Arial"/>
                <w:sz w:val="22"/>
                <w:szCs w:val="22"/>
              </w:rPr>
            </w:pPr>
            <w:r w:rsidRPr="00EE369D">
              <w:rPr>
                <w:rFonts w:ascii="Arial" w:hAnsi="Arial" w:cs="Arial"/>
                <w:sz w:val="22"/>
                <w:szCs w:val="22"/>
              </w:rPr>
              <w:t>In support of unit operations WATCHKEEPER shall have at least a 95% probability of identifying all 5 of 5 static NATO standard tank targets within a 4 km2 area within 30 minutes of receipt of tasking.</w:t>
            </w:r>
          </w:p>
        </w:tc>
        <w:tc>
          <w:tcPr>
            <w:tcW w:w="1216" w:type="dxa"/>
            <w:vAlign w:val="center"/>
          </w:tcPr>
          <w:p w:rsidR="00637D26" w:rsidRPr="00EE369D" w:rsidP="00EA4FFF">
            <w:pPr>
              <w:rPr>
                <w:rFonts w:ascii="Arial" w:hAnsi="Arial" w:cs="Arial"/>
                <w:b/>
                <w:sz w:val="22"/>
                <w:szCs w:val="22"/>
              </w:rPr>
            </w:pPr>
          </w:p>
          <w:p w:rsidR="00637D26" w:rsidRPr="00EE369D" w:rsidP="00EA4FFF">
            <w:pPr>
              <w:rPr>
                <w:rFonts w:ascii="Arial" w:hAnsi="Arial" w:cs="Arial"/>
                <w:b/>
                <w:color w:val="538135" w:themeColor="accent6" w:themeShade="BF"/>
                <w:sz w:val="22"/>
                <w:szCs w:val="22"/>
              </w:rPr>
            </w:pPr>
            <w:r w:rsidRPr="00EE369D">
              <w:rPr>
                <w:rFonts w:ascii="Arial" w:hAnsi="Arial" w:cs="Arial"/>
                <w:b/>
                <w:color w:val="FFC000"/>
                <w:sz w:val="22"/>
                <w:szCs w:val="22"/>
              </w:rPr>
              <w:t>AMBER</w:t>
            </w:r>
          </w:p>
        </w:tc>
      </w:tr>
      <w:tr w:rsidTr="00EA4FFF">
        <w:tblPrEx>
          <w:tblW w:w="0" w:type="auto"/>
          <w:tblInd w:w="360" w:type="dxa"/>
          <w:tblLook w:val="04A0"/>
        </w:tblPrEx>
        <w:tc>
          <w:tcPr>
            <w:tcW w:w="899" w:type="dxa"/>
            <w:vAlign w:val="center"/>
          </w:tcPr>
          <w:p w:rsidR="00637D26" w:rsidRPr="00EE369D" w:rsidP="00EA4FFF">
            <w:pPr>
              <w:rPr>
                <w:rFonts w:ascii="Arial" w:hAnsi="Arial" w:cs="Arial"/>
                <w:sz w:val="22"/>
                <w:szCs w:val="22"/>
              </w:rPr>
            </w:pPr>
            <w:r w:rsidRPr="00EE369D">
              <w:rPr>
                <w:rFonts w:ascii="Arial" w:hAnsi="Arial" w:cs="Arial"/>
                <w:sz w:val="22"/>
                <w:szCs w:val="22"/>
              </w:rPr>
              <w:t>445</w:t>
            </w:r>
          </w:p>
        </w:tc>
        <w:tc>
          <w:tcPr>
            <w:tcW w:w="6541" w:type="dxa"/>
            <w:vAlign w:val="center"/>
          </w:tcPr>
          <w:p w:rsidR="00637D26" w:rsidRPr="00EE369D" w:rsidP="00EA4FFF">
            <w:pPr>
              <w:rPr>
                <w:rFonts w:ascii="Arial" w:hAnsi="Arial" w:cs="Arial"/>
                <w:sz w:val="22"/>
                <w:szCs w:val="22"/>
              </w:rPr>
            </w:pPr>
            <w:r w:rsidRPr="00EE369D">
              <w:rPr>
                <w:rFonts w:ascii="Arial" w:hAnsi="Arial" w:cs="Arial"/>
                <w:sz w:val="22"/>
                <w:szCs w:val="22"/>
              </w:rPr>
              <w:t>WATCHKEEPER shall provide imagery and IMINT concurrently to at least 8 HQs comprising a total of at least 10 Tasking Users throughout the battlespaces of 2 disparate operational theatres.</w:t>
            </w:r>
          </w:p>
        </w:tc>
        <w:tc>
          <w:tcPr>
            <w:tcW w:w="1216" w:type="dxa"/>
            <w:vAlign w:val="center"/>
          </w:tcPr>
          <w:p w:rsidR="00637D26" w:rsidRPr="00EE369D" w:rsidP="00EA4FFF">
            <w:pPr>
              <w:rPr>
                <w:rFonts w:ascii="Arial" w:hAnsi="Arial" w:cs="Arial"/>
                <w:b/>
                <w:sz w:val="22"/>
                <w:szCs w:val="22"/>
              </w:rPr>
            </w:pPr>
            <w:r w:rsidRPr="00EE369D">
              <w:rPr>
                <w:rFonts w:ascii="Arial" w:hAnsi="Arial" w:cs="Arial"/>
                <w:b/>
                <w:sz w:val="22"/>
                <w:szCs w:val="22"/>
              </w:rPr>
              <w:t xml:space="preserve"> </w:t>
            </w:r>
          </w:p>
          <w:p w:rsidR="00637D26" w:rsidRPr="00EE369D" w:rsidP="00EA4FFF">
            <w:pPr>
              <w:rPr>
                <w:rFonts w:ascii="Arial" w:hAnsi="Arial" w:cs="Arial"/>
                <w:b/>
                <w:sz w:val="22"/>
                <w:szCs w:val="22"/>
              </w:rPr>
            </w:pPr>
            <w:r w:rsidRPr="00EE369D">
              <w:rPr>
                <w:rFonts w:ascii="Arial" w:hAnsi="Arial" w:cs="Arial"/>
                <w:b/>
                <w:color w:val="00B050"/>
                <w:sz w:val="22"/>
                <w:szCs w:val="22"/>
              </w:rPr>
              <w:t>GREEN</w:t>
            </w:r>
          </w:p>
        </w:tc>
      </w:tr>
      <w:tr w:rsidTr="00EA4FFF">
        <w:tblPrEx>
          <w:tblW w:w="0" w:type="auto"/>
          <w:tblInd w:w="360" w:type="dxa"/>
          <w:tblLook w:val="04A0"/>
        </w:tblPrEx>
        <w:tc>
          <w:tcPr>
            <w:tcW w:w="899" w:type="dxa"/>
            <w:vAlign w:val="center"/>
          </w:tcPr>
          <w:p w:rsidR="00637D26" w:rsidRPr="00EE369D" w:rsidP="00EA4FFF">
            <w:pPr>
              <w:rPr>
                <w:rFonts w:ascii="Arial" w:hAnsi="Arial" w:cs="Arial"/>
                <w:sz w:val="22"/>
                <w:szCs w:val="22"/>
              </w:rPr>
            </w:pPr>
            <w:r w:rsidRPr="00EE369D">
              <w:rPr>
                <w:rFonts w:ascii="Arial" w:hAnsi="Arial" w:cs="Arial"/>
                <w:sz w:val="22"/>
                <w:szCs w:val="22"/>
              </w:rPr>
              <w:t>8</w:t>
            </w:r>
          </w:p>
        </w:tc>
        <w:tc>
          <w:tcPr>
            <w:tcW w:w="6541" w:type="dxa"/>
            <w:vAlign w:val="center"/>
          </w:tcPr>
          <w:p w:rsidR="00637D26" w:rsidRPr="00EE369D" w:rsidP="00EA4FFF">
            <w:pPr>
              <w:rPr>
                <w:rFonts w:ascii="Arial" w:hAnsi="Arial" w:cs="Arial"/>
                <w:sz w:val="22"/>
                <w:szCs w:val="22"/>
              </w:rPr>
            </w:pPr>
            <w:r w:rsidRPr="00EE369D">
              <w:rPr>
                <w:rFonts w:ascii="Arial" w:hAnsi="Arial" w:cs="Arial"/>
                <w:sz w:val="22"/>
                <w:szCs w:val="22"/>
              </w:rPr>
              <w:t xml:space="preserve">WATCHKEEPER shall satisfy its tasking, world-wide, day and night, under climatic conditions A2, A3, B1, B2, B3, C0 and C1 as defined in Def Stan 00-35 and Def Stan 00-970. </w:t>
            </w:r>
          </w:p>
        </w:tc>
        <w:tc>
          <w:tcPr>
            <w:tcW w:w="1216" w:type="dxa"/>
            <w:vAlign w:val="center"/>
          </w:tcPr>
          <w:p w:rsidR="00637D26" w:rsidRPr="00EE369D" w:rsidP="00EA4FFF">
            <w:pPr>
              <w:rPr>
                <w:rFonts w:ascii="Arial" w:hAnsi="Arial" w:cs="Arial"/>
                <w:b/>
                <w:sz w:val="22"/>
                <w:szCs w:val="22"/>
              </w:rPr>
            </w:pPr>
          </w:p>
          <w:p w:rsidR="00637D26" w:rsidRPr="00EE369D" w:rsidP="00EA4FFF">
            <w:pPr>
              <w:rPr>
                <w:rFonts w:ascii="Arial" w:hAnsi="Arial" w:cs="Arial"/>
                <w:b/>
                <w:color w:val="CCCC00"/>
                <w:sz w:val="22"/>
                <w:szCs w:val="22"/>
              </w:rPr>
            </w:pPr>
            <w:r w:rsidRPr="00EE369D">
              <w:rPr>
                <w:rFonts w:ascii="Arial" w:hAnsi="Arial" w:cs="Arial"/>
                <w:b/>
                <w:color w:val="FFFF00"/>
                <w:sz w:val="22"/>
                <w:szCs w:val="22"/>
              </w:rPr>
              <w:t>YELLOW</w:t>
            </w:r>
          </w:p>
        </w:tc>
      </w:tr>
      <w:tr w:rsidTr="00EA4FFF">
        <w:tblPrEx>
          <w:tblW w:w="0" w:type="auto"/>
          <w:tblInd w:w="360" w:type="dxa"/>
          <w:tblLook w:val="04A0"/>
        </w:tblPrEx>
        <w:tc>
          <w:tcPr>
            <w:tcW w:w="899" w:type="dxa"/>
            <w:vAlign w:val="center"/>
          </w:tcPr>
          <w:p w:rsidR="00637D26" w:rsidRPr="00EE369D" w:rsidP="00EA4FFF">
            <w:pPr>
              <w:rPr>
                <w:rFonts w:ascii="Arial" w:hAnsi="Arial" w:cs="Arial"/>
                <w:sz w:val="22"/>
                <w:szCs w:val="22"/>
              </w:rPr>
            </w:pPr>
            <w:r w:rsidRPr="00EE369D">
              <w:rPr>
                <w:rFonts w:ascii="Arial" w:hAnsi="Arial" w:cs="Arial"/>
                <w:sz w:val="22"/>
                <w:szCs w:val="22"/>
              </w:rPr>
              <w:t>9</w:t>
            </w:r>
          </w:p>
        </w:tc>
        <w:tc>
          <w:tcPr>
            <w:tcW w:w="6541" w:type="dxa"/>
            <w:vAlign w:val="center"/>
          </w:tcPr>
          <w:p w:rsidR="00637D26" w:rsidRPr="00EE369D" w:rsidP="00EA4FFF">
            <w:pPr>
              <w:rPr>
                <w:rFonts w:ascii="Arial" w:hAnsi="Arial" w:cs="Arial"/>
                <w:sz w:val="22"/>
                <w:szCs w:val="22"/>
              </w:rPr>
            </w:pPr>
            <w:r w:rsidRPr="00EE369D">
              <w:rPr>
                <w:rFonts w:ascii="Arial" w:hAnsi="Arial" w:cs="Arial"/>
                <w:sz w:val="22"/>
                <w:szCs w:val="22"/>
              </w:rPr>
              <w:t>WATCHKEEPER shall satisfy its tasking, world-wide, day and night, on surface targets located at up to 4000m altitude AMSL ISA.</w:t>
            </w:r>
          </w:p>
        </w:tc>
        <w:tc>
          <w:tcPr>
            <w:tcW w:w="1216" w:type="dxa"/>
            <w:vAlign w:val="center"/>
          </w:tcPr>
          <w:p w:rsidR="00637D26" w:rsidRPr="00EE369D" w:rsidP="00EA4FFF">
            <w:pPr>
              <w:rPr>
                <w:rFonts w:ascii="Arial" w:hAnsi="Arial" w:cs="Arial"/>
                <w:b/>
                <w:color w:val="FF0000"/>
                <w:sz w:val="22"/>
                <w:szCs w:val="22"/>
              </w:rPr>
            </w:pPr>
          </w:p>
          <w:p w:rsidR="00637D26" w:rsidRPr="00EE369D" w:rsidP="00EA4FFF">
            <w:pPr>
              <w:rPr>
                <w:rFonts w:ascii="Arial" w:hAnsi="Arial" w:cs="Arial"/>
                <w:b/>
                <w:sz w:val="22"/>
                <w:szCs w:val="22"/>
              </w:rPr>
            </w:pPr>
            <w:r w:rsidRPr="00EE369D">
              <w:rPr>
                <w:rFonts w:ascii="Arial" w:hAnsi="Arial" w:cs="Arial"/>
                <w:b/>
                <w:color w:val="FF0000"/>
                <w:sz w:val="22"/>
                <w:szCs w:val="22"/>
              </w:rPr>
              <w:t>RED</w:t>
            </w:r>
          </w:p>
        </w:tc>
      </w:tr>
      <w:tr w:rsidTr="00EA4FFF">
        <w:tblPrEx>
          <w:tblW w:w="0" w:type="auto"/>
          <w:tblInd w:w="360" w:type="dxa"/>
          <w:tblLook w:val="04A0"/>
        </w:tblPrEx>
        <w:tc>
          <w:tcPr>
            <w:tcW w:w="899" w:type="dxa"/>
            <w:vAlign w:val="center"/>
          </w:tcPr>
          <w:p w:rsidR="00637D26" w:rsidRPr="00EE369D" w:rsidP="00EA4FFF">
            <w:pPr>
              <w:rPr>
                <w:rFonts w:ascii="Arial" w:hAnsi="Arial" w:cs="Arial"/>
                <w:sz w:val="22"/>
                <w:szCs w:val="22"/>
              </w:rPr>
            </w:pPr>
            <w:r w:rsidRPr="00EE369D">
              <w:rPr>
                <w:rFonts w:ascii="Arial" w:hAnsi="Arial" w:cs="Arial"/>
                <w:sz w:val="22"/>
                <w:szCs w:val="22"/>
              </w:rPr>
              <w:t>25</w:t>
            </w:r>
          </w:p>
        </w:tc>
        <w:tc>
          <w:tcPr>
            <w:tcW w:w="6541" w:type="dxa"/>
            <w:vAlign w:val="center"/>
          </w:tcPr>
          <w:p w:rsidR="00637D26" w:rsidRPr="00EE369D" w:rsidP="00EA4FFF">
            <w:pPr>
              <w:rPr>
                <w:rFonts w:ascii="Arial" w:hAnsi="Arial" w:cs="Arial"/>
                <w:sz w:val="22"/>
                <w:szCs w:val="22"/>
              </w:rPr>
            </w:pPr>
            <w:r w:rsidRPr="00EE369D">
              <w:rPr>
                <w:rFonts w:ascii="Arial" w:hAnsi="Arial" w:cs="Arial"/>
                <w:sz w:val="22"/>
                <w:szCs w:val="22"/>
              </w:rPr>
              <w:t>WATCHKEEPER shall be transportable by two A400M to support theatre entry force operations for one BFM.</w:t>
            </w:r>
          </w:p>
        </w:tc>
        <w:tc>
          <w:tcPr>
            <w:tcW w:w="1216" w:type="dxa"/>
            <w:vAlign w:val="center"/>
          </w:tcPr>
          <w:p w:rsidR="00637D26" w:rsidRPr="00EE369D" w:rsidP="00EA4FFF">
            <w:pPr>
              <w:rPr>
                <w:rFonts w:ascii="Arial" w:hAnsi="Arial" w:cs="Arial"/>
                <w:b/>
                <w:color w:val="FF0000"/>
                <w:sz w:val="22"/>
                <w:szCs w:val="22"/>
              </w:rPr>
            </w:pPr>
          </w:p>
          <w:p w:rsidR="00637D26" w:rsidRPr="00EE369D" w:rsidP="00EA4FFF">
            <w:pPr>
              <w:rPr>
                <w:rFonts w:ascii="Arial" w:hAnsi="Arial" w:cs="Arial"/>
                <w:b/>
                <w:sz w:val="22"/>
                <w:szCs w:val="22"/>
              </w:rPr>
            </w:pPr>
            <w:r w:rsidRPr="00EE369D">
              <w:rPr>
                <w:rFonts w:ascii="Arial" w:hAnsi="Arial" w:cs="Arial"/>
                <w:b/>
                <w:color w:val="FF0000"/>
                <w:sz w:val="22"/>
                <w:szCs w:val="22"/>
              </w:rPr>
              <w:t>RED</w:t>
            </w:r>
          </w:p>
        </w:tc>
      </w:tr>
      <w:tr w:rsidTr="00EA4FFF">
        <w:tblPrEx>
          <w:tblW w:w="0" w:type="auto"/>
          <w:tblInd w:w="360" w:type="dxa"/>
          <w:tblLook w:val="04A0"/>
        </w:tblPrEx>
        <w:tc>
          <w:tcPr>
            <w:tcW w:w="899" w:type="dxa"/>
            <w:vAlign w:val="center"/>
          </w:tcPr>
          <w:p w:rsidR="00637D26" w:rsidRPr="00EE369D" w:rsidP="00EA4FFF">
            <w:pPr>
              <w:rPr>
                <w:rFonts w:ascii="Arial" w:hAnsi="Arial" w:cs="Arial"/>
                <w:sz w:val="22"/>
                <w:szCs w:val="22"/>
              </w:rPr>
            </w:pPr>
            <w:r w:rsidRPr="00EE369D">
              <w:rPr>
                <w:rFonts w:ascii="Arial" w:hAnsi="Arial" w:cs="Arial"/>
                <w:sz w:val="22"/>
                <w:szCs w:val="22"/>
              </w:rPr>
              <w:t>31</w:t>
            </w:r>
          </w:p>
        </w:tc>
        <w:tc>
          <w:tcPr>
            <w:tcW w:w="6541" w:type="dxa"/>
            <w:vAlign w:val="center"/>
          </w:tcPr>
          <w:p w:rsidR="00637D26" w:rsidRPr="00EE369D" w:rsidP="00EA4FFF">
            <w:pPr>
              <w:rPr>
                <w:rFonts w:ascii="Arial" w:hAnsi="Arial" w:cs="Arial"/>
                <w:sz w:val="22"/>
                <w:szCs w:val="22"/>
              </w:rPr>
            </w:pPr>
            <w:r w:rsidRPr="00EE369D">
              <w:rPr>
                <w:rFonts w:ascii="Arial" w:hAnsi="Arial" w:cs="Arial"/>
                <w:sz w:val="22"/>
                <w:szCs w:val="22"/>
              </w:rPr>
              <w:t xml:space="preserve">WATCHKEEPER shall not constrain the tactical mobility of its Users. </w:t>
            </w:r>
          </w:p>
        </w:tc>
        <w:tc>
          <w:tcPr>
            <w:tcW w:w="1216" w:type="dxa"/>
            <w:vAlign w:val="center"/>
          </w:tcPr>
          <w:p w:rsidR="00637D26" w:rsidRPr="00EE369D" w:rsidP="00EA4FFF">
            <w:pPr>
              <w:rPr>
                <w:rFonts w:ascii="Arial" w:hAnsi="Arial" w:cs="Arial"/>
                <w:b/>
                <w:sz w:val="22"/>
                <w:szCs w:val="22"/>
              </w:rPr>
            </w:pPr>
            <w:r w:rsidRPr="00EE369D">
              <w:rPr>
                <w:rFonts w:ascii="Arial" w:hAnsi="Arial" w:cs="Arial"/>
                <w:b/>
                <w:color w:val="FF0000"/>
                <w:sz w:val="22"/>
                <w:szCs w:val="22"/>
              </w:rPr>
              <w:t>RED</w:t>
            </w:r>
          </w:p>
        </w:tc>
      </w:tr>
      <w:tr w:rsidTr="00EA4FFF">
        <w:tblPrEx>
          <w:tblW w:w="0" w:type="auto"/>
          <w:tblInd w:w="360" w:type="dxa"/>
          <w:tblLook w:val="04A0"/>
        </w:tblPrEx>
        <w:tc>
          <w:tcPr>
            <w:tcW w:w="899" w:type="dxa"/>
            <w:vAlign w:val="center"/>
          </w:tcPr>
          <w:p w:rsidR="00637D26" w:rsidRPr="00EE369D" w:rsidP="00EA4FFF">
            <w:pPr>
              <w:rPr>
                <w:rFonts w:ascii="Arial" w:hAnsi="Arial" w:cs="Arial"/>
                <w:sz w:val="22"/>
                <w:szCs w:val="22"/>
              </w:rPr>
            </w:pPr>
            <w:r w:rsidRPr="00EE369D">
              <w:rPr>
                <w:rFonts w:ascii="Arial" w:hAnsi="Arial" w:cs="Arial"/>
                <w:sz w:val="22"/>
                <w:szCs w:val="22"/>
              </w:rPr>
              <w:t>158</w:t>
            </w:r>
          </w:p>
        </w:tc>
        <w:tc>
          <w:tcPr>
            <w:tcW w:w="6541" w:type="dxa"/>
            <w:vAlign w:val="center"/>
          </w:tcPr>
          <w:p w:rsidR="00637D26" w:rsidRPr="00EE369D" w:rsidP="00EA4FFF">
            <w:pPr>
              <w:rPr>
                <w:rFonts w:ascii="Arial" w:hAnsi="Arial" w:cs="Arial"/>
                <w:sz w:val="22"/>
                <w:szCs w:val="22"/>
              </w:rPr>
            </w:pPr>
            <w:r w:rsidRPr="00EE369D">
              <w:rPr>
                <w:rFonts w:ascii="Arial" w:hAnsi="Arial" w:cs="Arial"/>
                <w:sz w:val="22"/>
                <w:szCs w:val="22"/>
              </w:rPr>
              <w:t>WATCHKEEPER shall satisfy its tasking for 24 hours per day for a period of at least 14 days with an Operational Availability of at least 85%.</w:t>
            </w:r>
          </w:p>
        </w:tc>
        <w:tc>
          <w:tcPr>
            <w:tcW w:w="1216" w:type="dxa"/>
            <w:vAlign w:val="center"/>
          </w:tcPr>
          <w:p w:rsidR="00637D26" w:rsidRPr="00EE369D" w:rsidP="00EA4FFF">
            <w:pPr>
              <w:rPr>
                <w:rFonts w:ascii="Arial" w:hAnsi="Arial" w:cs="Arial"/>
                <w:b/>
                <w:sz w:val="22"/>
                <w:szCs w:val="22"/>
              </w:rPr>
            </w:pPr>
            <w:r w:rsidRPr="00EE369D">
              <w:rPr>
                <w:rFonts w:ascii="Arial" w:hAnsi="Arial" w:cs="Arial"/>
                <w:b/>
                <w:color w:val="FF0000"/>
                <w:sz w:val="22"/>
                <w:szCs w:val="22"/>
              </w:rPr>
              <w:t>RED</w:t>
            </w:r>
          </w:p>
        </w:tc>
      </w:tr>
      <w:tr w:rsidTr="00EA4FFF">
        <w:tblPrEx>
          <w:tblW w:w="0" w:type="auto"/>
          <w:tblInd w:w="360" w:type="dxa"/>
          <w:tblLook w:val="04A0"/>
        </w:tblPrEx>
        <w:tc>
          <w:tcPr>
            <w:tcW w:w="899" w:type="dxa"/>
            <w:vAlign w:val="center"/>
          </w:tcPr>
          <w:p w:rsidR="00637D26" w:rsidRPr="00EE369D" w:rsidP="00EA4FFF">
            <w:pPr>
              <w:rPr>
                <w:rFonts w:ascii="Arial" w:hAnsi="Arial" w:cs="Arial"/>
                <w:sz w:val="22"/>
                <w:szCs w:val="22"/>
              </w:rPr>
            </w:pPr>
            <w:r w:rsidRPr="00EE369D">
              <w:rPr>
                <w:rFonts w:ascii="Arial" w:hAnsi="Arial" w:cs="Arial"/>
                <w:sz w:val="22"/>
                <w:szCs w:val="22"/>
              </w:rPr>
              <w:t>485</w:t>
            </w:r>
          </w:p>
        </w:tc>
        <w:tc>
          <w:tcPr>
            <w:tcW w:w="6541" w:type="dxa"/>
            <w:vAlign w:val="center"/>
          </w:tcPr>
          <w:p w:rsidR="00637D26" w:rsidRPr="00EE369D" w:rsidP="00EA4FFF">
            <w:pPr>
              <w:rPr>
                <w:rFonts w:ascii="Arial" w:hAnsi="Arial" w:cs="Arial"/>
                <w:sz w:val="22"/>
                <w:szCs w:val="22"/>
              </w:rPr>
            </w:pPr>
            <w:r w:rsidRPr="00EE369D">
              <w:rPr>
                <w:rFonts w:ascii="Arial" w:hAnsi="Arial" w:cs="Arial"/>
                <w:sz w:val="22"/>
                <w:szCs w:val="22"/>
              </w:rPr>
              <w:t>WATCHKEEPER shall enable training for Warfighting Operations.</w:t>
            </w:r>
          </w:p>
        </w:tc>
        <w:tc>
          <w:tcPr>
            <w:tcW w:w="1216" w:type="dxa"/>
            <w:vAlign w:val="center"/>
          </w:tcPr>
          <w:p w:rsidR="00637D26" w:rsidRPr="00EE369D" w:rsidP="00EA4FFF">
            <w:pPr>
              <w:rPr>
                <w:rFonts w:ascii="Arial" w:hAnsi="Arial" w:cs="Arial"/>
                <w:b/>
                <w:sz w:val="22"/>
                <w:szCs w:val="22"/>
              </w:rPr>
            </w:pPr>
            <w:r w:rsidRPr="00EE369D">
              <w:rPr>
                <w:rFonts w:ascii="Arial" w:hAnsi="Arial" w:cs="Arial"/>
                <w:b/>
                <w:color w:val="FF0000"/>
                <w:sz w:val="22"/>
                <w:szCs w:val="22"/>
              </w:rPr>
              <w:t>RED</w:t>
            </w:r>
          </w:p>
        </w:tc>
      </w:tr>
      <w:tr w:rsidTr="00EA4FFF">
        <w:tblPrEx>
          <w:tblW w:w="0" w:type="auto"/>
          <w:tblInd w:w="360" w:type="dxa"/>
          <w:tblLook w:val="04A0"/>
        </w:tblPrEx>
        <w:tc>
          <w:tcPr>
            <w:tcW w:w="899" w:type="dxa"/>
            <w:vAlign w:val="center"/>
          </w:tcPr>
          <w:p w:rsidR="00637D26" w:rsidRPr="00EE369D" w:rsidP="00EA4FFF">
            <w:pPr>
              <w:rPr>
                <w:rFonts w:ascii="Arial" w:hAnsi="Arial" w:cs="Arial"/>
                <w:sz w:val="22"/>
                <w:szCs w:val="22"/>
              </w:rPr>
            </w:pPr>
            <w:r w:rsidRPr="00EE369D">
              <w:rPr>
                <w:rFonts w:ascii="Arial" w:hAnsi="Arial" w:cs="Arial"/>
                <w:sz w:val="22"/>
                <w:szCs w:val="22"/>
              </w:rPr>
              <w:t>470</w:t>
            </w:r>
          </w:p>
        </w:tc>
        <w:tc>
          <w:tcPr>
            <w:tcW w:w="6541" w:type="dxa"/>
            <w:vAlign w:val="center"/>
          </w:tcPr>
          <w:p w:rsidR="00637D26" w:rsidRPr="00EE369D" w:rsidP="00EA4FFF">
            <w:pPr>
              <w:rPr>
                <w:rFonts w:ascii="Arial" w:hAnsi="Arial" w:cs="Arial"/>
                <w:sz w:val="22"/>
                <w:szCs w:val="22"/>
              </w:rPr>
            </w:pPr>
            <w:r w:rsidRPr="00EE369D">
              <w:rPr>
                <w:rFonts w:ascii="Arial" w:hAnsi="Arial" w:cs="Arial"/>
                <w:sz w:val="22"/>
                <w:szCs w:val="22"/>
              </w:rPr>
              <w:t>WATCHKEEPER shall exchange data with BOWMAN and dependent BISAs and facilitate J2/J3/J5 user access to WATCHKEEPER I2 across the UK core network.</w:t>
            </w:r>
          </w:p>
        </w:tc>
        <w:tc>
          <w:tcPr>
            <w:tcW w:w="1216" w:type="dxa"/>
            <w:vAlign w:val="center"/>
          </w:tcPr>
          <w:p w:rsidR="00637D26" w:rsidRPr="00EE369D" w:rsidP="00EA4FFF">
            <w:pPr>
              <w:rPr>
                <w:rFonts w:ascii="Arial" w:hAnsi="Arial" w:cs="Arial"/>
                <w:b/>
                <w:color w:val="FF0000"/>
                <w:sz w:val="22"/>
                <w:szCs w:val="22"/>
              </w:rPr>
            </w:pPr>
          </w:p>
          <w:p w:rsidR="00637D26" w:rsidRPr="00EE369D" w:rsidP="00EA4FFF">
            <w:pPr>
              <w:rPr>
                <w:rFonts w:ascii="Arial" w:hAnsi="Arial" w:cs="Arial"/>
                <w:b/>
                <w:sz w:val="22"/>
                <w:szCs w:val="22"/>
              </w:rPr>
            </w:pPr>
            <w:r w:rsidRPr="00EE369D">
              <w:rPr>
                <w:rFonts w:ascii="Arial" w:hAnsi="Arial" w:cs="Arial"/>
                <w:b/>
                <w:color w:val="FF0000"/>
                <w:sz w:val="22"/>
                <w:szCs w:val="22"/>
              </w:rPr>
              <w:t>RED</w:t>
            </w:r>
          </w:p>
        </w:tc>
      </w:tr>
      <w:tr w:rsidTr="00EA4FFF">
        <w:tblPrEx>
          <w:tblW w:w="0" w:type="auto"/>
          <w:tblInd w:w="360" w:type="dxa"/>
          <w:tblLook w:val="04A0"/>
        </w:tblPrEx>
        <w:tc>
          <w:tcPr>
            <w:tcW w:w="899" w:type="dxa"/>
            <w:vAlign w:val="center"/>
          </w:tcPr>
          <w:p w:rsidR="00637D26" w:rsidRPr="00EE369D" w:rsidP="00EA4FFF">
            <w:pPr>
              <w:rPr>
                <w:rFonts w:ascii="Arial" w:hAnsi="Arial" w:cs="Arial"/>
                <w:sz w:val="22"/>
                <w:szCs w:val="22"/>
              </w:rPr>
            </w:pPr>
            <w:r w:rsidRPr="00EE369D">
              <w:rPr>
                <w:rFonts w:ascii="Arial" w:hAnsi="Arial" w:cs="Arial"/>
                <w:sz w:val="22"/>
                <w:szCs w:val="22"/>
              </w:rPr>
              <w:t>185</w:t>
            </w:r>
          </w:p>
        </w:tc>
        <w:tc>
          <w:tcPr>
            <w:tcW w:w="6541" w:type="dxa"/>
            <w:vAlign w:val="center"/>
          </w:tcPr>
          <w:p w:rsidR="00637D26" w:rsidRPr="00EE369D" w:rsidP="00EA4FFF">
            <w:pPr>
              <w:rPr>
                <w:rFonts w:ascii="Arial" w:hAnsi="Arial" w:cs="Arial"/>
                <w:sz w:val="22"/>
                <w:szCs w:val="22"/>
              </w:rPr>
            </w:pPr>
            <w:r w:rsidRPr="00EE369D">
              <w:rPr>
                <w:rFonts w:ascii="Arial" w:hAnsi="Arial" w:cs="Arial"/>
                <w:sz w:val="22"/>
                <w:szCs w:val="22"/>
              </w:rPr>
              <w:t>WATCHKEEPER shall provide the location of static targets to within an absolute targeting error not exceeding 10 m in the horizontal circular error (at 90% confidence levels).</w:t>
            </w:r>
          </w:p>
        </w:tc>
        <w:tc>
          <w:tcPr>
            <w:tcW w:w="1216" w:type="dxa"/>
            <w:vAlign w:val="center"/>
          </w:tcPr>
          <w:p w:rsidR="00637D26" w:rsidRPr="00EE369D" w:rsidP="00EA4FFF">
            <w:pPr>
              <w:rPr>
                <w:rFonts w:ascii="Arial" w:hAnsi="Arial" w:cs="Arial"/>
                <w:b/>
                <w:color w:val="FF0000"/>
                <w:sz w:val="22"/>
                <w:szCs w:val="22"/>
              </w:rPr>
            </w:pPr>
          </w:p>
          <w:p w:rsidR="00637D26" w:rsidRPr="00EE369D" w:rsidP="00EA4FFF">
            <w:pPr>
              <w:rPr>
                <w:rFonts w:ascii="Arial" w:hAnsi="Arial" w:cs="Arial"/>
                <w:b/>
                <w:sz w:val="22"/>
                <w:szCs w:val="22"/>
              </w:rPr>
            </w:pPr>
            <w:r w:rsidRPr="00EE369D">
              <w:rPr>
                <w:rFonts w:ascii="Arial" w:hAnsi="Arial" w:cs="Arial"/>
                <w:b/>
                <w:color w:val="FF0000"/>
                <w:sz w:val="22"/>
                <w:szCs w:val="22"/>
              </w:rPr>
              <w:t>RED</w:t>
            </w:r>
          </w:p>
        </w:tc>
      </w:tr>
    </w:tbl>
    <w:p w:rsidR="00637D26" w:rsidRPr="00EE369D" w:rsidP="008125CA">
      <w:pPr>
        <w:spacing w:line="240" w:lineRule="auto"/>
        <w:ind w:left="567"/>
        <w:rPr>
          <w:rFonts w:ascii="Arial" w:hAnsi="Arial" w:cs="Arial"/>
          <w:lang w:val="en-US"/>
        </w:rPr>
      </w:pPr>
    </w:p>
    <w:tbl>
      <w:tblPr>
        <w:tblStyle w:val="TableGrid"/>
        <w:tblW w:w="0" w:type="auto"/>
        <w:jc w:val="center"/>
        <w:tblLook w:val="04A0"/>
      </w:tblPr>
      <w:tblGrid>
        <w:gridCol w:w="1449"/>
        <w:gridCol w:w="4395"/>
      </w:tblGrid>
      <w:tr w:rsidTr="00524BD7">
        <w:tblPrEx>
          <w:tblW w:w="0" w:type="auto"/>
          <w:jc w:val="center"/>
          <w:tblLook w:val="04A0"/>
        </w:tblPrEx>
        <w:trPr>
          <w:jc w:val="center"/>
        </w:trPr>
        <w:tc>
          <w:tcPr>
            <w:tcW w:w="1449" w:type="dxa"/>
          </w:tcPr>
          <w:p w:rsidR="00637D26" w:rsidRPr="00EE369D" w:rsidP="008125CA">
            <w:pPr>
              <w:rPr>
                <w:rFonts w:ascii="Arial" w:hAnsi="Arial" w:cs="Arial"/>
                <w:b/>
                <w:sz w:val="22"/>
                <w:szCs w:val="22"/>
              </w:rPr>
            </w:pPr>
            <w:r w:rsidRPr="00EE369D">
              <w:rPr>
                <w:rFonts w:ascii="Arial" w:hAnsi="Arial" w:cs="Arial"/>
                <w:b/>
                <w:sz w:val="22"/>
                <w:szCs w:val="22"/>
              </w:rPr>
              <w:t>Colour</w:t>
            </w:r>
          </w:p>
        </w:tc>
        <w:tc>
          <w:tcPr>
            <w:tcW w:w="4395" w:type="dxa"/>
          </w:tcPr>
          <w:p w:rsidR="00637D26" w:rsidRPr="00EE369D" w:rsidP="008125CA">
            <w:pPr>
              <w:rPr>
                <w:rFonts w:ascii="Arial" w:hAnsi="Arial" w:cs="Arial"/>
                <w:b/>
                <w:sz w:val="22"/>
                <w:szCs w:val="22"/>
              </w:rPr>
            </w:pPr>
            <w:r w:rsidRPr="00EE369D">
              <w:rPr>
                <w:rFonts w:ascii="Arial" w:hAnsi="Arial" w:cs="Arial"/>
                <w:b/>
                <w:sz w:val="22"/>
                <w:szCs w:val="22"/>
              </w:rPr>
              <w:t>Acceptance Definition</w:t>
            </w:r>
          </w:p>
        </w:tc>
      </w:tr>
      <w:tr w:rsidTr="00524BD7">
        <w:tblPrEx>
          <w:tblW w:w="0" w:type="auto"/>
          <w:jc w:val="center"/>
          <w:tblLook w:val="04A0"/>
        </w:tblPrEx>
        <w:trPr>
          <w:jc w:val="center"/>
        </w:trPr>
        <w:tc>
          <w:tcPr>
            <w:tcW w:w="1449" w:type="dxa"/>
          </w:tcPr>
          <w:p w:rsidR="00637D26" w:rsidRPr="00EE369D" w:rsidP="008125CA">
            <w:pPr>
              <w:rPr>
                <w:rFonts w:ascii="Arial" w:hAnsi="Arial" w:cs="Arial"/>
                <w:sz w:val="22"/>
                <w:szCs w:val="22"/>
              </w:rPr>
            </w:pPr>
            <w:r w:rsidRPr="00EE369D">
              <w:rPr>
                <w:rFonts w:ascii="Arial" w:hAnsi="Arial" w:cs="Arial"/>
                <w:sz w:val="22"/>
                <w:szCs w:val="22"/>
              </w:rPr>
              <w:t>Red</w:t>
            </w:r>
          </w:p>
        </w:tc>
        <w:tc>
          <w:tcPr>
            <w:tcW w:w="4395" w:type="dxa"/>
          </w:tcPr>
          <w:p w:rsidR="00637D26" w:rsidRPr="00EE369D" w:rsidP="008125CA">
            <w:pPr>
              <w:rPr>
                <w:rFonts w:ascii="Arial" w:hAnsi="Arial" w:cs="Arial"/>
                <w:sz w:val="22"/>
                <w:szCs w:val="22"/>
              </w:rPr>
            </w:pPr>
            <w:r w:rsidRPr="00EE369D">
              <w:rPr>
                <w:rFonts w:ascii="Arial" w:hAnsi="Arial" w:cs="Arial"/>
                <w:sz w:val="22"/>
                <w:szCs w:val="22"/>
              </w:rPr>
              <w:t>Not accepted</w:t>
            </w:r>
          </w:p>
        </w:tc>
      </w:tr>
      <w:tr w:rsidTr="00524BD7">
        <w:tblPrEx>
          <w:tblW w:w="0" w:type="auto"/>
          <w:jc w:val="center"/>
          <w:tblLook w:val="04A0"/>
        </w:tblPrEx>
        <w:trPr>
          <w:jc w:val="center"/>
        </w:trPr>
        <w:tc>
          <w:tcPr>
            <w:tcW w:w="1449" w:type="dxa"/>
          </w:tcPr>
          <w:p w:rsidR="00637D26" w:rsidRPr="00EE369D" w:rsidP="008125CA">
            <w:pPr>
              <w:rPr>
                <w:rFonts w:ascii="Arial" w:hAnsi="Arial" w:cs="Arial"/>
                <w:sz w:val="22"/>
                <w:szCs w:val="22"/>
              </w:rPr>
            </w:pPr>
            <w:r w:rsidRPr="00EE369D">
              <w:rPr>
                <w:rFonts w:ascii="Arial" w:hAnsi="Arial" w:cs="Arial"/>
                <w:sz w:val="22"/>
                <w:szCs w:val="22"/>
              </w:rPr>
              <w:t>Amber</w:t>
            </w:r>
          </w:p>
        </w:tc>
        <w:tc>
          <w:tcPr>
            <w:tcW w:w="4395" w:type="dxa"/>
          </w:tcPr>
          <w:p w:rsidR="00637D26" w:rsidRPr="00EE369D" w:rsidP="008125CA">
            <w:pPr>
              <w:rPr>
                <w:rFonts w:ascii="Arial" w:hAnsi="Arial" w:cs="Arial"/>
                <w:sz w:val="22"/>
                <w:szCs w:val="22"/>
              </w:rPr>
            </w:pPr>
            <w:r w:rsidRPr="00EE369D">
              <w:rPr>
                <w:rFonts w:ascii="Arial" w:hAnsi="Arial" w:cs="Arial"/>
                <w:sz w:val="22"/>
                <w:szCs w:val="22"/>
              </w:rPr>
              <w:t>Partially accepted - limitation with kit</w:t>
            </w:r>
          </w:p>
        </w:tc>
      </w:tr>
      <w:tr w:rsidTr="00524BD7">
        <w:tblPrEx>
          <w:tblW w:w="0" w:type="auto"/>
          <w:jc w:val="center"/>
          <w:tblLook w:val="04A0"/>
        </w:tblPrEx>
        <w:trPr>
          <w:jc w:val="center"/>
        </w:trPr>
        <w:tc>
          <w:tcPr>
            <w:tcW w:w="1449" w:type="dxa"/>
          </w:tcPr>
          <w:p w:rsidR="00637D26" w:rsidRPr="00EE369D" w:rsidP="008125CA">
            <w:pPr>
              <w:rPr>
                <w:rFonts w:ascii="Arial" w:hAnsi="Arial" w:cs="Arial"/>
                <w:sz w:val="22"/>
                <w:szCs w:val="22"/>
              </w:rPr>
            </w:pPr>
            <w:r w:rsidRPr="00EE369D">
              <w:rPr>
                <w:rFonts w:ascii="Arial" w:hAnsi="Arial" w:cs="Arial"/>
                <w:sz w:val="22"/>
                <w:szCs w:val="22"/>
              </w:rPr>
              <w:t>Green</w:t>
            </w:r>
          </w:p>
        </w:tc>
        <w:tc>
          <w:tcPr>
            <w:tcW w:w="4395" w:type="dxa"/>
          </w:tcPr>
          <w:p w:rsidR="00637D26" w:rsidRPr="00EE369D" w:rsidP="008125CA">
            <w:pPr>
              <w:rPr>
                <w:rFonts w:ascii="Arial" w:hAnsi="Arial" w:cs="Arial"/>
                <w:sz w:val="22"/>
                <w:szCs w:val="22"/>
              </w:rPr>
            </w:pPr>
            <w:r w:rsidRPr="00EE369D">
              <w:rPr>
                <w:rFonts w:ascii="Arial" w:hAnsi="Arial" w:cs="Arial"/>
                <w:sz w:val="22"/>
                <w:szCs w:val="22"/>
              </w:rPr>
              <w:t>Accepted</w:t>
            </w:r>
          </w:p>
        </w:tc>
      </w:tr>
      <w:tr w:rsidTr="00524BD7">
        <w:tblPrEx>
          <w:tblW w:w="0" w:type="auto"/>
          <w:jc w:val="center"/>
          <w:tblLook w:val="04A0"/>
        </w:tblPrEx>
        <w:trPr>
          <w:jc w:val="center"/>
        </w:trPr>
        <w:tc>
          <w:tcPr>
            <w:tcW w:w="1449" w:type="dxa"/>
          </w:tcPr>
          <w:p w:rsidR="00637D26" w:rsidRPr="00EE369D" w:rsidP="008125CA">
            <w:pPr>
              <w:rPr>
                <w:rFonts w:ascii="Arial" w:hAnsi="Arial" w:cs="Arial"/>
                <w:sz w:val="22"/>
                <w:szCs w:val="22"/>
              </w:rPr>
            </w:pPr>
            <w:r w:rsidRPr="00EE369D">
              <w:rPr>
                <w:rFonts w:ascii="Arial" w:hAnsi="Arial" w:cs="Arial"/>
                <w:sz w:val="22"/>
                <w:szCs w:val="22"/>
              </w:rPr>
              <w:t>Yellow</w:t>
            </w:r>
          </w:p>
        </w:tc>
        <w:tc>
          <w:tcPr>
            <w:tcW w:w="4395" w:type="dxa"/>
          </w:tcPr>
          <w:p w:rsidR="00637D26" w:rsidRPr="00EE369D" w:rsidP="008125CA">
            <w:pPr>
              <w:rPr>
                <w:rFonts w:ascii="Arial" w:hAnsi="Arial" w:cs="Arial"/>
                <w:sz w:val="22"/>
                <w:szCs w:val="22"/>
              </w:rPr>
            </w:pPr>
            <w:r w:rsidRPr="00EE369D">
              <w:rPr>
                <w:rFonts w:ascii="Arial" w:hAnsi="Arial" w:cs="Arial"/>
                <w:sz w:val="22"/>
                <w:szCs w:val="22"/>
              </w:rPr>
              <w:t>Partially accepted - insufficient evidence</w:t>
            </w:r>
          </w:p>
        </w:tc>
      </w:tr>
    </w:tbl>
    <w:p w:rsidR="00637D26" w:rsidRPr="00EE369D" w:rsidP="008125CA">
      <w:pPr>
        <w:pStyle w:val="ListParagraph"/>
        <w:ind w:left="360"/>
        <w:rPr>
          <w:rFonts w:ascii="Arial" w:hAnsi="Arial" w:cs="Arial"/>
        </w:rPr>
      </w:pPr>
    </w:p>
    <w:p w:rsidR="00637D26" w:rsidRPr="00EE369D" w:rsidP="008125CA">
      <w:pPr>
        <w:jc w:val="center"/>
        <w:rPr>
          <w:rFonts w:ascii="Arial" w:hAnsi="Arial" w:cs="Arial"/>
        </w:rPr>
      </w:pPr>
      <w:r w:rsidRPr="00EE369D">
        <w:rPr>
          <w:rFonts w:ascii="Arial" w:hAnsi="Arial" w:cs="Arial"/>
        </w:rPr>
        <w:t>Table 1: WK KUR ACCEPTANCE STATUS</w:t>
      </w:r>
    </w:p>
    <w:p w:rsidR="00EB1287" w:rsidRPr="00EE369D" w:rsidP="008125CA">
      <w:pPr>
        <w:pStyle w:val="ListParagraph"/>
        <w:numPr>
          <w:ilvl w:val="1"/>
          <w:numId w:val="12"/>
        </w:numPr>
        <w:spacing w:line="240" w:lineRule="auto"/>
        <w:rPr>
          <w:rFonts w:ascii="Arial" w:hAnsi="Arial" w:cs="Arial"/>
          <w:lang w:val="en-US"/>
        </w:rPr>
      </w:pPr>
      <w:r w:rsidRPr="00EE369D">
        <w:rPr>
          <w:rFonts w:ascii="Arial" w:hAnsi="Arial" w:cs="Arial"/>
          <w:lang w:val="en-US"/>
        </w:rPr>
        <w:t xml:space="preserve">It was accepted with the known issue that WK ES2 capability does not yet have a full logistic and deployable infrastructure package and until one can be developed, WK will be limited to operation from mature infrastructures. Any deployment of WK beyond this will require a bespoke support solution. </w:t>
      </w:r>
    </w:p>
    <w:p w:rsidR="001471AB" w:rsidRPr="00EE369D" w:rsidP="008125CA">
      <w:pPr>
        <w:pStyle w:val="ListParagraph"/>
        <w:spacing w:line="240" w:lineRule="auto"/>
        <w:ind w:left="567"/>
        <w:rPr>
          <w:rFonts w:ascii="Arial" w:hAnsi="Arial" w:cs="Arial"/>
          <w:lang w:val="en-US"/>
        </w:rPr>
      </w:pPr>
    </w:p>
    <w:p w:rsidR="00EB1287" w:rsidRPr="00EE369D" w:rsidP="008125CA">
      <w:pPr>
        <w:pStyle w:val="ListParagraph"/>
        <w:numPr>
          <w:ilvl w:val="0"/>
          <w:numId w:val="12"/>
        </w:numPr>
        <w:spacing w:line="240" w:lineRule="auto"/>
        <w:rPr>
          <w:rFonts w:ascii="Arial" w:hAnsi="Arial" w:cs="Arial"/>
          <w:lang w:val="en-US"/>
        </w:rPr>
      </w:pPr>
      <w:r w:rsidRPr="00EE369D">
        <w:rPr>
          <w:rFonts w:ascii="Arial" w:hAnsi="Arial" w:cs="Arial"/>
          <w:lang w:val="en-US"/>
        </w:rPr>
        <w:t>Fundamentally, by 2018 the procurement of Watchkeeper had already taken 9 years of development and couldn’t deliver the primary functional capability that Defence required. I cannot explain why the MOD accepted this as Fully Operationally Capable.</w:t>
      </w:r>
    </w:p>
    <w:p w:rsidR="000A2AE5" w:rsidRPr="00EE369D" w:rsidP="008125CA">
      <w:pPr>
        <w:pStyle w:val="ListParagraph"/>
        <w:spacing w:line="240" w:lineRule="auto"/>
        <w:ind w:left="567"/>
        <w:rPr>
          <w:rFonts w:ascii="Arial" w:hAnsi="Arial" w:cs="Arial"/>
          <w:lang w:val="en-US"/>
        </w:rPr>
      </w:pPr>
    </w:p>
    <w:p w:rsidR="000A2AE5" w:rsidRPr="00EE369D" w:rsidP="008125CA">
      <w:pPr>
        <w:pStyle w:val="ListParagraph"/>
        <w:numPr>
          <w:ilvl w:val="0"/>
          <w:numId w:val="12"/>
        </w:numPr>
        <w:spacing w:line="240" w:lineRule="auto"/>
        <w:rPr>
          <w:rFonts w:ascii="Arial" w:hAnsi="Arial" w:cs="Arial"/>
          <w:lang w:val="en-US"/>
        </w:rPr>
      </w:pPr>
      <w:r w:rsidRPr="00EE369D">
        <w:rPr>
          <w:rFonts w:ascii="Arial" w:hAnsi="Arial" w:cs="Arial"/>
          <w:b/>
          <w:bCs/>
          <w:lang w:val="en-US"/>
        </w:rPr>
        <w:t>Watchkeeper - still being delivered.</w:t>
      </w:r>
      <w:r w:rsidRPr="00EE369D">
        <w:rPr>
          <w:rFonts w:ascii="Arial" w:hAnsi="Arial" w:cs="Arial"/>
          <w:lang w:val="en-US"/>
        </w:rPr>
        <w:t xml:space="preserve"> As a consequence of so many outstanding User requirements and System Requirements a Trials and Evaluation unit has been maintained by THALES at West Wales Airport ever since. By Sept 2021, the 10 Key User Requirements remained undelivered, and the breakdown of System requirements was:</w:t>
      </w:r>
    </w:p>
    <w:p w:rsidR="00EB1287" w:rsidRPr="00EE369D" w:rsidP="008125CA">
      <w:pPr>
        <w:pStyle w:val="ListParagraph"/>
        <w:spacing w:line="240" w:lineRule="auto"/>
        <w:ind w:left="0"/>
        <w:rPr>
          <w:rFonts w:ascii="Arial" w:hAnsi="Arial" w:cs="Arial"/>
          <w:b/>
          <w:bCs/>
          <w:lang w:val="en-US"/>
        </w:rPr>
      </w:pPr>
    </w:p>
    <w:p w:rsidR="00331CCE" w:rsidRPr="00EE369D" w:rsidP="008125CA">
      <w:pPr>
        <w:pStyle w:val="ListParagraph"/>
        <w:spacing w:line="240" w:lineRule="auto"/>
        <w:ind w:left="0"/>
        <w:rPr>
          <w:rFonts w:ascii="Arial" w:hAnsi="Arial" w:cs="Arial"/>
          <w:b/>
          <w:bCs/>
          <w:lang w:val="en-US"/>
        </w:rPr>
      </w:pPr>
    </w:p>
    <w:tbl>
      <w:tblPr>
        <w:tblW w:w="5080" w:type="dxa"/>
        <w:jc w:val="center"/>
        <w:tblLook w:val="04A0"/>
      </w:tblPr>
      <w:tblGrid>
        <w:gridCol w:w="3160"/>
        <w:gridCol w:w="960"/>
        <w:gridCol w:w="960"/>
      </w:tblGrid>
      <w:tr w:rsidTr="004D2735">
        <w:tblPrEx>
          <w:tblW w:w="5080" w:type="dxa"/>
          <w:jc w:val="center"/>
          <w:tblLook w:val="04A0"/>
        </w:tblPrEx>
        <w:trPr>
          <w:trHeight w:val="300"/>
          <w:jc w:val="center"/>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1287" w:rsidRPr="00EE369D" w:rsidP="008125CA">
            <w:pPr>
              <w:spacing w:after="0" w:line="240" w:lineRule="auto"/>
              <w:rPr>
                <w:rFonts w:ascii="Arial" w:eastAsia="Times New Roman" w:hAnsi="Arial" w:cs="Arial"/>
                <w:color w:val="000000"/>
                <w:lang w:eastAsia="en-GB"/>
              </w:rPr>
            </w:pPr>
            <w:r w:rsidRPr="00EE369D">
              <w:rPr>
                <w:rFonts w:ascii="Arial" w:eastAsia="Times New Roman" w:hAnsi="Arial" w:cs="Arial"/>
                <w:color w:val="000000"/>
                <w:lang w:eastAsia="en-GB"/>
              </w:rPr>
              <w:t>Fully Accepted</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B1287" w:rsidRPr="00EE369D" w:rsidP="008125CA">
            <w:pPr>
              <w:spacing w:after="0" w:line="240" w:lineRule="auto"/>
              <w:jc w:val="right"/>
              <w:rPr>
                <w:rFonts w:ascii="Arial" w:eastAsia="Times New Roman" w:hAnsi="Arial" w:cs="Arial"/>
                <w:color w:val="000000"/>
                <w:lang w:eastAsia="en-GB"/>
              </w:rPr>
            </w:pPr>
            <w:r w:rsidRPr="00EE369D">
              <w:rPr>
                <w:rFonts w:ascii="Arial" w:eastAsia="Times New Roman" w:hAnsi="Arial" w:cs="Arial"/>
                <w:color w:val="000000"/>
                <w:lang w:eastAsia="en-GB"/>
              </w:rPr>
              <w:t>908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B1287" w:rsidRPr="00EE369D" w:rsidP="008125CA">
            <w:pPr>
              <w:spacing w:after="0" w:line="240" w:lineRule="auto"/>
              <w:jc w:val="right"/>
              <w:rPr>
                <w:rFonts w:ascii="Arial" w:eastAsia="Times New Roman" w:hAnsi="Arial" w:cs="Arial"/>
                <w:color w:val="000000"/>
                <w:lang w:eastAsia="en-GB"/>
              </w:rPr>
            </w:pPr>
            <w:r w:rsidRPr="00EE369D">
              <w:rPr>
                <w:rFonts w:ascii="Arial" w:eastAsia="Times New Roman" w:hAnsi="Arial" w:cs="Arial"/>
                <w:color w:val="000000"/>
                <w:lang w:eastAsia="en-GB"/>
              </w:rPr>
              <w:t>48%</w:t>
            </w:r>
          </w:p>
        </w:tc>
      </w:tr>
      <w:tr w:rsidTr="004D2735">
        <w:tblPrEx>
          <w:tblW w:w="5080" w:type="dxa"/>
          <w:jc w:val="center"/>
          <w:tblLook w:val="04A0"/>
        </w:tblPrEx>
        <w:trPr>
          <w:trHeight w:val="300"/>
          <w:jc w:val="center"/>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EB1287" w:rsidRPr="00EE369D" w:rsidP="008125CA">
            <w:pPr>
              <w:spacing w:after="0" w:line="240" w:lineRule="auto"/>
              <w:rPr>
                <w:rFonts w:ascii="Arial" w:eastAsia="Times New Roman" w:hAnsi="Arial" w:cs="Arial"/>
                <w:color w:val="000000"/>
                <w:lang w:eastAsia="en-GB"/>
              </w:rPr>
            </w:pPr>
            <w:r w:rsidRPr="00EE369D">
              <w:rPr>
                <w:rFonts w:ascii="Arial" w:eastAsia="Times New Roman" w:hAnsi="Arial" w:cs="Arial"/>
                <w:color w:val="000000"/>
                <w:lang w:eastAsia="en-GB"/>
              </w:rPr>
              <w:t>Not Accepted</w:t>
            </w:r>
          </w:p>
        </w:tc>
        <w:tc>
          <w:tcPr>
            <w:tcW w:w="960" w:type="dxa"/>
            <w:tcBorders>
              <w:top w:val="nil"/>
              <w:left w:val="nil"/>
              <w:bottom w:val="single" w:sz="4" w:space="0" w:color="auto"/>
              <w:right w:val="single" w:sz="4" w:space="0" w:color="auto"/>
            </w:tcBorders>
            <w:shd w:val="clear" w:color="auto" w:fill="auto"/>
            <w:noWrap/>
            <w:vAlign w:val="bottom"/>
            <w:hideMark/>
          </w:tcPr>
          <w:p w:rsidR="00EB1287" w:rsidRPr="00EE369D" w:rsidP="008125CA">
            <w:pPr>
              <w:spacing w:after="0" w:line="240" w:lineRule="auto"/>
              <w:jc w:val="right"/>
              <w:rPr>
                <w:rFonts w:ascii="Arial" w:eastAsia="Times New Roman" w:hAnsi="Arial" w:cs="Arial"/>
                <w:color w:val="000000"/>
                <w:lang w:eastAsia="en-GB"/>
              </w:rPr>
            </w:pPr>
            <w:r w:rsidRPr="00EE369D">
              <w:rPr>
                <w:rFonts w:ascii="Arial" w:eastAsia="Times New Roman" w:hAnsi="Arial" w:cs="Arial"/>
                <w:color w:val="000000"/>
                <w:lang w:eastAsia="en-GB"/>
              </w:rPr>
              <w:t>90</w:t>
            </w:r>
          </w:p>
        </w:tc>
        <w:tc>
          <w:tcPr>
            <w:tcW w:w="960" w:type="dxa"/>
            <w:tcBorders>
              <w:top w:val="nil"/>
              <w:left w:val="nil"/>
              <w:bottom w:val="single" w:sz="4" w:space="0" w:color="auto"/>
              <w:right w:val="single" w:sz="4" w:space="0" w:color="auto"/>
            </w:tcBorders>
            <w:shd w:val="clear" w:color="auto" w:fill="auto"/>
            <w:noWrap/>
            <w:vAlign w:val="bottom"/>
            <w:hideMark/>
          </w:tcPr>
          <w:p w:rsidR="00EB1287" w:rsidRPr="00EE369D" w:rsidP="008125CA">
            <w:pPr>
              <w:spacing w:after="0" w:line="240" w:lineRule="auto"/>
              <w:jc w:val="right"/>
              <w:rPr>
                <w:rFonts w:ascii="Arial" w:eastAsia="Times New Roman" w:hAnsi="Arial" w:cs="Arial"/>
                <w:color w:val="000000"/>
                <w:lang w:eastAsia="en-GB"/>
              </w:rPr>
            </w:pPr>
            <w:r w:rsidRPr="00EE369D">
              <w:rPr>
                <w:rFonts w:ascii="Arial" w:eastAsia="Times New Roman" w:hAnsi="Arial" w:cs="Arial"/>
                <w:color w:val="000000"/>
                <w:lang w:eastAsia="en-GB"/>
              </w:rPr>
              <w:t>5%</w:t>
            </w:r>
          </w:p>
        </w:tc>
      </w:tr>
      <w:tr w:rsidTr="004D2735">
        <w:tblPrEx>
          <w:tblW w:w="5080" w:type="dxa"/>
          <w:jc w:val="center"/>
          <w:tblLook w:val="04A0"/>
        </w:tblPrEx>
        <w:trPr>
          <w:trHeight w:val="300"/>
          <w:jc w:val="center"/>
        </w:trPr>
        <w:tc>
          <w:tcPr>
            <w:tcW w:w="3160" w:type="dxa"/>
            <w:tcBorders>
              <w:top w:val="nil"/>
              <w:left w:val="single" w:sz="4" w:space="0" w:color="auto"/>
              <w:bottom w:val="single" w:sz="4" w:space="0" w:color="auto"/>
              <w:right w:val="single" w:sz="4" w:space="0" w:color="auto"/>
            </w:tcBorders>
            <w:shd w:val="clear" w:color="auto" w:fill="auto"/>
            <w:noWrap/>
            <w:hideMark/>
          </w:tcPr>
          <w:p w:rsidR="00EB1287" w:rsidRPr="00EE369D" w:rsidP="008125CA">
            <w:pPr>
              <w:spacing w:after="0" w:line="240" w:lineRule="auto"/>
              <w:rPr>
                <w:rFonts w:ascii="Arial" w:eastAsia="Times New Roman" w:hAnsi="Arial" w:cs="Arial"/>
                <w:color w:val="000000"/>
                <w:lang w:eastAsia="en-GB"/>
              </w:rPr>
            </w:pPr>
            <w:r w:rsidRPr="00EE369D">
              <w:rPr>
                <w:rFonts w:ascii="Arial" w:eastAsia="Times New Roman" w:hAnsi="Arial" w:cs="Arial"/>
                <w:color w:val="000000"/>
                <w:lang w:eastAsia="en-GB"/>
              </w:rPr>
              <w:t>Partially Accepted</w:t>
            </w:r>
          </w:p>
        </w:tc>
        <w:tc>
          <w:tcPr>
            <w:tcW w:w="960" w:type="dxa"/>
            <w:tcBorders>
              <w:top w:val="nil"/>
              <w:left w:val="nil"/>
              <w:bottom w:val="single" w:sz="4" w:space="0" w:color="auto"/>
              <w:right w:val="single" w:sz="4" w:space="0" w:color="auto"/>
            </w:tcBorders>
            <w:shd w:val="clear" w:color="auto" w:fill="auto"/>
            <w:noWrap/>
            <w:vAlign w:val="bottom"/>
            <w:hideMark/>
          </w:tcPr>
          <w:p w:rsidR="00EB1287" w:rsidRPr="00EE369D" w:rsidP="008125CA">
            <w:pPr>
              <w:spacing w:after="0" w:line="240" w:lineRule="auto"/>
              <w:jc w:val="right"/>
              <w:rPr>
                <w:rFonts w:ascii="Arial" w:eastAsia="Times New Roman" w:hAnsi="Arial" w:cs="Arial"/>
                <w:color w:val="000000"/>
                <w:lang w:eastAsia="en-GB"/>
              </w:rPr>
            </w:pPr>
            <w:r w:rsidRPr="00EE369D">
              <w:rPr>
                <w:rFonts w:ascii="Arial" w:eastAsia="Times New Roman" w:hAnsi="Arial" w:cs="Arial"/>
                <w:color w:val="000000"/>
                <w:lang w:eastAsia="en-GB"/>
              </w:rPr>
              <w:t>505</w:t>
            </w:r>
          </w:p>
        </w:tc>
        <w:tc>
          <w:tcPr>
            <w:tcW w:w="960" w:type="dxa"/>
            <w:tcBorders>
              <w:top w:val="nil"/>
              <w:left w:val="nil"/>
              <w:bottom w:val="single" w:sz="4" w:space="0" w:color="auto"/>
              <w:right w:val="single" w:sz="4" w:space="0" w:color="auto"/>
            </w:tcBorders>
            <w:shd w:val="clear" w:color="auto" w:fill="auto"/>
            <w:noWrap/>
            <w:vAlign w:val="bottom"/>
            <w:hideMark/>
          </w:tcPr>
          <w:p w:rsidR="00EB1287" w:rsidRPr="00EE369D" w:rsidP="008125CA">
            <w:pPr>
              <w:spacing w:after="0" w:line="240" w:lineRule="auto"/>
              <w:jc w:val="right"/>
              <w:rPr>
                <w:rFonts w:ascii="Arial" w:eastAsia="Times New Roman" w:hAnsi="Arial" w:cs="Arial"/>
                <w:color w:val="000000"/>
                <w:lang w:eastAsia="en-GB"/>
              </w:rPr>
            </w:pPr>
            <w:r w:rsidRPr="00EE369D">
              <w:rPr>
                <w:rFonts w:ascii="Arial" w:eastAsia="Times New Roman" w:hAnsi="Arial" w:cs="Arial"/>
                <w:color w:val="000000"/>
                <w:lang w:eastAsia="en-GB"/>
              </w:rPr>
              <w:t>26%</w:t>
            </w:r>
          </w:p>
        </w:tc>
      </w:tr>
      <w:tr w:rsidTr="004D2735">
        <w:tblPrEx>
          <w:tblW w:w="5080" w:type="dxa"/>
          <w:jc w:val="center"/>
          <w:tblLook w:val="04A0"/>
        </w:tblPrEx>
        <w:trPr>
          <w:trHeight w:val="300"/>
          <w:jc w:val="center"/>
        </w:trPr>
        <w:tc>
          <w:tcPr>
            <w:tcW w:w="3160" w:type="dxa"/>
            <w:tcBorders>
              <w:top w:val="nil"/>
              <w:left w:val="single" w:sz="4" w:space="0" w:color="auto"/>
              <w:bottom w:val="single" w:sz="4" w:space="0" w:color="auto"/>
              <w:right w:val="single" w:sz="4" w:space="0" w:color="auto"/>
            </w:tcBorders>
            <w:shd w:val="clear" w:color="auto" w:fill="auto"/>
            <w:noWrap/>
            <w:hideMark/>
          </w:tcPr>
          <w:p w:rsidR="00EB1287" w:rsidRPr="00EE369D" w:rsidP="008125CA">
            <w:pPr>
              <w:spacing w:after="0" w:line="240" w:lineRule="auto"/>
              <w:rPr>
                <w:rFonts w:ascii="Arial" w:eastAsia="Times New Roman" w:hAnsi="Arial" w:cs="Arial"/>
                <w:color w:val="000000"/>
                <w:lang w:eastAsia="en-GB"/>
              </w:rPr>
            </w:pPr>
            <w:r w:rsidRPr="00EE369D">
              <w:rPr>
                <w:rFonts w:ascii="Arial" w:eastAsia="Times New Roman" w:hAnsi="Arial" w:cs="Arial"/>
                <w:color w:val="000000"/>
                <w:lang w:eastAsia="en-GB"/>
              </w:rPr>
              <w:t>More Evidence Required</w:t>
            </w:r>
          </w:p>
        </w:tc>
        <w:tc>
          <w:tcPr>
            <w:tcW w:w="960" w:type="dxa"/>
            <w:tcBorders>
              <w:top w:val="nil"/>
              <w:left w:val="nil"/>
              <w:bottom w:val="single" w:sz="4" w:space="0" w:color="auto"/>
              <w:right w:val="single" w:sz="4" w:space="0" w:color="auto"/>
            </w:tcBorders>
            <w:shd w:val="clear" w:color="auto" w:fill="auto"/>
            <w:noWrap/>
            <w:vAlign w:val="bottom"/>
            <w:hideMark/>
          </w:tcPr>
          <w:p w:rsidR="00EB1287" w:rsidRPr="00EE369D" w:rsidP="008125CA">
            <w:pPr>
              <w:spacing w:after="0" w:line="240" w:lineRule="auto"/>
              <w:jc w:val="right"/>
              <w:rPr>
                <w:rFonts w:ascii="Arial" w:eastAsia="Times New Roman" w:hAnsi="Arial" w:cs="Arial"/>
                <w:color w:val="000000"/>
                <w:lang w:eastAsia="en-GB"/>
              </w:rPr>
            </w:pPr>
            <w:r w:rsidRPr="00EE369D">
              <w:rPr>
                <w:rFonts w:ascii="Arial" w:eastAsia="Times New Roman" w:hAnsi="Arial" w:cs="Arial"/>
                <w:color w:val="000000"/>
                <w:lang w:eastAsia="en-GB"/>
              </w:rPr>
              <w:t>78</w:t>
            </w:r>
          </w:p>
        </w:tc>
        <w:tc>
          <w:tcPr>
            <w:tcW w:w="960" w:type="dxa"/>
            <w:tcBorders>
              <w:top w:val="nil"/>
              <w:left w:val="nil"/>
              <w:bottom w:val="single" w:sz="4" w:space="0" w:color="auto"/>
              <w:right w:val="single" w:sz="4" w:space="0" w:color="auto"/>
            </w:tcBorders>
            <w:shd w:val="clear" w:color="auto" w:fill="auto"/>
            <w:noWrap/>
            <w:vAlign w:val="bottom"/>
            <w:hideMark/>
          </w:tcPr>
          <w:p w:rsidR="00EB1287" w:rsidRPr="00EE369D" w:rsidP="008125CA">
            <w:pPr>
              <w:spacing w:after="0" w:line="240" w:lineRule="auto"/>
              <w:jc w:val="right"/>
              <w:rPr>
                <w:rFonts w:ascii="Arial" w:eastAsia="Times New Roman" w:hAnsi="Arial" w:cs="Arial"/>
                <w:color w:val="000000"/>
                <w:lang w:eastAsia="en-GB"/>
              </w:rPr>
            </w:pPr>
            <w:r w:rsidRPr="00EE369D">
              <w:rPr>
                <w:rFonts w:ascii="Arial" w:eastAsia="Times New Roman" w:hAnsi="Arial" w:cs="Arial"/>
                <w:color w:val="000000"/>
                <w:lang w:eastAsia="en-GB"/>
              </w:rPr>
              <w:t>4%</w:t>
            </w:r>
          </w:p>
        </w:tc>
      </w:tr>
      <w:tr w:rsidTr="004D2735">
        <w:tblPrEx>
          <w:tblW w:w="5080" w:type="dxa"/>
          <w:jc w:val="center"/>
          <w:tblLook w:val="04A0"/>
        </w:tblPrEx>
        <w:trPr>
          <w:trHeight w:val="300"/>
          <w:jc w:val="center"/>
        </w:trPr>
        <w:tc>
          <w:tcPr>
            <w:tcW w:w="3160" w:type="dxa"/>
            <w:tcBorders>
              <w:top w:val="nil"/>
              <w:left w:val="single" w:sz="4" w:space="0" w:color="auto"/>
              <w:bottom w:val="single" w:sz="4" w:space="0" w:color="auto"/>
              <w:right w:val="single" w:sz="4" w:space="0" w:color="auto"/>
            </w:tcBorders>
            <w:shd w:val="clear" w:color="auto" w:fill="auto"/>
            <w:noWrap/>
            <w:hideMark/>
          </w:tcPr>
          <w:p w:rsidR="00EB1287" w:rsidRPr="00EE369D" w:rsidP="008125CA">
            <w:pPr>
              <w:spacing w:after="0" w:line="240" w:lineRule="auto"/>
              <w:rPr>
                <w:rFonts w:ascii="Arial" w:eastAsia="Times New Roman" w:hAnsi="Arial" w:cs="Arial"/>
                <w:color w:val="000000"/>
                <w:lang w:eastAsia="en-GB"/>
              </w:rPr>
            </w:pPr>
            <w:r w:rsidRPr="00EE369D">
              <w:rPr>
                <w:rFonts w:ascii="Arial" w:eastAsia="Times New Roman" w:hAnsi="Arial" w:cs="Arial"/>
                <w:color w:val="000000"/>
                <w:lang w:eastAsia="en-GB"/>
              </w:rPr>
              <w:t>Deleted</w:t>
            </w:r>
          </w:p>
        </w:tc>
        <w:tc>
          <w:tcPr>
            <w:tcW w:w="960" w:type="dxa"/>
            <w:tcBorders>
              <w:top w:val="nil"/>
              <w:left w:val="nil"/>
              <w:bottom w:val="single" w:sz="4" w:space="0" w:color="auto"/>
              <w:right w:val="single" w:sz="4" w:space="0" w:color="auto"/>
            </w:tcBorders>
            <w:shd w:val="clear" w:color="auto" w:fill="auto"/>
            <w:noWrap/>
            <w:vAlign w:val="bottom"/>
            <w:hideMark/>
          </w:tcPr>
          <w:p w:rsidR="00EB1287" w:rsidRPr="00EE369D" w:rsidP="008125CA">
            <w:pPr>
              <w:spacing w:after="0" w:line="240" w:lineRule="auto"/>
              <w:jc w:val="right"/>
              <w:rPr>
                <w:rFonts w:ascii="Arial" w:eastAsia="Times New Roman" w:hAnsi="Arial" w:cs="Arial"/>
                <w:color w:val="000000"/>
                <w:lang w:eastAsia="en-GB"/>
              </w:rPr>
            </w:pPr>
            <w:r w:rsidRPr="00EE369D">
              <w:rPr>
                <w:rFonts w:ascii="Arial" w:eastAsia="Times New Roman" w:hAnsi="Arial" w:cs="Arial"/>
                <w:color w:val="000000"/>
                <w:lang w:eastAsia="en-GB"/>
              </w:rPr>
              <w:t>158</w:t>
            </w:r>
          </w:p>
        </w:tc>
        <w:tc>
          <w:tcPr>
            <w:tcW w:w="960" w:type="dxa"/>
            <w:tcBorders>
              <w:top w:val="nil"/>
              <w:left w:val="nil"/>
              <w:bottom w:val="single" w:sz="4" w:space="0" w:color="auto"/>
              <w:right w:val="single" w:sz="4" w:space="0" w:color="auto"/>
            </w:tcBorders>
            <w:shd w:val="clear" w:color="auto" w:fill="auto"/>
            <w:noWrap/>
            <w:vAlign w:val="bottom"/>
            <w:hideMark/>
          </w:tcPr>
          <w:p w:rsidR="00EB1287" w:rsidRPr="00EE369D" w:rsidP="008125CA">
            <w:pPr>
              <w:spacing w:after="0" w:line="240" w:lineRule="auto"/>
              <w:jc w:val="right"/>
              <w:rPr>
                <w:rFonts w:ascii="Arial" w:eastAsia="Times New Roman" w:hAnsi="Arial" w:cs="Arial"/>
                <w:color w:val="000000"/>
                <w:lang w:eastAsia="en-GB"/>
              </w:rPr>
            </w:pPr>
            <w:r w:rsidRPr="00EE369D">
              <w:rPr>
                <w:rFonts w:ascii="Arial" w:eastAsia="Times New Roman" w:hAnsi="Arial" w:cs="Arial"/>
                <w:color w:val="000000"/>
                <w:lang w:eastAsia="en-GB"/>
              </w:rPr>
              <w:t>8%</w:t>
            </w:r>
          </w:p>
        </w:tc>
      </w:tr>
      <w:tr w:rsidTr="004D2735">
        <w:tblPrEx>
          <w:tblW w:w="5080" w:type="dxa"/>
          <w:jc w:val="center"/>
          <w:tblLook w:val="04A0"/>
        </w:tblPrEx>
        <w:trPr>
          <w:trHeight w:val="300"/>
          <w:jc w:val="center"/>
        </w:trPr>
        <w:tc>
          <w:tcPr>
            <w:tcW w:w="3160" w:type="dxa"/>
            <w:tcBorders>
              <w:top w:val="nil"/>
              <w:left w:val="single" w:sz="4" w:space="0" w:color="auto"/>
              <w:bottom w:val="single" w:sz="4" w:space="0" w:color="auto"/>
              <w:right w:val="single" w:sz="4" w:space="0" w:color="auto"/>
            </w:tcBorders>
            <w:shd w:val="clear" w:color="auto" w:fill="auto"/>
            <w:noWrap/>
            <w:hideMark/>
          </w:tcPr>
          <w:p w:rsidR="00EB1287" w:rsidRPr="00EE369D" w:rsidP="008125CA">
            <w:pPr>
              <w:spacing w:after="0" w:line="240" w:lineRule="auto"/>
              <w:rPr>
                <w:rFonts w:ascii="Arial" w:eastAsia="Times New Roman" w:hAnsi="Arial" w:cs="Arial"/>
                <w:color w:val="000000"/>
                <w:lang w:eastAsia="en-GB"/>
              </w:rPr>
            </w:pPr>
            <w:r w:rsidRPr="00EE369D">
              <w:rPr>
                <w:rFonts w:ascii="Arial" w:eastAsia="Times New Roman" w:hAnsi="Arial" w:cs="Arial"/>
                <w:color w:val="000000"/>
                <w:lang w:eastAsia="en-GB"/>
              </w:rPr>
              <w:t>Fully Traded</w:t>
            </w:r>
          </w:p>
        </w:tc>
        <w:tc>
          <w:tcPr>
            <w:tcW w:w="960" w:type="dxa"/>
            <w:tcBorders>
              <w:top w:val="nil"/>
              <w:left w:val="nil"/>
              <w:bottom w:val="single" w:sz="4" w:space="0" w:color="auto"/>
              <w:right w:val="single" w:sz="4" w:space="0" w:color="auto"/>
            </w:tcBorders>
            <w:shd w:val="clear" w:color="auto" w:fill="auto"/>
            <w:noWrap/>
            <w:vAlign w:val="bottom"/>
            <w:hideMark/>
          </w:tcPr>
          <w:p w:rsidR="00EB1287" w:rsidRPr="00EE369D" w:rsidP="008125CA">
            <w:pPr>
              <w:spacing w:after="0" w:line="240" w:lineRule="auto"/>
              <w:jc w:val="right"/>
              <w:rPr>
                <w:rFonts w:ascii="Arial" w:eastAsia="Times New Roman" w:hAnsi="Arial" w:cs="Arial"/>
                <w:color w:val="000000"/>
                <w:lang w:eastAsia="en-GB"/>
              </w:rPr>
            </w:pPr>
            <w:r w:rsidRPr="00EE369D">
              <w:rPr>
                <w:rFonts w:ascii="Arial" w:eastAsia="Times New Roman" w:hAnsi="Arial" w:cs="Arial"/>
                <w:color w:val="000000"/>
                <w:lang w:eastAsia="en-GB"/>
              </w:rPr>
              <w:t>171</w:t>
            </w:r>
          </w:p>
        </w:tc>
        <w:tc>
          <w:tcPr>
            <w:tcW w:w="960" w:type="dxa"/>
            <w:tcBorders>
              <w:top w:val="nil"/>
              <w:left w:val="nil"/>
              <w:bottom w:val="single" w:sz="4" w:space="0" w:color="auto"/>
              <w:right w:val="single" w:sz="4" w:space="0" w:color="auto"/>
            </w:tcBorders>
            <w:shd w:val="clear" w:color="auto" w:fill="auto"/>
            <w:noWrap/>
            <w:vAlign w:val="bottom"/>
            <w:hideMark/>
          </w:tcPr>
          <w:p w:rsidR="00EB1287" w:rsidRPr="00EE369D" w:rsidP="008125CA">
            <w:pPr>
              <w:spacing w:after="0" w:line="240" w:lineRule="auto"/>
              <w:jc w:val="right"/>
              <w:rPr>
                <w:rFonts w:ascii="Arial" w:eastAsia="Times New Roman" w:hAnsi="Arial" w:cs="Arial"/>
                <w:color w:val="000000"/>
                <w:lang w:eastAsia="en-GB"/>
              </w:rPr>
            </w:pPr>
            <w:r w:rsidRPr="00EE369D">
              <w:rPr>
                <w:rFonts w:ascii="Arial" w:eastAsia="Times New Roman" w:hAnsi="Arial" w:cs="Arial"/>
                <w:color w:val="000000"/>
                <w:lang w:eastAsia="en-GB"/>
              </w:rPr>
              <w:t>9%</w:t>
            </w:r>
          </w:p>
        </w:tc>
      </w:tr>
      <w:tr w:rsidTr="004D2735">
        <w:tblPrEx>
          <w:tblW w:w="5080" w:type="dxa"/>
          <w:jc w:val="center"/>
          <w:tblLook w:val="04A0"/>
        </w:tblPrEx>
        <w:trPr>
          <w:trHeight w:val="300"/>
          <w:jc w:val="center"/>
        </w:trPr>
        <w:tc>
          <w:tcPr>
            <w:tcW w:w="3160" w:type="dxa"/>
            <w:tcBorders>
              <w:top w:val="nil"/>
              <w:left w:val="single" w:sz="4" w:space="0" w:color="auto"/>
              <w:bottom w:val="single" w:sz="4" w:space="0" w:color="auto"/>
              <w:right w:val="single" w:sz="4" w:space="0" w:color="auto"/>
            </w:tcBorders>
            <w:shd w:val="clear" w:color="auto" w:fill="auto"/>
            <w:noWrap/>
            <w:hideMark/>
          </w:tcPr>
          <w:p w:rsidR="00EB1287" w:rsidRPr="00EE369D" w:rsidP="008125CA">
            <w:pPr>
              <w:spacing w:after="0" w:line="240" w:lineRule="auto"/>
              <w:rPr>
                <w:rFonts w:ascii="Arial" w:eastAsia="Times New Roman" w:hAnsi="Arial" w:cs="Arial"/>
                <w:b/>
                <w:bCs/>
                <w:color w:val="000000"/>
                <w:lang w:eastAsia="en-GB"/>
              </w:rPr>
            </w:pPr>
            <w:r w:rsidRPr="00EE369D">
              <w:rPr>
                <w:rFonts w:ascii="Arial" w:eastAsia="Times New Roman" w:hAnsi="Arial" w:cs="Arial"/>
                <w:b/>
                <w:bCs/>
                <w:color w:val="000000"/>
                <w:lang w:eastAsia="en-GB"/>
              </w:rPr>
              <w:t>Total</w:t>
            </w:r>
          </w:p>
        </w:tc>
        <w:tc>
          <w:tcPr>
            <w:tcW w:w="960" w:type="dxa"/>
            <w:tcBorders>
              <w:top w:val="nil"/>
              <w:left w:val="nil"/>
              <w:bottom w:val="single" w:sz="4" w:space="0" w:color="auto"/>
              <w:right w:val="single" w:sz="4" w:space="0" w:color="auto"/>
            </w:tcBorders>
            <w:shd w:val="clear" w:color="auto" w:fill="auto"/>
            <w:noWrap/>
            <w:vAlign w:val="bottom"/>
            <w:hideMark/>
          </w:tcPr>
          <w:p w:rsidR="00EB1287" w:rsidRPr="00EE369D" w:rsidP="008125CA">
            <w:pPr>
              <w:spacing w:after="0" w:line="240" w:lineRule="auto"/>
              <w:jc w:val="right"/>
              <w:rPr>
                <w:rFonts w:ascii="Arial" w:eastAsia="Times New Roman" w:hAnsi="Arial" w:cs="Arial"/>
                <w:b/>
                <w:bCs/>
                <w:color w:val="000000"/>
                <w:lang w:eastAsia="en-GB"/>
              </w:rPr>
            </w:pPr>
            <w:r w:rsidRPr="00EE369D">
              <w:rPr>
                <w:rFonts w:ascii="Arial" w:eastAsia="Times New Roman" w:hAnsi="Arial" w:cs="Arial"/>
                <w:b/>
                <w:bCs/>
                <w:color w:val="000000"/>
                <w:lang w:eastAsia="en-GB"/>
              </w:rPr>
              <w:t>1910</w:t>
            </w:r>
          </w:p>
        </w:tc>
        <w:tc>
          <w:tcPr>
            <w:tcW w:w="960" w:type="dxa"/>
            <w:tcBorders>
              <w:top w:val="nil"/>
              <w:left w:val="nil"/>
              <w:bottom w:val="single" w:sz="4" w:space="0" w:color="auto"/>
              <w:right w:val="single" w:sz="4" w:space="0" w:color="auto"/>
            </w:tcBorders>
            <w:shd w:val="clear" w:color="auto" w:fill="auto"/>
            <w:noWrap/>
            <w:vAlign w:val="bottom"/>
            <w:hideMark/>
          </w:tcPr>
          <w:p w:rsidR="00EB1287" w:rsidRPr="00EE369D" w:rsidP="008125CA">
            <w:pPr>
              <w:spacing w:after="0" w:line="240" w:lineRule="auto"/>
              <w:rPr>
                <w:rFonts w:ascii="Arial" w:eastAsia="Times New Roman" w:hAnsi="Arial" w:cs="Arial"/>
                <w:b/>
                <w:bCs/>
                <w:color w:val="000000"/>
                <w:lang w:eastAsia="en-GB"/>
              </w:rPr>
            </w:pPr>
            <w:r w:rsidRPr="00EE369D">
              <w:rPr>
                <w:rFonts w:ascii="Arial" w:eastAsia="Times New Roman" w:hAnsi="Arial" w:cs="Arial"/>
                <w:b/>
                <w:bCs/>
                <w:color w:val="000000"/>
                <w:lang w:eastAsia="en-GB"/>
              </w:rPr>
              <w:t> </w:t>
            </w:r>
          </w:p>
        </w:tc>
      </w:tr>
    </w:tbl>
    <w:p w:rsidR="00EB1287" w:rsidRPr="00EE369D" w:rsidP="008125CA">
      <w:pPr>
        <w:jc w:val="center"/>
        <w:rPr>
          <w:rFonts w:ascii="Arial" w:hAnsi="Arial" w:cs="Arial"/>
        </w:rPr>
      </w:pPr>
      <w:r w:rsidRPr="00EE369D">
        <w:rPr>
          <w:rFonts w:ascii="Arial" w:hAnsi="Arial" w:cs="Arial"/>
        </w:rPr>
        <w:t>Table 2: WK SR acceptance status sept 21</w:t>
      </w:r>
      <w:r>
        <w:rPr>
          <w:rStyle w:val="FootnoteReference"/>
          <w:rFonts w:ascii="Arial" w:hAnsi="Arial" w:cs="Arial"/>
        </w:rPr>
        <w:footnoteReference w:id="4"/>
      </w:r>
    </w:p>
    <w:p w:rsidR="000A2AE5" w:rsidRPr="00EE369D" w:rsidP="008125CA">
      <w:pPr>
        <w:pStyle w:val="ListParagraph"/>
        <w:spacing w:line="240" w:lineRule="auto"/>
        <w:ind w:left="0"/>
        <w:rPr>
          <w:rFonts w:ascii="Arial" w:hAnsi="Arial" w:cs="Arial"/>
          <w:lang w:val="en-US"/>
        </w:rPr>
      </w:pPr>
      <w:r w:rsidRPr="00EE369D">
        <w:rPr>
          <w:rFonts w:ascii="Arial" w:hAnsi="Arial" w:cs="Arial"/>
          <w:b/>
          <w:bCs/>
          <w:lang w:val="en-US"/>
        </w:rPr>
        <w:t>Watchkeeper in service</w:t>
      </w:r>
      <w:r w:rsidRPr="00EE369D">
        <w:rPr>
          <w:rFonts w:ascii="Arial" w:hAnsi="Arial" w:cs="Arial"/>
          <w:lang w:val="en-US"/>
        </w:rPr>
        <w:t xml:space="preserve">. </w:t>
      </w:r>
    </w:p>
    <w:p w:rsidR="00EF5F73" w:rsidRPr="00EE369D" w:rsidP="00EF5F73">
      <w:pPr>
        <w:pStyle w:val="ListParagraph"/>
        <w:spacing w:line="240" w:lineRule="auto"/>
        <w:ind w:left="0"/>
        <w:rPr>
          <w:rFonts w:ascii="Arial" w:hAnsi="Arial" w:cs="Arial"/>
          <w:lang w:val="en-US"/>
        </w:rPr>
      </w:pPr>
    </w:p>
    <w:p w:rsidR="00BB5A18" w:rsidRPr="00EE369D" w:rsidP="00EF5F73">
      <w:pPr>
        <w:pStyle w:val="ListParagraph"/>
        <w:numPr>
          <w:ilvl w:val="0"/>
          <w:numId w:val="12"/>
        </w:numPr>
        <w:rPr>
          <w:rFonts w:ascii="Arial" w:hAnsi="Arial" w:cs="Arial"/>
          <w:lang w:val="en-US"/>
        </w:rPr>
      </w:pPr>
      <w:r w:rsidRPr="00EE369D">
        <w:rPr>
          <w:rFonts w:ascii="Arial" w:hAnsi="Arial" w:cs="Arial"/>
          <w:lang w:val="en-US"/>
        </w:rPr>
        <w:t>Watchkeeper was procured as a response to the MOD second order assumption (2OA) that it required a persistent drone capability to deliver up to 6000 ISTAR flying hours per annum. The WK single statement of User Requirement (SSUN)</w:t>
      </w:r>
      <w:r>
        <w:rPr>
          <w:rStyle w:val="FootnoteReference"/>
          <w:rFonts w:ascii="Arial" w:hAnsi="Arial" w:cs="Arial"/>
          <w:lang w:val="en-US"/>
        </w:rPr>
        <w:footnoteReference w:id="5"/>
      </w:r>
      <w:r w:rsidRPr="00EE369D">
        <w:rPr>
          <w:rFonts w:ascii="Arial" w:hAnsi="Arial" w:cs="Arial"/>
          <w:lang w:val="en-US"/>
        </w:rPr>
        <w:t xml:space="preserve"> is: “To provide accurate, timely and high quality imagery and IMINT, collected, collated, exploited and disseminated primarily to satisfy the land manoeuvre commanders’ critical information and intelligence requirements within the context of Joint Operations, throughout a range of environments and across the spectrum of conflict.”</w:t>
      </w:r>
    </w:p>
    <w:p w:rsidR="00BB5A18" w:rsidRPr="00EE369D" w:rsidP="008125CA">
      <w:pPr>
        <w:pStyle w:val="ListParagraph"/>
        <w:spacing w:line="240" w:lineRule="auto"/>
        <w:ind w:left="0"/>
        <w:rPr>
          <w:rFonts w:ascii="Arial" w:hAnsi="Arial" w:cs="Arial"/>
          <w:lang w:val="en-US"/>
        </w:rPr>
      </w:pPr>
    </w:p>
    <w:p w:rsidR="00BB5A18" w:rsidRPr="00EE369D" w:rsidP="008125CA">
      <w:pPr>
        <w:pStyle w:val="ListParagraph"/>
        <w:numPr>
          <w:ilvl w:val="0"/>
          <w:numId w:val="12"/>
        </w:numPr>
        <w:rPr>
          <w:rFonts w:ascii="Arial" w:hAnsi="Arial" w:cs="Arial"/>
          <w:lang w:val="en-US"/>
        </w:rPr>
      </w:pPr>
      <w:r w:rsidRPr="00EE369D">
        <w:rPr>
          <w:rFonts w:ascii="Arial" w:hAnsi="Arial" w:cs="Arial"/>
          <w:lang w:val="en-US"/>
        </w:rPr>
        <w:t>In FY 21/22 It was measured that the output of Watchkeeper program as 1x Training UOA</w:t>
      </w:r>
      <w:r>
        <w:rPr>
          <w:rStyle w:val="FootnoteReference"/>
          <w:rFonts w:ascii="Arial" w:hAnsi="Arial" w:cs="Arial"/>
          <w:lang w:val="en-US"/>
        </w:rPr>
        <w:footnoteReference w:id="6"/>
      </w:r>
      <w:r w:rsidRPr="00EE369D">
        <w:rPr>
          <w:rFonts w:ascii="Arial" w:hAnsi="Arial" w:cs="Arial"/>
          <w:lang w:val="en-US"/>
        </w:rPr>
        <w:t xml:space="preserve"> + 1 x Non enduring UOA delivering 3 EA</w:t>
      </w:r>
      <w:r>
        <w:rPr>
          <w:rStyle w:val="FootnoteReference"/>
          <w:rFonts w:ascii="Arial" w:hAnsi="Arial" w:cs="Arial"/>
          <w:lang w:val="en-US"/>
        </w:rPr>
        <w:footnoteReference w:id="7"/>
      </w:r>
      <w:r w:rsidRPr="00EE369D">
        <w:rPr>
          <w:rFonts w:ascii="Arial" w:hAnsi="Arial" w:cs="Arial"/>
          <w:lang w:val="en-US"/>
        </w:rPr>
        <w:t>s per week with an average Sortie length of 3.5 hrs. Quantitively this equates to a measured monthly output of 35 - 40 flying hours from 15 - 20 sorties per month</w:t>
      </w:r>
      <w:r>
        <w:rPr>
          <w:rStyle w:val="FootnoteReference"/>
          <w:rFonts w:ascii="Arial" w:hAnsi="Arial" w:cs="Arial"/>
          <w:lang w:val="en-US"/>
        </w:rPr>
        <w:footnoteReference w:id="8"/>
      </w:r>
      <w:r w:rsidRPr="00EE369D">
        <w:rPr>
          <w:rFonts w:ascii="Arial" w:hAnsi="Arial" w:cs="Arial"/>
          <w:lang w:val="en-US"/>
        </w:rPr>
        <w:t xml:space="preserve">. This represents &lt;450 Flying hours per annum, far less than the 6000 required. </w:t>
      </w:r>
    </w:p>
    <w:p w:rsidR="00BB5A18" w:rsidRPr="00EE369D" w:rsidP="008125CA">
      <w:pPr>
        <w:pStyle w:val="ListParagraph"/>
        <w:ind w:left="0"/>
        <w:rPr>
          <w:rFonts w:ascii="Arial" w:hAnsi="Arial" w:cs="Arial"/>
          <w:lang w:val="en-US"/>
        </w:rPr>
      </w:pPr>
    </w:p>
    <w:p w:rsidR="00BB5A18" w:rsidRPr="00EE369D" w:rsidP="008125CA">
      <w:pPr>
        <w:pStyle w:val="ListParagraph"/>
        <w:numPr>
          <w:ilvl w:val="0"/>
          <w:numId w:val="12"/>
        </w:numPr>
        <w:spacing w:line="240" w:lineRule="auto"/>
        <w:rPr>
          <w:rFonts w:ascii="Arial" w:hAnsi="Arial" w:cs="Arial"/>
          <w:lang w:val="en-US"/>
        </w:rPr>
      </w:pPr>
      <w:r w:rsidRPr="00EE369D">
        <w:rPr>
          <w:rFonts w:ascii="Arial" w:hAnsi="Arial" w:cs="Arial"/>
          <w:lang w:val="en-US"/>
        </w:rPr>
        <w:t xml:space="preserve">A capability maturity plan was written to grow the capability to 4000 hrs per annum by 2027. Watchkeeper has missed every target on this maturity plan since its conception in Nov 2021. </w:t>
      </w:r>
    </w:p>
    <w:p w:rsidR="00BB5A18" w:rsidRPr="00EE369D" w:rsidP="008125CA">
      <w:pPr>
        <w:pStyle w:val="ListParagraph"/>
        <w:rPr>
          <w:rFonts w:ascii="Arial" w:hAnsi="Arial" w:cs="Arial"/>
          <w:lang w:val="en-US"/>
        </w:rPr>
      </w:pPr>
    </w:p>
    <w:p w:rsidR="00BB5A18" w:rsidRPr="00EE369D" w:rsidP="008125CA">
      <w:pPr>
        <w:pStyle w:val="ListParagraph"/>
        <w:numPr>
          <w:ilvl w:val="0"/>
          <w:numId w:val="12"/>
        </w:numPr>
        <w:spacing w:line="240" w:lineRule="auto"/>
        <w:rPr>
          <w:rFonts w:ascii="Arial" w:hAnsi="Arial" w:cs="Arial"/>
          <w:lang w:val="en-US"/>
        </w:rPr>
      </w:pPr>
      <w:r w:rsidRPr="00EE369D">
        <w:rPr>
          <w:rFonts w:ascii="Arial" w:hAnsi="Arial" w:cs="Arial"/>
          <w:lang w:val="en-US"/>
        </w:rPr>
        <w:t>Since FOC declaration until Nov 21, Watchkeeper</w:t>
      </w:r>
      <w:r>
        <w:rPr>
          <w:rStyle w:val="FootnoteReference"/>
          <w:rFonts w:ascii="Arial" w:hAnsi="Arial" w:cs="Arial"/>
          <w:lang w:val="en-US"/>
        </w:rPr>
        <w:footnoteReference w:id="9"/>
      </w:r>
      <w:r w:rsidRPr="00EE369D">
        <w:rPr>
          <w:rFonts w:ascii="Arial" w:hAnsi="Arial" w:cs="Arial"/>
          <w:lang w:val="en-US"/>
        </w:rPr>
        <w:t xml:space="preserve"> has achieved 804 flying hours from 271 Sorties.</w:t>
      </w:r>
    </w:p>
    <w:p w:rsidR="00533CA5" w:rsidRPr="00EE369D" w:rsidP="008125CA">
      <w:pPr>
        <w:pStyle w:val="ListParagraph"/>
        <w:spacing w:line="240" w:lineRule="auto"/>
        <w:ind w:left="0"/>
        <w:rPr>
          <w:rFonts w:ascii="Arial" w:hAnsi="Arial" w:cs="Arial"/>
          <w:lang w:val="en-US"/>
        </w:rPr>
      </w:pPr>
    </w:p>
    <w:p w:rsidR="00BB5A18" w:rsidRPr="00EE369D" w:rsidP="008125CA">
      <w:pPr>
        <w:pStyle w:val="ListParagraph"/>
        <w:numPr>
          <w:ilvl w:val="1"/>
          <w:numId w:val="12"/>
        </w:numPr>
        <w:spacing w:line="240" w:lineRule="auto"/>
        <w:rPr>
          <w:rFonts w:ascii="Arial" w:hAnsi="Arial" w:cs="Arial"/>
          <w:lang w:val="en-US"/>
        </w:rPr>
      </w:pPr>
      <w:r w:rsidRPr="00EE369D">
        <w:rPr>
          <w:rFonts w:ascii="Arial" w:hAnsi="Arial" w:cs="Arial"/>
          <w:lang w:val="en-US"/>
        </w:rPr>
        <w:t xml:space="preserve">612 flying hours have been delivered at RAF Akrotiri delivering Pilot Training. </w:t>
      </w:r>
    </w:p>
    <w:p w:rsidR="00533CA5" w:rsidRPr="00EE369D" w:rsidP="008125CA">
      <w:pPr>
        <w:pStyle w:val="ListParagraph"/>
        <w:spacing w:line="240" w:lineRule="auto"/>
        <w:ind w:left="567"/>
        <w:rPr>
          <w:rFonts w:ascii="Arial" w:hAnsi="Arial" w:cs="Arial"/>
          <w:lang w:val="en-US"/>
        </w:rPr>
      </w:pPr>
    </w:p>
    <w:p w:rsidR="00533CA5" w:rsidRPr="00EE369D" w:rsidP="008125CA">
      <w:pPr>
        <w:pStyle w:val="ListParagraph"/>
        <w:numPr>
          <w:ilvl w:val="1"/>
          <w:numId w:val="12"/>
        </w:numPr>
        <w:spacing w:line="240" w:lineRule="auto"/>
        <w:rPr>
          <w:rFonts w:ascii="Arial" w:hAnsi="Arial" w:cs="Arial"/>
          <w:lang w:val="en-US"/>
        </w:rPr>
      </w:pPr>
      <w:r w:rsidRPr="00EE369D">
        <w:rPr>
          <w:rFonts w:ascii="Arial" w:hAnsi="Arial" w:cs="Arial"/>
          <w:lang w:val="en-US"/>
        </w:rPr>
        <w:t xml:space="preserve">121 flying hours on UK based training exercises. </w:t>
      </w:r>
    </w:p>
    <w:p w:rsidR="00533CA5" w:rsidRPr="00EE369D" w:rsidP="008125CA">
      <w:pPr>
        <w:pStyle w:val="ListParagraph"/>
        <w:spacing w:line="240" w:lineRule="auto"/>
        <w:ind w:left="567"/>
        <w:rPr>
          <w:rFonts w:ascii="Arial" w:hAnsi="Arial" w:cs="Arial"/>
          <w:lang w:val="en-US"/>
        </w:rPr>
      </w:pPr>
    </w:p>
    <w:p w:rsidR="00BB5A18" w:rsidRPr="00EE369D" w:rsidP="008125CA">
      <w:pPr>
        <w:pStyle w:val="ListParagraph"/>
        <w:numPr>
          <w:ilvl w:val="1"/>
          <w:numId w:val="12"/>
        </w:numPr>
        <w:spacing w:line="240" w:lineRule="auto"/>
        <w:rPr>
          <w:rFonts w:ascii="Arial" w:hAnsi="Arial" w:cs="Arial"/>
          <w:lang w:val="en-US"/>
        </w:rPr>
      </w:pPr>
      <w:r w:rsidRPr="00EE369D">
        <w:rPr>
          <w:rFonts w:ascii="Arial" w:hAnsi="Arial" w:cs="Arial"/>
          <w:lang w:val="en-US"/>
        </w:rPr>
        <w:t>70 flying hours on UK based Operations (Op DEVERAN , Oct 2020)</w:t>
      </w:r>
    </w:p>
    <w:p w:rsidR="00533CA5" w:rsidRPr="00EE369D" w:rsidP="008125CA">
      <w:pPr>
        <w:pStyle w:val="ListParagraph"/>
        <w:spacing w:line="240" w:lineRule="auto"/>
        <w:ind w:left="567"/>
        <w:rPr>
          <w:rFonts w:ascii="Arial" w:hAnsi="Arial" w:cs="Arial"/>
          <w:lang w:val="en-US"/>
        </w:rPr>
      </w:pPr>
    </w:p>
    <w:p w:rsidR="00BB5A18" w:rsidRPr="00EE369D" w:rsidP="008125CA">
      <w:pPr>
        <w:pStyle w:val="ListParagraph"/>
        <w:numPr>
          <w:ilvl w:val="1"/>
          <w:numId w:val="12"/>
        </w:numPr>
        <w:spacing w:line="240" w:lineRule="auto"/>
        <w:rPr>
          <w:rFonts w:ascii="Arial" w:hAnsi="Arial" w:cs="Arial"/>
          <w:lang w:val="en-US"/>
        </w:rPr>
      </w:pPr>
      <w:r w:rsidRPr="00EE369D">
        <w:rPr>
          <w:rFonts w:ascii="Arial" w:hAnsi="Arial" w:cs="Arial"/>
          <w:lang w:val="en-US"/>
        </w:rPr>
        <w:t>0 flying hours on Overseas based Operations</w:t>
      </w:r>
      <w:r>
        <w:rPr>
          <w:rStyle w:val="FootnoteReference"/>
          <w:rFonts w:ascii="Arial" w:hAnsi="Arial" w:cs="Arial"/>
          <w:lang w:val="en-US"/>
        </w:rPr>
        <w:footnoteReference w:id="10"/>
      </w:r>
      <w:r w:rsidRPr="00EE369D">
        <w:rPr>
          <w:rFonts w:ascii="Arial" w:hAnsi="Arial" w:cs="Arial"/>
          <w:lang w:val="en-US"/>
        </w:rPr>
        <w:t xml:space="preserve">. </w:t>
      </w:r>
    </w:p>
    <w:p w:rsidR="00533CA5" w:rsidRPr="00EE369D" w:rsidP="008125CA">
      <w:pPr>
        <w:pStyle w:val="ListParagraph"/>
        <w:rPr>
          <w:rFonts w:ascii="Arial" w:hAnsi="Arial" w:cs="Arial"/>
          <w:lang w:val="en-US"/>
        </w:rPr>
      </w:pPr>
    </w:p>
    <w:p w:rsidR="00533CA5" w:rsidRPr="00EE369D" w:rsidP="008125CA">
      <w:pPr>
        <w:pStyle w:val="ListParagraph"/>
        <w:numPr>
          <w:ilvl w:val="0"/>
          <w:numId w:val="12"/>
        </w:numPr>
        <w:spacing w:line="240" w:lineRule="auto"/>
        <w:rPr>
          <w:rFonts w:ascii="Arial" w:hAnsi="Arial" w:cs="Arial"/>
          <w:lang w:val="en-US"/>
        </w:rPr>
      </w:pPr>
      <w:r w:rsidRPr="00EE369D">
        <w:rPr>
          <w:rFonts w:ascii="Arial" w:hAnsi="Arial" w:cs="Arial"/>
          <w:lang w:val="en-US"/>
        </w:rPr>
        <w:t xml:space="preserve">Since 01 Nov 21, Watchkeeper has achieved a further 371 hrs. </w:t>
      </w:r>
    </w:p>
    <w:p w:rsidR="00D616D5" w:rsidRPr="00EE369D" w:rsidP="008125CA">
      <w:pPr>
        <w:pStyle w:val="ListParagraph"/>
        <w:spacing w:line="240" w:lineRule="auto"/>
        <w:ind w:left="0"/>
        <w:rPr>
          <w:rFonts w:ascii="Arial" w:hAnsi="Arial" w:cs="Arial"/>
          <w:lang w:val="en-US"/>
        </w:rPr>
      </w:pPr>
    </w:p>
    <w:p w:rsidR="00B742C0" w:rsidRPr="00EE369D" w:rsidP="008125CA">
      <w:pPr>
        <w:pStyle w:val="ListParagraph"/>
        <w:numPr>
          <w:ilvl w:val="0"/>
          <w:numId w:val="12"/>
        </w:numPr>
        <w:spacing w:line="240" w:lineRule="auto"/>
        <w:rPr>
          <w:rFonts w:ascii="Arial" w:hAnsi="Arial" w:cs="Arial"/>
          <w:lang w:val="en-US"/>
        </w:rPr>
      </w:pPr>
      <w:r w:rsidRPr="00EE369D">
        <w:rPr>
          <w:rFonts w:ascii="Arial" w:hAnsi="Arial" w:cs="Arial"/>
          <w:lang w:val="en-US"/>
        </w:rPr>
        <w:t>At a rate of 6000hrs per annum the MOD would have expected the Watchkeeper drone to have delivered ~ 18000 hrs between FOC in Nov 2018 and Nov 22. In reality the Watchkeeper programme has delivered only 1191 hrs over this time period. Representing 6.6% of the desired output.</w:t>
      </w:r>
    </w:p>
    <w:p w:rsidR="006F40AC" w:rsidRPr="00EE369D" w:rsidP="006F40AC">
      <w:pPr>
        <w:pStyle w:val="ListParagraph"/>
        <w:rPr>
          <w:rFonts w:ascii="Arial" w:hAnsi="Arial" w:cs="Arial"/>
          <w:lang w:val="en-US"/>
        </w:rPr>
      </w:pPr>
    </w:p>
    <w:p w:rsidR="006F40AC" w:rsidRPr="00EE369D" w:rsidP="008125CA">
      <w:pPr>
        <w:pStyle w:val="ListParagraph"/>
        <w:numPr>
          <w:ilvl w:val="0"/>
          <w:numId w:val="12"/>
        </w:numPr>
        <w:spacing w:line="240" w:lineRule="auto"/>
        <w:rPr>
          <w:rFonts w:ascii="Arial" w:hAnsi="Arial" w:cs="Arial"/>
          <w:lang w:val="en-US"/>
        </w:rPr>
      </w:pPr>
      <w:r w:rsidRPr="00EE369D">
        <w:rPr>
          <w:rFonts w:ascii="Arial" w:hAnsi="Arial" w:cs="Arial"/>
          <w:lang w:val="en-US"/>
        </w:rPr>
        <w:t xml:space="preserve">If the watchkeeper cannot fly then the pilots cannot train. If the pilots cannot train, they cannot prove the base capability and develop and integrate it further. Without proving its capability, Watchkeeper is not trusted as a reliable capability by the MOD. </w:t>
      </w:r>
    </w:p>
    <w:p w:rsidR="00B742C0" w:rsidRPr="00EE369D" w:rsidP="008125CA">
      <w:pPr>
        <w:pStyle w:val="ListParagraph"/>
        <w:rPr>
          <w:rFonts w:ascii="Arial" w:hAnsi="Arial" w:cs="Arial"/>
          <w:lang w:val="en-US"/>
        </w:rPr>
      </w:pPr>
    </w:p>
    <w:p w:rsidR="00D616D5" w:rsidRPr="00EE369D" w:rsidP="008125CA">
      <w:pPr>
        <w:pStyle w:val="ListParagraph"/>
        <w:numPr>
          <w:ilvl w:val="0"/>
          <w:numId w:val="12"/>
        </w:numPr>
        <w:spacing w:line="240" w:lineRule="auto"/>
        <w:rPr>
          <w:rFonts w:ascii="Arial" w:hAnsi="Arial" w:cs="Arial"/>
          <w:lang w:val="en-US"/>
        </w:rPr>
      </w:pPr>
      <w:r w:rsidRPr="00EE369D">
        <w:rPr>
          <w:rFonts w:ascii="Arial" w:hAnsi="Arial" w:cs="Arial"/>
          <w:b/>
          <w:bCs/>
          <w:lang w:val="en-US"/>
        </w:rPr>
        <w:t>Why the low flying rate?</w:t>
      </w:r>
      <w:r w:rsidRPr="00EE369D">
        <w:rPr>
          <w:rFonts w:ascii="Arial" w:hAnsi="Arial" w:cs="Arial"/>
          <w:lang w:val="en-US"/>
        </w:rPr>
        <w:t xml:space="preserve"> Fundamentally, as DE&amp;S did not deliver the capability required from Watchkeeper, it could not be operated effectively by the users. 47 Regiment Royal Artillery (47 RA) are the only MOD unit to operate the watchkeeper. They were placed in an unwinnable position:</w:t>
      </w:r>
    </w:p>
    <w:p w:rsidR="00B742C0" w:rsidRPr="00EE369D" w:rsidP="008125CA">
      <w:pPr>
        <w:pStyle w:val="ListParagraph"/>
        <w:rPr>
          <w:rFonts w:ascii="Arial" w:hAnsi="Arial" w:cs="Arial"/>
          <w:lang w:val="en-US"/>
        </w:rPr>
      </w:pPr>
    </w:p>
    <w:p w:rsidR="00B742C0" w:rsidRPr="00EE369D" w:rsidP="008125CA">
      <w:pPr>
        <w:pStyle w:val="ListParagraph"/>
        <w:numPr>
          <w:ilvl w:val="1"/>
          <w:numId w:val="12"/>
        </w:numPr>
        <w:spacing w:line="240" w:lineRule="auto"/>
        <w:rPr>
          <w:rFonts w:ascii="Arial" w:hAnsi="Arial" w:cs="Arial"/>
          <w:lang w:val="en-US"/>
        </w:rPr>
      </w:pPr>
      <w:r w:rsidRPr="00EE369D">
        <w:rPr>
          <w:rFonts w:ascii="Arial" w:hAnsi="Arial" w:cs="Arial"/>
          <w:lang w:val="en-US"/>
        </w:rPr>
        <w:t xml:space="preserve">There was only enough sustainment (logistics, spares, aircraft maintainers) to maintain a small forward fleet. Therefore only 13 from 54 aircraft were in the forward fleet. The remainder of the useable fleet were in storage. </w:t>
      </w:r>
    </w:p>
    <w:p w:rsidR="00B742C0" w:rsidRPr="00EE369D" w:rsidP="008125CA">
      <w:pPr>
        <w:pStyle w:val="ListParagraph"/>
        <w:spacing w:line="240" w:lineRule="auto"/>
        <w:ind w:left="567"/>
        <w:rPr>
          <w:rFonts w:ascii="Arial" w:hAnsi="Arial" w:cs="Arial"/>
          <w:lang w:val="en-US"/>
        </w:rPr>
      </w:pPr>
    </w:p>
    <w:p w:rsidR="00B742C0" w:rsidRPr="00EE369D" w:rsidP="008125CA">
      <w:pPr>
        <w:pStyle w:val="ListParagraph"/>
        <w:numPr>
          <w:ilvl w:val="1"/>
          <w:numId w:val="12"/>
        </w:numPr>
        <w:spacing w:line="240" w:lineRule="auto"/>
        <w:rPr>
          <w:rFonts w:ascii="Arial" w:hAnsi="Arial" w:cs="Arial"/>
          <w:lang w:val="en-US"/>
        </w:rPr>
      </w:pPr>
      <w:r w:rsidRPr="00EE369D">
        <w:rPr>
          <w:rFonts w:ascii="Arial" w:hAnsi="Arial" w:cs="Arial"/>
          <w:lang w:val="en-US"/>
        </w:rPr>
        <w:t>As the aircraft capability was not delivered as planned, it had a lot of restrictions on its flight envelope. This was further restricted after several crashes. The RTS (Release to Service document) severely limits the watchkeepers ability to fly in the UK. This is due to three requirements:</w:t>
      </w:r>
    </w:p>
    <w:p w:rsidR="00B742C0" w:rsidRPr="00EE369D" w:rsidP="008125CA">
      <w:pPr>
        <w:pStyle w:val="ListParagraph"/>
        <w:rPr>
          <w:rFonts w:ascii="Arial" w:hAnsi="Arial" w:cs="Arial"/>
          <w:lang w:val="en-US"/>
        </w:rPr>
      </w:pPr>
    </w:p>
    <w:p w:rsidR="00EF5F73" w:rsidRPr="00EE369D" w:rsidP="008125CA">
      <w:pPr>
        <w:pStyle w:val="ListParagraph"/>
        <w:numPr>
          <w:ilvl w:val="2"/>
          <w:numId w:val="16"/>
        </w:numPr>
        <w:spacing w:line="240" w:lineRule="auto"/>
        <w:rPr>
          <w:rFonts w:ascii="Arial" w:hAnsi="Arial" w:cs="Arial"/>
          <w:lang w:val="en-US"/>
        </w:rPr>
      </w:pPr>
      <w:r w:rsidRPr="00EE369D">
        <w:rPr>
          <w:rFonts w:ascii="Arial" w:hAnsi="Arial" w:cs="Arial"/>
          <w:lang w:val="en-US"/>
        </w:rPr>
        <w:t>Limitations on flying over populated areas.</w:t>
      </w:r>
    </w:p>
    <w:p w:rsidR="00B742C0" w:rsidRPr="00EE369D" w:rsidP="00EF5F73">
      <w:pPr>
        <w:pStyle w:val="ListParagraph"/>
        <w:spacing w:line="240" w:lineRule="auto"/>
        <w:ind w:left="1134"/>
        <w:rPr>
          <w:rFonts w:ascii="Arial" w:hAnsi="Arial" w:cs="Arial"/>
          <w:lang w:val="en-US"/>
        </w:rPr>
      </w:pPr>
      <w:r w:rsidRPr="00EE369D">
        <w:rPr>
          <w:rFonts w:ascii="Arial" w:hAnsi="Arial" w:cs="Arial"/>
          <w:lang w:val="en-US"/>
        </w:rPr>
        <w:t xml:space="preserve"> </w:t>
      </w:r>
    </w:p>
    <w:p w:rsidR="00EF5F73" w:rsidRPr="00EE369D" w:rsidP="00EF5F73">
      <w:pPr>
        <w:pStyle w:val="ListParagraph"/>
        <w:numPr>
          <w:ilvl w:val="2"/>
          <w:numId w:val="16"/>
        </w:numPr>
        <w:spacing w:line="240" w:lineRule="auto"/>
        <w:rPr>
          <w:rFonts w:ascii="Arial" w:hAnsi="Arial" w:cs="Arial"/>
          <w:lang w:val="en-US"/>
        </w:rPr>
      </w:pPr>
      <w:r w:rsidRPr="00EE369D">
        <w:rPr>
          <w:rFonts w:ascii="Arial" w:hAnsi="Arial" w:cs="Arial"/>
          <w:lang w:val="en-US"/>
        </w:rPr>
        <w:t xml:space="preserve">Limitations on flying in congested airspace. </w:t>
      </w:r>
    </w:p>
    <w:p w:rsidR="00EF5F73" w:rsidRPr="00EE369D" w:rsidP="00EF5F73">
      <w:pPr>
        <w:pStyle w:val="ListParagraph"/>
        <w:rPr>
          <w:rFonts w:ascii="Arial" w:hAnsi="Arial" w:cs="Arial"/>
          <w:lang w:val="en-US"/>
        </w:rPr>
      </w:pPr>
    </w:p>
    <w:p w:rsidR="00B742C0" w:rsidRPr="00EE369D" w:rsidP="008125CA">
      <w:pPr>
        <w:pStyle w:val="ListParagraph"/>
        <w:numPr>
          <w:ilvl w:val="2"/>
          <w:numId w:val="16"/>
        </w:numPr>
        <w:spacing w:line="240" w:lineRule="auto"/>
        <w:rPr>
          <w:rFonts w:ascii="Arial" w:hAnsi="Arial" w:cs="Arial"/>
          <w:lang w:val="en-US"/>
        </w:rPr>
      </w:pPr>
      <w:r w:rsidRPr="00EE369D">
        <w:rPr>
          <w:rFonts w:ascii="Arial" w:hAnsi="Arial" w:cs="Arial"/>
          <w:lang w:val="en-US"/>
        </w:rPr>
        <w:t xml:space="preserve">Limitations on flying in poor weather. </w:t>
      </w:r>
    </w:p>
    <w:p w:rsidR="00B742C0" w:rsidRPr="00EE369D" w:rsidP="008125CA">
      <w:pPr>
        <w:spacing w:line="240" w:lineRule="auto"/>
        <w:ind w:left="567"/>
        <w:rPr>
          <w:rFonts w:ascii="Arial" w:hAnsi="Arial" w:cs="Arial"/>
          <w:lang w:val="en-US"/>
        </w:rPr>
      </w:pPr>
      <w:r w:rsidRPr="00EE369D">
        <w:rPr>
          <w:rFonts w:ascii="Arial" w:hAnsi="Arial" w:cs="Arial"/>
          <w:lang w:val="en-US"/>
        </w:rPr>
        <w:t xml:space="preserve">As a consequence, the Watchkeeper capability could not be trained in the UK and a permanent overseas flying location was required.  </w:t>
      </w:r>
    </w:p>
    <w:p w:rsidR="00B742C0" w:rsidRPr="00EE369D" w:rsidP="008125CA">
      <w:pPr>
        <w:pStyle w:val="ListParagraph"/>
        <w:numPr>
          <w:ilvl w:val="1"/>
          <w:numId w:val="12"/>
        </w:numPr>
        <w:spacing w:line="240" w:lineRule="auto"/>
        <w:rPr>
          <w:rFonts w:ascii="Arial" w:hAnsi="Arial" w:cs="Arial"/>
          <w:lang w:val="en-US"/>
        </w:rPr>
      </w:pPr>
      <w:r w:rsidRPr="00EE369D">
        <w:rPr>
          <w:rFonts w:ascii="Arial" w:hAnsi="Arial" w:cs="Arial"/>
          <w:lang w:val="en-US"/>
        </w:rPr>
        <w:t xml:space="preserve">7 notable incidents have resulted in vast periods where the Watchkeeper Capability was grounded and not available for the users to train on. </w:t>
      </w:r>
    </w:p>
    <w:p w:rsidR="001471AB" w:rsidRPr="00EE369D" w:rsidP="008125CA">
      <w:pPr>
        <w:pStyle w:val="ListParagraph"/>
        <w:spacing w:line="240" w:lineRule="auto"/>
        <w:ind w:left="567"/>
        <w:rPr>
          <w:rFonts w:ascii="Arial" w:hAnsi="Arial" w:cs="Arial"/>
          <w:lang w:val="en-US"/>
        </w:rPr>
      </w:pPr>
    </w:p>
    <w:p w:rsidR="001471AB" w:rsidRPr="00EE369D" w:rsidP="008125CA">
      <w:pPr>
        <w:pStyle w:val="ListParagraph"/>
        <w:numPr>
          <w:ilvl w:val="1"/>
          <w:numId w:val="12"/>
        </w:numPr>
        <w:spacing w:line="240" w:lineRule="auto"/>
        <w:rPr>
          <w:rFonts w:ascii="Arial" w:hAnsi="Arial" w:cs="Arial"/>
          <w:lang w:val="en-US"/>
        </w:rPr>
      </w:pPr>
      <w:r w:rsidRPr="00EE369D">
        <w:rPr>
          <w:rFonts w:ascii="Arial" w:hAnsi="Arial" w:cs="Arial"/>
          <w:lang w:val="en-US"/>
        </w:rPr>
        <w:t>RAF Akrotiri was allocated by the MOD for Watchkeeper to use as a permeant overseas training location. RAF Akrotiri is the busiest</w:t>
      </w:r>
      <w:r>
        <w:rPr>
          <w:rStyle w:val="FootnoteReference"/>
          <w:rFonts w:ascii="Arial" w:hAnsi="Arial" w:cs="Arial"/>
          <w:lang w:val="en-US"/>
        </w:rPr>
        <w:footnoteReference w:id="11"/>
      </w:r>
      <w:r w:rsidRPr="00EE369D">
        <w:rPr>
          <w:rFonts w:ascii="Arial" w:hAnsi="Arial" w:cs="Arial"/>
          <w:lang w:val="en-US"/>
        </w:rPr>
        <w:t xml:space="preserve"> MOD Airfield outside the UK. Watchkeeper was considered a low priority user and could not operate while other aircraft where in the airspace. As a result, Watchkeeper was limited to only fly Monday – Thursday, at night, for a 6 hour flying window. Therefore the pilots couldn’t train the 16hr endurance capability of the aircraft. </w:t>
      </w:r>
    </w:p>
    <w:p w:rsidR="001471AB" w:rsidRPr="00EE369D" w:rsidP="008125CA">
      <w:pPr>
        <w:pStyle w:val="ListParagraph"/>
        <w:rPr>
          <w:rFonts w:ascii="Arial" w:hAnsi="Arial" w:cs="Arial"/>
          <w:lang w:val="en-US"/>
        </w:rPr>
      </w:pPr>
    </w:p>
    <w:p w:rsidR="001471AB" w:rsidRPr="00EE369D" w:rsidP="008125CA">
      <w:pPr>
        <w:pStyle w:val="ListParagraph"/>
        <w:numPr>
          <w:ilvl w:val="1"/>
          <w:numId w:val="12"/>
        </w:numPr>
        <w:spacing w:line="240" w:lineRule="auto"/>
        <w:rPr>
          <w:rFonts w:ascii="Arial" w:hAnsi="Arial" w:cs="Arial"/>
          <w:lang w:val="en-US"/>
        </w:rPr>
      </w:pPr>
      <w:r w:rsidRPr="00EE369D">
        <w:rPr>
          <w:rFonts w:ascii="Arial" w:hAnsi="Arial" w:cs="Arial"/>
          <w:lang w:val="en-US"/>
        </w:rPr>
        <w:t xml:space="preserve">As of 2022, 47 Regt Royal Artillery have trained fewer than 20 Pilots and are now looking for an alternate flying location in the USA. 47 RA are struggling to ‘train’ pilots to fly the aircraft, let alone learnt to ‘fight’ it and provide ISR services to the wider MOD. </w:t>
      </w:r>
    </w:p>
    <w:p w:rsidR="001471AB" w:rsidRPr="00EE369D" w:rsidP="008125CA">
      <w:pPr>
        <w:pStyle w:val="ListParagraph"/>
        <w:rPr>
          <w:rFonts w:ascii="Arial" w:hAnsi="Arial" w:cs="Arial"/>
          <w:lang w:val="en-US"/>
        </w:rPr>
      </w:pPr>
    </w:p>
    <w:p w:rsidR="001471AB" w:rsidRPr="00EE369D" w:rsidP="008125CA">
      <w:pPr>
        <w:pStyle w:val="ListParagraph"/>
        <w:numPr>
          <w:ilvl w:val="1"/>
          <w:numId w:val="12"/>
        </w:numPr>
        <w:spacing w:line="240" w:lineRule="auto"/>
        <w:rPr>
          <w:rFonts w:ascii="Arial" w:hAnsi="Arial" w:cs="Arial"/>
          <w:lang w:val="en-US"/>
        </w:rPr>
      </w:pPr>
      <w:r w:rsidRPr="00EE369D">
        <w:rPr>
          <w:rFonts w:ascii="Arial" w:hAnsi="Arial" w:cs="Arial"/>
          <w:lang w:val="en-US"/>
        </w:rPr>
        <w:t xml:space="preserve">Each watchkeeper in training requires 2 pilots and an instructor. As a consequence of all the constraints placed on 47 RA, they have never been able to fly 2 watchkeeper aircraft simultaneously. Nor have they been able to fly more that 2 sorties from 1 location in a single day. 47 RA have never once proven the endurance of the Aircraft to fly 16 hours in a single sortie. </w:t>
      </w:r>
    </w:p>
    <w:p w:rsidR="001C4171" w:rsidRPr="00EE369D" w:rsidP="008125CA">
      <w:pPr>
        <w:pStyle w:val="ListParagraph"/>
        <w:rPr>
          <w:rFonts w:ascii="Arial" w:hAnsi="Arial" w:cs="Arial"/>
          <w:lang w:val="en-US"/>
        </w:rPr>
      </w:pPr>
    </w:p>
    <w:p w:rsidR="001C4171" w:rsidRPr="00EE369D" w:rsidP="006F40AC">
      <w:pPr>
        <w:pStyle w:val="ListParagraph"/>
        <w:numPr>
          <w:ilvl w:val="1"/>
          <w:numId w:val="12"/>
        </w:numPr>
        <w:spacing w:line="240" w:lineRule="auto"/>
        <w:rPr>
          <w:rFonts w:ascii="Arial" w:hAnsi="Arial" w:cs="Arial"/>
          <w:lang w:val="en-US"/>
        </w:rPr>
      </w:pPr>
      <w:r w:rsidRPr="00EE369D">
        <w:rPr>
          <w:rFonts w:ascii="Arial" w:hAnsi="Arial" w:cs="Arial"/>
          <w:lang w:val="en-US"/>
        </w:rPr>
        <w:t xml:space="preserve">Despite FOC being delivered on paper in Nov 2018. 47 Regt Royal Artillery have never proven that they can deliver this capability. It is doubtful that they could deliver 15% of the capability defined in the FOC definition statement. </w:t>
      </w:r>
    </w:p>
    <w:p w:rsidR="00BB5A18" w:rsidRPr="00EE369D" w:rsidP="008125CA">
      <w:pPr>
        <w:pStyle w:val="ListParagraph"/>
        <w:spacing w:line="240" w:lineRule="auto"/>
        <w:ind w:left="0"/>
        <w:rPr>
          <w:rFonts w:ascii="Arial" w:hAnsi="Arial" w:cs="Arial"/>
          <w:lang w:val="en-US"/>
        </w:rPr>
      </w:pPr>
    </w:p>
    <w:p w:rsidR="000A2AE5" w:rsidRPr="00EE369D" w:rsidP="008125CA">
      <w:pPr>
        <w:pStyle w:val="ListParagraph"/>
        <w:numPr>
          <w:ilvl w:val="0"/>
          <w:numId w:val="12"/>
        </w:numPr>
        <w:spacing w:line="240" w:lineRule="auto"/>
        <w:rPr>
          <w:rFonts w:ascii="Arial" w:hAnsi="Arial" w:cs="Arial"/>
          <w:lang w:val="en-US"/>
        </w:rPr>
      </w:pPr>
      <w:r w:rsidRPr="00EE369D">
        <w:rPr>
          <w:rFonts w:ascii="Arial" w:hAnsi="Arial" w:cs="Arial"/>
          <w:b/>
          <w:bCs/>
          <w:lang w:val="en-US"/>
        </w:rPr>
        <w:t>Watchkeeper Mid life Extension</w:t>
      </w:r>
      <w:r w:rsidRPr="00EE369D">
        <w:rPr>
          <w:rFonts w:ascii="Arial" w:hAnsi="Arial" w:cs="Arial"/>
          <w:lang w:val="en-US"/>
        </w:rPr>
        <w:t xml:space="preserve">. Due to obsolescence with the hardware and security concerns regarding the operating system (it runs on Windows XP) the watchkeeper is about to undergo a Mid Life Extension. This will not improve the capability in anyway, it will only increase the likelihood of being able to satisfy the initial KURs. The Midlife extension will cost the MOD ~£225M, not deliver any improved capability to the user and will only compensate for errors in the initial procurement. </w:t>
      </w:r>
    </w:p>
    <w:p w:rsidR="00456777" w:rsidRPr="00EE369D" w:rsidP="008125CA">
      <w:pPr>
        <w:pStyle w:val="ListParagraph"/>
        <w:spacing w:line="240" w:lineRule="auto"/>
        <w:ind w:left="0"/>
        <w:rPr>
          <w:rFonts w:ascii="Arial" w:hAnsi="Arial" w:cs="Arial"/>
          <w:lang w:val="en-US"/>
        </w:rPr>
      </w:pPr>
    </w:p>
    <w:p w:rsidR="00456777" w:rsidRPr="00EE369D" w:rsidP="008125CA">
      <w:pPr>
        <w:pStyle w:val="ListParagraph"/>
        <w:numPr>
          <w:ilvl w:val="0"/>
          <w:numId w:val="12"/>
        </w:numPr>
        <w:spacing w:line="240" w:lineRule="auto"/>
        <w:rPr>
          <w:rFonts w:ascii="Arial" w:hAnsi="Arial" w:cs="Arial"/>
          <w:lang w:val="en-US"/>
        </w:rPr>
      </w:pPr>
      <w:r w:rsidRPr="00EE369D">
        <w:rPr>
          <w:rFonts w:ascii="Arial" w:hAnsi="Arial" w:cs="Arial"/>
          <w:lang w:val="en-US"/>
        </w:rPr>
        <w:t>To add insult to injury, further obsolesce is forecast. This Midlife extension will only extend the service life to 2033, however Watchkeeper currently has an out of service date of 2042, so a further Midlife Extension will be required as an estimated cost of ~£200M</w:t>
      </w:r>
    </w:p>
    <w:p w:rsidR="001471AB" w:rsidRPr="00EE369D" w:rsidP="008125CA">
      <w:pPr>
        <w:pStyle w:val="ListParagraph"/>
        <w:spacing w:line="240" w:lineRule="auto"/>
        <w:ind w:left="0"/>
        <w:rPr>
          <w:rFonts w:ascii="Arial" w:hAnsi="Arial" w:cs="Arial"/>
          <w:lang w:val="en-US"/>
        </w:rPr>
      </w:pPr>
    </w:p>
    <w:p w:rsidR="001471AB" w:rsidRPr="00EE369D" w:rsidP="008125CA">
      <w:pPr>
        <w:pStyle w:val="ListParagraph"/>
        <w:numPr>
          <w:ilvl w:val="0"/>
          <w:numId w:val="12"/>
        </w:numPr>
        <w:spacing w:line="240" w:lineRule="auto"/>
        <w:rPr>
          <w:rFonts w:ascii="Arial" w:hAnsi="Arial" w:cs="Arial"/>
          <w:lang w:val="en-US"/>
        </w:rPr>
      </w:pPr>
      <w:r w:rsidRPr="00EE369D">
        <w:rPr>
          <w:rFonts w:ascii="Arial" w:hAnsi="Arial" w:cs="Arial"/>
          <w:b/>
          <w:bCs/>
          <w:lang w:val="en-US"/>
        </w:rPr>
        <w:t>Watchkeeper finances and value for money for the taxpayer</w:t>
      </w:r>
      <w:r w:rsidRPr="00EE369D">
        <w:rPr>
          <w:rFonts w:ascii="Arial" w:hAnsi="Arial" w:cs="Arial"/>
          <w:lang w:val="en-US"/>
        </w:rPr>
        <w:t>. There is no conservable way that the watchkeeper program can be considered a return on investment, let alone a value for money. It has a contracted cost of ~£86.7K per day regardless of output. As watchkeeper has a very low fly rate, the cost per flying hour fluctuates but has been estimated at £88.4K. To put this in perspective, the operating cost</w:t>
      </w:r>
      <w:r>
        <w:rPr>
          <w:rStyle w:val="FootnoteReference"/>
          <w:rFonts w:ascii="Arial" w:hAnsi="Arial" w:cs="Arial"/>
          <w:lang w:val="en-US"/>
        </w:rPr>
        <w:footnoteReference w:id="12"/>
      </w:r>
      <w:r w:rsidRPr="00EE369D">
        <w:rPr>
          <w:rFonts w:ascii="Arial" w:hAnsi="Arial" w:cs="Arial"/>
          <w:lang w:val="en-US"/>
        </w:rPr>
        <w:t xml:space="preserve"> of Watchkeeper is estimated to be about £8k per flying hour. So, the difference is purely due to inefficiency and waste in the programme. </w:t>
      </w:r>
    </w:p>
    <w:p w:rsidR="00A03851" w:rsidRPr="00EE369D" w:rsidP="008125CA">
      <w:pPr>
        <w:pStyle w:val="ListParagraph"/>
        <w:rPr>
          <w:rFonts w:ascii="Arial" w:hAnsi="Arial" w:cs="Arial"/>
          <w:lang w:val="en-US"/>
        </w:rPr>
      </w:pPr>
    </w:p>
    <w:p w:rsidR="00A03851" w:rsidRPr="00EE369D" w:rsidP="008125CA">
      <w:pPr>
        <w:pStyle w:val="ListParagraph"/>
        <w:numPr>
          <w:ilvl w:val="0"/>
          <w:numId w:val="12"/>
        </w:numPr>
        <w:spacing w:line="240" w:lineRule="auto"/>
        <w:rPr>
          <w:rFonts w:ascii="Arial" w:hAnsi="Arial" w:cs="Arial"/>
          <w:lang w:val="en-US"/>
        </w:rPr>
      </w:pPr>
      <w:r w:rsidRPr="00EE369D">
        <w:rPr>
          <w:rFonts w:ascii="Arial" w:hAnsi="Arial" w:cs="Arial"/>
          <w:lang w:val="en-US"/>
        </w:rPr>
        <w:t xml:space="preserve">The watchkeeper programme will end up costing the taxpayer between £2.5Bn and £3Bn. About £1.5bn has been sunk or is committed already, yet watchkeeper capability has not yet proven that it could meet the FOC definition and does not deliver on the ISTAR capability gap it was procured for. </w:t>
      </w:r>
    </w:p>
    <w:p w:rsidR="00A03851" w:rsidRPr="00EE369D" w:rsidP="008125CA">
      <w:pPr>
        <w:pStyle w:val="ListParagraph"/>
        <w:rPr>
          <w:rFonts w:ascii="Arial" w:hAnsi="Arial" w:cs="Arial"/>
          <w:lang w:val="en-US"/>
        </w:rPr>
      </w:pPr>
    </w:p>
    <w:p w:rsidR="00A03851" w:rsidRPr="00EE369D" w:rsidP="008125CA">
      <w:pPr>
        <w:pStyle w:val="ListParagraph"/>
        <w:numPr>
          <w:ilvl w:val="0"/>
          <w:numId w:val="12"/>
        </w:numPr>
        <w:spacing w:line="240" w:lineRule="auto"/>
        <w:rPr>
          <w:rFonts w:ascii="Arial" w:hAnsi="Arial" w:cs="Arial"/>
          <w:lang w:val="en-US"/>
        </w:rPr>
      </w:pPr>
      <w:r w:rsidRPr="00EE369D">
        <w:rPr>
          <w:rFonts w:ascii="Arial" w:hAnsi="Arial" w:cs="Arial"/>
          <w:lang w:val="en-US"/>
        </w:rPr>
        <w:t xml:space="preserve">Further funding of Watchkeeper is throwing good money after bad. The Programmes foundations are so weak that the majority of committed funds goes to fixing programme problems rather than growing the capability. </w:t>
      </w:r>
    </w:p>
    <w:p w:rsidR="00A03851" w:rsidRPr="00EE369D" w:rsidP="008125CA">
      <w:pPr>
        <w:pStyle w:val="ListParagraph"/>
        <w:rPr>
          <w:rFonts w:ascii="Arial" w:hAnsi="Arial" w:cs="Arial"/>
          <w:lang w:val="en-US"/>
        </w:rPr>
      </w:pPr>
    </w:p>
    <w:p w:rsidR="00A03851" w:rsidRPr="00EE369D" w:rsidP="008125CA">
      <w:pPr>
        <w:pStyle w:val="ListParagraph"/>
        <w:numPr>
          <w:ilvl w:val="0"/>
          <w:numId w:val="12"/>
        </w:numPr>
        <w:spacing w:line="240" w:lineRule="auto"/>
        <w:rPr>
          <w:rFonts w:ascii="Arial" w:hAnsi="Arial" w:cs="Arial"/>
          <w:lang w:val="en-US"/>
        </w:rPr>
      </w:pPr>
      <w:r w:rsidRPr="00EE369D">
        <w:rPr>
          <w:rFonts w:ascii="Arial" w:hAnsi="Arial" w:cs="Arial"/>
          <w:lang w:val="en-US"/>
        </w:rPr>
        <w:t>The Watchkeeper asset price is not excessive at ~£10.5M(~£5.3M per unit + ~£5M for the ground control station) however this must be placed in the context that this is for a capability that doesn’t currently deliver for the MOD and if it delivers it will be at 2007 technology levels. Comparisons of Baykar Bayraktar TB2 (Asset cost ~£6m per unit) or the RAF Protector Drone (~£15M per unit</w:t>
      </w:r>
      <w:r>
        <w:rPr>
          <w:rStyle w:val="FootnoteReference"/>
          <w:rFonts w:ascii="Arial" w:hAnsi="Arial" w:cs="Arial"/>
          <w:lang w:val="en-US"/>
        </w:rPr>
        <w:footnoteReference w:id="13"/>
      </w:r>
      <w:r w:rsidRPr="00EE369D">
        <w:rPr>
          <w:rFonts w:ascii="Arial" w:hAnsi="Arial" w:cs="Arial"/>
          <w:lang w:val="en-US"/>
        </w:rPr>
        <w:t xml:space="preserve">). Demonstrate far better return on investment. This is modern technology that is already delivering a greater capability for comparable or cheaper cost. </w:t>
      </w:r>
    </w:p>
    <w:p w:rsidR="00B31CD6" w:rsidRPr="00EE369D" w:rsidP="008125CA">
      <w:pPr>
        <w:pStyle w:val="ListParagraph"/>
        <w:spacing w:line="240" w:lineRule="auto"/>
        <w:ind w:left="0"/>
        <w:rPr>
          <w:rFonts w:ascii="Arial" w:hAnsi="Arial" w:cs="Arial"/>
          <w:b/>
          <w:bCs/>
          <w:lang w:val="en-US"/>
        </w:rPr>
      </w:pPr>
    </w:p>
    <w:p w:rsidR="00BD7318" w:rsidRPr="00EE369D" w:rsidP="008125CA">
      <w:pPr>
        <w:pStyle w:val="ListParagraph"/>
        <w:numPr>
          <w:ilvl w:val="0"/>
          <w:numId w:val="12"/>
        </w:numPr>
        <w:spacing w:line="240" w:lineRule="auto"/>
        <w:rPr>
          <w:rFonts w:ascii="Arial" w:hAnsi="Arial" w:cs="Arial"/>
          <w:b/>
          <w:bCs/>
          <w:lang w:val="en-US"/>
        </w:rPr>
      </w:pPr>
      <w:r w:rsidRPr="00EE369D">
        <w:rPr>
          <w:rFonts w:ascii="Arial" w:hAnsi="Arial" w:cs="Arial"/>
          <w:b/>
          <w:bCs/>
          <w:lang w:val="en-US"/>
        </w:rPr>
        <w:t xml:space="preserve">DE&amp;S. </w:t>
      </w:r>
      <w:r w:rsidRPr="00EE369D">
        <w:rPr>
          <w:rFonts w:ascii="Arial" w:hAnsi="Arial" w:cs="Arial"/>
          <w:lang w:val="en-US"/>
        </w:rPr>
        <w:t>DE&amp;S were the procurement agent and although I cannot comment on their procurement, I have demonstrated the consequences of procuring a capability that cannot currently deliver. I was part of the in-service capability team and</w:t>
      </w:r>
      <w:r w:rsidRPr="00EE369D">
        <w:rPr>
          <w:rFonts w:ascii="Arial" w:hAnsi="Arial" w:cs="Arial"/>
          <w:b/>
          <w:bCs/>
          <w:lang w:val="en-US"/>
        </w:rPr>
        <w:t xml:space="preserve"> </w:t>
      </w:r>
      <w:r w:rsidRPr="00EE369D">
        <w:rPr>
          <w:rFonts w:ascii="Arial" w:hAnsi="Arial" w:cs="Arial"/>
          <w:lang w:val="en-US"/>
        </w:rPr>
        <w:t xml:space="preserve">interacted with the DE&amp;S </w:t>
      </w:r>
      <w:r w:rsidRPr="00EE369D">
        <w:rPr>
          <w:rFonts w:ascii="Arial" w:eastAsia="Times New Roman" w:hAnsi="Arial" w:cs="Arial"/>
          <w:color w:val="000000"/>
          <w:lang w:eastAsia="en-GB"/>
        </w:rPr>
        <w:t>RPAS Delivery Team daily. Here are some of my observations:</w:t>
      </w:r>
    </w:p>
    <w:p w:rsidR="006E6DBF" w:rsidRPr="00EE369D" w:rsidP="008125CA">
      <w:pPr>
        <w:pStyle w:val="ListParagraph"/>
        <w:rPr>
          <w:rFonts w:ascii="Arial" w:hAnsi="Arial" w:cs="Arial"/>
          <w:b/>
          <w:bCs/>
          <w:lang w:val="en-US"/>
        </w:rPr>
      </w:pPr>
    </w:p>
    <w:p w:rsidR="006E6DBF" w:rsidRPr="00EE369D" w:rsidP="008125CA">
      <w:pPr>
        <w:pStyle w:val="ListParagraph"/>
        <w:numPr>
          <w:ilvl w:val="1"/>
          <w:numId w:val="12"/>
        </w:numPr>
        <w:spacing w:line="240" w:lineRule="auto"/>
        <w:rPr>
          <w:rFonts w:ascii="Arial" w:hAnsi="Arial" w:cs="Arial"/>
          <w:b/>
          <w:bCs/>
          <w:lang w:val="en-US"/>
        </w:rPr>
      </w:pPr>
      <w:r w:rsidRPr="00EE369D">
        <w:rPr>
          <w:rFonts w:ascii="Arial" w:hAnsi="Arial" w:cs="Arial"/>
          <w:b/>
          <w:bCs/>
          <w:lang w:val="en-US"/>
        </w:rPr>
        <w:t xml:space="preserve">Sole provider. </w:t>
      </w:r>
      <w:r w:rsidRPr="00EE369D">
        <w:rPr>
          <w:rFonts w:ascii="Arial" w:hAnsi="Arial" w:cs="Arial"/>
          <w:lang w:val="en-US"/>
        </w:rPr>
        <w:t xml:space="preserve">The Watchkeeper programme is exclusively procured from THALES. Not only do THALES produce the capability, but they also provide the logistic package and have set up a company called UTacS to provide additional Maintenance support. Thales have a monopoly on all contracts, and they know they will get all future contracts. DE&amp;S do not hold them to account to provide reasonable quote for any service and there is no realistic market tender program. THALES have no incentive to provide a reliable air vehicle because if it is unreliable, they get contracted to provide the spares, maintenance, technical diagnosis etc. It’s in their interest for watchkeeper to be failing. An example of this is that they are getting the £225M Mid Life Extension programme to deliver a specification that they should have </w:t>
      </w:r>
      <w:r w:rsidRPr="00EE369D">
        <w:rPr>
          <w:rFonts w:ascii="Arial" w:hAnsi="Arial" w:cs="Arial"/>
          <w:lang w:val="en-US"/>
        </w:rPr>
        <w:t xml:space="preserve">delivered during the original procurement. This is simply money in their pocket and DE&amp;S are enabling this rather than achieving value for the taxpayer. </w:t>
      </w:r>
    </w:p>
    <w:p w:rsidR="006E6DBF" w:rsidRPr="00EE369D" w:rsidP="008125CA">
      <w:pPr>
        <w:pStyle w:val="ListParagraph"/>
        <w:rPr>
          <w:rFonts w:ascii="Arial" w:hAnsi="Arial" w:cs="Arial"/>
          <w:b/>
          <w:bCs/>
          <w:lang w:val="en-US"/>
        </w:rPr>
      </w:pPr>
    </w:p>
    <w:p w:rsidR="006E6DBF" w:rsidRPr="00EE369D" w:rsidP="008125CA">
      <w:pPr>
        <w:pStyle w:val="ListParagraph"/>
        <w:numPr>
          <w:ilvl w:val="1"/>
          <w:numId w:val="12"/>
        </w:numPr>
        <w:spacing w:line="240" w:lineRule="auto"/>
        <w:rPr>
          <w:rFonts w:ascii="Arial" w:hAnsi="Arial" w:cs="Arial"/>
          <w:b/>
          <w:bCs/>
          <w:lang w:val="en-US"/>
        </w:rPr>
      </w:pPr>
      <w:r w:rsidRPr="00EE369D">
        <w:rPr>
          <w:rFonts w:ascii="Arial" w:hAnsi="Arial" w:cs="Arial"/>
          <w:b/>
          <w:bCs/>
          <w:lang w:val="en-US"/>
        </w:rPr>
        <w:t xml:space="preserve">Focus on getting on contract rather than the right contract. </w:t>
      </w:r>
      <w:r w:rsidRPr="00EE369D">
        <w:rPr>
          <w:rFonts w:ascii="Arial" w:hAnsi="Arial" w:cs="Arial"/>
          <w:lang w:val="en-US"/>
        </w:rPr>
        <w:t>Several times I noticed their desire to tick boxes and get things on contract even if the contract was poor. This was driven by the toxic leader, who just never wanted to be seen as underperforming (maybe there was a lack of phycological safety). An example of this poor contract management was a maintenance contract with UTACs required renewing. This was during a period of time where Watchkeeper was exclusively flying in Cyprus and not in the UK. The current contract did not include overseas deployment and would constrain maintenance to only the UK. When I pointed this out to the contract manager, he informed me that it was too difficult to rewrite the contract this year and it was more important to get them on contract. This resulted in 8 contractors who could not deploy overseas within the contract and so Equipment that needed maintenance was shipped back to the UK for repair just to be sent back out to Cyprus. This issue resulted in hundreds of thousands in additional logistic and maintenance costs. This was only fixed when I galvanized focus from his team on the constraints that this contract provided, the in-contract amendment cost was close to £50k</w:t>
      </w:r>
      <w:r>
        <w:rPr>
          <w:rStyle w:val="FootnoteReference"/>
          <w:rFonts w:ascii="Arial" w:hAnsi="Arial" w:cs="Arial"/>
          <w:lang w:val="en-US"/>
        </w:rPr>
        <w:footnoteReference w:id="14"/>
      </w:r>
      <w:r w:rsidRPr="00EE369D">
        <w:rPr>
          <w:rFonts w:ascii="Arial" w:hAnsi="Arial" w:cs="Arial"/>
          <w:lang w:val="en-US"/>
        </w:rPr>
        <w:t xml:space="preserve">. additionally, the UTACs charged ~£18kpcm to self-organize accommodation in Cyprus for their two deployed technicians. DE&amp;S never held them to account over this excessive pricing.    </w:t>
      </w:r>
    </w:p>
    <w:p w:rsidR="006E6DBF" w:rsidRPr="00EE369D" w:rsidP="008125CA">
      <w:pPr>
        <w:pStyle w:val="ListParagraph"/>
        <w:rPr>
          <w:rFonts w:ascii="Arial" w:hAnsi="Arial" w:cs="Arial"/>
          <w:b/>
          <w:bCs/>
          <w:lang w:val="en-US"/>
        </w:rPr>
      </w:pPr>
    </w:p>
    <w:p w:rsidR="006E6DBF" w:rsidRPr="00EE369D" w:rsidP="008125CA">
      <w:pPr>
        <w:pStyle w:val="ListParagraph"/>
        <w:numPr>
          <w:ilvl w:val="1"/>
          <w:numId w:val="12"/>
        </w:numPr>
        <w:spacing w:line="240" w:lineRule="auto"/>
        <w:rPr>
          <w:rFonts w:ascii="Arial" w:hAnsi="Arial" w:cs="Arial"/>
          <w:b/>
          <w:bCs/>
          <w:lang w:val="en-US"/>
        </w:rPr>
      </w:pPr>
      <w:r w:rsidRPr="00EE369D">
        <w:rPr>
          <w:rFonts w:ascii="Arial" w:hAnsi="Arial" w:cs="Arial"/>
          <w:b/>
          <w:bCs/>
          <w:lang w:val="en-US"/>
        </w:rPr>
        <w:t xml:space="preserve">Under resourced. </w:t>
      </w:r>
      <w:r w:rsidRPr="00EE369D">
        <w:rPr>
          <w:rFonts w:ascii="Arial" w:hAnsi="Arial" w:cs="Arial"/>
          <w:lang w:val="en-US"/>
        </w:rPr>
        <w:t xml:space="preserve">Throughout my two years working with the DE&amp;S </w:t>
      </w:r>
      <w:r w:rsidRPr="00EE369D">
        <w:rPr>
          <w:rFonts w:ascii="Arial" w:eastAsia="Times New Roman" w:hAnsi="Arial" w:cs="Arial"/>
          <w:color w:val="000000"/>
          <w:lang w:eastAsia="en-GB"/>
        </w:rPr>
        <w:t xml:space="preserve">RPAS Delivery Team they constantly had a reduced workforce. It was apparent that the personnel knew how toxic the manager was and that the Watchkeeper was a failing programme. It therefore didn’t attract the talent it required to turn it around. It was under resourced, and this placed additional pressure on remaining team members, several of whom took extended periods of medical leave due to stress at work. (This included the toxic team leader). </w:t>
      </w:r>
    </w:p>
    <w:p w:rsidR="006E6DBF" w:rsidRPr="00EE369D" w:rsidP="008125CA">
      <w:pPr>
        <w:pStyle w:val="ListParagraph"/>
        <w:rPr>
          <w:rFonts w:ascii="Arial" w:hAnsi="Arial" w:cs="Arial"/>
          <w:b/>
          <w:bCs/>
          <w:lang w:val="en-US"/>
        </w:rPr>
      </w:pPr>
    </w:p>
    <w:p w:rsidR="006E6DBF" w:rsidRPr="00EE369D" w:rsidP="008125CA">
      <w:pPr>
        <w:pStyle w:val="ListParagraph"/>
        <w:numPr>
          <w:ilvl w:val="1"/>
          <w:numId w:val="12"/>
        </w:numPr>
        <w:spacing w:line="240" w:lineRule="auto"/>
        <w:rPr>
          <w:rFonts w:ascii="Arial" w:hAnsi="Arial" w:cs="Arial"/>
          <w:b/>
          <w:bCs/>
          <w:lang w:val="en-US"/>
        </w:rPr>
      </w:pPr>
      <w:r w:rsidRPr="00EE369D">
        <w:rPr>
          <w:rFonts w:ascii="Arial" w:hAnsi="Arial" w:cs="Arial"/>
          <w:b/>
          <w:bCs/>
          <w:lang w:val="en-US"/>
        </w:rPr>
        <w:t xml:space="preserve">Not being held to account. </w:t>
      </w:r>
      <w:r w:rsidRPr="00EE369D">
        <w:rPr>
          <w:rFonts w:ascii="Arial" w:hAnsi="Arial" w:cs="Arial"/>
          <w:lang w:val="en-US"/>
        </w:rPr>
        <w:t xml:space="preserve">The DE&amp;S </w:t>
      </w:r>
      <w:r w:rsidRPr="00EE369D">
        <w:rPr>
          <w:rFonts w:ascii="Arial" w:eastAsia="Times New Roman" w:hAnsi="Arial" w:cs="Arial"/>
          <w:color w:val="000000"/>
          <w:lang w:eastAsia="en-GB"/>
        </w:rPr>
        <w:t xml:space="preserve">RPAS Delivery Team worked in isolation from the </w:t>
      </w:r>
      <w:r w:rsidRPr="00EE369D">
        <w:rPr>
          <w:rFonts w:ascii="Arial" w:hAnsi="Arial" w:cs="Arial"/>
          <w:lang w:val="en-US"/>
        </w:rPr>
        <w:t xml:space="preserve">DE&amp;S </w:t>
      </w:r>
      <w:r w:rsidRPr="00EE369D">
        <w:rPr>
          <w:rFonts w:ascii="Arial" w:eastAsia="Times New Roman" w:hAnsi="Arial" w:cs="Arial"/>
          <w:color w:val="000000"/>
          <w:lang w:eastAsia="en-GB"/>
        </w:rPr>
        <w:t xml:space="preserve">RPAS Programme team. The programme team were still delivering the initial procurement of the programme but had constantly been extended, year on year while the Trials and Development were still ongoing. Since FOC in Nov 2018 the </w:t>
      </w:r>
      <w:r w:rsidRPr="00EE369D">
        <w:rPr>
          <w:rFonts w:ascii="Arial" w:hAnsi="Arial" w:cs="Arial"/>
          <w:lang w:val="en-US"/>
        </w:rPr>
        <w:t xml:space="preserve">DE&amp;S </w:t>
      </w:r>
      <w:r w:rsidRPr="00EE369D">
        <w:rPr>
          <w:rFonts w:ascii="Arial" w:eastAsia="Times New Roman" w:hAnsi="Arial" w:cs="Arial"/>
          <w:color w:val="000000"/>
          <w:lang w:eastAsia="en-GB"/>
        </w:rPr>
        <w:t xml:space="preserve">RPAS Delivery Team were stood up to deliver in-service capability (like in all programmes). However, as the capability delivered was so poor, the </w:t>
      </w:r>
      <w:r w:rsidRPr="00EE369D">
        <w:rPr>
          <w:rFonts w:ascii="Arial" w:hAnsi="Arial" w:cs="Arial"/>
          <w:lang w:val="en-US"/>
        </w:rPr>
        <w:t xml:space="preserve">DE&amp;S </w:t>
      </w:r>
      <w:r w:rsidRPr="00EE369D">
        <w:rPr>
          <w:rFonts w:ascii="Arial" w:eastAsia="Times New Roman" w:hAnsi="Arial" w:cs="Arial"/>
          <w:color w:val="000000"/>
          <w:lang w:eastAsia="en-GB"/>
        </w:rPr>
        <w:t xml:space="preserve">RPAS Delivery Team refused to be held to account for its performance and always blamed the procurement. In their quarterly performance meetings with JHC, they refused to consider being held to account for the low flying rates, difficulty in acquiring equipment, poor logistics and general underperformance. The general problem was that the Delivery Team and the Program Team were adversarial, and this limited collaboration and progression. The Delivery Team just passed the buck and constantly blamed the underperformance of the Programme team. </w:t>
      </w:r>
    </w:p>
    <w:p w:rsidR="0006543A" w:rsidRPr="00EE369D" w:rsidP="008125CA">
      <w:pPr>
        <w:pStyle w:val="ListParagraph"/>
        <w:rPr>
          <w:rFonts w:ascii="Arial" w:hAnsi="Arial" w:cs="Arial"/>
          <w:b/>
          <w:bCs/>
          <w:lang w:val="en-US"/>
        </w:rPr>
      </w:pPr>
    </w:p>
    <w:p w:rsidR="00CA3ADD" w:rsidRPr="00EE369D" w:rsidP="008125CA">
      <w:pPr>
        <w:pStyle w:val="ListParagraph"/>
        <w:numPr>
          <w:ilvl w:val="0"/>
          <w:numId w:val="12"/>
        </w:numPr>
        <w:spacing w:line="240" w:lineRule="auto"/>
        <w:rPr>
          <w:rFonts w:ascii="Arial" w:hAnsi="Arial" w:cs="Arial"/>
          <w:lang w:val="en-US"/>
        </w:rPr>
      </w:pPr>
      <w:r w:rsidRPr="00EE369D">
        <w:rPr>
          <w:rFonts w:ascii="Arial" w:hAnsi="Arial" w:cs="Arial"/>
          <w:b/>
          <w:bCs/>
          <w:lang w:val="en-US"/>
        </w:rPr>
        <w:t xml:space="preserve">Conclusion. </w:t>
      </w:r>
      <w:r w:rsidRPr="00EE369D">
        <w:rPr>
          <w:rFonts w:ascii="Arial" w:hAnsi="Arial" w:cs="Arial"/>
          <w:lang w:val="en-US"/>
        </w:rPr>
        <w:t>By the time I worked with DE&amp;S on the Watchkeeper program, it was clear that foundations of the programme were so porous, and the capability was so poor that there was little hope in delivering on Capability expectations for the MOD. Therefore, over time, expectations were reduced and the general feeling of most people involved from DE&amp;S (and reflected in JHC) was that we were all nursing the watchkeeper to a slow death. We all expected the capability to be cut in the Integrated Review 2021, however we were all shocked when it wasn’t.</w:t>
      </w:r>
    </w:p>
    <w:p w:rsidR="00CA3ADD" w:rsidRPr="00EE369D" w:rsidP="008125CA">
      <w:pPr>
        <w:pStyle w:val="ListParagraph"/>
        <w:spacing w:line="240" w:lineRule="auto"/>
        <w:ind w:left="0"/>
        <w:rPr>
          <w:rFonts w:ascii="Arial" w:hAnsi="Arial" w:cs="Arial"/>
          <w:lang w:val="en-US"/>
        </w:rPr>
      </w:pPr>
    </w:p>
    <w:p w:rsidR="00CA3ADD" w:rsidRPr="00EE369D" w:rsidP="008125CA">
      <w:pPr>
        <w:pStyle w:val="ListParagraph"/>
        <w:numPr>
          <w:ilvl w:val="0"/>
          <w:numId w:val="12"/>
        </w:numPr>
        <w:spacing w:line="240" w:lineRule="auto"/>
        <w:rPr>
          <w:rFonts w:ascii="Arial" w:hAnsi="Arial" w:cs="Arial"/>
          <w:lang w:val="en-US"/>
        </w:rPr>
      </w:pPr>
      <w:r w:rsidRPr="00EE369D">
        <w:rPr>
          <w:rFonts w:ascii="Arial" w:hAnsi="Arial" w:cs="Arial"/>
          <w:lang w:val="en-US"/>
        </w:rPr>
        <w:t>This is a programme that doesn’t currently benefit Defence in any guise and is a drain on resources. Its will not prove that it can deliver the Full Operational capability this decade</w:t>
      </w:r>
      <w:r>
        <w:rPr>
          <w:rStyle w:val="FootnoteReference"/>
          <w:rFonts w:ascii="Arial" w:hAnsi="Arial" w:cs="Arial"/>
          <w:lang w:val="en-US"/>
        </w:rPr>
        <w:footnoteReference w:id="15"/>
      </w:r>
      <w:r w:rsidRPr="00EE369D">
        <w:rPr>
          <w:rFonts w:ascii="Arial" w:hAnsi="Arial" w:cs="Arial"/>
          <w:lang w:val="en-US"/>
        </w:rPr>
        <w:t xml:space="preserve"> and therefore continual funding does not represent value for the taxpayer. The accountability for the under delivery of this capability should solely sit with DE&amp;S as they are the procurement agent for the MOD and have severely undelivered. </w:t>
      </w:r>
    </w:p>
    <w:p w:rsidR="007C78F0" w:rsidRPr="00EE369D" w:rsidP="008125CA">
      <w:pPr>
        <w:pStyle w:val="ListParagraph"/>
        <w:rPr>
          <w:rFonts w:ascii="Arial" w:hAnsi="Arial" w:cs="Arial"/>
          <w:lang w:val="en-US"/>
        </w:rPr>
      </w:pPr>
    </w:p>
    <w:p w:rsidR="007C78F0" w:rsidRPr="00EE369D" w:rsidP="008125CA">
      <w:pPr>
        <w:pStyle w:val="ListParagraph"/>
        <w:numPr>
          <w:ilvl w:val="0"/>
          <w:numId w:val="12"/>
        </w:numPr>
        <w:spacing w:line="240" w:lineRule="auto"/>
        <w:rPr>
          <w:rFonts w:ascii="Arial" w:hAnsi="Arial" w:cs="Arial"/>
          <w:lang w:val="en-US"/>
        </w:rPr>
      </w:pPr>
      <w:r w:rsidRPr="00EE369D">
        <w:rPr>
          <w:rFonts w:ascii="Arial" w:hAnsi="Arial" w:cs="Arial"/>
          <w:lang w:val="en-US"/>
        </w:rPr>
        <w:t xml:space="preserve">This programme needs more scrutiny from UK Gov and the Defence Sub Committee. </w:t>
      </w:r>
    </w:p>
    <w:p w:rsidR="0006543A" w:rsidRPr="00EE369D" w:rsidP="008125CA">
      <w:pPr>
        <w:pStyle w:val="ListParagraph"/>
        <w:spacing w:line="240" w:lineRule="auto"/>
        <w:ind w:left="0"/>
        <w:rPr>
          <w:rFonts w:ascii="Arial" w:hAnsi="Arial" w:cs="Arial"/>
          <w:lang w:val="en-US"/>
        </w:rPr>
      </w:pPr>
    </w:p>
    <w:p w:rsidR="0006543A" w:rsidRPr="00EE369D" w:rsidP="008125CA">
      <w:pPr>
        <w:pStyle w:val="ListParagraph"/>
        <w:spacing w:line="240" w:lineRule="auto"/>
        <w:ind w:left="0"/>
        <w:rPr>
          <w:rFonts w:ascii="Arial" w:hAnsi="Arial" w:cs="Arial"/>
          <w:lang w:val="en-US"/>
        </w:rPr>
      </w:pPr>
      <w:r w:rsidRPr="00EE369D">
        <w:rPr>
          <w:rFonts w:ascii="Arial" w:hAnsi="Arial" w:cs="Arial"/>
          <w:lang w:val="en-US"/>
        </w:rPr>
        <w:t xml:space="preserve">End. </w:t>
      </w:r>
    </w:p>
    <w:p w:rsidR="00FA022E" w:rsidRPr="00EE369D" w:rsidP="008125CA">
      <w:pPr>
        <w:pStyle w:val="ListParagraph"/>
        <w:spacing w:line="240" w:lineRule="auto"/>
        <w:ind w:left="0"/>
        <w:rPr>
          <w:rFonts w:ascii="Arial" w:hAnsi="Arial" w:cs="Arial"/>
          <w:lang w:val="en-US"/>
        </w:rPr>
      </w:pPr>
    </w:p>
    <w:p w:rsidR="00764323" w:rsidRPr="00EE369D" w:rsidP="008125CA">
      <w:pPr>
        <w:pStyle w:val="ListParagraph"/>
        <w:spacing w:line="240" w:lineRule="auto"/>
        <w:ind w:left="0"/>
        <w:rPr>
          <w:rFonts w:ascii="Arial" w:hAnsi="Arial" w:cs="Arial"/>
          <w:lang w:val="en-US"/>
        </w:rPr>
        <w:sectPr>
          <w:headerReference w:type="even" r:id="rId6"/>
          <w:headerReference w:type="default" r:id="rId7"/>
          <w:footerReference w:type="even" r:id="rId8"/>
          <w:headerReference w:type="first" r:id="rId9"/>
          <w:footerReference w:type="first" r:id="rId10"/>
          <w:pgSz w:w="11906" w:h="16838"/>
          <w:pgMar w:top="1440" w:right="1440" w:bottom="1440" w:left="1440" w:header="708" w:footer="708" w:gutter="0"/>
          <w:cols w:space="708"/>
          <w:docGrid w:linePitch="360"/>
        </w:sectPr>
      </w:pPr>
      <w:r w:rsidRPr="00EE369D">
        <w:rPr>
          <w:rFonts w:ascii="Arial" w:hAnsi="Arial" w:cs="Arial"/>
          <w:lang w:val="en-US"/>
        </w:rPr>
        <w:t>Annex A – Watchkeeper Capability and Procurement History</w:t>
      </w:r>
    </w:p>
    <w:p w:rsidR="00BD7318" w:rsidRPr="00EE369D" w:rsidP="008125CA">
      <w:pPr>
        <w:spacing w:line="240" w:lineRule="auto"/>
        <w:rPr>
          <w:rFonts w:ascii="Arial" w:hAnsi="Arial" w:cs="Arial"/>
          <w:b/>
          <w:bCs/>
          <w:lang w:val="en-US"/>
        </w:rPr>
      </w:pPr>
      <w:r w:rsidRPr="00EE369D">
        <w:rPr>
          <w:rFonts w:ascii="Arial" w:hAnsi="Arial" w:cs="Arial"/>
          <w:b/>
          <w:bCs/>
          <w:lang w:val="en-US"/>
        </w:rPr>
        <w:t>Annex A - Watchkeeper Capability and Procumbent History</w:t>
      </w:r>
    </w:p>
    <w:p w:rsidR="00F3677E" w:rsidRPr="00EE369D" w:rsidP="008125CA">
      <w:pPr>
        <w:pStyle w:val="ListParagraph"/>
        <w:numPr>
          <w:ilvl w:val="0"/>
          <w:numId w:val="14"/>
        </w:numPr>
        <w:spacing w:line="240" w:lineRule="auto"/>
        <w:rPr>
          <w:rFonts w:ascii="Arial" w:hAnsi="Arial" w:cs="Arial"/>
          <w:b/>
          <w:bCs/>
          <w:lang w:val="en-US"/>
        </w:rPr>
      </w:pPr>
      <w:r w:rsidRPr="00EE369D">
        <w:rPr>
          <w:rFonts w:ascii="Arial" w:hAnsi="Arial" w:cs="Arial"/>
          <w:lang w:val="en-US"/>
        </w:rPr>
        <w:t>WK is a Category A capability programme sponsored by Joint Force Command (JFC) and being delivered by Army HQ as the lead command. It is a Defence Major Programmes Portfolio (DMPP) and Government Major Projects Portfolio (GMPP) programme and is subject to scrutiny by DCDS Military Capability and Cabinet Office Infrastructure and Projects Authority assurance respectively. It is supported by a Programme Main Gate Business Case (2005) and subsequent Review Note (2014) which represented the re-baselining of the WK Programme.</w:t>
      </w:r>
    </w:p>
    <w:p w:rsidR="00F3677E" w:rsidRPr="00EE369D" w:rsidP="008125CA">
      <w:pPr>
        <w:pStyle w:val="ListParagraph"/>
        <w:spacing w:line="240" w:lineRule="auto"/>
        <w:ind w:left="0"/>
        <w:rPr>
          <w:rFonts w:ascii="Arial" w:hAnsi="Arial" w:cs="Arial"/>
          <w:b/>
          <w:bCs/>
          <w:lang w:val="en-US"/>
        </w:rPr>
      </w:pPr>
    </w:p>
    <w:p w:rsidR="00607A24" w:rsidRPr="00EE369D" w:rsidP="008125CA">
      <w:pPr>
        <w:pStyle w:val="ListParagraph"/>
        <w:numPr>
          <w:ilvl w:val="0"/>
          <w:numId w:val="14"/>
        </w:numPr>
        <w:spacing w:line="240" w:lineRule="auto"/>
        <w:rPr>
          <w:rFonts w:ascii="Arial" w:hAnsi="Arial" w:cs="Arial"/>
          <w:b/>
          <w:bCs/>
          <w:lang w:val="en-US"/>
        </w:rPr>
      </w:pPr>
      <w:r w:rsidRPr="00EE369D">
        <w:rPr>
          <w:rFonts w:ascii="Arial" w:hAnsi="Arial" w:cs="Arial"/>
          <w:b/>
          <w:bCs/>
          <w:lang w:val="en-US"/>
        </w:rPr>
        <w:t xml:space="preserve">Capability Context. </w:t>
      </w:r>
      <w:r w:rsidRPr="00EE369D">
        <w:rPr>
          <w:rFonts w:ascii="Arial" w:hAnsi="Arial" w:cs="Arial"/>
          <w:lang w:val="en-US"/>
        </w:rPr>
        <w:t>Watchkeeper RPAS was designed to deliver the following Capability:</w:t>
      </w:r>
    </w:p>
    <w:p w:rsidR="00607A24" w:rsidRPr="00EE369D" w:rsidP="008125CA">
      <w:pPr>
        <w:pStyle w:val="ListParagraph"/>
        <w:spacing w:line="240" w:lineRule="auto"/>
        <w:ind w:left="0"/>
        <w:rPr>
          <w:rFonts w:ascii="Arial" w:hAnsi="Arial" w:cs="Arial"/>
          <w:b/>
          <w:bCs/>
          <w:lang w:val="en-US"/>
        </w:rPr>
      </w:pPr>
    </w:p>
    <w:p w:rsidR="00607A24" w:rsidRPr="00EE369D" w:rsidP="008125CA">
      <w:pPr>
        <w:pStyle w:val="ListParagraph"/>
        <w:numPr>
          <w:ilvl w:val="1"/>
          <w:numId w:val="14"/>
        </w:numPr>
        <w:spacing w:line="240" w:lineRule="auto"/>
        <w:rPr>
          <w:rFonts w:ascii="Arial" w:hAnsi="Arial" w:cs="Arial"/>
          <w:b/>
          <w:bCs/>
          <w:lang w:val="en-US"/>
        </w:rPr>
      </w:pPr>
      <w:r w:rsidRPr="00EE369D">
        <w:rPr>
          <w:rFonts w:ascii="Arial" w:eastAsia="Times New Roman" w:hAnsi="Arial" w:cs="Arial"/>
          <w:lang w:eastAsia="en-GB"/>
        </w:rPr>
        <w:t>The Watchkeeper System is an Intelligence, Surveillance, Target Acquisition and Reconnaissance (ISTAR) capability that has been procured to provide Imagery Intelligence (IMINT) to Land Commanders. The Watchkeeper System is a replacement for the retired Phoenix, Remotely Piloted Air System (RPAS). As an interim capability, until the introduction of Watchkeeper, the Hermes 450 (H450) System was procured under an Urgent Operational Requirement. Compared with the Phoenix or Hermes 450 Systems, the Watchkeeper Remotely Piloted Aircraft has enhanced performance, range and improved capability, with Synthetic Aperture Radar / Ground Moving Target Indicator and Electro-Optical / Infra-Red payloads, as well as a Laser Sub System, to support Commander’s Information Requirements and Fire Support operations.</w:t>
      </w:r>
    </w:p>
    <w:p w:rsidR="00607A24" w:rsidRPr="00EE369D" w:rsidP="008125CA">
      <w:pPr>
        <w:pStyle w:val="ListParagraph"/>
        <w:spacing w:line="240" w:lineRule="auto"/>
        <w:ind w:left="567"/>
        <w:rPr>
          <w:rFonts w:ascii="Arial" w:hAnsi="Arial" w:cs="Arial"/>
          <w:b/>
          <w:bCs/>
          <w:lang w:val="en-US"/>
        </w:rPr>
      </w:pPr>
    </w:p>
    <w:p w:rsidR="00607A24" w:rsidRPr="00EE369D" w:rsidP="008125CA">
      <w:pPr>
        <w:pStyle w:val="ListParagraph"/>
        <w:numPr>
          <w:ilvl w:val="1"/>
          <w:numId w:val="14"/>
        </w:numPr>
        <w:spacing w:line="240" w:lineRule="auto"/>
        <w:rPr>
          <w:rFonts w:ascii="Arial" w:hAnsi="Arial" w:cs="Arial"/>
          <w:b/>
          <w:bCs/>
          <w:lang w:val="en-US"/>
        </w:rPr>
      </w:pPr>
      <w:r w:rsidRPr="00EE369D">
        <w:rPr>
          <w:rFonts w:ascii="Arial" w:eastAsia="Times New Roman" w:hAnsi="Arial" w:cs="Arial"/>
          <w:color w:val="000000"/>
          <w:lang w:eastAsia="en-GB"/>
        </w:rPr>
        <w:t>The Watchkeeper System comprises a ground and air element which provides the ISTAR capability for the British Army. The project is managed by the Defence Equipment &amp; Support (DE&amp;S) RPAS Delivery Team (RPAS DT). The Prime Contractor and System Design Organisation (DO) is Thales UK, and the UA DO is Elbit Systems Limited of Israel (formerly Silver Arrow).</w:t>
      </w:r>
    </w:p>
    <w:p w:rsidR="00607A24" w:rsidRPr="00EE369D" w:rsidP="008125CA">
      <w:pPr>
        <w:pStyle w:val="ListParagraph"/>
        <w:rPr>
          <w:rFonts w:ascii="Arial" w:eastAsia="Times New Roman" w:hAnsi="Arial" w:cs="Arial"/>
          <w:b/>
          <w:bCs/>
          <w:lang w:eastAsia="en-GB"/>
        </w:rPr>
      </w:pPr>
    </w:p>
    <w:p w:rsidR="00607A24" w:rsidRPr="00EE369D" w:rsidP="008125CA">
      <w:pPr>
        <w:pStyle w:val="ListParagraph"/>
        <w:numPr>
          <w:ilvl w:val="1"/>
          <w:numId w:val="14"/>
        </w:numPr>
        <w:spacing w:line="240" w:lineRule="auto"/>
        <w:rPr>
          <w:rFonts w:ascii="Arial" w:hAnsi="Arial" w:cs="Arial"/>
          <w:b/>
          <w:bCs/>
          <w:lang w:val="en-US"/>
        </w:rPr>
      </w:pPr>
      <w:r w:rsidRPr="00EE369D">
        <w:rPr>
          <w:rFonts w:ascii="Arial" w:eastAsia="Times New Roman" w:hAnsi="Arial" w:cs="Arial"/>
          <w:b/>
          <w:bCs/>
          <w:lang w:eastAsia="en-GB"/>
        </w:rPr>
        <w:t>Primary Roles</w:t>
      </w:r>
      <w:r w:rsidRPr="00EE369D">
        <w:rPr>
          <w:rFonts w:ascii="Arial" w:eastAsia="Times New Roman" w:hAnsi="Arial" w:cs="Arial"/>
          <w:lang w:eastAsia="en-GB"/>
        </w:rPr>
        <w:t>:</w:t>
      </w:r>
    </w:p>
    <w:p w:rsidR="00607A24" w:rsidRPr="00EE369D" w:rsidP="008125CA">
      <w:pPr>
        <w:pStyle w:val="ListParagraph"/>
        <w:rPr>
          <w:rFonts w:ascii="Arial" w:eastAsia="Times New Roman" w:hAnsi="Arial" w:cs="Arial"/>
          <w:color w:val="000000"/>
          <w:lang w:eastAsia="en-GB"/>
        </w:rPr>
      </w:pPr>
    </w:p>
    <w:p w:rsidR="00607A24" w:rsidRPr="00EE369D" w:rsidP="008125CA">
      <w:pPr>
        <w:pStyle w:val="ListParagraph"/>
        <w:numPr>
          <w:ilvl w:val="2"/>
          <w:numId w:val="14"/>
        </w:numPr>
        <w:spacing w:line="240" w:lineRule="auto"/>
        <w:rPr>
          <w:rFonts w:ascii="Arial" w:hAnsi="Arial" w:cs="Arial"/>
          <w:b/>
          <w:bCs/>
          <w:lang w:val="en-US"/>
        </w:rPr>
      </w:pPr>
      <w:r w:rsidRPr="00EE369D">
        <w:rPr>
          <w:rFonts w:ascii="Arial" w:eastAsia="Times New Roman" w:hAnsi="Arial" w:cs="Arial"/>
          <w:color w:val="000000"/>
          <w:lang w:eastAsia="en-GB"/>
        </w:rPr>
        <w:t xml:space="preserve">Watchkeeper contributes to satisfying Divisional, Brigade and Battle Group Commander’s Information Requirements. </w:t>
      </w:r>
    </w:p>
    <w:p w:rsidR="00F3677E" w:rsidRPr="00EE369D" w:rsidP="008125CA">
      <w:pPr>
        <w:pStyle w:val="ListParagraph"/>
        <w:spacing w:line="240" w:lineRule="auto"/>
        <w:ind w:left="1134"/>
        <w:rPr>
          <w:rFonts w:ascii="Arial" w:hAnsi="Arial" w:cs="Arial"/>
          <w:b/>
          <w:bCs/>
          <w:lang w:val="en-US"/>
        </w:rPr>
      </w:pPr>
    </w:p>
    <w:p w:rsidR="00607A24" w:rsidRPr="00EE369D" w:rsidP="008125CA">
      <w:pPr>
        <w:pStyle w:val="ListParagraph"/>
        <w:numPr>
          <w:ilvl w:val="1"/>
          <w:numId w:val="14"/>
        </w:numPr>
        <w:spacing w:line="240" w:lineRule="auto"/>
        <w:rPr>
          <w:rFonts w:ascii="Arial" w:hAnsi="Arial" w:cs="Arial"/>
          <w:b/>
          <w:bCs/>
          <w:lang w:val="en-US"/>
        </w:rPr>
      </w:pPr>
      <w:r w:rsidRPr="00EE369D">
        <w:rPr>
          <w:rFonts w:ascii="Arial" w:eastAsia="Times New Roman" w:hAnsi="Arial" w:cs="Arial"/>
          <w:b/>
          <w:bCs/>
          <w:lang w:eastAsia="en-GB"/>
        </w:rPr>
        <w:t>Secondary Roles:</w:t>
      </w:r>
    </w:p>
    <w:p w:rsidR="00F3677E" w:rsidRPr="00EE369D" w:rsidP="008125CA">
      <w:pPr>
        <w:pStyle w:val="ListParagraph"/>
        <w:spacing w:line="240" w:lineRule="auto"/>
        <w:ind w:left="567"/>
        <w:rPr>
          <w:rFonts w:ascii="Arial" w:hAnsi="Arial" w:cs="Arial"/>
          <w:b/>
          <w:bCs/>
          <w:lang w:val="en-US"/>
        </w:rPr>
      </w:pPr>
    </w:p>
    <w:p w:rsidR="00764323" w:rsidRPr="00EE369D" w:rsidP="008125CA">
      <w:pPr>
        <w:pStyle w:val="ListParagraph"/>
        <w:numPr>
          <w:ilvl w:val="2"/>
          <w:numId w:val="14"/>
        </w:numPr>
        <w:spacing w:line="240" w:lineRule="auto"/>
        <w:rPr>
          <w:rFonts w:ascii="Arial" w:hAnsi="Arial" w:cs="Arial"/>
          <w:b/>
          <w:bCs/>
          <w:lang w:val="en-US"/>
        </w:rPr>
      </w:pPr>
      <w:r w:rsidRPr="00EE369D">
        <w:rPr>
          <w:rFonts w:ascii="Arial" w:eastAsia="Times New Roman" w:hAnsi="Arial" w:cs="Arial"/>
          <w:color w:val="000000"/>
          <w:lang w:eastAsia="en-GB"/>
        </w:rPr>
        <w:t>Watchkeeper provides real time laser target marking and designation in support of other systems such as artillery, Close Air Support and Apache helicopter.</w:t>
      </w:r>
    </w:p>
    <w:p w:rsidR="00764323" w:rsidRPr="00EE369D" w:rsidP="008125CA">
      <w:pPr>
        <w:numPr>
          <w:ilvl w:val="2"/>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Military Aid to the Civil Authorities.</w:t>
      </w:r>
    </w:p>
    <w:p w:rsidR="00607A24" w:rsidRPr="00EE369D" w:rsidP="008125CA">
      <w:pPr>
        <w:pStyle w:val="ListParagraph"/>
        <w:numPr>
          <w:ilvl w:val="1"/>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b/>
          <w:bCs/>
          <w:lang w:eastAsia="en-GB"/>
        </w:rPr>
        <w:t>In the following environments:</w:t>
      </w:r>
    </w:p>
    <w:p w:rsidR="00607A24" w:rsidRPr="00EE369D" w:rsidP="008125CA">
      <w:pPr>
        <w:pStyle w:val="ListParagraph"/>
        <w:spacing w:after="240" w:line="240" w:lineRule="auto"/>
        <w:ind w:left="2160"/>
        <w:textAlignment w:val="center"/>
        <w:rPr>
          <w:rFonts w:ascii="Arial" w:eastAsia="Times New Roman" w:hAnsi="Arial" w:cs="Arial"/>
          <w:lang w:eastAsia="en-GB"/>
        </w:rPr>
      </w:pPr>
    </w:p>
    <w:p w:rsidR="00607A24" w:rsidRPr="00EE369D" w:rsidP="008125CA">
      <w:pPr>
        <w:pStyle w:val="ListParagraph"/>
        <w:numPr>
          <w:ilvl w:val="2"/>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UK and deployed locations between 65° S and 65° N, from land, in support of objectives as required by His Majesty’s Government.</w:t>
      </w:r>
    </w:p>
    <w:p w:rsidR="00607A24" w:rsidRPr="00EE369D" w:rsidP="008125CA">
      <w:pPr>
        <w:pStyle w:val="ListParagraph"/>
        <w:spacing w:after="240" w:line="240" w:lineRule="auto"/>
        <w:ind w:left="2160"/>
        <w:textAlignment w:val="center"/>
        <w:rPr>
          <w:rFonts w:ascii="Arial" w:eastAsia="Times New Roman" w:hAnsi="Arial" w:cs="Arial"/>
          <w:lang w:eastAsia="en-GB"/>
        </w:rPr>
      </w:pPr>
    </w:p>
    <w:p w:rsidR="006B4CAF" w:rsidRPr="00EE369D" w:rsidP="008125CA">
      <w:pPr>
        <w:pStyle w:val="ListParagraph"/>
        <w:numPr>
          <w:ilvl w:val="2"/>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Deployed operationally and conducting non-embarked operations.</w:t>
      </w:r>
    </w:p>
    <w:p w:rsidR="00937BFE" w:rsidRPr="00EE369D" w:rsidP="008125CA">
      <w:pPr>
        <w:pStyle w:val="ListParagraph"/>
        <w:rPr>
          <w:rFonts w:ascii="Arial" w:eastAsia="Times New Roman" w:hAnsi="Arial" w:cs="Arial"/>
          <w:lang w:eastAsia="en-GB"/>
        </w:rPr>
      </w:pPr>
    </w:p>
    <w:p w:rsidR="00937BFE" w:rsidRPr="00EE369D" w:rsidP="008125CA">
      <w:pPr>
        <w:pStyle w:val="ListParagraph"/>
        <w:numPr>
          <w:ilvl w:val="0"/>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b/>
          <w:bCs/>
          <w:lang w:eastAsia="en-GB"/>
        </w:rPr>
        <w:t>Watchkeeper System Definition.</w:t>
      </w:r>
      <w:r w:rsidRPr="00EE369D">
        <w:rPr>
          <w:rFonts w:ascii="Arial" w:eastAsia="Times New Roman" w:hAnsi="Arial" w:cs="Arial"/>
          <w:lang w:eastAsia="en-GB"/>
        </w:rPr>
        <w:t xml:space="preserve"> The Watchkeeper system is defined in terms of User Requirements detailed in Watchkeeper User Requirements Document - Amended URD 6.0 Part 3 Final V6.0, dated March 2005, System Requirements detailed in Watchkeeper System Requirements Document - SRD 3.0 Part 3 Final, dated July 2005, and Technical </w:t>
      </w:r>
      <w:r w:rsidRPr="00EE369D">
        <w:rPr>
          <w:rFonts w:ascii="Arial" w:eastAsia="Times New Roman" w:hAnsi="Arial" w:cs="Arial"/>
          <w:lang w:eastAsia="en-GB"/>
        </w:rPr>
        <w:t>Specification requirements detailed in TUAV/00026 Annex E Technical Specification, 103-017817, Issue 15, dated March 2018.</w:t>
      </w:r>
    </w:p>
    <w:p w:rsidR="00937BFE" w:rsidRPr="00EE369D" w:rsidP="008125CA">
      <w:pPr>
        <w:pStyle w:val="ListParagraph"/>
        <w:spacing w:after="240" w:line="240" w:lineRule="auto"/>
        <w:ind w:left="0"/>
        <w:textAlignment w:val="center"/>
        <w:rPr>
          <w:rFonts w:ascii="Arial" w:eastAsia="Times New Roman" w:hAnsi="Arial" w:cs="Arial"/>
          <w:lang w:eastAsia="en-GB"/>
        </w:rPr>
      </w:pPr>
    </w:p>
    <w:p w:rsidR="00937BFE" w:rsidRPr="00EE369D" w:rsidP="008125CA">
      <w:pPr>
        <w:pStyle w:val="ListParagraph"/>
        <w:numPr>
          <w:ilvl w:val="0"/>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The Watchkeeper system is defined by 265 User Requirements, 11 of which are Key User Requirements. Linked to these are 1910 System Requirements.</w:t>
      </w:r>
    </w:p>
    <w:p w:rsidR="00607A24" w:rsidRPr="00EE369D" w:rsidP="008125CA">
      <w:pPr>
        <w:pStyle w:val="ListParagraph"/>
        <w:rPr>
          <w:rFonts w:ascii="Arial" w:eastAsia="Times New Roman" w:hAnsi="Arial" w:cs="Arial"/>
          <w:lang w:eastAsia="en-GB"/>
        </w:rPr>
      </w:pPr>
    </w:p>
    <w:p w:rsidR="00607A24" w:rsidRPr="00EE369D" w:rsidP="008125CA">
      <w:pPr>
        <w:pStyle w:val="ListParagraph"/>
        <w:numPr>
          <w:ilvl w:val="0"/>
          <w:numId w:val="14"/>
        </w:numPr>
        <w:spacing w:after="240" w:line="240" w:lineRule="auto"/>
        <w:textAlignment w:val="center"/>
        <w:rPr>
          <w:rFonts w:ascii="Arial" w:eastAsia="Times New Roman" w:hAnsi="Arial" w:cs="Arial"/>
          <w:b/>
          <w:bCs/>
          <w:lang w:eastAsia="en-GB"/>
        </w:rPr>
      </w:pPr>
      <w:r w:rsidRPr="00EE369D">
        <w:rPr>
          <w:rFonts w:ascii="Arial" w:eastAsia="Times New Roman" w:hAnsi="Arial" w:cs="Arial"/>
          <w:b/>
          <w:bCs/>
          <w:lang w:eastAsia="en-GB"/>
        </w:rPr>
        <w:t xml:space="preserve">Current Operating Context. </w:t>
      </w:r>
    </w:p>
    <w:p w:rsidR="00F3677E" w:rsidRPr="00EE369D" w:rsidP="008125CA">
      <w:pPr>
        <w:pStyle w:val="ListParagraph"/>
        <w:spacing w:after="240" w:line="240" w:lineRule="auto"/>
        <w:ind w:left="0"/>
        <w:textAlignment w:val="center"/>
        <w:rPr>
          <w:rFonts w:ascii="Arial" w:eastAsia="Times New Roman" w:hAnsi="Arial" w:cs="Arial"/>
          <w:b/>
          <w:bCs/>
          <w:lang w:eastAsia="en-GB"/>
        </w:rPr>
      </w:pPr>
    </w:p>
    <w:p w:rsidR="00607A24" w:rsidRPr="00EE369D" w:rsidP="008125CA">
      <w:pPr>
        <w:pStyle w:val="ListParagraph"/>
        <w:numPr>
          <w:ilvl w:val="1"/>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 xml:space="preserve">Watchkeeper cannot fly in UK airspace. </w:t>
      </w:r>
    </w:p>
    <w:p w:rsidR="00607A24" w:rsidRPr="00EE369D" w:rsidP="008125CA">
      <w:pPr>
        <w:pStyle w:val="ListParagraph"/>
        <w:spacing w:after="240" w:line="240" w:lineRule="auto"/>
        <w:textAlignment w:val="center"/>
        <w:rPr>
          <w:rFonts w:ascii="Arial" w:eastAsia="Times New Roman" w:hAnsi="Arial" w:cs="Arial"/>
          <w:lang w:eastAsia="en-GB"/>
        </w:rPr>
      </w:pPr>
    </w:p>
    <w:p w:rsidR="00607A24" w:rsidRPr="00EE369D" w:rsidP="008125CA">
      <w:pPr>
        <w:pStyle w:val="ListParagraph"/>
        <w:numPr>
          <w:ilvl w:val="1"/>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 xml:space="preserve">In 2014, H450 deployed to Afghanistan for two months and delivered 144 hours from 27 Sorties. </w:t>
      </w:r>
    </w:p>
    <w:p w:rsidR="00607A24" w:rsidRPr="00EE369D" w:rsidP="008125CA">
      <w:pPr>
        <w:pStyle w:val="ListParagraph"/>
        <w:spacing w:after="240" w:line="240" w:lineRule="auto"/>
        <w:textAlignment w:val="center"/>
        <w:rPr>
          <w:rFonts w:ascii="Arial" w:eastAsia="Times New Roman" w:hAnsi="Arial" w:cs="Arial"/>
          <w:lang w:eastAsia="en-GB"/>
        </w:rPr>
      </w:pPr>
    </w:p>
    <w:p w:rsidR="00607A24" w:rsidRPr="00EE369D" w:rsidP="008125CA">
      <w:pPr>
        <w:pStyle w:val="ListParagraph"/>
        <w:numPr>
          <w:ilvl w:val="1"/>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 xml:space="preserve">Since 2018 Watchkeeper Force deployed the capability to RAF Akrotiri in Cyrus to focus on pilot development. </w:t>
      </w:r>
    </w:p>
    <w:p w:rsidR="00607A24" w:rsidRPr="00EE369D" w:rsidP="008125CA">
      <w:pPr>
        <w:pStyle w:val="ListParagraph"/>
        <w:spacing w:after="240" w:line="240" w:lineRule="auto"/>
        <w:textAlignment w:val="center"/>
        <w:rPr>
          <w:rFonts w:ascii="Arial" w:eastAsia="Times New Roman" w:hAnsi="Arial" w:cs="Arial"/>
          <w:lang w:eastAsia="en-GB"/>
        </w:rPr>
      </w:pPr>
    </w:p>
    <w:p w:rsidR="00607A24" w:rsidRPr="00EE369D" w:rsidP="008125CA">
      <w:pPr>
        <w:pStyle w:val="ListParagraph"/>
        <w:numPr>
          <w:ilvl w:val="1"/>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 xml:space="preserve">In 2020, Watchkeeper deployed 4 platforms on OP DEVRAN to help prevent migrant crossings in the English Channel. In the 3-month deployment, watchkeeper delivered 22 sorties and 70 hours of flying. </w:t>
      </w:r>
    </w:p>
    <w:p w:rsidR="00607A24" w:rsidRPr="00EE369D" w:rsidP="008125CA">
      <w:pPr>
        <w:pStyle w:val="ListParagraph"/>
        <w:spacing w:after="240" w:line="240" w:lineRule="auto"/>
        <w:textAlignment w:val="center"/>
        <w:rPr>
          <w:rFonts w:ascii="Arial" w:eastAsia="Times New Roman" w:hAnsi="Arial" w:cs="Arial"/>
          <w:lang w:eastAsia="en-GB"/>
        </w:rPr>
      </w:pPr>
    </w:p>
    <w:p w:rsidR="00607A24" w:rsidRPr="00EE369D" w:rsidP="008125CA">
      <w:pPr>
        <w:pStyle w:val="ListParagraph"/>
        <w:numPr>
          <w:ilvl w:val="1"/>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 xml:space="preserve">Since 2022, Watchkeeper has established another Flying location in the USA. </w:t>
      </w:r>
    </w:p>
    <w:p w:rsidR="00F3677E" w:rsidRPr="00EE369D" w:rsidP="008125CA">
      <w:pPr>
        <w:pStyle w:val="ListParagraph"/>
        <w:rPr>
          <w:rFonts w:ascii="Arial" w:eastAsia="Times New Roman" w:hAnsi="Arial" w:cs="Arial"/>
          <w:lang w:eastAsia="en-GB"/>
        </w:rPr>
      </w:pPr>
    </w:p>
    <w:p w:rsidR="00F3677E" w:rsidRPr="00EE369D" w:rsidP="008125CA">
      <w:pPr>
        <w:pStyle w:val="ListParagraph"/>
        <w:numPr>
          <w:ilvl w:val="0"/>
          <w:numId w:val="14"/>
        </w:numPr>
        <w:spacing w:after="240" w:line="240" w:lineRule="auto"/>
        <w:textAlignment w:val="center"/>
        <w:rPr>
          <w:rFonts w:ascii="Arial" w:eastAsia="Times New Roman" w:hAnsi="Arial" w:cs="Arial"/>
          <w:b/>
          <w:bCs/>
          <w:lang w:eastAsia="en-GB"/>
        </w:rPr>
      </w:pPr>
      <w:r w:rsidRPr="00EE369D">
        <w:rPr>
          <w:rFonts w:ascii="Arial" w:eastAsia="Times New Roman" w:hAnsi="Arial" w:cs="Arial"/>
          <w:lang w:eastAsia="en-GB"/>
        </w:rPr>
        <w:t xml:space="preserve"> </w:t>
      </w:r>
      <w:r w:rsidRPr="00EE369D">
        <w:rPr>
          <w:rFonts w:ascii="Arial" w:eastAsia="Times New Roman" w:hAnsi="Arial" w:cs="Arial"/>
          <w:b/>
          <w:bCs/>
          <w:lang w:eastAsia="en-GB"/>
        </w:rPr>
        <w:t xml:space="preserve">Procurement history. </w:t>
      </w:r>
    </w:p>
    <w:p w:rsidR="00F3677E" w:rsidRPr="00EE369D" w:rsidP="008125CA">
      <w:pPr>
        <w:pStyle w:val="ListParagraph"/>
        <w:spacing w:after="240" w:line="240" w:lineRule="auto"/>
        <w:ind w:left="0"/>
        <w:textAlignment w:val="center"/>
        <w:rPr>
          <w:rFonts w:ascii="Arial" w:eastAsia="Times New Roman" w:hAnsi="Arial" w:cs="Arial"/>
          <w:lang w:eastAsia="en-GB"/>
        </w:rPr>
      </w:pPr>
    </w:p>
    <w:p w:rsidR="00F3677E" w:rsidRPr="00EE369D" w:rsidP="008125CA">
      <w:pPr>
        <w:pStyle w:val="ListParagraph"/>
        <w:numPr>
          <w:ilvl w:val="1"/>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 xml:space="preserve">Initial order for the Watchkeeper RPAS System was placed on 15 July 2007 for initial delivery of 54 Watchkeeper platforms in 2010. </w:t>
      </w:r>
    </w:p>
    <w:p w:rsidR="00937BFE" w:rsidRPr="00EE369D" w:rsidP="008125CA">
      <w:pPr>
        <w:pStyle w:val="ListParagraph"/>
        <w:spacing w:after="240" w:line="240" w:lineRule="auto"/>
        <w:ind w:left="567"/>
        <w:textAlignment w:val="center"/>
        <w:rPr>
          <w:rFonts w:ascii="Arial" w:eastAsia="Times New Roman" w:hAnsi="Arial" w:cs="Arial"/>
          <w:lang w:eastAsia="en-GB"/>
        </w:rPr>
      </w:pPr>
    </w:p>
    <w:p w:rsidR="00937BFE" w:rsidRPr="00EE369D" w:rsidP="008125CA">
      <w:pPr>
        <w:pStyle w:val="ListParagraph"/>
        <w:numPr>
          <w:ilvl w:val="1"/>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Watchkeeper achieved Initial Operating Capability (IOC) in November 2014.</w:t>
      </w:r>
    </w:p>
    <w:p w:rsidR="00937BFE" w:rsidRPr="00EE369D" w:rsidP="008125CA">
      <w:pPr>
        <w:pStyle w:val="ListParagraph"/>
        <w:rPr>
          <w:rFonts w:ascii="Arial" w:eastAsia="Times New Roman" w:hAnsi="Arial" w:cs="Arial"/>
          <w:lang w:eastAsia="en-GB"/>
        </w:rPr>
      </w:pPr>
    </w:p>
    <w:p w:rsidR="00764323" w:rsidRPr="00EE369D" w:rsidP="008125CA">
      <w:pPr>
        <w:pStyle w:val="ListParagraph"/>
        <w:numPr>
          <w:ilvl w:val="1"/>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Formal acceptance of the Watchkeeper (WK) Tactical Unmanned Air System (TUAS) at Full Operating Capability 2 (FOC2), was achieved in November 2018. FOC 2 is defined as: “A Battery of 3 x WK TLs</w:t>
      </w:r>
      <w:r>
        <w:rPr>
          <w:rStyle w:val="FootnoteReference"/>
          <w:rFonts w:ascii="Arial" w:eastAsia="Times New Roman" w:hAnsi="Arial" w:cs="Arial"/>
          <w:lang w:eastAsia="en-GB"/>
        </w:rPr>
        <w:footnoteReference w:id="16"/>
      </w:r>
      <w:r w:rsidRPr="00EE369D">
        <w:rPr>
          <w:rFonts w:ascii="Arial" w:eastAsia="Times New Roman" w:hAnsi="Arial" w:cs="Arial"/>
          <w:lang w:eastAsia="en-GB"/>
        </w:rPr>
        <w:t xml:space="preserve"> @ Readiness (90 days NTM), at Equipment Standard 2 (ES2) build standard, to support an enduring stabilisation operation, worldwide and across a limited spectrum of natural and environmental conditions.”</w:t>
      </w:r>
    </w:p>
    <w:p w:rsidR="00143CB3" w:rsidRPr="00EE369D" w:rsidP="008125CA">
      <w:pPr>
        <w:pStyle w:val="ListParagraph"/>
        <w:rPr>
          <w:rFonts w:ascii="Arial" w:eastAsia="Times New Roman" w:hAnsi="Arial" w:cs="Arial"/>
          <w:lang w:eastAsia="en-GB"/>
        </w:rPr>
      </w:pPr>
    </w:p>
    <w:p w:rsidR="00143CB3" w:rsidRPr="00EE369D" w:rsidP="008125CA">
      <w:pPr>
        <w:pStyle w:val="ListParagraph"/>
        <w:numPr>
          <w:ilvl w:val="0"/>
          <w:numId w:val="14"/>
        </w:numPr>
        <w:spacing w:after="240" w:line="240" w:lineRule="auto"/>
        <w:textAlignment w:val="center"/>
        <w:rPr>
          <w:rFonts w:ascii="Arial" w:eastAsia="Times New Roman" w:hAnsi="Arial" w:cs="Arial"/>
          <w:b/>
          <w:bCs/>
          <w:lang w:eastAsia="en-GB"/>
        </w:rPr>
      </w:pPr>
      <w:r w:rsidRPr="00EE369D">
        <w:rPr>
          <w:rFonts w:ascii="Arial" w:eastAsia="Times New Roman" w:hAnsi="Arial" w:cs="Arial"/>
          <w:b/>
          <w:bCs/>
          <w:lang w:eastAsia="en-GB"/>
        </w:rPr>
        <w:t xml:space="preserve">Asset Numbers. </w:t>
      </w:r>
    </w:p>
    <w:p w:rsidR="00143CB3" w:rsidRPr="00EE369D" w:rsidP="008125CA">
      <w:pPr>
        <w:pStyle w:val="ListParagraph"/>
        <w:spacing w:after="240" w:line="240" w:lineRule="auto"/>
        <w:ind w:left="0" w:firstLine="60"/>
        <w:textAlignment w:val="center"/>
        <w:rPr>
          <w:rFonts w:ascii="Arial" w:eastAsia="Times New Roman" w:hAnsi="Arial" w:cs="Arial"/>
          <w:lang w:eastAsia="en-GB"/>
        </w:rPr>
      </w:pPr>
    </w:p>
    <w:p w:rsidR="00143CB3" w:rsidRPr="00EE369D" w:rsidP="008125CA">
      <w:pPr>
        <w:pStyle w:val="ListParagraph"/>
        <w:numPr>
          <w:ilvl w:val="1"/>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 xml:space="preserve">54 Air Vehicles were procured. </w:t>
      </w:r>
    </w:p>
    <w:p w:rsidR="00143CB3" w:rsidRPr="00EE369D" w:rsidP="008125CA">
      <w:pPr>
        <w:pStyle w:val="ListParagraph"/>
        <w:spacing w:after="240" w:line="240" w:lineRule="auto"/>
        <w:ind w:left="567"/>
        <w:textAlignment w:val="center"/>
        <w:rPr>
          <w:rFonts w:ascii="Arial" w:eastAsia="Times New Roman" w:hAnsi="Arial" w:cs="Arial"/>
          <w:lang w:eastAsia="en-GB"/>
        </w:rPr>
      </w:pPr>
    </w:p>
    <w:p w:rsidR="00143CB3" w:rsidRPr="00EE369D" w:rsidP="008125CA">
      <w:pPr>
        <w:pStyle w:val="ListParagraph"/>
        <w:numPr>
          <w:ilvl w:val="1"/>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Due to incidence in trials and training, 7 are considered Beyond Economical Repair (BER) or are missing</w:t>
      </w:r>
      <w:r>
        <w:rPr>
          <w:rStyle w:val="FootnoteReference"/>
          <w:rFonts w:ascii="Arial" w:eastAsia="Times New Roman" w:hAnsi="Arial" w:cs="Arial"/>
          <w:lang w:eastAsia="en-GB"/>
        </w:rPr>
        <w:footnoteReference w:id="17"/>
      </w:r>
      <w:r w:rsidRPr="00EE369D">
        <w:rPr>
          <w:rFonts w:ascii="Arial" w:eastAsia="Times New Roman" w:hAnsi="Arial" w:cs="Arial"/>
          <w:lang w:eastAsia="en-GB"/>
        </w:rPr>
        <w:t xml:space="preserve">. </w:t>
      </w:r>
    </w:p>
    <w:p w:rsidR="00143CB3" w:rsidRPr="00EE369D" w:rsidP="008125CA">
      <w:pPr>
        <w:pStyle w:val="ListParagraph"/>
        <w:rPr>
          <w:rFonts w:ascii="Arial" w:eastAsia="Times New Roman" w:hAnsi="Arial" w:cs="Arial"/>
          <w:lang w:eastAsia="en-GB"/>
        </w:rPr>
      </w:pPr>
    </w:p>
    <w:p w:rsidR="00143CB3" w:rsidRPr="00EE369D" w:rsidP="008125CA">
      <w:pPr>
        <w:pStyle w:val="ListParagraph"/>
        <w:numPr>
          <w:ilvl w:val="1"/>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 xml:space="preserve">1 is on loan to THALES to continue development. </w:t>
      </w:r>
    </w:p>
    <w:p w:rsidR="00143CB3" w:rsidRPr="00EE369D" w:rsidP="008125CA">
      <w:pPr>
        <w:pStyle w:val="ListParagraph"/>
        <w:rPr>
          <w:rFonts w:ascii="Arial" w:eastAsia="Times New Roman" w:hAnsi="Arial" w:cs="Arial"/>
          <w:lang w:eastAsia="en-GB"/>
        </w:rPr>
      </w:pPr>
    </w:p>
    <w:p w:rsidR="00143CB3" w:rsidRPr="00EE369D" w:rsidP="008125CA">
      <w:pPr>
        <w:pStyle w:val="ListParagraph"/>
        <w:numPr>
          <w:ilvl w:val="1"/>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 xml:space="preserve">46 remain in the Departmental fleet. Of which 13 are in the forward fleet and the remaining 30 are in Storge and 3 are in the Trials and Development fleet at West Wales Airport. </w:t>
      </w:r>
    </w:p>
    <w:p w:rsidR="00143CB3" w:rsidRPr="00EE369D" w:rsidP="008125CA">
      <w:pPr>
        <w:pStyle w:val="ListParagraph"/>
        <w:rPr>
          <w:rFonts w:ascii="Arial" w:eastAsia="Times New Roman" w:hAnsi="Arial" w:cs="Arial"/>
          <w:lang w:eastAsia="en-GB"/>
        </w:rPr>
      </w:pPr>
    </w:p>
    <w:p w:rsidR="003D345A" w:rsidRPr="00EE369D" w:rsidP="008125CA">
      <w:pPr>
        <w:pStyle w:val="ListParagraph"/>
        <w:numPr>
          <w:ilvl w:val="0"/>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b/>
          <w:bCs/>
          <w:lang w:eastAsia="en-GB"/>
        </w:rPr>
        <w:t>Finances</w:t>
      </w:r>
      <w:r w:rsidRPr="00EE369D">
        <w:rPr>
          <w:rFonts w:ascii="Arial" w:eastAsia="Times New Roman" w:hAnsi="Arial" w:cs="Arial"/>
          <w:lang w:eastAsia="en-GB"/>
        </w:rPr>
        <w:t xml:space="preserve">. In November 2021 I was asked to respond to a PARLIAMENTARY QUESTION PQW/21-22/2021/13393 asking about the whole life cost of the Watchkeeper </w:t>
      </w:r>
      <w:r w:rsidRPr="00EE369D">
        <w:rPr>
          <w:rFonts w:ascii="Arial" w:eastAsia="Times New Roman" w:hAnsi="Arial" w:cs="Arial"/>
          <w:lang w:eastAsia="en-GB"/>
        </w:rPr>
        <w:t xml:space="preserve">RPAS System and the Cost per flying hour. These are a conservative number and only likely to increase. </w:t>
      </w:r>
    </w:p>
    <w:p w:rsidR="003D345A" w:rsidRPr="00EE369D" w:rsidP="008125CA">
      <w:pPr>
        <w:pStyle w:val="ListParagraph"/>
        <w:spacing w:after="240" w:line="240" w:lineRule="auto"/>
        <w:ind w:left="0"/>
        <w:textAlignment w:val="center"/>
        <w:rPr>
          <w:rFonts w:ascii="Arial" w:eastAsia="Times New Roman" w:hAnsi="Arial" w:cs="Arial"/>
          <w:lang w:eastAsia="en-GB"/>
        </w:rPr>
      </w:pPr>
    </w:p>
    <w:p w:rsidR="003D345A" w:rsidRPr="00EE369D" w:rsidP="008125CA">
      <w:pPr>
        <w:pStyle w:val="ListParagraph"/>
        <w:numPr>
          <w:ilvl w:val="0"/>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Watchkeeper Whole Life Cost estimate: £2.457 Bn</w:t>
      </w:r>
    </w:p>
    <w:p w:rsidR="003D345A" w:rsidRPr="00EE369D" w:rsidP="008125CA">
      <w:pPr>
        <w:pStyle w:val="ListParagraph"/>
        <w:rPr>
          <w:rFonts w:ascii="Arial" w:eastAsia="Times New Roman" w:hAnsi="Arial" w:cs="Arial"/>
          <w:lang w:eastAsia="en-GB"/>
        </w:rPr>
      </w:pPr>
    </w:p>
    <w:p w:rsidR="003D345A" w:rsidRPr="00EE369D" w:rsidP="008125CA">
      <w:pPr>
        <w:pStyle w:val="ListParagraph"/>
        <w:numPr>
          <w:ilvl w:val="1"/>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Sunk Costs (as at 31 oct 21): £1.173 Bn</w:t>
      </w:r>
    </w:p>
    <w:p w:rsidR="003D345A" w:rsidRPr="00EE369D" w:rsidP="008125CA">
      <w:pPr>
        <w:pStyle w:val="ListParagraph"/>
        <w:spacing w:after="240" w:line="240" w:lineRule="auto"/>
        <w:ind w:left="567"/>
        <w:textAlignment w:val="center"/>
        <w:rPr>
          <w:rFonts w:ascii="Arial" w:eastAsia="Times New Roman" w:hAnsi="Arial" w:cs="Arial"/>
          <w:lang w:eastAsia="en-GB"/>
        </w:rPr>
      </w:pPr>
    </w:p>
    <w:p w:rsidR="003D345A" w:rsidRPr="00EE369D" w:rsidP="008125CA">
      <w:pPr>
        <w:pStyle w:val="ListParagraph"/>
        <w:numPr>
          <w:ilvl w:val="2"/>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Development, Manufacture and Initial Support contract: £909.146 M.</w:t>
      </w:r>
    </w:p>
    <w:p w:rsidR="003D345A" w:rsidRPr="00EE369D" w:rsidP="008125CA">
      <w:pPr>
        <w:pStyle w:val="ListParagraph"/>
        <w:numPr>
          <w:ilvl w:val="2"/>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In-Service Support to date: £249.369 M</w:t>
      </w:r>
      <w:r>
        <w:rPr>
          <w:rStyle w:val="FootnoteReference"/>
          <w:rFonts w:ascii="Arial" w:eastAsia="Times New Roman" w:hAnsi="Arial" w:cs="Arial"/>
          <w:lang w:eastAsia="en-GB"/>
        </w:rPr>
        <w:footnoteReference w:id="18"/>
      </w:r>
      <w:r w:rsidRPr="00EE369D">
        <w:rPr>
          <w:rFonts w:ascii="Arial" w:eastAsia="Times New Roman" w:hAnsi="Arial" w:cs="Arial"/>
          <w:lang w:eastAsia="en-GB"/>
        </w:rPr>
        <w:t xml:space="preserve">.  </w:t>
      </w:r>
    </w:p>
    <w:p w:rsidR="003D345A" w:rsidRPr="00EE369D" w:rsidP="008125CA">
      <w:pPr>
        <w:pStyle w:val="ListParagraph"/>
        <w:numPr>
          <w:ilvl w:val="2"/>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 xml:space="preserve">Full Mission Simulator to date: £14.085 M. </w:t>
      </w:r>
    </w:p>
    <w:p w:rsidR="003D345A" w:rsidRPr="00EE369D" w:rsidP="008125CA">
      <w:pPr>
        <w:pStyle w:val="ListParagraph"/>
        <w:spacing w:after="240" w:line="240" w:lineRule="auto"/>
        <w:ind w:left="1134"/>
        <w:textAlignment w:val="center"/>
        <w:rPr>
          <w:rFonts w:ascii="Arial" w:eastAsia="Times New Roman" w:hAnsi="Arial" w:cs="Arial"/>
          <w:lang w:eastAsia="en-GB"/>
        </w:rPr>
      </w:pPr>
      <w:r w:rsidRPr="00EE369D">
        <w:rPr>
          <w:rFonts w:ascii="Arial" w:eastAsia="Times New Roman" w:hAnsi="Arial" w:cs="Arial"/>
          <w:lang w:eastAsia="en-GB"/>
        </w:rPr>
        <w:t xml:space="preserve"> </w:t>
      </w:r>
    </w:p>
    <w:p w:rsidR="003D345A" w:rsidRPr="00EE369D" w:rsidP="008125CA">
      <w:pPr>
        <w:pStyle w:val="ListParagraph"/>
        <w:numPr>
          <w:ilvl w:val="1"/>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Anticipated Costs: ROM £0.250 Bn</w:t>
      </w:r>
    </w:p>
    <w:p w:rsidR="003D345A" w:rsidRPr="00EE369D" w:rsidP="008125CA">
      <w:pPr>
        <w:pStyle w:val="ListParagraph"/>
        <w:spacing w:after="240" w:line="240" w:lineRule="auto"/>
        <w:ind w:left="567"/>
        <w:textAlignment w:val="center"/>
        <w:rPr>
          <w:rFonts w:ascii="Arial" w:eastAsia="Times New Roman" w:hAnsi="Arial" w:cs="Arial"/>
          <w:lang w:eastAsia="en-GB"/>
        </w:rPr>
      </w:pPr>
    </w:p>
    <w:p w:rsidR="003D345A" w:rsidRPr="00EE369D" w:rsidP="008125CA">
      <w:pPr>
        <w:pStyle w:val="ListParagraph"/>
        <w:numPr>
          <w:ilvl w:val="2"/>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Mid Life Extension Programme 1: ROM £225 M</w:t>
      </w:r>
      <w:r>
        <w:rPr>
          <w:rStyle w:val="FootnoteReference"/>
          <w:rFonts w:ascii="Arial" w:eastAsia="Times New Roman" w:hAnsi="Arial" w:cs="Arial"/>
          <w:lang w:eastAsia="en-GB"/>
        </w:rPr>
        <w:footnoteReference w:id="19"/>
      </w:r>
      <w:r w:rsidRPr="00EE369D">
        <w:rPr>
          <w:rFonts w:ascii="Arial" w:eastAsia="Times New Roman" w:hAnsi="Arial" w:cs="Arial"/>
          <w:lang w:eastAsia="en-GB"/>
        </w:rPr>
        <w:t xml:space="preserve">.  </w:t>
      </w:r>
    </w:p>
    <w:p w:rsidR="003D345A" w:rsidRPr="00EE369D" w:rsidP="008125CA">
      <w:pPr>
        <w:pStyle w:val="ListParagraph"/>
        <w:numPr>
          <w:ilvl w:val="2"/>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Spares Inventory + 2 x Deployable Spares Packs: ROM £16.5 M.</w:t>
      </w:r>
    </w:p>
    <w:p w:rsidR="003D345A" w:rsidRPr="00EE369D" w:rsidP="008125CA">
      <w:pPr>
        <w:pStyle w:val="ListParagraph"/>
        <w:numPr>
          <w:ilvl w:val="2"/>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Contracted Maintenance Support: £ 8.108 M.</w:t>
      </w:r>
    </w:p>
    <w:p w:rsidR="003D345A" w:rsidRPr="00EE369D" w:rsidP="008125CA">
      <w:pPr>
        <w:pStyle w:val="ListParagraph"/>
        <w:spacing w:after="240" w:line="240" w:lineRule="auto"/>
        <w:ind w:left="567"/>
        <w:textAlignment w:val="center"/>
        <w:rPr>
          <w:rFonts w:ascii="Arial" w:eastAsia="Times New Roman" w:hAnsi="Arial" w:cs="Arial"/>
          <w:lang w:eastAsia="en-GB"/>
        </w:rPr>
      </w:pPr>
    </w:p>
    <w:p w:rsidR="003D345A" w:rsidRPr="00EE369D" w:rsidP="008125CA">
      <w:pPr>
        <w:pStyle w:val="ListParagraph"/>
        <w:numPr>
          <w:ilvl w:val="1"/>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Future Costs. VROM £0.899 Bn</w:t>
      </w:r>
    </w:p>
    <w:p w:rsidR="003D345A" w:rsidRPr="00EE369D" w:rsidP="008125CA">
      <w:pPr>
        <w:pStyle w:val="ListParagraph"/>
        <w:spacing w:after="240" w:line="240" w:lineRule="auto"/>
        <w:ind w:left="1134"/>
        <w:textAlignment w:val="center"/>
        <w:rPr>
          <w:rFonts w:ascii="Arial" w:eastAsia="Times New Roman" w:hAnsi="Arial" w:cs="Arial"/>
          <w:lang w:eastAsia="en-GB"/>
        </w:rPr>
      </w:pPr>
    </w:p>
    <w:p w:rsidR="003D345A" w:rsidRPr="00EE369D" w:rsidP="008125CA">
      <w:pPr>
        <w:pStyle w:val="ListParagraph"/>
        <w:numPr>
          <w:ilvl w:val="2"/>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Future In-Service Support Contract: VROM £630</w:t>
      </w:r>
      <w:r>
        <w:rPr>
          <w:rStyle w:val="FootnoteReference"/>
          <w:rFonts w:ascii="Arial" w:eastAsia="Times New Roman" w:hAnsi="Arial" w:cs="Arial"/>
          <w:lang w:eastAsia="en-GB"/>
        </w:rPr>
        <w:footnoteReference w:id="20"/>
      </w:r>
      <w:r w:rsidRPr="00EE369D">
        <w:rPr>
          <w:rFonts w:ascii="Arial" w:eastAsia="Times New Roman" w:hAnsi="Arial" w:cs="Arial"/>
          <w:lang w:eastAsia="en-GB"/>
        </w:rPr>
        <w:t>M.</w:t>
      </w:r>
    </w:p>
    <w:p w:rsidR="003D345A" w:rsidRPr="00EE369D" w:rsidP="008125CA">
      <w:pPr>
        <w:pStyle w:val="ListParagraph"/>
        <w:numPr>
          <w:ilvl w:val="2"/>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Mid Life Extension Programme 2</w:t>
      </w:r>
      <w:r>
        <w:rPr>
          <w:rStyle w:val="FootnoteReference"/>
          <w:rFonts w:ascii="Arial" w:eastAsia="Times New Roman" w:hAnsi="Arial" w:cs="Arial"/>
          <w:lang w:eastAsia="en-GB"/>
        </w:rPr>
        <w:footnoteReference w:id="21"/>
      </w:r>
      <w:r w:rsidRPr="00EE369D">
        <w:rPr>
          <w:rFonts w:ascii="Arial" w:eastAsia="Times New Roman" w:hAnsi="Arial" w:cs="Arial"/>
          <w:lang w:eastAsia="en-GB"/>
        </w:rPr>
        <w:t>: VROM £200 M.</w:t>
      </w:r>
    </w:p>
    <w:p w:rsidR="003D345A" w:rsidRPr="00EE369D" w:rsidP="008125CA">
      <w:pPr>
        <w:pStyle w:val="ListParagraph"/>
        <w:numPr>
          <w:ilvl w:val="2"/>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Contracted Maintenance Support: VROM £54</w:t>
      </w:r>
      <w:r>
        <w:rPr>
          <w:rStyle w:val="FootnoteReference"/>
          <w:rFonts w:ascii="Arial" w:eastAsia="Times New Roman" w:hAnsi="Arial" w:cs="Arial"/>
          <w:lang w:eastAsia="en-GB"/>
        </w:rPr>
        <w:footnoteReference w:id="22"/>
      </w:r>
      <w:r w:rsidRPr="00EE369D">
        <w:rPr>
          <w:rFonts w:ascii="Arial" w:eastAsia="Times New Roman" w:hAnsi="Arial" w:cs="Arial"/>
          <w:lang w:eastAsia="en-GB"/>
        </w:rPr>
        <w:t>M.</w:t>
      </w:r>
    </w:p>
    <w:p w:rsidR="003D345A" w:rsidRPr="00EE369D" w:rsidP="008125CA">
      <w:pPr>
        <w:pStyle w:val="ListParagraph"/>
        <w:numPr>
          <w:ilvl w:val="2"/>
          <w:numId w:val="14"/>
        </w:numPr>
        <w:spacing w:after="240" w:line="240" w:lineRule="auto"/>
        <w:textAlignment w:val="center"/>
        <w:rPr>
          <w:rFonts w:ascii="Arial" w:eastAsia="Times New Roman" w:hAnsi="Arial" w:cs="Arial"/>
          <w:lang w:eastAsia="en-GB"/>
        </w:rPr>
      </w:pPr>
      <w:r w:rsidRPr="00EE369D">
        <w:rPr>
          <w:rFonts w:ascii="Arial" w:eastAsia="Times New Roman" w:hAnsi="Arial" w:cs="Arial"/>
          <w:lang w:eastAsia="en-GB"/>
        </w:rPr>
        <w:t>Decommissioning and Disposal: VROM £15 M</w:t>
      </w:r>
    </w:p>
    <w:p w:rsidR="003D345A" w:rsidRPr="00EE369D" w:rsidP="008125CA">
      <w:pPr>
        <w:pStyle w:val="ListParagraph"/>
        <w:spacing w:after="240" w:line="240" w:lineRule="auto"/>
        <w:ind w:left="0"/>
        <w:textAlignment w:val="center"/>
        <w:rPr>
          <w:rFonts w:ascii="Arial" w:eastAsia="Times New Roman" w:hAnsi="Arial" w:cs="Arial"/>
          <w:lang w:eastAsia="en-GB"/>
        </w:rPr>
      </w:pPr>
    </w:p>
    <w:p w:rsidR="003D345A" w:rsidRPr="00EE369D" w:rsidP="008125CA">
      <w:pPr>
        <w:pStyle w:val="ListParagraph"/>
        <w:numPr>
          <w:ilvl w:val="0"/>
          <w:numId w:val="14"/>
        </w:numPr>
        <w:spacing w:after="240" w:line="240" w:lineRule="auto"/>
        <w:textAlignment w:val="center"/>
        <w:rPr>
          <w:rFonts w:ascii="Arial" w:eastAsia="Times New Roman" w:hAnsi="Arial" w:cs="Arial"/>
          <w:lang w:eastAsia="en-GB"/>
        </w:rPr>
      </w:pPr>
      <w:r w:rsidRPr="00EE369D">
        <w:rPr>
          <w:rFonts w:ascii="Arial" w:hAnsi="Arial" w:cs="Arial"/>
        </w:rPr>
        <w:t>Costs Per Flying Hour: £ 88,456.</w:t>
      </w:r>
    </w:p>
    <w:p w:rsidR="003D345A" w:rsidRPr="00EE369D" w:rsidP="008125CA">
      <w:pPr>
        <w:pStyle w:val="ListParagraph"/>
        <w:spacing w:after="240" w:line="240" w:lineRule="auto"/>
        <w:ind w:left="0"/>
        <w:textAlignment w:val="center"/>
        <w:rPr>
          <w:rFonts w:ascii="Arial" w:eastAsia="Times New Roman" w:hAnsi="Arial" w:cs="Arial"/>
          <w:lang w:eastAsia="en-GB"/>
        </w:rPr>
      </w:pPr>
    </w:p>
    <w:p w:rsidR="003D345A" w:rsidRPr="00EE369D" w:rsidP="008125CA">
      <w:pPr>
        <w:pStyle w:val="ListParagraph"/>
        <w:numPr>
          <w:ilvl w:val="1"/>
          <w:numId w:val="14"/>
        </w:numPr>
        <w:spacing w:after="240" w:line="240" w:lineRule="auto"/>
        <w:textAlignment w:val="center"/>
        <w:rPr>
          <w:rFonts w:ascii="Arial" w:eastAsia="Times New Roman" w:hAnsi="Arial" w:cs="Arial"/>
          <w:lang w:eastAsia="en-GB"/>
        </w:rPr>
      </w:pPr>
      <w:r w:rsidRPr="00EE369D">
        <w:rPr>
          <w:rFonts w:ascii="Arial" w:hAnsi="Arial" w:cs="Arial"/>
        </w:rPr>
        <w:t>Sunk cost of current In-Service Support Contract (01 April 19 – 31 Oct 21): £78.372M.</w:t>
      </w:r>
    </w:p>
    <w:p w:rsidR="003D345A" w:rsidRPr="00EE369D" w:rsidP="008125CA">
      <w:pPr>
        <w:pStyle w:val="ListParagraph"/>
        <w:spacing w:after="240" w:line="240" w:lineRule="auto"/>
        <w:ind w:left="567"/>
        <w:textAlignment w:val="center"/>
        <w:rPr>
          <w:rFonts w:ascii="Arial" w:eastAsia="Times New Roman" w:hAnsi="Arial" w:cs="Arial"/>
          <w:lang w:eastAsia="en-GB"/>
        </w:rPr>
      </w:pPr>
    </w:p>
    <w:p w:rsidR="003D345A" w:rsidRPr="00EE369D" w:rsidP="008125CA">
      <w:pPr>
        <w:pStyle w:val="ListParagraph"/>
        <w:numPr>
          <w:ilvl w:val="1"/>
          <w:numId w:val="14"/>
        </w:numPr>
        <w:spacing w:after="240" w:line="240" w:lineRule="auto"/>
        <w:textAlignment w:val="center"/>
        <w:rPr>
          <w:rFonts w:ascii="Arial" w:eastAsia="Times New Roman" w:hAnsi="Arial" w:cs="Arial"/>
          <w:lang w:eastAsia="en-GB"/>
        </w:rPr>
      </w:pPr>
      <w:r w:rsidRPr="00EE369D">
        <w:rPr>
          <w:rFonts w:ascii="Arial" w:hAnsi="Arial" w:cs="Arial"/>
        </w:rPr>
        <w:t>Flying hours delivered: 886 hrs from 311 Sorties.</w:t>
      </w:r>
      <w:r>
        <w:rPr>
          <w:rStyle w:val="FootnoteReference"/>
          <w:rFonts w:ascii="Arial" w:hAnsi="Arial" w:cs="Arial"/>
        </w:rPr>
        <w:footnoteReference w:id="23"/>
      </w:r>
      <w:r w:rsidRPr="00EE369D">
        <w:rPr>
          <w:rFonts w:ascii="Arial" w:hAnsi="Arial" w:cs="Arial"/>
        </w:rPr>
        <w:t xml:space="preserve"> </w:t>
      </w:r>
    </w:p>
    <w:p w:rsidR="002A09EF" w:rsidRPr="00EE369D" w:rsidP="00C84C5D">
      <w:pPr>
        <w:pStyle w:val="ListParagraph"/>
        <w:spacing w:after="240" w:line="240" w:lineRule="auto"/>
        <w:ind w:left="0"/>
        <w:textAlignment w:val="center"/>
        <w:rPr>
          <w:rFonts w:ascii="Arial" w:eastAsia="Times New Roman" w:hAnsi="Arial" w:cs="Arial"/>
          <w:lang w:eastAsia="en-GB"/>
        </w:rPr>
      </w:pPr>
    </w:p>
    <w:p w:rsidR="00143CB3" w:rsidRPr="00EE369D" w:rsidP="00C84C5D">
      <w:pPr>
        <w:pStyle w:val="ListParagraph"/>
        <w:spacing w:after="240" w:line="240" w:lineRule="auto"/>
        <w:ind w:left="0"/>
        <w:textAlignment w:val="center"/>
        <w:rPr>
          <w:rFonts w:ascii="Arial" w:eastAsia="Times New Roman" w:hAnsi="Arial" w:cs="Arial"/>
          <w:lang w:eastAsia="en-GB"/>
        </w:rPr>
      </w:pPr>
      <w:r w:rsidRPr="00EE369D">
        <w:rPr>
          <w:rFonts w:ascii="Arial" w:eastAsia="Times New Roman" w:hAnsi="Arial" w:cs="Arial"/>
          <w:lang w:eastAsia="en-GB"/>
        </w:rPr>
        <w:t>End.</w:t>
      </w:r>
    </w:p>
    <w:p w:rsidR="00143CB3" w:rsidRPr="00EE369D" w:rsidP="00EE369D">
      <w:pPr>
        <w:spacing w:after="240" w:line="240" w:lineRule="auto"/>
        <w:textAlignment w:val="center"/>
        <w:rPr>
          <w:rFonts w:ascii="Arial" w:eastAsia="Times New Roman" w:hAnsi="Arial" w:cs="Arial"/>
          <w:lang w:eastAsia="en-GB"/>
        </w:rPr>
      </w:pPr>
    </w:p>
    <w:p w:rsidR="00EE369D" w:rsidRPr="00EE369D" w:rsidP="00EE369D">
      <w:pPr>
        <w:spacing w:after="240" w:line="240" w:lineRule="auto"/>
        <w:textAlignment w:val="center"/>
        <w:rPr>
          <w:rFonts w:ascii="Arial" w:eastAsia="Times New Roman" w:hAnsi="Arial" w:cs="Arial"/>
          <w:b/>
          <w:bCs/>
          <w:i/>
          <w:iCs/>
          <w:sz w:val="32"/>
          <w:szCs w:val="32"/>
          <w:lang w:eastAsia="en-GB"/>
        </w:rPr>
      </w:pPr>
      <w:r w:rsidRPr="00EE369D">
        <w:rPr>
          <w:rFonts w:ascii="Arial" w:eastAsia="Times New Roman" w:hAnsi="Arial" w:cs="Arial"/>
          <w:b/>
          <w:bCs/>
          <w:i/>
          <w:iCs/>
          <w:sz w:val="32"/>
          <w:szCs w:val="32"/>
          <w:lang w:eastAsia="en-GB"/>
        </w:rPr>
        <w:t>8</w:t>
      </w:r>
      <w:r w:rsidRPr="00EE369D">
        <w:rPr>
          <w:rFonts w:ascii="Arial" w:eastAsia="Times New Roman" w:hAnsi="Arial" w:cs="Arial"/>
          <w:b/>
          <w:bCs/>
          <w:i/>
          <w:iCs/>
          <w:sz w:val="32"/>
          <w:szCs w:val="32"/>
          <w:vertAlign w:val="superscript"/>
          <w:lang w:eastAsia="en-GB"/>
        </w:rPr>
        <w:t>th</w:t>
      </w:r>
      <w:r w:rsidRPr="00EE369D">
        <w:rPr>
          <w:rFonts w:ascii="Arial" w:eastAsia="Times New Roman" w:hAnsi="Arial" w:cs="Arial"/>
          <w:b/>
          <w:bCs/>
          <w:i/>
          <w:iCs/>
          <w:sz w:val="32"/>
          <w:szCs w:val="32"/>
          <w:lang w:eastAsia="en-GB"/>
        </w:rPr>
        <w:t xml:space="preserve"> March 2023</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1239">
    <w:pPr>
      <w:pStyle w:val="Footer"/>
    </w:pPr>
    <w:r>
      <w:rPr>
        <w:noProof/>
      </w:rPr>
      <w:pict>
        <v:shapetype id="_x0000_t202" coordsize="21600,21600" o:spt="202" path="m,l,21600r21600,l21600,xe">
          <v:stroke joinstyle="miter"/>
          <v:path gradientshapeok="t" o:connecttype="rect"/>
        </v:shapetype>
        <v:shape id="Text Box 5" o:spid="_x0000_s2050" type="#_x0000_t202" alt="OFFICIAL-SENSITIVE" style="height:34.95pt;margin-left:0;margin-top:0.05pt;mso-position-horizontal:center;mso-wrap-distance-bottom:0;mso-wrap-distance-left:0;mso-wrap-distance-right:0;mso-wrap-distance-top:0;mso-wrap-style:none;position:absolute;v-text-anchor:top;visibility:visible;width:34.95pt;z-index:251661312" filled="f" stroked="f">
          <v:textbox style="mso-fit-shape-to-text:t" inset="0,0,0,0">
            <w:txbxContent>
              <w:p w:rsidR="00311239" w:rsidRPr="00311239">
                <w:pPr>
                  <w:rPr>
                    <w:rFonts w:ascii="Arial" w:eastAsia="Arial" w:hAnsi="Arial" w:cs="Arial"/>
                    <w:noProof/>
                    <w:color w:val="000000"/>
                    <w:sz w:val="24"/>
                    <w:szCs w:val="24"/>
                  </w:rPr>
                </w:pPr>
                <w:r w:rsidRPr="00311239">
                  <w:rPr>
                    <w:rFonts w:ascii="Arial" w:eastAsia="Arial" w:hAnsi="Arial" w:cs="Arial"/>
                    <w:noProof/>
                    <w:color w:val="000000"/>
                    <w:sz w:val="24"/>
                    <w:szCs w:val="24"/>
                  </w:rPr>
                  <w:t>OFFICIAL-SENSITIVE</w:t>
                </w:r>
              </w:p>
            </w:txbxContent>
          </v:textbox>
          <w10:wrap type="squar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1239">
    <w:pPr>
      <w:pStyle w:val="Footer"/>
    </w:pPr>
    <w:r>
      <w:rPr>
        <w:noProof/>
      </w:rPr>
      <w:pict>
        <v:shapetype id="_x0000_t202" coordsize="21600,21600" o:spt="202" path="m,l,21600r21600,l21600,xe">
          <v:stroke joinstyle="miter"/>
          <v:path gradientshapeok="t" o:connecttype="rect"/>
        </v:shapetype>
        <v:shape id="Text Box 4" o:spid="_x0000_s2052" type="#_x0000_t202" alt="OFFICIAL-SENSITIVE" style="height:34.95pt;margin-left:0;margin-top:0.05pt;mso-position-horizontal:center;mso-wrap-distance-bottom:0;mso-wrap-distance-left:0;mso-wrap-distance-right:0;mso-wrap-distance-top:0;mso-wrap-style:none;position:absolute;v-text-anchor:top;visibility:visible;width:34.95pt;z-index:251660288" filled="f" stroked="f">
          <v:textbox style="mso-fit-shape-to-text:t" inset="0,0,0,0">
            <w:txbxContent>
              <w:p w:rsidR="00311239" w:rsidRPr="00311239">
                <w:pPr>
                  <w:rPr>
                    <w:rFonts w:ascii="Arial" w:eastAsia="Arial" w:hAnsi="Arial" w:cs="Arial"/>
                    <w:noProof/>
                    <w:color w:val="000000"/>
                    <w:sz w:val="24"/>
                    <w:szCs w:val="24"/>
                  </w:rPr>
                </w:pPr>
                <w:r w:rsidRPr="00311239">
                  <w:rPr>
                    <w:rFonts w:ascii="Arial" w:eastAsia="Arial" w:hAnsi="Arial" w:cs="Arial"/>
                    <w:noProof/>
                    <w:color w:val="000000"/>
                    <w:sz w:val="24"/>
                    <w:szCs w:val="24"/>
                  </w:rPr>
                  <w:t>OFFICIAL-SENSITIVE</w:t>
                </w:r>
              </w:p>
            </w:txbxContent>
          </v:textbox>
          <w10:wrap type="squar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9352A" w:rsidP="00311239">
      <w:pPr>
        <w:spacing w:after="0" w:line="240" w:lineRule="auto"/>
      </w:pPr>
      <w:r>
        <w:separator/>
      </w:r>
    </w:p>
  </w:footnote>
  <w:footnote w:type="continuationSeparator" w:id="1">
    <w:p w:rsidR="00B9352A" w:rsidP="00311239">
      <w:pPr>
        <w:spacing w:after="0" w:line="240" w:lineRule="auto"/>
      </w:pPr>
      <w:r>
        <w:continuationSeparator/>
      </w:r>
    </w:p>
  </w:footnote>
  <w:footnote w:id="2">
    <w:p w:rsidR="00E90D32">
      <w:pPr>
        <w:pStyle w:val="FootnoteText"/>
      </w:pPr>
      <w:r>
        <w:rPr>
          <w:rStyle w:val="FootnoteReference"/>
        </w:rPr>
        <w:footnoteRef/>
      </w:r>
      <w:r>
        <w:t xml:space="preserve"> </w:t>
      </w:r>
      <w:r w:rsidRPr="00E90D32">
        <w:t>20181128-WK_FOC2_Acceptance_Note-Sp_integ_SRO_WK_B-OS</w:t>
      </w:r>
    </w:p>
  </w:footnote>
  <w:footnote w:id="3">
    <w:p w:rsidR="00EA4FFF">
      <w:pPr>
        <w:pStyle w:val="FootnoteText"/>
      </w:pPr>
      <w:r>
        <w:rPr>
          <w:rStyle w:val="FootnoteReference"/>
        </w:rPr>
        <w:footnoteRef/>
      </w:r>
      <w:r>
        <w:t xml:space="preserve"> </w:t>
      </w:r>
      <w:r w:rsidRPr="00EA4FFF">
        <w:t>20171025-WK FOC1 Acceptance</w:t>
      </w:r>
      <w:r>
        <w:t xml:space="preserve"> (DRAFT) - </w:t>
      </w:r>
      <w:r w:rsidRPr="00EA4FFF">
        <w:t>WATCHKEEPER ACCEPTANCE (WK) – FULL OPERATING CAPABILITY 2 (FOC 2)</w:t>
      </w:r>
    </w:p>
  </w:footnote>
  <w:footnote w:id="4">
    <w:p w:rsidR="00EA4FFF">
      <w:pPr>
        <w:pStyle w:val="FootnoteText"/>
      </w:pPr>
      <w:r>
        <w:rPr>
          <w:rStyle w:val="FootnoteReference"/>
        </w:rPr>
        <w:footnoteRef/>
      </w:r>
      <w:r>
        <w:t xml:space="preserve"> </w:t>
      </w:r>
      <w:r w:rsidRPr="00EA4FFF">
        <w:t>20210914-0849-SRD_RVVM_Export-TSv17-UKOS-UKR</w:t>
      </w:r>
    </w:p>
  </w:footnote>
  <w:footnote w:id="5">
    <w:p w:rsidR="00EF5F73">
      <w:pPr>
        <w:pStyle w:val="FootnoteText"/>
      </w:pPr>
      <w:r>
        <w:rPr>
          <w:rStyle w:val="FootnoteReference"/>
        </w:rPr>
        <w:footnoteRef/>
      </w:r>
      <w:r>
        <w:t xml:space="preserve"> </w:t>
      </w:r>
      <w:r w:rsidRPr="00EF5F73">
        <w:t>20190927-WK_Fielding_Plan_V3.2</w:t>
      </w:r>
    </w:p>
  </w:footnote>
  <w:footnote w:id="6">
    <w:p w:rsidR="00D616D5" w:rsidRPr="001C4171">
      <w:pPr>
        <w:pStyle w:val="FootnoteText"/>
        <w:rPr>
          <w:rFonts w:ascii="Arial" w:hAnsi="Arial" w:cs="Arial"/>
          <w:sz w:val="16"/>
          <w:szCs w:val="16"/>
        </w:rPr>
      </w:pPr>
      <w:r w:rsidRPr="001C4171">
        <w:rPr>
          <w:rStyle w:val="FootnoteReference"/>
          <w:rFonts w:ascii="Arial" w:hAnsi="Arial" w:cs="Arial"/>
          <w:sz w:val="16"/>
          <w:szCs w:val="16"/>
        </w:rPr>
        <w:footnoteRef/>
      </w:r>
      <w:r w:rsidRPr="001C4171">
        <w:rPr>
          <w:rFonts w:ascii="Arial" w:hAnsi="Arial" w:cs="Arial"/>
          <w:sz w:val="16"/>
          <w:szCs w:val="16"/>
        </w:rPr>
        <w:t xml:space="preserve"> UOA – Unit of Action, all the components required to deliver 1 Task Line (TL).</w:t>
      </w:r>
    </w:p>
  </w:footnote>
  <w:footnote w:id="7">
    <w:p w:rsidR="00D616D5" w:rsidRPr="001C4171">
      <w:pPr>
        <w:pStyle w:val="FootnoteText"/>
        <w:rPr>
          <w:rFonts w:ascii="Arial" w:hAnsi="Arial" w:cs="Arial"/>
          <w:sz w:val="16"/>
          <w:szCs w:val="16"/>
        </w:rPr>
      </w:pPr>
      <w:r w:rsidRPr="001C4171">
        <w:rPr>
          <w:rStyle w:val="FootnoteReference"/>
          <w:rFonts w:ascii="Arial" w:hAnsi="Arial" w:cs="Arial"/>
          <w:sz w:val="16"/>
          <w:szCs w:val="16"/>
        </w:rPr>
        <w:footnoteRef/>
      </w:r>
      <w:r w:rsidRPr="001C4171">
        <w:rPr>
          <w:rFonts w:ascii="Arial" w:hAnsi="Arial" w:cs="Arial"/>
          <w:sz w:val="16"/>
          <w:szCs w:val="16"/>
        </w:rPr>
        <w:t xml:space="preserve"> EA – Effects Aircraft. </w:t>
      </w:r>
    </w:p>
  </w:footnote>
  <w:footnote w:id="8">
    <w:p w:rsidR="00533CA5" w:rsidRPr="001C4171">
      <w:pPr>
        <w:pStyle w:val="FootnoteText"/>
        <w:rPr>
          <w:rFonts w:ascii="Arial" w:hAnsi="Arial" w:cs="Arial"/>
          <w:sz w:val="16"/>
          <w:szCs w:val="16"/>
        </w:rPr>
      </w:pPr>
      <w:r w:rsidRPr="001C4171">
        <w:rPr>
          <w:rStyle w:val="FootnoteReference"/>
          <w:rFonts w:ascii="Arial" w:hAnsi="Arial" w:cs="Arial"/>
          <w:sz w:val="16"/>
          <w:szCs w:val="16"/>
        </w:rPr>
        <w:footnoteRef/>
      </w:r>
      <w:r w:rsidRPr="001C4171">
        <w:rPr>
          <w:rFonts w:ascii="Arial" w:hAnsi="Arial" w:cs="Arial"/>
          <w:sz w:val="16"/>
          <w:szCs w:val="16"/>
        </w:rPr>
        <w:t xml:space="preserve"> The conservative estimate was for 480 Flying hours per annum output. </w:t>
      </w:r>
      <w:r>
        <w:rPr>
          <w:rFonts w:ascii="Arial" w:hAnsi="Arial" w:cs="Arial"/>
          <w:sz w:val="16"/>
          <w:szCs w:val="16"/>
        </w:rPr>
        <w:t>I</w:t>
      </w:r>
      <w:r w:rsidRPr="001C4171">
        <w:rPr>
          <w:rFonts w:ascii="Arial" w:hAnsi="Arial" w:cs="Arial"/>
          <w:sz w:val="16"/>
          <w:szCs w:val="16"/>
        </w:rPr>
        <w:t>n FY 21/22 the actual measured output was: 407 Hrs.</w:t>
      </w:r>
    </w:p>
  </w:footnote>
  <w:footnote w:id="9">
    <w:p w:rsidR="00533CA5">
      <w:pPr>
        <w:pStyle w:val="FootnoteText"/>
      </w:pPr>
      <w:r w:rsidRPr="001C4171">
        <w:rPr>
          <w:rStyle w:val="FootnoteReference"/>
          <w:rFonts w:ascii="Arial" w:hAnsi="Arial" w:cs="Arial"/>
          <w:sz w:val="16"/>
          <w:szCs w:val="16"/>
        </w:rPr>
        <w:footnoteRef/>
      </w:r>
      <w:r w:rsidRPr="001C4171">
        <w:rPr>
          <w:rFonts w:ascii="Arial" w:hAnsi="Arial" w:cs="Arial"/>
          <w:sz w:val="16"/>
          <w:szCs w:val="16"/>
        </w:rPr>
        <w:t xml:space="preserve"> This data is for the Forward Fleet. It does not include data flown during Trials and Evaluation.</w:t>
      </w:r>
    </w:p>
  </w:footnote>
  <w:footnote w:id="10">
    <w:p w:rsidR="00EF5F73">
      <w:pPr>
        <w:pStyle w:val="FootnoteText"/>
      </w:pPr>
      <w:r>
        <w:rPr>
          <w:rStyle w:val="FootnoteReference"/>
        </w:rPr>
        <w:footnoteRef/>
      </w:r>
      <w:r>
        <w:t xml:space="preserve"> Op HERRICK was with H450 not Watchkeeper. </w:t>
      </w:r>
    </w:p>
  </w:footnote>
  <w:footnote w:id="11">
    <w:p w:rsidR="001C4171">
      <w:pPr>
        <w:pStyle w:val="FootnoteText"/>
      </w:pPr>
      <w:r>
        <w:rPr>
          <w:rStyle w:val="FootnoteReference"/>
        </w:rPr>
        <w:footnoteRef/>
      </w:r>
      <w:r>
        <w:t xml:space="preserve"> As a result of Op SHADER, OP FORTIS and other RAF requirements. </w:t>
      </w:r>
    </w:p>
  </w:footnote>
  <w:footnote w:id="12">
    <w:p w:rsidR="00143378">
      <w:pPr>
        <w:pStyle w:val="FootnoteText"/>
      </w:pPr>
      <w:r>
        <w:rPr>
          <w:rStyle w:val="FootnoteReference"/>
        </w:rPr>
        <w:footnoteRef/>
      </w:r>
      <w:r>
        <w:t xml:space="preserve"> Maintenance, logistics, fuel, runway costs, pilot costs etc. </w:t>
      </w:r>
    </w:p>
  </w:footnote>
  <w:footnote w:id="13">
    <w:p w:rsidR="008518C5">
      <w:pPr>
        <w:pStyle w:val="FootnoteText"/>
      </w:pPr>
      <w:r>
        <w:rPr>
          <w:rStyle w:val="FootnoteReference"/>
        </w:rPr>
        <w:footnoteRef/>
      </w:r>
      <w:r>
        <w:t xml:space="preserve"> </w:t>
      </w:r>
      <w:r>
        <w:fldChar w:fldCharType="begin"/>
      </w:r>
      <w:r>
        <w:instrText xml:space="preserve"> HYPERLINK "https://www.forces.net/news/raf-signs-ps195m-deal-remaining-13-cutting-edge-protector-drones" \l ":~:text=22nd%20July%202021%20at%203%3A42pm%20The%20Royal%20Air,of%20Defence%20%28MOD%29%2C%20and%20carry%20precision%20strike%20weapons." </w:instrText>
      </w:r>
      <w:r>
        <w:fldChar w:fldCharType="separate"/>
      </w:r>
      <w:r>
        <w:rPr>
          <w:rStyle w:val="Hyperlink"/>
        </w:rPr>
        <w:t>RAF Signs £195m Deal For Remaining 13 'Cutting-Edge' Protector Drones (forces.net)</w:t>
      </w:r>
      <w:r>
        <w:fldChar w:fldCharType="end"/>
      </w:r>
    </w:p>
  </w:footnote>
  <w:footnote w:id="14">
    <w:p w:rsidR="00C805E5">
      <w:pPr>
        <w:pStyle w:val="FootnoteText"/>
      </w:pPr>
      <w:r>
        <w:rPr>
          <w:rStyle w:val="FootnoteReference"/>
        </w:rPr>
        <w:footnoteRef/>
      </w:r>
      <w:r>
        <w:t xml:space="preserve"> </w:t>
      </w:r>
      <w:r w:rsidRPr="00C805E5">
        <w:t>UAS/00096 – TAF 056</w:t>
      </w:r>
    </w:p>
  </w:footnote>
  <w:footnote w:id="15">
    <w:p w:rsidR="00FA022E">
      <w:pPr>
        <w:pStyle w:val="FootnoteText"/>
      </w:pPr>
      <w:r>
        <w:rPr>
          <w:rStyle w:val="FootnoteReference"/>
        </w:rPr>
        <w:footnoteRef/>
      </w:r>
      <w:r>
        <w:t xml:space="preserve"> Nor do I expect it will achieve more than 1500 flying hours per annum. </w:t>
      </w:r>
    </w:p>
  </w:footnote>
  <w:footnote w:id="16">
    <w:p w:rsidR="00937BFE" w:rsidRPr="00CE4DCB">
      <w:pPr>
        <w:pStyle w:val="FootnoteText"/>
        <w:rPr>
          <w:rFonts w:ascii="Arial" w:hAnsi="Arial" w:cs="Arial"/>
        </w:rPr>
      </w:pPr>
      <w:r w:rsidRPr="00CE4DCB">
        <w:rPr>
          <w:rStyle w:val="FootnoteReference"/>
          <w:rFonts w:ascii="Arial" w:hAnsi="Arial" w:cs="Arial"/>
        </w:rPr>
        <w:footnoteRef/>
      </w:r>
      <w:r w:rsidRPr="00CE4DCB">
        <w:rPr>
          <w:rFonts w:ascii="Arial" w:hAnsi="Arial" w:cs="Arial"/>
        </w:rPr>
        <w:t xml:space="preserve"> A Task Line is defined as a single mission conducted within 1 x take off and landing cycle of no more than 14hrs duration.</w:t>
      </w:r>
    </w:p>
  </w:footnote>
  <w:footnote w:id="17">
    <w:p w:rsidR="00143CB3">
      <w:pPr>
        <w:pStyle w:val="FootnoteText"/>
      </w:pPr>
      <w:r w:rsidRPr="00CE4DCB">
        <w:rPr>
          <w:rStyle w:val="FootnoteReference"/>
          <w:rFonts w:ascii="Arial" w:hAnsi="Arial" w:cs="Arial"/>
        </w:rPr>
        <w:footnoteRef/>
      </w:r>
      <w:r w:rsidRPr="00CE4DCB">
        <w:rPr>
          <w:rFonts w:ascii="Arial" w:hAnsi="Arial" w:cs="Arial"/>
        </w:rPr>
        <w:t xml:space="preserve"> Sunk into sea in Ceredigion bay.</w:t>
      </w:r>
      <w:r>
        <w:t xml:space="preserve"> </w:t>
      </w:r>
    </w:p>
  </w:footnote>
  <w:footnote w:id="18">
    <w:p w:rsidR="003D345A" w:rsidRPr="00456777">
      <w:pPr>
        <w:pStyle w:val="FootnoteText"/>
        <w:rPr>
          <w:rFonts w:ascii="Arial" w:hAnsi="Arial" w:cs="Arial"/>
        </w:rPr>
      </w:pPr>
      <w:r w:rsidRPr="00456777">
        <w:rPr>
          <w:rStyle w:val="FootnoteReference"/>
          <w:rFonts w:ascii="Arial" w:hAnsi="Arial" w:cs="Arial"/>
        </w:rPr>
        <w:footnoteRef/>
      </w:r>
      <w:r w:rsidRPr="00456777">
        <w:rPr>
          <w:rFonts w:ascii="Arial" w:hAnsi="Arial" w:cs="Arial"/>
        </w:rPr>
        <w:t xml:space="preserve"> Current ISS Contract Costs £158.3 M over 5 years and terminates on 31 Mar 2024. Cost per day is £86.7K.</w:t>
      </w:r>
    </w:p>
  </w:footnote>
  <w:footnote w:id="19">
    <w:p w:rsidR="003D345A" w:rsidRPr="00456777">
      <w:pPr>
        <w:pStyle w:val="FootnoteText"/>
        <w:rPr>
          <w:rFonts w:ascii="Arial" w:hAnsi="Arial" w:cs="Arial"/>
        </w:rPr>
      </w:pPr>
      <w:r w:rsidRPr="00456777">
        <w:rPr>
          <w:rStyle w:val="FootnoteReference"/>
          <w:rFonts w:ascii="Arial" w:hAnsi="Arial" w:cs="Arial"/>
        </w:rPr>
        <w:footnoteRef/>
      </w:r>
      <w:r w:rsidRPr="00456777">
        <w:rPr>
          <w:rFonts w:ascii="Arial" w:hAnsi="Arial" w:cs="Arial"/>
        </w:rPr>
        <w:t xml:space="preserve"> Delivering FOC in FY 26/27 and will extend WK programme life until 2033.</w:t>
      </w:r>
    </w:p>
  </w:footnote>
  <w:footnote w:id="20">
    <w:p w:rsidR="003D345A" w:rsidRPr="00456777">
      <w:pPr>
        <w:pStyle w:val="FootnoteText"/>
        <w:rPr>
          <w:rFonts w:ascii="Arial" w:hAnsi="Arial" w:cs="Arial"/>
        </w:rPr>
      </w:pPr>
      <w:r w:rsidRPr="00456777">
        <w:rPr>
          <w:rStyle w:val="FootnoteReference"/>
          <w:rFonts w:ascii="Arial" w:hAnsi="Arial" w:cs="Arial"/>
        </w:rPr>
        <w:footnoteRef/>
      </w:r>
      <w:r w:rsidRPr="00456777">
        <w:rPr>
          <w:rFonts w:ascii="Arial" w:hAnsi="Arial" w:cs="Arial"/>
        </w:rPr>
        <w:t xml:space="preserve"> Watchkeeper Out of Service date: 31 Mar 2042. Assume ROM £35 M p.a. support costs.</w:t>
      </w:r>
    </w:p>
  </w:footnote>
  <w:footnote w:id="21">
    <w:p w:rsidR="003D345A" w:rsidRPr="00456777">
      <w:pPr>
        <w:pStyle w:val="FootnoteText"/>
        <w:rPr>
          <w:rFonts w:ascii="Arial" w:hAnsi="Arial" w:cs="Arial"/>
        </w:rPr>
      </w:pPr>
      <w:r w:rsidRPr="00456777">
        <w:rPr>
          <w:rStyle w:val="FootnoteReference"/>
          <w:rFonts w:ascii="Arial" w:hAnsi="Arial" w:cs="Arial"/>
        </w:rPr>
        <w:footnoteRef/>
      </w:r>
      <w:r w:rsidRPr="00456777">
        <w:rPr>
          <w:rFonts w:ascii="Arial" w:hAnsi="Arial" w:cs="Arial"/>
        </w:rPr>
        <w:t xml:space="preserve"> Required to extend Watchkeepers capability from 2033 until its Out of Service date in 2042.</w:t>
      </w:r>
    </w:p>
  </w:footnote>
  <w:footnote w:id="22">
    <w:p w:rsidR="003D345A" w:rsidRPr="00456777">
      <w:pPr>
        <w:pStyle w:val="FootnoteText"/>
        <w:rPr>
          <w:rFonts w:ascii="Arial" w:hAnsi="Arial" w:cs="Arial"/>
        </w:rPr>
      </w:pPr>
      <w:r w:rsidRPr="00456777">
        <w:rPr>
          <w:rStyle w:val="FootnoteReference"/>
          <w:rFonts w:ascii="Arial" w:hAnsi="Arial" w:cs="Arial"/>
        </w:rPr>
        <w:footnoteRef/>
      </w:r>
      <w:r w:rsidRPr="00456777">
        <w:rPr>
          <w:rFonts w:ascii="Arial" w:hAnsi="Arial" w:cs="Arial"/>
        </w:rPr>
        <w:t xml:space="preserve"> Assume ROM £3 M p.a.</w:t>
      </w:r>
    </w:p>
  </w:footnote>
  <w:footnote w:id="23">
    <w:p w:rsidR="003D345A" w:rsidP="003D345A">
      <w:pPr>
        <w:pStyle w:val="FootnoteText"/>
      </w:pPr>
      <w:r w:rsidRPr="00456777">
        <w:rPr>
          <w:rStyle w:val="FootnoteReference"/>
          <w:rFonts w:ascii="Arial" w:hAnsi="Arial" w:cs="Arial"/>
        </w:rPr>
        <w:footnoteRef/>
      </w:r>
      <w:r w:rsidRPr="00456777">
        <w:rPr>
          <w:rFonts w:ascii="Arial" w:hAnsi="Arial" w:cs="Arial"/>
        </w:rPr>
        <w:t xml:space="preserve"> Flying hours planned: 2608 hrs from 697 Sorties.</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1239">
    <w:pPr>
      <w:pStyle w:val="Header"/>
    </w:pPr>
    <w:r>
      <w:rPr>
        <w:noProof/>
      </w:rPr>
      <w:pict>
        <v:shapetype id="_x0000_t202" coordsize="21600,21600" o:spt="202" path="m,l,21600r21600,l21600,xe">
          <v:stroke joinstyle="miter"/>
          <v:path gradientshapeok="t" o:connecttype="rect"/>
        </v:shapetype>
        <v:shape id="Text Box 2" o:spid="_x0000_s2049" type="#_x0000_t202" alt="OFFICIAL-SENSITIVE" style="height:34.95pt;margin-left:0;margin-top:0.05pt;mso-position-horizontal:center;mso-wrap-distance-bottom:0;mso-wrap-distance-left:0;mso-wrap-distance-right:0;mso-wrap-distance-top:0;mso-wrap-style:none;position:absolute;v-text-anchor:top;visibility:visible;width:34.95pt;z-index:251659264" filled="f" stroked="f">
          <v:textbox style="mso-fit-shape-to-text:t" inset="0,0,0,0">
            <w:txbxContent>
              <w:p w:rsidR="00311239" w:rsidRPr="00311239">
                <w:pPr>
                  <w:rPr>
                    <w:rFonts w:ascii="Arial" w:eastAsia="Arial" w:hAnsi="Arial" w:cs="Arial"/>
                    <w:noProof/>
                    <w:color w:val="000000"/>
                    <w:sz w:val="24"/>
                    <w:szCs w:val="24"/>
                  </w:rPr>
                </w:pPr>
                <w:r w:rsidRPr="00311239">
                  <w:rPr>
                    <w:rFonts w:ascii="Arial" w:eastAsia="Arial" w:hAnsi="Arial" w:cs="Arial"/>
                    <w:noProof/>
                    <w:color w:val="000000"/>
                    <w:sz w:val="24"/>
                    <w:szCs w:val="24"/>
                  </w:rPr>
                  <w:t>OFFICIAL-SENSITIVE</w:t>
                </w:r>
              </w:p>
            </w:txbxContent>
          </v:textbox>
          <w10:wrap type="squar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1239" w:rsidRPr="00EE369D" w:rsidP="00EE369D">
    <w:pPr>
      <w:pStyle w:val="Header"/>
      <w:jc w:val="right"/>
      <w:rPr>
        <w:rFonts w:ascii="Arial" w:hAnsi="Arial" w:cs="Arial"/>
        <w:b/>
        <w:bCs/>
      </w:rPr>
    </w:pPr>
    <w:r>
      <w:rPr>
        <w:rFonts w:ascii="Arial" w:hAnsi="Arial" w:cs="Arial"/>
        <w:b/>
        <w:bCs/>
      </w:rPr>
      <w:t>DES0006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1239">
    <w:pPr>
      <w:pStyle w:val="Header"/>
    </w:pPr>
    <w:r>
      <w:rPr>
        <w:noProof/>
      </w:rPr>
      <w:pict>
        <v:shapetype id="_x0000_t202" coordsize="21600,21600" o:spt="202" path="m,l,21600r21600,l21600,xe">
          <v:stroke joinstyle="miter"/>
          <v:path gradientshapeok="t" o:connecttype="rect"/>
        </v:shapetype>
        <v:shape id="Text Box 1" o:spid="_x0000_s2051" type="#_x0000_t202" alt="OFFICIAL-SENSITIVE" style="height:34.95pt;margin-left:0;margin-top:0.05pt;mso-position-horizontal:center;mso-wrap-distance-bottom:0;mso-wrap-distance-left:0;mso-wrap-distance-right:0;mso-wrap-distance-top:0;mso-wrap-style:none;position:absolute;v-text-anchor:top;visibility:visible;width:34.95pt;z-index:251658240" filled="f" stroked="f">
          <v:textbox style="mso-fit-shape-to-text:t" inset="0,0,0,0">
            <w:txbxContent>
              <w:p w:rsidR="00311239" w:rsidRPr="00311239">
                <w:pPr>
                  <w:rPr>
                    <w:rFonts w:ascii="Arial" w:eastAsia="Arial" w:hAnsi="Arial" w:cs="Arial"/>
                    <w:noProof/>
                    <w:color w:val="000000"/>
                    <w:sz w:val="24"/>
                    <w:szCs w:val="24"/>
                  </w:rPr>
                </w:pPr>
                <w:r w:rsidRPr="00311239">
                  <w:rPr>
                    <w:rFonts w:ascii="Arial" w:eastAsia="Arial" w:hAnsi="Arial" w:cs="Arial"/>
                    <w:noProof/>
                    <w:color w:val="000000"/>
                    <w:sz w:val="24"/>
                    <w:szCs w:val="24"/>
                  </w:rPr>
                  <w:t>OFFICIAL-SENSITIVE</w:t>
                </w:r>
              </w:p>
            </w:txbxContent>
          </v:textbox>
          <w10:wrap type="squar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9643F3"/>
    <w:multiLevelType w:val="multilevel"/>
    <w:tmpl w:val="6FEE715A"/>
    <w:lvl w:ilvl="0">
      <w:start w:val="1"/>
      <w:numFmt w:val="decimal"/>
      <w:lvlText w:val="%1."/>
      <w:lvlJc w:val="left"/>
      <w:pPr>
        <w:ind w:left="0" w:firstLine="0"/>
      </w:pPr>
      <w:rPr>
        <w:rFonts w:hint="default"/>
        <w:b w:val="0"/>
        <w:bCs w:val="0"/>
      </w:rPr>
    </w:lvl>
    <w:lvl w:ilvl="1">
      <w:start w:val="1"/>
      <w:numFmt w:val="lowerLetter"/>
      <w:lvlText w:val="%2."/>
      <w:lvlJc w:val="left"/>
      <w:pPr>
        <w:ind w:left="567" w:firstLine="0"/>
      </w:pPr>
      <w:rPr>
        <w:rFonts w:hint="default"/>
        <w:b w:val="0"/>
        <w:bCs w:val="0"/>
      </w:rPr>
    </w:lvl>
    <w:lvl w:ilvl="2">
      <w:start w:val="1"/>
      <w:numFmt w:val="decimal"/>
      <w:lvlText w:val="(%3)"/>
      <w:lvlJc w:val="left"/>
      <w:pPr>
        <w:ind w:left="1134" w:firstLine="0"/>
      </w:pPr>
      <w:rPr>
        <w:rFonts w:hint="default"/>
        <w:b w:val="0"/>
        <w:bCs w:val="0"/>
      </w:rPr>
    </w:lvl>
    <w:lvl w:ilvl="3">
      <w:start w:val="1"/>
      <w:numFmt w:val="lowerRoman"/>
      <w:lvlText w:val="%4."/>
      <w:lvlJc w:val="left"/>
      <w:pPr>
        <w:ind w:left="1701"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FE20C9A"/>
    <w:multiLevelType w:val="hybridMultilevel"/>
    <w:tmpl w:val="59D828C4"/>
    <w:lvl w:ilvl="0">
      <w:start w:val="1"/>
      <w:numFmt w:val="decimal"/>
      <w:lvlText w:val="%1."/>
      <w:lvlJc w:val="left"/>
      <w:pPr>
        <w:ind w:left="720" w:hanging="360"/>
      </w:pPr>
      <w:rPr>
        <w:rFonts w:hint="default"/>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2"/>
      <w:numFmt w:val="lowerLetter"/>
      <w:lvlText w:val="%4."/>
      <w:lvlJc w:val="left"/>
      <w:pPr>
        <w:ind w:left="2880" w:hanging="360"/>
      </w:pPr>
      <w:rPr>
        <w:rFonts w:eastAsia="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376C90"/>
    <w:multiLevelType w:val="multilevel"/>
    <w:tmpl w:val="814A95B8"/>
    <w:lvl w:ilvl="0">
      <w:start w:val="1"/>
      <w:numFmt w:val="decimal"/>
      <w:lvlText w:val="%1."/>
      <w:lvlJc w:val="left"/>
      <w:pPr>
        <w:ind w:left="0" w:firstLine="0"/>
      </w:pPr>
      <w:rPr>
        <w:rFonts w:hint="default"/>
        <w:b w:val="0"/>
        <w:bCs w:val="0"/>
      </w:rPr>
    </w:lvl>
    <w:lvl w:ilvl="1">
      <w:start w:val="1"/>
      <w:numFmt w:val="lowerLetter"/>
      <w:lvlText w:val="%2."/>
      <w:lvlJc w:val="left"/>
      <w:pPr>
        <w:ind w:left="567" w:firstLine="0"/>
      </w:pPr>
      <w:rPr>
        <w:rFonts w:hint="default"/>
        <w:b w:val="0"/>
        <w:bCs w:val="0"/>
      </w:rPr>
    </w:lvl>
    <w:lvl w:ilvl="2">
      <w:start w:val="1"/>
      <w:numFmt w:val="decimal"/>
      <w:lvlText w:val="(%3)."/>
      <w:lvlJc w:val="left"/>
      <w:pPr>
        <w:ind w:left="1134" w:firstLine="0"/>
      </w:pPr>
      <w:rPr>
        <w:rFonts w:hint="default"/>
      </w:rPr>
    </w:lvl>
    <w:lvl w:ilvl="3">
      <w:start w:val="1"/>
      <w:numFmt w:val="lowerRoman"/>
      <w:lvlText w:val="%4."/>
      <w:lvlJc w:val="left"/>
      <w:pPr>
        <w:ind w:left="1701"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1442623F"/>
    <w:multiLevelType w:val="multilevel"/>
    <w:tmpl w:val="36E66EF0"/>
    <w:lvl w:ilvl="0">
      <w:start w:val="1"/>
      <w:numFmt w:val="decimal"/>
      <w:pStyle w:val="NoSpacing"/>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b w:val="0"/>
        <w:bCs w:val="0"/>
      </w:rPr>
    </w:lvl>
    <w:lvl w:ilvl="2">
      <w:start w:val="1"/>
      <w:numFmt w:val="decimal"/>
      <w:lvlText w:val="(%3)"/>
      <w:lvlJc w:val="left"/>
      <w:pPr>
        <w:tabs>
          <w:tab w:val="num" w:pos="1701"/>
        </w:tabs>
        <w:ind w:left="1134" w:firstLine="0"/>
      </w:pPr>
      <w:rPr>
        <w:rFonts w:hint="default"/>
      </w:rPr>
    </w:lvl>
    <w:lvl w:ilvl="3">
      <w:start w:val="1"/>
      <w:numFmt w:val="lowerLetter"/>
      <w:lvlText w:val="(%4)"/>
      <w:lvlJc w:val="left"/>
      <w:pPr>
        <w:tabs>
          <w:tab w:val="num" w:pos="2268"/>
        </w:tabs>
        <w:ind w:left="1701" w:firstLine="0"/>
      </w:pPr>
      <w:rPr>
        <w:rFonts w:hint="default"/>
      </w:rPr>
    </w:lvl>
    <w:lvl w:ilvl="4">
      <w:start w:val="1"/>
      <w:numFmt w:val="lowerLetter"/>
      <w:lvlText w:val="%5."/>
      <w:lvlJc w:val="left"/>
      <w:pPr>
        <w:tabs>
          <w:tab w:val="num" w:pos="2835"/>
        </w:tabs>
        <w:ind w:left="2268" w:firstLine="0"/>
      </w:pPr>
      <w:rPr>
        <w:rFonts w:hint="default"/>
      </w:rPr>
    </w:lvl>
    <w:lvl w:ilvl="5">
      <w:start w:val="1"/>
      <w:numFmt w:val="lowerRoman"/>
      <w:lvlText w:val="%6."/>
      <w:lvlJc w:val="right"/>
      <w:pPr>
        <w:tabs>
          <w:tab w:val="num" w:pos="3402"/>
        </w:tabs>
        <w:ind w:left="2835" w:firstLine="0"/>
      </w:pPr>
      <w:rPr>
        <w:rFonts w:hint="default"/>
      </w:rPr>
    </w:lvl>
    <w:lvl w:ilvl="6">
      <w:start w:val="1"/>
      <w:numFmt w:val="decimal"/>
      <w:lvlText w:val="%7."/>
      <w:lvlJc w:val="left"/>
      <w:pPr>
        <w:tabs>
          <w:tab w:val="num" w:pos="3969"/>
        </w:tabs>
        <w:ind w:left="3402" w:firstLine="0"/>
      </w:pPr>
      <w:rPr>
        <w:rFonts w:hint="default"/>
      </w:rPr>
    </w:lvl>
    <w:lvl w:ilvl="7">
      <w:start w:val="1"/>
      <w:numFmt w:val="lowerLetter"/>
      <w:lvlText w:val="%8."/>
      <w:lvlJc w:val="left"/>
      <w:pPr>
        <w:tabs>
          <w:tab w:val="num" w:pos="4536"/>
        </w:tabs>
        <w:ind w:left="3969" w:firstLine="0"/>
      </w:pPr>
      <w:rPr>
        <w:rFonts w:hint="default"/>
      </w:rPr>
    </w:lvl>
    <w:lvl w:ilvl="8">
      <w:start w:val="1"/>
      <w:numFmt w:val="lowerRoman"/>
      <w:lvlText w:val="%9."/>
      <w:lvlJc w:val="right"/>
      <w:pPr>
        <w:tabs>
          <w:tab w:val="num" w:pos="5103"/>
        </w:tabs>
        <w:ind w:left="4536" w:firstLine="0"/>
      </w:pPr>
      <w:rPr>
        <w:rFonts w:hint="default"/>
      </w:rPr>
    </w:lvl>
  </w:abstractNum>
  <w:abstractNum w:abstractNumId="4">
    <w:nsid w:val="1AAE2BBA"/>
    <w:multiLevelType w:val="multilevel"/>
    <w:tmpl w:val="901040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D17DCC"/>
    <w:multiLevelType w:val="multilevel"/>
    <w:tmpl w:val="C68A45C6"/>
    <w:styleLink w:val="JSP101"/>
    <w:lvl w:ilvl="0">
      <w:start w:val="1"/>
      <w:numFmt w:val="decimal"/>
      <w:lvlText w:val="%1."/>
      <w:lvlJc w:val="left"/>
      <w:pPr>
        <w:tabs>
          <w:tab w:val="num" w:pos="3033"/>
        </w:tabs>
        <w:ind w:left="0" w:firstLine="0"/>
      </w:pPr>
      <w:rPr>
        <w:rFonts w:hint="default"/>
      </w:rPr>
    </w:lvl>
    <w:lvl w:ilvl="1">
      <w:start w:val="1"/>
      <w:numFmt w:val="lowerLetter"/>
      <w:lvlText w:val="%2."/>
      <w:lvlJc w:val="left"/>
      <w:pPr>
        <w:ind w:left="568" w:firstLine="0"/>
      </w:pPr>
      <w:rPr>
        <w:rFonts w:hint="default"/>
      </w:rPr>
    </w:lvl>
    <w:lvl w:ilvl="2">
      <w:start w:val="1"/>
      <w:numFmt w:val="decimal"/>
      <w:lvlText w:val="(%3)"/>
      <w:lvlJc w:val="left"/>
      <w:pPr>
        <w:ind w:left="1134" w:firstLine="0"/>
      </w:pPr>
      <w:rPr>
        <w:rFonts w:hint="default"/>
      </w:rPr>
    </w:lvl>
    <w:lvl w:ilvl="3">
      <w:start w:val="1"/>
      <w:numFmt w:val="lowerLetter"/>
      <w:lvlText w:val="(%4)"/>
      <w:lvlJc w:val="left"/>
      <w:pPr>
        <w:ind w:left="1701" w:firstLine="0"/>
      </w:pPr>
      <w:rPr>
        <w:rFonts w:hint="default"/>
      </w:rPr>
    </w:lvl>
    <w:lvl w:ilvl="4">
      <w:start w:val="1"/>
      <w:numFmt w:val="lowerLetter"/>
      <w:lvlText w:val="(%5)"/>
      <w:lvlJc w:val="left"/>
      <w:pPr>
        <w:ind w:left="4626" w:hanging="360"/>
      </w:pPr>
      <w:rPr>
        <w:rFonts w:hint="default"/>
      </w:rPr>
    </w:lvl>
    <w:lvl w:ilvl="5">
      <w:start w:val="1"/>
      <w:numFmt w:val="lowerRoman"/>
      <w:lvlText w:val="(%6)"/>
      <w:lvlJc w:val="left"/>
      <w:pPr>
        <w:ind w:left="4986" w:hanging="360"/>
      </w:pPr>
      <w:rPr>
        <w:rFonts w:hint="default"/>
      </w:rPr>
    </w:lvl>
    <w:lvl w:ilvl="6">
      <w:start w:val="1"/>
      <w:numFmt w:val="decimal"/>
      <w:lvlText w:val="%7."/>
      <w:lvlJc w:val="left"/>
      <w:pPr>
        <w:ind w:left="5346" w:hanging="360"/>
      </w:pPr>
      <w:rPr>
        <w:rFonts w:hint="default"/>
      </w:rPr>
    </w:lvl>
    <w:lvl w:ilvl="7">
      <w:start w:val="1"/>
      <w:numFmt w:val="lowerLetter"/>
      <w:lvlText w:val="%8."/>
      <w:lvlJc w:val="left"/>
      <w:pPr>
        <w:ind w:left="5706" w:hanging="360"/>
      </w:pPr>
      <w:rPr>
        <w:rFonts w:hint="default"/>
      </w:rPr>
    </w:lvl>
    <w:lvl w:ilvl="8">
      <w:start w:val="1"/>
      <w:numFmt w:val="lowerRoman"/>
      <w:lvlText w:val="%9."/>
      <w:lvlJc w:val="left"/>
      <w:pPr>
        <w:ind w:left="6066" w:hanging="360"/>
      </w:pPr>
      <w:rPr>
        <w:rFonts w:hint="default"/>
      </w:rPr>
    </w:lvl>
  </w:abstractNum>
  <w:abstractNum w:abstractNumId="6">
    <w:nsid w:val="2DF603F3"/>
    <w:multiLevelType w:val="hybridMultilevel"/>
    <w:tmpl w:val="6B90FA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4F85EAC"/>
    <w:multiLevelType w:val="multilevel"/>
    <w:tmpl w:val="90184F52"/>
    <w:lvl w:ilvl="0">
      <w:start w:val="1"/>
      <w:numFmt w:val="decimal"/>
      <w:lvlText w:val="%1."/>
      <w:lvlJc w:val="left"/>
      <w:pPr>
        <w:ind w:left="0" w:firstLine="0"/>
      </w:pPr>
      <w:rPr>
        <w:rFonts w:hint="default"/>
      </w:rPr>
    </w:lvl>
    <w:lvl w:ilvl="1">
      <w:start w:val="1"/>
      <w:numFmt w:val="lowerLetter"/>
      <w:lvlText w:val="%2."/>
      <w:lvlJc w:val="left"/>
      <w:pPr>
        <w:ind w:left="567" w:firstLine="0"/>
      </w:pPr>
      <w:rPr>
        <w:rFonts w:hint="default"/>
      </w:rPr>
    </w:lvl>
    <w:lvl w:ilvl="2">
      <w:start w:val="1"/>
      <w:numFmt w:val="decimal"/>
      <w:lvlText w:val="(%3)."/>
      <w:lvlJc w:val="left"/>
      <w:pPr>
        <w:ind w:left="1134" w:firstLine="0"/>
      </w:pPr>
      <w:rPr>
        <w:rFonts w:hint="default"/>
      </w:rPr>
    </w:lvl>
    <w:lvl w:ilvl="3">
      <w:start w:val="1"/>
      <w:numFmt w:val="lowerRoman"/>
      <w:lvlText w:val="%4."/>
      <w:lvlJc w:val="left"/>
      <w:pPr>
        <w:ind w:left="1701"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3EAB5EC1"/>
    <w:multiLevelType w:val="multilevel"/>
    <w:tmpl w:val="17C68A78"/>
    <w:lvl w:ilvl="0">
      <w:start w:val="1"/>
      <w:numFmt w:val="decimal"/>
      <w:lvlText w:val="%1."/>
      <w:lvlJc w:val="left"/>
      <w:pPr>
        <w:ind w:left="0" w:firstLine="0"/>
      </w:pPr>
      <w:rPr>
        <w:rFonts w:hint="default"/>
        <w:b w:val="0"/>
        <w:bCs w:val="0"/>
      </w:rPr>
    </w:lvl>
    <w:lvl w:ilvl="1">
      <w:start w:val="1"/>
      <w:numFmt w:val="lowerLetter"/>
      <w:lvlText w:val="%2."/>
      <w:lvlJc w:val="left"/>
      <w:pPr>
        <w:ind w:left="567" w:firstLine="0"/>
      </w:pPr>
      <w:rPr>
        <w:rFonts w:hint="default"/>
        <w:b w:val="0"/>
        <w:bCs w:val="0"/>
      </w:rPr>
    </w:lvl>
    <w:lvl w:ilvl="2">
      <w:start w:val="1"/>
      <w:numFmt w:val="decimal"/>
      <w:lvlText w:val="(%3)."/>
      <w:lvlJc w:val="left"/>
      <w:pPr>
        <w:ind w:left="1134" w:firstLine="0"/>
      </w:pPr>
      <w:rPr>
        <w:rFonts w:hint="default"/>
        <w:b w:val="0"/>
        <w:bCs w:val="0"/>
      </w:rPr>
    </w:lvl>
    <w:lvl w:ilvl="3">
      <w:start w:val="1"/>
      <w:numFmt w:val="lowerRoman"/>
      <w:lvlText w:val="%4."/>
      <w:lvlJc w:val="left"/>
      <w:pPr>
        <w:ind w:left="1701"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59097CDB"/>
    <w:multiLevelType w:val="hybridMultilevel"/>
    <w:tmpl w:val="6B90FA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0EE52E2"/>
    <w:multiLevelType w:val="multilevel"/>
    <w:tmpl w:val="DAC07318"/>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6D6F0D7E"/>
    <w:multiLevelType w:val="multilevel"/>
    <w:tmpl w:val="C68A45C6"/>
    <w:numStyleLink w:val="JSP101"/>
  </w:abstractNum>
  <w:abstractNum w:abstractNumId="12">
    <w:nsid w:val="76556B45"/>
    <w:multiLevelType w:val="hybridMultilevel"/>
    <w:tmpl w:val="07C09AD0"/>
    <w:lvl w:ilvl="0">
      <w:start w:val="1"/>
      <w:numFmt w:val="decimal"/>
      <w:lvlText w:val="%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num w:numId="1">
    <w:abstractNumId w:val="10"/>
    <w:lvlOverride w:ilvl="0">
      <w:startOverride w:val="1"/>
    </w:lvlOverride>
  </w:num>
  <w:num w:numId="2">
    <w:abstractNumId w:val="10"/>
    <w:lvlOverride w:ilvl="0"/>
    <w:lvlOverride w:ilvl="1">
      <w:startOverride w:val="1"/>
    </w:lvlOverride>
  </w:num>
  <w:num w:numId="3">
    <w:abstractNumId w:val="10"/>
    <w:lvlOverride w:ilvl="0"/>
    <w:lvlOverride w:ilvl="1"/>
    <w:lvlOverride w:ilvl="2">
      <w:startOverride w:val="1"/>
    </w:lvlOverride>
  </w:num>
  <w:num w:numId="4">
    <w:abstractNumId w:val="10"/>
    <w:lvlOverride w:ilvl="0"/>
    <w:lvlOverride w:ilvl="1"/>
    <w:lvlOverride w:ilvl="2">
      <w:startOverride w:val="1"/>
    </w:lvlOverride>
  </w:num>
  <w:num w:numId="5">
    <w:abstractNumId w:val="4"/>
    <w:lvlOverride w:ilvl="0">
      <w:startOverride w:val="1"/>
    </w:lvlOverride>
  </w:num>
  <w:num w:numId="6">
    <w:abstractNumId w:val="4"/>
    <w:lvlOverride w:ilvl="0"/>
    <w:lvlOverride w:ilvl="1">
      <w:startOverride w:val="1"/>
    </w:lvlOverride>
  </w:num>
  <w:num w:numId="7">
    <w:abstractNumId w:val="1"/>
  </w:num>
  <w:num w:numId="8">
    <w:abstractNumId w:val="9"/>
  </w:num>
  <w:num w:numId="9">
    <w:abstractNumId w:val="6"/>
  </w:num>
  <w:num w:numId="10">
    <w:abstractNumId w:val="7"/>
  </w:num>
  <w:num w:numId="11">
    <w:abstractNumId w:val="8"/>
  </w:num>
  <w:num w:numId="12">
    <w:abstractNumId w:val="2"/>
  </w:num>
  <w:num w:numId="13">
    <w:abstractNumId w:val="12"/>
  </w:num>
  <w:num w:numId="14">
    <w:abstractNumId w:val="0"/>
  </w:num>
  <w:num w:numId="15">
    <w:abstractNumId w:val="3"/>
  </w:num>
  <w:num w:numId="16">
    <w:abstractNumId w:val="2"/>
    <w:lvlOverride w:ilvl="0">
      <w:lvl w:ilvl="0">
        <w:start w:val="1"/>
        <w:numFmt w:val="decimal"/>
        <w:lvlText w:val="%1."/>
        <w:lvlJc w:val="left"/>
        <w:pPr>
          <w:ind w:left="0" w:firstLine="0"/>
        </w:pPr>
        <w:rPr>
          <w:rFonts w:hint="default"/>
          <w:b w:val="0"/>
          <w:bCs w:val="0"/>
        </w:rPr>
      </w:lvl>
    </w:lvlOverride>
    <w:lvlOverride w:ilvl="1">
      <w:lvl w:ilvl="1">
        <w:start w:val="1"/>
        <w:numFmt w:val="lowerLetter"/>
        <w:lvlText w:val="%2."/>
        <w:lvlJc w:val="left"/>
        <w:pPr>
          <w:ind w:left="567" w:firstLine="0"/>
        </w:pPr>
        <w:rPr>
          <w:rFonts w:hint="default"/>
        </w:rPr>
      </w:lvl>
    </w:lvlOverride>
    <w:lvlOverride w:ilvl="2">
      <w:lvl w:ilvl="2">
        <w:start w:val="1"/>
        <w:numFmt w:val="decimal"/>
        <w:lvlText w:val="(%3)"/>
        <w:lvlJc w:val="left"/>
        <w:pPr>
          <w:ind w:left="1134" w:firstLine="0"/>
        </w:pPr>
        <w:rPr>
          <w:rFonts w:hint="default"/>
        </w:rPr>
      </w:lvl>
    </w:lvlOverride>
    <w:lvlOverride w:ilvl="3">
      <w:lvl w:ilvl="3">
        <w:start w:val="1"/>
        <w:numFmt w:val="lowerRoman"/>
        <w:lvlText w:val="%4."/>
        <w:lvlJc w:val="left"/>
        <w:pPr>
          <w:ind w:left="1701" w:firstLine="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7">
    <w:abstractNumId w:val="11"/>
    <w:lvlOverride w:ilvl="0">
      <w:lvl w:ilvl="0">
        <w:start w:val="1"/>
        <w:numFmt w:val="decimal"/>
        <w:lvlText w:val="%1."/>
        <w:lvlJc w:val="left"/>
        <w:pPr>
          <w:tabs>
            <w:tab w:val="num" w:pos="3033"/>
          </w:tabs>
          <w:ind w:left="0" w:firstLine="0"/>
        </w:pPr>
        <w:rPr>
          <w:rFonts w:hint="default"/>
          <w:b w:val="0"/>
        </w:rPr>
      </w:lvl>
    </w:lvlOverride>
    <w:lvlOverride w:ilvl="1">
      <w:lvl w:ilvl="1">
        <w:start w:val="1"/>
        <w:numFmt w:val="lowerLetter"/>
        <w:lvlText w:val="%2."/>
        <w:lvlJc w:val="left"/>
        <w:pPr>
          <w:ind w:left="568" w:firstLine="0"/>
        </w:pPr>
        <w:rPr>
          <w:rFonts w:hint="default"/>
          <w:b w:val="0"/>
        </w:rPr>
      </w:lvl>
    </w:lvlOverride>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567"/>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7060"/>
    <w:rPr>
      <w:color w:val="0563C1" w:themeColor="hyperlink"/>
      <w:u w:val="single"/>
    </w:rPr>
  </w:style>
  <w:style w:type="character" w:customStyle="1" w:styleId="UnresolvedMention1">
    <w:name w:val="Unresolved Mention1"/>
    <w:basedOn w:val="DefaultParagraphFont"/>
    <w:uiPriority w:val="99"/>
    <w:semiHidden/>
    <w:unhideWhenUsed/>
    <w:rsid w:val="00397060"/>
    <w:rPr>
      <w:color w:val="605E5C"/>
      <w:shd w:val="clear" w:color="auto" w:fill="E1DFDD"/>
    </w:rPr>
  </w:style>
  <w:style w:type="paragraph" w:styleId="Header">
    <w:name w:val="header"/>
    <w:basedOn w:val="Normal"/>
    <w:link w:val="HeaderChar"/>
    <w:uiPriority w:val="99"/>
    <w:unhideWhenUsed/>
    <w:rsid w:val="003112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239"/>
  </w:style>
  <w:style w:type="paragraph" w:styleId="Footer">
    <w:name w:val="footer"/>
    <w:basedOn w:val="Normal"/>
    <w:link w:val="FooterChar"/>
    <w:uiPriority w:val="99"/>
    <w:unhideWhenUsed/>
    <w:rsid w:val="003112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1239"/>
  </w:style>
  <w:style w:type="paragraph" w:styleId="ListParagraph">
    <w:name w:val="List Paragraph"/>
    <w:basedOn w:val="Normal"/>
    <w:qFormat/>
    <w:rsid w:val="006B4CAF"/>
    <w:pPr>
      <w:ind w:left="720"/>
      <w:contextualSpacing/>
    </w:pPr>
  </w:style>
  <w:style w:type="paragraph" w:styleId="FootnoteText">
    <w:name w:val="footnote text"/>
    <w:basedOn w:val="Normal"/>
    <w:link w:val="FootnoteTextChar"/>
    <w:uiPriority w:val="99"/>
    <w:unhideWhenUsed/>
    <w:rsid w:val="00937BFE"/>
    <w:pPr>
      <w:spacing w:after="0" w:line="240" w:lineRule="auto"/>
    </w:pPr>
    <w:rPr>
      <w:sz w:val="20"/>
      <w:szCs w:val="20"/>
    </w:rPr>
  </w:style>
  <w:style w:type="character" w:customStyle="1" w:styleId="FootnoteTextChar">
    <w:name w:val="Footnote Text Char"/>
    <w:basedOn w:val="DefaultParagraphFont"/>
    <w:link w:val="FootnoteText"/>
    <w:uiPriority w:val="99"/>
    <w:rsid w:val="00937BFE"/>
    <w:rPr>
      <w:sz w:val="20"/>
      <w:szCs w:val="20"/>
    </w:rPr>
  </w:style>
  <w:style w:type="character" w:styleId="FootnoteReference">
    <w:name w:val="footnote reference"/>
    <w:basedOn w:val="DefaultParagraphFont"/>
    <w:uiPriority w:val="99"/>
    <w:semiHidden/>
    <w:unhideWhenUsed/>
    <w:rsid w:val="00937BFE"/>
    <w:rPr>
      <w:vertAlign w:val="superscript"/>
    </w:rPr>
  </w:style>
  <w:style w:type="table" w:styleId="TableGrid">
    <w:name w:val="Table Grid"/>
    <w:basedOn w:val="TableNormal"/>
    <w:rsid w:val="00637D26"/>
    <w:pPr>
      <w:spacing w:after="0" w:line="240" w:lineRule="auto"/>
    </w:pPr>
    <w:rPr>
      <w:rFonts w:ascii="Times New Roman" w:eastAsia="PMingLiU"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Bulleted"/>
    <w:basedOn w:val="ListParagraph"/>
    <w:uiPriority w:val="1"/>
    <w:qFormat/>
    <w:rsid w:val="003D345A"/>
    <w:pPr>
      <w:numPr>
        <w:numId w:val="15"/>
      </w:numPr>
      <w:spacing w:after="240" w:line="240" w:lineRule="auto"/>
      <w:contextualSpacing w:val="0"/>
    </w:pPr>
    <w:rPr>
      <w:rFonts w:ascii="Arial" w:hAnsi="Arial"/>
      <w:color w:val="000000" w:themeColor="text1"/>
      <w:sz w:val="24"/>
    </w:rPr>
  </w:style>
  <w:style w:type="numbering" w:customStyle="1" w:styleId="JSP101">
    <w:name w:val="JSP 101"/>
    <w:rsid w:val="00EF5F73"/>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9A681-C25E-42E5-99EA-6280917CB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