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63D48" w:rsidRPr="007F46FF" w:rsidP="00C63D48">
      <w:pPr>
        <w:spacing w:line="259" w:lineRule="auto"/>
        <w:jc w:val="center"/>
      </w:pPr>
      <w:bookmarkStart w:id="0" w:name="_Hlk126845755"/>
      <w:r w:rsidRPr="007F46FF">
        <w:rPr>
          <w:sz w:val="32"/>
          <w:szCs w:val="32"/>
        </w:rPr>
        <w:t xml:space="preserve">Written evidence submitted by </w:t>
      </w:r>
      <w:r w:rsidRPr="00AF2C47">
        <w:rPr>
          <w:sz w:val="32"/>
          <w:szCs w:val="32"/>
        </w:rPr>
        <w:t>bet365</w:t>
      </w:r>
    </w:p>
    <w:p w:rsidR="00C63D48" w:rsidP="00B81140">
      <w:pPr>
        <w:jc w:val="center"/>
        <w:rPr>
          <w:b/>
          <w:bCs/>
          <w:sz w:val="32"/>
          <w:szCs w:val="32"/>
        </w:rPr>
      </w:pPr>
      <w:bookmarkEnd w:id="0"/>
    </w:p>
    <w:p w:rsidR="003A197F" w:rsidP="00B81140">
      <w:pPr>
        <w:jc w:val="center"/>
        <w:rPr>
          <w:b/>
          <w:bCs/>
          <w:sz w:val="32"/>
          <w:szCs w:val="32"/>
        </w:rPr>
      </w:pPr>
      <w:r w:rsidRPr="00B81140">
        <w:rPr>
          <w:b/>
          <w:bCs/>
          <w:sz w:val="32"/>
          <w:szCs w:val="32"/>
        </w:rPr>
        <w:t>bet365 response to the DCMS Select Committee Call for Evidence</w:t>
      </w:r>
    </w:p>
    <w:p w:rsidR="00D57D7C" w:rsidP="00CD46B5">
      <w:pPr>
        <w:jc w:val="both"/>
        <w:rPr>
          <w:b/>
          <w:bCs/>
        </w:rPr>
      </w:pPr>
    </w:p>
    <w:p w:rsidR="00CD46B5" w:rsidRPr="0035612B" w:rsidP="0035612B">
      <w:pPr>
        <w:pStyle w:val="ListParagraph"/>
        <w:numPr>
          <w:ilvl w:val="0"/>
          <w:numId w:val="2"/>
        </w:numPr>
        <w:ind w:left="426" w:hanging="426"/>
        <w:jc w:val="both"/>
        <w:rPr>
          <w:sz w:val="20"/>
          <w:szCs w:val="20"/>
        </w:rPr>
      </w:pPr>
      <w:r w:rsidRPr="0035612B">
        <w:rPr>
          <w:b/>
          <w:bCs/>
          <w:sz w:val="20"/>
          <w:szCs w:val="20"/>
        </w:rPr>
        <w:t>Introduction</w:t>
      </w:r>
    </w:p>
    <w:p w:rsidR="00751CB7" w:rsidRPr="0035612B" w:rsidP="0035612B">
      <w:pPr>
        <w:pStyle w:val="ListParagraph"/>
        <w:numPr>
          <w:ilvl w:val="1"/>
          <w:numId w:val="2"/>
        </w:numPr>
        <w:ind w:left="426" w:hanging="426"/>
        <w:jc w:val="both"/>
        <w:rPr>
          <w:sz w:val="20"/>
          <w:szCs w:val="20"/>
        </w:rPr>
      </w:pPr>
      <w:r w:rsidRPr="0035612B">
        <w:rPr>
          <w:sz w:val="20"/>
          <w:szCs w:val="20"/>
        </w:rPr>
        <w:t xml:space="preserve">bet365 </w:t>
      </w:r>
      <w:r w:rsidRPr="0035612B" w:rsidR="00AF466C">
        <w:rPr>
          <w:sz w:val="20"/>
          <w:szCs w:val="20"/>
        </w:rPr>
        <w:t>is gr</w:t>
      </w:r>
      <w:r w:rsidR="00862929">
        <w:rPr>
          <w:sz w:val="20"/>
          <w:szCs w:val="20"/>
        </w:rPr>
        <w:t>a</w:t>
      </w:r>
      <w:r w:rsidRPr="0035612B" w:rsidR="00AF466C">
        <w:rPr>
          <w:sz w:val="20"/>
          <w:szCs w:val="20"/>
        </w:rPr>
        <w:t>teful</w:t>
      </w:r>
      <w:r w:rsidRPr="0035612B" w:rsidR="00B32120">
        <w:rPr>
          <w:sz w:val="20"/>
          <w:szCs w:val="20"/>
        </w:rPr>
        <w:t xml:space="preserve"> </w:t>
      </w:r>
      <w:r w:rsidRPr="0035612B">
        <w:rPr>
          <w:sz w:val="20"/>
          <w:szCs w:val="20"/>
        </w:rPr>
        <w:t xml:space="preserve">to the DCMS Select Committee for </w:t>
      </w:r>
      <w:r w:rsidRPr="0035612B" w:rsidR="00201F8A">
        <w:rPr>
          <w:sz w:val="20"/>
          <w:szCs w:val="20"/>
        </w:rPr>
        <w:t xml:space="preserve">providing an opportunity </w:t>
      </w:r>
      <w:r w:rsidRPr="0035612B" w:rsidR="00A003F7">
        <w:rPr>
          <w:sz w:val="20"/>
          <w:szCs w:val="20"/>
        </w:rPr>
        <w:t xml:space="preserve">for us </w:t>
      </w:r>
      <w:r w:rsidRPr="0035612B" w:rsidR="00AD7486">
        <w:rPr>
          <w:sz w:val="20"/>
          <w:szCs w:val="20"/>
        </w:rPr>
        <w:t xml:space="preserve">to </w:t>
      </w:r>
      <w:r w:rsidRPr="0035612B" w:rsidR="00026C1A">
        <w:rPr>
          <w:sz w:val="20"/>
          <w:szCs w:val="20"/>
        </w:rPr>
        <w:t xml:space="preserve">submit evidence </w:t>
      </w:r>
      <w:r w:rsidRPr="0035612B" w:rsidR="001F05CF">
        <w:rPr>
          <w:sz w:val="20"/>
          <w:szCs w:val="20"/>
        </w:rPr>
        <w:t>to your inquiry</w:t>
      </w:r>
      <w:r w:rsidRPr="0035612B" w:rsidR="00F649ED">
        <w:rPr>
          <w:sz w:val="20"/>
          <w:szCs w:val="20"/>
        </w:rPr>
        <w:t xml:space="preserve"> on gambling regulation. </w:t>
      </w:r>
      <w:r w:rsidRPr="00862929" w:rsidR="00862929">
        <w:rPr>
          <w:sz w:val="20"/>
          <w:szCs w:val="20"/>
        </w:rPr>
        <w:t>We are responding to set out clearly our views on gambling harm and the action taken by bet365 to promote safer gambling</w:t>
      </w:r>
      <w:r w:rsidR="00862929">
        <w:rPr>
          <w:sz w:val="20"/>
          <w:szCs w:val="20"/>
        </w:rPr>
        <w:t xml:space="preserve">. </w:t>
      </w:r>
    </w:p>
    <w:p w:rsidR="001A174A" w:rsidRPr="0035612B" w:rsidP="001A174A">
      <w:pPr>
        <w:pStyle w:val="ListParagraph"/>
        <w:ind w:left="426"/>
        <w:jc w:val="both"/>
        <w:rPr>
          <w:sz w:val="20"/>
          <w:szCs w:val="20"/>
        </w:rPr>
      </w:pPr>
    </w:p>
    <w:p w:rsidR="00526C30" w:rsidRPr="00E8279C" w:rsidP="00E8279C">
      <w:pPr>
        <w:pStyle w:val="ListParagraph"/>
        <w:numPr>
          <w:ilvl w:val="1"/>
          <w:numId w:val="2"/>
        </w:numPr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The Committee’s</w:t>
      </w:r>
      <w:r w:rsidR="00E5473C">
        <w:rPr>
          <w:sz w:val="20"/>
          <w:szCs w:val="20"/>
        </w:rPr>
        <w:t xml:space="preserve"> inquiry</w:t>
      </w:r>
      <w:r w:rsidRPr="0035612B" w:rsidR="00F649ED">
        <w:rPr>
          <w:sz w:val="20"/>
          <w:szCs w:val="20"/>
        </w:rPr>
        <w:t xml:space="preserve"> comes at an important </w:t>
      </w:r>
      <w:r w:rsidRPr="0035612B" w:rsidR="003342D0">
        <w:rPr>
          <w:sz w:val="20"/>
          <w:szCs w:val="20"/>
        </w:rPr>
        <w:t>time</w:t>
      </w:r>
      <w:r w:rsidRPr="0035612B" w:rsidR="001F05CF">
        <w:rPr>
          <w:sz w:val="20"/>
          <w:szCs w:val="20"/>
        </w:rPr>
        <w:t xml:space="preserve"> for the industry</w:t>
      </w:r>
      <w:r w:rsidRPr="0035612B" w:rsidR="000455B0">
        <w:rPr>
          <w:sz w:val="20"/>
          <w:szCs w:val="20"/>
        </w:rPr>
        <w:t xml:space="preserve">: </w:t>
      </w:r>
      <w:r w:rsidRPr="0035612B" w:rsidR="00CD4E79">
        <w:rPr>
          <w:sz w:val="20"/>
          <w:szCs w:val="20"/>
        </w:rPr>
        <w:t xml:space="preserve">the </w:t>
      </w:r>
      <w:r w:rsidRPr="0035612B" w:rsidR="00C329C1">
        <w:rPr>
          <w:sz w:val="20"/>
          <w:szCs w:val="20"/>
        </w:rPr>
        <w:t xml:space="preserve">Government </w:t>
      </w:r>
      <w:r w:rsidR="00FF6ACF">
        <w:rPr>
          <w:sz w:val="20"/>
          <w:szCs w:val="20"/>
        </w:rPr>
        <w:t xml:space="preserve">has said it </w:t>
      </w:r>
      <w:r w:rsidRPr="0035612B" w:rsidR="00024533">
        <w:rPr>
          <w:sz w:val="20"/>
          <w:szCs w:val="20"/>
        </w:rPr>
        <w:t xml:space="preserve">is finalising its </w:t>
      </w:r>
      <w:r w:rsidRPr="0035612B" w:rsidR="00C329C1">
        <w:rPr>
          <w:sz w:val="20"/>
          <w:szCs w:val="20"/>
        </w:rPr>
        <w:t>review of gambling legislation</w:t>
      </w:r>
      <w:r w:rsidRPr="0035612B" w:rsidR="00024533">
        <w:rPr>
          <w:sz w:val="20"/>
          <w:szCs w:val="20"/>
        </w:rPr>
        <w:t xml:space="preserve"> and </w:t>
      </w:r>
      <w:r w:rsidR="0021617F">
        <w:rPr>
          <w:sz w:val="20"/>
          <w:szCs w:val="20"/>
        </w:rPr>
        <w:t>will pub</w:t>
      </w:r>
      <w:r w:rsidR="00A37263">
        <w:rPr>
          <w:sz w:val="20"/>
          <w:szCs w:val="20"/>
        </w:rPr>
        <w:t xml:space="preserve">lish </w:t>
      </w:r>
      <w:r w:rsidRPr="0035612B" w:rsidR="000455B0">
        <w:rPr>
          <w:sz w:val="20"/>
          <w:szCs w:val="20"/>
        </w:rPr>
        <w:t xml:space="preserve">a White Paper </w:t>
      </w:r>
      <w:r w:rsidR="000F4C36">
        <w:rPr>
          <w:sz w:val="20"/>
          <w:szCs w:val="20"/>
        </w:rPr>
        <w:t>shortly</w:t>
      </w:r>
      <w:r w:rsidRPr="0035612B" w:rsidR="000455B0">
        <w:rPr>
          <w:sz w:val="20"/>
          <w:szCs w:val="20"/>
        </w:rPr>
        <w:t>.</w:t>
      </w:r>
      <w:r w:rsidRPr="0035612B" w:rsidR="00383B53">
        <w:rPr>
          <w:sz w:val="20"/>
          <w:szCs w:val="20"/>
        </w:rPr>
        <w:t xml:space="preserve"> </w:t>
      </w:r>
      <w:r w:rsidR="000F4C36">
        <w:rPr>
          <w:sz w:val="20"/>
          <w:szCs w:val="20"/>
        </w:rPr>
        <w:t>b</w:t>
      </w:r>
      <w:r w:rsidR="00106A01">
        <w:rPr>
          <w:sz w:val="20"/>
          <w:szCs w:val="20"/>
        </w:rPr>
        <w:t xml:space="preserve">et365 has welcomed the review from the outset </w:t>
      </w:r>
      <w:r w:rsidR="000F4C36">
        <w:rPr>
          <w:sz w:val="20"/>
          <w:szCs w:val="20"/>
        </w:rPr>
        <w:t>as an important opportunity to review the way the gambling industry is regulated</w:t>
      </w:r>
      <w:r w:rsidR="00D87EFD">
        <w:rPr>
          <w:sz w:val="20"/>
          <w:szCs w:val="20"/>
        </w:rPr>
        <w:t xml:space="preserve"> in the UK, </w:t>
      </w:r>
      <w:r w:rsidR="00106A01">
        <w:rPr>
          <w:sz w:val="20"/>
          <w:szCs w:val="20"/>
        </w:rPr>
        <w:t xml:space="preserve">and </w:t>
      </w:r>
      <w:r w:rsidR="00D87EFD">
        <w:rPr>
          <w:sz w:val="20"/>
          <w:szCs w:val="20"/>
        </w:rPr>
        <w:t xml:space="preserve">we have sought to </w:t>
      </w:r>
      <w:r w:rsidR="00106A01">
        <w:rPr>
          <w:sz w:val="20"/>
          <w:szCs w:val="20"/>
        </w:rPr>
        <w:t xml:space="preserve">engage constructively </w:t>
      </w:r>
      <w:r w:rsidR="00FF6486">
        <w:rPr>
          <w:sz w:val="20"/>
          <w:szCs w:val="20"/>
        </w:rPr>
        <w:t>with policymakers throughout this process</w:t>
      </w:r>
      <w:r w:rsidR="00106A01">
        <w:rPr>
          <w:sz w:val="20"/>
          <w:szCs w:val="20"/>
        </w:rPr>
        <w:t xml:space="preserve">. </w:t>
      </w:r>
      <w:r w:rsidRPr="0035612B" w:rsidR="00383B53">
        <w:rPr>
          <w:sz w:val="20"/>
          <w:szCs w:val="20"/>
        </w:rPr>
        <w:t xml:space="preserve">We are keen </w:t>
      </w:r>
      <w:r w:rsidR="00C9182D">
        <w:rPr>
          <w:sz w:val="20"/>
          <w:szCs w:val="20"/>
        </w:rPr>
        <w:t>that proposals are announced</w:t>
      </w:r>
      <w:r w:rsidRPr="0035612B" w:rsidR="009C3D29">
        <w:rPr>
          <w:sz w:val="20"/>
          <w:szCs w:val="20"/>
        </w:rPr>
        <w:t xml:space="preserve"> </w:t>
      </w:r>
      <w:r w:rsidRPr="0035612B" w:rsidR="00BE0F21">
        <w:rPr>
          <w:sz w:val="20"/>
          <w:szCs w:val="20"/>
        </w:rPr>
        <w:t xml:space="preserve">as soon as possible to provide </w:t>
      </w:r>
      <w:r w:rsidRPr="0035612B" w:rsidR="00D0044A">
        <w:rPr>
          <w:sz w:val="20"/>
          <w:szCs w:val="20"/>
        </w:rPr>
        <w:t xml:space="preserve">certainty to </w:t>
      </w:r>
      <w:r w:rsidR="00C9182D">
        <w:rPr>
          <w:sz w:val="20"/>
          <w:szCs w:val="20"/>
        </w:rPr>
        <w:t>customers and</w:t>
      </w:r>
      <w:r w:rsidRPr="0035612B" w:rsidR="0091154C">
        <w:rPr>
          <w:sz w:val="20"/>
          <w:szCs w:val="20"/>
        </w:rPr>
        <w:t xml:space="preserve"> the gambling </w:t>
      </w:r>
      <w:r w:rsidRPr="0035612B" w:rsidR="00D0044A">
        <w:rPr>
          <w:sz w:val="20"/>
          <w:szCs w:val="20"/>
        </w:rPr>
        <w:t>industry</w:t>
      </w:r>
      <w:r w:rsidR="009852F9">
        <w:rPr>
          <w:sz w:val="20"/>
          <w:szCs w:val="20"/>
        </w:rPr>
        <w:t>,</w:t>
      </w:r>
      <w:r w:rsidR="00E168F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to allow us to focus on </w:t>
      </w:r>
      <w:r w:rsidR="00106A01">
        <w:rPr>
          <w:sz w:val="20"/>
          <w:szCs w:val="20"/>
        </w:rPr>
        <w:t>implementing an ambitious set of reforms</w:t>
      </w:r>
      <w:r w:rsidR="009A3AF0">
        <w:rPr>
          <w:sz w:val="20"/>
          <w:szCs w:val="20"/>
        </w:rPr>
        <w:t xml:space="preserve"> to reduce gambling-related harm</w:t>
      </w:r>
      <w:r>
        <w:rPr>
          <w:sz w:val="20"/>
          <w:szCs w:val="20"/>
        </w:rPr>
        <w:t xml:space="preserve">. </w:t>
      </w:r>
    </w:p>
    <w:p w:rsidR="00526C30" w:rsidP="00526C30">
      <w:pPr>
        <w:pStyle w:val="ListParagraph"/>
        <w:ind w:left="426"/>
        <w:jc w:val="both"/>
        <w:rPr>
          <w:sz w:val="20"/>
          <w:szCs w:val="20"/>
        </w:rPr>
      </w:pPr>
    </w:p>
    <w:p w:rsidR="00526C30" w:rsidRPr="0035612B" w:rsidP="00526C30">
      <w:pPr>
        <w:pStyle w:val="ListParagraph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35612B">
        <w:rPr>
          <w:b/>
          <w:bCs/>
          <w:sz w:val="20"/>
          <w:szCs w:val="20"/>
        </w:rPr>
        <w:t>Background to bet365</w:t>
      </w:r>
    </w:p>
    <w:p w:rsidR="002364B4" w:rsidRPr="00463CBD" w:rsidP="002364B4">
      <w:pPr>
        <w:pStyle w:val="ListParagraph"/>
        <w:numPr>
          <w:ilvl w:val="1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35612B">
        <w:rPr>
          <w:rFonts w:eastAsia="Times New Roman" w:cstheme="minorHAnsi"/>
          <w:sz w:val="20"/>
          <w:szCs w:val="20"/>
          <w:lang w:eastAsia="en-GB"/>
        </w:rPr>
        <w:t>bet365 is a private, family-owned company which was founded in Stoke-on-Trent in 2000. We are now one of the world’s largest online sports be</w:t>
      </w:r>
      <w:r w:rsidR="00B417ED">
        <w:rPr>
          <w:rFonts w:eastAsia="Times New Roman" w:cstheme="minorHAnsi"/>
          <w:sz w:val="20"/>
          <w:szCs w:val="20"/>
          <w:lang w:eastAsia="en-GB"/>
        </w:rPr>
        <w:t xml:space="preserve">tting companies, licensed in 22 </w:t>
      </w:r>
      <w:r w:rsidRPr="0035612B">
        <w:rPr>
          <w:rFonts w:eastAsia="Times New Roman" w:cstheme="minorHAnsi"/>
          <w:sz w:val="20"/>
          <w:szCs w:val="20"/>
          <w:lang w:eastAsia="en-GB"/>
        </w:rPr>
        <w:t>different jurisdictions and employi</w:t>
      </w:r>
      <w:r w:rsidR="00E36765">
        <w:rPr>
          <w:rFonts w:eastAsia="Times New Roman" w:cstheme="minorHAnsi"/>
          <w:sz w:val="20"/>
          <w:szCs w:val="20"/>
          <w:lang w:eastAsia="en-GB"/>
        </w:rPr>
        <w:t>ng almost 5,800 staff in the UK</w:t>
      </w:r>
      <w:r w:rsidRPr="0035612B">
        <w:rPr>
          <w:rFonts w:eastAsia="Times New Roman" w:cstheme="minorHAnsi"/>
          <w:sz w:val="20"/>
          <w:szCs w:val="20"/>
          <w:lang w:eastAsia="en-GB"/>
        </w:rPr>
        <w:t xml:space="preserve">. bet365 and our founders are the </w:t>
      </w:r>
      <w:r w:rsidR="00646488">
        <w:rPr>
          <w:rFonts w:eastAsia="Times New Roman" w:cstheme="minorHAnsi"/>
          <w:sz w:val="20"/>
          <w:szCs w:val="20"/>
          <w:lang w:eastAsia="en-GB"/>
        </w:rPr>
        <w:t>second</w:t>
      </w:r>
      <w:r w:rsidRPr="0035612B">
        <w:rPr>
          <w:rFonts w:eastAsia="Times New Roman" w:cstheme="minorHAnsi"/>
          <w:sz w:val="20"/>
          <w:szCs w:val="20"/>
          <w:lang w:eastAsia="en-GB"/>
        </w:rPr>
        <w:t xml:space="preserve"> highest taxpayers in the UK</w:t>
      </w:r>
      <w:r w:rsidRPr="0035612B">
        <w:rPr>
          <w:rFonts w:eastAsia="Times New Roman" w:cstheme="minorHAnsi"/>
          <w:i/>
          <w:iCs/>
          <w:sz w:val="20"/>
          <w:szCs w:val="20"/>
          <w:lang w:eastAsia="en-GB"/>
        </w:rPr>
        <w:t xml:space="preserve"> </w:t>
      </w:r>
      <w:r w:rsidRPr="0035612B">
        <w:rPr>
          <w:rFonts w:eastAsia="Times New Roman" w:cstheme="minorHAnsi"/>
          <w:sz w:val="20"/>
          <w:szCs w:val="20"/>
          <w:lang w:eastAsia="en-GB"/>
        </w:rPr>
        <w:t xml:space="preserve">with £493.1m paid in 2021/22. </w:t>
      </w:r>
    </w:p>
    <w:p w:rsidR="00463CBD" w:rsidRPr="00463CBD" w:rsidP="00463CBD">
      <w:pPr>
        <w:pStyle w:val="ListParagraph"/>
        <w:ind w:left="426"/>
        <w:jc w:val="both"/>
        <w:rPr>
          <w:b/>
          <w:bCs/>
          <w:sz w:val="20"/>
          <w:szCs w:val="20"/>
        </w:rPr>
      </w:pPr>
    </w:p>
    <w:p w:rsidR="00463CBD" w:rsidRPr="00463CBD" w:rsidP="00463CBD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 w:rsidRPr="00463CBD">
        <w:rPr>
          <w:bCs/>
          <w:sz w:val="20"/>
          <w:szCs w:val="20"/>
        </w:rPr>
        <w:t>The gambling industry more broadly is a major contributor to UK prosperity. In total, the regulated betti</w:t>
      </w:r>
      <w:r>
        <w:rPr>
          <w:bCs/>
          <w:sz w:val="20"/>
          <w:szCs w:val="20"/>
        </w:rPr>
        <w:t xml:space="preserve">ng and gaming sector supports </w:t>
      </w:r>
      <w:r w:rsidRPr="00463CBD">
        <w:rPr>
          <w:bCs/>
          <w:sz w:val="20"/>
          <w:szCs w:val="20"/>
        </w:rPr>
        <w:t xml:space="preserve">110,000 jobs, contributes £7.1bn to the economy and generates £4.2bn in taxes for the Treasury annually. The jobs </w:t>
      </w:r>
      <w:r w:rsidR="00862929">
        <w:rPr>
          <w:bCs/>
          <w:sz w:val="20"/>
          <w:szCs w:val="20"/>
        </w:rPr>
        <w:t>provided by the sector include many</w:t>
      </w:r>
      <w:r w:rsidRPr="00463CBD">
        <w:rPr>
          <w:bCs/>
          <w:sz w:val="20"/>
          <w:szCs w:val="20"/>
        </w:rPr>
        <w:t xml:space="preserve"> highly skilled tech jobs and are in regions of the country that have been traditionally lacking in such opportunities, such as the West Midlands. </w:t>
      </w:r>
    </w:p>
    <w:p w:rsidR="00526C30" w:rsidRPr="0035612B" w:rsidP="00526C30">
      <w:pPr>
        <w:pStyle w:val="ListParagraph"/>
        <w:ind w:left="426"/>
        <w:jc w:val="both"/>
        <w:rPr>
          <w:b/>
          <w:bCs/>
          <w:sz w:val="20"/>
          <w:szCs w:val="20"/>
        </w:rPr>
      </w:pPr>
    </w:p>
    <w:p w:rsidR="002364B4" w:rsidRPr="002364B4" w:rsidP="00B417ED">
      <w:pPr>
        <w:pStyle w:val="ListParagraph"/>
        <w:numPr>
          <w:ilvl w:val="1"/>
          <w:numId w:val="2"/>
        </w:numPr>
        <w:jc w:val="both"/>
        <w:rPr>
          <w:b/>
          <w:bCs/>
          <w:sz w:val="20"/>
          <w:szCs w:val="20"/>
        </w:rPr>
      </w:pPr>
      <w:r w:rsidRPr="0035612B">
        <w:rPr>
          <w:rFonts w:eastAsia="Times New Roman" w:cstheme="minorHAnsi"/>
          <w:sz w:val="20"/>
          <w:szCs w:val="20"/>
          <w:lang w:eastAsia="en-GB"/>
        </w:rPr>
        <w:t>bet365 Group owns Stoke Cit</w:t>
      </w:r>
      <w:r w:rsidR="00664AF9">
        <w:rPr>
          <w:rFonts w:eastAsia="Times New Roman" w:cstheme="minorHAnsi"/>
          <w:sz w:val="20"/>
          <w:szCs w:val="20"/>
          <w:lang w:eastAsia="en-GB"/>
        </w:rPr>
        <w:t>y Football Club (SCFC)</w:t>
      </w:r>
      <w:r>
        <w:rPr>
          <w:rFonts w:eastAsia="Times New Roman" w:cstheme="minorHAnsi"/>
          <w:sz w:val="20"/>
          <w:szCs w:val="20"/>
          <w:lang w:eastAsia="en-GB"/>
        </w:rPr>
        <w:t xml:space="preserve">. Our investment </w:t>
      </w:r>
      <w:r w:rsidR="00664AF9">
        <w:rPr>
          <w:rFonts w:eastAsia="Times New Roman" w:cstheme="minorHAnsi"/>
          <w:sz w:val="20"/>
          <w:szCs w:val="20"/>
          <w:lang w:eastAsia="en-GB"/>
        </w:rPr>
        <w:t xml:space="preserve">and contribution </w:t>
      </w:r>
      <w:r>
        <w:rPr>
          <w:rFonts w:eastAsia="Times New Roman" w:cstheme="minorHAnsi"/>
          <w:sz w:val="20"/>
          <w:szCs w:val="20"/>
          <w:lang w:eastAsia="en-GB"/>
        </w:rPr>
        <w:t>has allowed the club to support fans by free</w:t>
      </w:r>
      <w:r w:rsidR="00C271ED">
        <w:rPr>
          <w:rFonts w:eastAsia="Times New Roman" w:cstheme="minorHAnsi"/>
          <w:sz w:val="20"/>
          <w:szCs w:val="20"/>
          <w:lang w:eastAsia="en-GB"/>
        </w:rPr>
        <w:t>zing season ticket prices for 15</w:t>
      </w:r>
      <w:r>
        <w:rPr>
          <w:rFonts w:eastAsia="Times New Roman" w:cstheme="minorHAnsi"/>
          <w:sz w:val="20"/>
          <w:szCs w:val="20"/>
          <w:lang w:eastAsia="en-GB"/>
        </w:rPr>
        <w:t xml:space="preserve"> years, providing free away travel and supporting women’s football both in the club and local area. </w:t>
      </w:r>
    </w:p>
    <w:p w:rsidR="002364B4" w:rsidRPr="002364B4" w:rsidP="002364B4">
      <w:pPr>
        <w:pStyle w:val="ListParagraph"/>
        <w:rPr>
          <w:rFonts w:eastAsia="Times New Roman" w:cstheme="minorHAnsi"/>
          <w:sz w:val="20"/>
          <w:szCs w:val="20"/>
          <w:lang w:eastAsia="en-GB"/>
        </w:rPr>
      </w:pPr>
    </w:p>
    <w:p w:rsidR="002364B4" w:rsidRPr="002364B4" w:rsidP="002364B4">
      <w:pPr>
        <w:pStyle w:val="ListParagraph"/>
        <w:numPr>
          <w:ilvl w:val="1"/>
          <w:numId w:val="2"/>
        </w:numPr>
        <w:jc w:val="both"/>
        <w:rPr>
          <w:b/>
          <w:bCs/>
          <w:sz w:val="20"/>
          <w:szCs w:val="20"/>
        </w:rPr>
      </w:pPr>
      <w:r>
        <w:rPr>
          <w:rFonts w:eastAsia="Times New Roman" w:cstheme="minorHAnsi"/>
          <w:sz w:val="20"/>
          <w:szCs w:val="20"/>
          <w:lang w:eastAsia="en-GB"/>
        </w:rPr>
        <w:t>Stoke City FC</w:t>
      </w:r>
      <w:r>
        <w:rPr>
          <w:rFonts w:eastAsia="Times New Roman" w:cstheme="minorHAnsi"/>
          <w:sz w:val="20"/>
          <w:szCs w:val="20"/>
          <w:lang w:eastAsia="en-GB"/>
        </w:rPr>
        <w:t xml:space="preserve"> support</w:t>
      </w:r>
      <w:r>
        <w:rPr>
          <w:rFonts w:eastAsia="Times New Roman" w:cstheme="minorHAnsi"/>
          <w:sz w:val="20"/>
          <w:szCs w:val="20"/>
          <w:lang w:eastAsia="en-GB"/>
        </w:rPr>
        <w:t>s</w:t>
      </w:r>
      <w:r>
        <w:rPr>
          <w:rFonts w:eastAsia="Times New Roman" w:cstheme="minorHAnsi"/>
          <w:sz w:val="20"/>
          <w:szCs w:val="20"/>
          <w:lang w:eastAsia="en-GB"/>
        </w:rPr>
        <w:t xml:space="preserve"> the local community through the SCFC Community Trust </w:t>
      </w:r>
      <w:r>
        <w:rPr>
          <w:rFonts w:eastAsia="Times New Roman" w:cstheme="minorHAnsi"/>
          <w:sz w:val="20"/>
          <w:szCs w:val="20"/>
          <w:lang w:val="en-US"/>
        </w:rPr>
        <w:t>which aims to</w:t>
      </w:r>
      <w:r w:rsidRPr="002364B4">
        <w:rPr>
          <w:rFonts w:eastAsia="Times New Roman" w:cstheme="minorHAnsi"/>
          <w:sz w:val="20"/>
          <w:szCs w:val="20"/>
          <w:lang w:val="en-US"/>
        </w:rPr>
        <w:t xml:space="preserve"> </w:t>
      </w:r>
      <w:r w:rsidR="00047637">
        <w:rPr>
          <w:rFonts w:eastAsia="Times New Roman" w:cstheme="minorHAnsi"/>
          <w:sz w:val="20"/>
          <w:szCs w:val="20"/>
          <w:lang w:val="en-US"/>
        </w:rPr>
        <w:t>engage with</w:t>
      </w:r>
      <w:r w:rsidRPr="002364B4">
        <w:rPr>
          <w:rFonts w:eastAsia="Times New Roman" w:cstheme="minorHAnsi"/>
          <w:sz w:val="20"/>
          <w:szCs w:val="20"/>
          <w:lang w:val="en-US"/>
        </w:rPr>
        <w:t xml:space="preserve"> and benefit the lives of approximately 150,000 chil</w:t>
      </w:r>
      <w:r>
        <w:rPr>
          <w:rFonts w:eastAsia="Times New Roman" w:cstheme="minorHAnsi"/>
          <w:sz w:val="20"/>
          <w:szCs w:val="20"/>
          <w:lang w:val="en-US"/>
        </w:rPr>
        <w:t xml:space="preserve">dren and young people each year through its activities. This includes </w:t>
      </w:r>
      <w:r w:rsidR="00047637">
        <w:rPr>
          <w:rFonts w:eastAsia="Times New Roman" w:cstheme="minorHAnsi"/>
          <w:sz w:val="20"/>
          <w:szCs w:val="20"/>
          <w:lang w:val="en-US"/>
        </w:rPr>
        <w:t xml:space="preserve">on </w:t>
      </w:r>
      <w:r>
        <w:rPr>
          <w:rFonts w:eastAsia="Times New Roman" w:cstheme="minorHAnsi"/>
          <w:sz w:val="20"/>
          <w:szCs w:val="20"/>
          <w:lang w:val="en-US"/>
        </w:rPr>
        <w:t xml:space="preserve">sports participation, education, health and wellbeing. </w:t>
      </w:r>
    </w:p>
    <w:p w:rsidR="002364B4" w:rsidRPr="002364B4" w:rsidP="002364B4">
      <w:pPr>
        <w:pStyle w:val="ListParagraph"/>
        <w:rPr>
          <w:b/>
          <w:bCs/>
          <w:sz w:val="20"/>
          <w:szCs w:val="20"/>
        </w:rPr>
      </w:pPr>
    </w:p>
    <w:p w:rsidR="002364B4" w:rsidRPr="002364B4" w:rsidP="000741B0">
      <w:pPr>
        <w:pStyle w:val="ListParagraph"/>
        <w:numPr>
          <w:ilvl w:val="1"/>
          <w:numId w:val="2"/>
        </w:numPr>
        <w:jc w:val="both"/>
        <w:rPr>
          <w:bCs/>
          <w:sz w:val="20"/>
          <w:szCs w:val="20"/>
        </w:rPr>
      </w:pPr>
      <w:r w:rsidRPr="002364B4">
        <w:rPr>
          <w:bCs/>
          <w:sz w:val="20"/>
          <w:szCs w:val="20"/>
        </w:rPr>
        <w:t>Last year, we contributed £100m</w:t>
      </w:r>
      <w:r w:rsidR="00047637">
        <w:rPr>
          <w:bCs/>
          <w:sz w:val="20"/>
          <w:szCs w:val="20"/>
        </w:rPr>
        <w:t xml:space="preserve"> to the Denise Coates Foundation, bringing total donations received to date to £631.7m.</w:t>
      </w:r>
      <w:r>
        <w:rPr>
          <w:bCs/>
          <w:sz w:val="20"/>
          <w:szCs w:val="20"/>
        </w:rPr>
        <w:t xml:space="preserve"> </w:t>
      </w:r>
      <w:r w:rsidR="00047637">
        <w:rPr>
          <w:bCs/>
          <w:sz w:val="20"/>
          <w:szCs w:val="20"/>
        </w:rPr>
        <w:t>Examples of projects funded through the Foundation include</w:t>
      </w:r>
      <w:r>
        <w:rPr>
          <w:bCs/>
          <w:sz w:val="20"/>
          <w:szCs w:val="20"/>
        </w:rPr>
        <w:t xml:space="preserve"> </w:t>
      </w:r>
      <w:r w:rsidR="00664AF9">
        <w:rPr>
          <w:bCs/>
          <w:sz w:val="20"/>
          <w:szCs w:val="20"/>
        </w:rPr>
        <w:t xml:space="preserve">funding for </w:t>
      </w:r>
      <w:r>
        <w:rPr>
          <w:bCs/>
          <w:sz w:val="20"/>
          <w:szCs w:val="20"/>
        </w:rPr>
        <w:t xml:space="preserve">The University Hospitals North Midlands </w:t>
      </w:r>
      <w:r w:rsidR="000741B0">
        <w:rPr>
          <w:bCs/>
          <w:sz w:val="20"/>
          <w:szCs w:val="20"/>
        </w:rPr>
        <w:t xml:space="preserve">Charity </w:t>
      </w:r>
      <w:r>
        <w:rPr>
          <w:bCs/>
          <w:sz w:val="20"/>
          <w:szCs w:val="20"/>
        </w:rPr>
        <w:t xml:space="preserve">to </w:t>
      </w:r>
      <w:r w:rsidRPr="000741B0" w:rsidR="000741B0">
        <w:rPr>
          <w:bCs/>
          <w:sz w:val="20"/>
          <w:szCs w:val="20"/>
        </w:rPr>
        <w:t>fully fund a significant upgrade of the cancer treatment facilities at the Hospital</w:t>
      </w:r>
      <w:r w:rsidR="000741B0">
        <w:rPr>
          <w:bCs/>
          <w:sz w:val="20"/>
          <w:szCs w:val="20"/>
        </w:rPr>
        <w:t xml:space="preserve"> </w:t>
      </w:r>
      <w:r w:rsidR="004852B9">
        <w:rPr>
          <w:bCs/>
          <w:sz w:val="20"/>
          <w:szCs w:val="20"/>
        </w:rPr>
        <w:t xml:space="preserve">and </w:t>
      </w:r>
      <w:r w:rsidR="000741B0">
        <w:rPr>
          <w:bCs/>
          <w:sz w:val="20"/>
          <w:szCs w:val="20"/>
        </w:rPr>
        <w:t>a donation</w:t>
      </w:r>
      <w:r w:rsidR="00664AF9">
        <w:rPr>
          <w:bCs/>
          <w:sz w:val="20"/>
          <w:szCs w:val="20"/>
        </w:rPr>
        <w:t xml:space="preserve"> </w:t>
      </w:r>
      <w:r w:rsidR="00047637">
        <w:rPr>
          <w:bCs/>
          <w:sz w:val="20"/>
          <w:szCs w:val="20"/>
        </w:rPr>
        <w:t>towards humanitarian relief in Ukraine through th</w:t>
      </w:r>
      <w:r w:rsidR="004852B9">
        <w:rPr>
          <w:bCs/>
          <w:sz w:val="20"/>
          <w:szCs w:val="20"/>
        </w:rPr>
        <w:t xml:space="preserve">e Disasters Emergency Committee, as well as a range of other projects across education, arts and community development. </w:t>
      </w:r>
    </w:p>
    <w:p w:rsidR="00B417ED" w:rsidRPr="00B417ED" w:rsidP="00B417ED">
      <w:pPr>
        <w:rPr>
          <w:rFonts w:eastAsia="Times New Roman" w:cstheme="minorHAnsi"/>
          <w:sz w:val="20"/>
          <w:szCs w:val="20"/>
          <w:lang w:val="en-US"/>
        </w:rPr>
      </w:pPr>
    </w:p>
    <w:p w:rsidR="00047637" w:rsidRPr="00345E86" w:rsidP="00345E86">
      <w:pPr>
        <w:pStyle w:val="ListParagraph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bet365’s approach to player protection</w:t>
      </w:r>
    </w:p>
    <w:p w:rsidR="007A255D" w:rsidRPr="00A35C68" w:rsidP="00A35C68">
      <w:pPr>
        <w:pStyle w:val="ListParagraph"/>
        <w:numPr>
          <w:ilvl w:val="1"/>
          <w:numId w:val="2"/>
        </w:numPr>
        <w:jc w:val="both"/>
        <w:rPr>
          <w:b/>
          <w:bCs/>
          <w:sz w:val="20"/>
          <w:szCs w:val="20"/>
        </w:rPr>
      </w:pPr>
      <w:r w:rsidRPr="00A35C68">
        <w:rPr>
          <w:rFonts w:cstheme="minorHAnsi"/>
          <w:sz w:val="20"/>
          <w:szCs w:val="20"/>
        </w:rPr>
        <w:t>T</w:t>
      </w:r>
      <w:r w:rsidRPr="00A35C68" w:rsidR="00E550CD">
        <w:rPr>
          <w:rFonts w:cstheme="minorHAnsi"/>
          <w:sz w:val="20"/>
          <w:szCs w:val="20"/>
        </w:rPr>
        <w:t>he vast majority of people who gamble today enjoy doing so without experiencing harm: the Gambling Commission’s latest participation and problem gambling statistics show the overall problem gambling rate has fallen to 0.3%</w:t>
      </w:r>
      <w:r>
        <w:rPr>
          <w:rStyle w:val="FootnoteReference"/>
          <w:rFonts w:cstheme="minorHAnsi"/>
          <w:sz w:val="20"/>
          <w:szCs w:val="20"/>
        </w:rPr>
        <w:footnoteReference w:id="2"/>
      </w:r>
      <w:r w:rsidRPr="00A35C68" w:rsidR="00E550CD">
        <w:rPr>
          <w:rFonts w:cstheme="minorHAnsi"/>
          <w:sz w:val="20"/>
          <w:szCs w:val="20"/>
        </w:rPr>
        <w:t xml:space="preserve">. </w:t>
      </w:r>
      <w:r w:rsidR="00463CBD">
        <w:rPr>
          <w:rFonts w:cstheme="minorHAnsi"/>
          <w:sz w:val="20"/>
          <w:szCs w:val="20"/>
        </w:rPr>
        <w:t xml:space="preserve">While this is </w:t>
      </w:r>
      <w:r w:rsidR="00862929">
        <w:rPr>
          <w:rFonts w:cstheme="minorHAnsi"/>
          <w:sz w:val="20"/>
          <w:szCs w:val="20"/>
        </w:rPr>
        <w:t>a step in the right direction</w:t>
      </w:r>
      <w:r w:rsidR="00463CBD">
        <w:rPr>
          <w:rFonts w:cstheme="minorHAnsi"/>
          <w:sz w:val="20"/>
          <w:szCs w:val="20"/>
        </w:rPr>
        <w:t xml:space="preserve">, we are not complacent and continue to consider new and innovative ways to </w:t>
      </w:r>
      <w:r w:rsidR="00887712">
        <w:rPr>
          <w:rFonts w:cstheme="minorHAnsi"/>
          <w:sz w:val="20"/>
          <w:szCs w:val="20"/>
        </w:rPr>
        <w:t xml:space="preserve">protect customers. </w:t>
      </w:r>
      <w:r w:rsidR="00463CBD">
        <w:rPr>
          <w:rFonts w:cstheme="minorHAnsi"/>
          <w:sz w:val="20"/>
          <w:szCs w:val="20"/>
        </w:rPr>
        <w:t xml:space="preserve"> </w:t>
      </w:r>
    </w:p>
    <w:p w:rsidR="00BB51C7" w:rsidRPr="00A35C68" w:rsidP="00A35C68">
      <w:pPr>
        <w:pStyle w:val="ListParagraph"/>
        <w:ind w:left="360"/>
        <w:rPr>
          <w:b/>
          <w:bCs/>
        </w:rPr>
      </w:pPr>
    </w:p>
    <w:p w:rsidR="00F52877" w:rsidRPr="00670A96" w:rsidP="00A35C68">
      <w:pPr>
        <w:pStyle w:val="ListParagraph"/>
        <w:numPr>
          <w:ilvl w:val="1"/>
          <w:numId w:val="2"/>
        </w:numPr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Progress has not halted while we await the White Paper.</w:t>
      </w:r>
      <w:r w:rsidRPr="00A35C68" w:rsidR="00957E36">
        <w:rPr>
          <w:rFonts w:cstheme="minorHAnsi"/>
          <w:sz w:val="20"/>
          <w:szCs w:val="20"/>
        </w:rPr>
        <w:t xml:space="preserve"> </w:t>
      </w:r>
      <w:r w:rsidR="00664AF9">
        <w:rPr>
          <w:rFonts w:cstheme="minorHAnsi"/>
          <w:sz w:val="20"/>
          <w:szCs w:val="20"/>
        </w:rPr>
        <w:t>bet365 has worked independently and with</w:t>
      </w:r>
      <w:r w:rsidR="00670A96">
        <w:rPr>
          <w:rFonts w:cstheme="minorHAnsi"/>
          <w:sz w:val="20"/>
          <w:szCs w:val="20"/>
        </w:rPr>
        <w:t xml:space="preserve"> other BGC members to </w:t>
      </w:r>
      <w:r w:rsidR="00887712">
        <w:rPr>
          <w:rFonts w:cstheme="minorHAnsi"/>
          <w:sz w:val="20"/>
          <w:szCs w:val="20"/>
        </w:rPr>
        <w:t>bring forward voluntary initiatives</w:t>
      </w:r>
      <w:r w:rsidR="00670A96">
        <w:rPr>
          <w:rFonts w:cstheme="minorHAnsi"/>
          <w:sz w:val="20"/>
          <w:szCs w:val="20"/>
        </w:rPr>
        <w:t xml:space="preserve"> where it is clear improvements to player safety can be </w:t>
      </w:r>
      <w:r w:rsidR="00670A96">
        <w:rPr>
          <w:rFonts w:cstheme="minorHAnsi"/>
          <w:sz w:val="20"/>
          <w:szCs w:val="20"/>
        </w:rPr>
        <w:t>made. This includes</w:t>
      </w:r>
      <w:r w:rsidR="00887712">
        <w:rPr>
          <w:rFonts w:cstheme="minorHAnsi"/>
          <w:sz w:val="20"/>
          <w:szCs w:val="20"/>
        </w:rPr>
        <w:t xml:space="preserve"> changes to online product design, </w:t>
      </w:r>
      <w:r w:rsidRPr="00A35C68" w:rsidR="00392BE2">
        <w:rPr>
          <w:rFonts w:cstheme="minorHAnsi"/>
          <w:sz w:val="20"/>
          <w:szCs w:val="20"/>
        </w:rPr>
        <w:t xml:space="preserve">the </w:t>
      </w:r>
      <w:r w:rsidRPr="00A35C68" w:rsidR="00517BA0">
        <w:rPr>
          <w:rFonts w:cstheme="minorHAnsi"/>
          <w:sz w:val="20"/>
          <w:szCs w:val="20"/>
        </w:rPr>
        <w:t>whistle-to-whistle ban on</w:t>
      </w:r>
      <w:r w:rsidRPr="00A35C68" w:rsidR="00B72285">
        <w:rPr>
          <w:rFonts w:cstheme="minorHAnsi"/>
          <w:sz w:val="20"/>
          <w:szCs w:val="20"/>
        </w:rPr>
        <w:t xml:space="preserve"> television</w:t>
      </w:r>
      <w:r w:rsidRPr="00A35C68" w:rsidR="00517BA0">
        <w:rPr>
          <w:rFonts w:cstheme="minorHAnsi"/>
          <w:sz w:val="20"/>
          <w:szCs w:val="20"/>
        </w:rPr>
        <w:t xml:space="preserve"> advertising</w:t>
      </w:r>
      <w:r w:rsidRPr="00A35C68" w:rsidR="00B72285">
        <w:rPr>
          <w:rFonts w:cstheme="minorHAnsi"/>
          <w:sz w:val="20"/>
          <w:szCs w:val="20"/>
        </w:rPr>
        <w:t xml:space="preserve"> around football matches</w:t>
      </w:r>
      <w:r w:rsidR="00887712">
        <w:rPr>
          <w:rFonts w:cstheme="minorHAnsi"/>
          <w:sz w:val="20"/>
          <w:szCs w:val="20"/>
        </w:rPr>
        <w:t xml:space="preserve"> and strengthening the industry advertising code, the IGRG</w:t>
      </w:r>
      <w:r>
        <w:rPr>
          <w:rStyle w:val="FootnoteReference"/>
          <w:rFonts w:cstheme="minorHAnsi"/>
          <w:sz w:val="20"/>
          <w:szCs w:val="20"/>
        </w:rPr>
        <w:footnoteReference w:id="3"/>
      </w:r>
      <w:r w:rsidR="00887712">
        <w:rPr>
          <w:rFonts w:cstheme="minorHAnsi"/>
          <w:sz w:val="20"/>
          <w:szCs w:val="20"/>
        </w:rPr>
        <w:t xml:space="preserve">, to ensure </w:t>
      </w:r>
      <w:r w:rsidRPr="00A35C68" w:rsidR="00D1647B">
        <w:rPr>
          <w:rFonts w:cstheme="minorHAnsi"/>
          <w:color w:val="000000" w:themeColor="text1"/>
          <w:sz w:val="20"/>
          <w:szCs w:val="20"/>
          <w:bdr w:val="nil"/>
        </w:rPr>
        <w:t xml:space="preserve">paid-for social media adverts </w:t>
      </w:r>
      <w:r w:rsidR="00887712">
        <w:rPr>
          <w:rFonts w:cstheme="minorHAnsi"/>
          <w:color w:val="000000" w:themeColor="text1"/>
          <w:sz w:val="20"/>
          <w:szCs w:val="20"/>
          <w:bdr w:val="nil"/>
        </w:rPr>
        <w:t>are</w:t>
      </w:r>
      <w:r w:rsidRPr="00A35C68" w:rsidR="00D1647B">
        <w:rPr>
          <w:rFonts w:cstheme="minorHAnsi"/>
          <w:color w:val="000000" w:themeColor="text1"/>
          <w:sz w:val="20"/>
          <w:szCs w:val="20"/>
          <w:bdr w:val="nil"/>
        </w:rPr>
        <w:t xml:space="preserve"> targeted at those aged over </w:t>
      </w:r>
      <w:r w:rsidRPr="00A35C68" w:rsidR="00D1647B">
        <w:rPr>
          <w:rFonts w:cstheme="minorHAnsi"/>
          <w:color w:val="000000" w:themeColor="text1"/>
          <w:sz w:val="20"/>
          <w:szCs w:val="20"/>
        </w:rPr>
        <w:t>25</w:t>
      </w:r>
      <w:r w:rsidR="00887712">
        <w:rPr>
          <w:rFonts w:cstheme="minorHAnsi"/>
          <w:color w:val="000000" w:themeColor="text1"/>
          <w:sz w:val="20"/>
          <w:szCs w:val="20"/>
        </w:rPr>
        <w:t xml:space="preserve"> unless age accuracy can be proven for 18+. </w:t>
      </w:r>
    </w:p>
    <w:p w:rsidR="00670A96" w:rsidRPr="00670A96" w:rsidP="00670A96">
      <w:pPr>
        <w:jc w:val="both"/>
        <w:rPr>
          <w:sz w:val="20"/>
          <w:szCs w:val="20"/>
        </w:rPr>
      </w:pPr>
    </w:p>
    <w:p w:rsidR="00670A96" w:rsidRPr="00634099" w:rsidP="00670A96">
      <w:pPr>
        <w:pStyle w:val="ListParagraph"/>
        <w:numPr>
          <w:ilvl w:val="1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  <w:lang w:val="en-US"/>
        </w:rPr>
        <w:t xml:space="preserve">We </w:t>
      </w:r>
      <w:r w:rsidR="001526D5">
        <w:rPr>
          <w:rFonts w:eastAsia="Times New Roman" w:cstheme="minorHAnsi"/>
          <w:sz w:val="20"/>
          <w:szCs w:val="20"/>
          <w:lang w:val="en-US"/>
        </w:rPr>
        <w:t>continue to be a</w:t>
      </w:r>
      <w:r>
        <w:rPr>
          <w:rFonts w:eastAsia="Times New Roman" w:cstheme="minorHAnsi"/>
          <w:sz w:val="20"/>
          <w:szCs w:val="20"/>
          <w:lang w:val="en-US"/>
        </w:rPr>
        <w:t xml:space="preserve"> significant contributor towards funding Research, Education and Treatment (RET) and take our responsibility to contributing our fair share seriously. In 2022/23 we will </w:t>
      </w:r>
      <w:r w:rsidR="003B1795">
        <w:rPr>
          <w:rFonts w:eastAsia="Times New Roman" w:cstheme="minorHAnsi"/>
          <w:sz w:val="20"/>
          <w:szCs w:val="20"/>
          <w:lang w:val="en-US"/>
        </w:rPr>
        <w:t xml:space="preserve">have </w:t>
      </w:r>
      <w:r>
        <w:rPr>
          <w:rFonts w:eastAsia="Times New Roman" w:cstheme="minorHAnsi"/>
          <w:sz w:val="20"/>
          <w:szCs w:val="20"/>
          <w:lang w:val="en-US"/>
        </w:rPr>
        <w:t>cont</w:t>
      </w:r>
      <w:r w:rsidR="003B1795">
        <w:rPr>
          <w:rFonts w:eastAsia="Times New Roman" w:cstheme="minorHAnsi"/>
          <w:sz w:val="20"/>
          <w:szCs w:val="20"/>
          <w:lang w:val="en-US"/>
        </w:rPr>
        <w:t xml:space="preserve">ributed </w:t>
      </w:r>
      <w:r>
        <w:rPr>
          <w:rFonts w:eastAsia="Times New Roman" w:cstheme="minorHAnsi"/>
          <w:sz w:val="20"/>
          <w:szCs w:val="20"/>
          <w:lang w:val="en-US"/>
        </w:rPr>
        <w:t>0.75% Gross Gambling Yield (GGY) towards RET</w:t>
      </w:r>
      <w:r w:rsidR="003B1795">
        <w:rPr>
          <w:rFonts w:eastAsia="Times New Roman" w:cstheme="minorHAnsi"/>
          <w:sz w:val="20"/>
          <w:szCs w:val="20"/>
          <w:lang w:val="en-US"/>
        </w:rPr>
        <w:t xml:space="preserve">, rising to 1% GGY thereafter. </w:t>
      </w:r>
      <w:r>
        <w:rPr>
          <w:rFonts w:eastAsia="Times New Roman" w:cstheme="minorHAnsi"/>
          <w:sz w:val="20"/>
          <w:szCs w:val="20"/>
          <w:lang w:val="en-US"/>
        </w:rPr>
        <w:t xml:space="preserve">We have no say over how these funds are used, </w:t>
      </w:r>
      <w:r w:rsidR="001526D5">
        <w:rPr>
          <w:rFonts w:eastAsia="Times New Roman" w:cstheme="minorHAnsi"/>
          <w:sz w:val="20"/>
          <w:szCs w:val="20"/>
          <w:lang w:val="en-US"/>
        </w:rPr>
        <w:t xml:space="preserve">with the vast majority of our funding going to </w:t>
      </w:r>
      <w:r>
        <w:rPr>
          <w:rFonts w:eastAsia="Times New Roman" w:cstheme="minorHAnsi"/>
          <w:sz w:val="20"/>
          <w:szCs w:val="20"/>
          <w:lang w:val="en-US"/>
        </w:rPr>
        <w:t xml:space="preserve">GambleAware to </w:t>
      </w:r>
      <w:r w:rsidR="001526D5">
        <w:rPr>
          <w:rFonts w:eastAsia="Times New Roman" w:cstheme="minorHAnsi"/>
          <w:sz w:val="20"/>
          <w:szCs w:val="20"/>
          <w:lang w:val="en-US"/>
        </w:rPr>
        <w:t xml:space="preserve">use as they see fit </w:t>
      </w:r>
      <w:r w:rsidR="00345E86">
        <w:rPr>
          <w:rFonts w:eastAsia="Times New Roman" w:cstheme="minorHAnsi"/>
          <w:sz w:val="20"/>
          <w:szCs w:val="20"/>
          <w:lang w:val="en-US"/>
        </w:rPr>
        <w:t>in</w:t>
      </w:r>
      <w:r w:rsidR="001526D5">
        <w:rPr>
          <w:rFonts w:eastAsia="Times New Roman" w:cstheme="minorHAnsi"/>
          <w:sz w:val="20"/>
          <w:szCs w:val="20"/>
          <w:lang w:val="en-US"/>
        </w:rPr>
        <w:t xml:space="preserve"> support</w:t>
      </w:r>
      <w:r w:rsidR="00345E86">
        <w:rPr>
          <w:rFonts w:eastAsia="Times New Roman" w:cstheme="minorHAnsi"/>
          <w:sz w:val="20"/>
          <w:szCs w:val="20"/>
          <w:lang w:val="en-US"/>
        </w:rPr>
        <w:t xml:space="preserve"> of</w:t>
      </w:r>
      <w:r w:rsidR="001526D5">
        <w:rPr>
          <w:rFonts w:eastAsia="Times New Roman" w:cstheme="minorHAnsi"/>
          <w:sz w:val="20"/>
          <w:szCs w:val="20"/>
          <w:lang w:val="en-US"/>
        </w:rPr>
        <w:t xml:space="preserve"> their commissioning activities</w:t>
      </w:r>
      <w:r>
        <w:rPr>
          <w:rFonts w:eastAsia="Times New Roman" w:cstheme="minorHAnsi"/>
          <w:sz w:val="20"/>
          <w:szCs w:val="20"/>
          <w:lang w:val="en-US"/>
        </w:rPr>
        <w:t>.</w:t>
      </w:r>
    </w:p>
    <w:p w:rsidR="00670A96" w:rsidRPr="00670A96" w:rsidP="00670A96">
      <w:pPr>
        <w:pStyle w:val="ListParagraph"/>
        <w:rPr>
          <w:sz w:val="20"/>
          <w:szCs w:val="20"/>
        </w:rPr>
      </w:pPr>
    </w:p>
    <w:p w:rsidR="00345E86" w:rsidP="00345E86">
      <w:pPr>
        <w:pStyle w:val="ListParagraph"/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We have also engaged constructively with the Gambling Commission and DCMS on our vision of an evidence-based, proportionate outcome to the issues identified in the Gambling Act Review</w:t>
      </w:r>
      <w:r>
        <w:rPr>
          <w:sz w:val="20"/>
          <w:szCs w:val="20"/>
        </w:rPr>
        <w:t xml:space="preserve"> based on our own experiences</w:t>
      </w:r>
      <w:r>
        <w:rPr>
          <w:sz w:val="20"/>
          <w:szCs w:val="20"/>
        </w:rPr>
        <w:t xml:space="preserve">. </w:t>
      </w:r>
    </w:p>
    <w:p w:rsidR="00345E86" w:rsidRPr="00345E86" w:rsidP="00345E86">
      <w:pPr>
        <w:pStyle w:val="ListParagraph"/>
        <w:rPr>
          <w:rFonts w:eastAsia="News Gothic MT" w:cstheme="minorHAnsi"/>
          <w:color w:val="000000" w:themeColor="text1"/>
          <w:sz w:val="20"/>
          <w:szCs w:val="20"/>
        </w:rPr>
      </w:pPr>
    </w:p>
    <w:p w:rsidR="00E93C27" w:rsidRPr="00345E86" w:rsidP="00345E86">
      <w:pPr>
        <w:pStyle w:val="ListParagraph"/>
        <w:numPr>
          <w:ilvl w:val="1"/>
          <w:numId w:val="2"/>
        </w:numPr>
        <w:jc w:val="both"/>
        <w:rPr>
          <w:sz w:val="20"/>
          <w:szCs w:val="20"/>
        </w:rPr>
      </w:pPr>
      <w:r w:rsidRPr="00345E86">
        <w:rPr>
          <w:rFonts w:eastAsia="News Gothic MT" w:cstheme="minorHAnsi"/>
          <w:color w:val="000000" w:themeColor="text1"/>
          <w:sz w:val="20"/>
          <w:szCs w:val="20"/>
        </w:rPr>
        <w:t>As a responsible business, p</w:t>
      </w:r>
      <w:r w:rsidRPr="00345E86" w:rsidR="00912038">
        <w:rPr>
          <w:rFonts w:eastAsia="News Gothic MT" w:cstheme="minorHAnsi"/>
          <w:sz w:val="20"/>
          <w:szCs w:val="20"/>
        </w:rPr>
        <w:t>rotecting customers is a top priority for bet365</w:t>
      </w:r>
      <w:r w:rsidRPr="00345E86">
        <w:rPr>
          <w:rFonts w:eastAsia="News Gothic MT" w:cstheme="minorHAnsi"/>
          <w:sz w:val="20"/>
          <w:szCs w:val="20"/>
        </w:rPr>
        <w:t xml:space="preserve"> and</w:t>
      </w:r>
      <w:r w:rsidRPr="00345E86" w:rsidR="00912038">
        <w:rPr>
          <w:rFonts w:eastAsia="News Gothic MT" w:cstheme="minorHAnsi"/>
          <w:sz w:val="20"/>
          <w:szCs w:val="20"/>
        </w:rPr>
        <w:t xml:space="preserve"> we have consistently been at the forefront of industry efforts to reduce risks and intervene when there are signs of individual harm</w:t>
      </w:r>
      <w:r w:rsidRPr="00345E86" w:rsidR="00E05479">
        <w:rPr>
          <w:rFonts w:eastAsia="News Gothic MT" w:cstheme="minorHAnsi"/>
          <w:sz w:val="20"/>
          <w:szCs w:val="20"/>
        </w:rPr>
        <w:t xml:space="preserve">. </w:t>
      </w:r>
      <w:r w:rsidRPr="00345E86">
        <w:rPr>
          <w:rFonts w:cstheme="minorHAnsi"/>
          <w:sz w:val="20"/>
          <w:szCs w:val="20"/>
        </w:rPr>
        <w:t xml:space="preserve">Our </w:t>
      </w:r>
      <w:r w:rsidRPr="00345E86">
        <w:rPr>
          <w:rFonts w:cstheme="minorHAnsi"/>
          <w:i/>
          <w:iCs/>
          <w:sz w:val="20"/>
          <w:szCs w:val="20"/>
        </w:rPr>
        <w:t xml:space="preserve">Early Risk Detection System </w:t>
      </w:r>
      <w:r w:rsidRPr="00345E86">
        <w:rPr>
          <w:rFonts w:cstheme="minorHAnsi"/>
          <w:sz w:val="20"/>
          <w:szCs w:val="20"/>
        </w:rPr>
        <w:t xml:space="preserve">monitors </w:t>
      </w:r>
      <w:r w:rsidRPr="00345E86" w:rsidR="00DA143E">
        <w:rPr>
          <w:rFonts w:cstheme="minorHAnsi"/>
          <w:sz w:val="20"/>
          <w:szCs w:val="20"/>
        </w:rPr>
        <w:t xml:space="preserve">customer activity </w:t>
      </w:r>
      <w:r w:rsidRPr="00345E86" w:rsidR="00A1198A">
        <w:rPr>
          <w:rFonts w:cstheme="minorHAnsi"/>
          <w:sz w:val="20"/>
          <w:szCs w:val="20"/>
        </w:rPr>
        <w:t xml:space="preserve">for behaviours that may indicate </w:t>
      </w:r>
      <w:r w:rsidRPr="00345E86" w:rsidR="00AB09A5">
        <w:rPr>
          <w:rFonts w:cstheme="minorHAnsi"/>
          <w:sz w:val="20"/>
          <w:szCs w:val="20"/>
        </w:rPr>
        <w:t xml:space="preserve">the customer </w:t>
      </w:r>
      <w:r w:rsidRPr="00345E86" w:rsidR="00BB5AE4">
        <w:rPr>
          <w:rFonts w:cstheme="minorHAnsi"/>
          <w:sz w:val="20"/>
          <w:szCs w:val="20"/>
        </w:rPr>
        <w:t>is at risk of or experiencing harm</w:t>
      </w:r>
      <w:r w:rsidRPr="00345E86" w:rsidR="00905CA0">
        <w:rPr>
          <w:rFonts w:cstheme="minorHAnsi"/>
          <w:sz w:val="20"/>
          <w:szCs w:val="20"/>
        </w:rPr>
        <w:t xml:space="preserve">. </w:t>
      </w:r>
      <w:r w:rsidRPr="00345E86" w:rsidR="00BA2A52">
        <w:rPr>
          <w:rFonts w:cstheme="minorHAnsi"/>
          <w:sz w:val="20"/>
          <w:szCs w:val="20"/>
        </w:rPr>
        <w:t xml:space="preserve">We use this to tailor </w:t>
      </w:r>
      <w:r w:rsidRPr="00345E86" w:rsidR="00BA47DA">
        <w:rPr>
          <w:rFonts w:cstheme="minorHAnsi"/>
          <w:sz w:val="20"/>
          <w:szCs w:val="20"/>
        </w:rPr>
        <w:t>our interventions</w:t>
      </w:r>
      <w:r w:rsidRPr="00345E86" w:rsidR="001526D5">
        <w:rPr>
          <w:rFonts w:cstheme="minorHAnsi"/>
          <w:sz w:val="20"/>
          <w:szCs w:val="20"/>
        </w:rPr>
        <w:t xml:space="preserve"> to individual customers</w:t>
      </w:r>
      <w:r w:rsidRPr="00345E86" w:rsidR="001441B3">
        <w:rPr>
          <w:rFonts w:cstheme="minorHAnsi"/>
          <w:sz w:val="20"/>
          <w:szCs w:val="20"/>
        </w:rPr>
        <w:t xml:space="preserve">. </w:t>
      </w:r>
    </w:p>
    <w:p w:rsidR="0064232F" w:rsidRPr="001526D5" w:rsidP="0064232F">
      <w:pPr>
        <w:jc w:val="both"/>
        <w:rPr>
          <w:rFonts w:cstheme="minorHAnsi"/>
          <w:sz w:val="20"/>
          <w:szCs w:val="20"/>
        </w:rPr>
      </w:pPr>
    </w:p>
    <w:p w:rsidR="00BA6D94" w:rsidRPr="001526D5" w:rsidP="00BA6D94">
      <w:pPr>
        <w:pStyle w:val="ListParagraph"/>
        <w:numPr>
          <w:ilvl w:val="1"/>
          <w:numId w:val="2"/>
        </w:numPr>
        <w:jc w:val="both"/>
        <w:rPr>
          <w:rFonts w:cstheme="minorHAnsi"/>
          <w:sz w:val="20"/>
          <w:szCs w:val="20"/>
        </w:rPr>
      </w:pPr>
      <w:r w:rsidRPr="001526D5">
        <w:rPr>
          <w:rFonts w:ascii="Calibri" w:hAnsi="Calibri" w:cs="Calibri"/>
          <w:sz w:val="20"/>
          <w:szCs w:val="20"/>
        </w:rPr>
        <w:t>On affordability, w</w:t>
      </w:r>
      <w:r w:rsidRPr="001526D5" w:rsidR="005C5A2A">
        <w:rPr>
          <w:rFonts w:ascii="Calibri" w:hAnsi="Calibri" w:cs="Calibri"/>
          <w:sz w:val="20"/>
          <w:szCs w:val="20"/>
        </w:rPr>
        <w:t xml:space="preserve">e </w:t>
      </w:r>
      <w:r w:rsidRPr="001526D5" w:rsidR="00676789">
        <w:rPr>
          <w:rFonts w:ascii="Calibri" w:hAnsi="Calibri" w:cs="Calibri"/>
          <w:sz w:val="20"/>
          <w:szCs w:val="20"/>
        </w:rPr>
        <w:t xml:space="preserve">have taken voluntary action ahead of the White Paper to </w:t>
      </w:r>
      <w:r w:rsidRPr="001526D5" w:rsidR="005C5A2A">
        <w:rPr>
          <w:rFonts w:ascii="Calibri" w:hAnsi="Calibri" w:cs="Calibri"/>
          <w:sz w:val="20"/>
          <w:szCs w:val="20"/>
        </w:rPr>
        <w:t>introduce default net deposit limits for new customers</w:t>
      </w:r>
      <w:r w:rsidRPr="001526D5" w:rsidR="00094D1E">
        <w:rPr>
          <w:rFonts w:ascii="Calibri" w:hAnsi="Calibri" w:cs="Calibri"/>
          <w:sz w:val="20"/>
          <w:szCs w:val="20"/>
        </w:rPr>
        <w:t xml:space="preserve">, </w:t>
      </w:r>
      <w:r w:rsidRPr="001526D5" w:rsidR="005C5A2A">
        <w:rPr>
          <w:rFonts w:ascii="Calibri" w:hAnsi="Calibri" w:cs="Calibri"/>
          <w:sz w:val="20"/>
          <w:szCs w:val="20"/>
        </w:rPr>
        <w:t>after which documentary evidence is required</w:t>
      </w:r>
      <w:r w:rsidRPr="001526D5" w:rsidR="009D673F">
        <w:rPr>
          <w:rFonts w:ascii="Calibri" w:hAnsi="Calibri" w:cs="Calibri"/>
          <w:sz w:val="20"/>
          <w:szCs w:val="20"/>
        </w:rPr>
        <w:t xml:space="preserve">. </w:t>
      </w:r>
      <w:r w:rsidR="00B94A0A">
        <w:rPr>
          <w:rFonts w:ascii="Calibri" w:hAnsi="Calibri" w:cs="Calibri"/>
          <w:sz w:val="20"/>
          <w:szCs w:val="20"/>
        </w:rPr>
        <w:t>From our experience</w:t>
      </w:r>
      <w:r w:rsidR="003B1795">
        <w:rPr>
          <w:rFonts w:ascii="Calibri" w:hAnsi="Calibri" w:cs="Calibri"/>
          <w:sz w:val="20"/>
          <w:szCs w:val="20"/>
        </w:rPr>
        <w:t>,</w:t>
      </w:r>
      <w:r w:rsidR="00B94A0A">
        <w:rPr>
          <w:rFonts w:ascii="Calibri" w:hAnsi="Calibri" w:cs="Calibri"/>
          <w:sz w:val="20"/>
          <w:szCs w:val="20"/>
        </w:rPr>
        <w:t xml:space="preserve"> </w:t>
      </w:r>
      <w:r w:rsidRPr="001526D5" w:rsidR="004A5196">
        <w:rPr>
          <w:rFonts w:ascii="Calibri" w:hAnsi="Calibri" w:cs="Calibri"/>
          <w:sz w:val="20"/>
          <w:szCs w:val="20"/>
        </w:rPr>
        <w:t xml:space="preserve">we have found </w:t>
      </w:r>
      <w:r w:rsidR="00B94A0A">
        <w:rPr>
          <w:rFonts w:ascii="Calibri" w:hAnsi="Calibri" w:cs="Calibri"/>
          <w:sz w:val="20"/>
          <w:szCs w:val="20"/>
        </w:rPr>
        <w:t xml:space="preserve">obtaining </w:t>
      </w:r>
      <w:r w:rsidRPr="001526D5" w:rsidR="009D673F">
        <w:rPr>
          <w:rFonts w:ascii="Calibri" w:hAnsi="Calibri" w:cs="Calibri"/>
          <w:sz w:val="20"/>
          <w:szCs w:val="20"/>
        </w:rPr>
        <w:t>documentary evidence from customers a significant challeng</w:t>
      </w:r>
      <w:r w:rsidRPr="001526D5" w:rsidR="009A1D8C">
        <w:rPr>
          <w:rFonts w:ascii="Calibri" w:hAnsi="Calibri" w:cs="Calibri"/>
          <w:sz w:val="20"/>
          <w:szCs w:val="20"/>
        </w:rPr>
        <w:t>e</w:t>
      </w:r>
      <w:r w:rsidR="001526D5">
        <w:rPr>
          <w:rFonts w:ascii="Calibri" w:hAnsi="Calibri" w:cs="Calibri"/>
          <w:sz w:val="20"/>
          <w:szCs w:val="20"/>
        </w:rPr>
        <w:t xml:space="preserve">. We support efforts by DCMS to consider other available options and look forward to working constructively on a way forward in the coming months. </w:t>
      </w:r>
    </w:p>
    <w:p w:rsidR="00BA6D94" w:rsidRPr="00BA6D94" w:rsidP="00BA6D94">
      <w:pPr>
        <w:pStyle w:val="ListParagraph"/>
        <w:rPr>
          <w:rFonts w:cstheme="minorHAnsi"/>
          <w:color w:val="000000" w:themeColor="text1"/>
          <w:sz w:val="20"/>
          <w:szCs w:val="20"/>
          <w:bdr w:val="nil"/>
        </w:rPr>
      </w:pPr>
    </w:p>
    <w:p w:rsidR="007B0EE6" w:rsidRPr="007B0EE6" w:rsidP="007B0EE6">
      <w:pPr>
        <w:pStyle w:val="ListParagraph"/>
        <w:numPr>
          <w:ilvl w:val="1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  <w:bdr w:val="nil"/>
        </w:rPr>
        <w:t>W</w:t>
      </w:r>
      <w:r w:rsidRPr="00BA6D94">
        <w:rPr>
          <w:rFonts w:cstheme="minorHAnsi"/>
          <w:color w:val="000000" w:themeColor="text1"/>
          <w:sz w:val="20"/>
          <w:szCs w:val="20"/>
          <w:bdr w:val="nil"/>
        </w:rPr>
        <w:t>e</w:t>
      </w:r>
      <w:r w:rsidR="001E3EB3">
        <w:rPr>
          <w:rFonts w:cstheme="minorHAnsi"/>
          <w:color w:val="000000" w:themeColor="text1"/>
          <w:sz w:val="20"/>
          <w:szCs w:val="20"/>
          <w:bdr w:val="nil"/>
        </w:rPr>
        <w:t xml:space="preserve"> also</w:t>
      </w:r>
      <w:r w:rsidRPr="00BA6D94">
        <w:rPr>
          <w:rFonts w:cstheme="minorHAnsi"/>
          <w:color w:val="000000" w:themeColor="text1"/>
          <w:sz w:val="20"/>
          <w:szCs w:val="20"/>
          <w:bdr w:val="nil"/>
        </w:rPr>
        <w:t xml:space="preserve"> go to great lengths to</w:t>
      </w:r>
      <w:r w:rsidR="001E3EB3">
        <w:rPr>
          <w:rFonts w:cstheme="minorHAnsi"/>
          <w:color w:val="000000" w:themeColor="text1"/>
          <w:sz w:val="20"/>
          <w:szCs w:val="20"/>
          <w:bdr w:val="nil"/>
        </w:rPr>
        <w:t xml:space="preserve"> </w:t>
      </w:r>
      <w:r w:rsidR="001526D5">
        <w:rPr>
          <w:rFonts w:cstheme="minorHAnsi"/>
          <w:color w:val="000000" w:themeColor="text1"/>
          <w:sz w:val="20"/>
          <w:szCs w:val="20"/>
          <w:bdr w:val="nil"/>
        </w:rPr>
        <w:t xml:space="preserve">utilise the most innovative advertising technology available in order to </w:t>
      </w:r>
      <w:r w:rsidR="00B94E9C">
        <w:rPr>
          <w:rFonts w:cstheme="minorHAnsi"/>
          <w:color w:val="000000" w:themeColor="text1"/>
          <w:sz w:val="20"/>
          <w:szCs w:val="20"/>
          <w:bdr w:val="nil"/>
        </w:rPr>
        <w:t xml:space="preserve">target </w:t>
      </w:r>
      <w:r w:rsidR="00CE4EC1">
        <w:rPr>
          <w:rFonts w:cstheme="minorHAnsi"/>
          <w:color w:val="000000" w:themeColor="text1"/>
          <w:sz w:val="20"/>
          <w:szCs w:val="20"/>
          <w:bdr w:val="nil"/>
        </w:rPr>
        <w:t xml:space="preserve">our </w:t>
      </w:r>
      <w:r w:rsidR="00DA6D48">
        <w:rPr>
          <w:rFonts w:cstheme="minorHAnsi"/>
          <w:color w:val="000000" w:themeColor="text1"/>
          <w:sz w:val="20"/>
          <w:szCs w:val="20"/>
          <w:bdr w:val="nil"/>
        </w:rPr>
        <w:t>adverts</w:t>
      </w:r>
      <w:r w:rsidR="001526D5">
        <w:rPr>
          <w:rFonts w:cstheme="minorHAnsi"/>
          <w:color w:val="000000" w:themeColor="text1"/>
          <w:sz w:val="20"/>
          <w:szCs w:val="20"/>
          <w:bdr w:val="nil"/>
        </w:rPr>
        <w:t xml:space="preserve"> away from</w:t>
      </w:r>
      <w:r w:rsidR="00DA6D48">
        <w:rPr>
          <w:rFonts w:cstheme="minorHAnsi"/>
          <w:color w:val="000000" w:themeColor="text1"/>
          <w:sz w:val="20"/>
          <w:szCs w:val="20"/>
          <w:bdr w:val="nil"/>
        </w:rPr>
        <w:t xml:space="preserve"> </w:t>
      </w:r>
      <w:r w:rsidR="001526D5">
        <w:rPr>
          <w:rFonts w:cstheme="minorHAnsi"/>
          <w:color w:val="000000" w:themeColor="text1"/>
          <w:sz w:val="20"/>
          <w:szCs w:val="20"/>
          <w:bdr w:val="nil"/>
        </w:rPr>
        <w:t>inappropriate audiences, both in terms of age and vulnerability (such as those registered as self-excluded from gambling)</w:t>
      </w:r>
      <w:r w:rsidRPr="00BA6D94">
        <w:rPr>
          <w:rFonts w:cstheme="minorHAnsi"/>
          <w:color w:val="000000" w:themeColor="text1"/>
          <w:sz w:val="20"/>
          <w:szCs w:val="20"/>
          <w:bdr w:val="nil"/>
        </w:rPr>
        <w:t>.</w:t>
      </w:r>
      <w:r w:rsidR="007664DF">
        <w:rPr>
          <w:rFonts w:cstheme="minorHAnsi"/>
          <w:color w:val="000000" w:themeColor="text1"/>
          <w:sz w:val="20"/>
          <w:szCs w:val="20"/>
          <w:bdr w:val="nil"/>
        </w:rPr>
        <w:t xml:space="preserve"> </w:t>
      </w:r>
      <w:r w:rsidR="001526D5">
        <w:rPr>
          <w:rFonts w:cstheme="minorHAnsi"/>
          <w:color w:val="000000" w:themeColor="text1"/>
          <w:sz w:val="20"/>
          <w:szCs w:val="20"/>
          <w:bdr w:val="nil"/>
        </w:rPr>
        <w:t>This has included working with platforms such as</w:t>
      </w:r>
      <w:r w:rsidR="007664DF">
        <w:rPr>
          <w:rFonts w:cstheme="minorHAnsi"/>
          <w:color w:val="000000" w:themeColor="text1"/>
          <w:sz w:val="20"/>
          <w:szCs w:val="20"/>
          <w:bdr w:val="nil"/>
        </w:rPr>
        <w:t xml:space="preserve"> Twitter </w:t>
      </w:r>
      <w:r w:rsidRPr="00413674" w:rsidR="003B112A">
        <w:rPr>
          <w:rFonts w:cstheme="minorHAnsi"/>
          <w:color w:val="000000"/>
          <w:sz w:val="20"/>
          <w:szCs w:val="20"/>
        </w:rPr>
        <w:t xml:space="preserve">to develop </w:t>
      </w:r>
      <w:r w:rsidR="001526D5">
        <w:rPr>
          <w:rFonts w:cstheme="minorHAnsi"/>
          <w:color w:val="000000"/>
          <w:sz w:val="20"/>
          <w:szCs w:val="20"/>
        </w:rPr>
        <w:t>their</w:t>
      </w:r>
      <w:r w:rsidRPr="00413674" w:rsidR="003B112A">
        <w:rPr>
          <w:rFonts w:cstheme="minorHAnsi"/>
          <w:color w:val="000000"/>
          <w:sz w:val="20"/>
          <w:szCs w:val="20"/>
        </w:rPr>
        <w:t xml:space="preserve"> do-not-reach-list </w:t>
      </w:r>
      <w:r w:rsidRPr="007B0EE6" w:rsidR="003B112A">
        <w:rPr>
          <w:rFonts w:cstheme="minorHAnsi"/>
          <w:color w:val="000000"/>
          <w:sz w:val="20"/>
          <w:szCs w:val="20"/>
        </w:rPr>
        <w:t>functionality</w:t>
      </w:r>
      <w:r>
        <w:rPr>
          <w:rStyle w:val="FootnoteReference"/>
          <w:rFonts w:cstheme="minorHAnsi"/>
          <w:color w:val="000000"/>
          <w:sz w:val="20"/>
          <w:szCs w:val="20"/>
        </w:rPr>
        <w:footnoteReference w:id="4"/>
      </w:r>
      <w:r w:rsidRPr="007B0EE6" w:rsidR="003B112A">
        <w:rPr>
          <w:rFonts w:cstheme="minorHAnsi"/>
          <w:color w:val="000000"/>
          <w:sz w:val="20"/>
          <w:szCs w:val="20"/>
        </w:rPr>
        <w:t xml:space="preserve">. </w:t>
      </w:r>
      <w:r w:rsidRPr="00413674" w:rsidR="00526C8A">
        <w:rPr>
          <w:rFonts w:cstheme="minorHAnsi"/>
          <w:color w:val="000000"/>
          <w:sz w:val="20"/>
          <w:szCs w:val="20"/>
        </w:rPr>
        <w:t xml:space="preserve">This was a significant change </w:t>
      </w:r>
      <w:r w:rsidR="0084113A">
        <w:rPr>
          <w:rFonts w:cstheme="minorHAnsi"/>
          <w:color w:val="000000"/>
          <w:sz w:val="20"/>
          <w:szCs w:val="20"/>
        </w:rPr>
        <w:t xml:space="preserve">that allowed us to </w:t>
      </w:r>
      <w:r w:rsidR="008B282D">
        <w:rPr>
          <w:rFonts w:cstheme="minorHAnsi"/>
          <w:color w:val="000000"/>
          <w:sz w:val="20"/>
          <w:szCs w:val="20"/>
        </w:rPr>
        <w:t xml:space="preserve">prevent </w:t>
      </w:r>
      <w:r w:rsidRPr="00413674" w:rsidR="00526C8A">
        <w:rPr>
          <w:rFonts w:cstheme="minorHAnsi"/>
          <w:color w:val="000000"/>
          <w:sz w:val="20"/>
          <w:szCs w:val="20"/>
        </w:rPr>
        <w:t>self-excluded customers of bet365</w:t>
      </w:r>
      <w:r w:rsidR="008B282D">
        <w:rPr>
          <w:rFonts w:cstheme="minorHAnsi"/>
          <w:color w:val="000000"/>
          <w:sz w:val="20"/>
          <w:szCs w:val="20"/>
        </w:rPr>
        <w:t xml:space="preserve"> being</w:t>
      </w:r>
      <w:r w:rsidRPr="00413674" w:rsidR="00526C8A">
        <w:rPr>
          <w:rFonts w:cstheme="minorHAnsi"/>
          <w:color w:val="000000"/>
          <w:sz w:val="20"/>
          <w:szCs w:val="20"/>
        </w:rPr>
        <w:t xml:space="preserve"> targeted with </w:t>
      </w:r>
      <w:r w:rsidR="008B282D">
        <w:rPr>
          <w:rFonts w:cstheme="minorHAnsi"/>
          <w:color w:val="000000"/>
          <w:sz w:val="20"/>
          <w:szCs w:val="20"/>
        </w:rPr>
        <w:t>our</w:t>
      </w:r>
      <w:r w:rsidRPr="00413674" w:rsidR="008B282D">
        <w:rPr>
          <w:rFonts w:cstheme="minorHAnsi"/>
          <w:color w:val="000000"/>
          <w:sz w:val="20"/>
          <w:szCs w:val="20"/>
        </w:rPr>
        <w:t xml:space="preserve"> </w:t>
      </w:r>
      <w:r w:rsidRPr="00413674" w:rsidR="00526C8A">
        <w:rPr>
          <w:rFonts w:cstheme="minorHAnsi"/>
          <w:color w:val="000000"/>
          <w:sz w:val="20"/>
          <w:szCs w:val="20"/>
        </w:rPr>
        <w:t>ads.</w:t>
      </w:r>
    </w:p>
    <w:p w:rsidR="00B37DE6" w:rsidRPr="007B0EE6" w:rsidP="00D976CE">
      <w:pPr>
        <w:jc w:val="both"/>
        <w:rPr>
          <w:b/>
          <w:bCs/>
          <w:sz w:val="20"/>
          <w:szCs w:val="20"/>
        </w:rPr>
      </w:pPr>
    </w:p>
    <w:p w:rsidR="00EB12FD" w:rsidRPr="00F86162" w:rsidP="00B46918">
      <w:pPr>
        <w:pStyle w:val="ListParagraph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 w:rsidRPr="00F86162">
        <w:rPr>
          <w:b/>
          <w:bCs/>
          <w:sz w:val="20"/>
          <w:szCs w:val="20"/>
        </w:rPr>
        <w:t xml:space="preserve">Perspectives </w:t>
      </w:r>
      <w:r w:rsidRPr="00F86162" w:rsidR="001622BD">
        <w:rPr>
          <w:b/>
          <w:bCs/>
          <w:sz w:val="20"/>
          <w:szCs w:val="20"/>
        </w:rPr>
        <w:t xml:space="preserve">on </w:t>
      </w:r>
      <w:r w:rsidRPr="00F86162">
        <w:rPr>
          <w:b/>
          <w:bCs/>
          <w:sz w:val="20"/>
          <w:szCs w:val="20"/>
        </w:rPr>
        <w:t>White Paper measures</w:t>
      </w:r>
    </w:p>
    <w:p w:rsidR="00057427" w:rsidP="007F077C">
      <w:pPr>
        <w:pStyle w:val="ListParagraph"/>
        <w:numPr>
          <w:ilvl w:val="1"/>
          <w:numId w:val="2"/>
        </w:numPr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 w:rsidRPr="00647AF2">
        <w:rPr>
          <w:rFonts w:ascii="Calibri" w:eastAsia="News Gothic MT" w:hAnsi="Calibri" w:cs="Calibri"/>
          <w:sz w:val="20"/>
          <w:szCs w:val="20"/>
        </w:rPr>
        <w:t xml:space="preserve">bet365 has </w:t>
      </w:r>
      <w:r w:rsidRPr="00647AF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welcomed the Government’s </w:t>
      </w:r>
      <w:r w:rsidR="00825832">
        <w:rPr>
          <w:rFonts w:ascii="Calibri" w:eastAsia="News Gothic MT" w:hAnsi="Calibri" w:cs="Calibri"/>
          <w:color w:val="000000" w:themeColor="text1"/>
          <w:sz w:val="20"/>
          <w:szCs w:val="20"/>
        </w:rPr>
        <w:t>r</w:t>
      </w:r>
      <w:r w:rsidRPr="00647AF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eview from the outset as an important opportunity to look closely at how industry and regulation have developed since the </w:t>
      </w:r>
      <w:r w:rsidRPr="00647AF2" w:rsidR="00E004EB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Gambling </w:t>
      </w:r>
      <w:r w:rsidRPr="00647AF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Act was introduced, and to find ways to reduce gambling-related harm. </w:t>
      </w:r>
    </w:p>
    <w:p w:rsidR="00097146" w:rsidP="00097146">
      <w:pPr>
        <w:pStyle w:val="ListParagraph"/>
        <w:ind w:left="36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</w:p>
    <w:p w:rsidR="006C0C5C" w:rsidRPr="00784DCE" w:rsidP="00784DCE">
      <w:pPr>
        <w:pStyle w:val="ListParagraph"/>
        <w:numPr>
          <w:ilvl w:val="1"/>
          <w:numId w:val="2"/>
        </w:numPr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 w:rsidRPr="00057427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We have been proactive in supporting DCMS and the Gambling Commission to explore potential solutions, including contributing our vision for an effective affordability framework that </w:t>
      </w:r>
      <w:r w:rsidR="00550312">
        <w:rPr>
          <w:rFonts w:ascii="Calibri" w:eastAsia="News Gothic MT" w:hAnsi="Calibri" w:cs="Calibri"/>
          <w:color w:val="000000" w:themeColor="text1"/>
          <w:sz w:val="20"/>
          <w:szCs w:val="20"/>
        </w:rPr>
        <w:t>balances the need to</w:t>
      </w:r>
      <w:r w:rsidRPr="00057427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 protect </w:t>
      </w:r>
      <w:r w:rsidR="00097146">
        <w:rPr>
          <w:rFonts w:ascii="Calibri" w:eastAsia="News Gothic MT" w:hAnsi="Calibri" w:cs="Calibri"/>
          <w:color w:val="000000" w:themeColor="text1"/>
          <w:sz w:val="20"/>
          <w:szCs w:val="20"/>
        </w:rPr>
        <w:t>those at-risk</w:t>
      </w:r>
      <w:r w:rsidRPr="00057427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 </w:t>
      </w:r>
      <w:r w:rsidR="0055031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with the interests of the </w:t>
      </w:r>
      <w:r w:rsidR="00802871">
        <w:rPr>
          <w:rFonts w:ascii="Calibri" w:eastAsia="News Gothic MT" w:hAnsi="Calibri" w:cs="Calibri"/>
          <w:color w:val="000000" w:themeColor="text1"/>
          <w:sz w:val="20"/>
          <w:szCs w:val="20"/>
        </w:rPr>
        <w:t>vast majority of people who gamble without experiencing harm</w:t>
      </w:r>
      <w:r w:rsidRPr="00057427">
        <w:rPr>
          <w:rFonts w:ascii="Calibri" w:eastAsia="News Gothic MT" w:hAnsi="Calibri" w:cs="Calibri"/>
          <w:color w:val="000000" w:themeColor="text1"/>
          <w:sz w:val="20"/>
          <w:szCs w:val="20"/>
        </w:rPr>
        <w:t>.</w:t>
      </w:r>
    </w:p>
    <w:p w:rsidR="006C0C5C" w:rsidRPr="006C0C5C" w:rsidP="006C0C5C">
      <w:pPr>
        <w:pStyle w:val="ListParagraph"/>
        <w:ind w:left="36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</w:p>
    <w:p w:rsidR="001622BD" w:rsidRPr="00601663" w:rsidP="00D976CE">
      <w:pPr>
        <w:pStyle w:val="ListParagraph"/>
        <w:numPr>
          <w:ilvl w:val="1"/>
          <w:numId w:val="2"/>
        </w:numPr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>
        <w:rPr>
          <w:rFonts w:eastAsia="Times New Roman"/>
          <w:sz w:val="20"/>
          <w:szCs w:val="20"/>
        </w:rPr>
        <w:t>We continue to advocate for the</w:t>
      </w:r>
      <w:r w:rsidRPr="00BB41BE" w:rsidR="00F86162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r</w:t>
      </w:r>
      <w:r w:rsidRPr="00BB41BE" w:rsidR="00D10EB0">
        <w:rPr>
          <w:rFonts w:eastAsia="Times New Roman"/>
          <w:sz w:val="20"/>
          <w:szCs w:val="20"/>
        </w:rPr>
        <w:t>eview</w:t>
      </w:r>
      <w:r>
        <w:rPr>
          <w:rFonts w:eastAsia="Times New Roman"/>
          <w:sz w:val="20"/>
          <w:szCs w:val="20"/>
        </w:rPr>
        <w:t xml:space="preserve"> to be</w:t>
      </w:r>
      <w:r w:rsidRPr="00BB41BE" w:rsidR="00D10EB0">
        <w:rPr>
          <w:rFonts w:eastAsia="Times New Roman"/>
          <w:sz w:val="20"/>
          <w:szCs w:val="20"/>
        </w:rPr>
        <w:t xml:space="preserve"> </w:t>
      </w:r>
      <w:r w:rsidRPr="00BB41BE" w:rsidR="00BC0BA2">
        <w:rPr>
          <w:rFonts w:eastAsia="Times New Roman"/>
          <w:sz w:val="20"/>
          <w:szCs w:val="20"/>
        </w:rPr>
        <w:t>evidence-led</w:t>
      </w:r>
      <w:r>
        <w:rPr>
          <w:rFonts w:eastAsia="Times New Roman"/>
          <w:sz w:val="20"/>
          <w:szCs w:val="20"/>
        </w:rPr>
        <w:t xml:space="preserve"> </w:t>
      </w:r>
      <w:r w:rsidRPr="00BB41BE" w:rsidR="00BC0BA2">
        <w:rPr>
          <w:rFonts w:eastAsia="Times New Roman"/>
          <w:sz w:val="20"/>
          <w:szCs w:val="20"/>
        </w:rPr>
        <w:t xml:space="preserve">and </w:t>
      </w:r>
      <w:r>
        <w:rPr>
          <w:rFonts w:eastAsia="Times New Roman"/>
          <w:sz w:val="20"/>
          <w:szCs w:val="20"/>
        </w:rPr>
        <w:t>reflect</w:t>
      </w:r>
      <w:r w:rsidRPr="00BB41BE" w:rsidR="00F86162">
        <w:rPr>
          <w:rFonts w:eastAsia="Times New Roman"/>
          <w:sz w:val="20"/>
          <w:szCs w:val="20"/>
        </w:rPr>
        <w:t xml:space="preserve"> </w:t>
      </w:r>
      <w:r w:rsidRPr="00BB41BE" w:rsidR="00D10EB0">
        <w:rPr>
          <w:rFonts w:eastAsia="Times New Roman"/>
          <w:sz w:val="20"/>
          <w:szCs w:val="20"/>
        </w:rPr>
        <w:t xml:space="preserve">the </w:t>
      </w:r>
      <w:r w:rsidR="003126D4">
        <w:rPr>
          <w:rFonts w:eastAsia="Times New Roman"/>
          <w:sz w:val="20"/>
          <w:szCs w:val="20"/>
        </w:rPr>
        <w:t xml:space="preserve">benefits </w:t>
      </w:r>
      <w:r w:rsidR="002D439B">
        <w:rPr>
          <w:rFonts w:eastAsia="Times New Roman"/>
          <w:sz w:val="20"/>
          <w:szCs w:val="20"/>
        </w:rPr>
        <w:t xml:space="preserve">of </w:t>
      </w:r>
      <w:r w:rsidR="003126D4">
        <w:rPr>
          <w:rFonts w:eastAsia="Times New Roman"/>
          <w:sz w:val="20"/>
          <w:szCs w:val="20"/>
        </w:rPr>
        <w:t>the gambling</w:t>
      </w:r>
      <w:r w:rsidRPr="00BB41BE" w:rsidR="00BC0BA2">
        <w:rPr>
          <w:rFonts w:eastAsia="Times New Roman"/>
          <w:sz w:val="20"/>
          <w:szCs w:val="20"/>
        </w:rPr>
        <w:t xml:space="preserve"> industry:</w:t>
      </w:r>
      <w:r w:rsidRPr="00BB41BE" w:rsidR="00F86162">
        <w:rPr>
          <w:rFonts w:eastAsia="Times New Roman"/>
          <w:sz w:val="20"/>
          <w:szCs w:val="20"/>
        </w:rPr>
        <w:t xml:space="preserve"> </w:t>
      </w:r>
      <w:r w:rsidR="002D439B">
        <w:rPr>
          <w:rFonts w:eastAsia="Times New Roman"/>
          <w:sz w:val="20"/>
          <w:szCs w:val="20"/>
        </w:rPr>
        <w:t xml:space="preserve">individual </w:t>
      </w:r>
      <w:r w:rsidRPr="00BB41BE" w:rsidR="00D10EB0">
        <w:rPr>
          <w:rFonts w:eastAsia="Times New Roman"/>
          <w:sz w:val="20"/>
          <w:szCs w:val="20"/>
        </w:rPr>
        <w:t xml:space="preserve">value </w:t>
      </w:r>
      <w:r w:rsidR="002D439B">
        <w:rPr>
          <w:rFonts w:eastAsia="Times New Roman"/>
          <w:sz w:val="20"/>
          <w:szCs w:val="20"/>
        </w:rPr>
        <w:t xml:space="preserve">from enjoyment </w:t>
      </w:r>
      <w:r w:rsidR="00AC2F1F">
        <w:rPr>
          <w:rFonts w:eastAsia="Times New Roman"/>
          <w:sz w:val="20"/>
          <w:szCs w:val="20"/>
        </w:rPr>
        <w:t>of</w:t>
      </w:r>
      <w:r w:rsidRPr="00BB41BE" w:rsidR="00D10EB0">
        <w:rPr>
          <w:rFonts w:eastAsia="Times New Roman"/>
          <w:sz w:val="20"/>
          <w:szCs w:val="20"/>
        </w:rPr>
        <w:t xml:space="preserve"> gambl</w:t>
      </w:r>
      <w:r w:rsidR="00AC2F1F">
        <w:rPr>
          <w:rFonts w:eastAsia="Times New Roman"/>
          <w:sz w:val="20"/>
          <w:szCs w:val="20"/>
        </w:rPr>
        <w:t>ing</w:t>
      </w:r>
      <w:r w:rsidRPr="00BB41BE" w:rsidR="00D10EB0">
        <w:rPr>
          <w:rFonts w:eastAsia="Times New Roman"/>
          <w:sz w:val="20"/>
          <w:szCs w:val="20"/>
        </w:rPr>
        <w:t xml:space="preserve"> as a leisure activity (almost half of adults gambled </w:t>
      </w:r>
      <w:r w:rsidRPr="00BB41BE" w:rsidR="006025F0">
        <w:rPr>
          <w:rFonts w:eastAsia="Times New Roman"/>
          <w:sz w:val="20"/>
          <w:szCs w:val="20"/>
        </w:rPr>
        <w:t>in the year to September 2022</w:t>
      </w:r>
      <w:r>
        <w:rPr>
          <w:rStyle w:val="FootnoteReference"/>
          <w:rFonts w:eastAsia="Times New Roman"/>
          <w:sz w:val="20"/>
          <w:szCs w:val="20"/>
        </w:rPr>
        <w:footnoteReference w:id="5"/>
      </w:r>
      <w:r w:rsidRPr="00BB41BE" w:rsidR="00D10EB0">
        <w:rPr>
          <w:rFonts w:eastAsia="Times New Roman"/>
          <w:sz w:val="20"/>
          <w:szCs w:val="20"/>
        </w:rPr>
        <w:t xml:space="preserve">) and the </w:t>
      </w:r>
      <w:r w:rsidRPr="00601663" w:rsidR="00D10EB0">
        <w:rPr>
          <w:rFonts w:eastAsia="Times New Roman"/>
          <w:sz w:val="20"/>
          <w:szCs w:val="20"/>
        </w:rPr>
        <w:t>valuable jobs and tax revenues</w:t>
      </w:r>
      <w:r w:rsidR="00AC2F1F">
        <w:rPr>
          <w:rFonts w:eastAsia="Times New Roman"/>
          <w:sz w:val="20"/>
          <w:szCs w:val="20"/>
        </w:rPr>
        <w:t xml:space="preserve"> that the sector delivers</w:t>
      </w:r>
      <w:r w:rsidRPr="00601663" w:rsidR="00D47A97">
        <w:rPr>
          <w:rFonts w:eastAsia="Times New Roman"/>
          <w:sz w:val="20"/>
          <w:szCs w:val="20"/>
        </w:rPr>
        <w:t>.</w:t>
      </w:r>
    </w:p>
    <w:p w:rsidR="00D47A97" w:rsidRPr="00601663" w:rsidP="00D47A97">
      <w:pPr>
        <w:pStyle w:val="ListParagraph"/>
        <w:rPr>
          <w:rFonts w:ascii="Calibri" w:eastAsia="News Gothic MT" w:hAnsi="Calibri" w:cs="Calibri"/>
          <w:color w:val="000000" w:themeColor="text1"/>
          <w:sz w:val="20"/>
          <w:szCs w:val="20"/>
        </w:rPr>
      </w:pPr>
    </w:p>
    <w:p w:rsidR="00EE0EC2" w:rsidP="00EE0EC2">
      <w:pPr>
        <w:pStyle w:val="ListParagraph"/>
        <w:numPr>
          <w:ilvl w:val="1"/>
          <w:numId w:val="2"/>
        </w:numPr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A successful review will balance these interests. </w:t>
      </w:r>
      <w:r>
        <w:rPr>
          <w:rFonts w:ascii="Calibri" w:eastAsia="News Gothic MT" w:hAnsi="Calibri" w:cs="Calibri"/>
          <w:color w:val="000000" w:themeColor="text1"/>
          <w:sz w:val="20"/>
          <w:szCs w:val="20"/>
        </w:rPr>
        <w:t>While we cannot pre-empt the outcome of the review, we would note the following areas of importance:</w:t>
      </w:r>
    </w:p>
    <w:p w:rsidR="00EE0EC2" w:rsidRPr="00EE0EC2" w:rsidP="00EE0EC2">
      <w:pPr>
        <w:pStyle w:val="ListParagraph"/>
        <w:rPr>
          <w:rFonts w:eastAsia="News Gothic MT" w:cstheme="minorHAnsi"/>
          <w:color w:val="000000" w:themeColor="text1"/>
          <w:sz w:val="20"/>
          <w:szCs w:val="20"/>
        </w:rPr>
      </w:pPr>
    </w:p>
    <w:p w:rsidR="00EE0EC2" w:rsidRPr="00EE0EC2" w:rsidP="00345E86">
      <w:pPr>
        <w:pStyle w:val="ListParagraph"/>
        <w:numPr>
          <w:ilvl w:val="2"/>
          <w:numId w:val="2"/>
        </w:numPr>
        <w:ind w:left="144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>
        <w:rPr>
          <w:rFonts w:eastAsia="News Gothic MT" w:cstheme="minorHAnsi"/>
          <w:color w:val="000000" w:themeColor="text1"/>
          <w:sz w:val="20"/>
          <w:szCs w:val="20"/>
        </w:rPr>
        <w:t>The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 xml:space="preserve">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former 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 xml:space="preserve">Gambling Minister’s speech at this year’s BGC AGM </w:t>
      </w:r>
      <w:r>
        <w:rPr>
          <w:rFonts w:eastAsia="News Gothic MT" w:cstheme="minorHAnsi"/>
          <w:color w:val="000000" w:themeColor="text1"/>
          <w:sz w:val="20"/>
          <w:szCs w:val="20"/>
        </w:rPr>
        <w:t>represented a</w:t>
      </w:r>
      <w:r w:rsidRPr="00EE0EC2" w:rsidR="00D35B01">
        <w:rPr>
          <w:rFonts w:eastAsia="News Gothic MT" w:cstheme="minorHAnsi"/>
          <w:color w:val="000000" w:themeColor="text1"/>
          <w:sz w:val="20"/>
          <w:szCs w:val="20"/>
        </w:rPr>
        <w:t xml:space="preserve"> step change in the way </w:t>
      </w:r>
      <w:r>
        <w:rPr>
          <w:rFonts w:eastAsia="News Gothic MT" w:cstheme="minorHAnsi"/>
          <w:color w:val="000000" w:themeColor="text1"/>
          <w:sz w:val="20"/>
          <w:szCs w:val="20"/>
        </w:rPr>
        <w:t xml:space="preserve">the </w:t>
      </w:r>
      <w:r w:rsidRPr="00EE0EC2" w:rsidR="00D35B01">
        <w:rPr>
          <w:rFonts w:eastAsia="News Gothic MT" w:cstheme="minorHAnsi"/>
          <w:color w:val="000000" w:themeColor="text1"/>
          <w:sz w:val="20"/>
          <w:szCs w:val="20"/>
        </w:rPr>
        <w:t xml:space="preserve">industry </w:t>
      </w:r>
      <w:r>
        <w:rPr>
          <w:rFonts w:eastAsia="News Gothic MT" w:cstheme="minorHAnsi"/>
          <w:color w:val="000000" w:themeColor="text1"/>
          <w:sz w:val="20"/>
          <w:szCs w:val="20"/>
        </w:rPr>
        <w:t>will assess a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 customer’s</w:t>
      </w:r>
      <w:r w:rsidRPr="00EE0EC2" w:rsidR="00B17A01">
        <w:rPr>
          <w:rFonts w:eastAsia="News Gothic MT" w:cstheme="minorHAnsi"/>
          <w:color w:val="000000" w:themeColor="text1"/>
          <w:sz w:val="20"/>
          <w:szCs w:val="20"/>
        </w:rPr>
        <w:t xml:space="preserve"> ability to </w:t>
      </w:r>
      <w:r w:rsidRPr="00EE0EC2" w:rsidR="00B5107C">
        <w:rPr>
          <w:rFonts w:eastAsia="News Gothic MT" w:cstheme="minorHAnsi"/>
          <w:color w:val="000000" w:themeColor="text1"/>
          <w:sz w:val="20"/>
          <w:szCs w:val="20"/>
        </w:rPr>
        <w:t>gamble affordably. W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 xml:space="preserve">e welcome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the emphasis on this process being </w:t>
      </w:r>
      <w:r>
        <w:rPr>
          <w:rFonts w:eastAsia="News Gothic MT" w:cstheme="minorHAnsi"/>
          <w:color w:val="000000" w:themeColor="text1"/>
          <w:sz w:val="20"/>
          <w:szCs w:val="20"/>
        </w:rPr>
        <w:t>‘</w:t>
      </w:r>
      <w:r w:rsidRPr="00EE0EC2" w:rsidR="00B5107C">
        <w:rPr>
          <w:rFonts w:eastAsia="News Gothic MT" w:cstheme="minorHAnsi"/>
          <w:color w:val="000000" w:themeColor="text1"/>
          <w:sz w:val="20"/>
          <w:szCs w:val="20"/>
        </w:rPr>
        <w:t>frictionless</w:t>
      </w:r>
      <w:r>
        <w:rPr>
          <w:rFonts w:eastAsia="News Gothic MT" w:cstheme="minorHAnsi"/>
          <w:color w:val="000000" w:themeColor="text1"/>
          <w:sz w:val="20"/>
          <w:szCs w:val="20"/>
        </w:rPr>
        <w:t>’</w:t>
      </w:r>
      <w:r w:rsidRPr="00EE0EC2" w:rsidR="00B5107C">
        <w:rPr>
          <w:rFonts w:eastAsia="News Gothic MT" w:cstheme="minorHAnsi"/>
          <w:color w:val="000000" w:themeColor="text1"/>
          <w:sz w:val="20"/>
          <w:szCs w:val="20"/>
        </w:rPr>
        <w:t xml:space="preserve">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and based on 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 xml:space="preserve">‘financial risk’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and hope that this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>can avoid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 xml:space="preserve"> making millions of people hand over personal information when gambling at relatively low levels</w:t>
      </w:r>
      <w:r w:rsidRPr="00EE0EC2" w:rsidR="00D20D01">
        <w:rPr>
          <w:rFonts w:eastAsia="News Gothic MT" w:cstheme="minorHAnsi"/>
          <w:color w:val="000000" w:themeColor="text1"/>
          <w:sz w:val="20"/>
          <w:szCs w:val="20"/>
        </w:rPr>
        <w:t>.</w:t>
      </w:r>
    </w:p>
    <w:p w:rsidR="00EE0EC2" w:rsidRPr="00EE0EC2" w:rsidP="00345E86">
      <w:pPr>
        <w:pStyle w:val="ListParagraph"/>
        <w:ind w:left="144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</w:p>
    <w:p w:rsidR="00EE0EC2" w:rsidRPr="00EE0EC2" w:rsidP="00345E86">
      <w:pPr>
        <w:pStyle w:val="ListParagraph"/>
        <w:numPr>
          <w:ilvl w:val="2"/>
          <w:numId w:val="2"/>
        </w:numPr>
        <w:ind w:left="144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 w:rsidRPr="00EE0EC2">
        <w:rPr>
          <w:rFonts w:eastAsia="News Gothic MT" w:cstheme="minorHAnsi"/>
          <w:color w:val="000000" w:themeColor="text1"/>
          <w:sz w:val="20"/>
          <w:szCs w:val="20"/>
        </w:rPr>
        <w:t xml:space="preserve">We </w:t>
      </w:r>
      <w:r w:rsidRPr="00EE0EC2" w:rsidR="00991A66">
        <w:rPr>
          <w:rFonts w:eastAsia="News Gothic MT" w:cstheme="minorHAnsi"/>
          <w:color w:val="000000" w:themeColor="text1"/>
          <w:sz w:val="20"/>
          <w:szCs w:val="20"/>
        </w:rPr>
        <w:t xml:space="preserve">agree with the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comments of the former </w:t>
      </w:r>
      <w:r w:rsidRPr="00EE0EC2" w:rsidR="00991A66">
        <w:rPr>
          <w:rFonts w:eastAsia="News Gothic MT" w:cstheme="minorHAnsi"/>
          <w:color w:val="000000" w:themeColor="text1"/>
          <w:sz w:val="20"/>
          <w:szCs w:val="20"/>
        </w:rPr>
        <w:t xml:space="preserve">Minister </w:t>
      </w:r>
      <w:r w:rsidRPr="00EE0EC2" w:rsidR="007D02DF">
        <w:rPr>
          <w:rFonts w:eastAsia="News Gothic MT" w:cstheme="minorHAnsi"/>
          <w:color w:val="000000" w:themeColor="text1"/>
          <w:sz w:val="20"/>
          <w:szCs w:val="20"/>
        </w:rPr>
        <w:t xml:space="preserve">that </w:t>
      </w:r>
      <w:r w:rsidRPr="00EE0EC2">
        <w:rPr>
          <w:rFonts w:eastAsia="News Gothic MT" w:cstheme="minorHAnsi"/>
          <w:color w:val="000000" w:themeColor="text1"/>
          <w:sz w:val="20"/>
          <w:szCs w:val="20"/>
        </w:rPr>
        <w:t>such</w:t>
      </w:r>
      <w:r w:rsidRPr="00EE0EC2" w:rsidR="007D02DF">
        <w:rPr>
          <w:rFonts w:eastAsia="News Gothic MT" w:cstheme="minorHAnsi"/>
          <w:color w:val="000000" w:themeColor="text1"/>
          <w:sz w:val="20"/>
          <w:szCs w:val="20"/>
        </w:rPr>
        <w:t xml:space="preserve"> checks must be tried and tested before</w:t>
      </w:r>
      <w:r w:rsidRPr="00EE0EC2">
        <w:rPr>
          <w:rFonts w:eastAsia="News Gothic MT" w:cstheme="minorHAnsi"/>
          <w:color w:val="000000" w:themeColor="text1"/>
          <w:sz w:val="20"/>
          <w:szCs w:val="20"/>
        </w:rPr>
        <w:t xml:space="preserve"> they</w:t>
      </w:r>
      <w:r w:rsidRPr="00EE0EC2" w:rsidR="00E41E53">
        <w:rPr>
          <w:rFonts w:eastAsia="News Gothic MT" w:cstheme="minorHAnsi"/>
          <w:color w:val="000000" w:themeColor="text1"/>
          <w:sz w:val="20"/>
          <w:szCs w:val="20"/>
        </w:rPr>
        <w:t xml:space="preserve"> are implemented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 and stand ready to support this process.</w:t>
      </w:r>
      <w:r w:rsidRPr="00EE0EC2" w:rsidR="00862EAB">
        <w:rPr>
          <w:rFonts w:eastAsia="News Gothic MT" w:cstheme="minorHAnsi"/>
          <w:color w:val="000000" w:themeColor="text1"/>
          <w:sz w:val="20"/>
          <w:szCs w:val="20"/>
        </w:rPr>
        <w:t xml:space="preserve"> W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 xml:space="preserve">e know from our own experience that only a small minority of customers will ever share financial information on request, and </w:t>
      </w:r>
      <w:r w:rsidRPr="00EE0EC2" w:rsidR="00097146">
        <w:rPr>
          <w:rFonts w:eastAsia="News Gothic MT" w:cstheme="minorHAnsi"/>
          <w:color w:val="000000" w:themeColor="text1"/>
          <w:sz w:val="20"/>
          <w:szCs w:val="20"/>
        </w:rPr>
        <w:t xml:space="preserve">it is essential we get this right to </w:t>
      </w:r>
      <w:r w:rsidRPr="00EE0EC2" w:rsidR="00B21A43">
        <w:rPr>
          <w:rFonts w:eastAsia="News Gothic MT" w:cstheme="minorHAnsi"/>
          <w:color w:val="000000" w:themeColor="text1"/>
          <w:sz w:val="20"/>
          <w:szCs w:val="20"/>
        </w:rPr>
        <w:t>avoid driving players into the black market</w:t>
      </w:r>
      <w:r w:rsidRPr="00EE0EC2" w:rsidR="00862EAB">
        <w:rPr>
          <w:rFonts w:eastAsia="News Gothic MT" w:cstheme="minorHAnsi"/>
          <w:color w:val="000000" w:themeColor="text1"/>
          <w:sz w:val="20"/>
          <w:szCs w:val="20"/>
        </w:rPr>
        <w:t>.</w:t>
      </w:r>
    </w:p>
    <w:p w:rsidR="00EE0EC2" w:rsidRPr="00EE0EC2" w:rsidP="00345E86">
      <w:pPr>
        <w:pStyle w:val="ListParagraph"/>
        <w:ind w:left="1440"/>
        <w:rPr>
          <w:rFonts w:ascii="Calibri" w:eastAsia="News Gothic MT" w:hAnsi="Calibri" w:cs="Calibri"/>
          <w:color w:val="000000" w:themeColor="text1"/>
          <w:sz w:val="20"/>
          <w:szCs w:val="20"/>
        </w:rPr>
      </w:pPr>
    </w:p>
    <w:p w:rsidR="00EE0EC2" w:rsidP="00345E86">
      <w:pPr>
        <w:pStyle w:val="ListParagraph"/>
        <w:numPr>
          <w:ilvl w:val="2"/>
          <w:numId w:val="2"/>
        </w:numPr>
        <w:ind w:left="144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>The same is the case for stake limits on online sl</w:t>
      </w:r>
      <w:r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ots. In the online environment, </w:t>
      </w: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operators have access to information on </w:t>
      </w:r>
      <w:r>
        <w:rPr>
          <w:rFonts w:ascii="Calibri" w:eastAsia="News Gothic MT" w:hAnsi="Calibri" w:cs="Calibri"/>
          <w:color w:val="000000" w:themeColor="text1"/>
          <w:sz w:val="20"/>
          <w:szCs w:val="20"/>
        </w:rPr>
        <w:t>a customer’s activity</w:t>
      </w: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 which </w:t>
      </w:r>
      <w:r>
        <w:rPr>
          <w:rFonts w:ascii="Calibri" w:eastAsia="News Gothic MT" w:hAnsi="Calibri" w:cs="Calibri"/>
          <w:color w:val="000000" w:themeColor="text1"/>
          <w:sz w:val="20"/>
          <w:szCs w:val="20"/>
        </w:rPr>
        <w:t>can allow</w:t>
      </w: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 an assessment to be made to support a tailored solution. Coupled with an effective affordability framework, customers who can afford to stake at higher levels should not be constrained by arbitrary limits at low levels. </w:t>
      </w:r>
    </w:p>
    <w:p w:rsidR="00EE0EC2" w:rsidRPr="00EE0EC2" w:rsidP="00345E86">
      <w:pPr>
        <w:pStyle w:val="ListParagraph"/>
        <w:ind w:left="1440"/>
        <w:rPr>
          <w:rFonts w:ascii="Calibri" w:eastAsia="News Gothic MT" w:hAnsi="Calibri" w:cs="Calibri"/>
          <w:color w:val="000000" w:themeColor="text1"/>
          <w:sz w:val="20"/>
          <w:szCs w:val="20"/>
        </w:rPr>
      </w:pPr>
    </w:p>
    <w:p w:rsidR="00097146" w:rsidRPr="00EE0EC2" w:rsidP="00345E86">
      <w:pPr>
        <w:pStyle w:val="ListParagraph"/>
        <w:numPr>
          <w:ilvl w:val="2"/>
          <w:numId w:val="2"/>
        </w:numPr>
        <w:ind w:left="1440"/>
        <w:jc w:val="both"/>
        <w:rPr>
          <w:rFonts w:ascii="Calibri" w:eastAsia="News Gothic MT" w:hAnsi="Calibri" w:cs="Calibri"/>
          <w:color w:val="000000" w:themeColor="text1"/>
          <w:sz w:val="20"/>
          <w:szCs w:val="20"/>
        </w:rPr>
      </w:pP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As </w:t>
      </w:r>
      <w:r w:rsidR="00EE0EC2">
        <w:rPr>
          <w:rFonts w:ascii="Calibri" w:eastAsia="News Gothic MT" w:hAnsi="Calibri" w:cs="Calibri"/>
          <w:color w:val="000000" w:themeColor="text1"/>
          <w:sz w:val="20"/>
          <w:szCs w:val="20"/>
        </w:rPr>
        <w:t>noted,</w:t>
      </w: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 we are committed to providing 1% of GGY towards RET </w:t>
      </w:r>
      <w:r w:rsidR="00EE0EC2">
        <w:rPr>
          <w:rFonts w:ascii="Calibri" w:eastAsia="News Gothic MT" w:hAnsi="Calibri" w:cs="Calibri"/>
          <w:color w:val="000000" w:themeColor="text1"/>
          <w:sz w:val="20"/>
          <w:szCs w:val="20"/>
        </w:rPr>
        <w:t>to be spent independently by GambleAware and others on the approved RET list.</w:t>
      </w:r>
      <w:r w:rsidRPr="00EE0EC2">
        <w:rPr>
          <w:rFonts w:ascii="Calibri" w:eastAsia="News Gothic MT" w:hAnsi="Calibri" w:cs="Calibri"/>
          <w:color w:val="000000" w:themeColor="text1"/>
          <w:sz w:val="20"/>
          <w:szCs w:val="20"/>
        </w:rPr>
        <w:t xml:space="preserve"> We believe that all operators should make a meaningful contribution to funding RET to tackle the underlying causes of gambling harm and its treatment where it occurs. </w:t>
      </w:r>
    </w:p>
    <w:p w:rsidR="00053C2D" w:rsidRPr="009556F2" w:rsidP="009556F2">
      <w:pPr>
        <w:rPr>
          <w:rFonts w:eastAsia="News Gothic MT" w:cstheme="minorHAnsi"/>
          <w:color w:val="000000" w:themeColor="text1"/>
          <w:sz w:val="20"/>
          <w:szCs w:val="20"/>
        </w:rPr>
      </w:pPr>
    </w:p>
    <w:p w:rsidR="00D80B10" w:rsidRPr="002A7D0B" w:rsidP="002A7D0B">
      <w:pPr>
        <w:pStyle w:val="ListParagraph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 w:rsidRPr="002A7D0B">
        <w:rPr>
          <w:b/>
          <w:bCs/>
          <w:sz w:val="20"/>
          <w:szCs w:val="20"/>
        </w:rPr>
        <w:t>Conclu</w:t>
      </w:r>
      <w:r w:rsidR="00395412">
        <w:rPr>
          <w:b/>
          <w:bCs/>
          <w:sz w:val="20"/>
          <w:szCs w:val="20"/>
        </w:rPr>
        <w:t>ding remarks</w:t>
      </w:r>
    </w:p>
    <w:p w:rsidR="00AC7CD1" w:rsidRPr="00AC7CD1" w:rsidP="00AC7CD1">
      <w:pPr>
        <w:rPr>
          <w:rFonts w:eastAsia="News Gothic MT" w:cstheme="minorHAnsi"/>
          <w:color w:val="000000" w:themeColor="text1"/>
          <w:sz w:val="20"/>
          <w:szCs w:val="20"/>
        </w:rPr>
      </w:pPr>
    </w:p>
    <w:p w:rsidR="000A2266" w:rsidP="002A7D0B">
      <w:pPr>
        <w:pStyle w:val="ListParagraph"/>
        <w:numPr>
          <w:ilvl w:val="1"/>
          <w:numId w:val="2"/>
        </w:numPr>
        <w:jc w:val="both"/>
        <w:rPr>
          <w:rFonts w:eastAsia="News Gothic MT" w:cstheme="minorHAnsi"/>
          <w:color w:val="000000" w:themeColor="text1"/>
          <w:sz w:val="20"/>
          <w:szCs w:val="20"/>
        </w:rPr>
      </w:pPr>
      <w:r w:rsidRPr="009F0F36">
        <w:rPr>
          <w:rFonts w:eastAsia="News Gothic MT" w:cstheme="minorHAnsi"/>
          <w:color w:val="000000" w:themeColor="text1"/>
          <w:sz w:val="20"/>
          <w:szCs w:val="20"/>
        </w:rPr>
        <w:t>We believe that now is the time to focus on implementation of the proposals that have been developed to reduce problem gambling further</w:t>
      </w:r>
      <w:r w:rsidR="00FD7AC4">
        <w:rPr>
          <w:rFonts w:eastAsia="News Gothic MT" w:cstheme="minorHAnsi"/>
          <w:color w:val="000000" w:themeColor="text1"/>
          <w:sz w:val="20"/>
          <w:szCs w:val="20"/>
        </w:rPr>
        <w:t xml:space="preserve">. Publication </w:t>
      </w:r>
      <w:r w:rsidR="00A35C68">
        <w:rPr>
          <w:rFonts w:eastAsia="News Gothic MT" w:cstheme="minorHAnsi"/>
          <w:color w:val="000000" w:themeColor="text1"/>
          <w:sz w:val="20"/>
          <w:szCs w:val="20"/>
        </w:rPr>
        <w:t xml:space="preserve">of the White Paper </w:t>
      </w:r>
      <w:r w:rsidR="00FD7AC4">
        <w:rPr>
          <w:rFonts w:eastAsia="News Gothic MT" w:cstheme="minorHAnsi"/>
          <w:color w:val="000000" w:themeColor="text1"/>
          <w:sz w:val="20"/>
          <w:szCs w:val="20"/>
        </w:rPr>
        <w:t>is an important</w:t>
      </w:r>
      <w:r w:rsidRPr="009F0F36">
        <w:rPr>
          <w:rFonts w:eastAsia="News Gothic MT" w:cstheme="minorHAnsi"/>
          <w:color w:val="000000" w:themeColor="text1"/>
          <w:sz w:val="20"/>
          <w:szCs w:val="20"/>
        </w:rPr>
        <w:t xml:space="preserve"> first step to delivering a stable regulatory regime</w:t>
      </w:r>
      <w:r w:rsidRPr="002A7D0B">
        <w:rPr>
          <w:rFonts w:eastAsia="News Gothic MT" w:cstheme="minorHAnsi"/>
          <w:color w:val="000000" w:themeColor="text1"/>
          <w:sz w:val="20"/>
          <w:szCs w:val="20"/>
        </w:rPr>
        <w:t xml:space="preserve"> from which we can plan for the future.</w:t>
      </w:r>
    </w:p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RPr="000A2266" w:rsidP="000A2266"/>
    <w:p w:rsidR="000A2266" w:rsidP="000A2266"/>
    <w:p w:rsidR="002A7D0B" w:rsidRPr="000A2266" w:rsidP="000A2266">
      <w:pPr>
        <w:tabs>
          <w:tab w:val="left" w:pos="2196"/>
        </w:tabs>
      </w:pPr>
      <w:r>
        <w:tab/>
      </w:r>
    </w:p>
    <w:sectPr>
      <w:headerReference w:type="even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B7617" w:rsidP="00B81140">
      <w:r>
        <w:separator/>
      </w:r>
    </w:p>
  </w:footnote>
  <w:footnote w:type="continuationSeparator" w:id="1">
    <w:p w:rsidR="002B7617" w:rsidP="00B81140">
      <w:r>
        <w:continuationSeparator/>
      </w:r>
    </w:p>
  </w:footnote>
  <w:footnote w:id="2">
    <w:p w:rsidR="00E550CD" w:rsidP="00E550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fldChar w:fldCharType="begin"/>
      </w:r>
      <w:r>
        <w:instrText xml:space="preserve"> HYPERLINK "https://www.gamblingcommission.gov.uk/statistics-and-research/publication/statistics-on-participation-and-problem-gambling-for-the-year-to-sept-2022" </w:instrText>
      </w:r>
      <w:r>
        <w:fldChar w:fldCharType="separate"/>
      </w:r>
      <w:r w:rsidRPr="00884A22" w:rsidR="00ED1404">
        <w:rPr>
          <w:rStyle w:val="Hyperlink"/>
        </w:rPr>
        <w:t>https://www.gamblingcommission.gov.uk/statistics-and-research/publication/statistics-on-participation-and-problem-gambling-for-the-year-to-sept-2022</w:t>
      </w:r>
      <w:r>
        <w:fldChar w:fldCharType="end"/>
      </w:r>
      <w:r w:rsidR="00ED1404">
        <w:t xml:space="preserve"> </w:t>
      </w:r>
    </w:p>
  </w:footnote>
  <w:footnote w:id="3">
    <w:p w:rsidR="00887712" w:rsidRPr="0088771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fldChar w:fldCharType="begin"/>
      </w:r>
      <w:r>
        <w:instrText xml:space="preserve"> HYPERLINK "https://bettingandgamingcouncil.com/members/igrg" </w:instrText>
      </w:r>
      <w:r>
        <w:fldChar w:fldCharType="separate"/>
      </w:r>
      <w:r w:rsidRPr="00884A22">
        <w:rPr>
          <w:rStyle w:val="Hyperlink"/>
        </w:rPr>
        <w:t>https://bettingandgamingcouncil.com/members/igrg</w:t>
      </w:r>
      <w:r>
        <w:fldChar w:fldCharType="end"/>
      </w:r>
      <w:r>
        <w:t xml:space="preserve"> </w:t>
      </w:r>
    </w:p>
  </w:footnote>
  <w:footnote w:id="4">
    <w:p w:rsidR="0003691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fldChar w:fldCharType="begin"/>
      </w:r>
      <w:r>
        <w:instrText xml:space="preserve"> HYPERLINK "https://business.twitter.com/en/help/campaign-setup/campaign-targeting/do-not-reach-lists.html" \l ":~:text=Navigate%20to%20your%20%20" </w:instrText>
      </w:r>
      <w:r>
        <w:fldChar w:fldCharType="separate"/>
      </w:r>
      <w:r w:rsidRPr="00884A22" w:rsidR="00887712">
        <w:rPr>
          <w:rStyle w:val="Hyperlink"/>
        </w:rPr>
        <w:t>https://business.twitter.com/en/help/campaign-setup/campaign-targeting/do-not-reach-lists.html#:~:text=Navigate%20to%20your%20%20“Audiences”%20manager,Upload%20your%20file</w:t>
      </w:r>
      <w:r>
        <w:fldChar w:fldCharType="end"/>
      </w:r>
      <w:r w:rsidR="00887712">
        <w:t xml:space="preserve"> </w:t>
      </w:r>
    </w:p>
  </w:footnote>
  <w:footnote w:id="5">
    <w:p w:rsidR="0080117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fldChar w:fldCharType="begin"/>
      </w:r>
      <w:r>
        <w:instrText xml:space="preserve"> HYPERLINK "https://www.gamblingcommission.gov.uk/statistics-and-research/publication/statistics-on-participation-and-problem-gambling-for-the-year-to-sept-2022" </w:instrText>
      </w:r>
      <w:r>
        <w:fldChar w:fldCharType="separate"/>
      </w:r>
      <w:r w:rsidRPr="00884A22" w:rsidR="00887712">
        <w:rPr>
          <w:rStyle w:val="Hyperlink"/>
        </w:rPr>
        <w:t>https://www.gamblingcommission.gov.uk/statistics-and-research/publication/statistics-on-participation-and-problem-gambling-for-the-year-to-sept-2022</w:t>
      </w:r>
      <w:r>
        <w:fldChar w:fldCharType="end"/>
      </w:r>
      <w:r w:rsidR="00887712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140">
    <w:pPr>
      <w:pStyle w:val="Header"/>
    </w:pPr>
    <w:r>
      <w:rPr>
        <w:noProof/>
        <w:lang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werPlusWaterMarkObject10077658" o:spid="_x0000_s2049" type="#_x0000_t202" style="height:159.05pt;margin-left:0;margin-top:0;mso-height-percent:0;mso-height-relative:page;mso-position-horizontal:center;mso-position-horizontal-relative:margin;mso-position-vertical:center;mso-position-vertical-relative:margin;mso-width-percent:0;mso-width-relative:page;mso-wrap-distance-bottom:0;mso-wrap-distance-left:9pt;mso-wrap-distance-right:9pt;mso-wrap-distance-top:0;mso-wrap-style:square;position:absolute;rotation:-45;v-text-anchor:top;visibility:visible;width:477.2pt;z-index:-251657216" o:allowincell="f" filled="f" stroked="f">
          <v:stroke joinstyle="round"/>
          <o:lock v:ext="edit" aspectratio="t" verticies="t" shapetype="t"/>
          <v:textbox>
            <w:txbxContent>
              <w:p w:rsidR="00646488" w:rsidP="00646488">
                <w:pPr>
                  <w:jc w:val="center"/>
                  <w:rPr>
                    <w:rFonts w:ascii="Calibri" w:hAnsi="Calibri" w:cs="Calibri"/>
                    <w:color w:val="C0C0C0"/>
                    <w:sz w:val="72"/>
                    <w:szCs w:val="72"/>
                  </w:rPr>
                </w:pPr>
                <w:r>
                  <w:rPr>
                    <w:rFonts w:ascii="Calibri" w:hAnsi="Calibri" w:cs="Calibri"/>
                    <w:color w:val="C0C0C0"/>
                    <w:sz w:val="72"/>
                    <w:szCs w:val="72"/>
                  </w:rPr>
                  <w:t>DRAFT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1140">
    <w:pPr>
      <w:pStyle w:val="Header"/>
    </w:pPr>
    <w:r>
      <w:rPr>
        <w:noProof/>
        <w:lang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werPlusWaterMarkObject10077657" o:spid="_x0000_s2050" type="#_x0000_t202" style="height:159.05pt;margin-left:0;margin-top:0;mso-height-percent:0;mso-height-relative:page;mso-position-horizontal:center;mso-position-horizontal-relative:margin;mso-position-vertical:center;mso-position-vertical-relative:margin;mso-width-percent:0;mso-width-relative:page;mso-wrap-distance-bottom:0;mso-wrap-distance-left:9pt;mso-wrap-distance-right:9pt;mso-wrap-distance-top:0;mso-wrap-style:square;position:absolute;rotation:-45;v-text-anchor:top;visibility:visible;width:477.2pt;z-index:-251658240" o:allowincell="f" filled="f" stroked="f">
          <v:stroke joinstyle="round"/>
          <o:lock v:ext="edit" aspectratio="t" verticies="t" shapetype="t"/>
          <v:textbox>
            <w:txbxContent>
              <w:p w:rsidR="00646488" w:rsidP="00646488">
                <w:pPr>
                  <w:jc w:val="center"/>
                  <w:rPr>
                    <w:rFonts w:ascii="Calibri" w:hAnsi="Calibri" w:cs="Calibri"/>
                    <w:color w:val="C0C0C0"/>
                    <w:sz w:val="72"/>
                    <w:szCs w:val="72"/>
                  </w:rPr>
                </w:pPr>
                <w:r>
                  <w:rPr>
                    <w:rFonts w:ascii="Calibri" w:hAnsi="Calibri" w:cs="Calibri"/>
                    <w:color w:val="C0C0C0"/>
                    <w:sz w:val="72"/>
                    <w:szCs w:val="72"/>
                  </w:rPr>
                  <w:t>DRAFT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0D2D07"/>
    <w:multiLevelType w:val="hybridMultilevel"/>
    <w:tmpl w:val="4F085B8E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86A1A"/>
    <w:multiLevelType w:val="hybridMultilevel"/>
    <w:tmpl w:val="7EA6271A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83075"/>
    <w:multiLevelType w:val="hybridMultilevel"/>
    <w:tmpl w:val="04B85D0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7478D"/>
    <w:multiLevelType w:val="hybridMultilevel"/>
    <w:tmpl w:val="B8784E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A143BC"/>
    <w:multiLevelType w:val="hybridMultilevel"/>
    <w:tmpl w:val="80AE22A6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1B4542F"/>
    <w:multiLevelType w:val="multilevel"/>
    <w:tmpl w:val="98941492"/>
    <w:lvl w:ilvl="0">
      <w:start w:val="5"/>
      <w:numFmt w:val="decimal"/>
      <w:lvlText w:val="%1."/>
      <w:lvlJc w:val="left"/>
      <w:pPr>
        <w:ind w:left="468" w:hanging="468"/>
      </w:pPr>
      <w:rPr>
        <w:rFonts w:asciiTheme="minorHAnsi" w:hAnsiTheme="minorHAnsi" w:cstheme="minorHAnsi" w:hint="default"/>
      </w:rPr>
    </w:lvl>
    <w:lvl w:ilvl="1">
      <w:start w:val="4"/>
      <w:numFmt w:val="decimal"/>
      <w:lvlText w:val="%1.%2."/>
      <w:lvlJc w:val="left"/>
      <w:pPr>
        <w:ind w:left="468" w:hanging="468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Theme="minorHAnsi" w:hAnsiTheme="minorHAnsi" w:cstheme="minorHAnsi" w:hint="default"/>
      </w:rPr>
    </w:lvl>
  </w:abstractNum>
  <w:abstractNum w:abstractNumId="6">
    <w:nsid w:val="4D26735C"/>
    <w:multiLevelType w:val="multilevel"/>
    <w:tmpl w:val="5896CD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B4612D"/>
    <w:multiLevelType w:val="hybridMultilevel"/>
    <w:tmpl w:val="D5B87CCE"/>
    <w:lvl w:ilvl="0">
      <w:start w:val="3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C225B"/>
    <w:multiLevelType w:val="multilevel"/>
    <w:tmpl w:val="7692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DC33C80"/>
    <w:multiLevelType w:val="multilevel"/>
    <w:tmpl w:val="31120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140"/>
  </w:style>
  <w:style w:type="paragraph" w:styleId="Footer">
    <w:name w:val="footer"/>
    <w:basedOn w:val="Normal"/>
    <w:link w:val="FooterChar"/>
    <w:uiPriority w:val="99"/>
    <w:unhideWhenUsed/>
    <w:rsid w:val="00B81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140"/>
  </w:style>
  <w:style w:type="paragraph" w:styleId="ListParagraph">
    <w:name w:val="List Paragraph"/>
    <w:basedOn w:val="Normal"/>
    <w:link w:val="ListParagraphChar"/>
    <w:uiPriority w:val="34"/>
    <w:qFormat/>
    <w:rsid w:val="0024085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40858"/>
  </w:style>
  <w:style w:type="character" w:styleId="CommentReference">
    <w:name w:val="annotation reference"/>
    <w:basedOn w:val="DefaultParagraphFont"/>
    <w:uiPriority w:val="99"/>
    <w:semiHidden/>
    <w:unhideWhenUsed/>
    <w:rsid w:val="001875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75A2"/>
    <w:pPr>
      <w:spacing w:after="200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75A2"/>
    <w:rPr>
      <w:rFonts w:eastAsiaTheme="minorEastAsia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F7"/>
    <w:pPr>
      <w:spacing w:after="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F7"/>
    <w:rPr>
      <w:rFonts w:eastAsiaTheme="minorEastAsia"/>
      <w:b/>
      <w:bCs/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5C5A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69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9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914"/>
    <w:rPr>
      <w:vertAlign w:val="superscript"/>
    </w:rPr>
  </w:style>
  <w:style w:type="paragraph" w:styleId="Revision">
    <w:name w:val="Revision"/>
    <w:hidden/>
    <w:uiPriority w:val="99"/>
    <w:semiHidden/>
    <w:rsid w:val="00D04592"/>
  </w:style>
  <w:style w:type="paragraph" w:styleId="BalloonText">
    <w:name w:val="Balloon Text"/>
    <w:basedOn w:val="Normal"/>
    <w:link w:val="BalloonTextChar"/>
    <w:uiPriority w:val="99"/>
    <w:semiHidden/>
    <w:unhideWhenUsed/>
    <w:rsid w:val="00B417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7E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77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77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93a1f6-1ea9-4990-a634-9d21d7046308">
      <Terms xmlns="http://schemas.microsoft.com/office/infopath/2007/PartnerControls"/>
    </lcf76f155ced4ddcb4097134ff3c332f>
    <_Flow_SignoffStatus xmlns="e393a1f6-1ea9-4990-a634-9d21d7046308" xsi:nil="true"/>
    <TaxCatchAll xmlns="ac3542bf-2dc9-4bcb-aa31-35193b03b2cc" xsi:nil="true"/>
    <SharedWithUsers xmlns="ac3542bf-2dc9-4bcb-aa31-35193b03b2cc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14AE36A5C604F9E394AF154383FCC" ma:contentTypeVersion="17" ma:contentTypeDescription="Create a new document." ma:contentTypeScope="" ma:versionID="2401c45d252052352bf353f1331320bb">
  <xsd:schema xmlns:xsd="http://www.w3.org/2001/XMLSchema" xmlns:xs="http://www.w3.org/2001/XMLSchema" xmlns:p="http://schemas.microsoft.com/office/2006/metadata/properties" xmlns:ns2="e393a1f6-1ea9-4990-a634-9d21d7046308" xmlns:ns3="ac3542bf-2dc9-4bcb-aa31-35193b03b2cc" targetNamespace="http://schemas.microsoft.com/office/2006/metadata/properties" ma:root="true" ma:fieldsID="96835a9cd3969c69972677c8e9dbe032" ns2:_="" ns3:_="">
    <xsd:import namespace="e393a1f6-1ea9-4990-a634-9d21d7046308"/>
    <xsd:import namespace="ac3542bf-2dc9-4bcb-aa31-35193b03b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3a1f6-1ea9-4990-a634-9d21d7046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b92e6c-182b-4249-b02b-2bef0baff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542bf-2dc9-4bcb-aa31-35193b03b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ba4205-42ca-488f-8f81-768c14f9701e}" ma:internalName="TaxCatchAll" ma:showField="CatchAllData" ma:web="ac3542bf-2dc9-4bcb-aa31-35193b03b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9872A-2D8C-48B6-9037-C507012248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35B282-25EE-40AF-90F8-BC04E6BB8F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8F29DC-BF20-4A32-8E41-9B3B9680E17F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ac3542bf-2dc9-4bcb-aa31-35193b03b2cc"/>
    <ds:schemaRef ds:uri="http://schemas.microsoft.com/office/infopath/2007/PartnerControls"/>
    <ds:schemaRef ds:uri="e393a1f6-1ea9-4990-a634-9d21d7046308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7FF33D6-AA16-43B4-8EEB-3C134FCE7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3a1f6-1ea9-4990-a634-9d21d7046308"/>
    <ds:schemaRef ds:uri="ac3542bf-2dc9-4bcb-aa31-35193b03b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