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C0095" w:rsidRPr="0033303F" w:rsidP="00E03C25">
      <w:pPr>
        <w:rPr>
          <w:rFonts w:ascii="Verdana" w:hAnsi="Verdana" w:cs="Calibri"/>
          <w:b/>
          <w:bCs/>
          <w:color w:val="000000"/>
          <w:sz w:val="28"/>
          <w:szCs w:val="28"/>
        </w:rPr>
      </w:pPr>
      <w:bookmarkStart w:id="0" w:name="_GoBack"/>
      <w:bookmarkEnd w:id="0"/>
      <w:r w:rsidRPr="0033303F">
        <w:rPr>
          <w:rFonts w:ascii="Verdana" w:hAnsi="Verdana" w:cs="Calibri"/>
          <w:b/>
          <w:bCs/>
          <w:sz w:val="28"/>
          <w:szCs w:val="28"/>
        </w:rPr>
        <w:t>PR</w:t>
      </w:r>
      <w:r w:rsidRPr="0033303F" w:rsidR="00AC70A2">
        <w:rPr>
          <w:rFonts w:ascii="Verdana" w:hAnsi="Verdana" w:cs="Calibri"/>
          <w:b/>
          <w:bCs/>
          <w:sz w:val="28"/>
          <w:szCs w:val="28"/>
        </w:rPr>
        <w:t>ZEMYSLAW ZBIEROWSKI, UTE STEPHAN &amp; PIERRE-JEAN HANARD (KING’S BUSINESS SCHOOL, KINGS COLLEGE LONDON) – WRITTEN EVIDENCE (EMP0035)</w:t>
      </w:r>
    </w:p>
    <w:p w:rsidR="008C0095" w:rsidRPr="0033303F" w:rsidP="00194A3B">
      <w:pPr>
        <w:jc w:val="center"/>
        <w:rPr>
          <w:rFonts w:ascii="Verdana" w:hAnsi="Verdana" w:cs="Calibri"/>
          <w:b/>
          <w:bCs/>
          <w:color w:val="000000"/>
          <w:sz w:val="28"/>
          <w:szCs w:val="28"/>
        </w:rPr>
      </w:pPr>
    </w:p>
    <w:p w:rsidR="00194A3B" w:rsidRPr="0033303F" w:rsidP="00484963">
      <w:pPr>
        <w:rPr>
          <w:rFonts w:ascii="Verdana" w:hAnsi="Verdana" w:cs="Calibri"/>
          <w:b/>
          <w:bCs/>
          <w:color w:val="000000"/>
          <w:sz w:val="28"/>
          <w:szCs w:val="28"/>
        </w:rPr>
      </w:pPr>
      <w:r w:rsidRPr="0033303F">
        <w:rPr>
          <w:rFonts w:ascii="Verdana" w:hAnsi="Verdana" w:cs="Calibri"/>
          <w:b/>
          <w:bCs/>
          <w:color w:val="000000"/>
          <w:sz w:val="28"/>
          <w:szCs w:val="28"/>
        </w:rPr>
        <w:t>Employment and COVID-19 inquiry</w:t>
      </w:r>
    </w:p>
    <w:p w:rsidR="00194A3B" w:rsidRPr="0033303F" w:rsidP="00194A3B">
      <w:pPr>
        <w:jc w:val="center"/>
        <w:rPr>
          <w:rFonts w:ascii="Verdana" w:hAnsi="Verdana" w:cs="Calibri"/>
          <w:b/>
          <w:bCs/>
          <w:color w:val="000000"/>
          <w:sz w:val="22"/>
          <w:szCs w:val="22"/>
        </w:rPr>
      </w:pPr>
    </w:p>
    <w:p w:rsidR="008C0095" w:rsidRPr="0033303F" w:rsidP="00484963">
      <w:pPr>
        <w:rPr>
          <w:rFonts w:ascii="Verdana" w:hAnsi="Verdana" w:cs="Calibri"/>
          <w:b/>
          <w:bCs/>
          <w:color w:val="000000"/>
          <w:sz w:val="22"/>
          <w:szCs w:val="22"/>
        </w:rPr>
      </w:pPr>
    </w:p>
    <w:p w:rsidR="008C0095" w:rsidRPr="0033303F">
      <w:pPr>
        <w:rPr>
          <w:rFonts w:ascii="Verdana" w:hAnsi="Verdana" w:cs="Calibri"/>
          <w:b/>
          <w:bCs/>
          <w:color w:val="000000"/>
          <w:sz w:val="22"/>
          <w:szCs w:val="22"/>
        </w:rPr>
      </w:pPr>
      <w:r w:rsidRPr="0033303F">
        <w:rPr>
          <w:rFonts w:ascii="Verdana" w:hAnsi="Verdana" w:cs="Calibri"/>
          <w:b/>
          <w:bCs/>
          <w:color w:val="000000"/>
          <w:sz w:val="22"/>
          <w:szCs w:val="22"/>
        </w:rPr>
        <w:t xml:space="preserve">The </w:t>
      </w:r>
      <w:r w:rsidRPr="0033303F" w:rsidR="00484963">
        <w:rPr>
          <w:rFonts w:ascii="Verdana" w:hAnsi="Verdana" w:cs="Calibri"/>
          <w:b/>
          <w:bCs/>
          <w:color w:val="000000"/>
          <w:sz w:val="22"/>
          <w:szCs w:val="22"/>
        </w:rPr>
        <w:t>e</w:t>
      </w:r>
      <w:r w:rsidRPr="0033303F">
        <w:rPr>
          <w:rFonts w:ascii="Verdana" w:hAnsi="Verdana" w:cs="Calibri"/>
          <w:b/>
          <w:bCs/>
          <w:color w:val="000000"/>
          <w:sz w:val="22"/>
          <w:szCs w:val="22"/>
        </w:rPr>
        <w:t xml:space="preserve">ffect of COVID-19 </w:t>
      </w:r>
      <w:r w:rsidRPr="0033303F" w:rsidR="00484963">
        <w:rPr>
          <w:rFonts w:ascii="Verdana" w:hAnsi="Verdana" w:cs="Calibri"/>
          <w:b/>
          <w:bCs/>
          <w:color w:val="000000"/>
          <w:sz w:val="22"/>
          <w:szCs w:val="22"/>
        </w:rPr>
        <w:t>p</w:t>
      </w:r>
      <w:r w:rsidRPr="0033303F">
        <w:rPr>
          <w:rFonts w:ascii="Verdana" w:hAnsi="Verdana" w:cs="Calibri"/>
          <w:b/>
          <w:bCs/>
          <w:color w:val="000000"/>
          <w:sz w:val="22"/>
          <w:szCs w:val="22"/>
        </w:rPr>
        <w:t>andemic on labour market – entrepreneurs’ perspective</w:t>
      </w:r>
    </w:p>
    <w:p w:rsidR="006C5B7C" w:rsidRPr="0033303F">
      <w:pPr>
        <w:rPr>
          <w:rFonts w:ascii="Verdana" w:hAnsi="Verdana" w:cs="Calibri"/>
          <w:b/>
          <w:bCs/>
          <w:color w:val="000000"/>
          <w:sz w:val="22"/>
          <w:szCs w:val="22"/>
        </w:rPr>
      </w:pPr>
    </w:p>
    <w:p w:rsidR="008C0095" w:rsidRPr="0033303F" w:rsidP="001D78B4">
      <w:pPr>
        <w:rPr>
          <w:rFonts w:ascii="Verdana" w:hAnsi="Verdana" w:cs="Calibri"/>
          <w:b/>
          <w:bCs/>
          <w:color w:val="000000"/>
          <w:sz w:val="22"/>
          <w:szCs w:val="22"/>
        </w:rPr>
      </w:pPr>
      <w:r w:rsidRPr="0033303F">
        <w:rPr>
          <w:rFonts w:ascii="Verdana" w:hAnsi="Verdana" w:cs="Calibri"/>
          <w:color w:val="000000"/>
          <w:sz w:val="22"/>
          <w:szCs w:val="22"/>
        </w:rPr>
        <w:t>This project has received funding from the European Union’s Horizon 2020 research and innovation programme under the Marie Skłodowska-Curie grant agreement No 793117 – Positive Entrepreneurship (</w:t>
      </w:r>
      <w:r w:rsidRPr="0033303F">
        <w:rPr>
          <w:rFonts w:ascii="Verdana" w:hAnsi="Verdana" w:cs="Calibri"/>
          <w:color w:val="000000"/>
          <w:sz w:val="22"/>
          <w:szCs w:val="22"/>
        </w:rPr>
        <w:t>PosENT</w:t>
      </w:r>
      <w:r w:rsidRPr="0033303F">
        <w:rPr>
          <w:rFonts w:ascii="Verdana" w:hAnsi="Verdana" w:cs="Calibri"/>
          <w:color w:val="000000"/>
          <w:sz w:val="22"/>
          <w:szCs w:val="22"/>
        </w:rPr>
        <w:t>).</w:t>
      </w:r>
      <w:r w:rsidR="0033303F">
        <w:rPr>
          <w:rFonts w:ascii="Verdana" w:hAnsi="Verdana" w:cs="Calibri"/>
          <w:color w:val="000000"/>
          <w:sz w:val="22"/>
          <w:szCs w:val="22"/>
        </w:rPr>
        <w:br/>
      </w:r>
    </w:p>
    <w:p w:rsidR="00C32DCB" w:rsidRPr="0033303F" w:rsidP="005A5938">
      <w:pPr>
        <w:jc w:val="both"/>
        <w:rPr>
          <w:rFonts w:ascii="Verdana" w:hAnsi="Verdana" w:cs="Calibri"/>
          <w:b/>
          <w:color w:val="000000"/>
          <w:sz w:val="22"/>
          <w:szCs w:val="22"/>
        </w:rPr>
      </w:pPr>
      <w:r w:rsidRPr="0033303F">
        <w:rPr>
          <w:rFonts w:ascii="Verdana" w:hAnsi="Verdana" w:cs="Calibri"/>
          <w:b/>
          <w:color w:val="000000"/>
          <w:sz w:val="22"/>
          <w:szCs w:val="22"/>
        </w:rPr>
        <w:t>Table of contents</w:t>
      </w:r>
    </w:p>
    <w:p w:rsidR="00D328E2" w:rsidRPr="0033303F" w:rsidP="005A5938">
      <w:pPr>
        <w:jc w:val="both"/>
        <w:rPr>
          <w:rFonts w:ascii="Verdana" w:hAnsi="Verdana" w:cs="Calibri"/>
          <w:color w:val="000000"/>
          <w:sz w:val="22"/>
          <w:szCs w:val="22"/>
        </w:rPr>
      </w:pPr>
    </w:p>
    <w:p w:rsidR="0033303F" w:rsidRPr="00850493">
      <w:pPr>
        <w:pStyle w:val="TOC1"/>
        <w:rPr>
          <w:rFonts w:ascii="Verdana" w:hAnsi="Verdana" w:eastAsiaTheme="minorEastAsia" w:cstheme="minorBidi"/>
          <w:noProof/>
          <w:sz w:val="22"/>
          <w:szCs w:val="22"/>
        </w:rPr>
      </w:pPr>
      <w:r w:rsidRPr="00850493">
        <w:rPr>
          <w:rFonts w:ascii="Verdana" w:hAnsi="Verdana" w:cs="Calibri"/>
          <w:color w:val="000000"/>
          <w:sz w:val="22"/>
          <w:szCs w:val="22"/>
        </w:rPr>
        <w:fldChar w:fldCharType="begin"/>
      </w:r>
      <w:r w:rsidRPr="00850493">
        <w:rPr>
          <w:rFonts w:ascii="Verdana" w:hAnsi="Verdana" w:cs="Calibri"/>
          <w:color w:val="000000"/>
          <w:sz w:val="22"/>
          <w:szCs w:val="22"/>
        </w:rPr>
        <w:instrText xml:space="preserve"> TOC \o "1-3" \u </w:instrText>
      </w:r>
      <w:r w:rsidRPr="00850493">
        <w:rPr>
          <w:rFonts w:ascii="Verdana" w:hAnsi="Verdana" w:cs="Calibri"/>
          <w:color w:val="000000"/>
          <w:sz w:val="22"/>
          <w:szCs w:val="22"/>
        </w:rPr>
        <w:fldChar w:fldCharType="separate"/>
      </w:r>
      <w:r w:rsidRPr="00850493">
        <w:rPr>
          <w:rFonts w:ascii="Verdana" w:hAnsi="Verdana" w:cs="Calibri"/>
          <w:noProof/>
          <w:color w:val="000000"/>
          <w:sz w:val="22"/>
          <w:szCs w:val="22"/>
        </w:rPr>
        <w:t>1.</w:t>
      </w:r>
      <w:r w:rsidRPr="00850493">
        <w:rPr>
          <w:rFonts w:asciiTheme="minorHAnsi" w:eastAsiaTheme="minorEastAsia" w:hAnsiTheme="minorHAnsi" w:cstheme="minorBidi"/>
          <w:noProof/>
          <w:sz w:val="22"/>
          <w:szCs w:val="22"/>
        </w:rPr>
        <w:tab/>
      </w:r>
      <w:r w:rsidRPr="00850493">
        <w:rPr>
          <w:rFonts w:ascii="Verdana" w:hAnsi="Verdana" w:cs="Calibri"/>
          <w:noProof/>
          <w:color w:val="000000"/>
          <w:sz w:val="22"/>
          <w:szCs w:val="22"/>
        </w:rPr>
        <w:t>Summary of policy recommendations</w:t>
      </w:r>
      <w:r w:rsidRPr="00850493">
        <w:rPr>
          <w:noProof/>
          <w:sz w:val="22"/>
          <w:szCs w:val="22"/>
        </w:rPr>
        <w:tab/>
      </w:r>
      <w:r w:rsidRPr="00850493">
        <w:rPr>
          <w:rFonts w:ascii="Verdana" w:hAnsi="Verdana"/>
          <w:noProof/>
          <w:sz w:val="22"/>
          <w:szCs w:val="22"/>
        </w:rPr>
        <w:fldChar w:fldCharType="begin"/>
      </w:r>
      <w:r w:rsidRPr="00850493">
        <w:rPr>
          <w:rFonts w:ascii="Verdana" w:hAnsi="Verdana"/>
          <w:noProof/>
          <w:sz w:val="22"/>
          <w:szCs w:val="22"/>
        </w:rPr>
        <w:instrText xml:space="preserve"> PAGEREF _Toc51600631 \h </w:instrText>
      </w:r>
      <w:r w:rsidRPr="00850493">
        <w:rPr>
          <w:rFonts w:ascii="Verdana" w:hAnsi="Verdana"/>
          <w:noProof/>
          <w:sz w:val="22"/>
          <w:szCs w:val="22"/>
        </w:rPr>
        <w:fldChar w:fldCharType="separate"/>
      </w:r>
      <w:r w:rsidR="002C32E0">
        <w:rPr>
          <w:rFonts w:ascii="Verdana" w:hAnsi="Verdana"/>
          <w:noProof/>
          <w:sz w:val="22"/>
          <w:szCs w:val="22"/>
        </w:rPr>
        <w:t>1</w:t>
      </w:r>
      <w:r w:rsidRPr="00850493">
        <w:rPr>
          <w:rFonts w:ascii="Verdana" w:hAnsi="Verdana"/>
          <w:noProof/>
          <w:sz w:val="22"/>
          <w:szCs w:val="22"/>
        </w:rPr>
        <w:fldChar w:fldCharType="end"/>
      </w:r>
    </w:p>
    <w:p w:rsidR="0033303F" w:rsidRPr="00850493">
      <w:pPr>
        <w:pStyle w:val="TOC1"/>
        <w:rPr>
          <w:rFonts w:ascii="Verdana" w:hAnsi="Verdana" w:eastAsiaTheme="minorEastAsia" w:cstheme="minorBidi"/>
          <w:noProof/>
          <w:sz w:val="22"/>
          <w:szCs w:val="22"/>
        </w:rPr>
      </w:pPr>
      <w:r w:rsidRPr="00850493">
        <w:rPr>
          <w:rFonts w:ascii="Verdana" w:hAnsi="Verdana" w:cs="Calibri"/>
          <w:noProof/>
          <w:color w:val="000000"/>
          <w:sz w:val="22"/>
          <w:szCs w:val="22"/>
        </w:rPr>
        <w:t>2.</w:t>
      </w:r>
      <w:r w:rsidRPr="00850493">
        <w:rPr>
          <w:rFonts w:asciiTheme="minorHAnsi" w:eastAsiaTheme="minorEastAsia" w:hAnsiTheme="minorHAnsi" w:cstheme="minorBidi"/>
          <w:noProof/>
          <w:sz w:val="22"/>
          <w:szCs w:val="22"/>
        </w:rPr>
        <w:tab/>
      </w:r>
      <w:r w:rsidRPr="00850493">
        <w:rPr>
          <w:rFonts w:ascii="Verdana" w:hAnsi="Verdana" w:cs="Calibri"/>
          <w:noProof/>
          <w:color w:val="000000"/>
          <w:sz w:val="22"/>
          <w:szCs w:val="22"/>
        </w:rPr>
        <w:t>Introduction</w:t>
      </w:r>
      <w:r w:rsidRPr="00850493">
        <w:rPr>
          <w:noProof/>
          <w:sz w:val="22"/>
          <w:szCs w:val="22"/>
        </w:rPr>
        <w:tab/>
      </w:r>
      <w:r w:rsidRPr="00850493">
        <w:rPr>
          <w:rFonts w:ascii="Verdana" w:hAnsi="Verdana"/>
          <w:noProof/>
          <w:sz w:val="22"/>
          <w:szCs w:val="22"/>
        </w:rPr>
        <w:fldChar w:fldCharType="begin"/>
      </w:r>
      <w:r w:rsidRPr="00850493">
        <w:rPr>
          <w:rFonts w:ascii="Verdana" w:hAnsi="Verdana"/>
          <w:noProof/>
          <w:sz w:val="22"/>
          <w:szCs w:val="22"/>
        </w:rPr>
        <w:instrText xml:space="preserve"> PAGEREF _Toc51600632 \h </w:instrText>
      </w:r>
      <w:r w:rsidRPr="00850493">
        <w:rPr>
          <w:rFonts w:ascii="Verdana" w:hAnsi="Verdana"/>
          <w:noProof/>
          <w:sz w:val="22"/>
          <w:szCs w:val="22"/>
        </w:rPr>
        <w:fldChar w:fldCharType="separate"/>
      </w:r>
      <w:r w:rsidR="002C32E0">
        <w:rPr>
          <w:rFonts w:ascii="Verdana" w:hAnsi="Verdana"/>
          <w:noProof/>
          <w:sz w:val="22"/>
          <w:szCs w:val="22"/>
        </w:rPr>
        <w:t>3</w:t>
      </w:r>
      <w:r w:rsidRPr="00850493">
        <w:rPr>
          <w:rFonts w:ascii="Verdana" w:hAnsi="Verdana"/>
          <w:noProof/>
          <w:sz w:val="22"/>
          <w:szCs w:val="22"/>
        </w:rPr>
        <w:fldChar w:fldCharType="end"/>
      </w:r>
    </w:p>
    <w:p w:rsidR="0033303F" w:rsidRPr="00850493">
      <w:pPr>
        <w:pStyle w:val="TOC1"/>
        <w:rPr>
          <w:rFonts w:ascii="Verdana" w:hAnsi="Verdana" w:eastAsiaTheme="minorEastAsia" w:cstheme="minorBidi"/>
          <w:noProof/>
          <w:sz w:val="22"/>
          <w:szCs w:val="22"/>
        </w:rPr>
      </w:pPr>
      <w:r w:rsidRPr="00850493">
        <w:rPr>
          <w:rFonts w:ascii="Verdana" w:hAnsi="Verdana" w:cs="Calibri"/>
          <w:noProof/>
          <w:color w:val="000000"/>
          <w:sz w:val="22"/>
          <w:szCs w:val="22"/>
        </w:rPr>
        <w:t>3.</w:t>
      </w:r>
      <w:r w:rsidRPr="00850493">
        <w:rPr>
          <w:rFonts w:asciiTheme="minorHAnsi" w:eastAsiaTheme="minorEastAsia" w:hAnsiTheme="minorHAnsi" w:cstheme="minorBidi"/>
          <w:noProof/>
          <w:sz w:val="22"/>
          <w:szCs w:val="22"/>
        </w:rPr>
        <w:tab/>
      </w:r>
      <w:r w:rsidRPr="00850493">
        <w:rPr>
          <w:rFonts w:ascii="Verdana" w:hAnsi="Verdana" w:cs="Calibri"/>
          <w:noProof/>
          <w:color w:val="000000"/>
          <w:sz w:val="22"/>
          <w:szCs w:val="22"/>
        </w:rPr>
        <w:t>The effects of the COVID-19 pandemic on employment in SMEs</w:t>
      </w:r>
      <w:r w:rsidRPr="00850493">
        <w:rPr>
          <w:noProof/>
          <w:sz w:val="22"/>
          <w:szCs w:val="22"/>
        </w:rPr>
        <w:tab/>
      </w:r>
      <w:r w:rsidRPr="00850493">
        <w:rPr>
          <w:rFonts w:ascii="Verdana" w:hAnsi="Verdana"/>
          <w:noProof/>
          <w:sz w:val="22"/>
          <w:szCs w:val="22"/>
        </w:rPr>
        <w:fldChar w:fldCharType="begin"/>
      </w:r>
      <w:r w:rsidRPr="00850493">
        <w:rPr>
          <w:rFonts w:ascii="Verdana" w:hAnsi="Verdana"/>
          <w:noProof/>
          <w:sz w:val="22"/>
          <w:szCs w:val="22"/>
        </w:rPr>
        <w:instrText xml:space="preserve"> PAGEREF _Toc51600633 \h </w:instrText>
      </w:r>
      <w:r w:rsidRPr="00850493">
        <w:rPr>
          <w:rFonts w:ascii="Verdana" w:hAnsi="Verdana"/>
          <w:noProof/>
          <w:sz w:val="22"/>
          <w:szCs w:val="22"/>
        </w:rPr>
        <w:fldChar w:fldCharType="separate"/>
      </w:r>
      <w:r w:rsidR="002C32E0">
        <w:rPr>
          <w:rFonts w:ascii="Verdana" w:hAnsi="Verdana"/>
          <w:noProof/>
          <w:sz w:val="22"/>
          <w:szCs w:val="22"/>
        </w:rPr>
        <w:t>3</w:t>
      </w:r>
      <w:r w:rsidRPr="00850493">
        <w:rPr>
          <w:rFonts w:ascii="Verdana" w:hAnsi="Verdana"/>
          <w:noProof/>
          <w:sz w:val="22"/>
          <w:szCs w:val="22"/>
        </w:rPr>
        <w:fldChar w:fldCharType="end"/>
      </w:r>
    </w:p>
    <w:p w:rsidR="0033303F" w:rsidRPr="00850493">
      <w:pPr>
        <w:pStyle w:val="TOC1"/>
        <w:rPr>
          <w:rFonts w:ascii="Verdana" w:hAnsi="Verdana" w:eastAsiaTheme="minorEastAsia" w:cstheme="minorBidi"/>
          <w:noProof/>
          <w:sz w:val="22"/>
          <w:szCs w:val="22"/>
        </w:rPr>
      </w:pPr>
      <w:r w:rsidRPr="00850493">
        <w:rPr>
          <w:rFonts w:ascii="Verdana" w:hAnsi="Verdana"/>
          <w:noProof/>
          <w:sz w:val="22"/>
          <w:szCs w:val="22"/>
        </w:rPr>
        <w:t>4.</w:t>
      </w:r>
      <w:r w:rsidRPr="00850493">
        <w:rPr>
          <w:rFonts w:asciiTheme="minorHAnsi" w:eastAsiaTheme="minorEastAsia" w:hAnsiTheme="minorHAnsi" w:cstheme="minorBidi"/>
          <w:noProof/>
          <w:sz w:val="22"/>
          <w:szCs w:val="22"/>
        </w:rPr>
        <w:tab/>
      </w:r>
      <w:r w:rsidRPr="00850493">
        <w:rPr>
          <w:rFonts w:ascii="Verdana" w:hAnsi="Verdana" w:cs="Calibri"/>
          <w:noProof/>
          <w:color w:val="000000"/>
          <w:sz w:val="22"/>
          <w:szCs w:val="22"/>
        </w:rPr>
        <w:t>Employment beyond COVID-19 pandemic</w:t>
      </w:r>
      <w:r w:rsidRPr="00850493">
        <w:rPr>
          <w:noProof/>
          <w:sz w:val="22"/>
          <w:szCs w:val="22"/>
        </w:rPr>
        <w:tab/>
      </w:r>
      <w:r w:rsidRPr="00850493">
        <w:rPr>
          <w:rFonts w:ascii="Verdana" w:hAnsi="Verdana"/>
          <w:noProof/>
          <w:sz w:val="22"/>
          <w:szCs w:val="22"/>
        </w:rPr>
        <w:fldChar w:fldCharType="begin"/>
      </w:r>
      <w:r w:rsidRPr="00850493">
        <w:rPr>
          <w:rFonts w:ascii="Verdana" w:hAnsi="Verdana"/>
          <w:noProof/>
          <w:sz w:val="22"/>
          <w:szCs w:val="22"/>
        </w:rPr>
        <w:instrText xml:space="preserve"> PAGEREF _Toc51600634 \h </w:instrText>
      </w:r>
      <w:r w:rsidRPr="00850493">
        <w:rPr>
          <w:rFonts w:ascii="Verdana" w:hAnsi="Verdana"/>
          <w:noProof/>
          <w:sz w:val="22"/>
          <w:szCs w:val="22"/>
        </w:rPr>
        <w:fldChar w:fldCharType="separate"/>
      </w:r>
      <w:r w:rsidR="002C32E0">
        <w:rPr>
          <w:rFonts w:ascii="Verdana" w:hAnsi="Verdana"/>
          <w:noProof/>
          <w:sz w:val="22"/>
          <w:szCs w:val="22"/>
        </w:rPr>
        <w:t>6</w:t>
      </w:r>
      <w:r w:rsidRPr="00850493">
        <w:rPr>
          <w:rFonts w:ascii="Verdana" w:hAnsi="Verdana"/>
          <w:noProof/>
          <w:sz w:val="22"/>
          <w:szCs w:val="22"/>
        </w:rPr>
        <w:fldChar w:fldCharType="end"/>
      </w:r>
    </w:p>
    <w:p w:rsidR="0033303F" w:rsidRPr="00850493">
      <w:pPr>
        <w:pStyle w:val="TOC1"/>
        <w:rPr>
          <w:rFonts w:ascii="Verdana" w:hAnsi="Verdana" w:eastAsiaTheme="minorEastAsia" w:cstheme="minorBidi"/>
          <w:noProof/>
          <w:sz w:val="22"/>
          <w:szCs w:val="22"/>
        </w:rPr>
      </w:pPr>
      <w:r w:rsidRPr="00850493">
        <w:rPr>
          <w:rFonts w:ascii="Verdana" w:hAnsi="Verdana" w:cs="Calibri"/>
          <w:noProof/>
          <w:color w:val="000000"/>
          <w:sz w:val="22"/>
          <w:szCs w:val="22"/>
        </w:rPr>
        <w:t>5.</w:t>
      </w:r>
      <w:r w:rsidRPr="00850493">
        <w:rPr>
          <w:rFonts w:asciiTheme="minorHAnsi" w:eastAsiaTheme="minorEastAsia" w:hAnsiTheme="minorHAnsi" w:cstheme="minorBidi"/>
          <w:noProof/>
          <w:sz w:val="22"/>
          <w:szCs w:val="22"/>
        </w:rPr>
        <w:tab/>
      </w:r>
      <w:r w:rsidRPr="00850493">
        <w:rPr>
          <w:rFonts w:ascii="Verdana" w:hAnsi="Verdana" w:cs="Calibri"/>
          <w:noProof/>
          <w:color w:val="000000"/>
          <w:sz w:val="22"/>
          <w:szCs w:val="22"/>
        </w:rPr>
        <w:t>The nature of work during and beyond the COVID-19 pandemic</w:t>
      </w:r>
      <w:r w:rsidRPr="00850493">
        <w:rPr>
          <w:noProof/>
          <w:sz w:val="22"/>
          <w:szCs w:val="22"/>
        </w:rPr>
        <w:tab/>
      </w:r>
      <w:r w:rsidRPr="00850493">
        <w:rPr>
          <w:rFonts w:ascii="Verdana" w:hAnsi="Verdana"/>
          <w:noProof/>
          <w:sz w:val="22"/>
          <w:szCs w:val="22"/>
        </w:rPr>
        <w:fldChar w:fldCharType="begin"/>
      </w:r>
      <w:r w:rsidRPr="00850493">
        <w:rPr>
          <w:rFonts w:ascii="Verdana" w:hAnsi="Verdana"/>
          <w:noProof/>
          <w:sz w:val="22"/>
          <w:szCs w:val="22"/>
        </w:rPr>
        <w:instrText xml:space="preserve"> PAGEREF _Toc51600635 \h </w:instrText>
      </w:r>
      <w:r w:rsidRPr="00850493">
        <w:rPr>
          <w:rFonts w:ascii="Verdana" w:hAnsi="Verdana"/>
          <w:noProof/>
          <w:sz w:val="22"/>
          <w:szCs w:val="22"/>
        </w:rPr>
        <w:fldChar w:fldCharType="separate"/>
      </w:r>
      <w:r w:rsidR="002C32E0">
        <w:rPr>
          <w:rFonts w:ascii="Verdana" w:hAnsi="Verdana"/>
          <w:noProof/>
          <w:sz w:val="22"/>
          <w:szCs w:val="22"/>
        </w:rPr>
        <w:t>9</w:t>
      </w:r>
      <w:r w:rsidRPr="00850493">
        <w:rPr>
          <w:rFonts w:ascii="Verdana" w:hAnsi="Verdana"/>
          <w:noProof/>
          <w:sz w:val="22"/>
          <w:szCs w:val="22"/>
        </w:rPr>
        <w:fldChar w:fldCharType="end"/>
      </w:r>
    </w:p>
    <w:p w:rsidR="00B84350" w:rsidRPr="00850493" w:rsidP="00B84350">
      <w:pPr>
        <w:jc w:val="both"/>
        <w:rPr>
          <w:rFonts w:ascii="Verdana" w:hAnsi="Verdana" w:cs="Calibri"/>
          <w:color w:val="000000"/>
          <w:sz w:val="22"/>
          <w:szCs w:val="22"/>
        </w:rPr>
      </w:pPr>
      <w:r w:rsidRPr="00850493">
        <w:rPr>
          <w:rFonts w:ascii="Verdana" w:hAnsi="Verdana" w:cs="Calibri"/>
          <w:color w:val="000000"/>
          <w:sz w:val="22"/>
          <w:szCs w:val="22"/>
        </w:rPr>
        <w:fldChar w:fldCharType="end"/>
      </w:r>
    </w:p>
    <w:p w:rsidR="00B84350" w:rsidRPr="0033303F" w:rsidP="00B84350">
      <w:pPr>
        <w:pStyle w:val="ListParagraph"/>
        <w:numPr>
          <w:ilvl w:val="0"/>
          <w:numId w:val="29"/>
        </w:numPr>
        <w:jc w:val="both"/>
        <w:outlineLvl w:val="0"/>
        <w:rPr>
          <w:rFonts w:ascii="Verdana" w:hAnsi="Verdana" w:cs="Calibri"/>
          <w:b/>
          <w:color w:val="000000"/>
          <w:sz w:val="22"/>
          <w:szCs w:val="22"/>
        </w:rPr>
      </w:pPr>
      <w:bookmarkStart w:id="1" w:name="_Toc51600631"/>
      <w:r w:rsidRPr="0033303F">
        <w:rPr>
          <w:rFonts w:ascii="Verdana" w:hAnsi="Verdana" w:cs="Calibri"/>
          <w:b/>
          <w:color w:val="000000"/>
          <w:sz w:val="22"/>
          <w:szCs w:val="22"/>
        </w:rPr>
        <w:t>Summary of policy recommendations</w:t>
      </w:r>
      <w:bookmarkEnd w:id="1"/>
    </w:p>
    <w:p w:rsidR="00B84350" w:rsidRPr="0033303F" w:rsidP="00B84350">
      <w:pPr>
        <w:jc w:val="both"/>
        <w:rPr>
          <w:rFonts w:ascii="Verdana" w:hAnsi="Verdana" w:cs="Calibri"/>
          <w:color w:val="000000"/>
          <w:sz w:val="22"/>
          <w:szCs w:val="22"/>
        </w:rPr>
      </w:pPr>
      <w:r w:rsidRPr="0033303F">
        <w:rPr>
          <w:rFonts w:ascii="Verdana" w:hAnsi="Verdana" w:cs="Calibri"/>
          <w:bCs/>
          <w:color w:val="000000"/>
          <w:sz w:val="22"/>
          <w:szCs w:val="22"/>
        </w:rPr>
        <w:t xml:space="preserve">Entrepreneurs and </w:t>
      </w:r>
      <w:r w:rsidRPr="0033303F">
        <w:rPr>
          <w:rFonts w:ascii="Verdana" w:hAnsi="Verdana" w:cs="Calibri"/>
          <w:color w:val="000000"/>
          <w:sz w:val="22"/>
          <w:szCs w:val="22"/>
        </w:rPr>
        <w:t>small and medium-sized enterprises (SMEs) are the backbone of the UK economy. The 5.86 million UK SME provide employment to 16.6 million people (60% of all private sector employment. Thus, supporting entrepreneurs and their businesses helps safeguard existing employment and creates new employment. Our report summarizes findings of a dedicated study of UK entrepreneurs and SMEs during the height of the coronavirus pandemic. Based on the experiences of these businesses, we suggest the following recommendations for policy to protect and stimulate employment in the years ahead:</w:t>
      </w:r>
    </w:p>
    <w:p w:rsidR="00F92255" w:rsidRPr="0033303F" w:rsidP="00F92255">
      <w:pPr>
        <w:jc w:val="both"/>
        <w:rPr>
          <w:rFonts w:ascii="Verdana" w:hAnsi="Verdana"/>
          <w:sz w:val="22"/>
          <w:szCs w:val="22"/>
        </w:rPr>
      </w:pPr>
    </w:p>
    <w:p w:rsidR="00F92255" w:rsidRPr="0033303F">
      <w:pPr>
        <w:jc w:val="both"/>
        <w:rPr>
          <w:rFonts w:ascii="Verdana" w:hAnsi="Verdana"/>
          <w:sz w:val="22"/>
          <w:szCs w:val="22"/>
          <w:u w:val="single"/>
        </w:rPr>
      </w:pPr>
      <w:r w:rsidRPr="0033303F">
        <w:rPr>
          <w:rFonts w:ascii="Verdana" w:hAnsi="Verdana"/>
          <w:sz w:val="22"/>
          <w:szCs w:val="22"/>
          <w:u w:val="single"/>
        </w:rPr>
        <w:t>Shorter term measures</w:t>
      </w:r>
    </w:p>
    <w:p w:rsidR="00652390" w:rsidRPr="0033303F">
      <w:pPr>
        <w:jc w:val="both"/>
        <w:rPr>
          <w:rFonts w:ascii="Verdana" w:hAnsi="Verdana"/>
          <w:sz w:val="22"/>
          <w:szCs w:val="22"/>
          <w:u w:val="single"/>
        </w:rPr>
      </w:pPr>
    </w:p>
    <w:p w:rsidR="00652390" w:rsidRPr="0033303F">
      <w:pPr>
        <w:pStyle w:val="ListParagraph"/>
        <w:numPr>
          <w:ilvl w:val="0"/>
          <w:numId w:val="36"/>
        </w:numPr>
        <w:spacing w:before="0" w:beforeAutospacing="0" w:after="0" w:afterAutospacing="0"/>
        <w:jc w:val="both"/>
        <w:rPr>
          <w:rFonts w:ascii="Verdana" w:hAnsi="Verdana"/>
          <w:sz w:val="22"/>
          <w:szCs w:val="22"/>
        </w:rPr>
      </w:pPr>
      <w:r w:rsidRPr="0033303F">
        <w:rPr>
          <w:rFonts w:ascii="Verdana" w:hAnsi="Verdana"/>
          <w:b/>
          <w:bCs/>
          <w:sz w:val="22"/>
          <w:szCs w:val="22"/>
        </w:rPr>
        <w:t>Extending the Government</w:t>
      </w:r>
      <w:r w:rsidRPr="0033303F">
        <w:rPr>
          <w:rFonts w:ascii="Verdana" w:hAnsi="Verdana"/>
          <w:sz w:val="22"/>
          <w:szCs w:val="22"/>
        </w:rPr>
        <w:t xml:space="preserve"> </w:t>
      </w:r>
      <w:r w:rsidRPr="0033303F">
        <w:rPr>
          <w:rFonts w:ascii="Verdana" w:hAnsi="Verdana"/>
          <w:b/>
          <w:bCs/>
          <w:sz w:val="22"/>
          <w:szCs w:val="22"/>
        </w:rPr>
        <w:t xml:space="preserve">Coronavirus Job Retention Scheme: </w:t>
      </w:r>
      <w:r w:rsidRPr="0033303F">
        <w:rPr>
          <w:rFonts w:ascii="Verdana" w:hAnsi="Verdana"/>
          <w:sz w:val="22"/>
          <w:szCs w:val="22"/>
        </w:rPr>
        <w:t>government support for furloughing employees appears to be an effective measure to protect jobs. It helps buffer the effects of the pandemic for SMEs specifically since entrepreneurs often do not have the resources to sustain their business during a significant crisis. Since the UK economy is still at the start of its rebound, extending the Coronavirus Job Retention Scheme would thus help preventing a rise of unemployment, especially considering the lower employment traditionally experienced during fall and winter. This Scheme could also be offered to alleviate the effects of local lockdowns on employment.</w:t>
      </w:r>
    </w:p>
    <w:p w:rsidR="00652390" w:rsidRPr="0033303F">
      <w:pPr>
        <w:pStyle w:val="ListParagraph"/>
        <w:spacing w:before="0" w:beforeAutospacing="0" w:after="0" w:afterAutospacing="0"/>
        <w:ind w:left="720"/>
        <w:jc w:val="both"/>
        <w:rPr>
          <w:rFonts w:ascii="Verdana" w:hAnsi="Verdana"/>
          <w:sz w:val="22"/>
          <w:szCs w:val="22"/>
        </w:rPr>
      </w:pPr>
    </w:p>
    <w:p w:rsidR="00652390" w:rsidRPr="0033303F">
      <w:pPr>
        <w:jc w:val="both"/>
        <w:rPr>
          <w:rFonts w:ascii="Verdana" w:hAnsi="Verdana"/>
          <w:sz w:val="22"/>
          <w:szCs w:val="22"/>
          <w:u w:val="single"/>
        </w:rPr>
      </w:pPr>
      <w:r w:rsidRPr="0033303F">
        <w:rPr>
          <w:rFonts w:ascii="Verdana" w:hAnsi="Verdana"/>
          <w:sz w:val="22"/>
          <w:szCs w:val="22"/>
          <w:u w:val="single"/>
        </w:rPr>
        <w:t xml:space="preserve">Long-term measures </w:t>
      </w:r>
    </w:p>
    <w:p w:rsidR="00652390" w:rsidRPr="0033303F">
      <w:pPr>
        <w:pStyle w:val="ListParagraph"/>
        <w:numPr>
          <w:ilvl w:val="0"/>
          <w:numId w:val="39"/>
        </w:numPr>
        <w:jc w:val="both"/>
        <w:rPr>
          <w:rFonts w:ascii="Verdana" w:hAnsi="Verdana"/>
          <w:sz w:val="22"/>
          <w:szCs w:val="22"/>
        </w:rPr>
      </w:pPr>
      <w:r w:rsidRPr="0033303F">
        <w:rPr>
          <w:rFonts w:ascii="Verdana" w:hAnsi="Verdana"/>
          <w:b/>
          <w:sz w:val="22"/>
          <w:szCs w:val="22"/>
        </w:rPr>
        <w:t>Providing</w:t>
      </w:r>
      <w:r w:rsidRPr="0033303F">
        <w:rPr>
          <w:rFonts w:ascii="Verdana" w:hAnsi="Verdana"/>
          <w:b/>
          <w:bCs/>
          <w:sz w:val="22"/>
          <w:szCs w:val="22"/>
        </w:rPr>
        <w:t xml:space="preserve"> tools and support to capture opportunities: </w:t>
      </w:r>
      <w:r w:rsidRPr="0033303F">
        <w:rPr>
          <w:rFonts w:ascii="Verdana" w:hAnsi="Verdana"/>
          <w:sz w:val="22"/>
          <w:szCs w:val="22"/>
        </w:rPr>
        <w:t xml:space="preserve">Entrepreneurs would benefit from tools and support allowing them to assess the fitness of their business which would also help increase employment for the Post-COVID economy. Tools and training could include review of existing competencies, opportunity mapping and forecasting tools. </w:t>
      </w:r>
    </w:p>
    <w:p w:rsidR="00652390" w:rsidRPr="0033303F" w:rsidP="00032EF9">
      <w:pPr>
        <w:pStyle w:val="ListParagraph"/>
        <w:numPr>
          <w:ilvl w:val="0"/>
          <w:numId w:val="39"/>
        </w:numPr>
        <w:spacing w:before="0" w:beforeAutospacing="0" w:after="0" w:afterAutospacing="0"/>
        <w:ind w:left="714" w:hanging="357"/>
        <w:jc w:val="both"/>
        <w:rPr>
          <w:rFonts w:ascii="Verdana" w:hAnsi="Verdana"/>
          <w:b/>
          <w:bCs/>
          <w:sz w:val="22"/>
          <w:szCs w:val="22"/>
        </w:rPr>
      </w:pPr>
      <w:r w:rsidRPr="0033303F">
        <w:rPr>
          <w:rFonts w:ascii="Verdana" w:hAnsi="Verdana"/>
          <w:b/>
          <w:bCs/>
          <w:sz w:val="22"/>
          <w:szCs w:val="22"/>
        </w:rPr>
        <w:t xml:space="preserve">Offering COVID-Opportunity Vouchers: </w:t>
      </w:r>
      <w:r w:rsidRPr="0033303F">
        <w:rPr>
          <w:rFonts w:ascii="Verdana" w:hAnsi="Verdana"/>
          <w:sz w:val="22"/>
          <w:szCs w:val="22"/>
        </w:rPr>
        <w:t>Experimenting with new products/services or new processes is a resource-intensive process for entrepreneurs. This process is critical precisely when the financial resources of their businesses are limited and failure in experimenting in such conditions might result in bankruptcy. Small cash grants might help to incentivize entrepreneurs and draw entrepreneurs’ attention to the need to engage in such “experiments”. They could take the form of “COVID-Opportunity Vouchers”. The small investment of public funds in this form could result in creating significant number of jobs in the future.</w:t>
      </w:r>
    </w:p>
    <w:p w:rsidR="0026793A" w:rsidRPr="0033303F" w:rsidP="00032EF9">
      <w:pPr>
        <w:pStyle w:val="ListParagraph"/>
        <w:numPr>
          <w:ilvl w:val="0"/>
          <w:numId w:val="36"/>
        </w:numPr>
        <w:spacing w:before="0" w:beforeAutospacing="0" w:after="0" w:afterAutospacing="0"/>
        <w:ind w:left="714" w:hanging="357"/>
        <w:jc w:val="both"/>
        <w:rPr>
          <w:rFonts w:ascii="Verdana" w:hAnsi="Verdana"/>
          <w:b/>
          <w:bCs/>
          <w:sz w:val="22"/>
          <w:szCs w:val="22"/>
        </w:rPr>
      </w:pPr>
      <w:r w:rsidRPr="0033303F">
        <w:rPr>
          <w:rFonts w:ascii="Verdana" w:hAnsi="Verdana"/>
          <w:b/>
          <w:bCs/>
          <w:sz w:val="22"/>
          <w:szCs w:val="22"/>
        </w:rPr>
        <w:t xml:space="preserve">Providing training and education: </w:t>
      </w:r>
      <w:r w:rsidRPr="0033303F">
        <w:rPr>
          <w:rFonts w:ascii="Verdana" w:hAnsi="Verdana"/>
          <w:sz w:val="22"/>
          <w:szCs w:val="22"/>
        </w:rPr>
        <w:t>The challenges of working from home suggest a need for trainings and solutions for productive home working that leverages its benefits. Therefore, the government could support homeworking by supporting the training of certain skills, such as online working and communication, and leading remote teams. This could be achieved by offering “skills vouchers” for instance.</w:t>
      </w:r>
    </w:p>
    <w:p w:rsidR="00652390" w:rsidRPr="0033303F" w:rsidP="00032EF9">
      <w:pPr>
        <w:pStyle w:val="ListParagraph"/>
        <w:numPr>
          <w:ilvl w:val="0"/>
          <w:numId w:val="36"/>
        </w:numPr>
        <w:ind w:left="714" w:hanging="357"/>
        <w:jc w:val="both"/>
        <w:rPr>
          <w:rFonts w:ascii="Verdana" w:hAnsi="Verdana"/>
          <w:sz w:val="22"/>
          <w:szCs w:val="22"/>
        </w:rPr>
      </w:pPr>
      <w:r w:rsidRPr="0033303F">
        <w:rPr>
          <w:rFonts w:ascii="Verdana" w:hAnsi="Verdana"/>
          <w:b/>
          <w:bCs/>
          <w:sz w:val="22"/>
          <w:szCs w:val="22"/>
        </w:rPr>
        <w:t xml:space="preserve">Rewarding innovative work practices: </w:t>
      </w:r>
      <w:r w:rsidRPr="0033303F">
        <w:rPr>
          <w:rFonts w:ascii="Verdana" w:hAnsi="Verdana"/>
          <w:bCs/>
          <w:sz w:val="22"/>
          <w:szCs w:val="22"/>
        </w:rPr>
        <w:t>Business owners are creating new ways of managing employees to increase productivity and chances for the survival of the business.</w:t>
      </w:r>
      <w:r w:rsidRPr="0033303F">
        <w:rPr>
          <w:rFonts w:ascii="Verdana" w:hAnsi="Verdana"/>
          <w:sz w:val="22"/>
          <w:szCs w:val="22"/>
        </w:rPr>
        <w:t xml:space="preserve"> There is a space to document and tap into entrepreneurs’ knowledge to possibly scale up new solutions to manage human resources in the post-COVID economy. Innovation prizes for innovative HRM practices that safeguard staff well-being and productivity during remote working would draw attention to such practices and help to disseminate them.</w:t>
      </w:r>
    </w:p>
    <w:p w:rsidR="00652390" w:rsidRPr="0033303F">
      <w:pPr>
        <w:pStyle w:val="ListParagraph"/>
        <w:numPr>
          <w:ilvl w:val="0"/>
          <w:numId w:val="36"/>
        </w:numPr>
        <w:jc w:val="both"/>
        <w:rPr>
          <w:rFonts w:ascii="Verdana" w:hAnsi="Verdana"/>
          <w:b/>
          <w:bCs/>
          <w:sz w:val="22"/>
          <w:szCs w:val="22"/>
        </w:rPr>
      </w:pPr>
      <w:r w:rsidRPr="0033303F">
        <w:rPr>
          <w:rFonts w:ascii="Verdana" w:hAnsi="Verdana"/>
          <w:b/>
          <w:bCs/>
          <w:sz w:val="22"/>
          <w:szCs w:val="22"/>
        </w:rPr>
        <w:t xml:space="preserve">Providing Affordable childcare: </w:t>
      </w:r>
      <w:r w:rsidRPr="0033303F">
        <w:rPr>
          <w:rFonts w:ascii="Verdana" w:hAnsi="Verdana"/>
          <w:sz w:val="22"/>
          <w:szCs w:val="22"/>
        </w:rPr>
        <w:t>Entrepreneurs in our study embraced home-working but both men and women found it challenging to work productively especially when they had children. To make home-working more productive and less stressful for both men and women entrepreneurs, the availability of affordable childcare is thus critical.</w:t>
      </w:r>
    </w:p>
    <w:p w:rsidR="00D328E2" w:rsidRPr="0033303F">
      <w:pPr>
        <w:rPr>
          <w:rFonts w:ascii="Verdana" w:hAnsi="Verdana" w:cs="Calibri"/>
          <w:color w:val="000000"/>
          <w:sz w:val="22"/>
          <w:szCs w:val="22"/>
        </w:rPr>
      </w:pPr>
      <w:r w:rsidRPr="0033303F">
        <w:rPr>
          <w:rFonts w:ascii="Verdana" w:hAnsi="Verdana" w:cs="Calibri"/>
          <w:color w:val="000000"/>
          <w:sz w:val="22"/>
          <w:szCs w:val="22"/>
        </w:rPr>
        <w:br w:type="page"/>
      </w:r>
    </w:p>
    <w:p w:rsidR="007728E9" w:rsidRPr="0033303F" w:rsidP="00D328E2">
      <w:pPr>
        <w:jc w:val="both"/>
        <w:rPr>
          <w:rFonts w:ascii="Verdana" w:hAnsi="Verdana" w:cs="Calibri"/>
          <w:color w:val="000000"/>
          <w:sz w:val="22"/>
          <w:szCs w:val="22"/>
        </w:rPr>
      </w:pPr>
    </w:p>
    <w:p w:rsidR="001309C4" w:rsidRPr="0033303F" w:rsidP="00F92255">
      <w:pPr>
        <w:pStyle w:val="ListParagraph"/>
        <w:numPr>
          <w:ilvl w:val="0"/>
          <w:numId w:val="29"/>
        </w:numPr>
        <w:jc w:val="both"/>
        <w:outlineLvl w:val="0"/>
        <w:rPr>
          <w:rFonts w:ascii="Verdana" w:hAnsi="Verdana" w:cs="Calibri"/>
          <w:b/>
          <w:color w:val="000000"/>
          <w:sz w:val="22"/>
          <w:szCs w:val="22"/>
        </w:rPr>
      </w:pPr>
      <w:bookmarkStart w:id="2" w:name="_Toc51600632"/>
      <w:r w:rsidRPr="0033303F">
        <w:rPr>
          <w:rFonts w:ascii="Verdana" w:hAnsi="Verdana" w:cs="Calibri"/>
          <w:b/>
          <w:color w:val="000000"/>
          <w:sz w:val="22"/>
          <w:szCs w:val="22"/>
        </w:rPr>
        <w:t>Introduction</w:t>
      </w:r>
      <w:bookmarkEnd w:id="2"/>
    </w:p>
    <w:p w:rsidR="00D75522" w:rsidRPr="0033303F" w:rsidP="005A5938">
      <w:pPr>
        <w:jc w:val="both"/>
        <w:rPr>
          <w:rFonts w:ascii="Verdana" w:hAnsi="Verdana" w:cs="Calibri"/>
          <w:color w:val="000000"/>
          <w:sz w:val="22"/>
          <w:szCs w:val="22"/>
        </w:rPr>
      </w:pPr>
    </w:p>
    <w:p w:rsidR="00045563" w:rsidRPr="0033303F" w:rsidP="00045563">
      <w:pPr>
        <w:jc w:val="both"/>
        <w:rPr>
          <w:rFonts w:ascii="Verdana" w:hAnsi="Verdana" w:cs="Calibri"/>
          <w:color w:val="000000"/>
          <w:sz w:val="22"/>
          <w:szCs w:val="22"/>
        </w:rPr>
      </w:pPr>
      <w:r w:rsidRPr="0033303F">
        <w:rPr>
          <w:rFonts w:ascii="Verdana" w:hAnsi="Verdana" w:cs="Calibri"/>
          <w:color w:val="000000"/>
          <w:sz w:val="22"/>
          <w:szCs w:val="22"/>
        </w:rPr>
        <w:t>This report draws on data that we collected from 361 UK entrepreneurs (of which 308 are employers) between May 6</w:t>
      </w:r>
      <w:r w:rsidRPr="0033303F">
        <w:rPr>
          <w:rFonts w:ascii="Verdana" w:hAnsi="Verdana" w:cs="Calibri"/>
          <w:color w:val="000000"/>
          <w:sz w:val="22"/>
          <w:szCs w:val="22"/>
          <w:vertAlign w:val="superscript"/>
        </w:rPr>
        <w:t>th</w:t>
      </w:r>
      <w:r w:rsidRPr="0033303F">
        <w:rPr>
          <w:rFonts w:ascii="Verdana" w:hAnsi="Verdana" w:cs="Calibri"/>
          <w:color w:val="000000"/>
          <w:sz w:val="22"/>
          <w:szCs w:val="22"/>
        </w:rPr>
        <w:t xml:space="preserve"> and July 13</w:t>
      </w:r>
      <w:r w:rsidRPr="0033303F">
        <w:rPr>
          <w:rFonts w:ascii="Verdana" w:hAnsi="Verdana" w:cs="Calibri"/>
          <w:color w:val="000000"/>
          <w:sz w:val="22"/>
          <w:szCs w:val="22"/>
          <w:vertAlign w:val="superscript"/>
        </w:rPr>
        <w:t>th</w:t>
      </w:r>
      <w:r w:rsidRPr="0033303F">
        <w:rPr>
          <w:rFonts w:ascii="Verdana" w:hAnsi="Verdana" w:cs="Calibri"/>
          <w:color w:val="000000"/>
          <w:sz w:val="22"/>
          <w:szCs w:val="22"/>
        </w:rPr>
        <w:t xml:space="preserve">, during the height of the pandemic, with the help of entrepreneur associations, chambers of commerce and by directly reaching out to SME owner-managers and the self-employed. Our study is part of an ongoing global research project led by us at King’s College London and covering 30 countries and will trace the impact of the COVID-19 on entrepreneurs over time. </w:t>
      </w:r>
    </w:p>
    <w:p w:rsidR="005F2576" w:rsidRPr="0033303F" w:rsidP="00045563">
      <w:pPr>
        <w:jc w:val="both"/>
        <w:rPr>
          <w:rFonts w:ascii="Verdana" w:hAnsi="Verdana" w:cs="Calibri"/>
          <w:color w:val="000000"/>
          <w:sz w:val="22"/>
          <w:szCs w:val="22"/>
        </w:rPr>
      </w:pPr>
    </w:p>
    <w:p w:rsidR="00F92255" w:rsidRPr="0033303F" w:rsidP="00045563">
      <w:pPr>
        <w:jc w:val="both"/>
        <w:rPr>
          <w:rFonts w:ascii="Verdana" w:hAnsi="Verdana" w:cs="Calibri"/>
          <w:color w:val="000000"/>
          <w:sz w:val="22"/>
          <w:szCs w:val="22"/>
        </w:rPr>
      </w:pPr>
      <w:r w:rsidRPr="0033303F">
        <w:rPr>
          <w:rFonts w:ascii="Verdana" w:hAnsi="Verdana" w:cs="Calibri"/>
          <w:color w:val="000000"/>
          <w:sz w:val="22"/>
          <w:szCs w:val="22"/>
        </w:rPr>
        <w:t xml:space="preserve">In this report we present previously unpublished recommendations for policy to protect jobs and support employment in the future. We use insights from our research to address the questions raised by the Economic Affairs Committee on “The effects of the COVID-19 pandemic on the labour market”. We present evidence in three parts: </w:t>
      </w:r>
    </w:p>
    <w:p w:rsidR="00652390" w:rsidRPr="0033303F">
      <w:pPr>
        <w:pStyle w:val="ListParagraph"/>
        <w:numPr>
          <w:ilvl w:val="0"/>
          <w:numId w:val="37"/>
        </w:numPr>
        <w:jc w:val="both"/>
        <w:rPr>
          <w:rFonts w:ascii="Verdana" w:hAnsi="Verdana" w:cs="Calibri"/>
          <w:color w:val="000000"/>
          <w:sz w:val="22"/>
          <w:szCs w:val="22"/>
        </w:rPr>
      </w:pPr>
      <w:r w:rsidRPr="0033303F">
        <w:rPr>
          <w:rFonts w:ascii="Verdana" w:hAnsi="Verdana" w:cs="Calibri"/>
          <w:color w:val="000000"/>
          <w:sz w:val="22"/>
          <w:szCs w:val="22"/>
        </w:rPr>
        <w:t xml:space="preserve">The effects of the COVID-19 pandemic on SMEs and their employment. </w:t>
      </w:r>
    </w:p>
    <w:p w:rsidR="00E5676B" w:rsidRPr="0033303F" w:rsidP="00F92255">
      <w:pPr>
        <w:pStyle w:val="ListParagraph"/>
        <w:numPr>
          <w:ilvl w:val="0"/>
          <w:numId w:val="37"/>
        </w:numPr>
        <w:jc w:val="both"/>
        <w:rPr>
          <w:rFonts w:ascii="Verdana" w:hAnsi="Verdana" w:cs="Calibri"/>
          <w:color w:val="000000"/>
          <w:sz w:val="22"/>
          <w:szCs w:val="22"/>
        </w:rPr>
      </w:pPr>
      <w:r w:rsidRPr="0033303F">
        <w:rPr>
          <w:rFonts w:ascii="Verdana" w:hAnsi="Verdana" w:cs="Calibri"/>
          <w:color w:val="000000"/>
          <w:sz w:val="22"/>
          <w:szCs w:val="22"/>
        </w:rPr>
        <w:t>Future prospects regarding job creation beyond the pandemic.</w:t>
      </w:r>
    </w:p>
    <w:p w:rsidR="00E5676B" w:rsidRPr="0033303F" w:rsidP="00F92255">
      <w:pPr>
        <w:pStyle w:val="ListParagraph"/>
        <w:numPr>
          <w:ilvl w:val="0"/>
          <w:numId w:val="37"/>
        </w:numPr>
        <w:jc w:val="both"/>
        <w:rPr>
          <w:rFonts w:ascii="Verdana" w:hAnsi="Verdana" w:cs="Calibri"/>
          <w:color w:val="000000"/>
          <w:sz w:val="22"/>
          <w:szCs w:val="22"/>
        </w:rPr>
      </w:pPr>
      <w:r w:rsidRPr="0033303F">
        <w:rPr>
          <w:rFonts w:ascii="Verdana" w:hAnsi="Verdana" w:cs="Calibri"/>
          <w:color w:val="000000"/>
          <w:sz w:val="22"/>
          <w:szCs w:val="22"/>
        </w:rPr>
        <w:t xml:space="preserve">Changes to the nature of work due to COVID-19 (including changes that are likely part of the ‘new normal’). </w:t>
      </w:r>
    </w:p>
    <w:p w:rsidR="005F2576" w:rsidRPr="0033303F" w:rsidP="00E5676B">
      <w:pPr>
        <w:jc w:val="both"/>
        <w:rPr>
          <w:rFonts w:ascii="Verdana" w:hAnsi="Verdana" w:cs="Calibri"/>
          <w:color w:val="000000"/>
          <w:sz w:val="22"/>
          <w:szCs w:val="22"/>
        </w:rPr>
      </w:pPr>
      <w:r w:rsidRPr="0033303F">
        <w:rPr>
          <w:rFonts w:ascii="Verdana" w:hAnsi="Verdana" w:cs="Calibri"/>
          <w:color w:val="000000"/>
          <w:sz w:val="22"/>
          <w:szCs w:val="22"/>
        </w:rPr>
        <w:t xml:space="preserve">We conclude each part of the report with policy recommendations to prevent jobs losses and leverage job creation by SMEs. </w:t>
      </w:r>
    </w:p>
    <w:p w:rsidR="00045563" w:rsidRPr="0033303F" w:rsidP="00045563">
      <w:pPr>
        <w:jc w:val="both"/>
        <w:rPr>
          <w:rFonts w:ascii="Verdana" w:hAnsi="Verdana" w:cs="Calibri"/>
          <w:color w:val="000000"/>
          <w:sz w:val="22"/>
          <w:szCs w:val="22"/>
        </w:rPr>
      </w:pPr>
    </w:p>
    <w:p w:rsidR="001309C4" w:rsidRPr="0033303F" w:rsidP="0029422C">
      <w:pPr>
        <w:pStyle w:val="ListParagraph"/>
        <w:numPr>
          <w:ilvl w:val="0"/>
          <w:numId w:val="29"/>
        </w:numPr>
        <w:outlineLvl w:val="0"/>
        <w:rPr>
          <w:rFonts w:ascii="Verdana" w:hAnsi="Verdana" w:cs="Calibri"/>
          <w:b/>
          <w:color w:val="000000"/>
          <w:sz w:val="22"/>
          <w:szCs w:val="22"/>
        </w:rPr>
      </w:pPr>
      <w:bookmarkStart w:id="3" w:name="_Toc51600633"/>
      <w:r w:rsidRPr="0033303F">
        <w:rPr>
          <w:rFonts w:ascii="Verdana" w:hAnsi="Verdana" w:cs="Calibri"/>
          <w:b/>
          <w:color w:val="000000"/>
          <w:sz w:val="22"/>
          <w:szCs w:val="22"/>
        </w:rPr>
        <w:t>The effects of the COVID-19 pandemic on employment in SMEs</w:t>
      </w:r>
      <w:bookmarkEnd w:id="3"/>
    </w:p>
    <w:p w:rsidR="00A96C92" w:rsidRPr="0033303F" w:rsidP="00A96C92">
      <w:pPr>
        <w:jc w:val="both"/>
        <w:rPr>
          <w:rFonts w:ascii="Verdana" w:hAnsi="Verdana" w:cs="Calibri"/>
          <w:b/>
          <w:bCs/>
          <w:i/>
          <w:iCs/>
          <w:color w:val="000000"/>
          <w:sz w:val="22"/>
          <w:szCs w:val="22"/>
        </w:rPr>
      </w:pPr>
      <w:r w:rsidRPr="0033303F">
        <w:rPr>
          <w:rFonts w:ascii="Verdana" w:hAnsi="Verdana" w:cs="Calibri"/>
          <w:b/>
          <w:bCs/>
          <w:i/>
          <w:iCs/>
          <w:color w:val="000000"/>
          <w:sz w:val="22"/>
          <w:szCs w:val="22"/>
        </w:rPr>
        <w:t xml:space="preserve">Summary of effects </w:t>
      </w:r>
    </w:p>
    <w:p w:rsidR="00A96C92" w:rsidRPr="0033303F" w:rsidP="00A96C92">
      <w:pPr>
        <w:pStyle w:val="ListParagraph"/>
        <w:numPr>
          <w:ilvl w:val="0"/>
          <w:numId w:val="24"/>
        </w:numPr>
        <w:spacing w:before="0" w:beforeAutospacing="0" w:after="0" w:afterAutospacing="0"/>
        <w:contextualSpacing/>
        <w:jc w:val="both"/>
        <w:rPr>
          <w:rFonts w:ascii="Verdana" w:hAnsi="Verdana" w:cs="Calibri"/>
          <w:sz w:val="22"/>
          <w:szCs w:val="22"/>
        </w:rPr>
      </w:pPr>
      <w:r w:rsidRPr="0033303F">
        <w:rPr>
          <w:rFonts w:ascii="Verdana" w:hAnsi="Verdana" w:cs="Calibri"/>
          <w:sz w:val="22"/>
          <w:szCs w:val="22"/>
        </w:rPr>
        <w:t xml:space="preserve">A staggering 61% of entrepreneurs report that the very existence of their business was under threat due to a significant decrease in trading activities. This means that </w:t>
      </w:r>
      <w:r w:rsidRPr="0033303F">
        <w:rPr>
          <w:rFonts w:ascii="Verdana" w:hAnsi="Verdana" w:cs="Calibri"/>
          <w:bCs/>
          <w:sz w:val="22"/>
          <w:szCs w:val="22"/>
        </w:rPr>
        <w:t>in our sample alone, the jobs of 214 entrepreneurs and their 2,114 employees are at risk</w:t>
      </w:r>
      <w:r w:rsidRPr="0033303F">
        <w:rPr>
          <w:rFonts w:ascii="Verdana" w:hAnsi="Verdana" w:cs="Calibri"/>
          <w:sz w:val="22"/>
          <w:szCs w:val="22"/>
        </w:rPr>
        <w:t>.</w:t>
      </w:r>
    </w:p>
    <w:p w:rsidR="00946D8A" w:rsidRPr="0033303F" w:rsidP="00A96C92">
      <w:pPr>
        <w:pStyle w:val="ListParagraph"/>
        <w:numPr>
          <w:ilvl w:val="0"/>
          <w:numId w:val="24"/>
        </w:numPr>
        <w:spacing w:before="0" w:beforeAutospacing="0" w:after="0" w:afterAutospacing="0"/>
        <w:contextualSpacing/>
        <w:jc w:val="both"/>
        <w:rPr>
          <w:rFonts w:ascii="Verdana" w:hAnsi="Verdana" w:cs="Calibri"/>
          <w:sz w:val="22"/>
          <w:szCs w:val="22"/>
        </w:rPr>
      </w:pPr>
      <w:r w:rsidRPr="0033303F">
        <w:rPr>
          <w:rFonts w:ascii="Verdana" w:hAnsi="Verdana" w:cs="Calibri"/>
          <w:color w:val="000000"/>
          <w:sz w:val="22"/>
          <w:szCs w:val="22"/>
        </w:rPr>
        <w:t>53.2% of entrepreneurs forecasted that they would run out of money within the next 12 months if the pandemic continued.</w:t>
      </w:r>
    </w:p>
    <w:p w:rsidR="001E3EAE" w:rsidRPr="0033303F" w:rsidP="001E3EAE">
      <w:pPr>
        <w:pStyle w:val="ListParagraph"/>
        <w:numPr>
          <w:ilvl w:val="0"/>
          <w:numId w:val="24"/>
        </w:numPr>
        <w:spacing w:before="0" w:beforeAutospacing="0" w:after="0" w:afterAutospacing="0"/>
        <w:contextualSpacing/>
        <w:jc w:val="both"/>
        <w:rPr>
          <w:rFonts w:ascii="Verdana" w:hAnsi="Verdana" w:cs="Calibri"/>
          <w:sz w:val="22"/>
          <w:szCs w:val="22"/>
        </w:rPr>
      </w:pPr>
      <w:r w:rsidRPr="0033303F">
        <w:rPr>
          <w:rFonts w:ascii="Verdana" w:hAnsi="Verdana" w:cs="Calibri"/>
          <w:sz w:val="22"/>
          <w:szCs w:val="22"/>
        </w:rPr>
        <w:t>Only a minority (19%) of SME employers were forced to lay off staff during the data collection period. The Coronavirus Job Retention Scheme temporarily mitigated job losses with 45% of SME employers in our sample having successfully applied for it. “Younger” companies could not benefit from the Scheme as they could not demonstrate a 2-year-plus revenue track record.</w:t>
      </w:r>
    </w:p>
    <w:p w:rsidR="002340A4" w:rsidRPr="0033303F" w:rsidP="005A5938">
      <w:pPr>
        <w:jc w:val="both"/>
        <w:rPr>
          <w:rFonts w:ascii="Verdana" w:hAnsi="Verdana" w:cs="Calibri"/>
          <w:sz w:val="22"/>
          <w:szCs w:val="22"/>
        </w:rPr>
      </w:pPr>
    </w:p>
    <w:p w:rsidR="00CA3B75" w:rsidRPr="0033303F" w:rsidP="005A5938">
      <w:pPr>
        <w:jc w:val="both"/>
        <w:rPr>
          <w:rFonts w:ascii="Verdana" w:hAnsi="Verdana" w:cs="Calibri"/>
          <w:b/>
          <w:bCs/>
          <w:i/>
          <w:iCs/>
          <w:color w:val="000000"/>
          <w:sz w:val="22"/>
          <w:szCs w:val="22"/>
        </w:rPr>
      </w:pPr>
      <w:r w:rsidRPr="0033303F">
        <w:rPr>
          <w:rFonts w:ascii="Verdana" w:hAnsi="Verdana" w:cs="Calibri"/>
          <w:b/>
          <w:bCs/>
          <w:i/>
          <w:iCs/>
          <w:color w:val="000000"/>
          <w:sz w:val="22"/>
          <w:szCs w:val="22"/>
        </w:rPr>
        <w:t>Detailed findings</w:t>
      </w:r>
    </w:p>
    <w:p w:rsidR="00791922" w:rsidRPr="0033303F" w:rsidP="005A5938">
      <w:pPr>
        <w:jc w:val="both"/>
        <w:rPr>
          <w:rFonts w:ascii="Verdana" w:hAnsi="Verdana" w:cs="Calibri"/>
          <w:color w:val="000000"/>
          <w:sz w:val="22"/>
          <w:szCs w:val="22"/>
        </w:rPr>
      </w:pPr>
      <w:r w:rsidRPr="0033303F">
        <w:rPr>
          <w:rFonts w:ascii="Verdana" w:hAnsi="Verdana" w:cs="Calibri"/>
          <w:color w:val="000000"/>
          <w:sz w:val="22"/>
          <w:szCs w:val="22"/>
        </w:rPr>
        <w:t xml:space="preserve">Understanding the effect of the COVID-19 pandemic on the employment of SMEs requires to put this effect in the context of the overall impact of the pandemic. In our sample, 61% of business owners feel that the existence of their businesses is </w:t>
      </w:r>
      <w:r w:rsidRPr="0033303F">
        <w:rPr>
          <w:rFonts w:ascii="Verdana" w:hAnsi="Verdana" w:cs="Calibri"/>
          <w:b/>
          <w:color w:val="000000"/>
          <w:sz w:val="22"/>
          <w:szCs w:val="22"/>
        </w:rPr>
        <w:t>threatened by the pandemic</w:t>
      </w:r>
      <w:r w:rsidRPr="0033303F">
        <w:rPr>
          <w:rFonts w:ascii="Verdana" w:hAnsi="Verdana" w:cs="Calibri"/>
          <w:color w:val="000000"/>
          <w:sz w:val="22"/>
          <w:szCs w:val="22"/>
        </w:rPr>
        <w:t xml:space="preserve">. Moreover, 70% of business owners report that they either had to suspend trading (9.2%) or their trading volume decreased (60.8%). A minority of businesses (about 10%) report an </w:t>
      </w:r>
      <w:r w:rsidRPr="0033303F">
        <w:rPr>
          <w:rFonts w:ascii="Verdana" w:hAnsi="Verdana" w:cs="Calibri"/>
          <w:color w:val="000000"/>
          <w:sz w:val="22"/>
          <w:szCs w:val="22"/>
        </w:rPr>
        <w:t>increase in trading. The most prominent challenge for entrepreneurs is delays in payments. They also experience problems with paying for the upkeep of their businesses, paying their employees and purchasing the necessary supplies.</w:t>
      </w:r>
    </w:p>
    <w:p w:rsidR="009A346B" w:rsidRPr="0033303F" w:rsidP="005A5938">
      <w:pPr>
        <w:jc w:val="both"/>
        <w:rPr>
          <w:rFonts w:ascii="Verdana" w:hAnsi="Verdana" w:cs="Calibri"/>
          <w:color w:val="000000"/>
          <w:sz w:val="22"/>
          <w:szCs w:val="22"/>
        </w:rPr>
      </w:pPr>
    </w:p>
    <w:p w:rsidR="009A346B" w:rsidRPr="0033303F" w:rsidP="009A346B">
      <w:pPr>
        <w:jc w:val="both"/>
        <w:rPr>
          <w:rFonts w:ascii="Verdana" w:hAnsi="Verdana" w:cs="Calibri"/>
          <w:color w:val="000000"/>
          <w:sz w:val="22"/>
          <w:szCs w:val="22"/>
        </w:rPr>
      </w:pPr>
      <w:r w:rsidRPr="0033303F">
        <w:rPr>
          <w:rFonts w:ascii="Verdana" w:hAnsi="Verdana" w:cs="Calibri"/>
          <w:color w:val="000000"/>
          <w:sz w:val="22"/>
          <w:szCs w:val="22"/>
        </w:rPr>
        <w:t>Fortunately, for most entrepreneurs the threat of job loss has not yet materialized. Most employers (81%) did not lay off staff yet but 19% had already done so (Figure 1). More than one quarter of those who laid off staff had to lay off 50% of their staff or more whereas 1.6% had to lay all of their employees (Figure 2).</w:t>
      </w:r>
    </w:p>
    <w:p w:rsidR="005E4C93" w:rsidRPr="0033303F" w:rsidP="009A346B">
      <w:pPr>
        <w:jc w:val="both"/>
        <w:rPr>
          <w:rFonts w:ascii="Verdana" w:hAnsi="Verdana" w:cs="Calibri"/>
          <w:color w:val="000000"/>
          <w:sz w:val="22"/>
          <w:szCs w:val="22"/>
        </w:rPr>
      </w:pPr>
    </w:p>
    <w:p w:rsidR="009A346B" w:rsidRPr="0033303F" w:rsidP="005E4C93">
      <w:pPr>
        <w:jc w:val="right"/>
        <w:rPr>
          <w:rFonts w:ascii="Verdana" w:hAnsi="Verdana"/>
          <w:i/>
          <w:sz w:val="22"/>
          <w:szCs w:val="22"/>
        </w:rPr>
      </w:pPr>
      <w:r>
        <w:rPr>
          <w:rFonts w:ascii="Verdana" w:hAnsi="Verdana"/>
          <w:i/>
          <w:noProof/>
          <w:sz w:val="22"/>
          <w:szCs w:val="22"/>
        </w:rPr>
        <w:pict>
          <v:shapetype id="_x0000_t202" coordsize="21600,21600" o:spt="202" path="m,l,21600r21600,l21600,xe">
            <v:stroke joinstyle="miter"/>
            <v:path gradientshapeok="t" o:connecttype="rect"/>
          </v:shapetype>
          <v:shape id="Text Box 58" o:spid="_x0000_s1025" type="#_x0000_t202" style="height:12.9pt;margin-left:66.85pt;margin-top:1.55pt;mso-height-relative:margin;position:absolute;visibility:visible;width:153.45pt;z-index:251659264" stroked="f">
            <v:path arrowok="t" textboxrect="0,0,21600,21600"/>
            <v:textbox inset="0,0,0,0">
              <w:txbxContent>
                <w:p w:rsidR="00652390" w:rsidRPr="005E4C93" w:rsidP="009A346B">
                  <w:pPr>
                    <w:pStyle w:val="Caption"/>
                    <w:jc w:val="right"/>
                    <w:rPr>
                      <w:rFonts w:ascii="KingsBureauGrot FiveOne" w:hAnsi="KingsBureauGrot FiveOne"/>
                      <w:noProof/>
                      <w:color w:val="auto"/>
                      <w:sz w:val="24"/>
                      <w:szCs w:val="24"/>
                    </w:rPr>
                  </w:pPr>
                  <w:r w:rsidRPr="005E4C93">
                    <w:rPr>
                      <w:rFonts w:ascii="KingsBureauGrot FiveOne" w:hAnsi="KingsBureauGrot FiveOne"/>
                      <w:color w:val="auto"/>
                      <w:sz w:val="24"/>
                      <w:szCs w:val="24"/>
                    </w:rPr>
                    <w:t>Figure 1</w:t>
                  </w:r>
                </w:p>
              </w:txbxContent>
            </v:textbox>
          </v:shape>
        </w:pict>
      </w:r>
      <w:r w:rsidRPr="0033303F" w:rsidR="00295425">
        <w:rPr>
          <w:rFonts w:ascii="Verdana" w:hAnsi="Verdana"/>
          <w:i/>
          <w:sz w:val="22"/>
          <w:szCs w:val="22"/>
        </w:rPr>
        <w:t>Figure 2</w:t>
      </w:r>
    </w:p>
    <w:p w:rsidR="009A346B" w:rsidRPr="0033303F" w:rsidP="009A346B">
      <w:pPr>
        <w:jc w:val="both"/>
        <w:rPr>
          <w:rFonts w:ascii="Verdana" w:hAnsi="Verdana" w:cs="Calibri"/>
          <w:color w:val="000000"/>
          <w:sz w:val="22"/>
          <w:szCs w:val="22"/>
        </w:rPr>
      </w:pPr>
      <w:r w:rsidRPr="0033303F">
        <w:rPr>
          <w:rFonts w:ascii="Verdana" w:hAnsi="Verdana"/>
          <w:noProof/>
          <w:sz w:val="22"/>
          <w:szCs w:val="22"/>
          <w:lang w:val="pl-PL" w:eastAsia="pl-PL"/>
        </w:rPr>
        <w:drawing>
          <wp:anchor distT="0" distB="0" distL="114300" distR="114300" simplePos="0" relativeHeight="251660288" behindDoc="0" locked="0" layoutInCell="1" allowOverlap="1">
            <wp:simplePos x="0" y="0"/>
            <wp:positionH relativeFrom="column">
              <wp:posOffset>2933700</wp:posOffset>
            </wp:positionH>
            <wp:positionV relativeFrom="paragraph">
              <wp:posOffset>-1270</wp:posOffset>
            </wp:positionV>
            <wp:extent cx="2857500" cy="3352800"/>
            <wp:effectExtent l="0" t="0" r="0" b="0"/>
            <wp:wrapNone/>
            <wp:docPr id="4"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33303F">
        <w:rPr>
          <w:rFonts w:ascii="Verdana" w:hAnsi="Verdana"/>
          <w:noProof/>
          <w:sz w:val="22"/>
          <w:szCs w:val="22"/>
          <w:lang w:val="pl-PL" w:eastAsia="pl-PL"/>
        </w:rPr>
        <w:drawing>
          <wp:inline distT="0" distB="0" distL="0" distR="0">
            <wp:extent cx="2819400" cy="33528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A346B" w:rsidRPr="0033303F" w:rsidP="009A346B">
      <w:pPr>
        <w:jc w:val="both"/>
        <w:rPr>
          <w:rFonts w:ascii="Verdana" w:hAnsi="Verdana" w:cs="Calibri"/>
          <w:color w:val="000000"/>
          <w:sz w:val="22"/>
          <w:szCs w:val="22"/>
        </w:rPr>
      </w:pPr>
    </w:p>
    <w:p w:rsidR="007728E9" w:rsidRPr="0033303F" w:rsidP="009A346B">
      <w:pPr>
        <w:jc w:val="both"/>
        <w:rPr>
          <w:rFonts w:ascii="Verdana" w:hAnsi="Verdana" w:cs="Calibri"/>
          <w:color w:val="000000"/>
          <w:sz w:val="22"/>
          <w:szCs w:val="22"/>
        </w:rPr>
      </w:pPr>
      <w:r w:rsidRPr="0033303F">
        <w:rPr>
          <w:rFonts w:ascii="Verdana" w:hAnsi="Verdana" w:cs="Calibri"/>
          <w:color w:val="000000"/>
          <w:sz w:val="22"/>
          <w:szCs w:val="22"/>
        </w:rPr>
        <w:t>Some businesses postpone the decision to lay off staff. 53.2% of entrepreneurs predicted that they would run out of money within the next 12 months if the current situation continued (Figure 3). Some of them state that they “</w:t>
      </w:r>
      <w:r w:rsidRPr="0033303F">
        <w:rPr>
          <w:rFonts w:ascii="Verdana" w:hAnsi="Verdana" w:cs="Calibri"/>
          <w:i/>
          <w:color w:val="000000"/>
          <w:sz w:val="22"/>
          <w:szCs w:val="22"/>
        </w:rPr>
        <w:t>have cash, but will have to cut staff for long term</w:t>
      </w:r>
      <w:r w:rsidRPr="0033303F">
        <w:rPr>
          <w:rFonts w:ascii="Verdana" w:hAnsi="Verdana" w:cs="Calibri"/>
          <w:color w:val="000000"/>
          <w:sz w:val="22"/>
          <w:szCs w:val="22"/>
        </w:rPr>
        <w:t>” and that “</w:t>
      </w:r>
      <w:r w:rsidRPr="0033303F">
        <w:rPr>
          <w:rFonts w:ascii="Verdana" w:hAnsi="Verdana" w:cs="Calibri"/>
          <w:i/>
          <w:color w:val="000000"/>
          <w:sz w:val="22"/>
          <w:szCs w:val="22"/>
        </w:rPr>
        <w:t>without give help would have had to make staff redundant</w:t>
      </w:r>
      <w:r w:rsidRPr="0033303F">
        <w:rPr>
          <w:rFonts w:ascii="Verdana" w:hAnsi="Verdana" w:cs="Calibri"/>
          <w:color w:val="000000"/>
          <w:sz w:val="22"/>
          <w:szCs w:val="22"/>
        </w:rPr>
        <w:t xml:space="preserve">”. </w:t>
      </w:r>
    </w:p>
    <w:p w:rsidR="008C5D13" w:rsidRPr="0033303F" w:rsidP="009A346B">
      <w:pPr>
        <w:jc w:val="both"/>
        <w:rPr>
          <w:rFonts w:ascii="Verdana" w:hAnsi="Verdana" w:cs="Calibri"/>
          <w:color w:val="000000"/>
          <w:sz w:val="22"/>
          <w:szCs w:val="22"/>
        </w:rPr>
      </w:pPr>
    </w:p>
    <w:p w:rsidR="00652390" w:rsidRPr="0033303F">
      <w:pPr>
        <w:jc w:val="right"/>
        <w:rPr>
          <w:rFonts w:ascii="Verdana" w:hAnsi="Verdana" w:cs="Calibri"/>
          <w:i/>
          <w:color w:val="000000"/>
          <w:sz w:val="22"/>
          <w:szCs w:val="22"/>
        </w:rPr>
      </w:pPr>
      <w:r w:rsidRPr="0033303F">
        <w:rPr>
          <w:rFonts w:ascii="Verdana" w:hAnsi="Verdana" w:cs="Calibri"/>
          <w:i/>
          <w:color w:val="000000"/>
          <w:sz w:val="22"/>
          <w:szCs w:val="22"/>
        </w:rPr>
        <w:t>Figure 3</w:t>
      </w:r>
    </w:p>
    <w:p w:rsidR="00652390" w:rsidRPr="0033303F">
      <w:pPr>
        <w:jc w:val="right"/>
        <w:rPr>
          <w:rFonts w:ascii="Verdana" w:hAnsi="Verdana" w:cs="Calibri"/>
          <w:color w:val="000000"/>
          <w:sz w:val="22"/>
          <w:szCs w:val="22"/>
        </w:rPr>
      </w:pPr>
      <w:r w:rsidRPr="0033303F">
        <w:rPr>
          <w:rFonts w:ascii="Verdana" w:hAnsi="Verdana" w:cs="Calibri"/>
          <w:noProof/>
          <w:color w:val="000000"/>
          <w:sz w:val="22"/>
          <w:szCs w:val="22"/>
          <w:lang w:val="pl-PL" w:eastAsia="pl-PL"/>
        </w:rPr>
        <w:drawing>
          <wp:inline distT="0" distB="0" distL="0" distR="0">
            <wp:extent cx="5692775" cy="27559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728E9" w:rsidRPr="0033303F" w:rsidP="009A346B">
      <w:pPr>
        <w:jc w:val="both"/>
        <w:rPr>
          <w:rFonts w:ascii="Verdana" w:hAnsi="Verdana" w:cs="Calibri"/>
          <w:color w:val="000000"/>
          <w:sz w:val="22"/>
          <w:szCs w:val="22"/>
        </w:rPr>
      </w:pPr>
    </w:p>
    <w:p w:rsidR="009E1B5F" w:rsidRPr="0033303F" w:rsidP="009E1B5F">
      <w:pPr>
        <w:jc w:val="both"/>
        <w:rPr>
          <w:rFonts w:ascii="Verdana" w:hAnsi="Verdana" w:cs="Calibri"/>
          <w:color w:val="000000"/>
          <w:sz w:val="22"/>
          <w:szCs w:val="22"/>
        </w:rPr>
      </w:pPr>
      <w:r w:rsidRPr="0033303F">
        <w:rPr>
          <w:rFonts w:ascii="Verdana" w:hAnsi="Verdana" w:cs="Calibri"/>
          <w:color w:val="000000"/>
          <w:sz w:val="22"/>
          <w:szCs w:val="22"/>
        </w:rPr>
        <w:t xml:space="preserve">A large share of employers (43%) in our sample had furloughed staff (Figures 4 and 5). Some businesses had furloughed nearly all of their staff. These numbers corroborate those on the use of the Coronavirus Job Retention Scheme being the most utilized government support scheme in our sample (Figure 6). </w:t>
      </w:r>
    </w:p>
    <w:p w:rsidR="00946D8A" w:rsidRPr="0033303F" w:rsidP="009E1B5F">
      <w:pPr>
        <w:jc w:val="both"/>
        <w:rPr>
          <w:rFonts w:ascii="Verdana" w:hAnsi="Verdana" w:cs="Calibri"/>
          <w:color w:val="000000"/>
          <w:sz w:val="22"/>
          <w:szCs w:val="22"/>
        </w:rPr>
      </w:pPr>
    </w:p>
    <w:p w:rsidR="009E1B5F" w:rsidRPr="0033303F" w:rsidP="00946D8A">
      <w:pPr>
        <w:jc w:val="right"/>
        <w:rPr>
          <w:rFonts w:ascii="Verdana" w:hAnsi="Verdana"/>
          <w:i/>
          <w:sz w:val="22"/>
          <w:szCs w:val="22"/>
        </w:rPr>
      </w:pPr>
      <w:r>
        <w:rPr>
          <w:rFonts w:ascii="Verdana" w:hAnsi="Verdana"/>
          <w:i/>
          <w:noProof/>
          <w:sz w:val="22"/>
          <w:szCs w:val="22"/>
        </w:rPr>
        <w:pict>
          <v:shape id="Text Box 3" o:spid="_x0000_s1026" type="#_x0000_t202" style="height:12.9pt;margin-left:66.85pt;margin-top:1.55pt;mso-height-relative:margin;position:absolute;visibility:visible;width:153.45pt;z-index:251662336" stroked="f">
            <v:path arrowok="t" textboxrect="0,0,21600,21600"/>
            <v:textbox inset="0,0,0,0">
              <w:txbxContent>
                <w:p w:rsidR="00652390" w:rsidRPr="005E4C93" w:rsidP="00946D8A">
                  <w:pPr>
                    <w:pStyle w:val="Caption"/>
                    <w:jc w:val="right"/>
                    <w:rPr>
                      <w:rFonts w:ascii="KingsBureauGrot FiveOne" w:hAnsi="KingsBureauGrot FiveOne"/>
                      <w:noProof/>
                      <w:color w:val="auto"/>
                      <w:sz w:val="24"/>
                      <w:szCs w:val="24"/>
                    </w:rPr>
                  </w:pPr>
                  <w:r w:rsidRPr="005E4C93">
                    <w:rPr>
                      <w:rFonts w:ascii="KingsBureauGrot FiveOne" w:hAnsi="KingsBureauGrot FiveOne"/>
                      <w:color w:val="auto"/>
                      <w:sz w:val="24"/>
                      <w:szCs w:val="24"/>
                    </w:rPr>
                    <w:t xml:space="preserve">Figure </w:t>
                  </w:r>
                  <w:r>
                    <w:rPr>
                      <w:rFonts w:ascii="KingsBureauGrot FiveOne" w:hAnsi="KingsBureauGrot FiveOne"/>
                      <w:color w:val="auto"/>
                      <w:sz w:val="24"/>
                      <w:szCs w:val="24"/>
                    </w:rPr>
                    <w:t>4</w:t>
                  </w:r>
                </w:p>
              </w:txbxContent>
            </v:textbox>
          </v:shape>
        </w:pict>
      </w:r>
      <w:r w:rsidRPr="0033303F" w:rsidR="00295425">
        <w:rPr>
          <w:rFonts w:ascii="Verdana" w:hAnsi="Verdana"/>
          <w:i/>
          <w:sz w:val="22"/>
          <w:szCs w:val="22"/>
        </w:rPr>
        <w:t>Figure 5</w:t>
      </w:r>
      <w:r w:rsidRPr="0033303F" w:rsidR="00295425">
        <w:rPr>
          <w:rFonts w:ascii="Verdana" w:hAnsi="Verdana"/>
          <w:i/>
          <w:noProof/>
          <w:sz w:val="22"/>
          <w:szCs w:val="22"/>
          <w:lang w:val="pl-PL" w:eastAsia="pl-PL"/>
        </w:rPr>
        <w:drawing>
          <wp:anchor distT="0" distB="0" distL="114300" distR="114300" simplePos="0" relativeHeight="251661312" behindDoc="0" locked="0" layoutInCell="1" allowOverlap="1">
            <wp:simplePos x="0" y="0"/>
            <wp:positionH relativeFrom="column">
              <wp:posOffset>19050</wp:posOffset>
            </wp:positionH>
            <wp:positionV relativeFrom="paragraph">
              <wp:posOffset>334645</wp:posOffset>
            </wp:positionV>
            <wp:extent cx="2635250" cy="3251200"/>
            <wp:effectExtent l="0" t="0" r="0" b="0"/>
            <wp:wrapNone/>
            <wp:docPr id="2"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Pr="0033303F" w:rsidR="00295425">
        <w:rPr>
          <w:rFonts w:ascii="Verdana" w:hAnsi="Verdana"/>
          <w:i/>
          <w:noProof/>
          <w:sz w:val="22"/>
          <w:szCs w:val="22"/>
          <w:lang w:val="pl-PL" w:eastAsia="pl-PL"/>
        </w:rPr>
        <w:drawing>
          <wp:anchor distT="0" distB="0" distL="114300" distR="114300" simplePos="0" relativeHeight="251658240" behindDoc="0" locked="0" layoutInCell="1" allowOverlap="1">
            <wp:simplePos x="0" y="0"/>
            <wp:positionH relativeFrom="column">
              <wp:posOffset>2654300</wp:posOffset>
            </wp:positionH>
            <wp:positionV relativeFrom="paragraph">
              <wp:posOffset>334645</wp:posOffset>
            </wp:positionV>
            <wp:extent cx="3105150" cy="3359150"/>
            <wp:effectExtent l="0" t="0" r="0" b="0"/>
            <wp:wrapTopAndBottom/>
            <wp:docPr id="1"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8C5D13" w:rsidRPr="0033303F" w:rsidP="005A5938">
      <w:pPr>
        <w:jc w:val="both"/>
        <w:rPr>
          <w:rFonts w:ascii="Verdana" w:hAnsi="Verdana"/>
          <w:sz w:val="22"/>
          <w:szCs w:val="22"/>
        </w:rPr>
      </w:pPr>
    </w:p>
    <w:p w:rsidR="00652390" w:rsidRPr="0033303F">
      <w:pPr>
        <w:jc w:val="right"/>
        <w:rPr>
          <w:rFonts w:ascii="Verdana" w:hAnsi="Verdana"/>
          <w:i/>
          <w:sz w:val="22"/>
          <w:szCs w:val="22"/>
        </w:rPr>
      </w:pPr>
      <w:r w:rsidRPr="0033303F">
        <w:rPr>
          <w:rFonts w:ascii="Verdana" w:hAnsi="Verdana"/>
          <w:i/>
          <w:sz w:val="22"/>
          <w:szCs w:val="22"/>
        </w:rPr>
        <w:t>Figure 6</w:t>
      </w:r>
    </w:p>
    <w:p w:rsidR="00946D8A" w:rsidRPr="0033303F" w:rsidP="005A5938">
      <w:pPr>
        <w:jc w:val="both"/>
        <w:rPr>
          <w:rFonts w:ascii="Verdana" w:hAnsi="Verdana"/>
          <w:sz w:val="22"/>
          <w:szCs w:val="22"/>
        </w:rPr>
      </w:pPr>
      <w:r w:rsidRPr="0033303F">
        <w:rPr>
          <w:rFonts w:ascii="Verdana" w:hAnsi="Verdana"/>
          <w:noProof/>
          <w:sz w:val="22"/>
          <w:szCs w:val="22"/>
          <w:lang w:val="pl-PL" w:eastAsia="pl-PL"/>
        </w:rPr>
        <w:drawing>
          <wp:inline distT="0" distB="0" distL="0" distR="0">
            <wp:extent cx="5734050" cy="35941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C5D13" w:rsidRPr="0033303F" w:rsidP="005A5938">
      <w:pPr>
        <w:jc w:val="both"/>
        <w:rPr>
          <w:rFonts w:ascii="Verdana" w:hAnsi="Verdana"/>
          <w:sz w:val="22"/>
          <w:szCs w:val="22"/>
        </w:rPr>
      </w:pPr>
    </w:p>
    <w:p w:rsidR="00A45F8B" w:rsidRPr="0033303F" w:rsidP="005A5938">
      <w:pPr>
        <w:jc w:val="both"/>
        <w:rPr>
          <w:rFonts w:ascii="Verdana" w:hAnsi="Verdana"/>
          <w:sz w:val="22"/>
          <w:szCs w:val="22"/>
        </w:rPr>
      </w:pPr>
    </w:p>
    <w:p w:rsidR="00946D8A" w:rsidRPr="0033303F" w:rsidP="005A5938">
      <w:pPr>
        <w:jc w:val="both"/>
        <w:rPr>
          <w:rFonts w:ascii="Verdana" w:hAnsi="Verdana"/>
          <w:b/>
          <w:i/>
          <w:sz w:val="22"/>
          <w:szCs w:val="22"/>
        </w:rPr>
      </w:pPr>
      <w:r w:rsidRPr="0033303F">
        <w:rPr>
          <w:rFonts w:ascii="Verdana" w:hAnsi="Verdana"/>
          <w:b/>
          <w:i/>
          <w:sz w:val="22"/>
          <w:szCs w:val="22"/>
        </w:rPr>
        <w:t>Policy recommendations</w:t>
      </w:r>
    </w:p>
    <w:p w:rsidR="00652390" w:rsidRPr="0033303F">
      <w:pPr>
        <w:pStyle w:val="ListParagraph"/>
        <w:numPr>
          <w:ilvl w:val="0"/>
          <w:numId w:val="38"/>
        </w:numPr>
        <w:ind w:left="284" w:hanging="284"/>
        <w:jc w:val="both"/>
        <w:rPr>
          <w:rFonts w:ascii="Verdana" w:hAnsi="Verdana"/>
          <w:b/>
          <w:bCs/>
          <w:sz w:val="22"/>
          <w:szCs w:val="22"/>
        </w:rPr>
      </w:pPr>
      <w:r w:rsidRPr="0033303F">
        <w:rPr>
          <w:rFonts w:ascii="Verdana" w:hAnsi="Verdana"/>
          <w:b/>
          <w:bCs/>
          <w:sz w:val="22"/>
          <w:szCs w:val="22"/>
        </w:rPr>
        <w:t>Extending the Coronavirus Job Retention Scheme</w:t>
      </w:r>
    </w:p>
    <w:p w:rsidR="00946D8A" w:rsidRPr="0033303F" w:rsidP="005A5938">
      <w:pPr>
        <w:jc w:val="both"/>
        <w:rPr>
          <w:rFonts w:ascii="Verdana" w:hAnsi="Verdana"/>
          <w:sz w:val="22"/>
          <w:szCs w:val="22"/>
        </w:rPr>
      </w:pPr>
      <w:r w:rsidRPr="0033303F">
        <w:rPr>
          <w:rFonts w:ascii="Verdana" w:hAnsi="Verdana"/>
          <w:sz w:val="22"/>
          <w:szCs w:val="22"/>
        </w:rPr>
        <w:t>In our sample, the effect of the pandemic has a limited impact on employment, probably due to the significant use of the Coronavirus Job Retention Scheme (45%). This suggests that continuing the Scheme would help mitigating the rise of unemployment, especially during fall and winter when employment is traditionally lower. Moreover, taking into consideration that the severity of the crisis varies regionally and locally, the Coronavirus Job Retention Scheme could also be offered to alleviate the effects of local lockdowns on employment.</w:t>
      </w:r>
    </w:p>
    <w:p w:rsidR="00946D8A" w:rsidRPr="0033303F" w:rsidP="005A5938">
      <w:pPr>
        <w:jc w:val="both"/>
        <w:rPr>
          <w:rFonts w:ascii="Verdana" w:hAnsi="Verdana"/>
          <w:sz w:val="22"/>
          <w:szCs w:val="22"/>
        </w:rPr>
      </w:pPr>
    </w:p>
    <w:p w:rsidR="001309C4" w:rsidRPr="0033303F" w:rsidP="0029422C">
      <w:pPr>
        <w:pStyle w:val="ListParagraph"/>
        <w:numPr>
          <w:ilvl w:val="0"/>
          <w:numId w:val="29"/>
        </w:numPr>
        <w:jc w:val="both"/>
        <w:outlineLvl w:val="0"/>
        <w:rPr>
          <w:rFonts w:ascii="Verdana" w:hAnsi="Verdana"/>
          <w:b/>
          <w:sz w:val="22"/>
          <w:szCs w:val="22"/>
        </w:rPr>
      </w:pPr>
      <w:bookmarkStart w:id="4" w:name="_Toc51600634"/>
      <w:r w:rsidRPr="0033303F">
        <w:rPr>
          <w:rFonts w:ascii="Verdana" w:hAnsi="Verdana" w:cs="Calibri"/>
          <w:b/>
          <w:color w:val="000000"/>
          <w:sz w:val="22"/>
          <w:szCs w:val="22"/>
        </w:rPr>
        <w:t>Employment beyond COVID-19 pandemic</w:t>
      </w:r>
      <w:bookmarkEnd w:id="4"/>
    </w:p>
    <w:p w:rsidR="00F014AA" w:rsidRPr="0033303F" w:rsidP="005A5938">
      <w:pPr>
        <w:jc w:val="both"/>
        <w:rPr>
          <w:rFonts w:ascii="Verdana" w:hAnsi="Verdana"/>
          <w:b/>
          <w:bCs/>
          <w:i/>
          <w:iCs/>
          <w:sz w:val="22"/>
          <w:szCs w:val="22"/>
        </w:rPr>
      </w:pPr>
      <w:r w:rsidRPr="0033303F">
        <w:rPr>
          <w:rFonts w:ascii="Verdana" w:hAnsi="Verdana"/>
          <w:b/>
          <w:bCs/>
          <w:i/>
          <w:iCs/>
          <w:sz w:val="22"/>
          <w:szCs w:val="22"/>
        </w:rPr>
        <w:t>Summary of prospects for future employment</w:t>
      </w:r>
    </w:p>
    <w:p w:rsidR="007B34EE" w:rsidRPr="0033303F" w:rsidP="007B34EE">
      <w:pPr>
        <w:pStyle w:val="ListParagraph"/>
        <w:numPr>
          <w:ilvl w:val="0"/>
          <w:numId w:val="24"/>
        </w:numPr>
        <w:spacing w:before="0" w:beforeAutospacing="0" w:after="0" w:afterAutospacing="0"/>
        <w:contextualSpacing/>
        <w:jc w:val="both"/>
        <w:rPr>
          <w:rFonts w:ascii="Verdana" w:hAnsi="Verdana" w:cs="Calibri"/>
          <w:sz w:val="22"/>
          <w:szCs w:val="22"/>
        </w:rPr>
      </w:pPr>
      <w:r w:rsidRPr="0033303F">
        <w:rPr>
          <w:rFonts w:ascii="Verdana" w:hAnsi="Verdana" w:cs="Calibri"/>
          <w:bCs/>
          <w:sz w:val="22"/>
          <w:szCs w:val="22"/>
        </w:rPr>
        <w:t>Entrepreneurs looked to the future with confidence</w:t>
      </w:r>
      <w:r w:rsidRPr="0033303F">
        <w:rPr>
          <w:rFonts w:ascii="Verdana" w:hAnsi="Verdana" w:cs="Calibri"/>
          <w:sz w:val="22"/>
          <w:szCs w:val="22"/>
        </w:rPr>
        <w:t xml:space="preserve"> with nearly half seeing their business surviving the crisis eventually and 1/3 expecting their business to be even larger than pre-pandemic.</w:t>
      </w:r>
      <w:r w:rsidRPr="0033303F">
        <w:rPr>
          <w:rFonts w:ascii="Verdana" w:hAnsi="Verdana"/>
          <w:sz w:val="22"/>
          <w:szCs w:val="22"/>
        </w:rPr>
        <w:t xml:space="preserve"> </w:t>
      </w:r>
    </w:p>
    <w:p w:rsidR="00EA38EF" w:rsidRPr="0033303F" w:rsidP="00EA38EF">
      <w:pPr>
        <w:pStyle w:val="ListParagraph"/>
        <w:numPr>
          <w:ilvl w:val="0"/>
          <w:numId w:val="24"/>
        </w:numPr>
        <w:spacing w:before="0" w:beforeAutospacing="0" w:after="0" w:afterAutospacing="0"/>
        <w:contextualSpacing/>
        <w:jc w:val="both"/>
        <w:rPr>
          <w:rFonts w:ascii="Verdana" w:hAnsi="Verdana"/>
          <w:sz w:val="22"/>
          <w:szCs w:val="22"/>
        </w:rPr>
      </w:pPr>
      <w:r w:rsidRPr="0033303F">
        <w:rPr>
          <w:rFonts w:ascii="Verdana" w:hAnsi="Verdana" w:cs="Calibri"/>
          <w:bCs/>
          <w:sz w:val="22"/>
          <w:szCs w:val="22"/>
        </w:rPr>
        <w:t>Almost</w:t>
      </w:r>
      <w:r w:rsidRPr="0033303F">
        <w:rPr>
          <w:rFonts w:ascii="Verdana" w:hAnsi="Verdana" w:cs="Calibri"/>
          <w:sz w:val="22"/>
          <w:szCs w:val="22"/>
        </w:rPr>
        <w:t xml:space="preserve"> </w:t>
      </w:r>
      <w:r w:rsidRPr="0033303F">
        <w:rPr>
          <w:rFonts w:ascii="Verdana" w:hAnsi="Verdana" w:cs="Calibri"/>
          <w:bCs/>
          <w:sz w:val="22"/>
          <w:szCs w:val="22"/>
        </w:rPr>
        <w:t>half of the entrepreneurs were able to capture new business opportunities during the lockdown.</w:t>
      </w:r>
    </w:p>
    <w:p w:rsidR="00EA38EF" w:rsidRPr="0033303F" w:rsidP="00EA38EF">
      <w:pPr>
        <w:pStyle w:val="ListParagraph"/>
        <w:numPr>
          <w:ilvl w:val="0"/>
          <w:numId w:val="24"/>
        </w:numPr>
        <w:spacing w:before="0" w:beforeAutospacing="0" w:after="0" w:afterAutospacing="0"/>
        <w:contextualSpacing/>
        <w:jc w:val="both"/>
        <w:rPr>
          <w:rFonts w:ascii="Verdana" w:hAnsi="Verdana"/>
          <w:sz w:val="22"/>
          <w:szCs w:val="22"/>
        </w:rPr>
      </w:pPr>
      <w:r w:rsidRPr="0033303F">
        <w:rPr>
          <w:rFonts w:ascii="Verdana" w:hAnsi="Verdana" w:cs="Calibri"/>
          <w:sz w:val="22"/>
          <w:szCs w:val="22"/>
        </w:rPr>
        <w:t xml:space="preserve">Entrepreneurs also anticipated an </w:t>
      </w:r>
      <w:r w:rsidRPr="0033303F">
        <w:rPr>
          <w:rFonts w:ascii="Verdana" w:hAnsi="Verdana" w:cs="Calibri"/>
          <w:bCs/>
          <w:sz w:val="22"/>
          <w:szCs w:val="22"/>
        </w:rPr>
        <w:t>acceleration of their existing business</w:t>
      </w:r>
      <w:r w:rsidRPr="0033303F">
        <w:rPr>
          <w:rFonts w:ascii="Verdana" w:hAnsi="Verdana" w:cs="Calibri"/>
          <w:sz w:val="22"/>
          <w:szCs w:val="22"/>
        </w:rPr>
        <w:t>, often tied to online services. Many expect cost savings due to increased remote working, others are reviewing their business offerings and the business model itself. Many see opportunities related to a shift in customer behaviours due to the pandemic.</w:t>
      </w:r>
    </w:p>
    <w:p w:rsidR="007B34EE" w:rsidRPr="0033303F" w:rsidP="007B34EE">
      <w:pPr>
        <w:pStyle w:val="ListParagraph"/>
        <w:numPr>
          <w:ilvl w:val="0"/>
          <w:numId w:val="24"/>
        </w:numPr>
        <w:spacing w:before="0" w:beforeAutospacing="0" w:after="0" w:afterAutospacing="0"/>
        <w:contextualSpacing/>
        <w:jc w:val="both"/>
        <w:rPr>
          <w:rFonts w:ascii="Verdana" w:hAnsi="Verdana" w:cs="Calibri"/>
          <w:sz w:val="22"/>
          <w:szCs w:val="22"/>
        </w:rPr>
      </w:pPr>
      <w:r w:rsidRPr="0033303F">
        <w:rPr>
          <w:rFonts w:ascii="Verdana" w:hAnsi="Verdana" w:cs="Calibri"/>
          <w:bCs/>
          <w:sz w:val="22"/>
          <w:szCs w:val="22"/>
        </w:rPr>
        <w:t>72.5% of entrepreneurs expected to add employees to their business over the next 5 years</w:t>
      </w:r>
      <w:r w:rsidRPr="0033303F">
        <w:rPr>
          <w:rFonts w:ascii="Verdana" w:hAnsi="Verdana" w:cs="Calibri"/>
          <w:sz w:val="22"/>
          <w:szCs w:val="22"/>
        </w:rPr>
        <w:t>.</w:t>
      </w:r>
    </w:p>
    <w:p w:rsidR="00F014AA" w:rsidRPr="0033303F" w:rsidP="005A5938">
      <w:pPr>
        <w:jc w:val="both"/>
        <w:rPr>
          <w:rFonts w:ascii="Verdana" w:hAnsi="Verdana"/>
          <w:sz w:val="22"/>
          <w:szCs w:val="22"/>
        </w:rPr>
      </w:pPr>
    </w:p>
    <w:p w:rsidR="000A6973" w:rsidRPr="0033303F" w:rsidP="000A6973">
      <w:pPr>
        <w:jc w:val="both"/>
        <w:rPr>
          <w:rFonts w:ascii="Verdana" w:hAnsi="Verdana" w:cs="Calibri"/>
          <w:b/>
          <w:bCs/>
          <w:i/>
          <w:iCs/>
          <w:color w:val="000000"/>
          <w:sz w:val="22"/>
          <w:szCs w:val="22"/>
        </w:rPr>
      </w:pPr>
      <w:r w:rsidRPr="0033303F">
        <w:rPr>
          <w:rFonts w:ascii="Verdana" w:hAnsi="Verdana" w:cs="Calibri"/>
          <w:b/>
          <w:bCs/>
          <w:i/>
          <w:iCs/>
          <w:color w:val="000000"/>
          <w:sz w:val="22"/>
          <w:szCs w:val="22"/>
        </w:rPr>
        <w:t>Detailed findings</w:t>
      </w:r>
    </w:p>
    <w:p w:rsidR="00EA38EF" w:rsidRPr="0033303F" w:rsidP="00EA38EF">
      <w:pPr>
        <w:jc w:val="both"/>
        <w:rPr>
          <w:rFonts w:ascii="Verdana" w:hAnsi="Verdana"/>
          <w:sz w:val="22"/>
          <w:szCs w:val="22"/>
        </w:rPr>
      </w:pPr>
      <w:r w:rsidRPr="0033303F">
        <w:rPr>
          <w:rFonts w:ascii="Verdana" w:hAnsi="Verdana"/>
          <w:sz w:val="22"/>
          <w:szCs w:val="22"/>
        </w:rPr>
        <w:t>In general, entrepreneurs are rather hopeful about long-term future, although it should be emphasized that they tend to be over-optimistic by nature. Only 3% fear that their business is unlikely to recover from the pandemic. About half of business owners foresee that their businesses will suffer, but will eventually survive the pandemic and about one-third expect that their businesses will grow even larger after the crisis.</w:t>
      </w:r>
    </w:p>
    <w:p w:rsidR="00EA38EF" w:rsidRPr="0033303F" w:rsidP="00EA38EF">
      <w:pPr>
        <w:jc w:val="both"/>
        <w:rPr>
          <w:rFonts w:ascii="Verdana" w:hAnsi="Verdana"/>
          <w:sz w:val="22"/>
          <w:szCs w:val="22"/>
        </w:rPr>
      </w:pPr>
    </w:p>
    <w:p w:rsidR="007F26F9" w:rsidRPr="0033303F" w:rsidP="00C217A7">
      <w:pPr>
        <w:jc w:val="both"/>
        <w:rPr>
          <w:rFonts w:ascii="Verdana" w:hAnsi="Verdana"/>
          <w:sz w:val="22"/>
          <w:szCs w:val="22"/>
        </w:rPr>
      </w:pPr>
      <w:r w:rsidRPr="0033303F">
        <w:rPr>
          <w:rFonts w:ascii="Verdana" w:hAnsi="Verdana"/>
          <w:sz w:val="22"/>
          <w:szCs w:val="22"/>
        </w:rPr>
        <w:t xml:space="preserve">Almost half of the entrepreneurs were able to capture new business opportunities during the lockdown by developing new products and services (especially in the digital space), others reviewed business practices or repositioned their businesses entirely. Many entrepreneurs leveraged existing digital and online capabilities; others started to cater for the healthcare space (NHS / COVID-19 related). We also enquired explicitly about the expansion of </w:t>
      </w:r>
      <w:r w:rsidRPr="0033303F">
        <w:rPr>
          <w:rFonts w:ascii="Verdana" w:hAnsi="Verdana"/>
          <w:b/>
          <w:bCs/>
          <w:sz w:val="22"/>
          <w:szCs w:val="22"/>
        </w:rPr>
        <w:t xml:space="preserve">online trade </w:t>
      </w:r>
      <w:r w:rsidRPr="0033303F">
        <w:rPr>
          <w:rFonts w:ascii="Verdana" w:hAnsi="Verdana"/>
          <w:sz w:val="22"/>
          <w:szCs w:val="22"/>
        </w:rPr>
        <w:t xml:space="preserve">as this had received much attention in the media. Few of the entrepreneurs in our sample </w:t>
      </w:r>
      <w:r w:rsidRPr="0033303F">
        <w:rPr>
          <w:rFonts w:ascii="Verdana" w:hAnsi="Verdana"/>
          <w:i/>
          <w:iCs/>
          <w:sz w:val="22"/>
          <w:szCs w:val="22"/>
        </w:rPr>
        <w:t>newly</w:t>
      </w:r>
      <w:r w:rsidRPr="0033303F">
        <w:rPr>
          <w:rFonts w:ascii="Verdana" w:hAnsi="Verdana"/>
          <w:sz w:val="22"/>
          <w:szCs w:val="22"/>
        </w:rPr>
        <w:t xml:space="preserve"> engaged with online trading or delivery. In fact, many seemed well-prepared, with 45% of entrepreneurs already having online capabilities and 9% adding new ones (Figure 7).</w:t>
      </w:r>
    </w:p>
    <w:p w:rsidR="006425F5" w:rsidRPr="0033303F" w:rsidP="006425F5">
      <w:pPr>
        <w:jc w:val="both"/>
        <w:rPr>
          <w:rFonts w:ascii="Verdana" w:hAnsi="Verdana"/>
          <w:sz w:val="22"/>
          <w:szCs w:val="22"/>
        </w:rPr>
      </w:pPr>
    </w:p>
    <w:p w:rsidR="00A45F8B" w:rsidRPr="0033303F" w:rsidP="006425F5">
      <w:pPr>
        <w:jc w:val="both"/>
        <w:rPr>
          <w:rFonts w:ascii="Verdana" w:hAnsi="Verdana"/>
          <w:sz w:val="22"/>
          <w:szCs w:val="22"/>
        </w:rPr>
      </w:pPr>
    </w:p>
    <w:p w:rsidR="00A45F8B" w:rsidRPr="0033303F" w:rsidP="006425F5">
      <w:pPr>
        <w:jc w:val="both"/>
        <w:rPr>
          <w:rFonts w:ascii="Verdana" w:hAnsi="Verdana"/>
          <w:sz w:val="22"/>
          <w:szCs w:val="22"/>
        </w:rPr>
      </w:pPr>
    </w:p>
    <w:p w:rsidR="00A45F8B" w:rsidRPr="0033303F" w:rsidP="006425F5">
      <w:pPr>
        <w:jc w:val="both"/>
        <w:rPr>
          <w:rFonts w:ascii="Verdana" w:hAnsi="Verdana"/>
          <w:sz w:val="22"/>
          <w:szCs w:val="22"/>
        </w:rPr>
      </w:pPr>
    </w:p>
    <w:p w:rsidR="00A45F8B" w:rsidRPr="0033303F" w:rsidP="006425F5">
      <w:pPr>
        <w:jc w:val="both"/>
        <w:rPr>
          <w:rFonts w:ascii="Verdana" w:hAnsi="Verdana"/>
          <w:sz w:val="22"/>
          <w:szCs w:val="22"/>
        </w:rPr>
      </w:pPr>
    </w:p>
    <w:p w:rsidR="00A45F8B" w:rsidRPr="0033303F" w:rsidP="006425F5">
      <w:pPr>
        <w:jc w:val="both"/>
        <w:rPr>
          <w:rFonts w:ascii="Verdana" w:hAnsi="Verdana"/>
          <w:sz w:val="22"/>
          <w:szCs w:val="22"/>
        </w:rPr>
      </w:pPr>
    </w:p>
    <w:p w:rsidR="00652390" w:rsidRPr="0033303F">
      <w:pPr>
        <w:jc w:val="right"/>
        <w:rPr>
          <w:rFonts w:ascii="Verdana" w:hAnsi="Verdana"/>
          <w:i/>
          <w:sz w:val="22"/>
          <w:szCs w:val="22"/>
        </w:rPr>
      </w:pPr>
      <w:r w:rsidRPr="0033303F">
        <w:rPr>
          <w:rFonts w:ascii="Verdana" w:hAnsi="Verdana"/>
          <w:i/>
          <w:sz w:val="22"/>
          <w:szCs w:val="22"/>
        </w:rPr>
        <w:t>Figure 7</w:t>
      </w:r>
    </w:p>
    <w:p w:rsidR="007B1903" w:rsidRPr="0033303F">
      <w:pPr>
        <w:jc w:val="center"/>
        <w:rPr>
          <w:rFonts w:ascii="Verdana" w:hAnsi="Verdana"/>
          <w:sz w:val="22"/>
          <w:szCs w:val="22"/>
        </w:rPr>
      </w:pPr>
      <w:r w:rsidRPr="0033303F">
        <w:rPr>
          <w:rFonts w:ascii="Verdana" w:hAnsi="Verdana"/>
          <w:noProof/>
          <w:sz w:val="22"/>
          <w:szCs w:val="22"/>
          <w:lang w:val="pl-PL" w:eastAsia="pl-PL"/>
        </w:rPr>
        <w:drawing>
          <wp:inline distT="0" distB="0" distL="0" distR="0">
            <wp:extent cx="4001770" cy="268605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7782B" w:rsidRPr="0033303F" w:rsidP="006425F5">
      <w:pPr>
        <w:jc w:val="both"/>
        <w:rPr>
          <w:rFonts w:ascii="Verdana" w:hAnsi="Verdana"/>
          <w:sz w:val="22"/>
          <w:szCs w:val="22"/>
        </w:rPr>
      </w:pPr>
    </w:p>
    <w:p w:rsidR="00035863" w:rsidRPr="0033303F" w:rsidP="00035863">
      <w:pPr>
        <w:jc w:val="both"/>
        <w:rPr>
          <w:rFonts w:ascii="Verdana" w:hAnsi="Verdana"/>
          <w:sz w:val="22"/>
          <w:szCs w:val="22"/>
        </w:rPr>
      </w:pPr>
      <w:r w:rsidRPr="0033303F">
        <w:rPr>
          <w:rFonts w:ascii="Verdana" w:hAnsi="Verdana"/>
          <w:sz w:val="22"/>
          <w:szCs w:val="22"/>
        </w:rPr>
        <w:t xml:space="preserve">Over half of entrepreneurs (53.6%) see positive long-term impacts of the Covid-19 pandemic on their business. 172 entrepreneurs provided explanations of the nature of this positive impact. These explanations fell broadly into four categories which reflect change in the nature of the business activity; from doing more of the same in higher volume, to doing the same but more efficiently, to refocusing the business and capturing new business opportunities. </w:t>
      </w:r>
    </w:p>
    <w:p w:rsidR="00802381" w:rsidRPr="0033303F" w:rsidP="006425F5">
      <w:pPr>
        <w:jc w:val="both"/>
        <w:rPr>
          <w:rFonts w:ascii="Verdana" w:hAnsi="Verdana"/>
          <w:sz w:val="22"/>
          <w:szCs w:val="22"/>
        </w:rPr>
      </w:pPr>
    </w:p>
    <w:p w:rsidR="00035863" w:rsidRPr="0033303F" w:rsidP="00035863">
      <w:pPr>
        <w:jc w:val="both"/>
        <w:rPr>
          <w:rFonts w:ascii="Verdana" w:hAnsi="Verdana"/>
          <w:sz w:val="22"/>
          <w:szCs w:val="22"/>
        </w:rPr>
      </w:pPr>
      <w:r w:rsidRPr="0033303F">
        <w:rPr>
          <w:rFonts w:ascii="Verdana" w:hAnsi="Verdana"/>
          <w:sz w:val="22"/>
          <w:szCs w:val="22"/>
        </w:rPr>
        <w:t xml:space="preserve">The positive long-term forecast is also reflected in the specific job growth expectations of entrepreneurs (Figure 8). Relative to the current number of </w:t>
      </w:r>
      <w:r w:rsidRPr="0033303F">
        <w:rPr>
          <w:rFonts w:ascii="Verdana" w:hAnsi="Verdana"/>
          <w:sz w:val="22"/>
          <w:szCs w:val="22"/>
        </w:rPr>
        <w:t>employees, few entrepreneurs expect a drop (11%) or no change (17%) in employment in the long-term (5 years). The majority (72.5%) expect to add employees to their business and most additions are expected to be substantive (i.e., nearly half of entrepreneurs expect to hire more than 5 employees). When the growth expectations are related to current employment of the businesses, almost half of business owners expect that their business will more than double in size of employment. Almost 8% of entrepreneurs expect that their businesses will grow more than 10 times bigger. Notably, while these are expectations, past research following entrepreneurs over time finds that such growth expectations are a good predictor of actual employment growth in firms</w:t>
      </w:r>
      <w:r>
        <w:rPr>
          <w:rStyle w:val="FootnoteReference"/>
          <w:rFonts w:ascii="Verdana" w:hAnsi="Verdana"/>
          <w:sz w:val="22"/>
          <w:szCs w:val="22"/>
        </w:rPr>
        <w:footnoteReference w:id="2"/>
      </w:r>
      <w:r w:rsidRPr="0033303F">
        <w:rPr>
          <w:rFonts w:ascii="Verdana" w:hAnsi="Verdana"/>
          <w:sz w:val="22"/>
          <w:szCs w:val="22"/>
        </w:rPr>
        <w:t xml:space="preserve">. </w:t>
      </w:r>
    </w:p>
    <w:p w:rsidR="00035863" w:rsidRPr="0033303F" w:rsidP="00035863">
      <w:pPr>
        <w:rPr>
          <w:rFonts w:ascii="Verdana" w:hAnsi="Verdana"/>
          <w:sz w:val="22"/>
          <w:szCs w:val="22"/>
        </w:rPr>
      </w:pPr>
    </w:p>
    <w:p w:rsidR="00A45F8B" w:rsidRPr="0033303F" w:rsidP="00035863">
      <w:pPr>
        <w:rPr>
          <w:rFonts w:ascii="Verdana" w:hAnsi="Verdana"/>
          <w:sz w:val="22"/>
          <w:szCs w:val="22"/>
        </w:rPr>
      </w:pPr>
    </w:p>
    <w:p w:rsidR="00A45F8B" w:rsidRPr="0033303F" w:rsidP="00035863">
      <w:pPr>
        <w:rPr>
          <w:rFonts w:ascii="Verdana" w:hAnsi="Verdana"/>
          <w:sz w:val="22"/>
          <w:szCs w:val="22"/>
        </w:rPr>
      </w:pPr>
    </w:p>
    <w:p w:rsidR="00A45F8B" w:rsidRPr="0033303F" w:rsidP="00035863">
      <w:pPr>
        <w:rPr>
          <w:rFonts w:ascii="Verdana" w:hAnsi="Verdana"/>
          <w:sz w:val="22"/>
          <w:szCs w:val="22"/>
        </w:rPr>
      </w:pPr>
    </w:p>
    <w:p w:rsidR="00A45F8B" w:rsidRPr="0033303F" w:rsidP="00035863">
      <w:pPr>
        <w:rPr>
          <w:rFonts w:ascii="Verdana" w:hAnsi="Verdana"/>
          <w:sz w:val="22"/>
          <w:szCs w:val="22"/>
        </w:rPr>
      </w:pPr>
    </w:p>
    <w:p w:rsidR="00A45F8B" w:rsidRPr="0033303F" w:rsidP="00035863">
      <w:pPr>
        <w:rPr>
          <w:rFonts w:ascii="Verdana" w:hAnsi="Verdana"/>
          <w:sz w:val="22"/>
          <w:szCs w:val="22"/>
        </w:rPr>
      </w:pPr>
    </w:p>
    <w:p w:rsidR="00A45F8B" w:rsidRPr="0033303F" w:rsidP="00035863">
      <w:pPr>
        <w:rPr>
          <w:rFonts w:ascii="Verdana" w:hAnsi="Verdana"/>
          <w:sz w:val="22"/>
          <w:szCs w:val="22"/>
        </w:rPr>
      </w:pPr>
    </w:p>
    <w:p w:rsidR="00A45F8B" w:rsidRPr="0033303F" w:rsidP="00035863">
      <w:pPr>
        <w:rPr>
          <w:rFonts w:ascii="Verdana" w:hAnsi="Verdana"/>
          <w:sz w:val="22"/>
          <w:szCs w:val="22"/>
        </w:rPr>
      </w:pPr>
    </w:p>
    <w:p w:rsidR="00A45F8B" w:rsidRPr="0033303F" w:rsidP="00035863">
      <w:pPr>
        <w:rPr>
          <w:rFonts w:ascii="Verdana" w:hAnsi="Verdana"/>
          <w:sz w:val="22"/>
          <w:szCs w:val="22"/>
        </w:rPr>
      </w:pPr>
    </w:p>
    <w:p w:rsidR="00035863" w:rsidRPr="0033303F" w:rsidP="00035863">
      <w:pPr>
        <w:jc w:val="right"/>
        <w:rPr>
          <w:rFonts w:ascii="Verdana" w:hAnsi="Verdana"/>
          <w:i/>
          <w:sz w:val="22"/>
          <w:szCs w:val="22"/>
        </w:rPr>
      </w:pPr>
      <w:r w:rsidRPr="0033303F">
        <w:rPr>
          <w:rFonts w:ascii="Verdana" w:hAnsi="Verdana"/>
          <w:i/>
          <w:sz w:val="22"/>
          <w:szCs w:val="22"/>
        </w:rPr>
        <w:t>Figure 8</w:t>
      </w:r>
    </w:p>
    <w:p w:rsidR="006878F8" w:rsidRPr="0033303F" w:rsidP="00035863">
      <w:pPr>
        <w:jc w:val="right"/>
        <w:rPr>
          <w:rFonts w:ascii="Verdana" w:hAnsi="Verdana"/>
          <w:i/>
          <w:sz w:val="22"/>
          <w:szCs w:val="22"/>
        </w:rPr>
      </w:pPr>
      <w:r w:rsidRPr="0033303F">
        <w:rPr>
          <w:rFonts w:ascii="Verdana" w:hAnsi="Verdana"/>
          <w:i/>
          <w:noProof/>
          <w:sz w:val="22"/>
          <w:szCs w:val="22"/>
          <w:lang w:val="pl-PL" w:eastAsia="pl-PL"/>
        </w:rPr>
        <w:drawing>
          <wp:inline distT="0" distB="0" distL="0" distR="0">
            <wp:extent cx="5724525" cy="3660775"/>
            <wp:effectExtent l="19050" t="0" r="9525" b="0"/>
            <wp:docPr id="6"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02381" w:rsidRPr="0033303F" w:rsidP="006425F5">
      <w:pPr>
        <w:jc w:val="both"/>
        <w:rPr>
          <w:rFonts w:ascii="Verdana" w:hAnsi="Verdana"/>
          <w:sz w:val="22"/>
          <w:szCs w:val="22"/>
        </w:rPr>
      </w:pPr>
    </w:p>
    <w:p w:rsidR="00030C0D" w:rsidRPr="0033303F" w:rsidP="00030C0D">
      <w:pPr>
        <w:jc w:val="both"/>
        <w:rPr>
          <w:rFonts w:ascii="Verdana" w:hAnsi="Verdana"/>
          <w:b/>
          <w:i/>
          <w:sz w:val="22"/>
          <w:szCs w:val="22"/>
        </w:rPr>
      </w:pPr>
      <w:r w:rsidRPr="0033303F">
        <w:rPr>
          <w:rFonts w:ascii="Verdana" w:hAnsi="Verdana"/>
          <w:b/>
          <w:i/>
          <w:sz w:val="22"/>
          <w:szCs w:val="22"/>
        </w:rPr>
        <w:t>Policy recommendations</w:t>
      </w:r>
    </w:p>
    <w:p w:rsidR="00652390" w:rsidRPr="0033303F">
      <w:pPr>
        <w:pStyle w:val="ListParagraph"/>
        <w:numPr>
          <w:ilvl w:val="0"/>
          <w:numId w:val="38"/>
        </w:numPr>
        <w:ind w:left="284" w:hanging="284"/>
        <w:jc w:val="both"/>
        <w:rPr>
          <w:rFonts w:ascii="Verdana" w:hAnsi="Verdana"/>
          <w:sz w:val="22"/>
          <w:szCs w:val="22"/>
        </w:rPr>
      </w:pPr>
      <w:r w:rsidRPr="0033303F">
        <w:rPr>
          <w:rFonts w:ascii="Verdana" w:hAnsi="Verdana"/>
          <w:b/>
          <w:bCs/>
          <w:sz w:val="22"/>
          <w:szCs w:val="22"/>
        </w:rPr>
        <w:t>Providing tools and support to capture opportunities</w:t>
      </w:r>
    </w:p>
    <w:p w:rsidR="00DE0BEE" w:rsidRPr="0033303F" w:rsidP="00DE0BEE">
      <w:pPr>
        <w:jc w:val="both"/>
        <w:rPr>
          <w:rFonts w:ascii="Verdana" w:hAnsi="Verdana"/>
          <w:sz w:val="22"/>
          <w:szCs w:val="22"/>
        </w:rPr>
      </w:pPr>
      <w:r w:rsidRPr="0033303F">
        <w:rPr>
          <w:rFonts w:ascii="Verdana" w:hAnsi="Verdana"/>
          <w:sz w:val="22"/>
          <w:szCs w:val="22"/>
        </w:rPr>
        <w:t>Entrepreneurs and SMEs typically have an advantage when it comes to noticing emerging trends and rapidly reacting to them. However, entrepreneurs can find it difficult to do so when they are immersed in the day-to-day running of the businesses. SMEs and entrepreneurs may thus greatly benefit from tools and support allowing them to assess the fitness of their business for the Post-COVID economy. Such tools and support could, for instance, help them systematically map new opportunities (e.g., emerging customer demand) in relation to their existing competencies. Past crises have opened-up new markets and demand for new products and services and this crisis is no different in that respect. Some entrepreneurs in our sample quickly noticed and captured opportunities in the way we now work and interact (more remotely and mediated by technology, and greater awareness for mental health). However, these entrepreneurs were in a minority and entrepreneurs, in general, would greatly benefit from forecasting tools and workshops to help them spot and capture opportunities for their business. This also concerns the support in spotting opportunities to expand their business.</w:t>
      </w:r>
    </w:p>
    <w:p w:rsidR="00652390" w:rsidRPr="0033303F">
      <w:pPr>
        <w:pStyle w:val="ListParagraph"/>
        <w:numPr>
          <w:ilvl w:val="0"/>
          <w:numId w:val="38"/>
        </w:numPr>
        <w:ind w:left="284" w:hanging="284"/>
        <w:jc w:val="both"/>
        <w:rPr>
          <w:rFonts w:ascii="Verdana" w:hAnsi="Verdana"/>
          <w:b/>
          <w:bCs/>
          <w:sz w:val="22"/>
          <w:szCs w:val="22"/>
        </w:rPr>
      </w:pPr>
      <w:r w:rsidRPr="0033303F">
        <w:rPr>
          <w:rFonts w:ascii="Verdana" w:hAnsi="Verdana"/>
          <w:b/>
          <w:bCs/>
          <w:sz w:val="22"/>
          <w:szCs w:val="22"/>
        </w:rPr>
        <w:t>Offering Covid-Opportunity Vouchers</w:t>
      </w:r>
    </w:p>
    <w:p w:rsidR="00DE0BEE" w:rsidRPr="0033303F" w:rsidP="00DE0BEE">
      <w:pPr>
        <w:jc w:val="both"/>
        <w:rPr>
          <w:rFonts w:ascii="Verdana" w:hAnsi="Verdana"/>
          <w:sz w:val="22"/>
          <w:szCs w:val="22"/>
        </w:rPr>
      </w:pPr>
      <w:r w:rsidRPr="0033303F">
        <w:rPr>
          <w:rFonts w:ascii="Verdana" w:hAnsi="Verdana"/>
          <w:sz w:val="22"/>
          <w:szCs w:val="22"/>
        </w:rPr>
        <w:t>Agile and resilient businesses adapt and change by looking outward and experimenting with new products/services or new processes. This must not be a resource-intensive process. Ideas for new products or services can come from customers, employees, or from collaborations with other businesses. However, small cash grants might help to incentivize entrepreneurs and draw entrepreneurs’ attention to the need to engage in such “experiments”. They could take the form of “COVID-Opportunity Vouchers”, similar to Innovation and Growth vouchers schemes available in the past</w:t>
      </w:r>
      <w:r>
        <w:rPr>
          <w:rStyle w:val="FootnoteReference"/>
          <w:rFonts w:ascii="Verdana" w:hAnsi="Verdana"/>
          <w:sz w:val="22"/>
          <w:szCs w:val="22"/>
        </w:rPr>
        <w:footnoteReference w:id="3"/>
      </w:r>
      <w:r w:rsidRPr="0033303F">
        <w:rPr>
          <w:rFonts w:ascii="Verdana" w:hAnsi="Verdana"/>
          <w:sz w:val="22"/>
          <w:szCs w:val="22"/>
        </w:rPr>
        <w:t xml:space="preserve">, although the co-funding requirements for such voucher schemes might need to be waived for the businesses that have seen substantial cash flow issues. Moreover, as is the nature of innovation, many such experiments may fail. It is therefore critical that these entrepreneurs are equipped to design smart experiments. They should learn from their failure to better design future services/products or launch in new customer segments or markets.  </w:t>
      </w:r>
    </w:p>
    <w:p w:rsidR="00DE0BEE" w:rsidRPr="0033303F" w:rsidP="00030C0D">
      <w:pPr>
        <w:jc w:val="both"/>
        <w:rPr>
          <w:rFonts w:ascii="Verdana" w:hAnsi="Verdana"/>
          <w:sz w:val="22"/>
          <w:szCs w:val="22"/>
        </w:rPr>
      </w:pPr>
    </w:p>
    <w:p w:rsidR="001309C4" w:rsidRPr="0033303F" w:rsidP="0029422C">
      <w:pPr>
        <w:pStyle w:val="ListParagraph"/>
        <w:numPr>
          <w:ilvl w:val="0"/>
          <w:numId w:val="29"/>
        </w:numPr>
        <w:jc w:val="both"/>
        <w:outlineLvl w:val="0"/>
        <w:rPr>
          <w:rFonts w:ascii="Verdana" w:hAnsi="Verdana" w:cs="Calibri"/>
          <w:b/>
          <w:color w:val="000000"/>
          <w:sz w:val="22"/>
          <w:szCs w:val="22"/>
        </w:rPr>
      </w:pPr>
      <w:bookmarkStart w:id="5" w:name="_Toc50472270"/>
      <w:bookmarkStart w:id="6" w:name="_Toc50472283"/>
      <w:bookmarkStart w:id="7" w:name="_Toc50472271"/>
      <w:bookmarkStart w:id="8" w:name="_Toc50472284"/>
      <w:bookmarkStart w:id="9" w:name="_Toc50472272"/>
      <w:bookmarkStart w:id="10" w:name="_Toc50472285"/>
      <w:bookmarkStart w:id="11" w:name="_Toc50472273"/>
      <w:bookmarkStart w:id="12" w:name="_Toc50472286"/>
      <w:bookmarkStart w:id="13" w:name="_Toc50472274"/>
      <w:bookmarkStart w:id="14" w:name="_Toc50472287"/>
      <w:bookmarkStart w:id="15" w:name="_Toc50472275"/>
      <w:bookmarkStart w:id="16" w:name="_Toc50472288"/>
      <w:bookmarkStart w:id="17" w:name="_Toc51600635"/>
      <w:bookmarkEnd w:id="5"/>
      <w:bookmarkEnd w:id="6"/>
      <w:bookmarkEnd w:id="7"/>
      <w:bookmarkEnd w:id="8"/>
      <w:bookmarkEnd w:id="9"/>
      <w:bookmarkEnd w:id="10"/>
      <w:bookmarkEnd w:id="11"/>
      <w:bookmarkEnd w:id="12"/>
      <w:bookmarkEnd w:id="13"/>
      <w:bookmarkEnd w:id="14"/>
      <w:bookmarkEnd w:id="15"/>
      <w:bookmarkEnd w:id="16"/>
      <w:r w:rsidRPr="0033303F">
        <w:rPr>
          <w:rFonts w:ascii="Verdana" w:hAnsi="Verdana" w:cs="Calibri"/>
          <w:b/>
          <w:color w:val="000000"/>
          <w:sz w:val="22"/>
          <w:szCs w:val="22"/>
        </w:rPr>
        <w:t>The nature of work during and beyond the COVID-19 pandemic</w:t>
      </w:r>
      <w:bookmarkEnd w:id="17"/>
    </w:p>
    <w:p w:rsidR="000319F5" w:rsidRPr="0033303F">
      <w:pPr>
        <w:jc w:val="both"/>
        <w:rPr>
          <w:rFonts w:ascii="Verdana" w:hAnsi="Verdana"/>
          <w:b/>
          <w:bCs/>
          <w:i/>
          <w:iCs/>
          <w:sz w:val="22"/>
          <w:szCs w:val="22"/>
        </w:rPr>
      </w:pPr>
      <w:r w:rsidRPr="0033303F">
        <w:rPr>
          <w:rFonts w:ascii="Verdana" w:hAnsi="Verdana"/>
          <w:b/>
          <w:bCs/>
          <w:i/>
          <w:iCs/>
          <w:sz w:val="22"/>
          <w:szCs w:val="22"/>
        </w:rPr>
        <w:t>Summary of the changes in the nature of work</w:t>
      </w:r>
    </w:p>
    <w:p w:rsidR="001E3EAE" w:rsidRPr="0033303F" w:rsidP="001E3EAE">
      <w:pPr>
        <w:pStyle w:val="ListParagraph"/>
        <w:numPr>
          <w:ilvl w:val="0"/>
          <w:numId w:val="24"/>
        </w:numPr>
        <w:spacing w:before="0" w:beforeAutospacing="0" w:after="0" w:afterAutospacing="0"/>
        <w:contextualSpacing/>
        <w:jc w:val="both"/>
        <w:rPr>
          <w:rFonts w:ascii="Verdana" w:hAnsi="Verdana" w:cs="Calibri"/>
          <w:sz w:val="22"/>
          <w:szCs w:val="22"/>
        </w:rPr>
      </w:pPr>
      <w:r w:rsidRPr="0033303F">
        <w:rPr>
          <w:rFonts w:ascii="Verdana" w:hAnsi="Verdana" w:cs="Calibri"/>
          <w:sz w:val="22"/>
          <w:szCs w:val="22"/>
        </w:rPr>
        <w:t>Many entrepreneurs started working from home with over 2/3 working solely from home or working more from home. In combination with childcare (due to schools and nurseries being closed), this added pressure to over 1/5 of the respondents.</w:t>
      </w:r>
    </w:p>
    <w:p w:rsidR="0037311F" w:rsidRPr="0033303F" w:rsidP="001E3EAE">
      <w:pPr>
        <w:pStyle w:val="ListParagraph"/>
        <w:numPr>
          <w:ilvl w:val="0"/>
          <w:numId w:val="24"/>
        </w:numPr>
        <w:spacing w:before="0" w:beforeAutospacing="0" w:after="0" w:afterAutospacing="0"/>
        <w:contextualSpacing/>
        <w:jc w:val="both"/>
        <w:rPr>
          <w:rFonts w:ascii="Verdana" w:hAnsi="Verdana" w:cs="Calibri"/>
          <w:sz w:val="22"/>
          <w:szCs w:val="22"/>
        </w:rPr>
      </w:pPr>
      <w:r w:rsidRPr="0033303F">
        <w:rPr>
          <w:rFonts w:ascii="Verdana" w:hAnsi="Verdana" w:cs="Calibri"/>
          <w:sz w:val="22"/>
          <w:szCs w:val="22"/>
        </w:rPr>
        <w:t>Some entrepreneurs point to HR-related challenges caused by the pandemic, e.g. problems with recruitment and onboarding</w:t>
      </w:r>
    </w:p>
    <w:p w:rsidR="0079005C" w:rsidRPr="0033303F" w:rsidP="006425F5">
      <w:pPr>
        <w:jc w:val="both"/>
        <w:rPr>
          <w:rFonts w:ascii="Verdana" w:hAnsi="Verdana"/>
          <w:sz w:val="22"/>
          <w:szCs w:val="22"/>
        </w:rPr>
      </w:pPr>
    </w:p>
    <w:p w:rsidR="0079005C" w:rsidRPr="0033303F" w:rsidP="006425F5">
      <w:pPr>
        <w:jc w:val="both"/>
        <w:rPr>
          <w:rFonts w:ascii="Verdana" w:hAnsi="Verdana"/>
          <w:b/>
          <w:bCs/>
          <w:i/>
          <w:iCs/>
          <w:sz w:val="22"/>
          <w:szCs w:val="22"/>
        </w:rPr>
      </w:pPr>
      <w:r w:rsidRPr="0033303F">
        <w:rPr>
          <w:rFonts w:ascii="Verdana" w:hAnsi="Verdana"/>
          <w:b/>
          <w:bCs/>
          <w:i/>
          <w:iCs/>
          <w:sz w:val="22"/>
          <w:szCs w:val="22"/>
        </w:rPr>
        <w:t>Detailed findings</w:t>
      </w:r>
    </w:p>
    <w:p w:rsidR="008F0F06" w:rsidRPr="0033303F" w:rsidP="008F0F06">
      <w:pPr>
        <w:jc w:val="both"/>
        <w:rPr>
          <w:rFonts w:ascii="Verdana" w:hAnsi="Verdana"/>
          <w:iCs/>
          <w:sz w:val="22"/>
          <w:szCs w:val="22"/>
        </w:rPr>
      </w:pPr>
      <w:r w:rsidRPr="0033303F">
        <w:rPr>
          <w:rFonts w:ascii="Verdana" w:hAnsi="Verdana"/>
          <w:sz w:val="22"/>
          <w:szCs w:val="22"/>
        </w:rPr>
        <w:t>Apart from the measurable effect of the COVID-19 pandemic on employment of SMEs we observed the influence on how people work, taking into consideration both business owners and their employees. Over a third (38.6%) of entrepreneurs started to work solely from home, while others intensified working from home (22.8%; Figure 9) during the pandemic. However, over a third of entrepreneurs (37.8%) saw no change in their place of work, either because they kept working on their business premises or because they were already working from home. While some entrepreneurs noted the positives “</w:t>
      </w:r>
      <w:r w:rsidRPr="0033303F">
        <w:rPr>
          <w:rFonts w:ascii="Verdana" w:hAnsi="Verdana" w:cs="Calibri"/>
          <w:i/>
          <w:iCs/>
          <w:color w:val="000000"/>
          <w:sz w:val="22"/>
          <w:szCs w:val="22"/>
        </w:rPr>
        <w:t>Doing all of my meetings on Zoom saving loads of travelling time</w:t>
      </w:r>
      <w:r w:rsidRPr="0033303F">
        <w:rPr>
          <w:rFonts w:ascii="Verdana" w:hAnsi="Verdana" w:cs="Calibri"/>
          <w:color w:val="000000"/>
          <w:sz w:val="22"/>
          <w:szCs w:val="22"/>
        </w:rPr>
        <w:t xml:space="preserve">”, others also saw </w:t>
      </w:r>
      <w:r w:rsidRPr="0033303F">
        <w:rPr>
          <w:rFonts w:ascii="Verdana" w:hAnsi="Verdana" w:cs="Calibri"/>
          <w:i/>
          <w:iCs/>
          <w:color w:val="000000"/>
          <w:sz w:val="22"/>
          <w:szCs w:val="22"/>
        </w:rPr>
        <w:t>“Reduced productivity due to working from home”.</w:t>
      </w:r>
      <w:r w:rsidRPr="0033303F">
        <w:rPr>
          <w:rFonts w:ascii="Verdana" w:hAnsi="Verdana" w:cs="Calibri"/>
          <w:iCs/>
          <w:color w:val="000000"/>
          <w:sz w:val="22"/>
          <w:szCs w:val="22"/>
        </w:rPr>
        <w:t xml:space="preserve"> This also concerns working from home by employees, which some business owners see as an opportunity related to cost reduction.</w:t>
      </w:r>
    </w:p>
    <w:p w:rsidR="008F0F06" w:rsidRPr="0033303F" w:rsidP="008F0F06">
      <w:pPr>
        <w:jc w:val="both"/>
        <w:rPr>
          <w:rFonts w:ascii="Verdana" w:hAnsi="Verdana" w:cs="Calibri"/>
          <w:color w:val="000000"/>
          <w:sz w:val="22"/>
          <w:szCs w:val="22"/>
        </w:rPr>
      </w:pPr>
    </w:p>
    <w:p w:rsidR="00652390" w:rsidRPr="0033303F">
      <w:pPr>
        <w:jc w:val="right"/>
        <w:rPr>
          <w:rFonts w:ascii="Verdana" w:hAnsi="Verdana"/>
          <w:sz w:val="22"/>
          <w:szCs w:val="22"/>
        </w:rPr>
      </w:pPr>
      <w:r w:rsidRPr="0033303F">
        <w:rPr>
          <w:rFonts w:ascii="Verdana" w:hAnsi="Verdana"/>
          <w:i/>
          <w:sz w:val="22"/>
          <w:szCs w:val="22"/>
        </w:rPr>
        <w:t>Figure 9</w:t>
      </w:r>
    </w:p>
    <w:p w:rsidR="0017782B" w:rsidRPr="0033303F" w:rsidP="009A346B">
      <w:pPr>
        <w:jc w:val="both"/>
        <w:rPr>
          <w:rFonts w:ascii="Verdana" w:hAnsi="Verdana"/>
          <w:sz w:val="22"/>
          <w:szCs w:val="22"/>
        </w:rPr>
      </w:pPr>
      <w:r w:rsidRPr="0033303F">
        <w:rPr>
          <w:rFonts w:ascii="Verdana" w:hAnsi="Verdana"/>
          <w:noProof/>
          <w:sz w:val="22"/>
          <w:szCs w:val="22"/>
          <w:lang w:val="pl-PL" w:eastAsia="pl-PL"/>
        </w:rPr>
        <w:drawing>
          <wp:inline distT="0" distB="0" distL="0" distR="0">
            <wp:extent cx="5715000" cy="2559050"/>
            <wp:effectExtent l="19050" t="0" r="1905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7782B" w:rsidRPr="0033303F" w:rsidP="009A346B">
      <w:pPr>
        <w:jc w:val="both"/>
        <w:rPr>
          <w:rFonts w:ascii="Verdana" w:hAnsi="Verdana"/>
          <w:sz w:val="22"/>
          <w:szCs w:val="22"/>
        </w:rPr>
      </w:pPr>
    </w:p>
    <w:p w:rsidR="0017782B" w:rsidRPr="0033303F" w:rsidP="009A346B">
      <w:pPr>
        <w:jc w:val="both"/>
        <w:rPr>
          <w:rFonts w:ascii="Verdana" w:hAnsi="Verdana"/>
          <w:sz w:val="22"/>
          <w:szCs w:val="22"/>
        </w:rPr>
      </w:pPr>
      <w:r w:rsidRPr="0033303F">
        <w:rPr>
          <w:rFonts w:ascii="Verdana" w:hAnsi="Verdana"/>
          <w:sz w:val="22"/>
          <w:szCs w:val="22"/>
        </w:rPr>
        <w:t>Figure 9 also presents the differences in working from home between men and women. Before the crisis more women than men (36%  vs. 25%) used to work from home (Figure 23). During the pandemic the share of women entrepreneurs working only from home rose to 68% in comparison to 45% of men (combined share of second and fourth category in Figure 9). Male entrepreneurs seem to work either partly or solely at business premises more often than women. More entrepreneurs managed their businesses from home already before the pandemic outside of London (31%) than in London (21%). Entrepreneurs based in London also reported more working from home triggered by the pandemic. Outside of London slightly more entrepreneurs still worked at their business’ premises during lockdown that in London (12% compared to 7%).</w:t>
      </w:r>
    </w:p>
    <w:p w:rsidR="0017782B" w:rsidRPr="0033303F" w:rsidP="009A346B">
      <w:pPr>
        <w:jc w:val="both"/>
        <w:rPr>
          <w:rFonts w:ascii="Verdana" w:hAnsi="Verdana"/>
          <w:sz w:val="22"/>
          <w:szCs w:val="22"/>
        </w:rPr>
      </w:pPr>
    </w:p>
    <w:p w:rsidR="009A346B" w:rsidRPr="0033303F" w:rsidP="009A346B">
      <w:pPr>
        <w:jc w:val="both"/>
        <w:rPr>
          <w:rFonts w:ascii="Verdana" w:hAnsi="Verdana"/>
          <w:iCs/>
          <w:sz w:val="22"/>
          <w:szCs w:val="22"/>
        </w:rPr>
      </w:pPr>
      <w:r w:rsidRPr="0033303F">
        <w:rPr>
          <w:rFonts w:ascii="Verdana" w:hAnsi="Verdana"/>
          <w:sz w:val="22"/>
          <w:szCs w:val="22"/>
        </w:rPr>
        <w:t xml:space="preserve">The pandemic also poses a personal challenge to entrepreneurs in terms of </w:t>
      </w:r>
      <w:r w:rsidRPr="0033303F">
        <w:rPr>
          <w:rFonts w:ascii="Verdana" w:hAnsi="Verdana"/>
          <w:bCs/>
          <w:sz w:val="22"/>
          <w:szCs w:val="22"/>
        </w:rPr>
        <w:t>childcare</w:t>
      </w:r>
      <w:r w:rsidRPr="0033303F">
        <w:rPr>
          <w:rFonts w:ascii="Verdana" w:hAnsi="Verdana"/>
          <w:sz w:val="22"/>
          <w:szCs w:val="22"/>
        </w:rPr>
        <w:t xml:space="preserve">. Just over a fifth of business owners (22.8% of 361 entrepreneurs) started caring for their children at home because schools and nurseries closed. Some noted that their main problem in the business is in fact </w:t>
      </w:r>
      <w:r w:rsidRPr="0033303F">
        <w:rPr>
          <w:rFonts w:ascii="Verdana" w:hAnsi="Verdana"/>
          <w:i/>
          <w:iCs/>
          <w:sz w:val="22"/>
          <w:szCs w:val="22"/>
        </w:rPr>
        <w:t>“Restricted hours due to kids being off school.”</w:t>
      </w:r>
      <w:r w:rsidRPr="0033303F">
        <w:rPr>
          <w:rFonts w:ascii="Verdana" w:hAnsi="Verdana"/>
          <w:iCs/>
          <w:sz w:val="22"/>
          <w:szCs w:val="22"/>
        </w:rPr>
        <w:t xml:space="preserve"> That also relates to their employees, as the time they can devote to work is also limited, one of the entrepreneurs stated that “</w:t>
      </w:r>
      <w:r w:rsidRPr="0033303F">
        <w:rPr>
          <w:rFonts w:ascii="Verdana" w:hAnsi="Verdana"/>
          <w:i/>
          <w:iCs/>
          <w:sz w:val="22"/>
          <w:szCs w:val="22"/>
        </w:rPr>
        <w:t>employees are struggling with childcare/homeschooling while trying to continue working full-time</w:t>
      </w:r>
      <w:r w:rsidRPr="0033303F">
        <w:rPr>
          <w:rFonts w:ascii="Verdana" w:hAnsi="Verdana"/>
          <w:iCs/>
          <w:sz w:val="22"/>
          <w:szCs w:val="22"/>
        </w:rPr>
        <w:t>”.</w:t>
      </w:r>
    </w:p>
    <w:p w:rsidR="00D50860" w:rsidRPr="0033303F" w:rsidP="00D50860">
      <w:pPr>
        <w:jc w:val="both"/>
        <w:rPr>
          <w:rFonts w:ascii="Verdana" w:hAnsi="Verdana"/>
          <w:sz w:val="22"/>
          <w:szCs w:val="22"/>
        </w:rPr>
      </w:pPr>
    </w:p>
    <w:p w:rsidR="00D678DA" w:rsidRPr="0033303F" w:rsidP="00D50860">
      <w:pPr>
        <w:jc w:val="both"/>
        <w:rPr>
          <w:rFonts w:ascii="Verdana" w:hAnsi="Verdana"/>
          <w:sz w:val="22"/>
          <w:szCs w:val="22"/>
        </w:rPr>
      </w:pPr>
      <w:r w:rsidRPr="0033303F">
        <w:rPr>
          <w:rFonts w:ascii="Verdana" w:hAnsi="Verdana"/>
          <w:sz w:val="22"/>
          <w:szCs w:val="22"/>
        </w:rPr>
        <w:t>Some entrepreneurs also point to specific issues related to employment during COVID-19 pandemic. When asked about problems they face during the pandemic and lockdown a couple of business owners referred to some HR-related challenges. Apart from the issues caused by the need for childcare by employees, respondents pointed to “</w:t>
      </w:r>
      <w:r w:rsidRPr="0033303F">
        <w:rPr>
          <w:rFonts w:ascii="Verdana" w:hAnsi="Verdana"/>
          <w:i/>
          <w:sz w:val="22"/>
          <w:szCs w:val="22"/>
        </w:rPr>
        <w:t>problems with recruitment</w:t>
      </w:r>
      <w:r w:rsidRPr="0033303F">
        <w:rPr>
          <w:rFonts w:ascii="Verdana" w:hAnsi="Verdana"/>
          <w:sz w:val="22"/>
          <w:szCs w:val="22"/>
        </w:rPr>
        <w:t>” and “</w:t>
      </w:r>
      <w:r w:rsidRPr="0033303F">
        <w:rPr>
          <w:rFonts w:ascii="Verdana" w:hAnsi="Verdana"/>
          <w:i/>
          <w:sz w:val="22"/>
          <w:szCs w:val="22"/>
        </w:rPr>
        <w:t>reduced number of employees</w:t>
      </w:r>
      <w:r w:rsidRPr="0033303F">
        <w:rPr>
          <w:rFonts w:ascii="Verdana" w:hAnsi="Verdana"/>
          <w:sz w:val="22"/>
          <w:szCs w:val="22"/>
        </w:rPr>
        <w:t>”, another stated that “</w:t>
      </w:r>
      <w:r w:rsidRPr="0033303F">
        <w:rPr>
          <w:rFonts w:ascii="Verdana" w:hAnsi="Verdana"/>
          <w:i/>
          <w:sz w:val="22"/>
          <w:szCs w:val="22"/>
        </w:rPr>
        <w:t>onboarding staff is hard</w:t>
      </w:r>
      <w:r w:rsidRPr="0033303F">
        <w:rPr>
          <w:rFonts w:ascii="Verdana" w:hAnsi="Verdana"/>
          <w:sz w:val="22"/>
          <w:szCs w:val="22"/>
        </w:rPr>
        <w:t>”. Part of the problem with recruiting employees might be related to inability to hire employees from overseas, as one of the business owners stated: “</w:t>
      </w:r>
      <w:r w:rsidRPr="0033303F">
        <w:rPr>
          <w:rFonts w:ascii="Verdana" w:hAnsi="Verdana"/>
          <w:i/>
          <w:sz w:val="22"/>
          <w:szCs w:val="22"/>
        </w:rPr>
        <w:t>Demand for international recruitment services stopped for April and May, many contracts have been lost</w:t>
      </w:r>
      <w:r w:rsidRPr="0033303F">
        <w:rPr>
          <w:rFonts w:ascii="Verdana" w:hAnsi="Verdana"/>
          <w:sz w:val="22"/>
          <w:szCs w:val="22"/>
        </w:rPr>
        <w:t>”. Restrictions in international travel and transport has also affected entrepreneurs, one of them complained about inability to manufacture in China. In the long run this might result in positive effect for UK economy due to moving the production of some goods back to UK, as one of the respondents saw “</w:t>
      </w:r>
      <w:r w:rsidRPr="0033303F">
        <w:rPr>
          <w:rFonts w:ascii="Verdana" w:hAnsi="Verdana"/>
          <w:i/>
          <w:sz w:val="22"/>
          <w:szCs w:val="22"/>
        </w:rPr>
        <w:t>switching manufacturing to the UK</w:t>
      </w:r>
      <w:r w:rsidRPr="0033303F">
        <w:rPr>
          <w:rFonts w:ascii="Verdana" w:hAnsi="Verdana"/>
          <w:sz w:val="22"/>
          <w:szCs w:val="22"/>
        </w:rPr>
        <w:t>” as an opportunity created by the pandemic.</w:t>
      </w:r>
    </w:p>
    <w:p w:rsidR="00E8111D" w:rsidRPr="0033303F" w:rsidP="00D50860">
      <w:pPr>
        <w:jc w:val="both"/>
        <w:rPr>
          <w:rFonts w:ascii="Verdana" w:hAnsi="Verdana"/>
          <w:sz w:val="22"/>
          <w:szCs w:val="22"/>
        </w:rPr>
      </w:pPr>
    </w:p>
    <w:p w:rsidR="00D50860" w:rsidRPr="0033303F" w:rsidP="007F0A9D">
      <w:pPr>
        <w:jc w:val="both"/>
        <w:rPr>
          <w:rFonts w:ascii="Verdana" w:hAnsi="Verdana"/>
          <w:sz w:val="22"/>
          <w:szCs w:val="22"/>
        </w:rPr>
      </w:pPr>
      <w:r w:rsidRPr="0033303F">
        <w:rPr>
          <w:rFonts w:ascii="Verdana" w:hAnsi="Verdana"/>
          <w:sz w:val="22"/>
          <w:szCs w:val="22"/>
        </w:rPr>
        <w:t>One of the problems that many people face during the pandemic is drop in well-being. As work is an important domain of life and allows for socializing, the situation of lockdown and social distancing may threaten well-being of both entrepreneurs and employees who do not meet other people at work. One of the entrepreneurs summed this issue pointing to problem with “</w:t>
      </w:r>
      <w:r w:rsidRPr="0033303F">
        <w:rPr>
          <w:rFonts w:ascii="Verdana" w:hAnsi="Verdana"/>
          <w:i/>
          <w:sz w:val="22"/>
          <w:szCs w:val="22"/>
        </w:rPr>
        <w:t>wellbeing of staff as a result of working remotely, absence of meaningful face-to-face contact</w:t>
      </w:r>
      <w:r w:rsidRPr="0033303F">
        <w:rPr>
          <w:rFonts w:ascii="Verdana" w:hAnsi="Verdana"/>
          <w:sz w:val="22"/>
          <w:szCs w:val="22"/>
        </w:rPr>
        <w:t>”.</w:t>
      </w:r>
    </w:p>
    <w:p w:rsidR="00C07549" w:rsidRPr="0033303F" w:rsidP="007F0A9D">
      <w:pPr>
        <w:jc w:val="both"/>
        <w:rPr>
          <w:rFonts w:ascii="Verdana" w:hAnsi="Verdana"/>
          <w:sz w:val="22"/>
          <w:szCs w:val="22"/>
        </w:rPr>
      </w:pPr>
    </w:p>
    <w:p w:rsidR="00C07549" w:rsidRPr="0033303F" w:rsidP="007F0A9D">
      <w:pPr>
        <w:jc w:val="both"/>
        <w:rPr>
          <w:rFonts w:ascii="Verdana" w:hAnsi="Verdana"/>
          <w:sz w:val="22"/>
          <w:szCs w:val="22"/>
        </w:rPr>
      </w:pPr>
      <w:r w:rsidRPr="0033303F">
        <w:rPr>
          <w:rFonts w:ascii="Verdana" w:hAnsi="Verdana"/>
          <w:sz w:val="22"/>
          <w:szCs w:val="22"/>
        </w:rPr>
        <w:t xml:space="preserve">Much of the business moved online during the pandemic, including HR-related businesses providing online training and coaching. Some entrepreneurs running these kind of businesses reported increased demand for such services. Indeed, some business owners claim that online training is more efficient and they use the lockdown and remote working to develop the skills of their staff. Those two trends might result in generally accelerated development of employees, especially that some business owners extended their training offer. </w:t>
      </w:r>
    </w:p>
    <w:p w:rsidR="00C07549" w:rsidRPr="0033303F" w:rsidP="007F0A9D">
      <w:pPr>
        <w:jc w:val="both"/>
        <w:rPr>
          <w:rFonts w:ascii="Verdana" w:hAnsi="Verdana"/>
          <w:sz w:val="22"/>
          <w:szCs w:val="22"/>
        </w:rPr>
      </w:pPr>
    </w:p>
    <w:p w:rsidR="00A45F8B" w:rsidRPr="0033303F" w:rsidP="007F0A9D">
      <w:pPr>
        <w:jc w:val="both"/>
        <w:rPr>
          <w:rFonts w:ascii="Verdana" w:hAnsi="Verdana"/>
          <w:sz w:val="22"/>
          <w:szCs w:val="22"/>
        </w:rPr>
      </w:pPr>
    </w:p>
    <w:p w:rsidR="00A45F8B" w:rsidRPr="0033303F" w:rsidP="007F0A9D">
      <w:pPr>
        <w:jc w:val="both"/>
        <w:rPr>
          <w:rFonts w:ascii="Verdana" w:hAnsi="Verdana"/>
          <w:sz w:val="22"/>
          <w:szCs w:val="22"/>
        </w:rPr>
      </w:pPr>
    </w:p>
    <w:p w:rsidR="00A45F8B" w:rsidRPr="0033303F" w:rsidP="007F0A9D">
      <w:pPr>
        <w:jc w:val="both"/>
        <w:rPr>
          <w:rFonts w:ascii="Verdana" w:hAnsi="Verdana"/>
          <w:sz w:val="22"/>
          <w:szCs w:val="22"/>
        </w:rPr>
      </w:pPr>
    </w:p>
    <w:p w:rsidR="00CF3423" w:rsidRPr="0033303F" w:rsidP="005926F9">
      <w:pPr>
        <w:jc w:val="both"/>
        <w:rPr>
          <w:rFonts w:ascii="Verdana" w:hAnsi="Verdana"/>
          <w:sz w:val="22"/>
          <w:szCs w:val="22"/>
        </w:rPr>
      </w:pPr>
      <w:r w:rsidRPr="0033303F">
        <w:rPr>
          <w:rFonts w:ascii="Verdana" w:hAnsi="Verdana"/>
          <w:b/>
          <w:i/>
          <w:sz w:val="22"/>
          <w:szCs w:val="22"/>
        </w:rPr>
        <w:t>Policy recommendations</w:t>
      </w:r>
    </w:p>
    <w:p w:rsidR="00652390" w:rsidRPr="0033303F">
      <w:pPr>
        <w:pStyle w:val="ListParagraph"/>
        <w:numPr>
          <w:ilvl w:val="0"/>
          <w:numId w:val="38"/>
        </w:numPr>
        <w:ind w:left="284" w:hanging="284"/>
        <w:jc w:val="both"/>
        <w:rPr>
          <w:rFonts w:ascii="Verdana" w:hAnsi="Verdana"/>
          <w:b/>
          <w:bCs/>
          <w:sz w:val="22"/>
          <w:szCs w:val="22"/>
        </w:rPr>
      </w:pPr>
      <w:r w:rsidRPr="0033303F">
        <w:rPr>
          <w:rFonts w:ascii="Verdana" w:hAnsi="Verdana"/>
          <w:b/>
          <w:bCs/>
          <w:sz w:val="22"/>
          <w:szCs w:val="22"/>
        </w:rPr>
        <w:t>Providing training and education</w:t>
      </w:r>
    </w:p>
    <w:p w:rsidR="00CF3423" w:rsidRPr="0033303F" w:rsidP="005926F9">
      <w:pPr>
        <w:jc w:val="both"/>
        <w:rPr>
          <w:rFonts w:ascii="Verdana" w:hAnsi="Verdana"/>
          <w:sz w:val="22"/>
          <w:szCs w:val="22"/>
        </w:rPr>
      </w:pPr>
      <w:r w:rsidRPr="0033303F">
        <w:rPr>
          <w:rFonts w:ascii="Verdana" w:hAnsi="Verdana"/>
          <w:sz w:val="22"/>
          <w:szCs w:val="22"/>
        </w:rPr>
        <w:t>The challenges of working from home suggest a need for trainings and solutions for productive home working that leverages its benefits (such as greater autonomy over how work is organized and more time for exercise instead of commuting). On the other hand, there is also a need to build awareness of the mental health implications of home working. Few entrepreneurs in our study already noted the challenges of home working but finding solutions to those is an ongoing struggle and entrepreneurs would greatly benefit from support. Nevertheless, many of them appear to have not yet recognized these risks and building awareness could thus help prevent the most negative effects of working from home in the future. Therefore, the government could support homeworking by supporting not only the training of certain skills, such as online working and communication, but also the increase in self-awareness of threat related to homeworking. Moreover, training staff in leading remote teams will help to increase productivity and employability of those managers.</w:t>
      </w:r>
    </w:p>
    <w:p w:rsidR="00652390" w:rsidRPr="0033303F">
      <w:pPr>
        <w:pStyle w:val="ListParagraph"/>
        <w:numPr>
          <w:ilvl w:val="0"/>
          <w:numId w:val="38"/>
        </w:numPr>
        <w:ind w:left="284" w:hanging="284"/>
        <w:jc w:val="both"/>
        <w:rPr>
          <w:rFonts w:ascii="Verdana" w:hAnsi="Verdana"/>
          <w:sz w:val="22"/>
          <w:szCs w:val="22"/>
        </w:rPr>
      </w:pPr>
      <w:r w:rsidRPr="0033303F">
        <w:rPr>
          <w:rFonts w:ascii="Verdana" w:hAnsi="Verdana"/>
          <w:b/>
          <w:bCs/>
          <w:sz w:val="22"/>
          <w:szCs w:val="22"/>
        </w:rPr>
        <w:t>Rewarding innovative work practices</w:t>
      </w:r>
    </w:p>
    <w:p w:rsidR="00CF3423" w:rsidRPr="0033303F" w:rsidP="00DE0BEE">
      <w:pPr>
        <w:tabs>
          <w:tab w:val="num" w:pos="360"/>
        </w:tabs>
        <w:jc w:val="both"/>
        <w:rPr>
          <w:rFonts w:ascii="Verdana" w:hAnsi="Verdana"/>
          <w:sz w:val="22"/>
          <w:szCs w:val="22"/>
        </w:rPr>
      </w:pPr>
      <w:r w:rsidRPr="0033303F">
        <w:rPr>
          <w:rFonts w:ascii="Verdana" w:hAnsi="Verdana"/>
          <w:sz w:val="22"/>
          <w:szCs w:val="22"/>
        </w:rPr>
        <w:t xml:space="preserve">Interestingly, SMEs and start-ups often lead the way in innovating work practices. Thus, there is also a space to document and tap into their knowledge to possibly scale up new solutions to manage human resources in the post-COVID economy. Innovation prizes for innovative Human Resource Management (HRM) practices that safeguard staff well-being and productivity during remote working would draw attention to such practices and help to disseminate them. </w:t>
      </w:r>
    </w:p>
    <w:p w:rsidR="00652390" w:rsidRPr="0033303F">
      <w:pPr>
        <w:pStyle w:val="ListParagraph"/>
        <w:numPr>
          <w:ilvl w:val="0"/>
          <w:numId w:val="38"/>
        </w:numPr>
        <w:ind w:left="284" w:hanging="284"/>
        <w:jc w:val="both"/>
        <w:rPr>
          <w:rFonts w:ascii="Verdana" w:hAnsi="Verdana"/>
          <w:b/>
          <w:bCs/>
          <w:sz w:val="22"/>
          <w:szCs w:val="22"/>
        </w:rPr>
      </w:pPr>
      <w:r w:rsidRPr="0033303F">
        <w:rPr>
          <w:rFonts w:ascii="Verdana" w:hAnsi="Verdana"/>
          <w:b/>
          <w:bCs/>
          <w:sz w:val="22"/>
          <w:szCs w:val="22"/>
        </w:rPr>
        <w:t>Providing Affordable childcare</w:t>
      </w:r>
    </w:p>
    <w:p w:rsidR="005926F9" w:rsidRPr="0033303F" w:rsidP="007F0A9D">
      <w:pPr>
        <w:jc w:val="both"/>
        <w:rPr>
          <w:rFonts w:ascii="Verdana" w:hAnsi="Verdana"/>
          <w:sz w:val="22"/>
          <w:szCs w:val="22"/>
        </w:rPr>
      </w:pPr>
      <w:r w:rsidRPr="0033303F">
        <w:rPr>
          <w:rFonts w:ascii="Verdana" w:hAnsi="Verdana"/>
          <w:sz w:val="22"/>
          <w:szCs w:val="22"/>
        </w:rPr>
        <w:t>With the increased level of homeworking, there is an untapped potential for mobilizing growth by giving entrepreneurs opportunity to work from home. To make home-working more productive and less stressful for both men and women entrepreneurs, the availability of affordable childcare is critical. Childcare costs in the UK are among the highest in developed economies</w:t>
      </w:r>
      <w:r>
        <w:rPr>
          <w:rStyle w:val="FootnoteReference"/>
          <w:rFonts w:ascii="Verdana" w:hAnsi="Verdana"/>
          <w:sz w:val="22"/>
          <w:szCs w:val="22"/>
        </w:rPr>
        <w:footnoteReference w:id="4"/>
      </w:r>
      <w:r w:rsidRPr="0033303F">
        <w:rPr>
          <w:rFonts w:ascii="Verdana" w:hAnsi="Verdana"/>
          <w:sz w:val="22"/>
          <w:szCs w:val="22"/>
        </w:rPr>
        <w:t>. Expanding and lowering the cost of childcare including offering all day early years and after-school care that supports kids’ schoolwork and homework will not only make home working more productive, but also it would help reduce inequalities. It would make sure the UK uses the full range of its entrepreneurial talent by enabling those who cannot normally afford childcare to focus productive time on their business. Supporting homeworking could also support the development of entrepreneurship activities in some regions where there is significant untap potential.</w:t>
      </w:r>
    </w:p>
    <w:p w:rsidR="00D678DA" w:rsidRPr="0033303F" w:rsidP="00D678DA">
      <w:pPr>
        <w:jc w:val="both"/>
        <w:rPr>
          <w:rFonts w:ascii="Verdana" w:hAnsi="Verdana"/>
          <w:sz w:val="22"/>
          <w:szCs w:val="22"/>
        </w:rPr>
      </w:pPr>
    </w:p>
    <w:p w:rsidR="00BC7A06" w:rsidRPr="00295425" w:rsidP="005A5938">
      <w:pPr>
        <w:jc w:val="both"/>
        <w:rPr>
          <w:rFonts w:ascii="Verdana" w:hAnsi="Verdana" w:cs="Calibri"/>
          <w:i/>
          <w:iCs/>
          <w:color w:val="000000"/>
          <w:sz w:val="22"/>
          <w:szCs w:val="22"/>
        </w:rPr>
      </w:pPr>
    </w:p>
    <w:p w:rsidR="0033303F" w:rsidRPr="00295425" w:rsidP="005A5938">
      <w:pPr>
        <w:jc w:val="both"/>
        <w:rPr>
          <w:rFonts w:ascii="Verdana" w:hAnsi="Verdana" w:cs="Calibri"/>
          <w:i/>
          <w:iCs/>
          <w:color w:val="000000"/>
          <w:sz w:val="22"/>
          <w:szCs w:val="22"/>
        </w:rPr>
      </w:pPr>
      <w:r w:rsidRPr="00295425">
        <w:rPr>
          <w:rFonts w:ascii="Verdana" w:hAnsi="Verdana" w:cs="Calibri"/>
          <w:i/>
          <w:iCs/>
          <w:color w:val="000000"/>
          <w:sz w:val="22"/>
          <w:szCs w:val="22"/>
        </w:rPr>
        <w:t>10 September 2020</w:t>
      </w:r>
    </w:p>
    <w:sectPr w:rsidSect="00744CE5">
      <w:footerReference w:type="default" r:id="rId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ingsBureauGrot FiveOne">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0465335"/>
      <w:docPartObj>
        <w:docPartGallery w:val="Page Numbers (Bottom of Page)"/>
        <w:docPartUnique/>
      </w:docPartObj>
    </w:sdtPr>
    <w:sdtEndPr>
      <w:rPr>
        <w:noProof/>
      </w:rPr>
    </w:sdtEndPr>
    <w:sdtContent>
      <w:p w:rsidR="00652390">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rsidR="006523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C5D78" w:rsidP="00A37200">
      <w:r>
        <w:separator/>
      </w:r>
    </w:p>
  </w:footnote>
  <w:footnote w:type="continuationSeparator" w:id="1">
    <w:p w:rsidR="00BC5D78" w:rsidP="00A37200">
      <w:r>
        <w:continuationSeparator/>
      </w:r>
    </w:p>
  </w:footnote>
  <w:footnote w:id="2">
    <w:p w:rsidR="00652390" w:rsidRPr="00295425" w:rsidP="00035863">
      <w:pPr>
        <w:pStyle w:val="NormalWeb"/>
        <w:rPr>
          <w:rFonts w:ascii="Verdana" w:hAnsi="Verdana"/>
          <w:sz w:val="18"/>
          <w:szCs w:val="18"/>
        </w:rPr>
      </w:pPr>
      <w:r w:rsidRPr="00295425">
        <w:rPr>
          <w:rStyle w:val="FootnoteReference"/>
          <w:rFonts w:ascii="Verdana" w:hAnsi="Verdana"/>
          <w:sz w:val="18"/>
          <w:szCs w:val="18"/>
        </w:rPr>
        <w:footnoteRef/>
      </w:r>
      <w:r w:rsidRPr="00295425">
        <w:rPr>
          <w:rFonts w:ascii="Verdana" w:hAnsi="Verdana"/>
          <w:sz w:val="18"/>
          <w:szCs w:val="18"/>
        </w:rPr>
        <w:t xml:space="preserve"> Stephan, U., Hart, M., Mickiewicz, T., &amp; Drews, C.-C. (2015). </w:t>
      </w:r>
      <w:r w:rsidRPr="00295425">
        <w:rPr>
          <w:rFonts w:ascii="Verdana" w:hAnsi="Verdana"/>
          <w:i/>
          <w:iCs/>
          <w:sz w:val="18"/>
          <w:szCs w:val="18"/>
        </w:rPr>
        <w:t>Understanding motivations for entrepreneurship</w:t>
      </w:r>
      <w:r w:rsidRPr="00295425">
        <w:rPr>
          <w:rFonts w:ascii="Verdana" w:hAnsi="Verdana"/>
          <w:sz w:val="18"/>
          <w:szCs w:val="18"/>
        </w:rPr>
        <w:t>. Retrieved from Department for Business, Innovation &amp; Skills www.gov.uk/government/uploads/system/uploads/attachment_data/file/408432/bis-15-132-understanding-motivations-for-entrepreneurship.pdf</w:t>
      </w:r>
    </w:p>
    <w:p w:rsidR="00652390" w:rsidRPr="00295425" w:rsidP="00035863">
      <w:pPr>
        <w:pStyle w:val="FootnoteText"/>
        <w:rPr>
          <w:rFonts w:ascii="Verdana" w:hAnsi="Verdana"/>
          <w:sz w:val="18"/>
          <w:szCs w:val="18"/>
        </w:rPr>
      </w:pPr>
    </w:p>
  </w:footnote>
  <w:footnote w:id="3">
    <w:p w:rsidR="00652390" w:rsidRPr="00295425" w:rsidP="00DE0BEE">
      <w:pPr>
        <w:pStyle w:val="FootnoteText"/>
        <w:rPr>
          <w:rFonts w:ascii="Verdana" w:hAnsi="Verdana"/>
          <w:sz w:val="18"/>
          <w:szCs w:val="18"/>
        </w:rPr>
      </w:pPr>
      <w:r w:rsidRPr="00295425">
        <w:rPr>
          <w:rStyle w:val="FootnoteReference"/>
          <w:rFonts w:ascii="Verdana" w:hAnsi="Verdana"/>
          <w:sz w:val="18"/>
          <w:szCs w:val="18"/>
        </w:rPr>
        <w:footnoteRef/>
      </w:r>
      <w:r w:rsidRPr="00295425">
        <w:rPr>
          <w:rFonts w:ascii="Verdana" w:hAnsi="Verdana"/>
          <w:sz w:val="18"/>
          <w:szCs w:val="18"/>
        </w:rPr>
        <w:t xml:space="preserve"> For an overview of the effectiveness of past voucher schemes, e.g., Roper, S. (2018). </w:t>
      </w:r>
      <w:r w:rsidRPr="00295425">
        <w:rPr>
          <w:rFonts w:ascii="Verdana" w:hAnsi="Verdana"/>
          <w:i/>
          <w:iCs/>
          <w:sz w:val="18"/>
          <w:szCs w:val="18"/>
        </w:rPr>
        <w:t>Using RCTs as a research method for SME policy research: The UK experience</w:t>
      </w:r>
      <w:r w:rsidRPr="00295425">
        <w:rPr>
          <w:rFonts w:ascii="Verdana" w:hAnsi="Verdana"/>
          <w:sz w:val="18"/>
          <w:szCs w:val="18"/>
        </w:rPr>
        <w:t xml:space="preserve">. Enterprise Research Centre Research Paper 66, </w:t>
      </w:r>
      <w:r>
        <w:fldChar w:fldCharType="begin"/>
      </w:r>
      <w:r>
        <w:instrText xml:space="preserve"> HYPERLINK "https://www.enterpriseresearch.ac.uk/wp-content/uploads/2018/04/ERC-ResPap66-Roper.pdf" </w:instrText>
      </w:r>
      <w:r>
        <w:fldChar w:fldCharType="separate"/>
      </w:r>
      <w:r w:rsidRPr="00295425">
        <w:rPr>
          <w:rStyle w:val="Hyperlink"/>
          <w:rFonts w:ascii="Verdana" w:hAnsi="Verdana" w:eastAsiaTheme="majorEastAsia"/>
          <w:sz w:val="18"/>
          <w:szCs w:val="18"/>
        </w:rPr>
        <w:t>https://www.enterpriseresearch.ac.uk/wp-content/uploads/2018/04/ERC-ResPap66-Roper.pdf</w:t>
      </w:r>
      <w:r>
        <w:fldChar w:fldCharType="end"/>
      </w:r>
      <w:r w:rsidRPr="00295425">
        <w:rPr>
          <w:rFonts w:ascii="Verdana" w:hAnsi="Verdana"/>
          <w:sz w:val="18"/>
          <w:szCs w:val="18"/>
        </w:rPr>
        <w:t xml:space="preserve">  </w:t>
      </w:r>
    </w:p>
  </w:footnote>
  <w:footnote w:id="4">
    <w:p w:rsidR="00652390" w:rsidP="00BC7A06">
      <w:pPr>
        <w:pStyle w:val="FootnoteText"/>
      </w:pPr>
      <w:r w:rsidRPr="00295425">
        <w:rPr>
          <w:rStyle w:val="FootnoteReference"/>
          <w:rFonts w:ascii="Verdana" w:hAnsi="Verdana"/>
          <w:sz w:val="18"/>
          <w:szCs w:val="18"/>
        </w:rPr>
        <w:footnoteRef/>
      </w:r>
      <w:r w:rsidRPr="00295425">
        <w:rPr>
          <w:rFonts w:ascii="Verdana" w:hAnsi="Verdana"/>
          <w:sz w:val="18"/>
          <w:szCs w:val="18"/>
        </w:rPr>
        <w:t xml:space="preserve"> See OECD statistics of net childcare costs, net childcare cost in the UK in 2019 were at 28% of household income after accounting for different childcare benefits, for a couple with two children and at least one of the parents earning 67% of the average wage. This meant net childcare costs were the highest in the UK among all OECD countries. OECD Stat (2020). Net childcare cost for parents using childcare. </w:t>
      </w:r>
      <w:r>
        <w:fldChar w:fldCharType="begin"/>
      </w:r>
      <w:r>
        <w:instrText xml:space="preserve"> HYPERLINK "https://stats.oecd.org/Index.aspx?DataSetCode=NCC" </w:instrText>
      </w:r>
      <w:r>
        <w:fldChar w:fldCharType="separate"/>
      </w:r>
      <w:r w:rsidRPr="00295425">
        <w:rPr>
          <w:rStyle w:val="Hyperlink"/>
          <w:rFonts w:ascii="Verdana" w:hAnsi="Verdana" w:eastAsiaTheme="majorEastAsia"/>
          <w:sz w:val="18"/>
          <w:szCs w:val="18"/>
        </w:rPr>
        <w:t>https://stats.oecd.org/Index.aspx?DataSetCode=NCC</w:t>
      </w:r>
      <w:r>
        <w:fldChar w:fldCharType="end"/>
      </w:r>
      <w:r w:rsidRPr="00295425">
        <w:rPr>
          <w:rFonts w:ascii="Verdana" w:hAnsi="Verdana"/>
          <w:sz w:val="18"/>
          <w:szCs w:val="18"/>
        </w:rPr>
        <w:t>, accessed July 19, 2020.</w:t>
      </w:r>
      <w:r w:rsidRPr="00B06D34">
        <w:rPr>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3516A5"/>
    <w:multiLevelType w:val="hybridMultilevel"/>
    <w:tmpl w:val="19A664B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0671C3C"/>
    <w:multiLevelType w:val="hybridMultilevel"/>
    <w:tmpl w:val="BE10F6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12358CB"/>
    <w:multiLevelType w:val="multilevel"/>
    <w:tmpl w:val="75AA7ED8"/>
    <w:lvl w:ilvl="0">
      <w:start w:val="2"/>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4474112"/>
    <w:multiLevelType w:val="hybridMultilevel"/>
    <w:tmpl w:val="E52EBBAA"/>
    <w:lvl w:ilvl="0">
      <w:start w:val="310"/>
      <w:numFmt w:val="bullet"/>
      <w:lvlText w:val="-"/>
      <w:lvlJc w:val="left"/>
      <w:pPr>
        <w:ind w:left="720" w:hanging="360"/>
      </w:pPr>
      <w:rPr>
        <w:rFonts w:ascii="KingsBureauGrot FiveOne" w:eastAsia="Times New Roman" w:hAnsi="KingsBureauGrot FiveOne" w:cs="Times New Roman"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75D278D"/>
    <w:multiLevelType w:val="hybridMultilevel"/>
    <w:tmpl w:val="040A3E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8AC5F3D"/>
    <w:multiLevelType w:val="hybridMultilevel"/>
    <w:tmpl w:val="ECEEFCFA"/>
    <w:lvl w:ilvl="0">
      <w:start w:val="0"/>
      <w:numFmt w:val="bullet"/>
      <w:lvlText w:val="-"/>
      <w:lvlJc w:val="left"/>
      <w:pPr>
        <w:ind w:left="720" w:hanging="360"/>
      </w:pPr>
      <w:rPr>
        <w:rFonts w:ascii="KingsBureauGrot FiveOne" w:eastAsia="Times New Roman" w:hAnsi="KingsBureauGrot FiveOne"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A191DC9"/>
    <w:multiLevelType w:val="hybridMultilevel"/>
    <w:tmpl w:val="CB96B0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A952ECD"/>
    <w:multiLevelType w:val="hybridMultilevel"/>
    <w:tmpl w:val="FD80C9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7195B2A"/>
    <w:multiLevelType w:val="hybridMultilevel"/>
    <w:tmpl w:val="E5881932"/>
    <w:lvl w:ilvl="0">
      <w:start w:val="6"/>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08D7CDD"/>
    <w:multiLevelType w:val="hybridMultilevel"/>
    <w:tmpl w:val="E5B4B3C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0">
    <w:nsid w:val="245F0134"/>
    <w:multiLevelType w:val="hybridMultilevel"/>
    <w:tmpl w:val="582ABB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6554762"/>
    <w:multiLevelType w:val="multilevel"/>
    <w:tmpl w:val="6ADCE0AC"/>
    <w:lvl w:ilvl="0">
      <w:start w:val="2"/>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8312ACA"/>
    <w:multiLevelType w:val="hybridMultilevel"/>
    <w:tmpl w:val="AA0884F6"/>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90B4595"/>
    <w:multiLevelType w:val="hybridMultilevel"/>
    <w:tmpl w:val="597099F0"/>
    <w:lvl w:ilvl="0">
      <w:start w:val="0"/>
      <w:numFmt w:val="bullet"/>
      <w:lvlText w:val="-"/>
      <w:lvlJc w:val="left"/>
      <w:pPr>
        <w:ind w:left="1440" w:hanging="360"/>
      </w:pPr>
      <w:rPr>
        <w:rFonts w:ascii="KingsBureauGrot FiveOne" w:eastAsia="Times New Roman" w:hAnsi="KingsBureauGrot FiveOne" w:cs="Calibri"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29E45564"/>
    <w:multiLevelType w:val="hybridMultilevel"/>
    <w:tmpl w:val="9E58147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0613296"/>
    <w:multiLevelType w:val="hybridMultilevel"/>
    <w:tmpl w:val="AC3A9E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11C4905"/>
    <w:multiLevelType w:val="hybridMultilevel"/>
    <w:tmpl w:val="0DA0F7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17E5DF7"/>
    <w:multiLevelType w:val="hybridMultilevel"/>
    <w:tmpl w:val="10889A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7880AFA"/>
    <w:multiLevelType w:val="multilevel"/>
    <w:tmpl w:val="86225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96931D6"/>
    <w:multiLevelType w:val="hybridMultilevel"/>
    <w:tmpl w:val="B6068D88"/>
    <w:lvl w:ilvl="0">
      <w:start w:val="0"/>
      <w:numFmt w:val="bullet"/>
      <w:lvlText w:val="-"/>
      <w:lvlJc w:val="left"/>
      <w:pPr>
        <w:ind w:left="720" w:hanging="360"/>
      </w:pPr>
      <w:rPr>
        <w:rFonts w:ascii="KingsBureauGrot FiveOne" w:eastAsia="Times New Roman" w:hAnsi="KingsBureauGrot FiveOne"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E9E055E"/>
    <w:multiLevelType w:val="multilevel"/>
    <w:tmpl w:val="157809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5047A89"/>
    <w:multiLevelType w:val="hybridMultilevel"/>
    <w:tmpl w:val="6E680F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53B1BD5"/>
    <w:multiLevelType w:val="hybridMultilevel"/>
    <w:tmpl w:val="EA38E4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646416F"/>
    <w:multiLevelType w:val="hybridMultilevel"/>
    <w:tmpl w:val="19A664B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AF029A5"/>
    <w:multiLevelType w:val="hybridMultilevel"/>
    <w:tmpl w:val="A216B476"/>
    <w:lvl w:ilvl="0">
      <w:start w:val="1"/>
      <w:numFmt w:val="bullet"/>
      <w:lvlText w:val=""/>
      <w:lvlJc w:val="left"/>
      <w:pPr>
        <w:ind w:left="720" w:hanging="360"/>
      </w:pPr>
      <w:rPr>
        <w:rFonts w:ascii="Symbol" w:hAnsi="Symbol"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B302ADE"/>
    <w:multiLevelType w:val="hybridMultilevel"/>
    <w:tmpl w:val="644A06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01917A8"/>
    <w:multiLevelType w:val="hybridMultilevel"/>
    <w:tmpl w:val="5ADE71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6CC061B"/>
    <w:multiLevelType w:val="hybridMultilevel"/>
    <w:tmpl w:val="19A664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73609D5"/>
    <w:multiLevelType w:val="hybridMultilevel"/>
    <w:tmpl w:val="CEC01AC8"/>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29">
    <w:nsid w:val="573B32EF"/>
    <w:multiLevelType w:val="multilevel"/>
    <w:tmpl w:val="505AF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57684C"/>
    <w:multiLevelType w:val="hybridMultilevel"/>
    <w:tmpl w:val="070CBC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8574AC3"/>
    <w:multiLevelType w:val="hybridMultilevel"/>
    <w:tmpl w:val="A22299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B5F1FEC"/>
    <w:multiLevelType w:val="multilevel"/>
    <w:tmpl w:val="1F8A7B2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nsid w:val="5D711496"/>
    <w:multiLevelType w:val="hybridMultilevel"/>
    <w:tmpl w:val="EAEAAA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9FF264B"/>
    <w:multiLevelType w:val="multilevel"/>
    <w:tmpl w:val="3376898E"/>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nsid w:val="6E3F26AE"/>
    <w:multiLevelType w:val="multilevel"/>
    <w:tmpl w:val="4614E8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09C5A46"/>
    <w:multiLevelType w:val="hybridMultilevel"/>
    <w:tmpl w:val="9E0A8C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33B759C"/>
    <w:multiLevelType w:val="hybridMultilevel"/>
    <w:tmpl w:val="5EF8CD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8E4AE5"/>
    <w:multiLevelType w:val="multilevel"/>
    <w:tmpl w:val="1F8A7B2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19"/>
  </w:num>
  <w:num w:numId="3">
    <w:abstractNumId w:val="5"/>
  </w:num>
  <w:num w:numId="4">
    <w:abstractNumId w:val="23"/>
  </w:num>
  <w:num w:numId="5">
    <w:abstractNumId w:val="14"/>
  </w:num>
  <w:num w:numId="6">
    <w:abstractNumId w:val="27"/>
  </w:num>
  <w:num w:numId="7">
    <w:abstractNumId w:val="13"/>
  </w:num>
  <w:num w:numId="8">
    <w:abstractNumId w:val="29"/>
  </w:num>
  <w:num w:numId="9">
    <w:abstractNumId w:val="9"/>
  </w:num>
  <w:num w:numId="10">
    <w:abstractNumId w:val="12"/>
  </w:num>
  <w:num w:numId="11">
    <w:abstractNumId w:val="0"/>
  </w:num>
  <w:num w:numId="12">
    <w:abstractNumId w:val="2"/>
  </w:num>
  <w:num w:numId="13">
    <w:abstractNumId w:val="11"/>
  </w:num>
  <w:num w:numId="14">
    <w:abstractNumId w:val="21"/>
  </w:num>
  <w:num w:numId="15">
    <w:abstractNumId w:val="16"/>
  </w:num>
  <w:num w:numId="16">
    <w:abstractNumId w:val="20"/>
  </w:num>
  <w:num w:numId="17">
    <w:abstractNumId w:val="35"/>
  </w:num>
  <w:num w:numId="18">
    <w:abstractNumId w:val="33"/>
  </w:num>
  <w:num w:numId="19">
    <w:abstractNumId w:val="25"/>
  </w:num>
  <w:num w:numId="20">
    <w:abstractNumId w:val="34"/>
  </w:num>
  <w:num w:numId="21">
    <w:abstractNumId w:val="38"/>
  </w:num>
  <w:num w:numId="22">
    <w:abstractNumId w:val="32"/>
  </w:num>
  <w:num w:numId="23">
    <w:abstractNumId w:val="8"/>
  </w:num>
  <w:num w:numId="24">
    <w:abstractNumId w:val="15"/>
  </w:num>
  <w:num w:numId="25">
    <w:abstractNumId w:val="4"/>
  </w:num>
  <w:num w:numId="26">
    <w:abstractNumId w:val="6"/>
  </w:num>
  <w:num w:numId="27">
    <w:abstractNumId w:val="28"/>
  </w:num>
  <w:num w:numId="28">
    <w:abstractNumId w:val="1"/>
  </w:num>
  <w:num w:numId="29">
    <w:abstractNumId w:val="10"/>
  </w:num>
  <w:num w:numId="30">
    <w:abstractNumId w:val="26"/>
  </w:num>
  <w:num w:numId="31">
    <w:abstractNumId w:val="17"/>
  </w:num>
  <w:num w:numId="32">
    <w:abstractNumId w:val="22"/>
  </w:num>
  <w:num w:numId="33">
    <w:abstractNumId w:val="30"/>
  </w:num>
  <w:num w:numId="34">
    <w:abstractNumId w:val="31"/>
  </w:num>
  <w:num w:numId="35">
    <w:abstractNumId w:val="37"/>
  </w:num>
  <w:num w:numId="36">
    <w:abstractNumId w:val="36"/>
  </w:num>
  <w:num w:numId="37">
    <w:abstractNumId w:val="7"/>
  </w:num>
  <w:num w:numId="38">
    <w:abstractNumId w:val="3"/>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20"/>
  <w:hyphenationZone w:val="425"/>
  <w:characterSpacingControl w:val="doNotCompress"/>
  <w:footnotePr>
    <w:footnote w:id="0"/>
    <w:footnote w:id="1"/>
  </w:footnotePr>
  <w:compa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17A7"/>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9B402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53FF"/>
    <w:pPr>
      <w:keepNext/>
      <w:keepLines/>
      <w:spacing w:before="40"/>
      <w:outlineLvl w:val="1"/>
    </w:pPr>
    <w:rPr>
      <w:rFonts w:ascii="KingsBureauGrot FiveOne" w:hAnsi="KingsBureauGrot FiveOne" w:eastAsiaTheme="majorEastAsia" w:cstheme="majorBidi"/>
      <w:b/>
      <w:bCs/>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94983"/>
  </w:style>
  <w:style w:type="paragraph" w:styleId="BalloonText">
    <w:name w:val="Balloon Text"/>
    <w:basedOn w:val="Normal"/>
    <w:link w:val="BalloonTextChar"/>
    <w:uiPriority w:val="99"/>
    <w:semiHidden/>
    <w:unhideWhenUsed/>
    <w:rsid w:val="00AB621A"/>
    <w:rPr>
      <w:sz w:val="18"/>
      <w:szCs w:val="18"/>
    </w:rPr>
  </w:style>
  <w:style w:type="character" w:customStyle="1" w:styleId="BalloonTextChar">
    <w:name w:val="Balloon Text Char"/>
    <w:basedOn w:val="DefaultParagraphFont"/>
    <w:link w:val="BalloonText"/>
    <w:uiPriority w:val="99"/>
    <w:semiHidden/>
    <w:rsid w:val="00AB621A"/>
    <w:rPr>
      <w:rFonts w:ascii="Times New Roman" w:eastAsia="Times New Roman" w:hAnsi="Times New Roman" w:cs="Times New Roman"/>
      <w:sz w:val="18"/>
      <w:szCs w:val="18"/>
      <w:lang w:eastAsia="en-GB"/>
    </w:rPr>
  </w:style>
  <w:style w:type="character" w:styleId="Hyperlink">
    <w:name w:val="Hyperlink"/>
    <w:basedOn w:val="DefaultParagraphFont"/>
    <w:uiPriority w:val="99"/>
    <w:unhideWhenUsed/>
    <w:rsid w:val="00CF6D11"/>
    <w:rPr>
      <w:color w:val="0000FF"/>
      <w:u w:val="single"/>
    </w:rPr>
  </w:style>
  <w:style w:type="paragraph" w:styleId="ListParagraph">
    <w:name w:val="List Paragraph"/>
    <w:basedOn w:val="Normal"/>
    <w:uiPriority w:val="34"/>
    <w:qFormat/>
    <w:rsid w:val="008A4E9C"/>
    <w:pPr>
      <w:spacing w:before="100" w:beforeAutospacing="1" w:after="100" w:afterAutospacing="1"/>
    </w:pPr>
  </w:style>
  <w:style w:type="character" w:customStyle="1" w:styleId="spelle">
    <w:name w:val="spelle"/>
    <w:basedOn w:val="DefaultParagraphFont"/>
    <w:rsid w:val="008A4E9C"/>
  </w:style>
  <w:style w:type="character" w:styleId="CommentReference">
    <w:name w:val="annotation reference"/>
    <w:basedOn w:val="DefaultParagraphFont"/>
    <w:uiPriority w:val="99"/>
    <w:semiHidden/>
    <w:unhideWhenUsed/>
    <w:rsid w:val="003E1C13"/>
    <w:rPr>
      <w:sz w:val="16"/>
      <w:szCs w:val="16"/>
    </w:rPr>
  </w:style>
  <w:style w:type="paragraph" w:styleId="CommentText">
    <w:name w:val="annotation text"/>
    <w:basedOn w:val="Normal"/>
    <w:link w:val="CommentTextChar"/>
    <w:uiPriority w:val="99"/>
    <w:semiHidden/>
    <w:unhideWhenUsed/>
    <w:rsid w:val="003E1C13"/>
    <w:rPr>
      <w:sz w:val="20"/>
      <w:szCs w:val="20"/>
    </w:rPr>
  </w:style>
  <w:style w:type="character" w:customStyle="1" w:styleId="CommentTextChar">
    <w:name w:val="Comment Text Char"/>
    <w:basedOn w:val="DefaultParagraphFont"/>
    <w:link w:val="CommentText"/>
    <w:uiPriority w:val="99"/>
    <w:semiHidden/>
    <w:rsid w:val="003E1C1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E1C13"/>
    <w:rPr>
      <w:b/>
      <w:bCs/>
    </w:rPr>
  </w:style>
  <w:style w:type="character" w:customStyle="1" w:styleId="CommentSubjectChar">
    <w:name w:val="Comment Subject Char"/>
    <w:basedOn w:val="CommentTextChar"/>
    <w:link w:val="CommentSubject"/>
    <w:uiPriority w:val="99"/>
    <w:semiHidden/>
    <w:rsid w:val="003E1C13"/>
    <w:rPr>
      <w:rFonts w:ascii="Times New Roman" w:eastAsia="Times New Roman" w:hAnsi="Times New Roman" w:cs="Times New Roman"/>
      <w:b/>
      <w:bCs/>
      <w:sz w:val="20"/>
      <w:szCs w:val="20"/>
      <w:lang w:eastAsia="en-GB"/>
    </w:rPr>
  </w:style>
  <w:style w:type="paragraph" w:styleId="NormalWeb">
    <w:name w:val="Normal (Web)"/>
    <w:basedOn w:val="Normal"/>
    <w:uiPriority w:val="99"/>
    <w:unhideWhenUsed/>
    <w:rsid w:val="00584514"/>
    <w:pPr>
      <w:spacing w:before="100" w:beforeAutospacing="1" w:after="100" w:afterAutospacing="1"/>
    </w:pPr>
  </w:style>
  <w:style w:type="paragraph" w:styleId="Header">
    <w:name w:val="header"/>
    <w:basedOn w:val="Normal"/>
    <w:link w:val="HeaderChar"/>
    <w:uiPriority w:val="99"/>
    <w:unhideWhenUsed/>
    <w:rsid w:val="00A37200"/>
    <w:pPr>
      <w:tabs>
        <w:tab w:val="center" w:pos="4513"/>
        <w:tab w:val="right" w:pos="9026"/>
      </w:tabs>
    </w:pPr>
  </w:style>
  <w:style w:type="character" w:customStyle="1" w:styleId="HeaderChar">
    <w:name w:val="Header Char"/>
    <w:basedOn w:val="DefaultParagraphFont"/>
    <w:link w:val="Header"/>
    <w:uiPriority w:val="99"/>
    <w:rsid w:val="00A37200"/>
    <w:rPr>
      <w:rFonts w:ascii="Times New Roman" w:eastAsia="Times New Roman" w:hAnsi="Times New Roman" w:cs="Times New Roman"/>
      <w:lang w:eastAsia="en-GB"/>
    </w:rPr>
  </w:style>
  <w:style w:type="paragraph" w:styleId="Footer">
    <w:name w:val="footer"/>
    <w:basedOn w:val="Normal"/>
    <w:link w:val="FooterChar"/>
    <w:uiPriority w:val="99"/>
    <w:unhideWhenUsed/>
    <w:rsid w:val="00A37200"/>
    <w:pPr>
      <w:tabs>
        <w:tab w:val="center" w:pos="4513"/>
        <w:tab w:val="right" w:pos="9026"/>
      </w:tabs>
    </w:pPr>
  </w:style>
  <w:style w:type="character" w:customStyle="1" w:styleId="FooterChar">
    <w:name w:val="Footer Char"/>
    <w:basedOn w:val="DefaultParagraphFont"/>
    <w:link w:val="Footer"/>
    <w:uiPriority w:val="99"/>
    <w:rsid w:val="00A37200"/>
    <w:rPr>
      <w:rFonts w:ascii="Times New Roman" w:eastAsia="Times New Roman" w:hAnsi="Times New Roman" w:cs="Times New Roman"/>
      <w:lang w:eastAsia="en-GB"/>
    </w:rPr>
  </w:style>
  <w:style w:type="paragraph" w:styleId="FootnoteText">
    <w:name w:val="footnote text"/>
    <w:basedOn w:val="Normal"/>
    <w:link w:val="FootnoteTextChar"/>
    <w:uiPriority w:val="99"/>
    <w:semiHidden/>
    <w:unhideWhenUsed/>
    <w:rsid w:val="00565416"/>
    <w:rPr>
      <w:sz w:val="20"/>
      <w:szCs w:val="20"/>
    </w:rPr>
  </w:style>
  <w:style w:type="character" w:customStyle="1" w:styleId="FootnoteTextChar">
    <w:name w:val="Footnote Text Char"/>
    <w:basedOn w:val="DefaultParagraphFont"/>
    <w:link w:val="FootnoteText"/>
    <w:uiPriority w:val="99"/>
    <w:semiHidden/>
    <w:rsid w:val="00565416"/>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565416"/>
    <w:rPr>
      <w:vertAlign w:val="superscript"/>
    </w:rPr>
  </w:style>
  <w:style w:type="paragraph" w:styleId="Caption">
    <w:name w:val="caption"/>
    <w:basedOn w:val="Normal"/>
    <w:next w:val="Normal"/>
    <w:uiPriority w:val="35"/>
    <w:unhideWhenUsed/>
    <w:qFormat/>
    <w:rsid w:val="00981C85"/>
    <w:pPr>
      <w:spacing w:after="200"/>
    </w:pPr>
    <w:rPr>
      <w:i/>
      <w:iCs/>
      <w:color w:val="44546A" w:themeColor="text2"/>
      <w:sz w:val="18"/>
      <w:szCs w:val="18"/>
    </w:rPr>
  </w:style>
  <w:style w:type="character" w:customStyle="1" w:styleId="UnresolvedMention1">
    <w:name w:val="Unresolved Mention1"/>
    <w:basedOn w:val="DefaultParagraphFont"/>
    <w:uiPriority w:val="99"/>
    <w:semiHidden/>
    <w:unhideWhenUsed/>
    <w:rsid w:val="0049003C"/>
    <w:rPr>
      <w:color w:val="605E5C"/>
      <w:shd w:val="clear" w:color="auto" w:fill="E1DFDD"/>
    </w:rPr>
  </w:style>
  <w:style w:type="character" w:customStyle="1" w:styleId="Heading2Char">
    <w:name w:val="Heading 2 Char"/>
    <w:basedOn w:val="DefaultParagraphFont"/>
    <w:link w:val="Heading2"/>
    <w:uiPriority w:val="9"/>
    <w:rsid w:val="005C53FF"/>
    <w:rPr>
      <w:rFonts w:ascii="KingsBureauGrot FiveOne" w:hAnsi="KingsBureauGrot FiveOne" w:eastAsiaTheme="majorEastAsia" w:cstheme="majorBidi"/>
      <w:b/>
      <w:bCs/>
      <w:color w:val="2F5496" w:themeColor="accent1" w:themeShade="BF"/>
      <w:sz w:val="26"/>
      <w:szCs w:val="26"/>
      <w:lang w:eastAsia="en-GB"/>
    </w:rPr>
  </w:style>
  <w:style w:type="paragraph" w:styleId="Revision">
    <w:name w:val="Revision"/>
    <w:hidden/>
    <w:uiPriority w:val="99"/>
    <w:semiHidden/>
    <w:rsid w:val="00BD513C"/>
    <w:rPr>
      <w:rFonts w:ascii="Times New Roman" w:eastAsia="Times New Roman" w:hAnsi="Times New Roman" w:cs="Times New Roman"/>
      <w:lang w:eastAsia="en-GB"/>
    </w:rPr>
  </w:style>
  <w:style w:type="character" w:customStyle="1" w:styleId="UnresolvedMention2">
    <w:name w:val="Unresolved Mention2"/>
    <w:basedOn w:val="DefaultParagraphFont"/>
    <w:uiPriority w:val="99"/>
    <w:semiHidden/>
    <w:unhideWhenUsed/>
    <w:rsid w:val="008C0095"/>
    <w:rPr>
      <w:color w:val="605E5C"/>
      <w:shd w:val="clear" w:color="auto" w:fill="E1DFDD"/>
    </w:rPr>
  </w:style>
  <w:style w:type="table" w:styleId="TableGrid">
    <w:name w:val="Table Grid"/>
    <w:basedOn w:val="TableNormal"/>
    <w:uiPriority w:val="39"/>
    <w:rsid w:val="000273A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B4025"/>
    <w:rPr>
      <w:rFonts w:asciiTheme="majorHAnsi" w:eastAsiaTheme="majorEastAsia" w:hAnsiTheme="majorHAnsi" w:cstheme="majorBidi"/>
      <w:color w:val="2F5496" w:themeColor="accent1" w:themeShade="BF"/>
      <w:sz w:val="32"/>
      <w:szCs w:val="32"/>
      <w:lang w:eastAsia="en-GB"/>
    </w:rPr>
  </w:style>
  <w:style w:type="character" w:styleId="Strong">
    <w:name w:val="Strong"/>
    <w:basedOn w:val="DefaultParagraphFont"/>
    <w:uiPriority w:val="22"/>
    <w:qFormat/>
    <w:rsid w:val="00A85747"/>
    <w:rPr>
      <w:b/>
      <w:bCs/>
    </w:rPr>
  </w:style>
  <w:style w:type="character" w:styleId="FollowedHyperlink">
    <w:name w:val="FollowedHyperlink"/>
    <w:basedOn w:val="DefaultParagraphFont"/>
    <w:uiPriority w:val="99"/>
    <w:semiHidden/>
    <w:unhideWhenUsed/>
    <w:rsid w:val="00A85747"/>
    <w:rPr>
      <w:color w:val="954F72" w:themeColor="followedHyperlink"/>
      <w:u w:val="single"/>
    </w:rPr>
  </w:style>
  <w:style w:type="paragraph" w:styleId="TOCHeading">
    <w:name w:val="TOC Heading"/>
    <w:basedOn w:val="Heading1"/>
    <w:next w:val="Normal"/>
    <w:uiPriority w:val="39"/>
    <w:unhideWhenUsed/>
    <w:qFormat/>
    <w:rsid w:val="005B483B"/>
    <w:pPr>
      <w:spacing w:line="259" w:lineRule="auto"/>
      <w:outlineLvl w:val="9"/>
    </w:pPr>
    <w:rPr>
      <w:lang w:val="en-US" w:eastAsia="en-US"/>
    </w:rPr>
  </w:style>
  <w:style w:type="paragraph" w:styleId="TOC1">
    <w:name w:val="toc 1"/>
    <w:basedOn w:val="Normal"/>
    <w:next w:val="Normal"/>
    <w:autoRedefine/>
    <w:uiPriority w:val="39"/>
    <w:unhideWhenUsed/>
    <w:rsid w:val="005B483B"/>
    <w:pPr>
      <w:tabs>
        <w:tab w:val="left" w:pos="440"/>
        <w:tab w:val="right" w:leader="dot" w:pos="9016"/>
      </w:tabs>
      <w:spacing w:after="100"/>
    </w:pPr>
  </w:style>
  <w:style w:type="paragraph" w:styleId="TOC2">
    <w:name w:val="toc 2"/>
    <w:basedOn w:val="Normal"/>
    <w:next w:val="Normal"/>
    <w:autoRedefine/>
    <w:uiPriority w:val="39"/>
    <w:unhideWhenUsed/>
    <w:rsid w:val="005B483B"/>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hart" Target="charts/chart1.xml" /><Relationship Id="rId11" Type="http://schemas.openxmlformats.org/officeDocument/2006/relationships/chart" Target="charts/chart2.xml" /><Relationship Id="rId12" Type="http://schemas.openxmlformats.org/officeDocument/2006/relationships/chart" Target="charts/chart3.xml" /><Relationship Id="rId13" Type="http://schemas.openxmlformats.org/officeDocument/2006/relationships/chart" Target="charts/chart4.xml" /><Relationship Id="rId14" Type="http://schemas.openxmlformats.org/officeDocument/2006/relationships/chart" Target="charts/chart5.xml" /><Relationship Id="rId15" Type="http://schemas.openxmlformats.org/officeDocument/2006/relationships/chart" Target="charts/chart6.xml" /><Relationship Id="rId16" Type="http://schemas.openxmlformats.org/officeDocument/2006/relationships/chart" Target="charts/chart7.xml" /><Relationship Id="rId17" Type="http://schemas.openxmlformats.org/officeDocument/2006/relationships/chart" Target="charts/chart8.xml" /><Relationship Id="rId18" Type="http://schemas.openxmlformats.org/officeDocument/2006/relationships/chart" Target="charts/chart9.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charts/_rels/chart1.xml.rels>&#65279;<?xml version="1.0" encoding="utf-8" standalone="yes"?><Relationships xmlns="http://schemas.openxmlformats.org/package/2006/relationships"><Relationship Id="rId1" Type="http://schemas.openxmlformats.org/officeDocument/2006/relationships/oleObject" Target="file:///C:\back2\Entrepreneurship\_MSCA%20research\_COVID-19\UK\Employment%20after%20COVID%20House%20of%20Lords\report-graphs%2020200826.xlsx" TargetMode="External" /></Relationships>
</file>

<file path=word/charts/_rels/chart2.xml.rels>&#65279;<?xml version="1.0" encoding="utf-8" standalone="yes"?><Relationships xmlns="http://schemas.openxmlformats.org/package/2006/relationships"><Relationship Id="rId1" Type="http://schemas.openxmlformats.org/officeDocument/2006/relationships/oleObject" Target="file:///D:\Data\report-graphs%2020200723.xlsx" TargetMode="External" /></Relationships>
</file>

<file path=word/charts/_rels/chart3.xml.rels>&#65279;<?xml version="1.0" encoding="utf-8" standalone="yes"?><Relationships xmlns="http://schemas.openxmlformats.org/package/2006/relationships"><Relationship Id="rId1" Type="http://schemas.openxmlformats.org/officeDocument/2006/relationships/oleObject" Target="file:///C:\Users\k1777769\Dropbox\move\PosENT\0_international-study\UK%20study\report-graphs.xlsx" TargetMode="External" /></Relationships>
</file>

<file path=word/charts/_rels/chart4.xml.rels>&#65279;<?xml version="1.0" encoding="utf-8" standalone="yes"?><Relationships xmlns="http://schemas.openxmlformats.org/package/2006/relationships"><Relationship Id="rId1" Type="http://schemas.openxmlformats.org/officeDocument/2006/relationships/oleObject" Target="file:///C:\back2\Entrepreneurship\_MSCA%20research\_COVID-19\UK\Employment%20after%20COVID%20House%20of%20Lords\report-graphs%2020200826.xlsx" TargetMode="External" /></Relationships>
</file>

<file path=word/charts/_rels/chart5.xml.rels>&#65279;<?xml version="1.0" encoding="utf-8" standalone="yes"?><Relationships xmlns="http://schemas.openxmlformats.org/package/2006/relationships"><Relationship Id="rId1" Type="http://schemas.openxmlformats.org/officeDocument/2006/relationships/oleObject" Target="file:///D:\Data\report-graphs%2020200723.xlsx" TargetMode="External" /></Relationships>
</file>

<file path=word/charts/_rels/chart6.xml.rels>&#65279;<?xml version="1.0" encoding="utf-8" standalone="yes"?><Relationships xmlns="http://schemas.openxmlformats.org/package/2006/relationships"><Relationship Id="rId1" Type="http://schemas.openxmlformats.org/officeDocument/2006/relationships/oleObject" Target="file:///C:\Users\k1777769\Dropbox\move\PosENT\0_international-study\UK%20study\report-graphs.xlsx" TargetMode="External" /></Relationships>
</file>

<file path=word/charts/_rels/chart7.xml.rels>&#65279;<?xml version="1.0" encoding="utf-8" standalone="yes"?><Relationships xmlns="http://schemas.openxmlformats.org/package/2006/relationships"><Relationship Id="rId1" Type="http://schemas.openxmlformats.org/officeDocument/2006/relationships/oleObject" Target="file:///C:\Users\k1777769\Dropbox\move\PosENT\0_international-study\UK%20study\report-graphs.xlsx" TargetMode="External" /></Relationships>
</file>

<file path=word/charts/_rels/chart8.xml.rels>&#65279;<?xml version="1.0" encoding="utf-8" standalone="yes"?><Relationships xmlns="http://schemas.openxmlformats.org/package/2006/relationships"><Relationship Id="rId1" Type="http://schemas.openxmlformats.org/officeDocument/2006/relationships/oleObject" Target="file:///C:\Users\k1777769\Dropbox\move\PosENT\0_international-study\UK%20study\report-graphs%2016072020%20v2.xlsx" TargetMode="External" /></Relationships>
</file>

<file path=word/charts/_rels/chart9.xml.rels>&#65279;<?xml version="1.0" encoding="utf-8" standalone="yes"?><Relationships xmlns="http://schemas.openxmlformats.org/package/2006/relationships"><Relationship Id="rId1" Type="http://schemas.openxmlformats.org/officeDocument/2006/relationships/oleObject" Target="file:///D:\Data\report-graphs%2020200718.xlsx" TargetMode="Externa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pl-PL" sz="1400" b="0">
                <a:solidFill>
                  <a:schemeClr val="tx1">
                    <a:lumMod val="65000"/>
                    <a:lumOff val="35000"/>
                  </a:schemeClr>
                </a:solidFill>
              </a:rPr>
              <a:t>What percentage of employees of did you have to lay?</a:t>
            </a:r>
            <a:r>
              <a:rPr lang="pl-PL" sz="1100" b="0">
                <a:solidFill>
                  <a:schemeClr val="tx1">
                    <a:lumMod val="65000"/>
                    <a:lumOff val="35000"/>
                  </a:schemeClr>
                </a:solidFill>
              </a:rPr>
              <a:t> (% of 59 who laid off staff)</a:t>
            </a:r>
          </a:p>
        </c:rich>
      </c:tx>
      <c:overlay val="0"/>
    </c:title>
    <c:autoTitleDeleted val="0"/>
    <c:plotArea>
      <c:layout>
        <c:manualLayout>
          <c:layoutTarget val="inner"/>
          <c:xMode val="edge"/>
          <c:yMode val="edge"/>
          <c:x val="0.13171128608923932"/>
          <c:y val="0.31162878787878923"/>
          <c:w val="0.72324444444444602"/>
          <c:h val="0.61640151515151564"/>
        </c:manualLayout>
      </c:layout>
      <c:pieChart>
        <c:varyColors val="1"/>
        <c:ser>
          <c:idx val="0"/>
          <c:order val="0"/>
          <c:dLbls>
            <c:dLbl>
              <c:idx val="4"/>
              <c:spPr/>
              <c:txPr>
                <a:bodyPr/>
                <a:lstStyle/>
                <a:p>
                  <a:pPr>
                    <a:defRPr sz="900">
                      <a:solidFill>
                        <a:schemeClr val="bg1"/>
                      </a:solidFill>
                    </a:defRPr>
                  </a:pPr>
                  <a:endParaRPr lang="en-US"/>
                </a:p>
              </c:txPr>
              <c:dLblPos val="inEnd"/>
              <c:showLegendKey val="0"/>
              <c:showVal val="1"/>
              <c:showCatName val="1"/>
              <c:showSerName val="0"/>
              <c:showPercent val="0"/>
              <c:showBubbleSize val="0"/>
              <c:extLst>
                <c:ext xmlns:c16="http://schemas.microsoft.com/office/drawing/2014/chart" uri="{C3380CC4-5D6E-409C-BE32-E72D297353CC}">
                  <c16:uniqueId val="{00000000-1D4C-4F56-B68A-60F245802747}"/>
                </c:ext>
              </c:extLst>
            </c:dLbl>
            <c:spPr>
              <a:noFill/>
              <a:ln>
                <a:noFill/>
              </a:ln>
              <a:effectLst/>
            </c:spPr>
            <c:txPr>
              <a:bodyPr/>
              <a:lstStyle/>
              <a:p>
                <a:pPr>
                  <a:defRPr>
                    <a:solidFill>
                      <a:schemeClr val="bg1"/>
                    </a:solidFill>
                  </a:defRPr>
                </a:pPr>
                <a:endParaRPr lang="en-US"/>
              </a:p>
            </c:txPr>
            <c:dLblPos val="inEnd"/>
            <c:showLegendKey val="0"/>
            <c:showVal val="1"/>
            <c:showCatName val="1"/>
            <c:showSerName val="0"/>
            <c:showPercent val="0"/>
            <c:showBubbleSize val="0"/>
            <c:showLeaderLines val="1"/>
            <c:extLst>
              <c:ext xmlns:c15="http://schemas.microsoft.com/office/drawing/2012/chart" uri="{CE6537A1-D6FC-4f65-9D91-7224C49458BB}"/>
            </c:extLst>
          </c:dLbls>
          <c:cat>
            <c:strRef>
              <c:f>Employers!$C$71:$C$75</c:f>
              <c:strCache>
                <c:ptCount val="5"/>
                <c:pt idx="0">
                  <c:v>Less than 25%</c:v>
                </c:pt>
                <c:pt idx="1">
                  <c:v>25%-49%</c:v>
                </c:pt>
                <c:pt idx="2">
                  <c:v>50%-74%</c:v>
                </c:pt>
                <c:pt idx="3">
                  <c:v>75-100%</c:v>
                </c:pt>
                <c:pt idx="4">
                  <c:v>All employees</c:v>
                </c:pt>
              </c:strCache>
            </c:strRef>
          </c:cat>
          <c:val>
            <c:numRef>
              <c:f>Employers!$E$71:$E$75</c:f>
              <c:numCache>
                <c:formatCode>###0.0</c:formatCode>
                <c:ptCount val="5"/>
                <c:pt idx="0">
                  <c:v>7.608695652173914</c:v>
                </c:pt>
                <c:pt idx="1">
                  <c:v>4.3478260869565215</c:v>
                </c:pt>
                <c:pt idx="2">
                  <c:v>1.3586956521739106</c:v>
                </c:pt>
                <c:pt idx="3">
                  <c:v>1.0869565217391328</c:v>
                </c:pt>
                <c:pt idx="4">
                  <c:v>1.6304347826086956</c:v>
                </c:pt>
              </c:numCache>
            </c:numRef>
          </c:val>
          <c:extLst>
            <c:ext xmlns:c16="http://schemas.microsoft.com/office/drawing/2014/chart" uri="{C3380CC4-5D6E-409C-BE32-E72D297353CC}">
              <c16:uniqueId val="{00000001-167A-4128-9D14-5555C9758C93}"/>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baseline="0">
                <a:effectLst/>
              </a:rPr>
              <a:t>Did you have to lay off staff due to the Covid-19 pandemic? </a:t>
            </a:r>
            <a:r>
              <a:rPr lang="en-GB" sz="1100" b="0" i="0" baseline="0">
                <a:effectLst/>
              </a:rPr>
              <a:t>(% of 308 employers)</a:t>
            </a:r>
            <a:endParaRPr lang="en-GB" sz="1100">
              <a:effectLst/>
            </a:endParaRPr>
          </a:p>
        </c:rich>
      </c:tx>
      <c:overlay val="0"/>
      <c:spPr>
        <a:noFill/>
        <a:ln>
          <a:noFill/>
        </a:ln>
        <a:effectLst/>
      </c:spPr>
    </c:title>
    <c:autoTitleDeleted val="0"/>
    <c:plotArea>
      <c:layout/>
      <c:pieChart>
        <c:varyColors val="1"/>
        <c:ser>
          <c:idx val="0"/>
          <c:order val="0"/>
          <c:dPt>
            <c:idx val="0"/>
            <c:bubble3D val="0"/>
            <c:spPr>
              <a:solidFill>
                <a:schemeClr val="accent1">
                  <a:shade val="76000"/>
                </a:schemeClr>
              </a:solidFill>
              <a:ln w="19050">
                <a:solidFill>
                  <a:schemeClr val="lt1"/>
                </a:solidFill>
              </a:ln>
              <a:effectLst/>
            </c:spPr>
            <c:extLst>
              <c:ext xmlns:c16="http://schemas.microsoft.com/office/drawing/2014/chart" uri="{C3380CC4-5D6E-409C-BE32-E72D297353CC}">
                <c16:uniqueId val="{00000001-BB84-44A8-B4DD-21C6BFBAC47A}"/>
              </c:ext>
            </c:extLst>
          </c:dPt>
          <c:dPt>
            <c:idx val="1"/>
            <c:bubble3D val="0"/>
            <c:spPr>
              <a:solidFill>
                <a:schemeClr val="accent1">
                  <a:tint val="77000"/>
                </a:schemeClr>
              </a:solidFill>
              <a:ln w="19050">
                <a:solidFill>
                  <a:schemeClr val="lt1"/>
                </a:solidFill>
              </a:ln>
              <a:effectLst/>
            </c:spPr>
            <c:extLst>
              <c:ext xmlns:c16="http://schemas.microsoft.com/office/drawing/2014/chart" uri="{C3380CC4-5D6E-409C-BE32-E72D297353CC}">
                <c16:uniqueId val="{00000003-BB84-44A8-B4DD-21C6BFBAC47A}"/>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Employers!$C$50:$C$51</c:f>
              <c:strCache>
                <c:ptCount val="2"/>
                <c:pt idx="0">
                  <c:v>Yes</c:v>
                </c:pt>
                <c:pt idx="1">
                  <c:v>No</c:v>
                </c:pt>
              </c:strCache>
            </c:strRef>
          </c:cat>
          <c:val>
            <c:numRef>
              <c:f>Employers!$F$50:$F$51</c:f>
              <c:numCache>
                <c:formatCode>###0.0</c:formatCode>
                <c:ptCount val="2"/>
                <c:pt idx="0">
                  <c:v>18.831168831168828</c:v>
                </c:pt>
                <c:pt idx="1">
                  <c:v>81.168831168830806</c:v>
                </c:pt>
              </c:numCache>
            </c:numRef>
          </c:val>
          <c:extLst>
            <c:ext xmlns:c16="http://schemas.microsoft.com/office/drawing/2014/chart" uri="{C3380CC4-5D6E-409C-BE32-E72D297353CC}">
              <c16:uniqueId val="{00000004-BB84-44A8-B4DD-21C6BFBAC47A}"/>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Financial</a:t>
            </a:r>
            <a:r>
              <a:rPr lang="en-GB" baseline="0"/>
              <a:t> resources</a:t>
            </a:r>
            <a:r>
              <a:rPr lang="en-GB"/>
              <a:t>:</a:t>
            </a:r>
            <a:r>
              <a:rPr lang="en-GB" baseline="0"/>
              <a:t> How many months until your business runs out of money, if the pandemic continues? </a:t>
            </a:r>
            <a:r>
              <a:rPr lang="en-GB" sz="1200"/>
              <a:t>(%,</a:t>
            </a:r>
            <a:r>
              <a:rPr lang="en-GB" sz="1200" baseline="0"/>
              <a:t> base 357 entrepreneurs)</a:t>
            </a:r>
            <a:r>
              <a:rPr lang="en-GB"/>
              <a:t> </a:t>
            </a:r>
          </a:p>
        </c:rich>
      </c:tx>
      <c:overlay val="0"/>
      <c:spPr>
        <a:noFill/>
        <a:ln>
          <a:noFill/>
        </a:ln>
        <a:effectLst/>
      </c:spPr>
    </c:title>
    <c:autoTitleDeleted val="0"/>
    <c:plotArea>
      <c:layout>
        <c:manualLayout>
          <c:layoutTarget val="inner"/>
          <c:xMode val="edge"/>
          <c:yMode val="edge"/>
          <c:x val="0.42831627296588193"/>
          <c:y val="0.27525350240310764"/>
          <c:w val="0.38781211723534792"/>
          <c:h val="0.64635352872557594"/>
        </c:manualLayout>
      </c:layout>
      <c:barChart>
        <c:barDir val="bar"/>
        <c:grouping val="clustered"/>
        <c:varyColors val="0"/>
        <c:ser>
          <c:idx val="0"/>
          <c:order val="0"/>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 future '!$G$59:$G$64</c:f>
              <c:strCache>
                <c:ptCount val="6"/>
                <c:pt idx="0">
                  <c:v>less than 1 month</c:v>
                </c:pt>
                <c:pt idx="1">
                  <c:v>1-3 months</c:v>
                </c:pt>
                <c:pt idx="2">
                  <c:v>4-6 months</c:v>
                </c:pt>
                <c:pt idx="3">
                  <c:v>7-12 month</c:v>
                </c:pt>
                <c:pt idx="4">
                  <c:v>more than 1 year</c:v>
                </c:pt>
                <c:pt idx="5">
                  <c:v>I won't run out of money</c:v>
                </c:pt>
              </c:strCache>
            </c:strRef>
          </c:cat>
          <c:val>
            <c:numRef>
              <c:f>'(3) future '!$H$59:$H$64</c:f>
              <c:numCache>
                <c:formatCode>###0.0</c:formatCode>
                <c:ptCount val="6"/>
                <c:pt idx="0">
                  <c:v>0.56022408963585435</c:v>
                </c:pt>
                <c:pt idx="1">
                  <c:v>12.885154061624682</c:v>
                </c:pt>
                <c:pt idx="2">
                  <c:v>23.249299719887929</c:v>
                </c:pt>
                <c:pt idx="3">
                  <c:v>16.526610644257687</c:v>
                </c:pt>
                <c:pt idx="4">
                  <c:v>16.526610644257687</c:v>
                </c:pt>
                <c:pt idx="5">
                  <c:v>30.252100840336063</c:v>
                </c:pt>
              </c:numCache>
            </c:numRef>
          </c:val>
          <c:extLst>
            <c:ext xmlns:c16="http://schemas.microsoft.com/office/drawing/2014/chart" uri="{C3380CC4-5D6E-409C-BE32-E72D297353CC}">
              <c16:uniqueId val="{00000000-2319-417A-9244-76FACC8BFD61}"/>
            </c:ext>
          </c:extLst>
        </c:ser>
        <c:dLbls>
          <c:showLegendKey val="0"/>
          <c:showVal val="0"/>
          <c:showCatName val="0"/>
          <c:showSerName val="0"/>
          <c:showPercent val="0"/>
          <c:showBubbleSize val="0"/>
        </c:dLbls>
        <c:gapWidth val="127"/>
        <c:axId val="75790592"/>
        <c:axId val="75789056"/>
      </c:barChart>
      <c:valAx>
        <c:axId val="7578905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790592"/>
        <c:crosses val="autoZero"/>
        <c:crossBetween val="between"/>
      </c:valAx>
      <c:catAx>
        <c:axId val="7579059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75789056"/>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chart>
    <c:title>
      <c:tx>
        <c:rich>
          <a:bodyPr/>
          <a:lstStyle/>
          <a:p>
            <a:pPr>
              <a:defRPr>
                <a:solidFill>
                  <a:schemeClr val="tx1">
                    <a:lumMod val="50000"/>
                    <a:lumOff val="50000"/>
                  </a:schemeClr>
                </a:solidFill>
              </a:defRPr>
            </a:pPr>
            <a:r>
              <a:rPr lang="pl-PL" sz="1400" b="0">
                <a:solidFill>
                  <a:schemeClr val="tx1">
                    <a:lumMod val="65000"/>
                    <a:lumOff val="35000"/>
                  </a:schemeClr>
                </a:solidFill>
              </a:rPr>
              <a:t>Furloughing</a:t>
            </a:r>
            <a:r>
              <a:rPr lang="pl-PL" sz="1400" b="0" baseline="0">
                <a:solidFill>
                  <a:schemeClr val="tx1">
                    <a:lumMod val="65000"/>
                    <a:lumOff val="35000"/>
                  </a:schemeClr>
                </a:solidFill>
              </a:rPr>
              <a:t> employees </a:t>
            </a:r>
            <a:r>
              <a:rPr lang="pl-PL" sz="1100" b="0" baseline="0">
                <a:solidFill>
                  <a:schemeClr val="tx1">
                    <a:lumMod val="65000"/>
                    <a:lumOff val="35000"/>
                  </a:schemeClr>
                </a:solidFill>
              </a:rPr>
              <a:t>(% of 308 employers)</a:t>
            </a:r>
            <a:endParaRPr lang="pl-PL" sz="1100" b="0">
              <a:solidFill>
                <a:schemeClr val="tx1">
                  <a:lumMod val="65000"/>
                  <a:lumOff val="35000"/>
                </a:schemeClr>
              </a:solidFill>
            </a:endParaRPr>
          </a:p>
        </c:rich>
      </c:tx>
      <c:overlay val="0"/>
    </c:title>
    <c:autoTitleDeleted val="0"/>
    <c:plotArea>
      <c:layout/>
      <c:pieChart>
        <c:varyColors val="1"/>
        <c:ser>
          <c:idx val="0"/>
          <c:order val="0"/>
          <c:dLbls>
            <c:spPr>
              <a:noFill/>
              <a:ln>
                <a:noFill/>
              </a:ln>
              <a:effectLst/>
            </c:spPr>
            <c:txPr>
              <a:bodyPr/>
              <a:lstStyle/>
              <a:p>
                <a:pPr>
                  <a:defRPr>
                    <a:solidFill>
                      <a:schemeClr val="bg1"/>
                    </a:solidFill>
                  </a:defRPr>
                </a:pPr>
                <a:endParaRPr lang="en-US"/>
              </a:p>
            </c:txPr>
            <c:dLblPos val="inEnd"/>
            <c:showLegendKey val="0"/>
            <c:showVal val="1"/>
            <c:showCatName val="1"/>
            <c:showSerName val="0"/>
            <c:showPercent val="0"/>
            <c:showBubbleSize val="0"/>
            <c:showLeaderLines val="1"/>
            <c:extLst>
              <c:ext xmlns:c15="http://schemas.microsoft.com/office/drawing/2012/chart" uri="{CE6537A1-D6FC-4f65-9D91-7224C49458BB}"/>
            </c:extLst>
          </c:dLbls>
          <c:cat>
            <c:strRef>
              <c:f>Employers!$B$99:$B$100</c:f>
              <c:strCache>
                <c:ptCount val="2"/>
                <c:pt idx="0">
                  <c:v>yes</c:v>
                </c:pt>
                <c:pt idx="1">
                  <c:v>no</c:v>
                </c:pt>
              </c:strCache>
            </c:strRef>
          </c:cat>
          <c:val>
            <c:numRef>
              <c:f>Employers!$C$99:$C$100</c:f>
              <c:numCache>
                <c:formatCode>General</c:formatCode>
                <c:ptCount val="2"/>
                <c:pt idx="0">
                  <c:v>57.1</c:v>
                </c:pt>
                <c:pt idx="1">
                  <c:v>42.9</c:v>
                </c:pt>
              </c:numCache>
            </c:numRef>
          </c:val>
          <c:extLst>
            <c:ext xmlns:c16="http://schemas.microsoft.com/office/drawing/2014/chart" uri="{C3380CC4-5D6E-409C-BE32-E72D297353CC}">
              <c16:uniqueId val="{00000000-F4DE-442F-8A7A-9AA7D37EE2B8}"/>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baseline="0">
                <a:effectLst/>
              </a:rPr>
              <a:t>How many employees were furloughed?          </a:t>
            </a:r>
            <a:endParaRPr lang="en-GB" sz="1400">
              <a:effectLst/>
            </a:endParaRPr>
          </a:p>
          <a:p>
            <a:pPr>
              <a:defRPr sz="1400" b="0" i="0" u="none" strike="noStrike" kern="1200" spc="0" baseline="0">
                <a:solidFill>
                  <a:schemeClr val="tx1">
                    <a:lumMod val="65000"/>
                    <a:lumOff val="35000"/>
                  </a:schemeClr>
                </a:solidFill>
                <a:latin typeface="+mn-lt"/>
                <a:ea typeface="+mn-ea"/>
                <a:cs typeface="+mn-cs"/>
              </a:defRPr>
            </a:pPr>
            <a:r>
              <a:rPr lang="en-GB" sz="1100" b="0" i="0" baseline="0">
                <a:effectLst/>
              </a:rPr>
              <a:t>(% of 308 employers)</a:t>
            </a:r>
            <a:endParaRPr lang="en-GB" sz="1100">
              <a:effectLst/>
            </a:endParaRPr>
          </a:p>
        </c:rich>
      </c:tx>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Employers!$C$57:$C$61</c:f>
              <c:strCache>
                <c:ptCount val="5"/>
                <c:pt idx="0">
                  <c:v>none</c:v>
                </c:pt>
                <c:pt idx="1">
                  <c:v>1 to 10 employees</c:v>
                </c:pt>
                <c:pt idx="2">
                  <c:v>11 to 20 employees</c:v>
                </c:pt>
                <c:pt idx="3">
                  <c:v>21 to 50 employees</c:v>
                </c:pt>
                <c:pt idx="4">
                  <c:v>no information</c:v>
                </c:pt>
              </c:strCache>
            </c:strRef>
          </c:cat>
          <c:val>
            <c:numRef>
              <c:f>Employers!$F$57:$F$61</c:f>
              <c:numCache>
                <c:formatCode>###0.0</c:formatCode>
                <c:ptCount val="5"/>
                <c:pt idx="0">
                  <c:v>57.142857142857139</c:v>
                </c:pt>
                <c:pt idx="1">
                  <c:v>37.337662337662138</c:v>
                </c:pt>
                <c:pt idx="2">
                  <c:v>2.9220779220779218</c:v>
                </c:pt>
                <c:pt idx="3">
                  <c:v>2.2727272727272836</c:v>
                </c:pt>
                <c:pt idx="4">
                  <c:v>0.32467532467532467</c:v>
                </c:pt>
              </c:numCache>
            </c:numRef>
          </c:val>
          <c:extLst>
            <c:ext xmlns:c16="http://schemas.microsoft.com/office/drawing/2014/chart" uri="{C3380CC4-5D6E-409C-BE32-E72D297353CC}">
              <c16:uniqueId val="{00000000-3097-4B0E-9351-C9D03F578DBB}"/>
            </c:ext>
          </c:extLst>
        </c:ser>
        <c:dLbls>
          <c:showLegendKey val="0"/>
          <c:showVal val="0"/>
          <c:showCatName val="0"/>
          <c:showSerName val="0"/>
          <c:showPercent val="0"/>
          <c:showBubbleSize val="0"/>
        </c:dLbls>
        <c:gapWidth val="182"/>
        <c:axId val="76382976"/>
        <c:axId val="76384512"/>
      </c:barChart>
      <c:catAx>
        <c:axId val="76382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384512"/>
        <c:crosses val="autoZero"/>
        <c:auto val="1"/>
        <c:lblAlgn val="ctr"/>
        <c:lblOffset val="100"/>
        <c:noMultiLvlLbl val="0"/>
      </c:catAx>
      <c:valAx>
        <c:axId val="7638451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3829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Government support applied for                                                                 </a:t>
            </a:r>
            <a:r>
              <a:rPr lang="en-GB" sz="1200"/>
              <a:t>(%,</a:t>
            </a:r>
            <a:r>
              <a:rPr lang="en-GB" sz="1200" baseline="0"/>
              <a:t> 361 enterpreneurs)</a:t>
            </a:r>
            <a:endParaRPr lang="en-GB" sz="1200"/>
          </a:p>
        </c:rich>
      </c:tx>
      <c:overlay val="0"/>
      <c:spPr>
        <a:noFill/>
        <a:ln>
          <a:noFill/>
        </a:ln>
        <a:effectLst/>
      </c:spPr>
    </c:title>
    <c:autoTitleDeleted val="0"/>
    <c:plotArea>
      <c:layout>
        <c:manualLayout>
          <c:layoutTarget val="inner"/>
          <c:xMode val="edge"/>
          <c:yMode val="edge"/>
          <c:x val="0.54738024402224938"/>
          <c:y val="0.14772088841516917"/>
          <c:w val="0.41233554309715142"/>
          <c:h val="0.77562228320013549"/>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 how reacted -'!$C$119:$C$126</c:f>
              <c:strCache>
                <c:ptCount val="8"/>
                <c:pt idx="0">
                  <c:v>To furlough employees (Coronavirus Job Retention Scheme)</c:v>
                </c:pt>
                <c:pt idx="1">
                  <c:v>Government guaranteed loan or low interest loans</c:v>
                </c:pt>
                <c:pt idx="2">
                  <c:v>Government cash grant for businesses in specific sectors</c:v>
                </c:pt>
                <c:pt idx="3">
                  <c:v>Other deferred tax payments ('Time to Pay' arrangements with HMRC, VAT relief)</c:v>
                </c:pt>
                <c:pt idx="4">
                  <c:v>Self-Employed Income Support Scheme</c:v>
                </c:pt>
                <c:pt idx="5">
                  <c:v>Deferral of income tax</c:v>
                </c:pt>
                <c:pt idx="6">
                  <c:v>Universal credit for the self-employed</c:v>
                </c:pt>
                <c:pt idx="7">
                  <c:v>I did not apply for government support</c:v>
                </c:pt>
              </c:strCache>
            </c:strRef>
          </c:cat>
          <c:val>
            <c:numRef>
              <c:f>'(2) how reacted -'!$D$119:$D$126</c:f>
              <c:numCache>
                <c:formatCode>0%</c:formatCode>
                <c:ptCount val="8"/>
                <c:pt idx="0">
                  <c:v>0.39612188365651085</c:v>
                </c:pt>
                <c:pt idx="1">
                  <c:v>0.32409972299168982</c:v>
                </c:pt>
                <c:pt idx="2">
                  <c:v>0.25207756232687084</c:v>
                </c:pt>
                <c:pt idx="3">
                  <c:v>0.20775623268698123</c:v>
                </c:pt>
                <c:pt idx="4">
                  <c:v>6.9252077562326902E-2</c:v>
                </c:pt>
                <c:pt idx="5">
                  <c:v>8.033240997229954E-2</c:v>
                </c:pt>
                <c:pt idx="6">
                  <c:v>2.4930747922437681E-2</c:v>
                </c:pt>
                <c:pt idx="7">
                  <c:v>0.2742382271468144</c:v>
                </c:pt>
              </c:numCache>
            </c:numRef>
          </c:val>
          <c:extLst>
            <c:ext xmlns:c16="http://schemas.microsoft.com/office/drawing/2014/chart" uri="{C3380CC4-5D6E-409C-BE32-E72D297353CC}">
              <c16:uniqueId val="{00000000-3F7E-496A-B986-D70DB65B3AD5}"/>
            </c:ext>
          </c:extLst>
        </c:ser>
        <c:dLbls>
          <c:showLegendKey val="0"/>
          <c:showVal val="0"/>
          <c:showCatName val="0"/>
          <c:showSerName val="0"/>
          <c:showPercent val="0"/>
          <c:showBubbleSize val="0"/>
        </c:dLbls>
        <c:gapWidth val="107"/>
        <c:axId val="76425472"/>
        <c:axId val="76464128"/>
      </c:barChart>
      <c:catAx>
        <c:axId val="764254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76464128"/>
        <c:crosses val="autoZero"/>
        <c:auto val="1"/>
        <c:lblAlgn val="ctr"/>
        <c:lblOffset val="100"/>
        <c:noMultiLvlLbl val="0"/>
      </c:catAx>
      <c:valAx>
        <c:axId val="764641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25472"/>
        <c:crosses val="max"/>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a:t>Expand</a:t>
            </a:r>
            <a:r>
              <a:rPr lang="en-GB" sz="1400" baseline="0"/>
              <a:t> into Online Trading/Delivery?</a:t>
            </a:r>
            <a:endParaRPr lang="en-GB" sz="1400"/>
          </a:p>
          <a:p>
            <a:pPr>
              <a:defRPr sz="1400" b="0" i="0" u="none" strike="noStrike" kern="1200" spc="0" baseline="0">
                <a:solidFill>
                  <a:schemeClr val="tx1">
                    <a:lumMod val="65000"/>
                    <a:lumOff val="35000"/>
                  </a:schemeClr>
                </a:solidFill>
                <a:latin typeface="+mn-lt"/>
                <a:ea typeface="+mn-ea"/>
                <a:cs typeface="+mn-cs"/>
              </a:defRPr>
            </a:pPr>
            <a:r>
              <a:rPr lang="en-GB" sz="1100"/>
              <a:t>(%,</a:t>
            </a:r>
            <a:r>
              <a:rPr lang="en-GB" sz="1100" baseline="0"/>
              <a:t> base 361 entrepreneurs)</a:t>
            </a:r>
            <a:r>
              <a:rPr lang="en-GB" sz="1200"/>
              <a:t> </a:t>
            </a:r>
          </a:p>
        </c:rich>
      </c:tx>
      <c:overlay val="0"/>
      <c:spPr>
        <a:noFill/>
        <a:ln>
          <a:noFill/>
        </a:ln>
        <a:effectLst/>
      </c:spPr>
    </c:title>
    <c:autoTitleDeleted val="0"/>
    <c:plotArea>
      <c:layout>
        <c:manualLayout>
          <c:layoutTarget val="inner"/>
          <c:xMode val="edge"/>
          <c:yMode val="edge"/>
          <c:x val="0.24723884681028707"/>
          <c:y val="0.22226634714139076"/>
          <c:w val="0.50523518343133156"/>
          <c:h val="0.76908022366769546"/>
        </c:manualLayout>
      </c:layout>
      <c:pieChart>
        <c:varyColors val="1"/>
        <c:ser>
          <c:idx val="0"/>
          <c:order val="0"/>
          <c:dPt>
            <c:idx val="0"/>
            <c:bubble3D val="0"/>
            <c:spPr>
              <a:solidFill>
                <a:schemeClr val="accent1">
                  <a:shade val="65000"/>
                </a:schemeClr>
              </a:solidFill>
              <a:ln w="19050">
                <a:solidFill>
                  <a:schemeClr val="lt1"/>
                </a:solidFill>
              </a:ln>
              <a:effectLst/>
            </c:spPr>
            <c:extLst>
              <c:ext xmlns:c16="http://schemas.microsoft.com/office/drawing/2014/chart" uri="{C3380CC4-5D6E-409C-BE32-E72D297353CC}">
                <c16:uniqueId val="{00000001-542E-44B9-9EDE-D3F4069E81B5}"/>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542E-44B9-9EDE-D3F4069E81B5}"/>
              </c:ext>
            </c:extLst>
          </c:dPt>
          <c:dPt>
            <c:idx val="2"/>
            <c:bubble3D val="0"/>
            <c:spPr>
              <a:solidFill>
                <a:schemeClr val="accent1">
                  <a:tint val="65000"/>
                </a:schemeClr>
              </a:solidFill>
              <a:ln w="19050">
                <a:solidFill>
                  <a:schemeClr val="lt1"/>
                </a:solidFill>
              </a:ln>
              <a:effectLst/>
            </c:spPr>
            <c:extLst>
              <c:ext xmlns:c16="http://schemas.microsoft.com/office/drawing/2014/chart" uri="{C3380CC4-5D6E-409C-BE32-E72D297353CC}">
                <c16:uniqueId val="{00000005-542E-44B9-9EDE-D3F4069E81B5}"/>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 how reacted -'!$C$5:$C$7</c:f>
              <c:strCache>
                <c:ptCount val="3"/>
                <c:pt idx="0">
                  <c:v>Yes</c:v>
                </c:pt>
                <c:pt idx="1">
                  <c:v>No</c:v>
                </c:pt>
                <c:pt idx="2">
                  <c:v>Already existed</c:v>
                </c:pt>
              </c:strCache>
            </c:strRef>
          </c:cat>
          <c:val>
            <c:numRef>
              <c:f>'(2) how reacted -'!$D$5:$D$7</c:f>
              <c:numCache>
                <c:formatCode>###0.0</c:formatCode>
                <c:ptCount val="3"/>
                <c:pt idx="0">
                  <c:v>9.418282548476455</c:v>
                </c:pt>
                <c:pt idx="1">
                  <c:v>45.429362880886423</c:v>
                </c:pt>
                <c:pt idx="2">
                  <c:v>45.152354570637094</c:v>
                </c:pt>
              </c:numCache>
            </c:numRef>
          </c:val>
          <c:extLst>
            <c:ext xmlns:c16="http://schemas.microsoft.com/office/drawing/2014/chart" uri="{C3380CC4-5D6E-409C-BE32-E72D297353CC}">
              <c16:uniqueId val="{00000006-542E-44B9-9EDE-D3F4069E81B5}"/>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pl-PL" b="0" cap="none" baseline="0"/>
              <a:t>Net </a:t>
            </a:r>
            <a:r>
              <a:rPr lang="en-GB" b="0" cap="none" baseline="0"/>
              <a:t>Job Growth Expectations: </a:t>
            </a:r>
            <a:r>
              <a:rPr lang="pl-PL" b="0" cap="none" baseline="0"/>
              <a:t>Increase in </a:t>
            </a:r>
            <a:r>
              <a:rPr lang="en-GB" b="0" cap="none" baseline="0"/>
              <a:t>Size of Business 5 years from now </a:t>
            </a:r>
            <a:r>
              <a:rPr lang="en-GB" sz="1100" b="0" cap="none" baseline="0"/>
              <a:t>(%, base 34</a:t>
            </a:r>
            <a:r>
              <a:rPr lang="pl-PL" sz="1100" b="0" cap="none" baseline="0"/>
              <a:t>2</a:t>
            </a:r>
            <a:r>
              <a:rPr lang="en-GB" sz="1100" b="0" cap="none" baseline="0"/>
              <a:t> entrepreneurs)</a:t>
            </a:r>
            <a:endParaRPr lang="pl-PL" sz="1100" b="0" cap="none" baseline="0"/>
          </a:p>
        </c:rich>
      </c:tx>
      <c:overlay val="0"/>
      <c:spPr>
        <a:noFill/>
        <a:ln>
          <a:noFill/>
        </a:ln>
        <a:effectLst/>
      </c:spPr>
    </c:title>
    <c:autoTitleDeleted val="0"/>
    <c:plotArea>
      <c:layout>
        <c:manualLayout>
          <c:layoutTarget val="inner"/>
          <c:xMode val="edge"/>
          <c:yMode val="edge"/>
          <c:x val="0.28408906717985777"/>
          <c:y val="0.30207046322158693"/>
          <c:w val="0.40198824544522332"/>
          <c:h val="0.60768908222985796"/>
        </c:manualLayout>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F14B-4F21-B380-8E4985D991F9}"/>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F14B-4F21-B380-8E4985D991F9}"/>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F14B-4F21-B380-8E4985D991F9}"/>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F14B-4F21-B380-8E4985D991F9}"/>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F14B-4F21-B380-8E4985D991F9}"/>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F14B-4F21-B380-8E4985D991F9}"/>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F14B-4F21-B380-8E4985D991F9}"/>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F14B-4F21-B380-8E4985D991F9}"/>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1-F14B-4F21-B380-8E4985D991F9}"/>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3-F14B-4F21-B380-8E4985D991F9}"/>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5-F14B-4F21-B380-8E4985D991F9}"/>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7-F14B-4F21-B380-8E4985D991F9}"/>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9-F14B-4F21-B380-8E4985D991F9}"/>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B-F14B-4F21-B380-8E4985D991F9}"/>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D-F14B-4F21-B380-8E4985D991F9}"/>
                </c:ext>
              </c:extLst>
            </c:dLbl>
            <c:dLbl>
              <c:idx val="7"/>
              <c:layout>
                <c:manualLayout>
                  <c:x val="0.10327022375215189"/>
                  <c:y val="-1.040763226365998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14B-4F21-B380-8E4985D991F9}"/>
                </c:ext>
              </c:extLst>
            </c:dLbl>
            <c:spPr>
              <a:noFill/>
              <a:ln>
                <a:noFill/>
              </a:ln>
              <a:effectLst/>
            </c:sp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'(3) future '!$C$135:$C$142</c:f>
              <c:strCache>
                <c:ptCount val="8"/>
                <c:pt idx="0">
                  <c:v>no change</c:v>
                </c:pt>
                <c:pt idx="1">
                  <c:v>1 to 5 employees</c:v>
                </c:pt>
                <c:pt idx="2">
                  <c:v>6 to 10 employees</c:v>
                </c:pt>
                <c:pt idx="3">
                  <c:v>11 to 25 employees</c:v>
                </c:pt>
                <c:pt idx="4">
                  <c:v>25 to 50 employees</c:v>
                </c:pt>
                <c:pt idx="5">
                  <c:v>51 to 250 employees</c:v>
                </c:pt>
                <c:pt idx="6">
                  <c:v>more than 250 employees</c:v>
                </c:pt>
                <c:pt idx="7">
                  <c:v>drop in employment</c:v>
                </c:pt>
              </c:strCache>
            </c:strRef>
          </c:cat>
          <c:val>
            <c:numRef>
              <c:f>'(3) future '!$F$135:$F$142</c:f>
              <c:numCache>
                <c:formatCode>###0.0</c:formatCode>
                <c:ptCount val="8"/>
                <c:pt idx="0">
                  <c:v>16.666666666666664</c:v>
                </c:pt>
                <c:pt idx="1">
                  <c:v>24.561403508771829</c:v>
                </c:pt>
                <c:pt idx="2">
                  <c:v>9.649122807017541</c:v>
                </c:pt>
                <c:pt idx="3">
                  <c:v>18.128654970760174</c:v>
                </c:pt>
                <c:pt idx="4">
                  <c:v>9.0643274853800939</c:v>
                </c:pt>
                <c:pt idx="5">
                  <c:v>8.7719298245613988</c:v>
                </c:pt>
                <c:pt idx="6">
                  <c:v>2.3391812865497075</c:v>
                </c:pt>
                <c:pt idx="7">
                  <c:v>10.818713450292398</c:v>
                </c:pt>
              </c:numCache>
            </c:numRef>
          </c:val>
          <c:extLst>
            <c:ext xmlns:c16="http://schemas.microsoft.com/office/drawing/2014/chart" uri="{C3380CC4-5D6E-409C-BE32-E72D297353CC}">
              <c16:uniqueId val="{00000010-F14B-4F21-B380-8E4985D991F9}"/>
            </c:ext>
          </c:extLst>
        </c:ser>
        <c:dLbls>
          <c:showLegendKey val="0"/>
          <c:showVal val="0"/>
          <c:showCatName val="1"/>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Has your main place of work changed</a:t>
            </a:r>
            <a:r>
              <a:rPr lang="en-GB" baseline="0"/>
              <a:t> due to the pandemic </a:t>
            </a:r>
            <a:r>
              <a:rPr lang="en-GB" sz="1100" baseline="0"/>
              <a:t>(%, 359 entrepreneurs)</a:t>
            </a:r>
            <a:endParaRPr lang="en-GB"/>
          </a:p>
        </c:rich>
      </c:tx>
      <c:overlay val="0"/>
      <c:spPr>
        <a:noFill/>
        <a:ln>
          <a:noFill/>
        </a:ln>
        <a:effectLst/>
      </c:spPr>
    </c:title>
    <c:autoTitleDeleted val="0"/>
    <c:plotArea>
      <c:layout/>
      <c:barChart>
        <c:barDir val="col"/>
        <c:grouping val="clustered"/>
        <c:varyColors val="0"/>
        <c:ser>
          <c:idx val="0"/>
          <c:order val="0"/>
          <c:tx>
            <c:strRef>
              <c:f>'M-F splits'!$D$160</c:f>
              <c:strCache>
                <c:ptCount val="1"/>
                <c:pt idx="0">
                  <c:v>men (272 entrepreneurs)</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'M-F splits'!$E$159:$I$159</c:f>
              <c:strCache>
                <c:ptCount val="5"/>
                <c:pt idx="0">
                  <c:v>no, working at business' premises</c:v>
                </c:pt>
                <c:pt idx="1">
                  <c:v>no, already worked from home</c:v>
                </c:pt>
                <c:pt idx="2">
                  <c:v>some change, now I work more from home</c:v>
                </c:pt>
                <c:pt idx="3">
                  <c:v>yes, now only working from home</c:v>
                </c:pt>
                <c:pt idx="4">
                  <c:v>I cannot work at all</c:v>
                </c:pt>
              </c:strCache>
            </c:strRef>
          </c:cat>
          <c:val>
            <c:numRef>
              <c:f>'M-F splits'!$E$160:$I$160</c:f>
              <c:numCache>
                <c:formatCode>General</c:formatCode>
                <c:ptCount val="5"/>
                <c:pt idx="0">
                  <c:v>11.8</c:v>
                </c:pt>
                <c:pt idx="1">
                  <c:v>25.4</c:v>
                </c:pt>
                <c:pt idx="2">
                  <c:v>42.6</c:v>
                </c:pt>
                <c:pt idx="3">
                  <c:v>19.5</c:v>
                </c:pt>
                <c:pt idx="4">
                  <c:v>0.70000000000000062</c:v>
                </c:pt>
              </c:numCache>
            </c:numRef>
          </c:val>
          <c:extLst>
            <c:ext xmlns:c16="http://schemas.microsoft.com/office/drawing/2014/chart" uri="{C3380CC4-5D6E-409C-BE32-E72D297353CC}">
              <c16:uniqueId val="{00000000-9A3F-4930-8AF9-A923ACB41664}"/>
            </c:ext>
          </c:extLst>
        </c:ser>
        <c:ser>
          <c:idx val="1"/>
          <c:order val="1"/>
          <c:tx>
            <c:strRef>
              <c:f>'M-F splits'!$D$161</c:f>
              <c:strCache>
                <c:ptCount val="1"/>
                <c:pt idx="0">
                  <c:v>women (87 entrepreneurs)</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'M-F splits'!$E$159:$I$159</c:f>
              <c:strCache>
                <c:ptCount val="5"/>
                <c:pt idx="0">
                  <c:v>no, working at business' premises</c:v>
                </c:pt>
                <c:pt idx="1">
                  <c:v>no, already worked from home</c:v>
                </c:pt>
                <c:pt idx="2">
                  <c:v>some change, now I work more from home</c:v>
                </c:pt>
                <c:pt idx="3">
                  <c:v>yes, now only working from home</c:v>
                </c:pt>
                <c:pt idx="4">
                  <c:v>I cannot work at all</c:v>
                </c:pt>
              </c:strCache>
            </c:strRef>
          </c:cat>
          <c:val>
            <c:numRef>
              <c:f>'M-F splits'!$E$161:$I$161</c:f>
              <c:numCache>
                <c:formatCode>General</c:formatCode>
                <c:ptCount val="5"/>
                <c:pt idx="0">
                  <c:v>4.5999999999999996</c:v>
                </c:pt>
                <c:pt idx="1">
                  <c:v>35.6</c:v>
                </c:pt>
                <c:pt idx="2">
                  <c:v>26.4</c:v>
                </c:pt>
                <c:pt idx="3">
                  <c:v>32.300000000000004</c:v>
                </c:pt>
                <c:pt idx="4">
                  <c:v>1.1000000000000001</c:v>
                </c:pt>
              </c:numCache>
            </c:numRef>
          </c:val>
          <c:extLst>
            <c:ext xmlns:c16="http://schemas.microsoft.com/office/drawing/2014/chart" uri="{C3380CC4-5D6E-409C-BE32-E72D297353CC}">
              <c16:uniqueId val="{00000001-9A3F-4930-8AF9-A923ACB41664}"/>
            </c:ext>
          </c:extLst>
        </c:ser>
        <c:dLbls>
          <c:showLegendKey val="0"/>
          <c:showVal val="0"/>
          <c:showCatName val="0"/>
          <c:showSerName val="0"/>
          <c:showPercent val="0"/>
          <c:showBubbleSize val="0"/>
        </c:dLbls>
        <c:gapWidth val="219"/>
        <c:overlap val="-27"/>
        <c:axId val="87841792"/>
        <c:axId val="89535232"/>
      </c:barChart>
      <c:catAx>
        <c:axId val="8784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89535232"/>
        <c:crosses val="autoZero"/>
        <c:auto val="1"/>
        <c:lblAlgn val="ctr"/>
        <c:lblOffset val="100"/>
        <c:noMultiLvlLbl val="0"/>
      </c:catAx>
      <c:valAx>
        <c:axId val="89535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841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9493D9146854898C327F1D5863FDC" ma:contentTypeVersion="192" ma:contentTypeDescription="Create a new document." ma:contentTypeScope="" ma:versionID="5b471819acf3589ff89223e3e6732c96">
  <xsd:schema xmlns:xsd="http://www.w3.org/2001/XMLSchema" xmlns:xs="http://www.w3.org/2001/XMLSchema" xmlns:p="http://schemas.microsoft.com/office/2006/metadata/properties" xmlns:ns3="b42ee53a-2340-4c25-89c8-245227b3848b" xmlns:ns4="4600776d-0a3c-44b4-bff2-0ceaafb13046" xmlns:ns5="dde72a2c-f7a0-43c5-abef-62dd78235339" targetNamespace="http://schemas.microsoft.com/office/2006/metadata/properties" ma:root="true" ma:fieldsID="6a25cf6795c8c463c0439e18dcd25349" ns3:_="" ns4:_="" ns5:_="">
    <xsd:import namespace="b42ee53a-2340-4c25-89c8-245227b3848b"/>
    <xsd:import namespace="4600776d-0a3c-44b4-bff2-0ceaafb13046"/>
    <xsd:import namespace="dde72a2c-f7a0-43c5-abef-62dd78235339"/>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The_x0020_use_x0020_of_x0020_RPI"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1413a48-adc9-4332-899c-748b48ed7864"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af9b34d7-7f6f-4208-99dd-a260df60b9c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af9b34d7-7f6f-4208-99dd-a260df60b9c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e72a2c-f7a0-43c5-abef-62dd78235339"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The_x0020_use_x0020_of_x0020_RPI" ma:index="41" nillable="true" ma:displayName="The use of RPI" ma:format="Dropdown" ma:internalName="The_x0020_use_x0020_of_x0020_RPI">
      <xsd:simpleType>
        <xsd:restriction base="dms:Text">
          <xsd:maxLength value="255"/>
        </xsd:restriction>
      </xsd:simpleType>
    </xsd:element>
    <xsd:element name="MediaServiceAutoKeyPoints" ma:index="42" nillable="true" ma:displayName="MediaServiceAutoKeyPoints" ma:hidden="true" ma:internalName="MediaServiceAutoKeyPoints" ma:readOnly="true">
      <xsd:simpleType>
        <xsd:restriction base="dms:Note"/>
      </xsd:simpleType>
    </xsd:element>
    <xsd:element name="MediaServiceKeyPoints" ma:index="43" nillable="true" ma:displayName="KeyPoints" ma:internalName="MediaServiceKeyPoints" ma:readOnly="true">
      <xsd:simpleType>
        <xsd:restriction base="dms:Note">
          <xsd:maxLength value="255"/>
        </xsd:restriction>
      </xsd:simpleType>
    </xsd:element>
    <xsd:element name="MediaServiceDateTaken" ma:index="4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53</Value>
      <Value>3</Value>
      <Value>36</Value>
      <Value>8</Value>
      <Value>63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he_x0020_use_x0020_of_x0020_RPI xmlns="dde72a2c-f7a0-43c5-abef-62dd78235339" xsi:nil="true"/>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Employment and COVID-19</TermName>
          <TermId xmlns="http://schemas.microsoft.com/office/infopath/2007/PartnerControls">51a994e0-ee23-4345-99c1-0ed1c482c5eb</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Written Evidence - Unpublished</TermName>
          <TermId xmlns="http://schemas.microsoft.com/office/infopath/2007/PartnerControls">0be253cd-a155-4ec9-872a-26fd359e68f0</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6D8A4-FC2E-48B6-8AA2-2984470AC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dde72a2c-f7a0-43c5-abef-62dd782353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46EDF2-0760-4447-A16E-8FF92AAAA810}">
  <ds:schemaRefs>
    <ds:schemaRef ds:uri="dde72a2c-f7a0-43c5-abef-62dd78235339"/>
    <ds:schemaRef ds:uri="http://schemas.microsoft.com/office/2006/documentManagement/types"/>
    <ds:schemaRef ds:uri="http://purl.org/dc/dcmitype/"/>
    <ds:schemaRef ds:uri="4600776d-0a3c-44b4-bff2-0ceaafb13046"/>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b42ee53a-2340-4c25-89c8-245227b3848b"/>
    <ds:schemaRef ds:uri="http://www.w3.org/XML/1998/namespace"/>
    <ds:schemaRef ds:uri="http://purl.org/dc/terms/"/>
  </ds:schemaRefs>
</ds:datastoreItem>
</file>

<file path=customXml/itemProps3.xml><?xml version="1.0" encoding="utf-8"?>
<ds:datastoreItem xmlns:ds="http://schemas.openxmlformats.org/officeDocument/2006/customXml" ds:itemID="{29A76958-2B92-4B9F-B81D-B1BA0EBD7BF1}">
  <ds:schemaRefs>
    <ds:schemaRef ds:uri="http://schemas.microsoft.com/sharepoint/v3/contenttype/forms"/>
  </ds:schemaRefs>
</ds:datastoreItem>
</file>

<file path=customXml/itemProps4.xml><?xml version="1.0" encoding="utf-8"?>
<ds:datastoreItem xmlns:ds="http://schemas.openxmlformats.org/officeDocument/2006/customXml" ds:itemID="{8A379D60-D632-4801-BA5D-19C31707E1EB}">
  <ds:schemaRefs>
    <ds:schemaRef ds:uri="http://schemas.microsoft.com/sharepoint/events"/>
  </ds:schemaRefs>
</ds:datastoreItem>
</file>

<file path=customXml/itemProps5.xml><?xml version="1.0" encoding="utf-8"?>
<ds:datastoreItem xmlns:ds="http://schemas.openxmlformats.org/officeDocument/2006/customXml" ds:itemID="{DBC0C741-9B38-45DA-8240-883E76C09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