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A2C7F" w:rsidRPr="00FD2E2F" w:rsidP="006A2C7F">
      <w:pPr>
        <w:spacing w:line="276" w:lineRule="auto"/>
        <w:jc w:val="both"/>
        <w:rPr>
          <w:rFonts w:ascii="Verdana" w:hAnsi="Verdana" w:cstheme="minorHAnsi"/>
          <w:b/>
          <w:sz w:val="28"/>
          <w:szCs w:val="28"/>
        </w:rPr>
      </w:pPr>
      <w:r w:rsidRPr="00FD2E2F">
        <w:rPr>
          <w:rFonts w:ascii="Verdana" w:hAnsi="Verdana" w:cstheme="minorHAnsi"/>
          <w:b/>
          <w:sz w:val="28"/>
          <w:szCs w:val="28"/>
        </w:rPr>
        <w:t>Alliance for Intellectual Property</w:t>
      </w:r>
      <w:r w:rsidR="00FD2E2F">
        <w:rPr>
          <w:rFonts w:ascii="Verdana" w:hAnsi="Verdana" w:cstheme="minorHAnsi"/>
          <w:b/>
          <w:sz w:val="28"/>
          <w:szCs w:val="28"/>
        </w:rPr>
        <w:t xml:space="preserve"> AUT0052</w:t>
      </w:r>
    </w:p>
    <w:p w:rsidR="00CA6F8C" w:rsidRPr="00FD2E2F" w:rsidP="006A2C7F">
      <w:pPr>
        <w:spacing w:line="276" w:lineRule="auto"/>
        <w:jc w:val="both"/>
        <w:rPr>
          <w:rFonts w:ascii="Verdana" w:hAnsi="Verdana" w:cstheme="minorHAnsi"/>
          <w:b/>
          <w:u w:val="single"/>
        </w:rPr>
      </w:pPr>
      <w:r w:rsidRPr="00FD2E2F">
        <w:rPr>
          <w:rFonts w:ascii="Verdana" w:hAnsi="Verdana" w:cstheme="minorHAnsi"/>
          <w:b/>
          <w:u w:val="single"/>
        </w:rPr>
        <w:t>Introduction</w:t>
      </w:r>
    </w:p>
    <w:p w:rsidR="00CA6F8C" w:rsidRPr="00FD2E2F" w:rsidP="006A2C7F">
      <w:pPr>
        <w:spacing w:line="276" w:lineRule="auto"/>
        <w:jc w:val="both"/>
        <w:rPr>
          <w:rFonts w:ascii="Verdana" w:hAnsi="Verdana" w:cstheme="minorHAnsi"/>
        </w:rPr>
      </w:pPr>
      <w:r w:rsidRPr="00FD2E2F">
        <w:rPr>
          <w:rFonts w:ascii="Verdana" w:hAnsi="Verdana" w:cstheme="minorHAnsi"/>
        </w:rPr>
        <w:t>The Alliance for Intellectual Property is a unique association of 19 organisations representing IP-rich businesses and creators – sectors that continue to grow and outperform the wider economy. Our members include representatives of the audio-visual, music, toy and games, sports rights, branded manufactured goods, publishing, retailing, image, art</w:t>
      </w:r>
      <w:r w:rsidRPr="00FD2E2F" w:rsidR="00567FB2">
        <w:rPr>
          <w:rFonts w:ascii="Verdana" w:hAnsi="Verdana" w:cstheme="minorHAnsi"/>
        </w:rPr>
        <w:t>,</w:t>
      </w:r>
      <w:r w:rsidRPr="00FD2E2F">
        <w:rPr>
          <w:rFonts w:ascii="Verdana" w:hAnsi="Verdana" w:cstheme="minorHAnsi"/>
        </w:rPr>
        <w:t xml:space="preserve"> and design sectors. We share a collective interest in ensuring that Intellectual Property (IP) rights, which deliver significant benefits to individuals across the UK, are recognised by policymakers for the</w:t>
      </w:r>
      <w:r w:rsidRPr="00FD2E2F" w:rsidR="00567FB2">
        <w:rPr>
          <w:rFonts w:ascii="Verdana" w:hAnsi="Verdana" w:cstheme="minorHAnsi"/>
        </w:rPr>
        <w:t>ir</w:t>
      </w:r>
      <w:r w:rsidRPr="00FD2E2F">
        <w:rPr>
          <w:rFonts w:ascii="Verdana" w:hAnsi="Verdana" w:cstheme="minorHAnsi"/>
        </w:rPr>
        <w:t xml:space="preserve"> value and that a legislative regime exists that enables this value and contribution to be fully realised.</w:t>
      </w:r>
    </w:p>
    <w:p w:rsidR="00CA6F8C" w:rsidRPr="00FD2E2F" w:rsidP="006A2C7F">
      <w:pPr>
        <w:spacing w:line="276" w:lineRule="auto"/>
        <w:jc w:val="both"/>
        <w:rPr>
          <w:rFonts w:ascii="Verdana" w:hAnsi="Verdana" w:cstheme="minorHAnsi"/>
        </w:rPr>
      </w:pPr>
      <w:r w:rsidRPr="00FD2E2F">
        <w:rPr>
          <w:rFonts w:ascii="Verdana" w:hAnsi="Verdana" w:cstheme="minorHAnsi"/>
        </w:rPr>
        <w:t>We are delighted to provide a submission to the Committee with regard to the UK-</w:t>
      </w:r>
      <w:r w:rsidRPr="00FD2E2F" w:rsidR="00567FB2">
        <w:rPr>
          <w:rFonts w:ascii="Verdana" w:hAnsi="Verdana" w:cstheme="minorHAnsi"/>
        </w:rPr>
        <w:t>Australia trade n</w:t>
      </w:r>
      <w:r w:rsidRPr="00FD2E2F">
        <w:rPr>
          <w:rFonts w:ascii="Verdana" w:hAnsi="Verdana" w:cstheme="minorHAnsi"/>
        </w:rPr>
        <w:t>egotiations. Whilst our members have interests across the proposed agreement, our submission will focus on the IP Chapter of the proposed UK-Australia Free Trade Agreement.</w:t>
      </w:r>
    </w:p>
    <w:p w:rsidR="00CA6F8C" w:rsidRPr="00FD2E2F" w:rsidP="006A2C7F">
      <w:pPr>
        <w:spacing w:after="0" w:line="276" w:lineRule="auto"/>
        <w:jc w:val="both"/>
        <w:rPr>
          <w:rFonts w:ascii="Verdana" w:hAnsi="Verdana" w:cstheme="minorHAnsi"/>
          <w:b/>
          <w:u w:val="single"/>
        </w:rPr>
      </w:pPr>
      <w:r w:rsidRPr="00FD2E2F">
        <w:rPr>
          <w:rFonts w:ascii="Verdana" w:hAnsi="Verdana" w:cstheme="minorHAnsi"/>
          <w:b/>
          <w:u w:val="single"/>
        </w:rPr>
        <w:t>IP and Trade</w:t>
      </w:r>
    </w:p>
    <w:p w:rsidR="00CA6F8C" w:rsidRPr="00FD2E2F" w:rsidP="006A2C7F">
      <w:pPr>
        <w:spacing w:line="276" w:lineRule="auto"/>
        <w:jc w:val="both"/>
        <w:rPr>
          <w:rFonts w:ascii="Verdana" w:hAnsi="Verdana" w:cstheme="minorHAnsi"/>
        </w:rPr>
      </w:pPr>
      <w:r w:rsidRPr="00FD2E2F">
        <w:rPr>
          <w:rFonts w:ascii="Verdana" w:hAnsi="Verdana" w:cstheme="minorHAnsi"/>
          <w:b/>
        </w:rPr>
        <w:br/>
      </w:r>
      <w:r w:rsidRPr="00FD2E2F">
        <w:rPr>
          <w:rFonts w:ascii="Verdana" w:hAnsi="Verdana" w:cstheme="minorHAnsi"/>
        </w:rPr>
        <w:t>The UK has one of the best developed and applied IP regimes in the world. Creators and businesses have been able to use that framework to develop exciting and innovative products, designs</w:t>
      </w:r>
      <w:r w:rsidRPr="00FD2E2F" w:rsidR="00567FB2">
        <w:rPr>
          <w:rFonts w:ascii="Verdana" w:hAnsi="Verdana" w:cstheme="minorHAnsi"/>
        </w:rPr>
        <w:t>,</w:t>
      </w:r>
      <w:r w:rsidRPr="00FD2E2F">
        <w:rPr>
          <w:rFonts w:ascii="Verdana" w:hAnsi="Verdana" w:cstheme="minorHAnsi"/>
        </w:rPr>
        <w:t xml:space="preserve"> and content using the latest technology and manufacturing techniques. The Taylor Wessing Global IP Index (GIPI5) ranks the UK third globally, while the 2020 US Chamber of Commerce International IP Index ranks the UK second. The advantages of our current </w:t>
      </w:r>
      <w:r w:rsidRPr="00FD2E2F" w:rsidR="00567FB2">
        <w:rPr>
          <w:rFonts w:ascii="Verdana" w:hAnsi="Verdana" w:cstheme="minorHAnsi"/>
        </w:rPr>
        <w:t xml:space="preserve">IP </w:t>
      </w:r>
      <w:r w:rsidRPr="00FD2E2F">
        <w:rPr>
          <w:rFonts w:ascii="Verdana" w:hAnsi="Verdana" w:cstheme="minorHAnsi"/>
        </w:rPr>
        <w:t>system must not be jeopardised as we seek to develop new trading relationships.</w:t>
      </w:r>
    </w:p>
    <w:p w:rsidR="00CA6F8C" w:rsidRPr="00FD2E2F" w:rsidP="006A2C7F">
      <w:pPr>
        <w:spacing w:line="276" w:lineRule="auto"/>
        <w:jc w:val="both"/>
        <w:rPr>
          <w:rFonts w:ascii="Verdana" w:hAnsi="Verdana" w:cstheme="minorHAnsi"/>
        </w:rPr>
      </w:pPr>
      <w:r w:rsidRPr="00FD2E2F">
        <w:rPr>
          <w:rFonts w:ascii="Verdana" w:hAnsi="Verdana" w:cstheme="minorHAnsi"/>
        </w:rPr>
        <w:t xml:space="preserve">It is vital therefore that the protection and promotion of IP is at the heart of UK trade policy, ensuring that everything we create in the UK has the potential to achieve its maximum value and that creators are properly rewarded. Opportunities provided by any new trade relationships should not threaten the UK’s world leading regime, but rather be used to raise standards, where necessary, in the jurisdictions with which we negotiate. This will not only protect and promote British IP but provide opportunities for creators and rights holders worldwide to benefit socially, </w:t>
      </w:r>
      <w:r w:rsidRPr="00FD2E2F">
        <w:rPr>
          <w:rFonts w:ascii="Verdana" w:hAnsi="Verdana" w:cstheme="minorHAnsi"/>
        </w:rPr>
        <w:t>culturally</w:t>
      </w:r>
      <w:r w:rsidRPr="00FD2E2F">
        <w:rPr>
          <w:rFonts w:ascii="Verdana" w:hAnsi="Verdana" w:cstheme="minorHAnsi"/>
        </w:rPr>
        <w:t xml:space="preserve"> and economically in the same way that the UK has.</w:t>
      </w:r>
    </w:p>
    <w:p w:rsidR="00CA6F8C" w:rsidRPr="00FD2E2F" w:rsidP="006A2C7F">
      <w:pPr>
        <w:spacing w:line="276" w:lineRule="auto"/>
        <w:jc w:val="both"/>
        <w:rPr>
          <w:rFonts w:ascii="Verdana" w:hAnsi="Verdana" w:cstheme="minorHAnsi"/>
          <w:b/>
          <w:u w:val="single"/>
        </w:rPr>
      </w:pPr>
      <w:r w:rsidRPr="00FD2E2F">
        <w:rPr>
          <w:rFonts w:ascii="Verdana" w:hAnsi="Verdana" w:cstheme="minorHAnsi"/>
          <w:b/>
          <w:u w:val="single"/>
        </w:rPr>
        <w:t>Australia and IP</w:t>
      </w:r>
    </w:p>
    <w:p w:rsidR="00CA6F8C" w:rsidRPr="00FD2E2F" w:rsidP="006A2C7F">
      <w:pPr>
        <w:spacing w:line="276" w:lineRule="auto"/>
        <w:jc w:val="both"/>
        <w:rPr>
          <w:rFonts w:ascii="Verdana" w:hAnsi="Verdana" w:cstheme="minorHAnsi"/>
        </w:rPr>
      </w:pPr>
      <w:r w:rsidRPr="00FD2E2F">
        <w:rPr>
          <w:rFonts w:ascii="Verdana" w:hAnsi="Verdana" w:cstheme="minorHAnsi"/>
        </w:rPr>
        <w:t>As we highlighted in</w:t>
      </w:r>
      <w:r w:rsidRPr="00FD2E2F" w:rsidR="00050729">
        <w:rPr>
          <w:rFonts w:ascii="Verdana" w:hAnsi="Verdana" w:cstheme="minorHAnsi"/>
        </w:rPr>
        <w:t xml:space="preserve"> our previous submission</w:t>
      </w:r>
      <w:r w:rsidRPr="00FD2E2F">
        <w:rPr>
          <w:rFonts w:ascii="Verdana" w:hAnsi="Verdana" w:cstheme="minorHAnsi"/>
        </w:rPr>
        <w:t xml:space="preserve"> to the Select Committee, </w:t>
      </w:r>
      <w:r w:rsidRPr="00FD2E2F" w:rsidR="00567FB2">
        <w:rPr>
          <w:rFonts w:ascii="Verdana" w:hAnsi="Verdana" w:cstheme="minorHAnsi"/>
        </w:rPr>
        <w:t>i</w:t>
      </w:r>
      <w:r w:rsidRPr="00FD2E2F">
        <w:rPr>
          <w:rFonts w:ascii="Verdana" w:hAnsi="Verdana" w:cstheme="minorHAnsi"/>
        </w:rPr>
        <w:t xml:space="preserve">n relation to IP, both the United Kingdom and Australia are signatories to the relevant international copyright treaties, ensuring minimum standards of protection and national treatment for </w:t>
      </w:r>
      <w:r w:rsidRPr="00FD2E2F" w:rsidR="00567FB2">
        <w:rPr>
          <w:rFonts w:ascii="Verdana" w:hAnsi="Verdana" w:cstheme="minorHAnsi"/>
        </w:rPr>
        <w:t>each citizen. Both countries have</w:t>
      </w:r>
      <w:r w:rsidRPr="00FD2E2F">
        <w:rPr>
          <w:rFonts w:ascii="Verdana" w:hAnsi="Verdana" w:cstheme="minorHAnsi"/>
        </w:rPr>
        <w:t xml:space="preserve"> also gone beyond these standards in a number of areas.  Despite that commonality </w:t>
      </w:r>
      <w:r w:rsidRPr="00FD2E2F" w:rsidR="00DC72D8">
        <w:rPr>
          <w:rFonts w:ascii="Verdana" w:hAnsi="Verdana" w:cstheme="minorHAnsi"/>
        </w:rPr>
        <w:t>of regimes, there were</w:t>
      </w:r>
      <w:r w:rsidRPr="00FD2E2F">
        <w:rPr>
          <w:rFonts w:ascii="Verdana" w:hAnsi="Verdana" w:cstheme="minorHAnsi"/>
        </w:rPr>
        <w:t xml:space="preserve"> a series of issues that we wanted to be discussed as part of the negotiations and, where possible, </w:t>
      </w:r>
      <w:r w:rsidRPr="00FD2E2F" w:rsidR="00DC72D8">
        <w:rPr>
          <w:rFonts w:ascii="Verdana" w:hAnsi="Verdana" w:cstheme="minorHAnsi"/>
        </w:rPr>
        <w:t xml:space="preserve">changes made as a result of the final FTA.  These issues were highlighted in our original submission to the Committee and therefore we have </w:t>
      </w:r>
      <w:r w:rsidRPr="00FD2E2F" w:rsidR="00DC72D8">
        <w:rPr>
          <w:rFonts w:ascii="Verdana" w:hAnsi="Verdana" w:cstheme="minorHAnsi"/>
        </w:rPr>
        <w:t>included our original text and the relevant sections of the FTA for ease of comparison.</w:t>
      </w:r>
    </w:p>
    <w:p w:rsidR="00DC72D8" w:rsidRPr="00FD2E2F" w:rsidP="006A2C7F">
      <w:pPr>
        <w:spacing w:line="276" w:lineRule="auto"/>
        <w:jc w:val="both"/>
        <w:rPr>
          <w:rFonts w:ascii="Verdana" w:hAnsi="Verdana" w:cstheme="minorHAnsi"/>
        </w:rPr>
      </w:pPr>
      <w:r w:rsidRPr="00FD2E2F">
        <w:rPr>
          <w:rFonts w:ascii="Verdana" w:hAnsi="Verdana" w:cstheme="minorHAnsi"/>
        </w:rPr>
        <w:t>Overall, we believe the IP Chapter in the UK</w:t>
      </w:r>
      <w:r w:rsidRPr="00FD2E2F" w:rsidR="00567FB2">
        <w:rPr>
          <w:rFonts w:ascii="Verdana" w:hAnsi="Verdana" w:cstheme="minorHAnsi"/>
        </w:rPr>
        <w:t>-</w:t>
      </w:r>
      <w:r w:rsidRPr="00FD2E2F">
        <w:rPr>
          <w:rFonts w:ascii="Verdana" w:hAnsi="Verdana" w:cstheme="minorHAnsi"/>
        </w:rPr>
        <w:t xml:space="preserve">Australia FTA is very positive and we fully support it.  The majority of the issues we raised have been addressed, </w:t>
      </w:r>
      <w:r w:rsidRPr="00FD2E2F" w:rsidR="00567FB2">
        <w:rPr>
          <w:rFonts w:ascii="Verdana" w:hAnsi="Verdana" w:cstheme="minorHAnsi"/>
        </w:rPr>
        <w:t>which</w:t>
      </w:r>
      <w:r w:rsidRPr="00FD2E2F">
        <w:rPr>
          <w:rFonts w:ascii="Verdana" w:hAnsi="Verdana" w:cstheme="minorHAnsi"/>
        </w:rPr>
        <w:t xml:space="preserve"> </w:t>
      </w:r>
      <w:r w:rsidRPr="00FD2E2F" w:rsidR="00567FB2">
        <w:rPr>
          <w:rFonts w:ascii="Verdana" w:hAnsi="Verdana" w:cstheme="minorHAnsi"/>
        </w:rPr>
        <w:t xml:space="preserve">have significant benefit to </w:t>
      </w:r>
      <w:r w:rsidRPr="00FD2E2F">
        <w:rPr>
          <w:rFonts w:ascii="Verdana" w:hAnsi="Verdana" w:cstheme="minorHAnsi"/>
        </w:rPr>
        <w:t xml:space="preserve">IP owners in </w:t>
      </w:r>
      <w:r w:rsidRPr="00FD2E2F" w:rsidR="00050729">
        <w:rPr>
          <w:rFonts w:ascii="Verdana" w:hAnsi="Verdana" w:cstheme="minorHAnsi"/>
        </w:rPr>
        <w:t xml:space="preserve">both </w:t>
      </w:r>
      <w:r w:rsidRPr="00FD2E2F">
        <w:rPr>
          <w:rFonts w:ascii="Verdana" w:hAnsi="Verdana" w:cstheme="minorHAnsi"/>
        </w:rPr>
        <w:t>the UK</w:t>
      </w:r>
      <w:r w:rsidRPr="00FD2E2F" w:rsidR="00050729">
        <w:rPr>
          <w:rFonts w:ascii="Verdana" w:hAnsi="Verdana" w:cstheme="minorHAnsi"/>
        </w:rPr>
        <w:t xml:space="preserve"> and Australia</w:t>
      </w:r>
      <w:r w:rsidRPr="00FD2E2F">
        <w:rPr>
          <w:rFonts w:ascii="Verdana" w:hAnsi="Verdana" w:cstheme="minorHAnsi"/>
        </w:rPr>
        <w:t>. These include:</w:t>
      </w:r>
    </w:p>
    <w:p w:rsidR="00DC72D8" w:rsidRPr="00FD2E2F" w:rsidP="006A2C7F">
      <w:pPr>
        <w:pStyle w:val="ListParagraph"/>
        <w:numPr>
          <w:ilvl w:val="0"/>
          <w:numId w:val="1"/>
        </w:numPr>
        <w:spacing w:line="276" w:lineRule="auto"/>
        <w:jc w:val="both"/>
        <w:rPr>
          <w:rFonts w:ascii="Verdana" w:hAnsi="Verdana" w:cstheme="minorHAnsi"/>
        </w:rPr>
      </w:pPr>
      <w:r w:rsidRPr="00FD2E2F">
        <w:rPr>
          <w:rFonts w:ascii="Verdana" w:hAnsi="Verdana" w:cstheme="minorHAnsi"/>
        </w:rPr>
        <w:t xml:space="preserve">Reciprocal </w:t>
      </w:r>
      <w:r w:rsidRPr="00FD2E2F" w:rsidR="00567FB2">
        <w:rPr>
          <w:rFonts w:ascii="Verdana" w:hAnsi="Verdana" w:cstheme="minorHAnsi"/>
        </w:rPr>
        <w:t>a</w:t>
      </w:r>
      <w:r w:rsidRPr="00FD2E2F">
        <w:rPr>
          <w:rFonts w:ascii="Verdana" w:hAnsi="Verdana" w:cstheme="minorHAnsi"/>
        </w:rPr>
        <w:t>rran</w:t>
      </w:r>
      <w:r w:rsidRPr="00FD2E2F" w:rsidR="00567FB2">
        <w:rPr>
          <w:rFonts w:ascii="Verdana" w:hAnsi="Verdana" w:cstheme="minorHAnsi"/>
        </w:rPr>
        <w:t>gements for the Artist Resale Ri</w:t>
      </w:r>
      <w:r w:rsidRPr="00FD2E2F">
        <w:rPr>
          <w:rFonts w:ascii="Verdana" w:hAnsi="Verdana" w:cstheme="minorHAnsi"/>
        </w:rPr>
        <w:t>ght which will see royalties paid to UK artists whose art is resold in Australia</w:t>
      </w:r>
    </w:p>
    <w:p w:rsidR="00DC72D8" w:rsidRPr="00FD2E2F" w:rsidP="006A2C7F">
      <w:pPr>
        <w:pStyle w:val="ListParagraph"/>
        <w:numPr>
          <w:ilvl w:val="0"/>
          <w:numId w:val="1"/>
        </w:numPr>
        <w:spacing w:line="276" w:lineRule="auto"/>
        <w:jc w:val="both"/>
        <w:rPr>
          <w:rFonts w:ascii="Verdana" w:hAnsi="Verdana" w:cstheme="minorHAnsi"/>
        </w:rPr>
      </w:pPr>
      <w:r w:rsidRPr="00FD2E2F">
        <w:rPr>
          <w:rFonts w:ascii="Verdana" w:hAnsi="Verdana" w:cstheme="minorHAnsi"/>
        </w:rPr>
        <w:t>A clear protection of the UK’s system of exceptions to copyright</w:t>
      </w:r>
    </w:p>
    <w:p w:rsidR="00DC72D8" w:rsidRPr="00FD2E2F" w:rsidP="006A2C7F">
      <w:pPr>
        <w:pStyle w:val="ListParagraph"/>
        <w:numPr>
          <w:ilvl w:val="0"/>
          <w:numId w:val="1"/>
        </w:numPr>
        <w:spacing w:line="276" w:lineRule="auto"/>
        <w:jc w:val="both"/>
        <w:rPr>
          <w:rFonts w:ascii="Verdana" w:hAnsi="Verdana" w:cstheme="minorHAnsi"/>
        </w:rPr>
      </w:pPr>
      <w:r w:rsidRPr="00FD2E2F">
        <w:rPr>
          <w:rFonts w:ascii="Verdana" w:hAnsi="Verdana" w:cstheme="minorHAnsi"/>
        </w:rPr>
        <w:t>A clear and mutual defence of injunctive relief, so called site blocking</w:t>
      </w:r>
    </w:p>
    <w:p w:rsidR="00DC72D8" w:rsidRPr="00FD2E2F" w:rsidP="006A2C7F">
      <w:pPr>
        <w:pStyle w:val="ListParagraph"/>
        <w:numPr>
          <w:ilvl w:val="0"/>
          <w:numId w:val="1"/>
        </w:numPr>
        <w:spacing w:line="276" w:lineRule="auto"/>
        <w:jc w:val="both"/>
        <w:rPr>
          <w:rFonts w:ascii="Verdana" w:hAnsi="Verdana" w:cstheme="minorHAnsi"/>
        </w:rPr>
      </w:pPr>
      <w:r w:rsidRPr="00FD2E2F">
        <w:rPr>
          <w:rFonts w:ascii="Verdana" w:hAnsi="Verdana" w:cstheme="minorHAnsi"/>
        </w:rPr>
        <w:t>Maintaining</w:t>
      </w:r>
      <w:r w:rsidRPr="00FD2E2F">
        <w:rPr>
          <w:rFonts w:ascii="Verdana" w:hAnsi="Verdana" w:cstheme="minorHAnsi"/>
        </w:rPr>
        <w:t xml:space="preserve"> the UK’s sovereign power to decide its own Exhaustion Regime</w:t>
      </w:r>
    </w:p>
    <w:p w:rsidR="00DC72D8" w:rsidRPr="00FD2E2F" w:rsidP="006A2C7F">
      <w:pPr>
        <w:pStyle w:val="ListParagraph"/>
        <w:numPr>
          <w:ilvl w:val="0"/>
          <w:numId w:val="1"/>
        </w:numPr>
        <w:spacing w:line="276" w:lineRule="auto"/>
        <w:jc w:val="both"/>
        <w:rPr>
          <w:rFonts w:ascii="Verdana" w:hAnsi="Verdana" w:cstheme="minorHAnsi"/>
        </w:rPr>
      </w:pPr>
      <w:r w:rsidRPr="00FD2E2F">
        <w:rPr>
          <w:rFonts w:ascii="Verdana" w:hAnsi="Verdana" w:cstheme="minorHAnsi"/>
        </w:rPr>
        <w:t>No limitations on the UK’s sovereign power to develop measures that might change the liability regime for online intermediaries/digital service providers</w:t>
      </w:r>
    </w:p>
    <w:p w:rsidR="00DC72D8" w:rsidRPr="00FD2E2F" w:rsidP="006A2C7F">
      <w:pPr>
        <w:spacing w:line="276" w:lineRule="auto"/>
        <w:jc w:val="both"/>
        <w:rPr>
          <w:rFonts w:ascii="Verdana" w:hAnsi="Verdana" w:cstheme="minorHAnsi"/>
        </w:rPr>
      </w:pPr>
      <w:r w:rsidRPr="00FD2E2F">
        <w:rPr>
          <w:rFonts w:ascii="Verdana" w:hAnsi="Verdana" w:cstheme="minorHAnsi"/>
          <w:color w:val="000000" w:themeColor="text1"/>
        </w:rPr>
        <w:t xml:space="preserve">The one area that the Agreement did not address is the </w:t>
      </w:r>
      <w:r w:rsidRPr="00FD2E2F">
        <w:rPr>
          <w:rFonts w:ascii="Verdana" w:hAnsi="Verdana" w:cstheme="minorHAnsi"/>
        </w:rPr>
        <w:t>removal of the caps on the amount of broadcast royalties pa</w:t>
      </w:r>
      <w:r w:rsidRPr="00FD2E2F" w:rsidR="00050729">
        <w:rPr>
          <w:rFonts w:ascii="Verdana" w:hAnsi="Verdana" w:cstheme="minorHAnsi"/>
        </w:rPr>
        <w:t xml:space="preserve">yable for the use of recordings. </w:t>
      </w:r>
      <w:r w:rsidRPr="00FD2E2F">
        <w:rPr>
          <w:rFonts w:ascii="Verdana" w:hAnsi="Verdana" w:cstheme="minorHAnsi"/>
        </w:rPr>
        <w:t>This law indirectly limits radio broadcast tariffs to 1% of broadcasters’ gross revenue because a copyright tribunal cannot set higher tariffs than 1%, meaning it cannot set a market rate.</w:t>
      </w:r>
      <w:r w:rsidRPr="00FD2E2F" w:rsidR="00050729">
        <w:rPr>
          <w:rFonts w:ascii="Verdana" w:hAnsi="Verdana" w:cstheme="minorHAnsi"/>
        </w:rPr>
        <w:t xml:space="preserve">  The Agreement only commits both parties to further discussion on this matter.</w:t>
      </w:r>
    </w:p>
    <w:p w:rsidR="00050729" w:rsidRPr="00FD2E2F" w:rsidP="006A2C7F">
      <w:pPr>
        <w:spacing w:line="276" w:lineRule="auto"/>
        <w:jc w:val="both"/>
        <w:rPr>
          <w:rFonts w:ascii="Verdana" w:hAnsi="Verdana" w:cstheme="minorHAnsi"/>
        </w:rPr>
      </w:pPr>
      <w:r w:rsidRPr="00FD2E2F">
        <w:rPr>
          <w:rFonts w:ascii="Verdana" w:hAnsi="Verdana" w:cstheme="minorHAnsi"/>
        </w:rPr>
        <w:t xml:space="preserve">Despite this lack of change in relation to broadcast royalties, we believe the Agreement is overall very positive for UK and Australian IP owners and has set important precedents in a number of areas for future negotiations.  We have no doubt that other countries with whom we are negotiating free trade </w:t>
      </w:r>
      <w:r w:rsidRPr="00FD2E2F" w:rsidR="00567FB2">
        <w:rPr>
          <w:rFonts w:ascii="Verdana" w:hAnsi="Verdana" w:cstheme="minorHAnsi"/>
        </w:rPr>
        <w:t>agreements</w:t>
      </w:r>
      <w:r w:rsidRPr="00FD2E2F">
        <w:rPr>
          <w:rFonts w:ascii="Verdana" w:hAnsi="Verdana" w:cstheme="minorHAnsi"/>
        </w:rPr>
        <w:t>, or with whom we might in the fut</w:t>
      </w:r>
      <w:r w:rsidRPr="00FD2E2F" w:rsidR="00567FB2">
        <w:rPr>
          <w:rFonts w:ascii="Verdana" w:hAnsi="Verdana" w:cstheme="minorHAnsi"/>
        </w:rPr>
        <w:t>ure, will have taken note of this</w:t>
      </w:r>
      <w:r w:rsidRPr="00FD2E2F">
        <w:rPr>
          <w:rFonts w:ascii="Verdana" w:hAnsi="Verdana" w:cstheme="minorHAnsi"/>
        </w:rPr>
        <w:t xml:space="preserve"> IP Chapter and the UK’s ambitions for high levels of protection for IP.</w:t>
      </w:r>
    </w:p>
    <w:p w:rsidR="009E1D13" w:rsidRPr="00FD2E2F" w:rsidP="006A2C7F">
      <w:pPr>
        <w:spacing w:after="0" w:line="276" w:lineRule="auto"/>
        <w:jc w:val="both"/>
        <w:rPr>
          <w:rFonts w:ascii="Verdana" w:hAnsi="Verdana" w:cstheme="minorHAnsi"/>
          <w:b/>
          <w:color w:val="000000" w:themeColor="text1"/>
          <w:u w:val="single"/>
        </w:rPr>
      </w:pPr>
      <w:r w:rsidRPr="00FD2E2F">
        <w:rPr>
          <w:rFonts w:ascii="Verdana" w:hAnsi="Verdana" w:cstheme="minorHAnsi"/>
          <w:b/>
          <w:color w:val="000000" w:themeColor="text1"/>
          <w:u w:val="single"/>
        </w:rPr>
        <w:t>Maintaining the UK’s Injunctive Relief powers</w:t>
      </w:r>
    </w:p>
    <w:p w:rsidR="009E1D13" w:rsidRPr="00FD2E2F" w:rsidP="006A2C7F">
      <w:pPr>
        <w:spacing w:after="0" w:line="276" w:lineRule="auto"/>
        <w:jc w:val="both"/>
        <w:rPr>
          <w:rFonts w:ascii="Verdana" w:hAnsi="Verdana" w:cstheme="minorHAnsi"/>
        </w:rPr>
      </w:pPr>
    </w:p>
    <w:p w:rsidR="009E1D13" w:rsidRPr="00FD2E2F" w:rsidP="006A2C7F">
      <w:pPr>
        <w:spacing w:after="0" w:line="276" w:lineRule="auto"/>
        <w:jc w:val="both"/>
        <w:rPr>
          <w:rFonts w:ascii="Verdana" w:hAnsi="Verdana" w:cstheme="minorHAnsi"/>
          <w:color w:val="000000" w:themeColor="text1"/>
        </w:rPr>
      </w:pPr>
      <w:r w:rsidRPr="00FD2E2F">
        <w:rPr>
          <w:rFonts w:ascii="Verdana" w:hAnsi="Verdana" w:cstheme="minorHAnsi"/>
        </w:rPr>
        <w:t xml:space="preserve">In the UK, rights holders can apply to the civil courts for no-fault injunctive relief. One particular form of no-fault injunctive relief successfully used in the UK is known as website blocking. This allows IP rights holders to apply to the court for orders requiring intermediaries, such as Internet Service Providers, to disable access to websites that make infringing content available. This also includes a requirement that the website remains blocked in future, regardless of any changes in IP and DNS addresses. </w:t>
      </w:r>
      <w:r w:rsidRPr="00FD2E2F">
        <w:rPr>
          <w:rFonts w:ascii="Verdana" w:hAnsi="Verdana" w:cstheme="minorHAnsi"/>
          <w:color w:val="000000" w:themeColor="text1"/>
        </w:rPr>
        <w:t>According to the US Copyright Office:</w:t>
      </w:r>
    </w:p>
    <w:p w:rsidR="009E1D13" w:rsidRPr="00FD2E2F" w:rsidP="006A2C7F">
      <w:pPr>
        <w:spacing w:after="0" w:line="276" w:lineRule="auto"/>
        <w:jc w:val="both"/>
        <w:rPr>
          <w:rFonts w:ascii="Verdana" w:hAnsi="Verdana" w:cstheme="minorHAnsi"/>
          <w:i/>
          <w:iCs/>
          <w:color w:val="000000" w:themeColor="text1"/>
        </w:rPr>
      </w:pPr>
    </w:p>
    <w:p w:rsidR="009E1D13" w:rsidRPr="00FD2E2F" w:rsidP="006A2C7F">
      <w:pPr>
        <w:spacing w:after="0" w:line="276" w:lineRule="auto"/>
        <w:jc w:val="both"/>
        <w:rPr>
          <w:rFonts w:ascii="Verdana" w:hAnsi="Verdana" w:cstheme="minorHAnsi"/>
          <w:i/>
          <w:iCs/>
          <w:color w:val="000000" w:themeColor="text1"/>
        </w:rPr>
      </w:pPr>
      <w:r w:rsidRPr="00FD2E2F">
        <w:rPr>
          <w:rFonts w:ascii="Verdana" w:hAnsi="Verdana" w:cstheme="minorHAnsi"/>
          <w:i/>
          <w:iCs/>
          <w:color w:val="000000" w:themeColor="text1"/>
        </w:rPr>
        <w:t>“</w:t>
      </w:r>
      <w:r w:rsidRPr="00FD2E2F" w:rsidR="00567FB2">
        <w:rPr>
          <w:rFonts w:ascii="Verdana" w:hAnsi="Verdana" w:cstheme="minorHAnsi"/>
          <w:i/>
          <w:iCs/>
          <w:color w:val="000000" w:themeColor="text1"/>
        </w:rPr>
        <w:t>...</w:t>
      </w:r>
      <w:r w:rsidRPr="00FD2E2F">
        <w:rPr>
          <w:rFonts w:ascii="Verdana" w:hAnsi="Verdana" w:cstheme="minorHAnsi"/>
          <w:i/>
          <w:iCs/>
          <w:color w:val="000000" w:themeColor="text1"/>
        </w:rPr>
        <w:t>currently more than 40 countries have either enacted or are under an obligation to enact some form of no-fault injunctive relief to block access to piracy sites</w:t>
      </w:r>
      <w:r w:rsidRPr="00FD2E2F" w:rsidR="00567FB2">
        <w:rPr>
          <w:rFonts w:ascii="Verdana" w:hAnsi="Verdana" w:cstheme="minorHAnsi"/>
          <w:i/>
          <w:iCs/>
          <w:color w:val="000000" w:themeColor="text1"/>
        </w:rPr>
        <w:t>.</w:t>
      </w:r>
      <w:r w:rsidRPr="00FD2E2F">
        <w:rPr>
          <w:rFonts w:ascii="Verdana" w:hAnsi="Verdana" w:cstheme="minorHAnsi"/>
          <w:i/>
          <w:iCs/>
          <w:color w:val="000000" w:themeColor="text1"/>
        </w:rPr>
        <w:t>”</w:t>
      </w:r>
      <w:r>
        <w:rPr>
          <w:rStyle w:val="FootnoteReference"/>
          <w:rFonts w:ascii="Verdana" w:hAnsi="Verdana" w:cstheme="minorHAnsi"/>
          <w:i/>
          <w:iCs/>
          <w:color w:val="000000" w:themeColor="text1"/>
        </w:rPr>
        <w:footnoteReference w:id="2"/>
      </w:r>
    </w:p>
    <w:p w:rsidR="009E1D13" w:rsidRPr="00FD2E2F" w:rsidP="006A2C7F">
      <w:pPr>
        <w:spacing w:after="0" w:line="276" w:lineRule="auto"/>
        <w:jc w:val="both"/>
        <w:rPr>
          <w:rFonts w:ascii="Verdana" w:hAnsi="Verdana" w:cstheme="minorHAnsi"/>
          <w:i/>
          <w:iCs/>
          <w:color w:val="000000" w:themeColor="text1"/>
        </w:rPr>
      </w:pPr>
    </w:p>
    <w:p w:rsidR="009E1D13" w:rsidRPr="00FD2E2F" w:rsidP="006A2C7F">
      <w:pPr>
        <w:spacing w:after="0" w:line="276" w:lineRule="auto"/>
        <w:jc w:val="both"/>
        <w:rPr>
          <w:rFonts w:ascii="Verdana" w:hAnsi="Verdana" w:cstheme="minorHAnsi"/>
        </w:rPr>
      </w:pPr>
      <w:r w:rsidRPr="00FD2E2F">
        <w:rPr>
          <w:rFonts w:ascii="Verdana" w:hAnsi="Verdana" w:cstheme="minorHAnsi"/>
        </w:rPr>
        <w:t>It has become a hugely valuable tool in the armoury of rights holders looking to protect the</w:t>
      </w:r>
      <w:r w:rsidRPr="00FD2E2F" w:rsidR="00813BD5">
        <w:rPr>
          <w:rFonts w:ascii="Verdana" w:hAnsi="Verdana" w:cstheme="minorHAnsi"/>
        </w:rPr>
        <w:t>ir IP. It is vital that the UK G</w:t>
      </w:r>
      <w:r w:rsidRPr="00FD2E2F">
        <w:rPr>
          <w:rFonts w:ascii="Verdana" w:hAnsi="Verdana" w:cstheme="minorHAnsi"/>
        </w:rPr>
        <w:t xml:space="preserve">overnment ensures the preservation of the no-fault injunctive relief regime. We would also encourage the opening of </w:t>
      </w:r>
      <w:r w:rsidRPr="00FD2E2F">
        <w:rPr>
          <w:rFonts w:ascii="Verdana" w:hAnsi="Verdana" w:cstheme="minorHAnsi"/>
        </w:rPr>
        <w:t xml:space="preserve">dialogue, wherever possible, to share experience around UK practices and to encourage faster, more efficient website blocking procedures, whether through civil, criminal, administrative or voluntary means. Other types of injunctive relief that should be preserved include orders to: cease providing hosting or other services to an infringing website; remove infringing content or disable access to it; or remove or disable access to links to infringing content. </w:t>
      </w:r>
    </w:p>
    <w:p w:rsidR="009E1D13" w:rsidRPr="00FD2E2F" w:rsidP="006A2C7F">
      <w:pPr>
        <w:spacing w:after="0" w:line="276" w:lineRule="auto"/>
        <w:jc w:val="both"/>
        <w:rPr>
          <w:rFonts w:ascii="Verdana" w:hAnsi="Verdana" w:cstheme="minorHAnsi"/>
        </w:rPr>
      </w:pPr>
    </w:p>
    <w:p w:rsidR="009E1D13" w:rsidRPr="00FD2E2F" w:rsidP="006A2C7F">
      <w:pPr>
        <w:pBdr>
          <w:top w:val="nil"/>
          <w:left w:val="nil"/>
          <w:bottom w:val="nil"/>
          <w:right w:val="nil"/>
          <w:between w:val="nil"/>
        </w:pBdr>
        <w:spacing w:after="0" w:line="276" w:lineRule="auto"/>
        <w:jc w:val="both"/>
        <w:rPr>
          <w:rFonts w:ascii="Verdana" w:hAnsi="Verdana" w:cstheme="minorHAnsi"/>
          <w:b/>
          <w:color w:val="000000"/>
        </w:rPr>
      </w:pPr>
      <w:r w:rsidRPr="00FD2E2F">
        <w:rPr>
          <w:rFonts w:ascii="Verdana" w:hAnsi="Verdana" w:cstheme="minorHAnsi"/>
          <w:color w:val="000000"/>
        </w:rPr>
        <w:t xml:space="preserve">Australia introduced a basis for website blocking through amendments to its Copyright Act in 2015. The system is strong, with dynamic blocking, including most recently adding a notification process that speeds the blocks of additional domains by more than a month than the prior process, and has eased the procedure. The Australia statute also has the benefit of obliging “search engine service providers” to take reasonable steps to ensure searches to blocked sites do not lead referral traffic to those sites. Search engines have now voluntarily agreed to deindex blocked sites. Under the statute, </w:t>
      </w:r>
      <w:r w:rsidRPr="00FD2E2F" w:rsidR="00567FB2">
        <w:rPr>
          <w:rFonts w:ascii="Verdana" w:hAnsi="Verdana" w:cstheme="minorHAnsi"/>
          <w:color w:val="000000"/>
        </w:rPr>
        <w:t>web</w:t>
      </w:r>
      <w:r w:rsidRPr="00FD2E2F">
        <w:rPr>
          <w:rFonts w:ascii="Verdana" w:hAnsi="Verdana" w:cstheme="minorHAnsi"/>
          <w:color w:val="000000"/>
        </w:rPr>
        <w:t>sites that have “the primary purpose or the primary effect” of infringing or facilitating infringement can be blocked. This has led to blocking of egregious piracy sites, including proxy portal sites and sites that facilitate infringement by enticing users to download apps used for piracy.</w:t>
      </w:r>
    </w:p>
    <w:p w:rsidR="009E1D13" w:rsidRPr="00FD2E2F" w:rsidP="006A2C7F">
      <w:pPr>
        <w:spacing w:after="0" w:line="276" w:lineRule="auto"/>
        <w:jc w:val="both"/>
        <w:rPr>
          <w:rFonts w:ascii="Verdana" w:hAnsi="Verdana" w:cstheme="minorHAnsi"/>
        </w:rPr>
      </w:pPr>
    </w:p>
    <w:p w:rsidR="009E1D13" w:rsidRPr="00FD2E2F" w:rsidP="006A2C7F">
      <w:pPr>
        <w:pBdr>
          <w:top w:val="nil"/>
          <w:left w:val="nil"/>
          <w:bottom w:val="nil"/>
          <w:right w:val="nil"/>
          <w:between w:val="nil"/>
        </w:pBdr>
        <w:spacing w:after="0" w:line="276" w:lineRule="auto"/>
        <w:jc w:val="both"/>
        <w:rPr>
          <w:rFonts w:ascii="Verdana" w:eastAsia="Calibri" w:hAnsi="Verdana" w:cstheme="minorHAnsi"/>
          <w:b/>
          <w:color w:val="000000"/>
        </w:rPr>
      </w:pPr>
      <w:r w:rsidRPr="00FD2E2F">
        <w:rPr>
          <w:rFonts w:ascii="Verdana" w:eastAsia="Calibri" w:hAnsi="Verdana" w:cstheme="minorHAnsi"/>
          <w:b/>
          <w:color w:val="000000"/>
        </w:rPr>
        <w:t>We would therefore urge the UK Government to include reference to the site blocking legislation in the FTA with Australia as it will send an important message to future countries that we might chose to negotiate trade agreements with.</w:t>
      </w:r>
    </w:p>
    <w:p w:rsidR="00567FB2" w:rsidRPr="00FD2E2F" w:rsidP="006A2C7F">
      <w:pPr>
        <w:pBdr>
          <w:top w:val="nil"/>
          <w:left w:val="nil"/>
          <w:bottom w:val="nil"/>
          <w:right w:val="nil"/>
          <w:between w:val="nil"/>
        </w:pBdr>
        <w:spacing w:after="0" w:line="276" w:lineRule="auto"/>
        <w:jc w:val="both"/>
        <w:rPr>
          <w:rFonts w:ascii="Verdana" w:hAnsi="Verdana" w:cstheme="minorHAnsi"/>
          <w:i/>
        </w:rPr>
      </w:pPr>
    </w:p>
    <w:p w:rsidR="009E1D13" w:rsidRPr="00FD2E2F" w:rsidP="006A2C7F">
      <w:pPr>
        <w:pBdr>
          <w:top w:val="nil"/>
          <w:left w:val="nil"/>
          <w:bottom w:val="nil"/>
          <w:right w:val="nil"/>
          <w:between w:val="nil"/>
        </w:pBdr>
        <w:spacing w:after="0" w:line="276" w:lineRule="auto"/>
        <w:jc w:val="both"/>
        <w:rPr>
          <w:rFonts w:ascii="Verdana" w:hAnsi="Verdana" w:cstheme="minorHAnsi"/>
          <w:i/>
        </w:rPr>
      </w:pPr>
      <w:r w:rsidRPr="00FD2E2F">
        <w:rPr>
          <w:rFonts w:ascii="Verdana" w:hAnsi="Verdana" w:cstheme="minorHAnsi"/>
          <w:i/>
        </w:rPr>
        <w:t xml:space="preserve">Article 15.89 Blocking Orders </w:t>
      </w:r>
    </w:p>
    <w:p w:rsidR="009E1D13" w:rsidRPr="00FD2E2F" w:rsidP="006A2C7F">
      <w:pPr>
        <w:pBdr>
          <w:top w:val="nil"/>
          <w:left w:val="nil"/>
          <w:bottom w:val="nil"/>
          <w:right w:val="nil"/>
          <w:between w:val="nil"/>
        </w:pBdr>
        <w:spacing w:after="0" w:line="276" w:lineRule="auto"/>
        <w:jc w:val="both"/>
        <w:rPr>
          <w:rFonts w:ascii="Verdana" w:hAnsi="Verdana" w:cstheme="minorHAnsi"/>
          <w:i/>
        </w:rPr>
      </w:pPr>
    </w:p>
    <w:p w:rsidR="009E1D13" w:rsidRPr="00FD2E2F" w:rsidP="006A2C7F">
      <w:pPr>
        <w:pBdr>
          <w:top w:val="nil"/>
          <w:left w:val="nil"/>
          <w:bottom w:val="nil"/>
          <w:right w:val="nil"/>
          <w:between w:val="nil"/>
        </w:pBdr>
        <w:spacing w:after="0" w:line="276" w:lineRule="auto"/>
        <w:jc w:val="both"/>
        <w:rPr>
          <w:rFonts w:ascii="Verdana" w:hAnsi="Verdana" w:cstheme="minorHAnsi"/>
          <w:i/>
        </w:rPr>
      </w:pPr>
      <w:r w:rsidRPr="00FD2E2F">
        <w:rPr>
          <w:rFonts w:ascii="Verdana" w:hAnsi="Verdana" w:cstheme="minorHAnsi"/>
          <w:i/>
        </w:rPr>
        <w:t xml:space="preserve">Each Party shall provide that its civil judicial authorities have the authority to grant an injunction against an ISP within its territory, ordering the ISP to take action to block access to a specific online location, in cases where: (a) that online location is located outside the territory of that Party; and (b) the services of the ISP are used by a third party to infringe copyright or related rights in the territory of that Party. </w:t>
      </w:r>
    </w:p>
    <w:p w:rsidR="009E1D13" w:rsidRPr="00FD2E2F" w:rsidP="006A2C7F">
      <w:pPr>
        <w:pBdr>
          <w:top w:val="nil"/>
          <w:left w:val="nil"/>
          <w:bottom w:val="nil"/>
          <w:right w:val="nil"/>
          <w:between w:val="nil"/>
        </w:pBdr>
        <w:spacing w:after="0" w:line="276" w:lineRule="auto"/>
        <w:jc w:val="both"/>
        <w:rPr>
          <w:rFonts w:ascii="Verdana" w:hAnsi="Verdana" w:cstheme="minorHAnsi"/>
          <w:i/>
        </w:rPr>
      </w:pPr>
    </w:p>
    <w:p w:rsidR="009E1D13" w:rsidRPr="00FD2E2F" w:rsidP="006A2C7F">
      <w:pPr>
        <w:pBdr>
          <w:top w:val="nil"/>
          <w:left w:val="nil"/>
          <w:bottom w:val="nil"/>
          <w:right w:val="nil"/>
          <w:between w:val="nil"/>
        </w:pBdr>
        <w:spacing w:after="0" w:line="276" w:lineRule="auto"/>
        <w:jc w:val="both"/>
        <w:rPr>
          <w:rFonts w:ascii="Verdana" w:hAnsi="Verdana" w:cstheme="minorHAnsi"/>
          <w:i/>
        </w:rPr>
      </w:pPr>
      <w:r w:rsidRPr="00FD2E2F">
        <w:rPr>
          <w:rFonts w:ascii="Verdana" w:hAnsi="Verdana" w:cstheme="minorHAnsi"/>
          <w:i/>
        </w:rPr>
        <w:t>For greater certainty, nothing in this Article precludes a Party from providing that its judicial authorities may grant an injunction to take action to block access to online locations used to infringe intellectual property rights in circumstances other than those specified in paragraph 1.</w:t>
      </w:r>
    </w:p>
    <w:p w:rsidR="009E1D13" w:rsidRPr="00FD2E2F" w:rsidP="006A2C7F">
      <w:pPr>
        <w:pBdr>
          <w:top w:val="nil"/>
          <w:left w:val="nil"/>
          <w:bottom w:val="nil"/>
          <w:right w:val="nil"/>
          <w:between w:val="nil"/>
        </w:pBdr>
        <w:spacing w:after="0" w:line="276" w:lineRule="auto"/>
        <w:jc w:val="both"/>
        <w:rPr>
          <w:rFonts w:ascii="Verdana" w:eastAsia="Calibri" w:hAnsi="Verdana" w:cstheme="minorHAnsi"/>
          <w:b/>
          <w:color w:val="000000"/>
          <w:u w:val="single"/>
        </w:rPr>
      </w:pPr>
    </w:p>
    <w:p w:rsidR="009E1D13" w:rsidRPr="00FD2E2F" w:rsidP="006A2C7F">
      <w:pPr>
        <w:spacing w:line="276" w:lineRule="auto"/>
        <w:jc w:val="both"/>
        <w:rPr>
          <w:rFonts w:ascii="Verdana" w:hAnsi="Verdana" w:cstheme="minorHAnsi"/>
          <w:b/>
          <w:u w:val="single"/>
        </w:rPr>
      </w:pPr>
      <w:r w:rsidRPr="00FD2E2F">
        <w:rPr>
          <w:rFonts w:ascii="Verdana" w:hAnsi="Verdana" w:cstheme="minorHAnsi"/>
          <w:b/>
          <w:u w:val="single"/>
        </w:rPr>
        <w:t>Artist Resale Right (ARR)</w:t>
      </w:r>
    </w:p>
    <w:p w:rsidR="009E1D13" w:rsidRPr="00FD2E2F" w:rsidP="006A2C7F">
      <w:pPr>
        <w:spacing w:line="276" w:lineRule="auto"/>
        <w:jc w:val="both"/>
        <w:rPr>
          <w:rFonts w:ascii="Verdana" w:eastAsia="Calibri" w:hAnsi="Verdana" w:cstheme="minorHAnsi"/>
          <w:b/>
          <w:color w:val="000000"/>
        </w:rPr>
      </w:pPr>
      <w:r w:rsidRPr="00FD2E2F">
        <w:rPr>
          <w:rFonts w:ascii="Verdana" w:hAnsi="Verdana" w:cstheme="minorHAnsi"/>
        </w:rPr>
        <w:t>The Artist</w:t>
      </w:r>
      <w:r w:rsidRPr="00FD2E2F">
        <w:rPr>
          <w:rFonts w:ascii="Verdana" w:hAnsi="Verdana" w:cstheme="minorHAnsi"/>
        </w:rPr>
        <w:t xml:space="preserve"> Resale Right (introduced in the UK in 2006) entitles artists to a royalty when their work is resold by an art market professional. ARR royalties are a much-needed income to sustain artists in their practice, with 81 per cent using their ARR for living expenses and art materials. Australia introduced a broadly similar ARR in 2009, however this right only applies to Australian citizens. British artists whose </w:t>
      </w:r>
      <w:r w:rsidRPr="00FD2E2F">
        <w:rPr>
          <w:rFonts w:ascii="Verdana" w:hAnsi="Verdana" w:cstheme="minorHAnsi"/>
        </w:rPr>
        <w:t xml:space="preserve">works sell on the Australian art market cannot </w:t>
      </w:r>
      <w:r w:rsidRPr="00FD2E2F">
        <w:rPr>
          <w:rFonts w:ascii="Verdana" w:hAnsi="Verdana" w:cstheme="minorHAnsi"/>
        </w:rPr>
        <w:t xml:space="preserve">currently </w:t>
      </w:r>
      <w:r w:rsidRPr="00FD2E2F">
        <w:rPr>
          <w:rFonts w:ascii="Verdana" w:hAnsi="Verdana" w:cstheme="minorHAnsi"/>
        </w:rPr>
        <w:t xml:space="preserve">receive a royalty even though the UK has an ARR law in place. </w:t>
      </w:r>
      <w:r w:rsidRPr="00FD2E2F">
        <w:rPr>
          <w:rFonts w:ascii="Verdana" w:hAnsi="Verdana" w:cstheme="minorHAnsi"/>
          <w:b/>
          <w:bCs/>
        </w:rPr>
        <w:t xml:space="preserve">We therefore </w:t>
      </w:r>
      <w:r w:rsidRPr="00FD2E2F">
        <w:rPr>
          <w:rFonts w:ascii="Verdana" w:eastAsia="Calibri" w:hAnsi="Verdana" w:cstheme="minorHAnsi"/>
          <w:b/>
          <w:bCs/>
          <w:color w:val="000000"/>
        </w:rPr>
        <w:t>urge</w:t>
      </w:r>
      <w:r w:rsidRPr="00FD2E2F">
        <w:rPr>
          <w:rFonts w:ascii="Verdana" w:eastAsia="Calibri" w:hAnsi="Verdana" w:cstheme="minorHAnsi"/>
          <w:b/>
          <w:color w:val="000000"/>
        </w:rPr>
        <w:t xml:space="preserve"> the UK Government to include reference to a reciprocal ARR in the FTA with Australia so that UK artists can benefit from the right in Australia when their works are sold by Australian art dealers, </w:t>
      </w:r>
      <w:r w:rsidRPr="00FD2E2F">
        <w:rPr>
          <w:rFonts w:ascii="Verdana" w:eastAsia="Calibri" w:hAnsi="Verdana" w:cstheme="minorHAnsi"/>
          <w:b/>
          <w:color w:val="000000"/>
        </w:rPr>
        <w:t>galleries</w:t>
      </w:r>
      <w:r w:rsidRPr="00FD2E2F">
        <w:rPr>
          <w:rFonts w:ascii="Verdana" w:eastAsia="Calibri" w:hAnsi="Verdana" w:cstheme="minorHAnsi"/>
          <w:b/>
          <w:color w:val="000000"/>
        </w:rPr>
        <w:t xml:space="preserve"> and auction houses. </w:t>
      </w:r>
    </w:p>
    <w:p w:rsidR="009E1D13" w:rsidRPr="00FD2E2F" w:rsidP="006A2C7F">
      <w:pPr>
        <w:spacing w:line="276" w:lineRule="auto"/>
        <w:jc w:val="both"/>
        <w:rPr>
          <w:rFonts w:ascii="Verdana" w:hAnsi="Verdana" w:cstheme="minorHAnsi"/>
          <w:i/>
        </w:rPr>
      </w:pPr>
      <w:r w:rsidRPr="00FD2E2F">
        <w:rPr>
          <w:rFonts w:ascii="Verdana" w:hAnsi="Verdana" w:cstheme="minorHAnsi"/>
          <w:i/>
        </w:rPr>
        <w:t xml:space="preserve">Article 15.61 Artist’s Resale Right </w:t>
      </w:r>
    </w:p>
    <w:p w:rsidR="009E1D13" w:rsidRPr="00FD2E2F" w:rsidP="006A2C7F">
      <w:pPr>
        <w:spacing w:line="276" w:lineRule="auto"/>
        <w:jc w:val="both"/>
        <w:rPr>
          <w:rFonts w:ascii="Verdana" w:hAnsi="Verdana" w:cstheme="minorHAnsi"/>
          <w:i/>
        </w:rPr>
      </w:pPr>
      <w:r w:rsidRPr="00FD2E2F">
        <w:rPr>
          <w:rFonts w:ascii="Verdana" w:hAnsi="Verdana" w:cstheme="minorHAnsi"/>
          <w:i/>
        </w:rPr>
        <w:t xml:space="preserve">Each Party shall provide, for the benefit of the author of an original work of art, a resale right, to be defined as an inalienable right, which cannot be waived, even in advance, to receive a royalty based on the sale price obtained for any resale of the work, subsequent to the first transfer of the work by the author. </w:t>
      </w:r>
    </w:p>
    <w:p w:rsidR="009E1D13" w:rsidRPr="00FD2E2F" w:rsidP="006A2C7F">
      <w:pPr>
        <w:spacing w:line="276" w:lineRule="auto"/>
        <w:jc w:val="both"/>
        <w:rPr>
          <w:rFonts w:ascii="Verdana" w:hAnsi="Verdana" w:cstheme="minorHAnsi"/>
          <w:i/>
        </w:rPr>
      </w:pPr>
      <w:r w:rsidRPr="00FD2E2F">
        <w:rPr>
          <w:rFonts w:ascii="Verdana" w:hAnsi="Verdana" w:cstheme="minorHAnsi"/>
          <w:i/>
        </w:rPr>
        <w:t xml:space="preserve">Each Party may determine the procedure for collection of the royalty, its amount and the criteria for the works, </w:t>
      </w:r>
      <w:r w:rsidRPr="00FD2E2F">
        <w:rPr>
          <w:rFonts w:ascii="Verdana" w:hAnsi="Verdana" w:cstheme="minorHAnsi"/>
          <w:i/>
        </w:rPr>
        <w:t>resales</w:t>
      </w:r>
      <w:r w:rsidRPr="00FD2E2F">
        <w:rPr>
          <w:rFonts w:ascii="Verdana" w:hAnsi="Verdana" w:cstheme="minorHAnsi"/>
          <w:i/>
        </w:rPr>
        <w:t xml:space="preserve"> and authors eligible to receive the royalty under its law. </w:t>
      </w:r>
    </w:p>
    <w:p w:rsidR="009E1D13" w:rsidRPr="00FD2E2F" w:rsidP="006A2C7F">
      <w:pPr>
        <w:spacing w:line="276" w:lineRule="auto"/>
        <w:jc w:val="both"/>
        <w:rPr>
          <w:rFonts w:ascii="Verdana" w:eastAsia="Calibri" w:hAnsi="Verdana" w:cstheme="minorHAnsi"/>
          <w:b/>
          <w:i/>
          <w:color w:val="000000"/>
        </w:rPr>
      </w:pPr>
      <w:r w:rsidRPr="00FD2E2F">
        <w:rPr>
          <w:rFonts w:ascii="Verdana" w:hAnsi="Verdana" w:cstheme="minorHAnsi"/>
          <w:i/>
        </w:rPr>
        <w:t>The Parties shall enter into consultations to conclude, as soon as reasonably practicable after entry into force of this Agreement, reciprocal arrangements for authors of a Party to receive royalties from eligible resales of works referred to in paragraph 1 in the territory of the other Party. The Parties shall endeavour to facilitate the participation of relevant stakeholders in such consultations, including collective management organisations responsible for the collection and distribution of the resale royalty, and other relevant art sector stakeholders.</w:t>
      </w:r>
    </w:p>
    <w:p w:rsidR="00813BD5" w:rsidRPr="00FD2E2F" w:rsidP="006A2C7F">
      <w:pPr>
        <w:spacing w:line="276" w:lineRule="auto"/>
        <w:jc w:val="both"/>
        <w:rPr>
          <w:rFonts w:ascii="Verdana" w:hAnsi="Verdana" w:cstheme="minorHAnsi"/>
          <w:b/>
          <w:u w:val="single"/>
        </w:rPr>
      </w:pPr>
    </w:p>
    <w:p w:rsidR="009E1D13" w:rsidRPr="00FD2E2F" w:rsidP="006A2C7F">
      <w:pPr>
        <w:spacing w:line="276" w:lineRule="auto"/>
        <w:jc w:val="both"/>
        <w:rPr>
          <w:rFonts w:ascii="Verdana" w:hAnsi="Verdana" w:cstheme="minorHAnsi"/>
          <w:b/>
          <w:u w:val="single"/>
        </w:rPr>
      </w:pPr>
      <w:r w:rsidRPr="00FD2E2F">
        <w:rPr>
          <w:rFonts w:ascii="Verdana" w:hAnsi="Verdana" w:cstheme="minorHAnsi"/>
          <w:b/>
          <w:u w:val="single"/>
        </w:rPr>
        <w:t>Protection of music in broadcast or performed in public places</w:t>
      </w:r>
    </w:p>
    <w:p w:rsidR="009E1D13" w:rsidRPr="00FD2E2F" w:rsidP="006A2C7F">
      <w:pPr>
        <w:spacing w:line="276" w:lineRule="auto"/>
        <w:jc w:val="both"/>
        <w:rPr>
          <w:rFonts w:ascii="Verdana" w:hAnsi="Verdana" w:cstheme="minorHAnsi"/>
        </w:rPr>
      </w:pPr>
      <w:r w:rsidRPr="00FD2E2F">
        <w:rPr>
          <w:rFonts w:ascii="Verdana" w:hAnsi="Verdana" w:cstheme="minorHAnsi"/>
        </w:rPr>
        <w:t xml:space="preserve">In the UK, royalties are paid to rights holders where recorded music is used in broadcasting and in public performance.  By contrast, Australia imposes severe legal limitations on such uses of recorded music. </w:t>
      </w:r>
    </w:p>
    <w:p w:rsidR="009E1D13" w:rsidRPr="00FD2E2F" w:rsidP="006A2C7F">
      <w:pPr>
        <w:spacing w:line="276" w:lineRule="auto"/>
        <w:jc w:val="both"/>
        <w:rPr>
          <w:rFonts w:ascii="Verdana" w:hAnsi="Verdana" w:cstheme="minorHAnsi"/>
        </w:rPr>
      </w:pPr>
      <w:r w:rsidRPr="00FD2E2F">
        <w:rPr>
          <w:rFonts w:ascii="Verdana" w:hAnsi="Verdana" w:cstheme="minorHAnsi"/>
        </w:rPr>
        <w:t>The UK Government should seek removal of the caps on the amount of broadcast royalties payable for the use of recordings (s.152 Copyright Act). This law indirectly limits radio broadcast tariffs to 1% of broadcasters’ gross revenue because a copyright tribunal cannot set higher tariffs than 1%, meaning it cannot set a market rate.</w:t>
      </w:r>
    </w:p>
    <w:p w:rsidR="009E1D13" w:rsidRPr="00FD2E2F" w:rsidP="006A2C7F">
      <w:pPr>
        <w:spacing w:line="276" w:lineRule="auto"/>
        <w:jc w:val="both"/>
        <w:rPr>
          <w:rFonts w:ascii="Verdana" w:hAnsi="Verdana" w:cstheme="minorHAnsi"/>
        </w:rPr>
      </w:pPr>
      <w:r w:rsidRPr="00FD2E2F">
        <w:rPr>
          <w:rFonts w:ascii="Verdana" w:hAnsi="Verdana" w:cstheme="minorHAnsi"/>
        </w:rPr>
        <w:t xml:space="preserve">In addition, Australian copyright law also provides for a monetary cap (0.5 AUS$ per person) on the amount that ABC, the public broadcaster, pays for the use of sound recordings.  </w:t>
      </w:r>
    </w:p>
    <w:p w:rsidR="009E1D13" w:rsidRPr="00FD2E2F" w:rsidP="006A2C7F">
      <w:pPr>
        <w:spacing w:line="276" w:lineRule="auto"/>
        <w:jc w:val="both"/>
        <w:rPr>
          <w:rFonts w:ascii="Verdana" w:hAnsi="Verdana" w:cstheme="minorHAnsi"/>
        </w:rPr>
      </w:pPr>
      <w:r w:rsidRPr="00FD2E2F">
        <w:rPr>
          <w:rFonts w:ascii="Verdana" w:hAnsi="Verdana" w:cstheme="minorHAnsi"/>
        </w:rPr>
        <w:t xml:space="preserve">Both of these caps are outdated, lack legal and economic justification, and amount to a direct cross subsidy to the Australian broadcasters from the music industry. </w:t>
      </w:r>
    </w:p>
    <w:p w:rsidR="009E1D13" w:rsidRPr="00FD2E2F" w:rsidP="006A2C7F">
      <w:pPr>
        <w:spacing w:line="276" w:lineRule="auto"/>
        <w:jc w:val="both"/>
        <w:rPr>
          <w:rFonts w:ascii="Verdana" w:hAnsi="Verdana" w:cstheme="minorHAnsi"/>
          <w:b/>
        </w:rPr>
      </w:pPr>
      <w:r w:rsidRPr="00FD2E2F">
        <w:rPr>
          <w:rFonts w:ascii="Verdana" w:hAnsi="Verdana" w:cstheme="minorHAnsi"/>
          <w:b/>
        </w:rPr>
        <w:t xml:space="preserve">The UK should seek to ensure that Australia removes the severe legal limitations on the scope of protection of recorded music when it is used in broadcasting and in public performance.  </w:t>
      </w:r>
    </w:p>
    <w:p w:rsidR="009E1D13" w:rsidRPr="00FD2E2F" w:rsidP="006A2C7F">
      <w:pPr>
        <w:spacing w:line="276" w:lineRule="auto"/>
        <w:jc w:val="both"/>
        <w:rPr>
          <w:rFonts w:ascii="Verdana" w:hAnsi="Verdana" w:cstheme="minorHAnsi"/>
        </w:rPr>
      </w:pPr>
      <w:r w:rsidRPr="00FD2E2F">
        <w:rPr>
          <w:rFonts w:ascii="Verdana" w:hAnsi="Verdana" w:cstheme="minorHAnsi"/>
          <w:b/>
          <w:bCs/>
        </w:rPr>
        <w:t>Similarly,</w:t>
      </w:r>
      <w:r w:rsidRPr="00FD2E2F">
        <w:rPr>
          <w:rFonts w:ascii="Verdana" w:hAnsi="Verdana" w:cstheme="minorHAnsi"/>
        </w:rPr>
        <w:t xml:space="preserve"> </w:t>
      </w:r>
      <w:r w:rsidRPr="00FD2E2F">
        <w:rPr>
          <w:rFonts w:ascii="Verdana" w:hAnsi="Verdana" w:cstheme="minorHAnsi"/>
          <w:b/>
        </w:rPr>
        <w:t xml:space="preserve">any trade deal should ensure that Australian copyright law is reformed to offer full protection to recorded music used in placed open to the public. </w:t>
      </w:r>
      <w:r w:rsidRPr="00FD2E2F">
        <w:rPr>
          <w:rFonts w:ascii="Verdana" w:hAnsi="Verdana" w:cstheme="minorHAnsi"/>
        </w:rPr>
        <w:t xml:space="preserve"> So called indirect uses of recordings in public performance, such as playing music from the radio or TV, are not currently protected in Australia, whereas in the UK and in most other countries such protection is available. This fact weighs significantly upon the public performance revenues of the recording industry, restricting their ability to invest in new music. </w:t>
      </w:r>
    </w:p>
    <w:p w:rsidR="002506E5" w:rsidRPr="00FD2E2F" w:rsidP="006A2C7F">
      <w:pPr>
        <w:spacing w:line="276" w:lineRule="auto"/>
        <w:jc w:val="both"/>
        <w:rPr>
          <w:rFonts w:ascii="Verdana" w:hAnsi="Verdana" w:cstheme="minorHAnsi"/>
          <w:i/>
        </w:rPr>
      </w:pPr>
      <w:r w:rsidRPr="00FD2E2F">
        <w:rPr>
          <w:rFonts w:ascii="Verdana" w:hAnsi="Verdana" w:cstheme="minorHAnsi"/>
          <w:i/>
        </w:rPr>
        <w:t xml:space="preserve">Article 15.60 Broadcasting and Communication to the Public of Phonograms Published for Commercial Purposes </w:t>
      </w:r>
    </w:p>
    <w:p w:rsidR="009E1D13" w:rsidRPr="00FD2E2F" w:rsidP="006A2C7F">
      <w:pPr>
        <w:spacing w:line="276" w:lineRule="auto"/>
        <w:jc w:val="both"/>
        <w:rPr>
          <w:rFonts w:ascii="Verdana" w:hAnsi="Verdana" w:cstheme="minorHAnsi"/>
          <w:i/>
        </w:rPr>
      </w:pPr>
      <w:r w:rsidRPr="00FD2E2F">
        <w:rPr>
          <w:rFonts w:ascii="Verdana" w:hAnsi="Verdana" w:cstheme="minorHAnsi"/>
          <w:i/>
        </w:rPr>
        <w:t>The Parties agree to discuss measures to ensure adequate remuneration for performers and producers of phonograms when phonograms published for commercial purposes are used for broadcasting or for any communication to the public.</w:t>
      </w:r>
    </w:p>
    <w:p w:rsidR="009E1D13" w:rsidRPr="00FD2E2F" w:rsidP="006A2C7F">
      <w:pPr>
        <w:spacing w:line="276" w:lineRule="auto"/>
        <w:jc w:val="both"/>
        <w:rPr>
          <w:rFonts w:ascii="Verdana" w:hAnsi="Verdana" w:cstheme="minorHAnsi"/>
          <w:b/>
          <w:u w:val="single"/>
        </w:rPr>
      </w:pPr>
      <w:r w:rsidRPr="00FD2E2F">
        <w:rPr>
          <w:rFonts w:ascii="Verdana" w:hAnsi="Verdana" w:cstheme="minorHAnsi"/>
          <w:b/>
          <w:u w:val="single"/>
        </w:rPr>
        <w:t>Copyright Exceptions and Limitations</w:t>
      </w:r>
    </w:p>
    <w:p w:rsidR="009E1D13" w:rsidRPr="00FD2E2F" w:rsidP="006A2C7F">
      <w:pPr>
        <w:spacing w:after="0" w:line="276" w:lineRule="auto"/>
        <w:jc w:val="both"/>
        <w:rPr>
          <w:rFonts w:ascii="Verdana" w:hAnsi="Verdana" w:cstheme="minorHAnsi"/>
        </w:rPr>
      </w:pPr>
      <w:r w:rsidRPr="00FD2E2F">
        <w:rPr>
          <w:rFonts w:ascii="Verdana" w:hAnsi="Verdana" w:cstheme="minorHAnsi"/>
        </w:rPr>
        <w:t>Any future UK FTA must include balanced copyright exceptions and limitations and uphold standards, such as the Berne Three Step Test (which will help determine the balance by defining the scope of exceptions and limitations), against moves towards “watered down” or overly vague descriptions that require litigation to interpret and detrimental costs to businesses.</w:t>
      </w:r>
    </w:p>
    <w:p w:rsidR="009E1D13" w:rsidRPr="00FD2E2F" w:rsidP="006A2C7F">
      <w:pPr>
        <w:spacing w:after="0" w:line="276" w:lineRule="auto"/>
        <w:jc w:val="both"/>
        <w:rPr>
          <w:rFonts w:ascii="Verdana" w:hAnsi="Verdana" w:cstheme="minorHAnsi"/>
        </w:rPr>
      </w:pPr>
    </w:p>
    <w:p w:rsidR="009E1D13" w:rsidRPr="00FD2E2F" w:rsidP="006A2C7F">
      <w:pPr>
        <w:spacing w:after="0" w:line="276" w:lineRule="auto"/>
        <w:jc w:val="both"/>
        <w:rPr>
          <w:rFonts w:ascii="Verdana" w:hAnsi="Verdana" w:cstheme="minorHAnsi"/>
        </w:rPr>
      </w:pPr>
      <w:r w:rsidRPr="00FD2E2F">
        <w:rPr>
          <w:rFonts w:ascii="Verdana" w:hAnsi="Verdana" w:cstheme="minorHAnsi"/>
        </w:rPr>
        <w:t>Exceptions play an important role in the UK’s gold standard copyright framework. The UK system appropriately balances the rights of the author/creator/producer/owner, whilst facilitating society’s use or access to copyright works in clearly defined circumstances for clearly defined purposes.</w:t>
      </w:r>
    </w:p>
    <w:p w:rsidR="009E1D13" w:rsidRPr="00FD2E2F" w:rsidP="006A2C7F">
      <w:pPr>
        <w:spacing w:after="0" w:line="276" w:lineRule="auto"/>
        <w:jc w:val="both"/>
        <w:rPr>
          <w:rFonts w:ascii="Verdana" w:hAnsi="Verdana" w:cstheme="minorHAnsi"/>
        </w:rPr>
      </w:pPr>
    </w:p>
    <w:p w:rsidR="009E1D13" w:rsidRPr="00FD2E2F" w:rsidP="006A2C7F">
      <w:pPr>
        <w:spacing w:after="0" w:line="276" w:lineRule="auto"/>
        <w:jc w:val="both"/>
        <w:rPr>
          <w:rFonts w:ascii="Verdana" w:hAnsi="Verdana" w:cstheme="minorHAnsi"/>
        </w:rPr>
      </w:pPr>
      <w:r w:rsidRPr="00FD2E2F">
        <w:rPr>
          <w:rFonts w:ascii="Verdana" w:hAnsi="Verdana" w:cstheme="minorHAnsi"/>
        </w:rPr>
        <w:t xml:space="preserve">Recently, there have been increasing calls across the world for wider and broader exceptions. Those asking for such changes believe they will widen access to knowledge and </w:t>
      </w:r>
      <w:r w:rsidRPr="00FD2E2F">
        <w:rPr>
          <w:rFonts w:ascii="Verdana" w:hAnsi="Verdana" w:cstheme="minorHAnsi"/>
        </w:rPr>
        <w:t>education,</w:t>
      </w:r>
      <w:r w:rsidRPr="00FD2E2F">
        <w:rPr>
          <w:rFonts w:ascii="Verdana" w:hAnsi="Verdana" w:cstheme="minorHAnsi"/>
        </w:rPr>
        <w:t xml:space="preserve"> however the opposite will happen: these exceptions will reduce the incentive for, and ability of, content creators to produce these works. </w:t>
      </w:r>
    </w:p>
    <w:p w:rsidR="009E1D13" w:rsidRPr="00FD2E2F" w:rsidP="006A2C7F">
      <w:pPr>
        <w:spacing w:after="0" w:line="276" w:lineRule="auto"/>
        <w:jc w:val="both"/>
        <w:rPr>
          <w:rFonts w:ascii="Verdana" w:hAnsi="Verdana" w:cstheme="minorHAnsi"/>
        </w:rPr>
      </w:pPr>
    </w:p>
    <w:p w:rsidR="009E1D13" w:rsidRPr="00FD2E2F" w:rsidP="006A2C7F">
      <w:pPr>
        <w:spacing w:after="0" w:line="276" w:lineRule="auto"/>
        <w:jc w:val="both"/>
        <w:rPr>
          <w:rFonts w:ascii="Verdana" w:hAnsi="Verdana" w:cstheme="minorHAnsi"/>
        </w:rPr>
      </w:pPr>
      <w:r w:rsidRPr="00FD2E2F">
        <w:rPr>
          <w:rFonts w:ascii="Verdana" w:hAnsi="Verdana" w:cstheme="minorHAnsi"/>
        </w:rPr>
        <w:t xml:space="preserve">The UK has a stable set of exceptions that are decided upon through UK legislation following consideration by parliament. Any attempt by other trading nations to amend or broaden these domestic exceptions through free trade agreements should be </w:t>
      </w:r>
      <w:r w:rsidRPr="00FD2E2F" w:rsidR="00813BD5">
        <w:rPr>
          <w:rFonts w:ascii="Verdana" w:hAnsi="Verdana" w:cstheme="minorHAnsi"/>
        </w:rPr>
        <w:t>strongly resisted.</w:t>
      </w:r>
    </w:p>
    <w:p w:rsidR="009E1D13" w:rsidRPr="00FD2E2F" w:rsidP="006A2C7F">
      <w:pPr>
        <w:spacing w:after="0" w:line="276" w:lineRule="auto"/>
        <w:jc w:val="both"/>
        <w:rPr>
          <w:rFonts w:ascii="Verdana" w:hAnsi="Verdana" w:cstheme="minorHAnsi"/>
        </w:rPr>
      </w:pPr>
    </w:p>
    <w:p w:rsidR="009E1D13" w:rsidRPr="00FD2E2F" w:rsidP="006A2C7F">
      <w:pPr>
        <w:spacing w:line="276" w:lineRule="auto"/>
        <w:jc w:val="both"/>
        <w:rPr>
          <w:rFonts w:ascii="Verdana" w:hAnsi="Verdana" w:cstheme="minorHAnsi"/>
        </w:rPr>
      </w:pPr>
      <w:r w:rsidRPr="00FD2E2F">
        <w:rPr>
          <w:rFonts w:ascii="Verdana" w:hAnsi="Verdana" w:cstheme="minorHAnsi"/>
        </w:rPr>
        <w:t>The Australian Government has previously considered changing its established fair-dealing approach to a US style “fair use” approach, specifically in the 2016 Productivity Commission. This would be an unwelcome approach. Changing the existing Australian law to a US style, open-ended</w:t>
      </w:r>
      <w:r w:rsidRPr="00FD2E2F" w:rsidR="00813BD5">
        <w:rPr>
          <w:rFonts w:ascii="Verdana" w:hAnsi="Verdana" w:cstheme="minorHAnsi"/>
        </w:rPr>
        <w:t>,</w:t>
      </w:r>
      <w:r w:rsidRPr="00FD2E2F">
        <w:rPr>
          <w:rFonts w:ascii="Verdana" w:hAnsi="Verdana" w:cstheme="minorHAnsi"/>
        </w:rPr>
        <w:t xml:space="preserve"> fair use approach would not only weaken the protection of all rights holders including from Australia and the UK, </w:t>
      </w:r>
      <w:r w:rsidRPr="00FD2E2F">
        <w:rPr>
          <w:rFonts w:ascii="Verdana" w:hAnsi="Verdana" w:cstheme="minorHAnsi"/>
        </w:rPr>
        <w:t>it</w:t>
      </w:r>
      <w:r w:rsidRPr="00FD2E2F">
        <w:rPr>
          <w:rFonts w:ascii="Verdana" w:hAnsi="Verdana" w:cstheme="minorHAnsi"/>
        </w:rPr>
        <w:t xml:space="preserve"> would also lead to increased legal uncertainty for rights holders and users alike.  </w:t>
      </w:r>
    </w:p>
    <w:p w:rsidR="009E1D13" w:rsidRPr="00FD2E2F" w:rsidP="006A2C7F">
      <w:pPr>
        <w:spacing w:line="276" w:lineRule="auto"/>
        <w:jc w:val="both"/>
        <w:rPr>
          <w:rFonts w:ascii="Verdana" w:hAnsi="Verdana" w:cstheme="minorHAnsi"/>
          <w:b/>
        </w:rPr>
      </w:pPr>
      <w:r w:rsidRPr="00FD2E2F">
        <w:rPr>
          <w:rFonts w:ascii="Verdana" w:hAnsi="Verdana" w:cstheme="minorHAnsi"/>
          <w:b/>
        </w:rPr>
        <w:t>We would therefore recommend that the UK Government explicitly includes reference to the strengths of the UK’s exception regime in any Free Trade Agreement between the UK and Australia and rejects any shift to a fair use regime.</w:t>
      </w:r>
    </w:p>
    <w:p w:rsidR="002506E5" w:rsidRPr="00FD2E2F" w:rsidP="006A2C7F">
      <w:pPr>
        <w:spacing w:line="276" w:lineRule="auto"/>
        <w:jc w:val="both"/>
        <w:rPr>
          <w:rFonts w:ascii="Verdana" w:hAnsi="Verdana" w:cstheme="minorHAnsi"/>
          <w:i/>
        </w:rPr>
      </w:pPr>
      <w:r w:rsidRPr="00FD2E2F">
        <w:rPr>
          <w:rFonts w:ascii="Verdana" w:hAnsi="Verdana" w:cstheme="minorHAnsi"/>
          <w:i/>
        </w:rPr>
        <w:t xml:space="preserve">Article 15.62 Limitations and Exceptions </w:t>
      </w:r>
    </w:p>
    <w:p w:rsidR="002506E5" w:rsidRPr="00FD2E2F" w:rsidP="006A2C7F">
      <w:pPr>
        <w:spacing w:line="276" w:lineRule="auto"/>
        <w:jc w:val="both"/>
        <w:rPr>
          <w:rFonts w:ascii="Verdana" w:hAnsi="Verdana" w:cstheme="minorHAnsi"/>
          <w:i/>
        </w:rPr>
      </w:pPr>
      <w:r w:rsidRPr="00FD2E2F">
        <w:rPr>
          <w:rFonts w:ascii="Verdana" w:hAnsi="Verdana" w:cstheme="minorHAnsi"/>
          <w:i/>
        </w:rPr>
        <w:t xml:space="preserve">With respect to works, performances, and phonograms, each Party shall confine limitations or exceptions to exclusive rights to certain special cases that do not conflict with a normal exploitation of the work, </w:t>
      </w:r>
      <w:r w:rsidRPr="00FD2E2F">
        <w:rPr>
          <w:rFonts w:ascii="Verdana" w:hAnsi="Verdana" w:cstheme="minorHAnsi"/>
          <w:i/>
        </w:rPr>
        <w:t>performance</w:t>
      </w:r>
      <w:r w:rsidRPr="00FD2E2F">
        <w:rPr>
          <w:rFonts w:ascii="Verdana" w:hAnsi="Verdana" w:cstheme="minorHAnsi"/>
          <w:i/>
        </w:rPr>
        <w:t xml:space="preserve"> or phonogram, and do not unreasonably prejudice the legitimate interests of the right holder. </w:t>
      </w:r>
    </w:p>
    <w:p w:rsidR="002506E5" w:rsidRPr="00FD2E2F" w:rsidP="006A2C7F">
      <w:pPr>
        <w:spacing w:line="276" w:lineRule="auto"/>
        <w:jc w:val="both"/>
        <w:rPr>
          <w:rFonts w:ascii="Verdana" w:hAnsi="Verdana" w:cstheme="minorHAnsi"/>
          <w:i/>
        </w:rPr>
      </w:pPr>
      <w:r w:rsidRPr="00FD2E2F">
        <w:rPr>
          <w:rFonts w:ascii="Verdana" w:hAnsi="Verdana" w:cstheme="minorHAnsi"/>
          <w:i/>
        </w:rPr>
        <w:t xml:space="preserve">This Article is without prejudice to the limitations and exceptions to any rights permitted by the TRIPS Agreement, the Berne Convention, the Rome Convention, the WCT, or the WPPT. </w:t>
      </w:r>
    </w:p>
    <w:p w:rsidR="002506E5" w:rsidRPr="00FD2E2F" w:rsidP="006A2C7F">
      <w:pPr>
        <w:spacing w:line="276" w:lineRule="auto"/>
        <w:jc w:val="both"/>
        <w:rPr>
          <w:rFonts w:ascii="Verdana" w:hAnsi="Verdana" w:cstheme="minorHAnsi"/>
          <w:i/>
        </w:rPr>
      </w:pPr>
      <w:r w:rsidRPr="00FD2E2F">
        <w:rPr>
          <w:rFonts w:ascii="Verdana" w:hAnsi="Verdana" w:cstheme="minorHAnsi"/>
          <w:i/>
        </w:rPr>
        <w:t xml:space="preserve">Article 15.63 Balance in Copyright and Related Rights Systems </w:t>
      </w:r>
    </w:p>
    <w:p w:rsidR="002506E5" w:rsidRPr="00FD2E2F" w:rsidP="006A2C7F">
      <w:pPr>
        <w:spacing w:line="276" w:lineRule="auto"/>
        <w:jc w:val="both"/>
        <w:rPr>
          <w:rFonts w:ascii="Verdana" w:hAnsi="Verdana" w:cstheme="minorHAnsi"/>
          <w:b/>
          <w:i/>
        </w:rPr>
      </w:pPr>
      <w:r w:rsidRPr="00FD2E2F">
        <w:rPr>
          <w:rFonts w:ascii="Verdana" w:hAnsi="Verdana" w:cstheme="minorHAnsi"/>
          <w:i/>
        </w:rPr>
        <w:t>Each Party shall endeavour to achieve an appropriate balance in its copyright and related rights system, among other things by means of limitations or exceptions that are consistent with Article 15.62 (Limitations and Exceptions), including those for the digital environment, giving due consideration to legitimate purposes such as, but not limited to: criticism, comment, news reporting, teaching, scholarship, research, and other similar purposes, and facilitating access to published works for people with disability.</w:t>
      </w:r>
    </w:p>
    <w:p w:rsidR="009E1D13" w:rsidRPr="00FD2E2F" w:rsidP="006A2C7F">
      <w:pPr>
        <w:spacing w:after="0" w:line="276" w:lineRule="auto"/>
        <w:jc w:val="both"/>
        <w:rPr>
          <w:rFonts w:ascii="Verdana" w:hAnsi="Verdana" w:cstheme="minorHAnsi"/>
          <w:b/>
          <w:color w:val="000000"/>
          <w:u w:val="single"/>
        </w:rPr>
      </w:pPr>
      <w:r w:rsidRPr="00FD2E2F">
        <w:rPr>
          <w:rFonts w:ascii="Verdana" w:hAnsi="Verdana" w:cstheme="minorHAnsi"/>
          <w:b/>
          <w:i/>
          <w:color w:val="000000"/>
          <w:u w:val="single"/>
        </w:rPr>
        <w:br/>
      </w:r>
      <w:r w:rsidRPr="00FD2E2F">
        <w:rPr>
          <w:rFonts w:ascii="Verdana" w:hAnsi="Verdana" w:cstheme="minorHAnsi"/>
          <w:b/>
          <w:color w:val="000000"/>
          <w:u w:val="single"/>
        </w:rPr>
        <w:t>Responsibility for online harms</w:t>
      </w:r>
    </w:p>
    <w:p w:rsidR="009E1D13" w:rsidRPr="00FD2E2F" w:rsidP="006A2C7F">
      <w:pPr>
        <w:spacing w:after="0" w:line="276" w:lineRule="auto"/>
        <w:jc w:val="both"/>
        <w:rPr>
          <w:rFonts w:ascii="Verdana" w:hAnsi="Verdana" w:cstheme="minorHAnsi"/>
          <w:b/>
          <w:color w:val="000000"/>
          <w:highlight w:val="yellow"/>
          <w:u w:val="single"/>
        </w:rPr>
      </w:pPr>
    </w:p>
    <w:p w:rsidR="009E1D13" w:rsidRPr="00FD2E2F" w:rsidP="006A2C7F">
      <w:pPr>
        <w:spacing w:after="0" w:line="276" w:lineRule="auto"/>
        <w:jc w:val="both"/>
        <w:rPr>
          <w:rFonts w:ascii="Verdana" w:hAnsi="Verdana" w:cstheme="minorHAnsi"/>
          <w:i/>
        </w:rPr>
      </w:pPr>
      <w:r w:rsidRPr="00FD2E2F">
        <w:rPr>
          <w:rFonts w:ascii="Verdana" w:hAnsi="Verdana" w:cstheme="minorHAnsi"/>
        </w:rPr>
        <w:t>The UK G</w:t>
      </w:r>
      <w:r w:rsidRPr="00FD2E2F">
        <w:rPr>
          <w:rFonts w:ascii="Verdana" w:hAnsi="Verdana" w:cstheme="minorHAnsi"/>
        </w:rPr>
        <w:t xml:space="preserve">overnment should, as a matter of priority, oppose any obligations under an FTA that would broaden liability shields for online intermediaries or digital platforms. In the digital age, it is imperative that rights holders are able to enforce their exclusive rights and protect against unlawful access to their content on online platforms or marketplaces, </w:t>
      </w:r>
      <w:r w:rsidRPr="00FD2E2F">
        <w:rPr>
          <w:rFonts w:ascii="Verdana" w:hAnsi="Verdana" w:cstheme="minorHAnsi"/>
          <w:color w:val="000000"/>
          <w:bdr w:val="nil"/>
          <w:shd w:val="clear" w:color="auto" w:fill="FFFFFF"/>
        </w:rPr>
        <w:t>including by ensuring there are incentives for cooperation by intermediaries. Where relevant, right</w:t>
      </w:r>
      <w:r w:rsidRPr="00FD2E2F">
        <w:rPr>
          <w:rFonts w:ascii="Verdana" w:hAnsi="Verdana" w:cstheme="minorHAnsi"/>
          <w:color w:val="000000"/>
          <w:bdr w:val="nil"/>
          <w:shd w:val="clear" w:color="auto" w:fill="FFFFFF"/>
        </w:rPr>
        <w:t>s</w:t>
      </w:r>
      <w:r w:rsidRPr="00FD2E2F">
        <w:rPr>
          <w:rFonts w:ascii="Verdana" w:hAnsi="Verdana" w:cstheme="minorHAnsi"/>
          <w:color w:val="000000"/>
          <w:bdr w:val="nil"/>
          <w:shd w:val="clear" w:color="auto" w:fill="FFFFFF"/>
        </w:rPr>
        <w:t xml:space="preserve"> holders may seek to employ licensing solutions, at their sole discretion.</w:t>
      </w:r>
      <w:r w:rsidRPr="00FD2E2F">
        <w:rPr>
          <w:rFonts w:ascii="Verdana" w:hAnsi="Verdana" w:cstheme="minorHAnsi"/>
          <w:i/>
        </w:rPr>
        <w:t xml:space="preserve"> </w:t>
      </w:r>
    </w:p>
    <w:p w:rsidR="009E1D13" w:rsidRPr="00FD2E2F" w:rsidP="006A2C7F">
      <w:pPr>
        <w:spacing w:after="0" w:line="276" w:lineRule="auto"/>
        <w:jc w:val="both"/>
        <w:rPr>
          <w:rFonts w:ascii="Verdana" w:hAnsi="Verdana" w:cstheme="minorHAnsi"/>
        </w:rPr>
      </w:pPr>
    </w:p>
    <w:p w:rsidR="009E1D13" w:rsidRPr="00FD2E2F" w:rsidP="006A2C7F">
      <w:pPr>
        <w:spacing w:after="0" w:line="276" w:lineRule="auto"/>
        <w:jc w:val="both"/>
        <w:rPr>
          <w:rFonts w:ascii="Verdana" w:hAnsi="Verdana" w:cstheme="minorHAnsi"/>
        </w:rPr>
      </w:pPr>
      <w:r w:rsidRPr="00FD2E2F">
        <w:rPr>
          <w:rFonts w:ascii="Verdana" w:hAnsi="Verdana" w:cstheme="minorHAnsi"/>
        </w:rPr>
        <w:t xml:space="preserve">It should be remembered that these so-called “safe harbour” provisions were first introduced over 20 years ago to protect service providers that played a passive role in providing the infrastructure of the internet. In recent years, they have been relied upon by entities that bear little resemblance to those basic infrastructure providers, and in fact actively curate, promote, and monetise content. The UK should not accept any expansion of these provisions through FTA obligations, bearing in mind the continuing exponential growth of technology and digital platforms’ power and impact on the market for content. There is no consistent global practice of including safe harbour provisions in FTAs, and most do not include them. If they are to be addressed, proposed language should be based on broad concepts rather than details of any specific law. </w:t>
      </w:r>
    </w:p>
    <w:p w:rsidR="009E1D13" w:rsidRPr="00FD2E2F" w:rsidP="006A2C7F">
      <w:pPr>
        <w:spacing w:after="0" w:line="276" w:lineRule="auto"/>
        <w:jc w:val="both"/>
        <w:rPr>
          <w:rFonts w:ascii="Verdana" w:hAnsi="Verdana" w:cstheme="minorHAnsi"/>
        </w:rPr>
      </w:pPr>
    </w:p>
    <w:p w:rsidR="009E1D13" w:rsidRPr="00FD2E2F" w:rsidP="006A2C7F">
      <w:pPr>
        <w:spacing w:line="276" w:lineRule="auto"/>
        <w:jc w:val="both"/>
        <w:rPr>
          <w:rFonts w:ascii="Verdana" w:hAnsi="Verdana" w:cstheme="minorHAnsi"/>
          <w:b/>
          <w:u w:val="single"/>
        </w:rPr>
      </w:pPr>
      <w:r w:rsidRPr="00FD2E2F">
        <w:rPr>
          <w:rFonts w:ascii="Verdana" w:hAnsi="Verdana" w:cstheme="minorHAnsi"/>
          <w:b/>
          <w:u w:val="single"/>
        </w:rPr>
        <w:t>Sovereignty over the UK’s exhaustion regime</w:t>
      </w:r>
    </w:p>
    <w:p w:rsidR="009E1D13" w:rsidRPr="00FD2E2F" w:rsidP="006A2C7F">
      <w:pPr>
        <w:spacing w:line="276" w:lineRule="auto"/>
        <w:jc w:val="both"/>
        <w:rPr>
          <w:rFonts w:ascii="Verdana" w:hAnsi="Verdana" w:cstheme="minorHAnsi"/>
          <w:color w:val="000000" w:themeColor="text1"/>
        </w:rPr>
      </w:pPr>
      <w:r w:rsidRPr="00FD2E2F">
        <w:rPr>
          <w:rFonts w:ascii="Verdana" w:hAnsi="Verdana" w:cstheme="minorHAnsi"/>
          <w:color w:val="000000" w:themeColor="text1"/>
        </w:rPr>
        <w:t xml:space="preserve">Exhaustion refers to the limits on the rights to control the distribution and resale of a physical product after it has been put on the market by the rights holder in a specific territory. Once a product has been marketed, depending on the territory, the IP rights (or certain aspects of them) are said to be exhausted, and the good may be re-exported. Exhaustion regimes affect the extent to which product specifications may be tailored to suit consumers in specific territories, the ability to deliver effective after-sales services and the ability to invest in R&amp;D, </w:t>
      </w:r>
      <w:r w:rsidRPr="00FD2E2F">
        <w:rPr>
          <w:rFonts w:ascii="Verdana" w:hAnsi="Verdana" w:cstheme="minorHAnsi"/>
          <w:color w:val="000000" w:themeColor="text1"/>
        </w:rPr>
        <w:t>choice</w:t>
      </w:r>
      <w:r w:rsidRPr="00FD2E2F">
        <w:rPr>
          <w:rFonts w:ascii="Verdana" w:hAnsi="Verdana" w:cstheme="minorHAnsi"/>
          <w:color w:val="000000" w:themeColor="text1"/>
        </w:rPr>
        <w:t xml:space="preserve"> and reputation. </w:t>
      </w:r>
    </w:p>
    <w:p w:rsidR="009E1D13" w:rsidRPr="00FD2E2F" w:rsidP="006A2C7F">
      <w:pPr>
        <w:spacing w:line="276" w:lineRule="auto"/>
        <w:jc w:val="both"/>
        <w:rPr>
          <w:rFonts w:ascii="Verdana" w:hAnsi="Verdana" w:cstheme="minorHAnsi"/>
          <w:b/>
        </w:rPr>
      </w:pPr>
      <w:r w:rsidRPr="00FD2E2F">
        <w:rPr>
          <w:rFonts w:ascii="Verdana" w:hAnsi="Verdana" w:cstheme="minorHAnsi"/>
          <w:b/>
          <w:color w:val="000000" w:themeColor="text1"/>
        </w:rPr>
        <w:t>The UK should av</w:t>
      </w:r>
      <w:r w:rsidRPr="00FD2E2F" w:rsidR="00813BD5">
        <w:rPr>
          <w:rFonts w:ascii="Verdana" w:hAnsi="Verdana" w:cstheme="minorHAnsi"/>
          <w:b/>
          <w:color w:val="000000" w:themeColor="text1"/>
        </w:rPr>
        <w:t>oid any shift to an i</w:t>
      </w:r>
      <w:r w:rsidRPr="00FD2E2F">
        <w:rPr>
          <w:rFonts w:ascii="Verdana" w:hAnsi="Verdana" w:cstheme="minorHAnsi"/>
          <w:b/>
          <w:color w:val="000000" w:themeColor="text1"/>
        </w:rPr>
        <w:t>nternational exhaustion regime and the UK’s choice of exhaustion regime needs to continue to be a sovereign issue for the UK.</w:t>
      </w:r>
    </w:p>
    <w:p w:rsidR="00EF3F97" w:rsidRPr="00FD2E2F" w:rsidP="006A2C7F">
      <w:pPr>
        <w:spacing w:line="276" w:lineRule="auto"/>
        <w:jc w:val="both"/>
        <w:rPr>
          <w:rFonts w:ascii="Verdana" w:hAnsi="Verdana" w:cstheme="minorHAnsi"/>
          <w:i/>
        </w:rPr>
      </w:pPr>
      <w:r w:rsidRPr="00FD2E2F">
        <w:rPr>
          <w:rFonts w:ascii="Verdana" w:hAnsi="Verdana" w:cstheme="minorHAnsi"/>
          <w:i/>
        </w:rPr>
        <w:t>Article 15.11 Exhaustion of Intellectual Property Rights Nothing in this Agreement prevents a Party from determining whether or under what conditions the exhaustion of intellectual property rights applies under its legal system.</w:t>
      </w:r>
    </w:p>
    <w:p w:rsidR="0016496D" w:rsidRPr="00FD2E2F" w:rsidP="006A2C7F">
      <w:pPr>
        <w:spacing w:line="276" w:lineRule="auto"/>
        <w:jc w:val="both"/>
        <w:rPr>
          <w:rFonts w:ascii="Verdana" w:hAnsi="Verdana" w:cstheme="minorHAnsi"/>
        </w:rPr>
      </w:pPr>
      <w:r w:rsidRPr="00FD2E2F">
        <w:rPr>
          <w:rFonts w:ascii="Verdana" w:hAnsi="Verdana" w:cstheme="minorHAnsi"/>
        </w:rPr>
        <w:t>For further information please contact:</w:t>
      </w:r>
    </w:p>
    <w:p w:rsidR="0016496D" w:rsidRPr="00FD2E2F" w:rsidP="006A2C7F">
      <w:pPr>
        <w:spacing w:after="0" w:line="276" w:lineRule="auto"/>
        <w:jc w:val="both"/>
        <w:rPr>
          <w:rFonts w:ascii="Verdana" w:hAnsi="Verdana" w:cstheme="minorHAnsi"/>
        </w:rPr>
      </w:pPr>
      <w:r w:rsidRPr="00FD2E2F">
        <w:rPr>
          <w:rFonts w:ascii="Verdana" w:hAnsi="Verdana" w:cstheme="minorHAnsi"/>
        </w:rPr>
        <w:t>Dan Guthrie</w:t>
      </w:r>
    </w:p>
    <w:p w:rsidR="0016496D" w:rsidRPr="00FD2E2F" w:rsidP="006A2C7F">
      <w:pPr>
        <w:spacing w:after="0" w:line="276" w:lineRule="auto"/>
        <w:jc w:val="both"/>
        <w:rPr>
          <w:rFonts w:ascii="Verdana" w:hAnsi="Verdana" w:cstheme="minorHAnsi"/>
        </w:rPr>
      </w:pPr>
      <w:r w:rsidRPr="00FD2E2F">
        <w:rPr>
          <w:rFonts w:ascii="Verdana" w:hAnsi="Verdana" w:cstheme="minorHAnsi"/>
        </w:rPr>
        <w:t>Director General</w:t>
      </w:r>
    </w:p>
    <w:p w:rsidR="0016496D" w:rsidRPr="00FD2E2F" w:rsidP="006A2C7F">
      <w:pPr>
        <w:spacing w:after="0" w:line="276" w:lineRule="auto"/>
        <w:jc w:val="both"/>
        <w:rPr>
          <w:rFonts w:ascii="Verdana" w:hAnsi="Verdana" w:cstheme="minorHAnsi"/>
        </w:rPr>
      </w:pPr>
      <w:r w:rsidRPr="00FD2E2F">
        <w:rPr>
          <w:rFonts w:ascii="Verdana" w:hAnsi="Verdana" w:cstheme="minorHAnsi"/>
        </w:rPr>
        <w:t>Alliance for Intellectual Property</w:t>
      </w:r>
    </w:p>
    <w:p w:rsidR="0016496D" w:rsidRPr="00FD2E2F" w:rsidP="006A2C7F">
      <w:pPr>
        <w:spacing w:after="0" w:line="276" w:lineRule="auto"/>
        <w:jc w:val="both"/>
        <w:rPr>
          <w:rFonts w:ascii="Verdana" w:hAnsi="Verdana" w:cstheme="minorHAnsi"/>
        </w:rPr>
      </w:pPr>
      <w:r w:rsidRPr="00FD2E2F">
        <w:rPr>
          <w:rFonts w:ascii="Verdana" w:hAnsi="Verdana" w:cstheme="minorHAnsi"/>
        </w:rPr>
        <w:t>dan@allianceforip.co.uk</w:t>
      </w:r>
    </w:p>
    <w:sectPr w:rsidSect="00567FB2">
      <w:pgSz w:w="11906" w:h="16838"/>
      <w:pgMar w:top="1440" w:right="1440" w:bottom="1440" w:left="1440" w:header="708" w:footer="27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66109" w:rsidP="009E1D13">
      <w:pPr>
        <w:spacing w:after="0" w:line="240" w:lineRule="auto"/>
      </w:pPr>
      <w:r>
        <w:separator/>
      </w:r>
    </w:p>
  </w:footnote>
  <w:footnote w:type="continuationSeparator" w:id="1">
    <w:p w:rsidR="00E66109" w:rsidP="009E1D13">
      <w:pPr>
        <w:spacing w:after="0" w:line="240" w:lineRule="auto"/>
      </w:pPr>
      <w:r>
        <w:continuationSeparator/>
      </w:r>
    </w:p>
  </w:footnote>
  <w:footnote w:id="2">
    <w:p w:rsidR="009E1D13" w:rsidP="009E1D13">
      <w:pPr>
        <w:pStyle w:val="FootnoteText"/>
        <w:rPr>
          <w:rStyle w:val="Hyperlink"/>
        </w:rPr>
      </w:pPr>
      <w:r>
        <w:rPr>
          <w:rStyle w:val="FootnoteReference"/>
        </w:rPr>
        <w:footnoteRef/>
      </w:r>
      <w:r>
        <w:t xml:space="preserve"> </w:t>
      </w:r>
      <w:r>
        <w:rPr>
          <w:rStyle w:val="FootnoteReference"/>
        </w:rPr>
        <w:footnoteRef/>
      </w:r>
      <w:r>
        <w:t xml:space="preserve"> </w:t>
      </w:r>
      <w:r>
        <w:fldChar w:fldCharType="begin"/>
      </w:r>
      <w:r>
        <w:instrText xml:space="preserve"> HYPERLINK "https://www.copyright.gov/policy/section512/section-512-full-report.pdf" </w:instrText>
      </w:r>
      <w:r>
        <w:fldChar w:fldCharType="separate"/>
      </w:r>
      <w:r>
        <w:rPr>
          <w:rStyle w:val="Hyperlink"/>
        </w:rPr>
        <w:t>https://www.copyright.gov/policy/section512/section-512-full-report.pdf</w:t>
      </w:r>
      <w:r>
        <w:fldChar w:fldCharType="end"/>
      </w:r>
    </w:p>
    <w:p w:rsidR="009E1D13" w:rsidRPr="00886D2E" w:rsidP="009E1D13">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7B51319"/>
    <w:multiLevelType w:val="hybridMultilevel"/>
    <w:tmpl w:val="B9FC9D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E1D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1D13"/>
    <w:rPr>
      <w:color w:val="0563C1" w:themeColor="hyperlink"/>
      <w:u w:val="single"/>
    </w:rPr>
  </w:style>
  <w:style w:type="paragraph" w:styleId="FootnoteText">
    <w:name w:val="footnote text"/>
    <w:basedOn w:val="Normal"/>
    <w:link w:val="FootnoteTextChar"/>
    <w:uiPriority w:val="99"/>
    <w:unhideWhenUsed/>
    <w:rsid w:val="009E1D13"/>
    <w:pPr>
      <w:spacing w:after="0" w:line="240" w:lineRule="auto"/>
    </w:pPr>
    <w:rPr>
      <w:sz w:val="20"/>
      <w:szCs w:val="20"/>
    </w:rPr>
  </w:style>
  <w:style w:type="character" w:customStyle="1" w:styleId="FootnoteTextChar">
    <w:name w:val="Footnote Text Char"/>
    <w:basedOn w:val="DefaultParagraphFont"/>
    <w:link w:val="FootnoteText"/>
    <w:uiPriority w:val="99"/>
    <w:rsid w:val="009E1D13"/>
    <w:rPr>
      <w:sz w:val="20"/>
      <w:szCs w:val="20"/>
    </w:rPr>
  </w:style>
  <w:style w:type="character" w:styleId="FootnoteReference">
    <w:name w:val="footnote reference"/>
    <w:basedOn w:val="DefaultParagraphFont"/>
    <w:uiPriority w:val="99"/>
    <w:unhideWhenUsed/>
    <w:rsid w:val="009E1D13"/>
    <w:rPr>
      <w:vertAlign w:val="superscript"/>
    </w:rPr>
  </w:style>
  <w:style w:type="paragraph" w:styleId="NoSpacing">
    <w:name w:val="No Spacing"/>
    <w:uiPriority w:val="1"/>
    <w:qFormat/>
    <w:rsid w:val="002506E5"/>
    <w:pPr>
      <w:spacing w:after="0" w:line="240" w:lineRule="auto"/>
    </w:pPr>
  </w:style>
  <w:style w:type="paragraph" w:styleId="Header">
    <w:name w:val="header"/>
    <w:basedOn w:val="Normal"/>
    <w:link w:val="HeaderChar"/>
    <w:uiPriority w:val="99"/>
    <w:unhideWhenUsed/>
    <w:rsid w:val="002506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6E5"/>
  </w:style>
  <w:style w:type="paragraph" w:styleId="Footer">
    <w:name w:val="footer"/>
    <w:basedOn w:val="Normal"/>
    <w:link w:val="FooterChar"/>
    <w:uiPriority w:val="99"/>
    <w:unhideWhenUsed/>
    <w:rsid w:val="002506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6E5"/>
  </w:style>
  <w:style w:type="paragraph" w:styleId="ListParagraph">
    <w:name w:val="List Paragraph"/>
    <w:basedOn w:val="Normal"/>
    <w:uiPriority w:val="34"/>
    <w:qFormat/>
    <w:rsid w:val="00DC72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D8970046BEBE742AF06FC18CA023923" ma:contentTypeVersion="12" ma:contentTypeDescription="Create a new document." ma:contentTypeScope="" ma:versionID="f2d43d73076dc09fcb616affc85dc234">
  <xsd:schema xmlns:xsd="http://www.w3.org/2001/XMLSchema" xmlns:xs="http://www.w3.org/2001/XMLSchema" xmlns:p="http://schemas.microsoft.com/office/2006/metadata/properties" xmlns:ns3="17e2c7ad-4d1a-41a8-8696-b19f8f3021de" xmlns:ns4="65a37f7b-023d-4e87-aad3-e38d55d00337" targetNamespace="http://schemas.microsoft.com/office/2006/metadata/properties" ma:root="true" ma:fieldsID="22ff1dd0a6e9c982b669651acb7f61ba" ns3:_="" ns4:_="">
    <xsd:import namespace="17e2c7ad-4d1a-41a8-8696-b19f8f3021de"/>
    <xsd:import namespace="65a37f7b-023d-4e87-aad3-e38d55d0033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EventHashCode" minOccurs="0"/>
                <xsd:element ref="ns3:MediaServiceGenerationTime"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e2c7ad-4d1a-41a8-8696-b19f8f3021d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a37f7b-023d-4e87-aad3-e38d55d003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6D92E3-151A-4AF8-954D-22BC15F5D947}">
  <ds:schemaRefs>
    <ds:schemaRef ds:uri="http://schemas.openxmlformats.org/officeDocument/2006/bibliography"/>
  </ds:schemaRefs>
</ds:datastoreItem>
</file>

<file path=customXml/itemProps2.xml><?xml version="1.0" encoding="utf-8"?>
<ds:datastoreItem xmlns:ds="http://schemas.openxmlformats.org/officeDocument/2006/customXml" ds:itemID="{EAA4092B-FB89-469D-A51D-9D1D8E058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e2c7ad-4d1a-41a8-8696-b19f8f3021de"/>
    <ds:schemaRef ds:uri="65a37f7b-023d-4e87-aad3-e38d55d003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4055C0-2FCC-4771-A7A2-0ACC07E91026}">
  <ds:schemaRefs>
    <ds:schemaRef ds:uri="http://schemas.microsoft.com/sharepoint/v3/contenttype/forms"/>
  </ds:schemaRefs>
</ds:datastoreItem>
</file>

<file path=customXml/itemProps4.xml><?xml version="1.0" encoding="utf-8"?>
<ds:datastoreItem xmlns:ds="http://schemas.openxmlformats.org/officeDocument/2006/customXml" ds:itemID="{B573A8A6-B32F-4A7D-941F-9538BAC30914}">
  <ds:schemaRef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terms/"/>
    <ds:schemaRef ds:uri="17e2c7ad-4d1a-41a8-8696-b19f8f3021de"/>
    <ds:schemaRef ds:uri="65a37f7b-023d-4e87-aad3-e38d55d00337"/>
    <ds:schemaRef ds:uri="http://schemas.microsoft.com/office/infopath/2007/PartnerControl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