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E39A0" w:rsidRPr="001137DC" w:rsidP="009E491B">
      <w:pPr>
        <w:pStyle w:val="Frontcoverinfo"/>
      </w:pPr>
    </w:p>
    <w:p w:rsidR="00430AA6" w:rsidRPr="00430AA6" w:rsidP="00430AA6">
      <w:pPr>
        <w:pStyle w:val="Frontcoverdataclassification"/>
        <w:jc w:val="center"/>
        <w:rPr>
          <w:rFonts w:ascii="Arial" w:hAnsi="Arial" w:cs="Arial"/>
          <w:color w:val="auto"/>
          <w:sz w:val="28"/>
          <w:szCs w:val="28"/>
        </w:rPr>
      </w:pPr>
      <w:r w:rsidRPr="00430AA6">
        <w:rPr>
          <w:rFonts w:ascii="Arial" w:hAnsi="Arial" w:cs="Arial"/>
          <w:color w:val="auto"/>
          <w:sz w:val="28"/>
          <w:szCs w:val="28"/>
        </w:rPr>
        <w:t>Written evidence submitted by BT</w:t>
      </w:r>
    </w:p>
    <w:p w:rsidR="00430AA6" w:rsidP="0093624A">
      <w:pPr>
        <w:pStyle w:val="Frontcoverdataclassification"/>
        <w:rPr>
          <w:color w:val="5514B4" w:themeColor="accent1"/>
        </w:rPr>
      </w:pPr>
    </w:p>
    <w:p w:rsidR="00430AA6" w:rsidP="0093624A">
      <w:pPr>
        <w:pStyle w:val="Frontcoverdataclassification"/>
        <w:rPr>
          <w:color w:val="5514B4" w:themeColor="accent1"/>
        </w:rPr>
      </w:pPr>
    </w:p>
    <w:p w:rsidR="006E39A0" w:rsidRPr="00ED3FF3" w:rsidP="00430AA6">
      <w:pPr>
        <w:pStyle w:val="Frontcoverdataclassification"/>
        <w:jc w:val="left"/>
        <w:rPr>
          <w:color w:val="5514B4" w:themeColor="accent1"/>
        </w:rPr>
      </w:pPr>
      <w:r w:rsidRPr="00ED3FF3">
        <w:rPr>
          <w:color w:val="5514B4" w:themeColor="accent1"/>
        </w:rPr>
        <w:t xml:space="preserve">DCMS </w:t>
      </w:r>
      <w:r w:rsidRPr="00ED3FF3">
        <w:rPr>
          <w:color w:val="5514B4" w:themeColor="accent1"/>
        </w:rPr>
        <w:t xml:space="preserve">Select </w:t>
      </w:r>
      <w:r w:rsidRPr="00ED3FF3">
        <w:rPr>
          <w:color w:val="5514B4" w:themeColor="accent1"/>
        </w:rPr>
        <w:t>Committee</w:t>
      </w:r>
    </w:p>
    <w:p w:rsidR="00FF3A26" w:rsidRPr="00ED3FF3" w:rsidP="00430AA6">
      <w:pPr>
        <w:pStyle w:val="Frontcoverdataclassification"/>
        <w:jc w:val="left"/>
        <w:rPr>
          <w:color w:val="5514B4" w:themeColor="accent1"/>
        </w:rPr>
      </w:pPr>
      <w:r w:rsidRPr="00ED3FF3">
        <w:rPr>
          <w:color w:val="5514B4" w:themeColor="accent1"/>
        </w:rPr>
        <w:t>Houses of Parliament</w:t>
      </w:r>
    </w:p>
    <w:p w:rsidR="006E39A0" w:rsidRPr="001137DC" w:rsidP="00FF3A26">
      <w:pPr>
        <w:pStyle w:val="Frontcoverinfo"/>
        <w:jc w:val="right"/>
      </w:pPr>
    </w:p>
    <w:p w:rsidR="006E39A0" w:rsidRPr="00430AA6" w:rsidP="00430AA6">
      <w:pPr>
        <w:pStyle w:val="Frontcoverinfo"/>
        <w:ind w:left="0"/>
        <w:rPr>
          <w:color w:val="5514B4" w:themeColor="accent1"/>
          <w:sz w:val="32"/>
          <w:szCs w:val="32"/>
        </w:rPr>
      </w:pPr>
      <w:r w:rsidRPr="00430AA6">
        <w:rPr>
          <w:rFonts w:eastAsia="Times New Roman" w:cs="Times New Roman"/>
          <w:b/>
          <w:bCs/>
          <w:noProof/>
          <w:color w:val="5514B4" w:themeColor="accent1"/>
          <w:spacing w:val="-16"/>
          <w:sz w:val="32"/>
          <w:szCs w:val="32"/>
        </w:rPr>
        <w:t xml:space="preserve">BT’s response to </w:t>
      </w:r>
      <w:r w:rsidRPr="00430AA6">
        <w:rPr>
          <w:rFonts w:eastAsia="Times New Roman" w:cs="Times New Roman"/>
          <w:b/>
          <w:bCs/>
          <w:noProof/>
          <w:color w:val="5514B4" w:themeColor="accent1"/>
          <w:spacing w:val="-16"/>
          <w:sz w:val="32"/>
          <w:szCs w:val="32"/>
        </w:rPr>
        <w:t xml:space="preserve">the DCMS select committee </w:t>
      </w:r>
      <w:r w:rsidRPr="00430AA6">
        <w:rPr>
          <w:rFonts w:eastAsia="Times New Roman" w:cs="Times New Roman"/>
          <w:b/>
          <w:bCs/>
          <w:noProof/>
          <w:color w:val="5514B4" w:themeColor="accent1"/>
          <w:spacing w:val="-16"/>
          <w:sz w:val="32"/>
          <w:szCs w:val="32"/>
        </w:rPr>
        <w:t>inquiry into the future of PSB in a digital age</w:t>
      </w:r>
    </w:p>
    <w:p w:rsidR="006E39A0" w:rsidRPr="00ED3FF3" w:rsidP="00430AA6">
      <w:pPr>
        <w:pStyle w:val="Frontcoverinfo"/>
        <w:ind w:left="0"/>
        <w:rPr>
          <w:color w:val="5514B4" w:themeColor="accent1"/>
        </w:rPr>
      </w:pPr>
      <w:r w:rsidRPr="00ED3FF3">
        <w:rPr>
          <w:color w:val="5514B4" w:themeColor="accent1"/>
        </w:rPr>
        <w:fldChar w:fldCharType="begin"/>
      </w:r>
      <w:r w:rsidRPr="00ED3FF3">
        <w:rPr>
          <w:color w:val="5514B4" w:themeColor="accent1"/>
        </w:rPr>
        <w:instrText xml:space="preserve"> DOCPROPERTY  "Date of issuance"  \* MERGEFORMAT </w:instrText>
      </w:r>
      <w:r w:rsidRPr="00ED3FF3">
        <w:rPr>
          <w:color w:val="5514B4" w:themeColor="accent1"/>
        </w:rPr>
        <w:fldChar w:fldCharType="separate"/>
      </w:r>
      <w:r w:rsidRPr="00ED3FF3">
        <w:rPr>
          <w:color w:val="5514B4" w:themeColor="accent1"/>
        </w:rPr>
        <w:t>1</w:t>
      </w:r>
      <w:r w:rsidRPr="00ED3FF3">
        <w:rPr>
          <w:color w:val="5514B4" w:themeColor="accent1"/>
        </w:rPr>
        <w:t>8</w:t>
      </w:r>
      <w:r w:rsidRPr="00ED3FF3">
        <w:rPr>
          <w:color w:val="5514B4" w:themeColor="accent1"/>
        </w:rPr>
        <w:t xml:space="preserve"> June 2020</w:t>
      </w:r>
      <w:r w:rsidRPr="00ED3FF3">
        <w:rPr>
          <w:color w:val="5514B4" w:themeColor="accent1"/>
        </w:rPr>
        <w:fldChar w:fldCharType="end"/>
      </w:r>
    </w:p>
    <w:p w:rsidR="00994F34" w:rsidP="000734F9">
      <w:pPr>
        <w:pStyle w:val="Frontcoverinfo"/>
      </w:pPr>
    </w:p>
    <w:p w:rsidR="006E39A0" w:rsidRPr="001137DC" w:rsidP="00672609">
      <w:pPr>
        <w:pStyle w:val="Heading1withnoauto-numbering"/>
      </w:pPr>
      <w:r>
        <w:t>Introduction</w:t>
      </w:r>
    </w:p>
    <w:p w:rsidR="00FF3A26" w:rsidRPr="00F93C0E" w:rsidP="006E151E">
      <w:pPr>
        <w:jc w:val="both"/>
      </w:pPr>
      <w:r w:rsidRPr="00F93C0E">
        <w:t xml:space="preserve">BT Group welcomes the chance to </w:t>
      </w:r>
      <w:r w:rsidRPr="00F93C0E">
        <w:t>contribute to</w:t>
      </w:r>
      <w:r w:rsidRPr="00F93C0E">
        <w:t xml:space="preserve"> the DCMS Committee inquiry into the future of public service broadcasting (PSB). We are in a unique position to comment on the issues raised by the Committee. </w:t>
      </w:r>
    </w:p>
    <w:p w:rsidR="00FF3A26" w:rsidRPr="00F93C0E" w:rsidP="006E151E">
      <w:pPr>
        <w:jc w:val="both"/>
      </w:pPr>
    </w:p>
    <w:p w:rsidR="00FF3A26" w:rsidRPr="00F93C0E" w:rsidP="006E151E">
      <w:pPr>
        <w:jc w:val="both"/>
      </w:pPr>
      <w:r w:rsidRPr="00F93C0E">
        <w:t>Across our three brands – BT, EE and</w:t>
      </w:r>
      <w:r w:rsidRPr="00F93C0E">
        <w:t xml:space="preserve"> </w:t>
      </w:r>
      <w:r w:rsidRPr="00F93C0E">
        <w:t>Plusnet</w:t>
      </w:r>
      <w:r w:rsidRPr="00F93C0E">
        <w:t xml:space="preserve"> – we have a presence in around half of all UK households. As a broadcaster, a TV platform and YouView partner, and a provider of broadband and mobile phone services, we </w:t>
      </w:r>
      <w:r w:rsidRPr="00F93C0E">
        <w:t>are able to</w:t>
      </w:r>
      <w:r w:rsidRPr="00F93C0E">
        <w:t xml:space="preserve"> consider how customers access content across a range of different </w:t>
      </w:r>
      <w:r w:rsidRPr="00F93C0E">
        <w:t>platforms and devices.</w:t>
      </w:r>
    </w:p>
    <w:p w:rsidR="00FF3A26" w:rsidRPr="00F93C0E" w:rsidP="006E151E">
      <w:pPr>
        <w:jc w:val="both"/>
      </w:pPr>
    </w:p>
    <w:p w:rsidR="00FF3A26" w:rsidRPr="00F93C0E" w:rsidP="006E151E">
      <w:pPr>
        <w:jc w:val="both"/>
      </w:pPr>
      <w:r w:rsidRPr="00F93C0E">
        <w:t>We are a distributor of TV, both as part of the Digital Terrestrial Television (DTT) infrastructure, using multicast</w:t>
      </w:r>
      <w:r>
        <w:rPr>
          <w:rStyle w:val="FootnoteReference"/>
          <w:szCs w:val="20"/>
        </w:rPr>
        <w:footnoteReference w:id="2"/>
      </w:r>
      <w:r w:rsidRPr="00094D3E">
        <w:rPr>
          <w:sz w:val="20"/>
          <w:szCs w:val="20"/>
        </w:rPr>
        <w:t xml:space="preserve"> </w:t>
      </w:r>
      <w:r w:rsidRPr="00F93C0E">
        <w:t xml:space="preserve">technology to deliver high quality, reliable content via Internet </w:t>
      </w:r>
      <w:r w:rsidRPr="00F93C0E">
        <w:t>Protocal</w:t>
      </w:r>
      <w:r w:rsidRPr="00F93C0E">
        <w:t xml:space="preserve"> (IP) to our own TV customers and as a </w:t>
      </w:r>
      <w:r w:rsidRPr="00F93C0E">
        <w:t>major carrier of video on demand (</w:t>
      </w:r>
      <w:r w:rsidRPr="00F93C0E">
        <w:t>VoD</w:t>
      </w:r>
      <w:r w:rsidRPr="00F93C0E">
        <w:t xml:space="preserve">) viewing. Very fast growth in </w:t>
      </w:r>
      <w:r w:rsidRPr="00F93C0E">
        <w:t>VoD</w:t>
      </w:r>
      <w:r w:rsidRPr="00F93C0E">
        <w:t xml:space="preserve"> viewing is a key driver of network capacity demand and we work hard to meet our customer and partner expectations in this area.</w:t>
      </w:r>
    </w:p>
    <w:p w:rsidR="00FF3A26" w:rsidRPr="00F93C0E" w:rsidP="006E151E">
      <w:pPr>
        <w:jc w:val="both"/>
      </w:pPr>
    </w:p>
    <w:p w:rsidR="00FF3A26" w:rsidRPr="00F93C0E" w:rsidP="006E151E">
      <w:pPr>
        <w:jc w:val="both"/>
      </w:pPr>
      <w:r w:rsidRPr="00F93C0E">
        <w:t>As a telecommunications provider, we are keenly aware of the growing importance of the internet for the distribution of TV and video content. The internet offers incredible potential benefits and has given consumers more choice on how and when they view co</w:t>
      </w:r>
      <w:r w:rsidRPr="00F93C0E">
        <w:t xml:space="preserve">ntent, facilitated by innovative technologies, platforms and devices. BT urge policymakers </w:t>
      </w:r>
      <w:r>
        <w:t xml:space="preserve">to </w:t>
      </w:r>
      <w:r w:rsidRPr="00F93C0E">
        <w:t>give careful consideration to</w:t>
      </w:r>
      <w:r w:rsidRPr="00F93C0E">
        <w:t xml:space="preserve"> how video content distribution can be made ‘future proof’. We believe that PSBs can benefit from this evolving distribution technolo</w:t>
      </w:r>
      <w:r w:rsidRPr="00F93C0E">
        <w:t xml:space="preserve">gy while also renewing their role to serving consumers, viewers and citizens. </w:t>
      </w:r>
    </w:p>
    <w:p w:rsidR="00FF3A26" w:rsidRPr="00F93C0E" w:rsidP="006E151E">
      <w:pPr>
        <w:jc w:val="both"/>
      </w:pPr>
    </w:p>
    <w:p w:rsidR="00FF3A26" w:rsidRPr="00F93C0E" w:rsidP="006E151E">
      <w:pPr>
        <w:jc w:val="both"/>
      </w:pPr>
      <w:r w:rsidRPr="00F93C0E">
        <w:t>In this submission we will set out how this can be achieved, making the following key points:</w:t>
      </w:r>
    </w:p>
    <w:p w:rsidR="00FF3A26" w:rsidRPr="00F93C0E" w:rsidP="006E151E">
      <w:pPr>
        <w:jc w:val="both"/>
      </w:pPr>
    </w:p>
    <w:p w:rsidR="00FF3A26" w:rsidRPr="00F93C0E" w:rsidP="006E151E">
      <w:pPr>
        <w:pStyle w:val="ListParagraph"/>
        <w:numPr>
          <w:ilvl w:val="0"/>
          <w:numId w:val="24"/>
        </w:numPr>
        <w:jc w:val="both"/>
      </w:pPr>
      <w:r w:rsidRPr="00F93C0E">
        <w:t>The PSBs have delivered great outcomes for the UK but their current delivery mode</w:t>
      </w:r>
      <w:r w:rsidRPr="00F93C0E">
        <w:t xml:space="preserve">l is becoming inefficient: they face </w:t>
      </w:r>
      <w:r w:rsidRPr="00F93C0E">
        <w:rPr>
          <w:b/>
          <w:bCs/>
        </w:rPr>
        <w:t>structural and cyclical pressures</w:t>
      </w:r>
      <w:r w:rsidRPr="00F93C0E">
        <w:t xml:space="preserve"> as the video content market goes through a lengthy period of change and </w:t>
      </w:r>
      <w:r w:rsidRPr="00F93C0E">
        <w:t>audiences</w:t>
      </w:r>
      <w:r w:rsidRPr="00F93C0E">
        <w:t xml:space="preserve"> fragment across devices and platforms.</w:t>
      </w:r>
    </w:p>
    <w:p w:rsidR="00FF3A26" w:rsidRPr="00F93C0E" w:rsidP="006E151E">
      <w:pPr>
        <w:pStyle w:val="ListParagraph"/>
        <w:numPr>
          <w:ilvl w:val="0"/>
          <w:numId w:val="24"/>
        </w:numPr>
        <w:jc w:val="both"/>
      </w:pPr>
      <w:r w:rsidRPr="00803444">
        <w:t>The challenge of</w:t>
      </w:r>
      <w:r w:rsidRPr="00F93C0E">
        <w:rPr>
          <w:b/>
          <w:bCs/>
        </w:rPr>
        <w:t xml:space="preserve"> digital exclusion</w:t>
      </w:r>
      <w:r w:rsidRPr="00F93C0E">
        <w:t xml:space="preserve"> has been revealed by the pand</w:t>
      </w:r>
      <w:r w:rsidRPr="00F93C0E">
        <w:t xml:space="preserve">emic, with significant cohorts of the UK population not </w:t>
      </w:r>
      <w:r w:rsidRPr="00F93C0E">
        <w:t>online</w:t>
      </w:r>
      <w:r w:rsidRPr="00F93C0E">
        <w:t xml:space="preserve"> and unable to access key online services.</w:t>
      </w:r>
    </w:p>
    <w:p w:rsidR="00FF3A26" w:rsidRPr="00F93C0E" w:rsidP="006E151E">
      <w:pPr>
        <w:pStyle w:val="ListParagraph"/>
        <w:numPr>
          <w:ilvl w:val="0"/>
          <w:numId w:val="24"/>
        </w:numPr>
        <w:jc w:val="both"/>
      </w:pPr>
      <w:r w:rsidRPr="00F93C0E">
        <w:rPr>
          <w:b/>
          <w:bCs/>
        </w:rPr>
        <w:t>Net neutrality</w:t>
      </w:r>
      <w:r w:rsidRPr="00F93C0E">
        <w:t xml:space="preserve"> is now having adverse consumer benefits, driving up prices and reducing access network investment </w:t>
      </w:r>
      <w:r w:rsidRPr="00F93C0E">
        <w:t xml:space="preserve">versus </w:t>
      </w:r>
      <w:r w:rsidRPr="00F93C0E">
        <w:t>core network due to inefficient</w:t>
      </w:r>
      <w:r w:rsidRPr="00F93C0E">
        <w:t xml:space="preserve"> distribution practices.</w:t>
      </w:r>
    </w:p>
    <w:p w:rsidR="00FF3A26" w:rsidRPr="00F93C0E" w:rsidP="006E151E">
      <w:pPr>
        <w:pStyle w:val="ListParagraph"/>
        <w:numPr>
          <w:ilvl w:val="0"/>
          <w:numId w:val="24"/>
        </w:numPr>
        <w:jc w:val="both"/>
      </w:pPr>
      <w:r w:rsidRPr="00F93C0E">
        <w:t xml:space="preserve">Transitioning of the current PSB model to an all IP-delivered universal basic TV service is the best way to address the three challenges outlined above. </w:t>
      </w:r>
    </w:p>
    <w:p w:rsidR="00FF3A26" w:rsidRPr="00F93C0E" w:rsidP="006E151E">
      <w:pPr>
        <w:pStyle w:val="ListParagraph"/>
        <w:numPr>
          <w:ilvl w:val="0"/>
          <w:numId w:val="24"/>
        </w:numPr>
        <w:jc w:val="both"/>
      </w:pPr>
      <w:r w:rsidRPr="00F93C0E">
        <w:t>The Government and Ofcom should now plan and create a legislative and regulat</w:t>
      </w:r>
      <w:r w:rsidRPr="00F93C0E">
        <w:t>ory framework for managed migration, ending the PSB’s obligation to broadcast on DTT in due course, enabling a renewed and sustainable PSB model.</w:t>
      </w:r>
    </w:p>
    <w:p w:rsidR="00FF3A26" w:rsidRPr="00F93C0E" w:rsidP="006E151E">
      <w:pPr>
        <w:pStyle w:val="Default"/>
        <w:spacing w:line="276" w:lineRule="auto"/>
        <w:jc w:val="both"/>
        <w:rPr>
          <w:rFonts w:ascii="Century Gothic" w:hAnsi="Century Gothic"/>
          <w:color w:val="252423"/>
          <w:sz w:val="18"/>
          <w:szCs w:val="18"/>
          <w:shd w:val="clear" w:color="auto" w:fill="FFFFFF"/>
        </w:rPr>
      </w:pPr>
    </w:p>
    <w:p w:rsidR="00FF3A26" w:rsidP="006E151E">
      <w:pPr>
        <w:jc w:val="both"/>
      </w:pPr>
      <w:r w:rsidRPr="00F93C0E">
        <w:t xml:space="preserve">BT is confident the UK’s IP networks will be ready and capable to support such a transition. We are </w:t>
      </w:r>
      <w:r w:rsidRPr="00F93C0E">
        <w:t>prepared</w:t>
      </w:r>
      <w:r w:rsidRPr="00F93C0E">
        <w:t xml:space="preserve"> </w:t>
      </w:r>
      <w:r w:rsidRPr="00F93C0E">
        <w:t>and willing to be a partner to UK PSBs and wider UK broadcast services to help them make the shift to IP delivery and emerge stronger, delivering a new set of benefits to society.</w:t>
      </w:r>
    </w:p>
    <w:p w:rsidR="00886383" w:rsidP="006E151E">
      <w:pPr>
        <w:jc w:val="both"/>
      </w:pPr>
    </w:p>
    <w:p w:rsidR="003A7EF3" w:rsidP="003A7EF3">
      <w:pPr>
        <w:autoSpaceDE w:val="0"/>
        <w:autoSpaceDN w:val="0"/>
      </w:pPr>
      <w:bookmarkStart w:id="0" w:name="_MailAutoSig"/>
      <w:r>
        <w:t>Author: Helen Burrows</w:t>
      </w:r>
    </w:p>
    <w:p w:rsidR="003A7EF3" w:rsidRPr="00EF63CB" w:rsidP="003A7EF3">
      <w:pPr>
        <w:autoSpaceDE w:val="0"/>
        <w:autoSpaceDN w:val="0"/>
      </w:pPr>
      <w:r>
        <w:t>Co</w:t>
      </w:r>
      <w:r w:rsidRPr="00EF63CB">
        <w:t xml:space="preserve">ntent and services policy </w:t>
      </w:r>
      <w:r w:rsidRPr="00EF63CB">
        <w:t>director</w:t>
      </w:r>
    </w:p>
    <w:p w:rsidR="00430AA6" w:rsidP="006E151E">
      <w:pPr>
        <w:jc w:val="both"/>
      </w:pPr>
      <w:bookmarkEnd w:id="0"/>
    </w:p>
    <w:p w:rsidR="006E39A0" w:rsidRPr="001137DC" w:rsidP="00BE699B">
      <w:pPr>
        <w:pStyle w:val="Heading2"/>
        <w:numPr>
          <w:ilvl w:val="0"/>
          <w:numId w:val="34"/>
        </w:numPr>
      </w:pPr>
      <w:r>
        <w:t>The need for change</w:t>
      </w:r>
    </w:p>
    <w:p w:rsidR="00382E93" w:rsidRPr="001137DC" w:rsidP="006E151E">
      <w:pPr>
        <w:pStyle w:val="Subheading1"/>
        <w:jc w:val="both"/>
      </w:pPr>
      <w:r>
        <w:t>Structural and cyclical pressures</w:t>
      </w:r>
    </w:p>
    <w:p w:rsidR="00FF3A26" w:rsidP="006E151E">
      <w:pPr>
        <w:jc w:val="both"/>
      </w:pPr>
      <w:r w:rsidRPr="00FF3A26">
        <w:t xml:space="preserve">The PSB model is under structural and </w:t>
      </w:r>
      <w:r w:rsidRPr="00FF3A26">
        <w:t>cyclical pressures – viewers are shifting online; audiences are fragmenting across platforms and revenues for PSBs are declining</w:t>
      </w:r>
      <w:r>
        <w:rPr>
          <w:vertAlign w:val="superscript"/>
        </w:rPr>
        <w:footnoteReference w:id="3"/>
      </w:r>
      <w:r>
        <w:t>.</w:t>
      </w:r>
      <w:r w:rsidRPr="00FF3A26">
        <w:t xml:space="preserve"> While PSB and their portfolio channels account for 70% of minutes viewed on a TV, they account for 50% of minutes viewing on </w:t>
      </w:r>
      <w:r w:rsidRPr="00FF3A26">
        <w:t>all screen devices</w:t>
      </w:r>
      <w:r>
        <w:rPr>
          <w:vertAlign w:val="superscript"/>
        </w:rPr>
        <w:footnoteReference w:id="4"/>
      </w:r>
      <w:r>
        <w:t>.</w:t>
      </w:r>
      <w:r w:rsidRPr="00FF3A26">
        <w:t xml:space="preserve"> According to Ofcom research, 44% of UK adults aged 35-44 surveyed could foresee their households no longer watching broadcast TV (DTT) in the next 5 years. Of the same cohort, almost 50% agreed that online video services are the main way they currently wa</w:t>
      </w:r>
      <w:r w:rsidRPr="00FF3A26">
        <w:t>tch TV and film</w:t>
      </w:r>
      <w:r>
        <w:rPr>
          <w:vertAlign w:val="superscript"/>
        </w:rPr>
        <w:footnoteReference w:id="5"/>
      </w:r>
      <w:r>
        <w:t>.</w:t>
      </w:r>
      <w:r w:rsidRPr="00FF3A26">
        <w:t xml:space="preserve"> PSB advertising revenues are down 14% and public funding is down 15% in the period 2014-2018</w:t>
      </w:r>
      <w:r>
        <w:rPr>
          <w:vertAlign w:val="superscript"/>
        </w:rPr>
        <w:footnoteReference w:id="6"/>
      </w:r>
      <w:r>
        <w:t>.</w:t>
      </w:r>
      <w:r w:rsidRPr="00FF3A26">
        <w:t xml:space="preserve"> </w:t>
      </w:r>
    </w:p>
    <w:p w:rsidR="0062098B" w:rsidRPr="00FF3A26" w:rsidP="006E151E">
      <w:pPr>
        <w:jc w:val="both"/>
      </w:pPr>
    </w:p>
    <w:p w:rsidR="00FF3A26" w:rsidRPr="00FF3A26" w:rsidP="006E151E">
      <w:pPr>
        <w:jc w:val="both"/>
      </w:pPr>
      <w:r w:rsidRPr="00FF3A26">
        <w:t>Public service broadcasting has been founded on three benefits that interact with each other:</w:t>
      </w:r>
    </w:p>
    <w:p w:rsidR="00FF3A26" w:rsidRPr="00FF3A26" w:rsidP="006E151E">
      <w:pPr>
        <w:jc w:val="both"/>
      </w:pPr>
    </w:p>
    <w:p w:rsidR="00FF3A26" w:rsidRPr="00FF3A26" w:rsidP="006E151E">
      <w:pPr>
        <w:pStyle w:val="ListParagraph"/>
        <w:numPr>
          <w:ilvl w:val="0"/>
          <w:numId w:val="26"/>
        </w:numPr>
        <w:jc w:val="both"/>
      </w:pPr>
      <w:r w:rsidRPr="00FF3A26">
        <w:t>subsidised distribution (spectrum reserved for</w:t>
      </w:r>
      <w:r w:rsidRPr="00FF3A26">
        <w:t xml:space="preserve"> PSB use at run-cost not market cost) via analogue and later digital terrestrial (DTT) broadcast, </w:t>
      </w:r>
    </w:p>
    <w:p w:rsidR="00FF3A26" w:rsidRPr="00FF3A26" w:rsidP="006E151E">
      <w:pPr>
        <w:pStyle w:val="ListParagraph"/>
        <w:numPr>
          <w:ilvl w:val="0"/>
          <w:numId w:val="26"/>
        </w:numPr>
        <w:jc w:val="both"/>
      </w:pPr>
      <w:r w:rsidRPr="00FF3A26">
        <w:t xml:space="preserve">prominence of PSB main channels on the live schedule, and </w:t>
      </w:r>
    </w:p>
    <w:p w:rsidR="00FF3A26" w:rsidP="006E151E">
      <w:pPr>
        <w:pStyle w:val="ListParagraph"/>
        <w:numPr>
          <w:ilvl w:val="0"/>
          <w:numId w:val="26"/>
        </w:numPr>
        <w:jc w:val="both"/>
      </w:pPr>
      <w:r w:rsidRPr="00FF3A26">
        <w:t>income, either via the licence fee or generated through advertising revenue based on the high audi</w:t>
      </w:r>
      <w:r w:rsidRPr="00FF3A26">
        <w:t xml:space="preserve">ence shares delivered by the first two. </w:t>
      </w:r>
    </w:p>
    <w:p w:rsidR="007E750A" w:rsidRPr="00FF3A26" w:rsidP="006E151E">
      <w:pPr>
        <w:pStyle w:val="ListParagraph"/>
        <w:jc w:val="both"/>
      </w:pPr>
    </w:p>
    <w:p w:rsidR="007E750A" w:rsidRPr="007E750A" w:rsidP="006E151E">
      <w:pPr>
        <w:jc w:val="both"/>
      </w:pPr>
      <w:r w:rsidRPr="007E750A">
        <w:t>As audiences have fragmented first to commercial TV offers via satellite and cable, and more recently to online viewing, the value of all three to the PSBs has declined:</w:t>
      </w:r>
    </w:p>
    <w:p w:rsidR="007E750A" w:rsidRPr="007E750A" w:rsidP="006E151E">
      <w:pPr>
        <w:jc w:val="both"/>
      </w:pPr>
    </w:p>
    <w:p w:rsidR="007E750A" w:rsidP="006E151E">
      <w:pPr>
        <w:jc w:val="both"/>
      </w:pPr>
      <w:r w:rsidRPr="007E750A">
        <w:t>As audience numbers for live TV fall, the cost benefit of having reserved spectrum for broadcasting diminishes as the cost of alternative delivery methods falls; likewise, prominence on the live schedule TV guide becomes less valuable as audiences shift to</w:t>
      </w:r>
      <w:r w:rsidRPr="007E750A">
        <w:t xml:space="preserve"> watching on demand.  TV advertising revenues are in structural decline in part as a result of this, and in part due to parallel competition from online advertising, now made worse by the cyclical impact of an economic downturn following the pandemic. </w:t>
      </w:r>
      <w:r w:rsidRPr="0032141C">
        <w:t>Mean</w:t>
      </w:r>
      <w:r w:rsidRPr="0032141C">
        <w:t xml:space="preserve">while total </w:t>
      </w:r>
      <w:r w:rsidRPr="0032141C">
        <w:t>public funding for the PSB</w:t>
      </w:r>
      <w:r w:rsidRPr="0032141C">
        <w:t xml:space="preserve"> </w:t>
      </w:r>
      <w:r w:rsidRPr="0032141C">
        <w:t xml:space="preserve">has declined from </w:t>
      </w:r>
      <w:r w:rsidRPr="0032141C">
        <w:t>£2.9bn per year to £2.5bn per year</w:t>
      </w:r>
      <w:r w:rsidRPr="0032141C">
        <w:t xml:space="preserve"> in the last five years</w:t>
      </w:r>
      <w:r>
        <w:rPr>
          <w:rStyle w:val="FootnoteReference"/>
        </w:rPr>
        <w:footnoteReference w:id="7"/>
      </w:r>
      <w:r w:rsidRPr="0032141C">
        <w:t>.</w:t>
      </w:r>
      <w:r w:rsidRPr="007E750A">
        <w:t xml:space="preserve">  </w:t>
      </w:r>
    </w:p>
    <w:p w:rsidR="007E750A" w:rsidRPr="007E750A" w:rsidP="006E151E">
      <w:pPr>
        <w:jc w:val="both"/>
      </w:pPr>
    </w:p>
    <w:p w:rsidR="007E750A" w:rsidP="006E151E">
      <w:pPr>
        <w:jc w:val="both"/>
      </w:pPr>
      <w:r w:rsidRPr="007E750A">
        <w:t>At some point in the future a tipping point will be reached.  The fixed costs (in the £100s of millions per year) of DTT distribution wi</w:t>
      </w:r>
      <w:r w:rsidRPr="007E750A">
        <w:t>ll become unaffordable for the PSBs in the face of declining audience numbers watching this way and falling advertising revenues. If the PSBs are to survive, urgent action by the Government is needed.</w:t>
      </w:r>
    </w:p>
    <w:p w:rsidR="007E750A" w:rsidRPr="007E750A" w:rsidP="006E151E">
      <w:pPr>
        <w:jc w:val="both"/>
      </w:pPr>
    </w:p>
    <w:p w:rsidR="007E750A" w:rsidP="006E151E">
      <w:pPr>
        <w:jc w:val="both"/>
      </w:pPr>
      <w:r w:rsidRPr="007E750A">
        <w:t>Should (can) the Government intervene, to develop a re</w:t>
      </w:r>
      <w:r w:rsidRPr="007E750A">
        <w:t xml:space="preserve">newed and sustainable model for the PSBs? Is it possible? </w:t>
      </w:r>
    </w:p>
    <w:p w:rsidR="007E750A" w:rsidRPr="007E750A" w:rsidP="006E151E">
      <w:pPr>
        <w:jc w:val="both"/>
      </w:pPr>
    </w:p>
    <w:p w:rsidR="00B626F3" w:rsidP="006E151E">
      <w:pPr>
        <w:jc w:val="both"/>
      </w:pPr>
      <w:r w:rsidRPr="007E750A">
        <w:t>In BT’s view</w:t>
      </w:r>
      <w:r>
        <w:t>: yes,</w:t>
      </w:r>
      <w:r w:rsidRPr="007E750A">
        <w:t xml:space="preserve"> the </w:t>
      </w:r>
      <w:r w:rsidRPr="007E750A">
        <w:t>Government can</w:t>
      </w:r>
      <w:r w:rsidRPr="007E750A">
        <w:t>, and should, intervene to renew the PSB model and we set out how in the section 2 on renewal</w:t>
      </w:r>
      <w:r>
        <w:t>.</w:t>
      </w:r>
      <w:r w:rsidRPr="007E750A">
        <w:t xml:space="preserve"> </w:t>
      </w:r>
      <w:r>
        <w:t>B</w:t>
      </w:r>
      <w:r w:rsidRPr="007E750A">
        <w:t xml:space="preserve">efore this, we discuss why we believe it should do so. </w:t>
      </w:r>
    </w:p>
    <w:p w:rsidR="00B626F3" w:rsidP="006E151E">
      <w:pPr>
        <w:spacing w:after="160" w:line="259" w:lineRule="auto"/>
        <w:jc w:val="both"/>
      </w:pPr>
    </w:p>
    <w:p w:rsidR="007E750A" w:rsidRPr="001137DC" w:rsidP="006E151E">
      <w:pPr>
        <w:pStyle w:val="Subheading1"/>
        <w:jc w:val="both"/>
      </w:pPr>
      <w:r>
        <w:t>Impac</w:t>
      </w:r>
      <w:r>
        <w:t>t</w:t>
      </w:r>
    </w:p>
    <w:p w:rsidR="007E750A" w:rsidRPr="007E750A" w:rsidP="006E151E">
      <w:pPr>
        <w:jc w:val="both"/>
        <w:rPr>
          <w:i/>
          <w:iCs/>
        </w:rPr>
      </w:pPr>
      <w:r w:rsidRPr="00AF07DA">
        <w:rPr>
          <w:b/>
          <w:bCs/>
        </w:rPr>
        <w:t>The Committee asked:</w:t>
      </w:r>
      <w:r w:rsidRPr="007E750A">
        <w:t xml:space="preserve"> </w:t>
      </w:r>
      <w:r w:rsidRPr="007E750A">
        <w:rPr>
          <w:i/>
          <w:iCs/>
        </w:rPr>
        <w:t xml:space="preserve">what value do PSBs bring to the UK in terms of economic, cultural, and societal impact? </w:t>
      </w:r>
    </w:p>
    <w:p w:rsidR="007E750A" w:rsidRPr="007E750A" w:rsidP="006E151E">
      <w:pPr>
        <w:jc w:val="both"/>
      </w:pPr>
    </w:p>
    <w:p w:rsidR="007E750A" w:rsidP="006E151E">
      <w:pPr>
        <w:jc w:val="both"/>
      </w:pPr>
      <w:r w:rsidRPr="007E750A">
        <w:t xml:space="preserve">BT’s view is that the UK PSBs have long been the economic and creative cornerstone of a highly successful UK TV industry, and the wider UK creative industries. </w:t>
      </w:r>
      <w:r w:rsidRPr="007E750A">
        <w:t>The net effects of their broader obligations, to reach and serve all UK viewers, and to uphold e</w:t>
      </w:r>
      <w:r w:rsidRPr="007E750A">
        <w:t>ditorial standards and fulfil other obligations specific to each organisation,</w:t>
      </w:r>
      <w:r>
        <w:t xml:space="preserve"> </w:t>
      </w:r>
      <w:r w:rsidRPr="007E750A">
        <w:t>drive</w:t>
      </w:r>
      <w:r>
        <w:t>s</w:t>
      </w:r>
      <w:r w:rsidRPr="007E750A">
        <w:t xml:space="preserve"> up standards across the industry</w:t>
      </w:r>
      <w:r>
        <w:t xml:space="preserve">. </w:t>
      </w:r>
      <w:r>
        <w:t>This c</w:t>
      </w:r>
      <w:r>
        <w:t>ombine</w:t>
      </w:r>
      <w:r>
        <w:t>s</w:t>
      </w:r>
      <w:r>
        <w:t xml:space="preserve"> with a </w:t>
      </w:r>
      <w:r w:rsidRPr="007E750A">
        <w:t>diverse range of business models between the different PSBs</w:t>
      </w:r>
      <w:r>
        <w:t>,</w:t>
      </w:r>
      <w:r w:rsidRPr="007E750A">
        <w:t xml:space="preserve"> and the PSBs and the commercial sector</w:t>
      </w:r>
      <w:r>
        <w:t xml:space="preserve"> to</w:t>
      </w:r>
      <w:r w:rsidRPr="007E750A">
        <w:t xml:space="preserve"> sustain</w:t>
      </w:r>
      <w:r>
        <w:t xml:space="preserve"> </w:t>
      </w:r>
      <w:r w:rsidRPr="007E750A">
        <w:t>comp</w:t>
      </w:r>
      <w:r w:rsidRPr="007E750A">
        <w:t xml:space="preserve">etition for </w:t>
      </w:r>
      <w:r>
        <w:t xml:space="preserve">audiences </w:t>
      </w:r>
      <w:r>
        <w:t>based on</w:t>
      </w:r>
      <w:r>
        <w:t xml:space="preserve"> high </w:t>
      </w:r>
      <w:r w:rsidRPr="007E750A">
        <w:t xml:space="preserve">quality </w:t>
      </w:r>
      <w:r>
        <w:t>content offers</w:t>
      </w:r>
      <w:r w:rsidRPr="007E750A">
        <w:t xml:space="preserve">. </w:t>
      </w:r>
      <w:r w:rsidRPr="007E750A">
        <w:t xml:space="preserve">The current Terms of Trade framework which obliges PSBs to commission from independent </w:t>
      </w:r>
      <w:r w:rsidRPr="007E750A">
        <w:t>producers but not take control of the IP created, has enabled small producers to enter the market</w:t>
      </w:r>
      <w:r>
        <w:t>,</w:t>
      </w:r>
      <w:r w:rsidRPr="007E750A">
        <w:t xml:space="preserve"> increas</w:t>
      </w:r>
      <w:r>
        <w:t>ing</w:t>
      </w:r>
      <w:r>
        <w:t xml:space="preserve"> the pool of talent </w:t>
      </w:r>
      <w:r>
        <w:t>available to all commissioners and driving export growth</w:t>
      </w:r>
      <w:r>
        <w:rPr>
          <w:rStyle w:val="FootnoteReference"/>
        </w:rPr>
        <w:footnoteReference w:id="8"/>
      </w:r>
      <w:r>
        <w:t xml:space="preserve">. </w:t>
      </w:r>
      <w:r w:rsidRPr="007E750A">
        <w:t>Th</w:t>
      </w:r>
      <w:r>
        <w:t>e</w:t>
      </w:r>
      <w:r w:rsidRPr="007E750A">
        <w:t>s</w:t>
      </w:r>
      <w:r>
        <w:t>e mechanisms</w:t>
      </w:r>
      <w:r w:rsidRPr="007E750A">
        <w:t xml:space="preserve"> </w:t>
      </w:r>
      <w:r>
        <w:t>deliver</w:t>
      </w:r>
      <w:r w:rsidRPr="007E750A">
        <w:t xml:space="preserve"> value for </w:t>
      </w:r>
      <w:r>
        <w:t xml:space="preserve">all UK </w:t>
      </w:r>
      <w:r w:rsidRPr="007E750A">
        <w:t>viewers (including BTTV customers), while also supporting wider public policy goals such as supporting national debate and a well-infor</w:t>
      </w:r>
      <w:r w:rsidRPr="007E750A">
        <w:t xml:space="preserve">med citizenship. </w:t>
      </w:r>
    </w:p>
    <w:p w:rsidR="007E750A" w:rsidRPr="007E750A" w:rsidP="006E151E">
      <w:pPr>
        <w:jc w:val="both"/>
      </w:pPr>
    </w:p>
    <w:p w:rsidR="007E750A" w:rsidRPr="007E750A" w:rsidP="006E151E">
      <w:pPr>
        <w:jc w:val="both"/>
      </w:pPr>
      <w:r w:rsidRPr="007E750A">
        <w:t>The crisis of the pandemic has served to demonstrate how significant the contribution the PSBs make to the UK is, with 27.1million viewers watching the Prime Minister’s lockdown addres</w:t>
      </w:r>
      <w:r>
        <w:t>s</w:t>
      </w:r>
      <w:r>
        <w:rPr>
          <w:rStyle w:val="FootnoteReference"/>
        </w:rPr>
        <w:footnoteReference w:id="9"/>
      </w:r>
      <w:r w:rsidRPr="007E750A">
        <w:t xml:space="preserve"> on 23 May 2020 on BBC alone – that’s </w:t>
      </w:r>
      <w:r>
        <w:t>three</w:t>
      </w:r>
      <w:r w:rsidRPr="007E750A">
        <w:t xml:space="preserve"> million</w:t>
      </w:r>
      <w:r w:rsidRPr="007E750A">
        <w:t xml:space="preserve"> more than watched the opening ceremony of the 2012 Olympics. New innovations, such as the BBC creating BBC Bitesize Daily in a very short time frame to support home schooling, signpost the future role they can play in addressing the economic and social ch</w:t>
      </w:r>
      <w:r w:rsidRPr="007E750A">
        <w:t xml:space="preserve">allenges the coronavirus crisis has exposed. </w:t>
      </w:r>
    </w:p>
    <w:p w:rsidR="007E750A" w:rsidRPr="007E750A" w:rsidP="006E151E">
      <w:pPr>
        <w:jc w:val="both"/>
      </w:pPr>
    </w:p>
    <w:p w:rsidR="007E750A" w:rsidRPr="007E750A" w:rsidP="006E151E">
      <w:pPr>
        <w:jc w:val="both"/>
      </w:pPr>
      <w:r w:rsidRPr="007E750A">
        <w:t>However good their content offers, international content players such as Netflix, Amazon or Disney will not deliver such public services, free at the point of use for all UK citizens: they are commercial entit</w:t>
      </w:r>
      <w:r w:rsidRPr="007E750A">
        <w:t>ies and it is not in their business models, nor should it be.</w:t>
      </w:r>
    </w:p>
    <w:p w:rsidR="007E750A" w:rsidRPr="007E750A" w:rsidP="006E151E">
      <w:pPr>
        <w:jc w:val="both"/>
      </w:pPr>
    </w:p>
    <w:p w:rsidR="007E750A" w:rsidP="006E151E">
      <w:pPr>
        <w:jc w:val="both"/>
      </w:pPr>
      <w:r w:rsidRPr="007E750A">
        <w:t>We see an even more significant economic and societal contribution the PSBs can make in the future, at the heart of a renewed PSB compact: to play a lead role in solving digital exclusion and e</w:t>
      </w:r>
      <w:r w:rsidRPr="007E750A">
        <w:t>nabling the delivery of vital services digitally.</w:t>
      </w:r>
    </w:p>
    <w:p w:rsidR="007E750A" w:rsidRPr="001137DC" w:rsidP="006E151E">
      <w:pPr>
        <w:pStyle w:val="Subheading1"/>
        <w:jc w:val="both"/>
      </w:pPr>
      <w:r>
        <w:t>The digitally excluded</w:t>
      </w:r>
    </w:p>
    <w:p w:rsidR="007E750A" w:rsidP="006E151E">
      <w:pPr>
        <w:jc w:val="both"/>
      </w:pPr>
      <w:r w:rsidRPr="007E750A">
        <w:t>With superfast availability now at c. 95% of UK premises</w:t>
      </w:r>
      <w:r>
        <w:rPr>
          <w:vertAlign w:val="superscript"/>
        </w:rPr>
        <w:footnoteReference w:id="10"/>
      </w:r>
      <w:r w:rsidRPr="007E750A">
        <w:t xml:space="preserve">, the issue of take up is now coming to the fore.  There is a significant portion of the UK population that is not </w:t>
      </w:r>
      <w:r w:rsidRPr="007E750A">
        <w:t>online</w:t>
      </w:r>
      <w:r>
        <w:t>:</w:t>
      </w:r>
      <w:r w:rsidRPr="007E750A">
        <w:t xml:space="preserve"> </w:t>
      </w:r>
      <w:r>
        <w:t>8.4% of UK adults</w:t>
      </w:r>
      <w:r>
        <w:rPr>
          <w:vertAlign w:val="superscript"/>
        </w:rPr>
        <w:footnoteReference w:id="11"/>
      </w:r>
      <w:r>
        <w:t xml:space="preserve">, </w:t>
      </w:r>
      <w:r w:rsidRPr="007E750A">
        <w:t>4.</w:t>
      </w:r>
      <w:r>
        <w:t>5</w:t>
      </w:r>
      <w:r w:rsidRPr="007E750A">
        <w:t>m pe</w:t>
      </w:r>
      <w:r>
        <w:t>ople</w:t>
      </w:r>
      <w:r>
        <w:rPr>
          <w:vertAlign w:val="superscript"/>
        </w:rPr>
        <w:footnoteReference w:id="12"/>
      </w:r>
      <w:r>
        <w:t xml:space="preserve"> have never been online</w:t>
      </w:r>
      <w:r>
        <w:rPr>
          <w:rStyle w:val="FootnoteReference"/>
        </w:rPr>
        <w:footnoteReference w:id="13"/>
      </w:r>
      <w:r w:rsidRPr="007E750A">
        <w:t>, and 9</w:t>
      </w:r>
      <w:r>
        <w:t>1</w:t>
      </w:r>
      <w:r w:rsidRPr="007E750A">
        <w:t>% of these are over the age of 55</w:t>
      </w:r>
      <w:r>
        <w:rPr>
          <w:rStyle w:val="FootnoteReference"/>
        </w:rPr>
        <w:footnoteReference w:id="14"/>
      </w:r>
      <w:r w:rsidRPr="007E750A">
        <w:t>.</w:t>
      </w:r>
    </w:p>
    <w:p w:rsidR="00803444" w:rsidRPr="007E750A" w:rsidP="006E151E">
      <w:pPr>
        <w:jc w:val="both"/>
      </w:pPr>
    </w:p>
    <w:p w:rsidR="007E750A" w:rsidRPr="007E750A" w:rsidP="006E151E">
      <w:pPr>
        <w:jc w:val="both"/>
      </w:pPr>
      <w:r w:rsidRPr="007E750A">
        <w:t xml:space="preserve">While this has been a topic of public policy interest for some time, it has now been made urgent by the accelerated shift to digital access during </w:t>
      </w:r>
      <w:r w:rsidRPr="007E750A">
        <w:t xml:space="preserve">the pandemic: the NHS estimates that of the 1.4 million people it identified as most vulnerable to Covid-19 and who each received letters from the NHS asking them to isolate at home, half – 700,000 – are not online. A smaller group, but no less important, </w:t>
      </w:r>
      <w:r w:rsidRPr="007E750A">
        <w:t xml:space="preserve">are </w:t>
      </w:r>
      <w:r w:rsidRPr="00DE3A45">
        <w:t xml:space="preserve">the approximately 160,000 low income families with children under the age of 18 at home that do not </w:t>
      </w:r>
      <w:r w:rsidRPr="00DE3A45">
        <w:t>go online</w:t>
      </w:r>
      <w:r w:rsidRPr="00DE3A45">
        <w:t xml:space="preserve"> at home</w:t>
      </w:r>
      <w:r>
        <w:rPr>
          <w:rStyle w:val="FootnoteReference"/>
        </w:rPr>
        <w:footnoteReference w:id="15"/>
      </w:r>
      <w:r w:rsidRPr="00DE3A45">
        <w:t>,</w:t>
      </w:r>
      <w:r w:rsidRPr="007E750A">
        <w:t xml:space="preserve"> and so have struggled to access online teaching and lessons for their children during lockdown.</w:t>
      </w:r>
    </w:p>
    <w:p w:rsidR="007E750A" w:rsidRPr="007E750A" w:rsidP="006E151E">
      <w:pPr>
        <w:jc w:val="both"/>
      </w:pPr>
    </w:p>
    <w:p w:rsidR="007E750A" w:rsidRPr="007E750A" w:rsidP="006E151E">
      <w:pPr>
        <w:jc w:val="both"/>
      </w:pPr>
      <w:r w:rsidRPr="007E750A">
        <w:t>Meanwhile, basic public services, s</w:t>
      </w:r>
      <w:r w:rsidRPr="007E750A">
        <w:t xml:space="preserve">uch as NHS appointments and school lessons rapidly moved online during lockdown. And for those needing to isolate the internet was the best route to buying food and staying in touch with friends and family. Yet during this period significant numbers of UK </w:t>
      </w:r>
      <w:r w:rsidRPr="007E750A">
        <w:t xml:space="preserve">citizens have not accessed these vital services. </w:t>
      </w:r>
    </w:p>
    <w:p w:rsidR="007E750A" w:rsidRPr="001137DC" w:rsidP="006E151E">
      <w:pPr>
        <w:pStyle w:val="Subheading1"/>
        <w:jc w:val="both"/>
      </w:pPr>
      <w:r>
        <w:t xml:space="preserve">A need for traffic identification and prioritisation </w:t>
      </w:r>
    </w:p>
    <w:p w:rsidR="007E750A" w:rsidRPr="007E750A" w:rsidP="006E151E">
      <w:pPr>
        <w:jc w:val="both"/>
      </w:pPr>
      <w:r w:rsidRPr="007E750A">
        <w:t>For those that do not have fixed broadband but do have a mobile phone, Government has</w:t>
      </w:r>
      <w:r>
        <w:t xml:space="preserve"> asked mobile operators</w:t>
      </w:r>
      <w:r w:rsidRPr="007E750A">
        <w:t xml:space="preserve"> to enable access to services by </w:t>
      </w:r>
      <w:r>
        <w:t>identifying</w:t>
      </w:r>
      <w:r w:rsidRPr="007E750A">
        <w:t xml:space="preserve"> and removing the cost of mobile network data for the individual needing healthcare or education. </w:t>
      </w:r>
    </w:p>
    <w:p w:rsidR="007E750A" w:rsidRPr="007E750A" w:rsidP="006E151E">
      <w:pPr>
        <w:jc w:val="both"/>
      </w:pPr>
    </w:p>
    <w:p w:rsidR="007E750A" w:rsidRPr="007E750A" w:rsidP="006E151E">
      <w:pPr>
        <w:jc w:val="both"/>
      </w:pPr>
      <w:r w:rsidRPr="007E750A">
        <w:t>However, currently, this is either very difficult or impossible for network operators to do. The trend for servi</w:t>
      </w:r>
      <w:r w:rsidRPr="007E750A">
        <w:t xml:space="preserve">ce operators to develop closed – encrypted – services means that it is not technically possible to distinguish a stream carrying a school lesson, or a medical consultation, from others travelling across our networks. And even </w:t>
      </w:r>
      <w:r w:rsidRPr="007E750A">
        <w:t>where it might be possible, th</w:t>
      </w:r>
      <w:r w:rsidRPr="007E750A">
        <w:t>e current regulatory environment, grounded in the EU Net Neutrality Regulation</w:t>
      </w:r>
      <w:r>
        <w:t>,</w:t>
      </w:r>
      <w:r w:rsidRPr="007E750A">
        <w:t xml:space="preserve"> prohibits prioritisation of some sources of traffic over others. </w:t>
      </w:r>
    </w:p>
    <w:p w:rsidR="007E750A" w:rsidP="006E151E">
      <w:pPr>
        <w:pStyle w:val="Subheading1"/>
        <w:jc w:val="both"/>
      </w:pPr>
      <w:r>
        <w:t>All players have a responsibility to all network users</w:t>
      </w:r>
    </w:p>
    <w:p w:rsidR="007E7498" w:rsidP="006E151E">
      <w:pPr>
        <w:jc w:val="both"/>
        <w:rPr>
          <w:rFonts w:eastAsia="Times New Roman" w:cs="Times New Roman"/>
          <w:color w:val="auto"/>
        </w:rPr>
      </w:pPr>
      <w:r w:rsidRPr="007E750A">
        <w:t>Networks have remained resilient and reliable throughou</w:t>
      </w:r>
      <w:r w:rsidRPr="007E750A">
        <w:t xml:space="preserve">t the exceptionally high demand of the lockdown period, supporting significant increases in demand and changes </w:t>
      </w:r>
      <w:r w:rsidRPr="007574D4">
        <w:t xml:space="preserve">to daily traffic patterns. </w:t>
      </w:r>
      <w:r w:rsidRPr="007574D4">
        <w:rPr>
          <w:rFonts w:eastAsia="Times New Roman" w:cs="Times New Roman"/>
          <w:color w:val="auto"/>
        </w:rPr>
        <w:t>BT’s ongoing investment in its network has meant that capacity headroom has remained available throughout the crisis</w:t>
      </w:r>
      <w:r>
        <w:rPr>
          <w:rFonts w:eastAsia="Times New Roman" w:cs="Times New Roman"/>
          <w:color w:val="auto"/>
        </w:rPr>
        <w:t>.</w:t>
      </w:r>
      <w:r w:rsidRPr="007574D4">
        <w:rPr>
          <w:rFonts w:eastAsia="Times New Roman" w:cs="Times New Roman"/>
          <w:color w:val="auto"/>
        </w:rPr>
        <w:t xml:space="preserve"> </w:t>
      </w:r>
    </w:p>
    <w:p w:rsidR="007E7498" w:rsidP="006E151E">
      <w:pPr>
        <w:jc w:val="both"/>
        <w:rPr>
          <w:rFonts w:eastAsia="Times New Roman" w:cs="Times New Roman"/>
          <w:color w:val="auto"/>
        </w:rPr>
      </w:pPr>
    </w:p>
    <w:p w:rsidR="007E750A" w:rsidRPr="007E750A" w:rsidP="006E151E">
      <w:pPr>
        <w:jc w:val="both"/>
      </w:pPr>
      <w:r>
        <w:t>B</w:t>
      </w:r>
      <w:r w:rsidRPr="007E750A">
        <w:t>efore this crisis</w:t>
      </w:r>
      <w:r>
        <w:t xml:space="preserve"> large content providers did not</w:t>
      </w:r>
      <w:r w:rsidRPr="007E750A">
        <w:t xml:space="preserve"> have </w:t>
      </w:r>
      <w:r>
        <w:t>any requirement or obligation</w:t>
      </w:r>
      <w:r w:rsidRPr="007E750A">
        <w:t xml:space="preserve"> to behave efficiently or responsibly towards other network users when it came to </w:t>
      </w:r>
      <w:r w:rsidRPr="007E750A">
        <w:t>distributing</w:t>
      </w:r>
      <w:r w:rsidRPr="007E750A">
        <w:t xml:space="preserve"> their services online.</w:t>
      </w:r>
      <w:r>
        <w:t xml:space="preserve"> </w:t>
      </w:r>
      <w:r>
        <w:t>During lockdown network resilience has been support</w:t>
      </w:r>
      <w:r>
        <w:t>ed</w:t>
      </w:r>
      <w:r w:rsidRPr="007574D4">
        <w:t>, especially for the lower cost operators, by some of the larger streaming and gaming firms engaging with the ad hoc process developed by the Government and</w:t>
      </w:r>
      <w:r w:rsidRPr="007E750A">
        <w:t xml:space="preserve"> Ofcom to dynamically reduce some streaming bit rates and for gaming releases to be scheduled for </w:t>
      </w:r>
      <w:r w:rsidRPr="007E750A">
        <w:t>times of day with lower network usage, to ensure reliable connectivity for all UK internet users. However</w:t>
      </w:r>
      <w:r>
        <w:t>,</w:t>
      </w:r>
      <w:r>
        <w:t xml:space="preserve"> as</w:t>
      </w:r>
      <w:r w:rsidRPr="007E750A">
        <w:t xml:space="preserve"> the pandemic appear</w:t>
      </w:r>
      <w:r>
        <w:t xml:space="preserve">s </w:t>
      </w:r>
      <w:r w:rsidRPr="007E750A">
        <w:t>to ease these ad hoc agreements are staring to unwind, and there are no clear means of ensuring they continue or develop.</w:t>
      </w:r>
    </w:p>
    <w:p w:rsidR="007E7498" w:rsidP="006E151E">
      <w:pPr>
        <w:jc w:val="both"/>
      </w:pPr>
    </w:p>
    <w:p w:rsidR="007E750A" w:rsidRPr="007E750A" w:rsidP="006E151E">
      <w:pPr>
        <w:jc w:val="both"/>
      </w:pPr>
      <w:r w:rsidRPr="007E750A">
        <w:t>Th</w:t>
      </w:r>
      <w:r w:rsidRPr="007E750A">
        <w:t xml:space="preserve">e pandemic therefore has revealed and accelerated three interrelated issues: </w:t>
      </w:r>
    </w:p>
    <w:p w:rsidR="007E750A" w:rsidRPr="007E750A" w:rsidP="006E151E">
      <w:pPr>
        <w:pStyle w:val="ListParagraph"/>
        <w:numPr>
          <w:ilvl w:val="0"/>
          <w:numId w:val="29"/>
        </w:numPr>
        <w:jc w:val="both"/>
      </w:pPr>
      <w:r w:rsidRPr="007E750A">
        <w:t>a sudden and urgent need to bring online those cohorts that have not been so far;</w:t>
      </w:r>
    </w:p>
    <w:p w:rsidR="007E750A" w:rsidRPr="007E750A" w:rsidP="006E151E">
      <w:pPr>
        <w:pStyle w:val="ListParagraph"/>
        <w:numPr>
          <w:ilvl w:val="0"/>
          <w:numId w:val="29"/>
        </w:numPr>
        <w:jc w:val="both"/>
      </w:pPr>
      <w:r w:rsidRPr="007E750A">
        <w:t xml:space="preserve">whether specific content (NHS traffic and education which we might term ‘public sector’) can be </w:t>
      </w:r>
      <w:r w:rsidRPr="007E750A">
        <w:t>prioritised, or treated differently;</w:t>
      </w:r>
    </w:p>
    <w:p w:rsidR="007E750A" w:rsidRPr="007E750A" w:rsidP="006E151E">
      <w:pPr>
        <w:pStyle w:val="ListParagraph"/>
        <w:numPr>
          <w:ilvl w:val="0"/>
          <w:numId w:val="29"/>
        </w:numPr>
        <w:jc w:val="both"/>
      </w:pPr>
      <w:r w:rsidRPr="007E750A">
        <w:t>The need for at least some back-stop obligations or incentives on large content providers to support efficient network use and behave responsibly towards all internet users, especially where their content drives network</w:t>
      </w:r>
      <w:r w:rsidRPr="007E750A">
        <w:t xml:space="preserve"> traffic peaks.</w:t>
      </w:r>
    </w:p>
    <w:p w:rsidR="007E750A" w:rsidP="006E151E">
      <w:pPr>
        <w:pStyle w:val="Subheading1"/>
        <w:jc w:val="both"/>
      </w:pPr>
      <w:r>
        <w:t>Managed migration of PSB to all IP delivery</w:t>
      </w:r>
    </w:p>
    <w:p w:rsidR="007E750A" w:rsidRPr="007E750A" w:rsidP="006E151E">
      <w:pPr>
        <w:jc w:val="both"/>
      </w:pPr>
      <w:r w:rsidRPr="007E750A">
        <w:t>In BT’s view the transitioning of the current PSB model to an IP-delivered universal basic TV service is the best way to address the three challenges outlined above.</w:t>
      </w:r>
    </w:p>
    <w:p w:rsidR="007E750A" w:rsidRPr="007E750A" w:rsidP="006E151E">
      <w:pPr>
        <w:jc w:val="both"/>
      </w:pPr>
    </w:p>
    <w:p w:rsidR="007E750A" w:rsidRPr="00875B74" w:rsidP="006E151E">
      <w:pPr>
        <w:jc w:val="both"/>
        <w:rPr>
          <w:sz w:val="12"/>
          <w:szCs w:val="12"/>
        </w:rPr>
      </w:pPr>
      <w:r w:rsidRPr="007E750A">
        <w:t>As most of the cohorts not co</w:t>
      </w:r>
      <w:r w:rsidRPr="007E750A">
        <w:t xml:space="preserve">nnected to the internet are older people who, predominantly, watch </w:t>
      </w:r>
      <w:r>
        <w:t xml:space="preserve">live broadcast </w:t>
      </w:r>
      <w:r w:rsidRPr="007E750A">
        <w:t>content</w:t>
      </w:r>
      <w:r>
        <w:rPr>
          <w:rStyle w:val="FootnoteReference"/>
        </w:rPr>
        <w:footnoteReference w:id="16"/>
      </w:r>
      <w:r w:rsidRPr="007E750A">
        <w:t xml:space="preserve"> from PSBs, the PSBs are well positioned to both support and guide that cohort to take up a basic IP connection.  Furthermore, by transitioning the PSB delivery to IP</w:t>
      </w:r>
      <w:r w:rsidRPr="007E750A">
        <w:t xml:space="preserve"> delivery, this cohort are naturally motivated to make the transition to retain access to the PSB content;  research by </w:t>
      </w:r>
      <w:r w:rsidRPr="007E750A">
        <w:t>ComRes</w:t>
      </w:r>
      <w:r w:rsidRPr="007E750A">
        <w:t xml:space="preserve"> found that more than a third of non-internet users surveyed (37%) stated they would connect to the internet if TV was distributed</w:t>
      </w:r>
      <w:r w:rsidRPr="007E750A">
        <w:t xml:space="preserve"> via the internet</w:t>
      </w:r>
      <w:r w:rsidRPr="00875B74">
        <w:rPr>
          <w:sz w:val="12"/>
          <w:szCs w:val="12"/>
        </w:rPr>
        <w:t>.</w:t>
      </w:r>
      <w:r>
        <w:rPr>
          <w:sz w:val="12"/>
          <w:szCs w:val="12"/>
        </w:rPr>
        <w:footnoteReference w:id="17"/>
      </w:r>
    </w:p>
    <w:p w:rsidR="007E750A" w:rsidRPr="007E750A" w:rsidP="006E151E">
      <w:pPr>
        <w:jc w:val="both"/>
      </w:pPr>
    </w:p>
    <w:p w:rsidR="00FF31EB" w:rsidP="006E151E">
      <w:pPr>
        <w:jc w:val="both"/>
      </w:pPr>
      <w:r w:rsidRPr="007E750A">
        <w:t xml:space="preserve">Using this approach, PSB universality would be maintained, </w:t>
      </w:r>
      <w:r w:rsidRPr="007E750A">
        <w:t>and much</w:t>
      </w:r>
      <w:r w:rsidRPr="007E750A">
        <w:t xml:space="preserve"> of the problem of digitally excluded cohorts would be solved.  We suggest that a cross industry managed migration programme, modelled on the analogue to digital switch</w:t>
      </w:r>
      <w:r w:rsidRPr="007E750A">
        <w:t xml:space="preserve">over (DSO) programme, could ensure all households get online using a modern TV that can receive online IP distribution with favourite PSB TV programming as the lead service. Once connected, vital public services such as primary healthcare can be delivered </w:t>
      </w:r>
      <w:r w:rsidRPr="007E750A">
        <w:t xml:space="preserve">via the </w:t>
      </w:r>
      <w:r w:rsidRPr="007E750A">
        <w:t>device</w:t>
      </w:r>
      <w:r w:rsidRPr="007E750A">
        <w:t xml:space="preserve"> they are already comfortable with: their TV.</w:t>
      </w:r>
      <w:r>
        <w:t xml:space="preserve"> </w:t>
      </w:r>
    </w:p>
    <w:p w:rsidR="00FF31EB" w:rsidP="006E151E">
      <w:pPr>
        <w:jc w:val="both"/>
      </w:pPr>
    </w:p>
    <w:p w:rsidR="000247D5" w:rsidP="006E151E">
      <w:pPr>
        <w:jc w:val="both"/>
      </w:pPr>
      <w:r>
        <w:t xml:space="preserve">The </w:t>
      </w:r>
      <w:r w:rsidRPr="007E750A">
        <w:t>Government and Ofcom should now work together to develop an updated legislative and regulatory framework for managed migration of the PSBs to all IP delivery</w:t>
      </w:r>
      <w:bookmarkStart w:id="1" w:name="_Toc36472260"/>
      <w:r>
        <w:t>.</w:t>
      </w:r>
      <w:bookmarkStart w:id="2" w:name="_GoBack"/>
      <w:bookmarkEnd w:id="2"/>
    </w:p>
    <w:p w:rsidR="006E39A0" w:rsidRPr="001137DC" w:rsidP="006E151E">
      <w:pPr>
        <w:pStyle w:val="Heading2"/>
        <w:numPr>
          <w:ilvl w:val="0"/>
          <w:numId w:val="34"/>
        </w:numPr>
        <w:jc w:val="both"/>
      </w:pPr>
      <w:bookmarkEnd w:id="1"/>
      <w:r>
        <w:t xml:space="preserve"> The path to renewal</w:t>
      </w:r>
    </w:p>
    <w:p w:rsidR="00DD5BF6" w:rsidRPr="003525F2" w:rsidP="006E151E">
      <w:pPr>
        <w:pStyle w:val="Subheading1"/>
        <w:jc w:val="both"/>
      </w:pPr>
      <w:r w:rsidRPr="003525F2">
        <w:t>Benefits and obligations updated in legislation and regulation</w:t>
      </w:r>
    </w:p>
    <w:p w:rsidR="004B3260" w:rsidRPr="003525F2" w:rsidP="006E151E">
      <w:pPr>
        <w:pStyle w:val="Subheading2"/>
        <w:jc w:val="both"/>
        <w:rPr>
          <w:b w:val="0"/>
          <w:bCs w:val="0"/>
          <w:i/>
          <w:iCs/>
        </w:rPr>
      </w:pPr>
      <w:r w:rsidRPr="00DA12B5">
        <w:t xml:space="preserve">The committee asked: </w:t>
      </w:r>
      <w:r w:rsidRPr="00DA12B5">
        <w:rPr>
          <w:b w:val="0"/>
          <w:bCs w:val="0"/>
          <w:i/>
          <w:iCs/>
        </w:rPr>
        <w:t xml:space="preserve">Are the current regulations and obligations placed on PSBs, in return for benefits such as prominence and public funding, proportionate? What (if any) </w:t>
      </w:r>
      <w:r w:rsidRPr="00DA12B5">
        <w:rPr>
          <w:b w:val="0"/>
          <w:bCs w:val="0"/>
          <w:i/>
          <w:iCs/>
        </w:rPr>
        <w:t xml:space="preserve">regulation should be introduced for </w:t>
      </w:r>
      <w:r w:rsidRPr="00DA12B5">
        <w:rPr>
          <w:b w:val="0"/>
          <w:bCs w:val="0"/>
          <w:i/>
          <w:iCs/>
        </w:rPr>
        <w:t>SVoDs</w:t>
      </w:r>
      <w:r w:rsidRPr="00DA12B5">
        <w:rPr>
          <w:b w:val="0"/>
          <w:bCs w:val="0"/>
          <w:i/>
          <w:iCs/>
        </w:rPr>
        <w:t xml:space="preserve"> and other streaming services?</w:t>
      </w:r>
    </w:p>
    <w:p w:rsidR="004B3260" w:rsidP="006E151E">
      <w:pPr>
        <w:pStyle w:val="Subheading1"/>
        <w:jc w:val="both"/>
      </w:pPr>
      <w:r w:rsidRPr="003525F2">
        <w:t>Distribution</w:t>
      </w:r>
    </w:p>
    <w:p w:rsidR="00875B74" w:rsidRPr="00875B74" w:rsidP="006E151E">
      <w:pPr>
        <w:jc w:val="both"/>
      </w:pPr>
      <w:r w:rsidRPr="00875B74">
        <w:t xml:space="preserve">In BT’s view there needs to be a clear, long-term plan from Government, to facilitate a transition to an IP-delivered universal basic TV service. </w:t>
      </w:r>
    </w:p>
    <w:p w:rsidR="00875B74" w:rsidRPr="00875B74" w:rsidP="006E151E">
      <w:pPr>
        <w:jc w:val="both"/>
      </w:pPr>
    </w:p>
    <w:p w:rsidR="00875B74" w:rsidRPr="00875B74" w:rsidP="006E151E">
      <w:pPr>
        <w:jc w:val="both"/>
      </w:pPr>
      <w:r w:rsidRPr="00875B74">
        <w:t>This plan would renew the principle that PSB obligations come with privileges and set out updated distributi</w:t>
      </w:r>
      <w:r w:rsidRPr="00875B74">
        <w:t>on requirements (on all IP connectivity providers) and the path to exiting DTT by updating the relevant legislation. PSBs would be required to offer their content to a universal TV service made available to all ISPs</w:t>
      </w:r>
      <w:r>
        <w:t>.</w:t>
      </w:r>
    </w:p>
    <w:p w:rsidR="00875B74" w:rsidRPr="00875B74" w:rsidP="006E151E">
      <w:pPr>
        <w:jc w:val="both"/>
      </w:pPr>
    </w:p>
    <w:p w:rsidR="00875B74" w:rsidRPr="00875B74" w:rsidP="006E151E">
      <w:pPr>
        <w:jc w:val="both"/>
      </w:pPr>
      <w:r w:rsidRPr="00875B74">
        <w:t>This would be supported by Ofcom estab</w:t>
      </w:r>
      <w:r w:rsidRPr="00875B74">
        <w:t xml:space="preserve">lishing minimum technical standards and wholesaling requirements on all network connectivity providers to ensure consumers have a choice of network provider. </w:t>
      </w:r>
      <w:r>
        <w:t>O</w:t>
      </w:r>
      <w:r w:rsidRPr="00875B74">
        <w:t>nce achieved, this model would also allow the delivery of other digital public services.</w:t>
      </w:r>
    </w:p>
    <w:p w:rsidR="00875B74" w:rsidRPr="00875B74" w:rsidP="006E151E">
      <w:pPr>
        <w:jc w:val="both"/>
      </w:pPr>
    </w:p>
    <w:p w:rsidR="00875B74" w:rsidRPr="00875B74" w:rsidP="006E151E">
      <w:pPr>
        <w:jc w:val="both"/>
      </w:pPr>
      <w:r w:rsidRPr="00875B74">
        <w:t>It is a</w:t>
      </w:r>
      <w:r w:rsidRPr="00875B74">
        <w:t>n open question what should happen to current DTT spectrum thereafter: it could be returned for mobile spectrum use, or it could continue to be prioritised for content distribution using mobile technologies such as 5G which could reach all digital devices,</w:t>
      </w:r>
      <w:r w:rsidRPr="00875B74">
        <w:t xml:space="preserve"> from phones to televisions, rather than old broadcast protocols.</w:t>
      </w:r>
    </w:p>
    <w:p w:rsidR="00875B74" w:rsidRPr="00875B74" w:rsidP="006E151E">
      <w:pPr>
        <w:pStyle w:val="Subheading1"/>
        <w:jc w:val="both"/>
      </w:pPr>
      <w:r w:rsidRPr="00875B74">
        <w:t>Prominence</w:t>
      </w:r>
    </w:p>
    <w:p w:rsidR="00875B74" w:rsidRPr="00875B74" w:rsidP="006E151E">
      <w:pPr>
        <w:jc w:val="both"/>
      </w:pPr>
      <w:r w:rsidRPr="00875B74">
        <w:t>To support the universality and commercial viability of the PSBs</w:t>
      </w:r>
      <w:r>
        <w:t>,</w:t>
      </w:r>
      <w:r w:rsidRPr="00875B74">
        <w:t xml:space="preserve"> existing PSB privileges for linear live channel prominence should be updated to </w:t>
      </w:r>
      <w:r>
        <w:t xml:space="preserve">delivery agnostic </w:t>
      </w:r>
      <w:r w:rsidRPr="00875B74">
        <w:t>prominence requ</w:t>
      </w:r>
      <w:r w:rsidRPr="00875B74">
        <w:t>irements</w:t>
      </w:r>
      <w:r>
        <w:t xml:space="preserve"> for PSB content</w:t>
      </w:r>
      <w:r w:rsidRPr="00875B74">
        <w:t xml:space="preserve"> on all commercial platforms and services. </w:t>
      </w:r>
    </w:p>
    <w:p w:rsidR="00875B74" w:rsidRPr="00875B74" w:rsidP="006E151E">
      <w:pPr>
        <w:pStyle w:val="Subheading1"/>
        <w:jc w:val="both"/>
      </w:pPr>
      <w:r w:rsidRPr="00875B74">
        <w:t>Net neutrality</w:t>
      </w:r>
    </w:p>
    <w:p w:rsidR="00875B74" w:rsidP="006E151E">
      <w:pPr>
        <w:jc w:val="both"/>
      </w:pPr>
      <w:r w:rsidRPr="00875B74">
        <w:t>Pre-crisis norms based on the EU net neutrality regulation did not include protection from large content distributors behaviours for network providers or, ultimately, indivi</w:t>
      </w:r>
      <w:r w:rsidRPr="00875B74">
        <w:t xml:space="preserve">dual households. The current circumstance </w:t>
      </w:r>
      <w:r>
        <w:t>leads to</w:t>
      </w:r>
      <w:r w:rsidRPr="00875B74">
        <w:t xml:space="preserve"> large traffic spikes</w:t>
      </w:r>
      <w:r>
        <w:t xml:space="preserve"> driven </w:t>
      </w:r>
      <w:r w:rsidRPr="00875B74">
        <w:t xml:space="preserve">by, say, a </w:t>
      </w:r>
      <w:r>
        <w:t xml:space="preserve">large </w:t>
      </w:r>
      <w:r w:rsidRPr="00875B74">
        <w:t>gaming update</w:t>
      </w:r>
      <w:r>
        <w:rPr>
          <w:rStyle w:val="FootnoteReference"/>
        </w:rPr>
        <w:footnoteReference w:id="18"/>
      </w:r>
      <w:r w:rsidRPr="00875B74">
        <w:t xml:space="preserve"> which is only accessed by a proportion of users but can create short term service issues and drives the</w:t>
      </w:r>
      <w:r>
        <w:t xml:space="preserve"> </w:t>
      </w:r>
      <w:r>
        <w:t>long term</w:t>
      </w:r>
      <w:r w:rsidRPr="00875B74">
        <w:t xml:space="preserve"> costs of basic internet connect</w:t>
      </w:r>
      <w:r w:rsidRPr="00875B74">
        <w:t xml:space="preserve">ivity for all users. </w:t>
      </w:r>
    </w:p>
    <w:p w:rsidR="003A3ADA" w:rsidRPr="00875B74" w:rsidP="006E151E">
      <w:pPr>
        <w:jc w:val="both"/>
      </w:pPr>
    </w:p>
    <w:p w:rsidR="00875B74" w:rsidP="006E151E">
      <w:pPr>
        <w:jc w:val="both"/>
      </w:pPr>
      <w:r w:rsidRPr="00875B74">
        <w:t>The wider UK regulatory framework ensures innovation and competition but could be improved by employing some obligations or incentives on content providers and distributors of streaming video, large gaming or software updates, and in</w:t>
      </w:r>
      <w:r w:rsidRPr="00875B74">
        <w:t xml:space="preserve">termediaries such as content delivery networks (CDNs) to support responsible and efficient behaviour. </w:t>
      </w:r>
    </w:p>
    <w:p w:rsidR="003A3ADA" w:rsidRPr="00875B74" w:rsidP="006E151E">
      <w:pPr>
        <w:jc w:val="both"/>
      </w:pPr>
    </w:p>
    <w:p w:rsidR="000D07CA" w:rsidP="000D07CA">
      <w:pPr>
        <w:jc w:val="both"/>
      </w:pPr>
      <w:r w:rsidRPr="00875B74">
        <w:t>Lastly, net neutrality should be updated</w:t>
      </w:r>
      <w:r>
        <w:rPr>
          <w:rStyle w:val="FootnoteReference"/>
        </w:rPr>
        <w:footnoteReference w:id="19"/>
      </w:r>
      <w:r w:rsidRPr="00875B74">
        <w:t xml:space="preserve"> to enable digital delivery of what the Government defines as universal public services: at a minimum this is l</w:t>
      </w:r>
      <w:r w:rsidRPr="00875B74">
        <w:t>ikely to include UK PSB content, healthcare, education, and other government services such as HMRC and DWP engagement, to all UK households</w:t>
      </w:r>
      <w:r>
        <w:t>.</w:t>
      </w:r>
    </w:p>
    <w:p w:rsidR="00875B74" w:rsidRPr="00875B74" w:rsidP="000D07CA">
      <w:pPr>
        <w:pStyle w:val="Subheading1"/>
        <w:jc w:val="both"/>
      </w:pPr>
      <w:r w:rsidRPr="00875B74">
        <w:t>An invigorated and sustainable PSB model</w:t>
      </w:r>
    </w:p>
    <w:p w:rsidR="00875B74" w:rsidRPr="00875B74" w:rsidP="006E151E">
      <w:pPr>
        <w:jc w:val="both"/>
      </w:pPr>
      <w:r w:rsidRPr="00875B74">
        <w:t>An IP based universal TV service would address the structural issues of rising costs and falling audiences and revenues in the current PSB model: all IP distribution will be lower cost to the PSBs than DTT distribution (the fixed costs of which become less</w:t>
      </w:r>
      <w:r w:rsidRPr="00875B74">
        <w:t xml:space="preserve"> and less sustainable as the numbers watching on this platform fall) so an exit from DTT distribution once transition is complete will reduce PSB costs. </w:t>
      </w:r>
    </w:p>
    <w:p w:rsidR="00875B74" w:rsidRPr="00875B74" w:rsidP="006E151E">
      <w:pPr>
        <w:jc w:val="both"/>
      </w:pPr>
    </w:p>
    <w:p w:rsidR="00875B74" w:rsidRPr="00875B74" w:rsidP="006E151E">
      <w:pPr>
        <w:jc w:val="both"/>
      </w:pPr>
      <w:r w:rsidRPr="00875B74">
        <w:t>Removing the need to broadcast over the air content means that production methods can be optimised fo</w:t>
      </w:r>
      <w:r w:rsidRPr="00875B74">
        <w:t>r IP delivery; this will accelerate innovation and be good for the UK creative industries.  It will allow greater regionalisation of content, and smarter regionalisation such as allowing regional graphics and presentation to be added to the same national v</w:t>
      </w:r>
      <w:r w:rsidRPr="00875B74">
        <w:t xml:space="preserve">ideo feeds such as for weather.  </w:t>
      </w:r>
      <w:bookmarkStart w:id="3" w:name="_Hlk43302540"/>
      <w:r w:rsidRPr="00875B74">
        <w:t xml:space="preserve">And it will support richer viewer experiences. </w:t>
      </w:r>
      <w:r w:rsidRPr="00875B74">
        <w:t>Some of these are already showcased by BT Sport which is delivered via IP multicast to TV sets and via IP to viewers using our app. We have developed innovative viewing functio</w:t>
      </w:r>
      <w:r w:rsidRPr="00875B74">
        <w:t>nality for live sport, with significant moments like goals on the video progress bar to enable viewers to easily replay key events.</w:t>
      </w:r>
    </w:p>
    <w:p w:rsidR="00875B74" w:rsidRPr="00875B74" w:rsidP="006E151E">
      <w:pPr>
        <w:jc w:val="both"/>
      </w:pPr>
      <w:bookmarkEnd w:id="3"/>
    </w:p>
    <w:p w:rsidR="00875B74" w:rsidRPr="00875B74" w:rsidP="006E151E">
      <w:pPr>
        <w:jc w:val="both"/>
      </w:pPr>
      <w:r w:rsidRPr="00875B74">
        <w:t>IP delivery will lead to better picture quality for more people; there are no plans to deliver 4k (ultra-high definition) o</w:t>
      </w:r>
      <w:r w:rsidRPr="00875B74">
        <w:t>r HDR (high dynamic range) images from the digital terrestrial network, neither is the broadcast network suitable for the delivery of virtual and augmented reality experiences that are synchronised with a picture on your TV.  All these can be delivered usi</w:t>
      </w:r>
      <w:r w:rsidRPr="00875B74">
        <w:t>ng all-IP delivery. Further, we expect innovations such as the ability to interact with, respond and contribute to programming more directly than is currently possible will be enabled.</w:t>
      </w:r>
    </w:p>
    <w:p w:rsidR="00875B74" w:rsidRPr="00875B74" w:rsidP="006E151E">
      <w:pPr>
        <w:jc w:val="both"/>
      </w:pPr>
    </w:p>
    <w:p w:rsidR="00875B74" w:rsidRPr="00875B74" w:rsidP="006E151E">
      <w:pPr>
        <w:jc w:val="both"/>
      </w:pPr>
      <w:r w:rsidRPr="00875B74">
        <w:t>Innovations such as highly targeted advertising will become easier and</w:t>
      </w:r>
      <w:r w:rsidRPr="00875B74">
        <w:t xml:space="preserve"> will help advertising funded PSBs to reverse the decline in the advertising revenue; it will give all PSBs greater understanding of their audiences, of who is watching what, and will help them to adapt their content to better meet their PSB obligations. A</w:t>
      </w:r>
      <w:r w:rsidRPr="00875B74">
        <w:t xml:space="preserve">ll-IP distribution will also support new funding models for PSBs, perhaps based on a more direct connection between viewing and payment for the BBC, or hybrid models </w:t>
      </w:r>
      <w:r>
        <w:t>e.g. a</w:t>
      </w:r>
      <w:r w:rsidRPr="00875B74">
        <w:t xml:space="preserve"> commercial PSB offering an</w:t>
      </w:r>
      <w:r>
        <w:t xml:space="preserve"> advertising funded and free service and a no adverts</w:t>
      </w:r>
      <w:r w:rsidRPr="00875B74">
        <w:t xml:space="preserve"> sub</w:t>
      </w:r>
      <w:r w:rsidRPr="00875B74">
        <w:t xml:space="preserve">scription service. </w:t>
      </w:r>
    </w:p>
    <w:p w:rsidR="00875B74" w:rsidRPr="00875B74" w:rsidP="006E151E">
      <w:pPr>
        <w:pStyle w:val="Subheading1"/>
        <w:jc w:val="both"/>
      </w:pPr>
      <w:r w:rsidRPr="00875B74">
        <w:t>Representation</w:t>
      </w:r>
    </w:p>
    <w:p w:rsidR="00875B74" w:rsidRPr="00875B74" w:rsidP="006E151E">
      <w:pPr>
        <w:spacing w:before="120" w:after="120"/>
        <w:jc w:val="both"/>
        <w:rPr>
          <w:i/>
          <w:iCs/>
        </w:rPr>
      </w:pPr>
      <w:r w:rsidRPr="00875B74">
        <w:rPr>
          <w:b/>
          <w:bCs/>
        </w:rPr>
        <w:t>The committee asked:</w:t>
      </w:r>
      <w:r w:rsidRPr="00875B74">
        <w:t xml:space="preserve"> </w:t>
      </w:r>
      <w:r w:rsidRPr="00875B74">
        <w:rPr>
          <w:i/>
          <w:iCs/>
        </w:rPr>
        <w:t xml:space="preserve">How would representation be protected if changes were made to the PSB model? How would the nations and regions be affected by changes to the PSB model? Is the ‘quota’ system the most </w:t>
      </w:r>
      <w:r w:rsidRPr="00875B74">
        <w:rPr>
          <w:i/>
          <w:iCs/>
        </w:rPr>
        <w:t>efficient way to maintain and improve representation in broadcasting?</w:t>
      </w:r>
    </w:p>
    <w:p w:rsidR="00BE699B" w:rsidP="006E151E">
      <w:pPr>
        <w:jc w:val="both"/>
      </w:pPr>
      <w:r w:rsidRPr="00875B74">
        <w:t xml:space="preserve">We think that quotas or another approach to regional representation are more likely to be supported if there is a new sustainable model for the PSBs overall. An IP based universal basic </w:t>
      </w:r>
      <w:r w:rsidRPr="00875B74">
        <w:t>TV service would have the advantage of more easily being able to present programming most relevant to a national or regional audience first, both on the schedule and on demand, but also by enabling individual viewers to set their preferences; for example t</w:t>
      </w:r>
      <w:r w:rsidRPr="00875B74">
        <w:t xml:space="preserve">o continue to stay in touch with a region they no longer live in by following programming from that region even when they live elsewhere.  IP delivery will allow schedules to be customised on a much more granular basis, to better meet the needs of diverse </w:t>
      </w:r>
      <w:r w:rsidRPr="00875B74">
        <w:t xml:space="preserve">viewer groups. </w:t>
      </w:r>
    </w:p>
    <w:p w:rsidR="00BE699B" w:rsidP="006E151E">
      <w:pPr>
        <w:spacing w:after="160" w:line="259" w:lineRule="auto"/>
        <w:jc w:val="both"/>
      </w:pPr>
    </w:p>
    <w:p w:rsidR="00430AA6" w:rsidP="006E151E">
      <w:pPr>
        <w:spacing w:after="160" w:line="259" w:lineRule="auto"/>
        <w:jc w:val="both"/>
      </w:pPr>
    </w:p>
    <w:p w:rsidR="00FA345D" w:rsidRPr="001137DC" w:rsidP="006E151E">
      <w:pPr>
        <w:pStyle w:val="Heading2"/>
        <w:numPr>
          <w:ilvl w:val="0"/>
          <w:numId w:val="34"/>
        </w:numPr>
        <w:jc w:val="both"/>
      </w:pPr>
      <w:bookmarkStart w:id="4" w:name="_Toc43383970"/>
      <w:r>
        <w:t xml:space="preserve"> Is this achievable?</w:t>
      </w:r>
      <w:bookmarkEnd w:id="4"/>
    </w:p>
    <w:p w:rsidR="00DD0F12" w:rsidP="006E151E">
      <w:pPr>
        <w:pStyle w:val="Subheading1"/>
        <w:jc w:val="both"/>
      </w:pPr>
      <w:r>
        <w:t>Accessibility</w:t>
      </w:r>
    </w:p>
    <w:p w:rsidR="00D14235" w:rsidRPr="00D14235" w:rsidP="006E151E">
      <w:pPr>
        <w:jc w:val="both"/>
        <w:rPr>
          <w:b/>
          <w:bCs/>
        </w:rPr>
      </w:pPr>
      <w:r w:rsidRPr="00D14235">
        <w:rPr>
          <w:b/>
          <w:bCs/>
        </w:rPr>
        <w:t xml:space="preserve">The committee asked: </w:t>
      </w:r>
      <w:r w:rsidRPr="00D14235">
        <w:rPr>
          <w:i/>
          <w:iCs/>
        </w:rPr>
        <w:t>How would changes to the PSB model affect the accessibility of services? How would a wholly internet-based service compare to the current PSB model?</w:t>
      </w:r>
    </w:p>
    <w:p w:rsidR="00C91EFA" w:rsidP="006E151E">
      <w:pPr>
        <w:jc w:val="both"/>
      </w:pPr>
    </w:p>
    <w:p w:rsidR="00646FBD" w:rsidRPr="00646FBD" w:rsidP="006E151E">
      <w:pPr>
        <w:jc w:val="both"/>
      </w:pPr>
      <w:r w:rsidRPr="00646FBD">
        <w:t>We envision a universal IP TV se</w:t>
      </w:r>
      <w:r w:rsidRPr="00646FBD">
        <w:t xml:space="preserve">rvice available to all households with an IP connection, which would distribute PSB content that is designed to be universal and free-to-view separately from a broadband subscription. </w:t>
      </w:r>
    </w:p>
    <w:p w:rsidR="00646FBD" w:rsidRPr="002B4DD9" w:rsidP="006E151E">
      <w:pPr>
        <w:jc w:val="both"/>
      </w:pPr>
    </w:p>
    <w:p w:rsidR="002B4DD9" w:rsidRPr="002B4DD9" w:rsidP="006E151E">
      <w:pPr>
        <w:pStyle w:val="Default"/>
        <w:spacing w:line="276" w:lineRule="auto"/>
        <w:jc w:val="both"/>
        <w:rPr>
          <w:rFonts w:ascii="Century Gothic" w:eastAsia="Times New Roman" w:hAnsi="Century Gothic" w:cs="Times New Roman"/>
          <w:color w:val="auto"/>
          <w:sz w:val="18"/>
          <w:szCs w:val="18"/>
        </w:rPr>
      </w:pPr>
      <w:r w:rsidRPr="002B4DD9">
        <w:rPr>
          <w:rFonts w:ascii="Century Gothic" w:eastAsia="Times New Roman" w:hAnsi="Century Gothic" w:cs="Times New Roman"/>
          <w:color w:val="auto"/>
          <w:sz w:val="18"/>
          <w:szCs w:val="18"/>
        </w:rPr>
        <w:t xml:space="preserve">Access to superfast broadband (more than 30Mbps) in the UK is already </w:t>
      </w:r>
      <w:r w:rsidRPr="002B4DD9">
        <w:rPr>
          <w:rFonts w:ascii="Century Gothic" w:eastAsia="Times New Roman" w:hAnsi="Century Gothic" w:cs="Times New Roman"/>
          <w:color w:val="auto"/>
          <w:sz w:val="18"/>
          <w:szCs w:val="18"/>
        </w:rPr>
        <w:t>amongst the highest in the world at more than 95%</w:t>
      </w:r>
      <w:r>
        <w:rPr>
          <w:rStyle w:val="FootnoteReference"/>
          <w:rFonts w:eastAsia="Times New Roman" w:cs="Times New Roman"/>
          <w:color w:val="auto"/>
          <w:szCs w:val="18"/>
        </w:rPr>
        <w:footnoteReference w:id="20"/>
      </w:r>
      <w:r w:rsidRPr="002B4DD9">
        <w:rPr>
          <w:rFonts w:ascii="Century Gothic" w:eastAsia="Times New Roman" w:hAnsi="Century Gothic" w:cs="Times New Roman"/>
          <w:color w:val="auto"/>
          <w:sz w:val="18"/>
          <w:szCs w:val="18"/>
        </w:rPr>
        <w:t xml:space="preserve">.  These speeds will be </w:t>
      </w:r>
      <w:r w:rsidRPr="002B4DD9">
        <w:rPr>
          <w:rFonts w:ascii="Century Gothic" w:eastAsia="Times New Roman" w:hAnsi="Century Gothic" w:cs="Times New Roman"/>
          <w:color w:val="auto"/>
          <w:sz w:val="18"/>
          <w:szCs w:val="18"/>
        </w:rPr>
        <w:t>sufficient</w:t>
      </w:r>
      <w:r w:rsidRPr="002B4DD9">
        <w:rPr>
          <w:rFonts w:ascii="Century Gothic" w:eastAsia="Times New Roman" w:hAnsi="Century Gothic" w:cs="Times New Roman"/>
          <w:color w:val="auto"/>
          <w:sz w:val="18"/>
          <w:szCs w:val="18"/>
        </w:rPr>
        <w:t xml:space="preserve"> to deliver a basic universal IP-based TV service (we propose a definition of supporting a minimum of two simultaneous HD streams). </w:t>
      </w:r>
      <w:r>
        <w:rPr>
          <w:rFonts w:ascii="Century Gothic" w:eastAsia="Times New Roman" w:hAnsi="Century Gothic" w:cs="Times New Roman"/>
          <w:color w:val="auto"/>
          <w:sz w:val="18"/>
          <w:szCs w:val="18"/>
        </w:rPr>
        <w:t xml:space="preserve">Although the current network is good, fibre is important as a guarantee of </w:t>
      </w:r>
      <w:r>
        <w:rPr>
          <w:rFonts w:ascii="Century Gothic" w:eastAsia="Times New Roman" w:hAnsi="Century Gothic" w:cs="Times New Roman"/>
          <w:color w:val="auto"/>
          <w:sz w:val="18"/>
          <w:szCs w:val="18"/>
        </w:rPr>
        <w:t>resilience</w:t>
      </w:r>
      <w:r>
        <w:rPr>
          <w:rFonts w:ascii="Century Gothic" w:eastAsia="Times New Roman" w:hAnsi="Century Gothic" w:cs="Times New Roman"/>
          <w:color w:val="auto"/>
          <w:sz w:val="18"/>
          <w:szCs w:val="18"/>
        </w:rPr>
        <w:t xml:space="preserve"> so the Government is right to aim for </w:t>
      </w:r>
      <w:r>
        <w:rPr>
          <w:rFonts w:ascii="Century Gothic" w:eastAsia="Times New Roman" w:hAnsi="Century Gothic" w:cs="Times New Roman"/>
          <w:color w:val="auto"/>
          <w:sz w:val="18"/>
          <w:szCs w:val="18"/>
        </w:rPr>
        <w:t xml:space="preserve">near </w:t>
      </w:r>
      <w:r>
        <w:rPr>
          <w:rFonts w:ascii="Century Gothic" w:eastAsia="Times New Roman" w:hAnsi="Century Gothic" w:cs="Times New Roman"/>
          <w:color w:val="auto"/>
          <w:sz w:val="18"/>
          <w:szCs w:val="18"/>
        </w:rPr>
        <w:t>universal rollout.</w:t>
      </w:r>
      <w:r w:rsidRPr="002B4DD9">
        <w:rPr>
          <w:rFonts w:ascii="Century Gothic" w:eastAsia="Times New Roman" w:hAnsi="Century Gothic" w:cs="Times New Roman"/>
          <w:color w:val="auto"/>
          <w:sz w:val="18"/>
          <w:szCs w:val="18"/>
        </w:rPr>
        <w:t xml:space="preserve"> The Government’s policy is for future-proofed, gigabit capable connectivity to be available universally by 2</w:t>
      </w:r>
      <w:r w:rsidRPr="002B4DD9">
        <w:rPr>
          <w:rFonts w:ascii="Century Gothic" w:eastAsia="Times New Roman" w:hAnsi="Century Gothic" w:cs="Times New Roman"/>
          <w:color w:val="auto"/>
          <w:sz w:val="18"/>
          <w:szCs w:val="18"/>
        </w:rPr>
        <w:t>025 and, via Openreach, BT has committed to reaching 20m premises with full fibre by the mid to late 2020s</w:t>
      </w:r>
      <w:r>
        <w:rPr>
          <w:rStyle w:val="FootnoteReference"/>
          <w:rFonts w:eastAsia="Times New Roman" w:cs="Times New Roman"/>
          <w:color w:val="auto"/>
          <w:szCs w:val="18"/>
        </w:rPr>
        <w:footnoteReference w:id="21"/>
      </w:r>
      <w:r w:rsidRPr="002B4DD9">
        <w:rPr>
          <w:rFonts w:ascii="Century Gothic" w:eastAsia="Times New Roman" w:hAnsi="Century Gothic" w:cs="Times New Roman"/>
          <w:color w:val="auto"/>
          <w:sz w:val="18"/>
          <w:szCs w:val="18"/>
        </w:rPr>
        <w:t>.  Fixed wireless access, using connectivity over the 4G and 5G mobile networks, will also likely play a greater role in connecting premises and supp</w:t>
      </w:r>
      <w:r w:rsidRPr="002B4DD9">
        <w:rPr>
          <w:rFonts w:ascii="Century Gothic" w:eastAsia="Times New Roman" w:hAnsi="Century Gothic" w:cs="Times New Roman"/>
          <w:color w:val="auto"/>
          <w:sz w:val="18"/>
          <w:szCs w:val="18"/>
        </w:rPr>
        <w:t xml:space="preserve">lementing fixed line speeds.  Therefore, subject to the Government and Ofcom </w:t>
      </w:r>
      <w:r>
        <w:rPr>
          <w:rFonts w:ascii="Century Gothic" w:eastAsia="Times New Roman" w:hAnsi="Century Gothic" w:cs="Times New Roman"/>
          <w:color w:val="auto"/>
          <w:sz w:val="18"/>
          <w:szCs w:val="18"/>
        </w:rPr>
        <w:t xml:space="preserve">quickly </w:t>
      </w:r>
      <w:r w:rsidRPr="002B4DD9">
        <w:rPr>
          <w:rFonts w:ascii="Century Gothic" w:eastAsia="Times New Roman" w:hAnsi="Century Gothic" w:cs="Times New Roman"/>
          <w:color w:val="auto"/>
          <w:sz w:val="18"/>
          <w:szCs w:val="18"/>
        </w:rPr>
        <w:t>establishing the right environment for commercial investment,</w:t>
      </w:r>
      <w:r>
        <w:rPr>
          <w:rFonts w:ascii="Century Gothic" w:eastAsia="Times New Roman" w:hAnsi="Century Gothic" w:cs="Times New Roman"/>
          <w:color w:val="auto"/>
          <w:sz w:val="18"/>
          <w:szCs w:val="18"/>
        </w:rPr>
        <w:t xml:space="preserve"> (which will be supported by a plan for PSB</w:t>
      </w:r>
      <w:r w:rsidRPr="002B4DD9">
        <w:rPr>
          <w:rFonts w:ascii="Century Gothic" w:eastAsia="Times New Roman" w:hAnsi="Century Gothic" w:cs="Times New Roman"/>
          <w:color w:val="auto"/>
          <w:sz w:val="18"/>
          <w:szCs w:val="18"/>
        </w:rPr>
        <w:t xml:space="preserve"> </w:t>
      </w:r>
      <w:r>
        <w:rPr>
          <w:rFonts w:ascii="Century Gothic" w:eastAsia="Times New Roman" w:hAnsi="Century Gothic" w:cs="Times New Roman"/>
          <w:color w:val="auto"/>
          <w:sz w:val="18"/>
          <w:szCs w:val="18"/>
        </w:rPr>
        <w:t xml:space="preserve">migration), </w:t>
      </w:r>
      <w:r w:rsidRPr="002B4DD9">
        <w:rPr>
          <w:rFonts w:ascii="Century Gothic" w:eastAsia="Times New Roman" w:hAnsi="Century Gothic" w:cs="Times New Roman"/>
          <w:color w:val="auto"/>
          <w:sz w:val="18"/>
          <w:szCs w:val="18"/>
        </w:rPr>
        <w:t>deployment and public subsidy</w:t>
      </w:r>
      <w:r>
        <w:rPr>
          <w:rStyle w:val="FootnoteReference"/>
          <w:rFonts w:eastAsia="Times New Roman" w:cs="Times New Roman"/>
          <w:color w:val="auto"/>
          <w:szCs w:val="18"/>
        </w:rPr>
        <w:footnoteReference w:id="22"/>
      </w:r>
      <w:r w:rsidRPr="002B4DD9">
        <w:rPr>
          <w:rFonts w:ascii="Century Gothic" w:eastAsia="Times New Roman" w:hAnsi="Century Gothic" w:cs="Times New Roman"/>
          <w:color w:val="auto"/>
          <w:sz w:val="18"/>
          <w:szCs w:val="18"/>
        </w:rPr>
        <w:t>, we believe a transitio</w:t>
      </w:r>
      <w:r w:rsidRPr="002B4DD9">
        <w:rPr>
          <w:rFonts w:ascii="Century Gothic" w:eastAsia="Times New Roman" w:hAnsi="Century Gothic" w:cs="Times New Roman"/>
          <w:color w:val="auto"/>
          <w:sz w:val="18"/>
          <w:szCs w:val="18"/>
        </w:rPr>
        <w:t>n to universal all-IP by the end of the decade is a credible and achievable ambition.</w:t>
      </w:r>
    </w:p>
    <w:p w:rsidR="00646FBD" w:rsidRPr="00646FBD" w:rsidP="006E151E">
      <w:pPr>
        <w:pStyle w:val="Subheading1"/>
        <w:jc w:val="both"/>
      </w:pPr>
      <w:r w:rsidRPr="00646FBD">
        <w:t>Looking ahead and conclusion</w:t>
      </w:r>
    </w:p>
    <w:p w:rsidR="00646FBD" w:rsidRPr="00646FBD" w:rsidP="006E151E">
      <w:pPr>
        <w:jc w:val="both"/>
      </w:pPr>
      <w:r w:rsidRPr="0032141C">
        <w:rPr>
          <w:b/>
        </w:rPr>
        <w:t>The committee asked</w:t>
      </w:r>
      <w:r w:rsidRPr="00646FBD">
        <w:t xml:space="preserve">: </w:t>
      </w:r>
      <w:r w:rsidRPr="0032141C">
        <w:rPr>
          <w:i/>
        </w:rPr>
        <w:t xml:space="preserve">What should a PSB look like in a digital age? What services should they provide, and to whom? In what way, and to whom, </w:t>
      </w:r>
      <w:r w:rsidRPr="0032141C">
        <w:rPr>
          <w:i/>
        </w:rPr>
        <w:t>should they be accountable? Is the term ‘public service broadcasting’ still relevant, and if not, what is a suitable alternative?</w:t>
      </w:r>
    </w:p>
    <w:p w:rsidR="00646FBD" w:rsidRPr="00646FBD" w:rsidP="006E151E">
      <w:pPr>
        <w:jc w:val="both"/>
      </w:pPr>
    </w:p>
    <w:p w:rsidR="00646FBD" w:rsidRPr="00646FBD" w:rsidP="006E151E">
      <w:pPr>
        <w:jc w:val="both"/>
      </w:pPr>
      <w:r w:rsidRPr="00646FBD">
        <w:t>BT believes public service broadcasting is – and will remain - highly relevant and offers quality, reliability and accessibil</w:t>
      </w:r>
      <w:r w:rsidRPr="00646FBD">
        <w:t>ity to public debate that commercial broadcasters and OTT players cannot always meet, as the latter are predominantly commercially driven organisations. PSB media plays an important role in holding institutions to account and fostering public trust in civi</w:t>
      </w:r>
      <w:r w:rsidRPr="00646FBD">
        <w:t>c society, as well as representing the diversity of the UK. The current system of accountability works well and should be maintained.</w:t>
      </w:r>
    </w:p>
    <w:p w:rsidR="00646FBD" w:rsidRPr="00646FBD" w:rsidP="006E151E">
      <w:pPr>
        <w:jc w:val="both"/>
      </w:pPr>
    </w:p>
    <w:p w:rsidR="00646FBD" w:rsidRPr="00646FBD" w:rsidP="006E151E">
      <w:pPr>
        <w:jc w:val="both"/>
      </w:pPr>
      <w:r w:rsidRPr="00646FBD">
        <w:t xml:space="preserve">As we have outlined here, BT believes the most significant change required for the digital age is to upgrade the PSBs to </w:t>
      </w:r>
      <w:r w:rsidRPr="00646FBD">
        <w:t xml:space="preserve">fully digital IP distribution. And that the current or a similar mix of organisations sufficiently funded to create a similarly broad range of public service content is the best way to bring all citizens into the digital age. </w:t>
      </w:r>
    </w:p>
    <w:p w:rsidR="00646FBD" w:rsidRPr="00646FBD" w:rsidP="006E151E">
      <w:pPr>
        <w:jc w:val="both"/>
      </w:pPr>
    </w:p>
    <w:p w:rsidR="00646FBD" w:rsidRPr="00646FBD" w:rsidP="006E151E">
      <w:pPr>
        <w:jc w:val="both"/>
      </w:pPr>
      <w:r w:rsidRPr="00646FBD">
        <w:t>Without intervention to prov</w:t>
      </w:r>
      <w:r w:rsidRPr="00646FBD">
        <w:t>ide appropriate support to cohorts that need it, digital participation is unlikely to reach universality (98.5%+) as not everyone has the inclination or the skills to navigate the online world. But, as we have set out, there are very strong public policy d</w:t>
      </w:r>
      <w:r w:rsidRPr="00646FBD">
        <w:t xml:space="preserve">rivers to draw these cohorts online in a way that is </w:t>
      </w:r>
      <w:r w:rsidRPr="00646FBD">
        <w:t>sufficient</w:t>
      </w:r>
      <w:r w:rsidRPr="00646FBD">
        <w:t xml:space="preserve"> and manageable for them. </w:t>
      </w:r>
    </w:p>
    <w:p w:rsidR="00646FBD" w:rsidRPr="00646FBD" w:rsidP="006E151E">
      <w:pPr>
        <w:jc w:val="both"/>
      </w:pPr>
    </w:p>
    <w:p w:rsidR="00646FBD" w:rsidRPr="00646FBD" w:rsidP="006E151E">
      <w:pPr>
        <w:jc w:val="both"/>
      </w:pPr>
      <w:r w:rsidRPr="00646FBD">
        <w:t>Combining this imperative with the creation of a sustainable new model for PSBs, based on IP distribution within a governing regulatory framework, is not only the be</w:t>
      </w:r>
      <w:r w:rsidRPr="00646FBD">
        <w:t>st way to deliver both goals, but also enables several further synergies:</w:t>
      </w:r>
    </w:p>
    <w:p w:rsidR="00646FBD" w:rsidRPr="00646FBD" w:rsidP="006E151E">
      <w:pPr>
        <w:pStyle w:val="ListParagraph"/>
        <w:numPr>
          <w:ilvl w:val="0"/>
          <w:numId w:val="32"/>
        </w:numPr>
        <w:jc w:val="both"/>
      </w:pPr>
      <w:r w:rsidRPr="00646FBD">
        <w:t>for customers, with better quality connections at lower costs,</w:t>
      </w:r>
    </w:p>
    <w:p w:rsidR="00646FBD" w:rsidRPr="00646FBD" w:rsidP="006E151E">
      <w:pPr>
        <w:pStyle w:val="ListParagraph"/>
        <w:numPr>
          <w:ilvl w:val="0"/>
          <w:numId w:val="32"/>
        </w:numPr>
        <w:jc w:val="both"/>
      </w:pPr>
      <w:r w:rsidRPr="00646FBD">
        <w:t>for viewers, receiving both universal and personalised viewing options,</w:t>
      </w:r>
    </w:p>
    <w:p w:rsidR="00646FBD" w:rsidRPr="00646FBD" w:rsidP="006E151E">
      <w:pPr>
        <w:pStyle w:val="ListParagraph"/>
        <w:numPr>
          <w:ilvl w:val="0"/>
          <w:numId w:val="32"/>
        </w:numPr>
        <w:jc w:val="both"/>
      </w:pPr>
      <w:r w:rsidRPr="00646FBD">
        <w:t xml:space="preserve">and for citizens, who will be able to access the public and digital services they need. </w:t>
      </w:r>
    </w:p>
    <w:p w:rsidR="00646FBD" w:rsidRPr="00646FBD" w:rsidP="006E151E">
      <w:pPr>
        <w:jc w:val="both"/>
      </w:pPr>
    </w:p>
    <w:p w:rsidR="001B0521" w:rsidRPr="00430AA6" w:rsidP="00EC6E53">
      <w:pPr>
        <w:jc w:val="both"/>
        <w:rPr>
          <w:color w:val="5514B4" w:themeColor="accent1"/>
        </w:rPr>
      </w:pPr>
      <w:r w:rsidRPr="00646FBD">
        <w:t>Concentrating on an all-IP distribution format will also accelerate innovation in new forms of TV based media</w:t>
      </w:r>
      <w:r>
        <w:t>,</w:t>
      </w:r>
      <w:r w:rsidRPr="00646FBD">
        <w:t xml:space="preserve"> strengthen the UK creative industry sector and will ena</w:t>
      </w:r>
      <w:r w:rsidRPr="00646FBD">
        <w:t>ble the UK to once again lead the world in TV innovation.</w:t>
      </w:r>
      <w:r>
        <w:t xml:space="preserve"> </w:t>
      </w:r>
      <w:r w:rsidRPr="00646FBD">
        <w:t>BT is confident the UK’s IP networks will be ready and capable to support such a transition. We are ready and willing to be a partner to UK PSBs and wider UK broadcast services to help them make the</w:t>
      </w:r>
      <w:r w:rsidRPr="00646FBD">
        <w:t xml:space="preserve"> shift to IP delivery and emerge stronger, delivering a new set of benefits to society</w:t>
      </w:r>
      <w:r>
        <w:t>.</w:t>
      </w:r>
    </w:p>
    <w:sectPr w:rsidSect="00956B4A">
      <w:headerReference w:type="default" r:id="rId8"/>
      <w:footerReference w:type="default" r:id="rId9"/>
      <w:pgSz w:w="11906" w:h="16838" w:code="9"/>
      <w:pgMar w:top="1134" w:right="1134" w:bottom="1134" w:left="1134" w:header="794"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742" w:rsidRPr="00D444A7" w:rsidP="00A14DD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46BC8" w:rsidP="006E39A0">
      <w:r>
        <w:separator/>
      </w:r>
    </w:p>
  </w:footnote>
  <w:footnote w:type="continuationSeparator" w:id="1">
    <w:p w:rsidR="00546BC8" w:rsidP="006E39A0">
      <w:r>
        <w:continuationSeparator/>
      </w:r>
    </w:p>
  </w:footnote>
  <w:footnote w:id="2">
    <w:p w:rsidR="00A91742" w:rsidRPr="00B626F3">
      <w:pPr>
        <w:pStyle w:val="FootnoteText"/>
        <w:rPr>
          <w:sz w:val="14"/>
          <w:szCs w:val="14"/>
        </w:rPr>
      </w:pPr>
      <w:r w:rsidRPr="00B626F3">
        <w:rPr>
          <w:rStyle w:val="FootnoteReference"/>
          <w:sz w:val="14"/>
          <w:szCs w:val="14"/>
        </w:rPr>
        <w:footnoteRef/>
      </w:r>
      <w:r w:rsidRPr="00B626F3">
        <w:rPr>
          <w:sz w:val="14"/>
          <w:szCs w:val="14"/>
        </w:rPr>
        <w:t>A distribution mechanism</w:t>
      </w:r>
      <w:r w:rsidRPr="00B626F3">
        <w:rPr>
          <w:sz w:val="14"/>
          <w:szCs w:val="14"/>
        </w:rPr>
        <w:t xml:space="preserve"> from one-to-many intended recipients in an IP network.</w:t>
      </w:r>
    </w:p>
  </w:footnote>
  <w:footnote w:id="3">
    <w:p w:rsidR="00A91742" w:rsidRPr="00095D70" w:rsidP="00FF3A26">
      <w:pPr>
        <w:pStyle w:val="FootnoteText"/>
        <w:rPr>
          <w:sz w:val="14"/>
          <w:szCs w:val="14"/>
        </w:rPr>
      </w:pPr>
      <w:r w:rsidRPr="00095D70">
        <w:rPr>
          <w:rStyle w:val="FootnoteReference"/>
          <w:sz w:val="14"/>
          <w:szCs w:val="14"/>
        </w:rPr>
        <w:footnoteRef/>
      </w:r>
      <w:r w:rsidRPr="00095D70">
        <w:rPr>
          <w:sz w:val="14"/>
          <w:szCs w:val="14"/>
        </w:rPr>
        <w:t xml:space="preserve"> Ofcom Broadcasters data for five main PSBs, 2014 – 2018, shows 14% decrease in ad revenue in 2018 vs 2014/ 3% decrease YoY: </w:t>
      </w:r>
      <w:r>
        <w:fldChar w:fldCharType="begin"/>
      </w:r>
      <w:r>
        <w:instrText xml:space="preserve"> HYPERLINK "https://www.smallscreenbigdebate.co.uk/what-is-ssbd/ssbd-five-year-review" </w:instrText>
      </w:r>
      <w:r>
        <w:fldChar w:fldCharType="separate"/>
      </w:r>
      <w:r w:rsidRPr="00095D70">
        <w:rPr>
          <w:rStyle w:val="Hyperlink"/>
          <w:sz w:val="14"/>
          <w:szCs w:val="14"/>
        </w:rPr>
        <w:t>https://www.smallscreenbigdebate.co.uk/what-is-ssbd/ssbd-five-year-review</w:t>
      </w:r>
      <w:r>
        <w:fldChar w:fldCharType="end"/>
      </w:r>
    </w:p>
  </w:footnote>
  <w:footnote w:id="4">
    <w:p w:rsidR="00A91742" w:rsidRPr="00095D70" w:rsidP="00FF3A26">
      <w:pPr>
        <w:pStyle w:val="FootnoteText"/>
        <w:rPr>
          <w:sz w:val="14"/>
          <w:szCs w:val="14"/>
        </w:rPr>
      </w:pPr>
      <w:r w:rsidRPr="00095D70">
        <w:rPr>
          <w:rStyle w:val="FootnoteReference"/>
          <w:sz w:val="14"/>
          <w:szCs w:val="14"/>
        </w:rPr>
        <w:footnoteRef/>
      </w:r>
      <w:r w:rsidRPr="00095D70">
        <w:rPr>
          <w:sz w:val="14"/>
          <w:szCs w:val="14"/>
        </w:rPr>
        <w:t xml:space="preserve"> Ofcom Media Nations Report 2019: </w:t>
      </w:r>
      <w:r>
        <w:fldChar w:fldCharType="begin"/>
      </w:r>
      <w:r>
        <w:instrText xml:space="preserve"> HYPERLINK "https://www.ofcom.org.uk/__data/assets/pdf_file/0019/160714/media-nations-2019-uk-report.pdf" </w:instrText>
      </w:r>
      <w:r>
        <w:fldChar w:fldCharType="separate"/>
      </w:r>
      <w:r w:rsidRPr="00095D70">
        <w:rPr>
          <w:rStyle w:val="Hyperlink"/>
          <w:sz w:val="14"/>
          <w:szCs w:val="14"/>
        </w:rPr>
        <w:t>https://www.ofcom.org.uk/__data/assets/pdf_file/0019/160714/media-nations-2019-uk-report.pdf</w:t>
      </w:r>
      <w:r>
        <w:fldChar w:fldCharType="end"/>
      </w:r>
      <w:r w:rsidRPr="00095D70">
        <w:rPr>
          <w:sz w:val="14"/>
          <w:szCs w:val="14"/>
        </w:rPr>
        <w:t xml:space="preserve"> Figure 1.11 (pg22) and Figure 2.1 (</w:t>
      </w:r>
      <w:r w:rsidRPr="00095D70">
        <w:rPr>
          <w:sz w:val="14"/>
          <w:szCs w:val="14"/>
        </w:rPr>
        <w:t>pg</w:t>
      </w:r>
      <w:r w:rsidRPr="00095D70">
        <w:rPr>
          <w:sz w:val="14"/>
          <w:szCs w:val="14"/>
        </w:rPr>
        <w:t xml:space="preserve"> </w:t>
      </w:r>
      <w:r>
        <w:rPr>
          <w:sz w:val="14"/>
          <w:szCs w:val="14"/>
        </w:rPr>
        <w:t>29-</w:t>
      </w:r>
      <w:r w:rsidRPr="00095D70">
        <w:rPr>
          <w:sz w:val="14"/>
          <w:szCs w:val="14"/>
        </w:rPr>
        <w:t>30)</w:t>
      </w:r>
    </w:p>
  </w:footnote>
  <w:footnote w:id="5">
    <w:p w:rsidR="00A91742" w:rsidRPr="00095D70" w:rsidP="00FF3A26">
      <w:pPr>
        <w:pStyle w:val="FootnoteText"/>
        <w:rPr>
          <w:sz w:val="14"/>
          <w:szCs w:val="14"/>
        </w:rPr>
      </w:pPr>
      <w:r w:rsidRPr="00095D70">
        <w:rPr>
          <w:rStyle w:val="FootnoteReference"/>
          <w:sz w:val="14"/>
          <w:szCs w:val="14"/>
        </w:rPr>
        <w:footnoteRef/>
      </w:r>
      <w:r w:rsidRPr="00095D70">
        <w:rPr>
          <w:sz w:val="14"/>
          <w:szCs w:val="14"/>
        </w:rPr>
        <w:t xml:space="preserve"> Ofcom’s</w:t>
      </w:r>
      <w:r w:rsidRPr="00095D70">
        <w:rPr>
          <w:sz w:val="14"/>
          <w:szCs w:val="14"/>
        </w:rPr>
        <w:t xml:space="preserve"> small screen: big debate research: </w:t>
      </w:r>
      <w:r>
        <w:fldChar w:fldCharType="begin"/>
      </w:r>
      <w:r>
        <w:instrText xml:space="preserve"> HYPERLINK "https://www.smallscreenbigdebate.co.uk/research" </w:instrText>
      </w:r>
      <w:r>
        <w:fldChar w:fldCharType="separate"/>
      </w:r>
      <w:r w:rsidRPr="00095D70">
        <w:rPr>
          <w:rStyle w:val="Hyperlink"/>
          <w:sz w:val="14"/>
          <w:szCs w:val="14"/>
        </w:rPr>
        <w:t>https://www.smallscreenbigdebate.co.uk/research</w:t>
      </w:r>
      <w:r>
        <w:fldChar w:fldCharType="end"/>
      </w:r>
    </w:p>
  </w:footnote>
  <w:footnote w:id="6">
    <w:p w:rsidR="00A91742" w:rsidRPr="00095D70" w:rsidP="00FF3A26">
      <w:pPr>
        <w:pStyle w:val="FootnoteText"/>
        <w:rPr>
          <w:sz w:val="14"/>
          <w:szCs w:val="14"/>
        </w:rPr>
      </w:pPr>
      <w:r w:rsidRPr="00095D70">
        <w:rPr>
          <w:rStyle w:val="FootnoteReference"/>
          <w:sz w:val="14"/>
          <w:szCs w:val="14"/>
        </w:rPr>
        <w:footnoteRef/>
      </w:r>
      <w:r w:rsidRPr="00095D70">
        <w:rPr>
          <w:sz w:val="14"/>
          <w:szCs w:val="14"/>
        </w:rPr>
        <w:t xml:space="preserve"> Ofcom Broadcasters data for five main PSBs, 2014-2018, shows 14% decrease in advertising revenues and 15% </w:t>
      </w:r>
      <w:r w:rsidRPr="00095D70">
        <w:rPr>
          <w:sz w:val="14"/>
          <w:szCs w:val="14"/>
        </w:rPr>
        <w:t xml:space="preserve">decrease in public funding in 2018 vs 2014: </w:t>
      </w:r>
      <w:r>
        <w:fldChar w:fldCharType="begin"/>
      </w:r>
      <w:r>
        <w:instrText xml:space="preserve"> HYPERLINK "https://www.smallscreenbigdebate.co.uk/what-is-ssbd/ssbd-five-year-review" </w:instrText>
      </w:r>
      <w:r>
        <w:fldChar w:fldCharType="separate"/>
      </w:r>
      <w:r w:rsidRPr="00095D70">
        <w:rPr>
          <w:rStyle w:val="Hyperlink"/>
          <w:sz w:val="14"/>
          <w:szCs w:val="14"/>
        </w:rPr>
        <w:t>https://www.smallscreenbigdebate.co.uk/what-is-ssbd/ssbd-five-year-review</w:t>
      </w:r>
      <w:r>
        <w:fldChar w:fldCharType="end"/>
      </w:r>
    </w:p>
  </w:footnote>
  <w:footnote w:id="7">
    <w:p w:rsidR="00A91742">
      <w:pPr>
        <w:pStyle w:val="FootnoteText"/>
      </w:pPr>
      <w:r w:rsidRPr="00095D70">
        <w:rPr>
          <w:rStyle w:val="FootnoteReference"/>
          <w:sz w:val="14"/>
          <w:szCs w:val="14"/>
        </w:rPr>
        <w:footnoteRef/>
      </w:r>
      <w:r w:rsidRPr="00095D70">
        <w:rPr>
          <w:sz w:val="14"/>
          <w:szCs w:val="14"/>
        </w:rPr>
        <w:t xml:space="preserve"> Ofcom’s small screen: big debate five year rev</w:t>
      </w:r>
      <w:r w:rsidRPr="00095D70">
        <w:rPr>
          <w:sz w:val="14"/>
          <w:szCs w:val="14"/>
        </w:rPr>
        <w:t xml:space="preserve">iew, TV channel revenue: </w:t>
      </w:r>
      <w:r>
        <w:fldChar w:fldCharType="begin"/>
      </w:r>
      <w:r>
        <w:instrText xml:space="preserve"> HYPERLINK "https://www.smallscreenbigdebate.co.uk/what-is-ssbd/ssbd-five-year-review" </w:instrText>
      </w:r>
      <w:r>
        <w:fldChar w:fldCharType="separate"/>
      </w:r>
      <w:r w:rsidRPr="00095D70">
        <w:rPr>
          <w:rStyle w:val="Hyperlink"/>
          <w:sz w:val="14"/>
          <w:szCs w:val="14"/>
        </w:rPr>
        <w:t>https://www.smallscreenbigdebate.co.uk/what-is-ssbd/ssbd-five-year-review</w:t>
      </w:r>
      <w:r>
        <w:fldChar w:fldCharType="end"/>
      </w:r>
      <w:r w:rsidRPr="00095D70">
        <w:rPr>
          <w:sz w:val="14"/>
          <w:szCs w:val="14"/>
        </w:rPr>
        <w:t xml:space="preserve"> </w:t>
      </w:r>
    </w:p>
  </w:footnote>
  <w:footnote w:id="8">
    <w:p w:rsidR="00A91742" w:rsidRPr="003617FE">
      <w:pPr>
        <w:pStyle w:val="FootnoteText"/>
        <w:rPr>
          <w:sz w:val="14"/>
          <w:szCs w:val="14"/>
        </w:rPr>
      </w:pPr>
      <w:r w:rsidRPr="003617FE">
        <w:rPr>
          <w:rStyle w:val="FootnoteReference"/>
          <w:sz w:val="14"/>
          <w:szCs w:val="14"/>
        </w:rPr>
        <w:footnoteRef/>
      </w:r>
      <w:r w:rsidRPr="003617FE">
        <w:rPr>
          <w:sz w:val="14"/>
          <w:szCs w:val="14"/>
        </w:rPr>
        <w:t xml:space="preserve"> Oliver &amp; </w:t>
      </w:r>
      <w:r w:rsidRPr="003617FE">
        <w:rPr>
          <w:sz w:val="14"/>
          <w:szCs w:val="14"/>
        </w:rPr>
        <w:t>Ohlbaum</w:t>
      </w:r>
      <w:r w:rsidRPr="003617FE">
        <w:rPr>
          <w:sz w:val="14"/>
          <w:szCs w:val="14"/>
        </w:rPr>
        <w:t xml:space="preserve"> research charts 9 &amp; 10 </w:t>
      </w:r>
      <w:r>
        <w:fldChar w:fldCharType="begin"/>
      </w:r>
      <w:r>
        <w:instrText xml:space="preserve"> HYPERLINK "https://cmpa.ca/wp-content/uploads/2019/01/Appendix-C-Oliver-Ohlbaum-Associates-2018-The-impact-of-the-UK-te...-1.pdf" </w:instrText>
      </w:r>
      <w:r>
        <w:fldChar w:fldCharType="separate"/>
      </w:r>
      <w:r w:rsidRPr="003617FE">
        <w:rPr>
          <w:rStyle w:val="Hyperlink"/>
          <w:sz w:val="14"/>
          <w:szCs w:val="14"/>
        </w:rPr>
        <w:t>https://cmpa.ca/wp-content/uploads/2019/01/Appendix-C-Oliver-Ohlbaum-Associates-2018-The-impact-of-the-UK-te...-1.pdf</w:t>
      </w:r>
      <w:r>
        <w:fldChar w:fldCharType="end"/>
      </w:r>
      <w:r w:rsidRPr="003617FE">
        <w:rPr>
          <w:sz w:val="14"/>
          <w:szCs w:val="14"/>
        </w:rPr>
        <w:t xml:space="preserve"> </w:t>
      </w:r>
    </w:p>
  </w:footnote>
  <w:footnote w:id="9">
    <w:p w:rsidR="00A91742" w:rsidRPr="003617FE">
      <w:pPr>
        <w:pStyle w:val="FootnoteText"/>
        <w:rPr>
          <w:sz w:val="14"/>
          <w:szCs w:val="14"/>
        </w:rPr>
      </w:pPr>
      <w:r w:rsidRPr="003617FE">
        <w:rPr>
          <w:rStyle w:val="FootnoteReference"/>
          <w:sz w:val="14"/>
          <w:szCs w:val="14"/>
        </w:rPr>
        <w:footnoteRef/>
      </w:r>
      <w:r w:rsidRPr="003617FE">
        <w:rPr>
          <w:sz w:val="14"/>
          <w:szCs w:val="14"/>
        </w:rPr>
        <w:t xml:space="preserve"> BBC News, PM’s Coronaviru</w:t>
      </w:r>
      <w:r w:rsidRPr="003617FE">
        <w:rPr>
          <w:sz w:val="14"/>
          <w:szCs w:val="14"/>
        </w:rPr>
        <w:t>s address watched by 21.7m, 24 March 2020</w:t>
      </w:r>
      <w:r w:rsidRPr="003617FE">
        <w:rPr>
          <w:i/>
          <w:iCs/>
          <w:sz w:val="14"/>
          <w:szCs w:val="14"/>
        </w:rPr>
        <w:t xml:space="preserve"> </w:t>
      </w:r>
      <w:r>
        <w:fldChar w:fldCharType="begin"/>
      </w:r>
      <w:r>
        <w:instrText xml:space="preserve"> HYPERLINK "https://www.bbc.co.uk/news/entertainment-arts-52018502" </w:instrText>
      </w:r>
      <w:r>
        <w:fldChar w:fldCharType="separate"/>
      </w:r>
      <w:r w:rsidRPr="003617FE">
        <w:rPr>
          <w:rStyle w:val="Hyperlink"/>
          <w:sz w:val="14"/>
          <w:szCs w:val="14"/>
        </w:rPr>
        <w:t>https://www.bbc.co.uk/news/entertainment-arts-52018502</w:t>
      </w:r>
      <w:r>
        <w:fldChar w:fldCharType="end"/>
      </w:r>
    </w:p>
  </w:footnote>
  <w:footnote w:id="10">
    <w:p w:rsidR="00A91742" w:rsidRPr="003617FE" w:rsidP="007E750A">
      <w:pPr>
        <w:pStyle w:val="FootnoteText"/>
        <w:rPr>
          <w:sz w:val="14"/>
          <w:szCs w:val="14"/>
        </w:rPr>
      </w:pPr>
      <w:r w:rsidRPr="003617FE">
        <w:rPr>
          <w:rStyle w:val="FootnoteReference"/>
          <w:sz w:val="14"/>
          <w:szCs w:val="14"/>
        </w:rPr>
        <w:footnoteRef/>
      </w:r>
      <w:r w:rsidRPr="003617FE">
        <w:rPr>
          <w:sz w:val="14"/>
          <w:szCs w:val="14"/>
        </w:rPr>
        <w:t xml:space="preserve"> Ofcom, Connected Nations report 2019, </w:t>
      </w:r>
      <w:r w:rsidRPr="003617FE">
        <w:rPr>
          <w:sz w:val="14"/>
          <w:szCs w:val="14"/>
        </w:rPr>
        <w:t>pg</w:t>
      </w:r>
      <w:r w:rsidRPr="003617FE">
        <w:rPr>
          <w:sz w:val="14"/>
          <w:szCs w:val="14"/>
        </w:rPr>
        <w:t xml:space="preserve"> 2:  </w:t>
      </w:r>
      <w:r>
        <w:fldChar w:fldCharType="begin"/>
      </w:r>
      <w:r>
        <w:instrText xml:space="preserve"> HYPERLINK "https://www.ofcom.org.uk/__data/assets/pdf_file/0023/186413/Connected-Nations-2019-UK-final.pdf" </w:instrText>
      </w:r>
      <w:r>
        <w:fldChar w:fldCharType="separate"/>
      </w:r>
      <w:r w:rsidRPr="003617FE">
        <w:rPr>
          <w:rStyle w:val="Hyperlink"/>
          <w:sz w:val="14"/>
          <w:szCs w:val="14"/>
        </w:rPr>
        <w:t>https://www.ofcom.org.uk/__data/assets/pdf_file/0023/186413/Connected-Nations-2019-UK-final.pdf</w:t>
      </w:r>
      <w:r>
        <w:fldChar w:fldCharType="end"/>
      </w:r>
      <w:r w:rsidRPr="003617FE">
        <w:rPr>
          <w:sz w:val="14"/>
          <w:szCs w:val="14"/>
        </w:rPr>
        <w:t xml:space="preserve"> </w:t>
      </w:r>
    </w:p>
  </w:footnote>
  <w:footnote w:id="11">
    <w:p w:rsidR="00A91742" w:rsidRPr="003617FE" w:rsidP="007E750A">
      <w:pPr>
        <w:pStyle w:val="FootnoteText"/>
        <w:rPr>
          <w:sz w:val="14"/>
          <w:szCs w:val="14"/>
        </w:rPr>
      </w:pPr>
      <w:r w:rsidRPr="003617FE">
        <w:rPr>
          <w:rStyle w:val="FootnoteReference"/>
          <w:sz w:val="14"/>
          <w:szCs w:val="14"/>
        </w:rPr>
        <w:footnoteRef/>
      </w:r>
      <w:r w:rsidRPr="003617FE">
        <w:rPr>
          <w:sz w:val="14"/>
          <w:szCs w:val="14"/>
        </w:rPr>
        <w:t xml:space="preserve"> BSG and </w:t>
      </w:r>
      <w:r w:rsidRPr="003617FE">
        <w:rPr>
          <w:sz w:val="14"/>
          <w:szCs w:val="14"/>
        </w:rPr>
        <w:t>Comres</w:t>
      </w:r>
      <w:r w:rsidRPr="003617FE">
        <w:rPr>
          <w:sz w:val="14"/>
          <w:szCs w:val="14"/>
        </w:rPr>
        <w:t xml:space="preserve">, Feb 2019, foreword: </w:t>
      </w:r>
      <w:r>
        <w:fldChar w:fldCharType="begin"/>
      </w:r>
      <w:r>
        <w:instrText xml:space="preserve"> HYPERLINK "http://www.broadbanduk.org/wp-content/uploads/2019/02/ComRes_Broadband-Stakeholder-Group_digital-exclusion-research_final-report_February-2019.pdf" </w:instrText>
      </w:r>
      <w:r>
        <w:fldChar w:fldCharType="separate"/>
      </w:r>
      <w:r w:rsidRPr="003617FE">
        <w:rPr>
          <w:rStyle w:val="Hyperlink"/>
          <w:sz w:val="14"/>
          <w:szCs w:val="14"/>
        </w:rPr>
        <w:t>http://www.broadbanduk.org/wp-content/uploads/2019/02/ComRes_Broadband-Stakeholder-Group_digital-exclusion-research_final-report_February-2019.pdf</w:t>
      </w:r>
      <w:r>
        <w:fldChar w:fldCharType="end"/>
      </w:r>
      <w:r w:rsidRPr="003617FE">
        <w:rPr>
          <w:sz w:val="14"/>
          <w:szCs w:val="14"/>
        </w:rPr>
        <w:t xml:space="preserve"> </w:t>
      </w:r>
    </w:p>
  </w:footnote>
  <w:footnote w:id="12">
    <w:p w:rsidR="00A91742" w:rsidRPr="003617FE" w:rsidP="007E750A">
      <w:pPr>
        <w:pStyle w:val="FootnoteText"/>
        <w:rPr>
          <w:sz w:val="14"/>
          <w:szCs w:val="14"/>
        </w:rPr>
      </w:pPr>
      <w:r w:rsidRPr="003617FE">
        <w:rPr>
          <w:rStyle w:val="FootnoteReference"/>
          <w:sz w:val="14"/>
          <w:szCs w:val="14"/>
        </w:rPr>
        <w:footnoteRef/>
      </w:r>
      <w:r w:rsidRPr="003617FE">
        <w:rPr>
          <w:sz w:val="14"/>
          <w:szCs w:val="14"/>
        </w:rPr>
        <w:t xml:space="preserve"> ONS, 16 May 2020, UK population estimates in 2019: </w:t>
      </w:r>
      <w:r>
        <w:fldChar w:fldCharType="begin"/>
      </w:r>
      <w:r>
        <w:instrText xml:space="preserve"> HYPERLINK "https://www.ons.gov.uk/peoplepopulationandcommunity/populationandmigration/populationestimates/bulletins/annualmidyearpopulationestimates/mid2019" </w:instrText>
      </w:r>
      <w:r>
        <w:fldChar w:fldCharType="separate"/>
      </w:r>
      <w:r w:rsidRPr="003617FE">
        <w:rPr>
          <w:rStyle w:val="Hyperlink"/>
          <w:sz w:val="14"/>
          <w:szCs w:val="14"/>
        </w:rPr>
        <w:t>https://www.ons.gov.uk/peoplepopulationandcommunity/populationandmigration/populationestimates/bu</w:t>
      </w:r>
      <w:r w:rsidRPr="003617FE">
        <w:rPr>
          <w:rStyle w:val="Hyperlink"/>
          <w:sz w:val="14"/>
          <w:szCs w:val="14"/>
        </w:rPr>
        <w:t>lletins/annualmidyearpopulationestimates/mid2019</w:t>
      </w:r>
      <w:r>
        <w:fldChar w:fldCharType="end"/>
      </w:r>
      <w:r w:rsidRPr="003617FE">
        <w:rPr>
          <w:sz w:val="14"/>
          <w:szCs w:val="14"/>
        </w:rPr>
        <w:t xml:space="preserve"> </w:t>
      </w:r>
    </w:p>
  </w:footnote>
  <w:footnote w:id="13">
    <w:p w:rsidR="00A91742" w:rsidRPr="003617FE">
      <w:pPr>
        <w:pStyle w:val="FootnoteText"/>
        <w:rPr>
          <w:sz w:val="14"/>
          <w:szCs w:val="14"/>
        </w:rPr>
      </w:pPr>
      <w:r w:rsidRPr="003617FE">
        <w:rPr>
          <w:rStyle w:val="FootnoteReference"/>
          <w:sz w:val="14"/>
          <w:szCs w:val="14"/>
        </w:rPr>
        <w:footnoteRef/>
      </w:r>
      <w:r w:rsidRPr="003617FE">
        <w:rPr>
          <w:sz w:val="14"/>
          <w:szCs w:val="14"/>
        </w:rPr>
        <w:t xml:space="preserve"> This research was carried out before the pandemic.</w:t>
      </w:r>
    </w:p>
  </w:footnote>
  <w:footnote w:id="14">
    <w:p w:rsidR="00A91742">
      <w:pPr>
        <w:pStyle w:val="FootnoteText"/>
      </w:pPr>
      <w:r w:rsidRPr="003617FE">
        <w:rPr>
          <w:rStyle w:val="FootnoteReference"/>
          <w:sz w:val="14"/>
          <w:szCs w:val="14"/>
        </w:rPr>
        <w:footnoteRef/>
      </w:r>
      <w:r w:rsidRPr="003617FE">
        <w:rPr>
          <w:sz w:val="14"/>
          <w:szCs w:val="14"/>
        </w:rPr>
        <w:t>‘</w:t>
      </w:r>
      <w:r w:rsidRPr="003617FE">
        <w:rPr>
          <w:i/>
          <w:iCs/>
          <w:sz w:val="14"/>
          <w:szCs w:val="14"/>
        </w:rPr>
        <w:t>…</w:t>
      </w:r>
      <w:r w:rsidRPr="003617FE">
        <w:rPr>
          <w:rFonts w:asciiTheme="minorHAnsi" w:hAnsiTheme="minorHAnsi" w:cs="Times New Roman"/>
          <w:i/>
          <w:iCs/>
          <w:color w:val="auto"/>
          <w:sz w:val="14"/>
          <w:szCs w:val="14"/>
        </w:rPr>
        <w:t>this cohort… are likely to be poorer, less well educated and in worse health than their peers’</w:t>
      </w:r>
      <w:r w:rsidRPr="003617FE">
        <w:rPr>
          <w:i/>
          <w:iCs/>
          <w:sz w:val="14"/>
          <w:szCs w:val="14"/>
        </w:rPr>
        <w:t xml:space="preserve"> </w:t>
      </w:r>
      <w:r>
        <w:fldChar w:fldCharType="begin"/>
      </w:r>
      <w:r>
        <w:instrText xml:space="preserve"> HYPERLINK "https://www.ageing-better.org.uk/publications/digital-age" </w:instrText>
      </w:r>
      <w:r>
        <w:fldChar w:fldCharType="separate"/>
      </w:r>
      <w:r w:rsidRPr="003617FE">
        <w:rPr>
          <w:rStyle w:val="Hyperlink"/>
          <w:rFonts w:asciiTheme="minorHAnsi" w:hAnsiTheme="minorHAnsi"/>
          <w:bCs/>
          <w:sz w:val="14"/>
          <w:szCs w:val="14"/>
        </w:rPr>
        <w:t>https://www.ageing-better.org.uk/publications/digital-age</w:t>
      </w:r>
      <w:r>
        <w:fldChar w:fldCharType="end"/>
      </w:r>
      <w:r w:rsidRPr="0046604F">
        <w:rPr>
          <w:rStyle w:val="Hyperlink"/>
          <w:rFonts w:asciiTheme="minorHAnsi" w:hAnsiTheme="minorHAnsi"/>
          <w:bCs/>
          <w:sz w:val="16"/>
          <w:szCs w:val="16"/>
        </w:rPr>
        <w:t xml:space="preserve">  </w:t>
      </w:r>
    </w:p>
  </w:footnote>
  <w:footnote w:id="15">
    <w:p w:rsidR="00FD15F6" w:rsidRPr="00AC7A8A">
      <w:pPr>
        <w:pStyle w:val="FootnoteText"/>
        <w:rPr>
          <w:sz w:val="14"/>
          <w:szCs w:val="14"/>
        </w:rPr>
      </w:pPr>
      <w:r w:rsidRPr="00AC7A8A">
        <w:rPr>
          <w:rStyle w:val="FootnoteReference"/>
          <w:sz w:val="14"/>
          <w:szCs w:val="14"/>
        </w:rPr>
        <w:footnoteRef/>
      </w:r>
      <w:r w:rsidRPr="00AC7A8A">
        <w:rPr>
          <w:sz w:val="14"/>
          <w:szCs w:val="14"/>
        </w:rPr>
        <w:t xml:space="preserve"> </w:t>
      </w:r>
      <w:r w:rsidRPr="00AC7A8A">
        <w:rPr>
          <w:sz w:val="14"/>
          <w:szCs w:val="14"/>
        </w:rPr>
        <w:t>ONS</w:t>
      </w:r>
      <w:r w:rsidRPr="00AC7A8A">
        <w:rPr>
          <w:sz w:val="14"/>
          <w:szCs w:val="14"/>
        </w:rPr>
        <w:t xml:space="preserve"> families and households in the UK 2018 there are 8 million households with </w:t>
      </w:r>
      <w:r w:rsidRPr="00AC7A8A">
        <w:rPr>
          <w:sz w:val="14"/>
          <w:szCs w:val="14"/>
        </w:rPr>
        <w:t>dependant</w:t>
      </w:r>
      <w:r w:rsidRPr="00AC7A8A">
        <w:rPr>
          <w:sz w:val="14"/>
          <w:szCs w:val="14"/>
        </w:rPr>
        <w:t xml:space="preserve"> children</w:t>
      </w:r>
      <w:r w:rsidRPr="00AC7A8A">
        <w:rPr>
          <w:sz w:val="14"/>
          <w:szCs w:val="14"/>
        </w:rPr>
        <w:t xml:space="preserve"> </w:t>
      </w:r>
      <w:r>
        <w:fldChar w:fldCharType="begin"/>
      </w:r>
      <w:r>
        <w:instrText xml:space="preserve"> HYPERLINK "https://www.ons.gov.uk/peoplepopulationandcommunity/birthsdeathsandmarriages/families/bulletins/familiesandhouseholds/2018" </w:instrText>
      </w:r>
      <w:r>
        <w:fldChar w:fldCharType="separate"/>
      </w:r>
      <w:r w:rsidRPr="00AC7A8A">
        <w:rPr>
          <w:rStyle w:val="Hyperlink"/>
          <w:sz w:val="14"/>
          <w:szCs w:val="14"/>
        </w:rPr>
        <w:t>https://www.ons.gov.uk/peoplepopulationandcommunity/birthsdeathsandmarriages/families/bulletins/familiesandhouseholds/2018</w:t>
      </w:r>
      <w:r>
        <w:fldChar w:fldCharType="end"/>
      </w:r>
      <w:r w:rsidRPr="00AC7A8A">
        <w:rPr>
          <w:sz w:val="14"/>
          <w:szCs w:val="14"/>
        </w:rPr>
        <w:t xml:space="preserve"> and ONS</w:t>
      </w:r>
      <w:r w:rsidRPr="00AC7A8A">
        <w:rPr>
          <w:sz w:val="14"/>
          <w:szCs w:val="14"/>
        </w:rPr>
        <w:t xml:space="preserve"> internet access households and individuals 2019 </w:t>
      </w:r>
      <w:r w:rsidRPr="00AC7A8A">
        <w:rPr>
          <w:sz w:val="14"/>
          <w:szCs w:val="14"/>
        </w:rPr>
        <w:t xml:space="preserve">estimates 2% of these are not online </w:t>
      </w:r>
      <w:r>
        <w:fldChar w:fldCharType="begin"/>
      </w:r>
      <w:r>
        <w:instrText xml:space="preserve"> HYPERLINK "https://www.ons.gov.uk/peoplepopulationandcommunity/householdcharacteristics/homeinternetandsocialmediausage/bulletins/internetaccesshouseholdsandindividuals/2019" </w:instrText>
      </w:r>
      <w:r>
        <w:fldChar w:fldCharType="separate"/>
      </w:r>
      <w:r w:rsidRPr="00AC7A8A">
        <w:rPr>
          <w:rStyle w:val="Hyperlink"/>
          <w:sz w:val="14"/>
          <w:szCs w:val="14"/>
        </w:rPr>
        <w:t>https://www.ons.gov.uk/peoplepopulationandcommunity/householdcharacteristics/homeinternetandsocialmediausage/bulletins/internetaccesshouseholdsandindividuals/2019</w:t>
      </w:r>
      <w:r>
        <w:fldChar w:fldCharType="end"/>
      </w:r>
      <w:r w:rsidRPr="00AC7A8A">
        <w:rPr>
          <w:sz w:val="14"/>
          <w:szCs w:val="14"/>
        </w:rPr>
        <w:t xml:space="preserve"> </w:t>
      </w:r>
    </w:p>
  </w:footnote>
  <w:footnote w:id="16">
    <w:p w:rsidR="00A91742" w:rsidRPr="003617FE">
      <w:pPr>
        <w:pStyle w:val="FootnoteText"/>
        <w:rPr>
          <w:sz w:val="14"/>
          <w:szCs w:val="14"/>
        </w:rPr>
      </w:pPr>
      <w:r w:rsidRPr="003617FE">
        <w:rPr>
          <w:rStyle w:val="FootnoteReference"/>
          <w:sz w:val="14"/>
          <w:szCs w:val="14"/>
        </w:rPr>
        <w:footnoteRef/>
      </w:r>
      <w:r w:rsidRPr="003617FE">
        <w:rPr>
          <w:sz w:val="14"/>
          <w:szCs w:val="14"/>
        </w:rPr>
        <w:t xml:space="preserve"> Ofcom CMR 2016 examined viewing behaviour by age, figure 2.4 </w:t>
      </w:r>
      <w:r>
        <w:fldChar w:fldCharType="begin"/>
      </w:r>
      <w:r>
        <w:instrText xml:space="preserve"> HYPERLINK "https://www.ofcom.org.uk/research-and-data/multi-sector-research/cmr/cmr16/the-communications-market-report-uk" </w:instrText>
      </w:r>
      <w:r>
        <w:fldChar w:fldCharType="separate"/>
      </w:r>
      <w:r w:rsidRPr="003617FE">
        <w:rPr>
          <w:rStyle w:val="Hyperlink"/>
          <w:sz w:val="14"/>
          <w:szCs w:val="14"/>
        </w:rPr>
        <w:t>https://www.ofcom.org.uk/research-and-data/multi-sector-research/cmr/cmr16/the-communications-market-report-uk</w:t>
      </w:r>
      <w:r>
        <w:fldChar w:fldCharType="end"/>
      </w:r>
      <w:r w:rsidRPr="003617FE">
        <w:rPr>
          <w:sz w:val="14"/>
          <w:szCs w:val="14"/>
        </w:rPr>
        <w:t xml:space="preserve"> </w:t>
      </w:r>
    </w:p>
  </w:footnote>
  <w:footnote w:id="17">
    <w:p w:rsidR="00A91742" w:rsidRPr="00B8731F" w:rsidP="007E750A">
      <w:pPr>
        <w:pStyle w:val="FootnoteText"/>
        <w:rPr>
          <w:szCs w:val="16"/>
        </w:rPr>
      </w:pPr>
      <w:r w:rsidRPr="003617FE">
        <w:rPr>
          <w:rStyle w:val="FootnoteReference"/>
          <w:sz w:val="14"/>
          <w:szCs w:val="14"/>
        </w:rPr>
        <w:footnoteRef/>
      </w:r>
      <w:r w:rsidRPr="003617FE">
        <w:rPr>
          <w:sz w:val="14"/>
          <w:szCs w:val="14"/>
        </w:rPr>
        <w:t xml:space="preserve"> BSG and </w:t>
      </w:r>
      <w:r w:rsidRPr="003617FE">
        <w:rPr>
          <w:sz w:val="14"/>
          <w:szCs w:val="14"/>
        </w:rPr>
        <w:t>ComRes</w:t>
      </w:r>
      <w:r w:rsidRPr="003617FE">
        <w:rPr>
          <w:sz w:val="14"/>
          <w:szCs w:val="14"/>
        </w:rPr>
        <w:t xml:space="preserve">, Feb 2019, pg. 6: </w:t>
      </w:r>
      <w:r>
        <w:fldChar w:fldCharType="begin"/>
      </w:r>
      <w:r>
        <w:instrText xml:space="preserve"> HYPERLINK "http://www.broadbanduk.org/wp-content/uploads/2019/02/ComRes_Broadband-Stakeholder-Group_digital-exclusion-research_final-report_February-2019.pdf" </w:instrText>
      </w:r>
      <w:r>
        <w:fldChar w:fldCharType="separate"/>
      </w:r>
      <w:r w:rsidRPr="003617FE">
        <w:rPr>
          <w:rStyle w:val="Hyperlink"/>
          <w:sz w:val="14"/>
          <w:szCs w:val="14"/>
        </w:rPr>
        <w:t>http://www.broadbanduk.org/wp-content/uploads/2019/02/ComRes_Broadband-Stakeholder-Group_digital-e</w:t>
      </w:r>
      <w:r w:rsidRPr="003617FE">
        <w:rPr>
          <w:rStyle w:val="Hyperlink"/>
          <w:sz w:val="14"/>
          <w:szCs w:val="14"/>
        </w:rPr>
        <w:t>xclusion-research_final-report_February-2019.pdf</w:t>
      </w:r>
      <w:r>
        <w:fldChar w:fldCharType="end"/>
      </w:r>
      <w:r w:rsidRPr="003617FE">
        <w:rPr>
          <w:sz w:val="14"/>
          <w:szCs w:val="14"/>
        </w:rPr>
        <w:t xml:space="preserve"> </w:t>
      </w:r>
    </w:p>
  </w:footnote>
  <w:footnote w:id="18">
    <w:p w:rsidR="00A91742" w:rsidRPr="003617FE">
      <w:pPr>
        <w:pStyle w:val="FootnoteText"/>
        <w:rPr>
          <w:sz w:val="14"/>
          <w:szCs w:val="14"/>
        </w:rPr>
      </w:pPr>
      <w:r w:rsidRPr="003617FE">
        <w:rPr>
          <w:rStyle w:val="FootnoteReference"/>
          <w:sz w:val="14"/>
          <w:szCs w:val="14"/>
        </w:rPr>
        <w:footnoteRef/>
      </w:r>
      <w:r w:rsidRPr="003617FE">
        <w:rPr>
          <w:sz w:val="14"/>
          <w:szCs w:val="14"/>
        </w:rPr>
        <w:t xml:space="preserve"> A recent </w:t>
      </w:r>
      <w:r>
        <w:rPr>
          <w:sz w:val="14"/>
          <w:szCs w:val="14"/>
        </w:rPr>
        <w:t>C</w:t>
      </w:r>
      <w:r w:rsidRPr="003617FE">
        <w:rPr>
          <w:sz w:val="14"/>
          <w:szCs w:val="14"/>
        </w:rPr>
        <w:t xml:space="preserve">all of Duty update was 84Gb </w:t>
      </w:r>
      <w:r>
        <w:fldChar w:fldCharType="begin"/>
      </w:r>
      <w:r>
        <w:instrText xml:space="preserve"> HYPERLINK "https://www.standard.co.uk/tech/gaming/call-of-duty-modern-warfare-season-4-download-patch-size-a4466166.html" </w:instrText>
      </w:r>
      <w:r>
        <w:fldChar w:fldCharType="separate"/>
      </w:r>
      <w:r w:rsidRPr="003617FE">
        <w:rPr>
          <w:rStyle w:val="Hyperlink"/>
          <w:sz w:val="14"/>
          <w:szCs w:val="14"/>
        </w:rPr>
        <w:t>https://www.standard.co.uk/tech/gaming/c</w:t>
      </w:r>
      <w:r w:rsidRPr="003617FE">
        <w:rPr>
          <w:rStyle w:val="Hyperlink"/>
          <w:sz w:val="14"/>
          <w:szCs w:val="14"/>
        </w:rPr>
        <w:t>all-of-duty-modern-warfare-season-4-download-patch-size-a4466166.html</w:t>
      </w:r>
      <w:r>
        <w:fldChar w:fldCharType="end"/>
      </w:r>
    </w:p>
  </w:footnote>
  <w:footnote w:id="19">
    <w:p w:rsidR="002969FD" w:rsidRPr="006E3945">
      <w:pPr>
        <w:pStyle w:val="FootnoteText"/>
        <w:rPr>
          <w:sz w:val="14"/>
          <w:szCs w:val="14"/>
        </w:rPr>
      </w:pPr>
      <w:r>
        <w:rPr>
          <w:rStyle w:val="FootnoteReference"/>
        </w:rPr>
        <w:footnoteRef/>
      </w:r>
      <w:r>
        <w:t xml:space="preserve"> </w:t>
      </w:r>
      <w:r w:rsidRPr="006E3945">
        <w:rPr>
          <w:sz w:val="14"/>
          <w:szCs w:val="14"/>
        </w:rPr>
        <w:t>Such reforms could be implemented without limiting online freedom of expression or the ability to ‘innovate without permission’</w:t>
      </w:r>
      <w:r>
        <w:rPr>
          <w:sz w:val="14"/>
          <w:szCs w:val="14"/>
        </w:rPr>
        <w:t>.</w:t>
      </w:r>
    </w:p>
  </w:footnote>
  <w:footnote w:id="20">
    <w:p w:rsidR="00A91742" w:rsidRPr="003617FE">
      <w:pPr>
        <w:pStyle w:val="FootnoteText"/>
        <w:rPr>
          <w:sz w:val="14"/>
          <w:szCs w:val="14"/>
        </w:rPr>
      </w:pPr>
      <w:r w:rsidRPr="003617FE">
        <w:rPr>
          <w:rStyle w:val="FootnoteReference"/>
          <w:sz w:val="14"/>
          <w:szCs w:val="14"/>
        </w:rPr>
        <w:footnoteRef/>
      </w:r>
      <w:r w:rsidRPr="003617FE">
        <w:rPr>
          <w:sz w:val="14"/>
          <w:szCs w:val="14"/>
        </w:rPr>
        <w:t xml:space="preserve"> Ofcom’s Connected Nations 2019 report, </w:t>
      </w:r>
      <w:r w:rsidRPr="003617FE">
        <w:rPr>
          <w:sz w:val="14"/>
          <w:szCs w:val="14"/>
        </w:rPr>
        <w:t>p.g.</w:t>
      </w:r>
      <w:r w:rsidRPr="003617FE">
        <w:rPr>
          <w:sz w:val="14"/>
          <w:szCs w:val="14"/>
        </w:rPr>
        <w:t xml:space="preserve"> 2: </w:t>
      </w:r>
      <w:r>
        <w:fldChar w:fldCharType="begin"/>
      </w:r>
      <w:r>
        <w:instrText xml:space="preserve"> HYPERLINK "https://www.ofcom.org.uk/__data/assets/pdf_file/0023/186413/Connected-Nations-2019-UK-final.pdf" </w:instrText>
      </w:r>
      <w:r>
        <w:fldChar w:fldCharType="separate"/>
      </w:r>
      <w:r w:rsidRPr="003617FE">
        <w:rPr>
          <w:rStyle w:val="Hyperlink"/>
          <w:sz w:val="14"/>
          <w:szCs w:val="14"/>
        </w:rPr>
        <w:t>https://www.ofcom.org.uk/__data/assets/pdf_file/0023/186413/Connected-Nations-2019-UK-final.pdf</w:t>
      </w:r>
      <w:r>
        <w:fldChar w:fldCharType="end"/>
      </w:r>
    </w:p>
  </w:footnote>
  <w:footnote w:id="21">
    <w:p w:rsidR="00A91742" w:rsidRPr="003617FE">
      <w:pPr>
        <w:pStyle w:val="FootnoteText"/>
        <w:rPr>
          <w:sz w:val="14"/>
          <w:szCs w:val="14"/>
        </w:rPr>
      </w:pPr>
      <w:r w:rsidRPr="003617FE">
        <w:rPr>
          <w:rStyle w:val="FootnoteReference"/>
          <w:sz w:val="14"/>
          <w:szCs w:val="14"/>
        </w:rPr>
        <w:footnoteRef/>
      </w:r>
      <w:r w:rsidRPr="003617FE">
        <w:rPr>
          <w:sz w:val="14"/>
          <w:szCs w:val="14"/>
        </w:rPr>
        <w:t xml:space="preserve"> BT Group announces new FTTP target to reach 20million premises by mid-2020’s: </w:t>
      </w:r>
      <w:r>
        <w:fldChar w:fldCharType="begin"/>
      </w:r>
      <w:r>
        <w:instrText xml:space="preserve"> HYPERLINK "https://newsroom.bt.com/results-for-the-full-year-to-31-march-2020/" </w:instrText>
      </w:r>
      <w:r>
        <w:fldChar w:fldCharType="separate"/>
      </w:r>
      <w:r w:rsidRPr="003617FE">
        <w:rPr>
          <w:rStyle w:val="Hyperlink"/>
          <w:sz w:val="14"/>
          <w:szCs w:val="14"/>
        </w:rPr>
        <w:t>https://newsroom.bt.com/results-for-the-full-year-to-31-march-2020/</w:t>
      </w:r>
      <w:r>
        <w:fldChar w:fldCharType="end"/>
      </w:r>
    </w:p>
  </w:footnote>
  <w:footnote w:id="22">
    <w:p w:rsidR="00A91742" w:rsidP="002B4DD9">
      <w:pPr>
        <w:pStyle w:val="FootnoteText"/>
      </w:pPr>
      <w:r w:rsidRPr="003617FE">
        <w:rPr>
          <w:rStyle w:val="FootnoteReference"/>
          <w:sz w:val="14"/>
          <w:szCs w:val="14"/>
        </w:rPr>
        <w:footnoteRef/>
      </w:r>
      <w:r w:rsidRPr="003617FE">
        <w:rPr>
          <w:sz w:val="14"/>
          <w:szCs w:val="14"/>
        </w:rPr>
        <w:t xml:space="preserve"> BT Group’s written evidence to the Committee’s inquiry into “broadband and the Road to 5G” expands further on these important points.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1742" w:rsidP="00A14D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565633"/>
    <w:multiLevelType w:val="hybridMultilevel"/>
    <w:tmpl w:val="3D2AC0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E06981"/>
    <w:multiLevelType w:val="hybridMultilevel"/>
    <w:tmpl w:val="7980A6BC"/>
    <w:lvl w:ilvl="0">
      <w:start w:val="1"/>
      <w:numFmt w:val="decimal"/>
      <w:lvlText w:val="%1."/>
      <w:lvlJc w:val="left"/>
      <w:pPr>
        <w:ind w:left="720" w:hanging="360"/>
      </w:pPr>
      <w:rPr>
        <w:rFonts w:ascii="Century Gothic" w:hAnsi="Century Gothic" w:cs="Times New Roman" w:hint="default"/>
        <w:color w:val="5514B4" w:themeColor="accent1"/>
        <w:sz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F903114"/>
    <w:multiLevelType w:val="hybridMultilevel"/>
    <w:tmpl w:val="F336DECA"/>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1482E5E"/>
    <w:multiLevelType w:val="hybridMultilevel"/>
    <w:tmpl w:val="2278AA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912315"/>
    <w:multiLevelType w:val="hybridMultilevel"/>
    <w:tmpl w:val="ABA08D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1EF275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89670B7"/>
    <w:multiLevelType w:val="multilevel"/>
    <w:tmpl w:val="E65E6652"/>
    <w:numStyleLink w:val="StyleOutlinenumberedLeft0cmHanging05cm"/>
  </w:abstractNum>
  <w:abstractNum w:abstractNumId="7">
    <w:nsid w:val="25AF759F"/>
    <w:multiLevelType w:val="multilevel"/>
    <w:tmpl w:val="51EC1F66"/>
    <w:lvl w:ilvl="0">
      <w:start w:val="1"/>
      <w:numFmt w:val="bullet"/>
      <w:pStyle w:val="BTbulletlist"/>
      <w:lvlText w:val=""/>
      <w:lvlJc w:val="left"/>
      <w:pPr>
        <w:ind w:left="284" w:hanging="284"/>
      </w:pPr>
      <w:rPr>
        <w:rFonts w:ascii="Symbol" w:hAnsi="Symbol" w:hint="default"/>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8">
    <w:nsid w:val="2AF24762"/>
    <w:multiLevelType w:val="multilevel"/>
    <w:tmpl w:val="561E42EC"/>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9">
    <w:nsid w:val="2D473DFC"/>
    <w:multiLevelType w:val="hybridMultilevel"/>
    <w:tmpl w:val="51EE7CFE"/>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2E41CBD"/>
    <w:multiLevelType w:val="multilevel"/>
    <w:tmpl w:val="E65E6652"/>
    <w:styleLink w:val="StyleOutlinenumberedLeft0cmHanging05cm"/>
    <w:lvl w:ilvl="0">
      <w:start w:val="1"/>
      <w:numFmt w:val="decimal"/>
      <w:lvlText w:val="%1."/>
      <w:lvlJc w:val="left"/>
      <w:pPr>
        <w:ind w:left="284" w:hanging="284"/>
      </w:p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11">
    <w:nsid w:val="32F3401C"/>
    <w:multiLevelType w:val="multilevel"/>
    <w:tmpl w:val="E65E6652"/>
    <w:numStyleLink w:val="StyleOutlinenumberedLeft0cmHanging05cm"/>
  </w:abstractNum>
  <w:abstractNum w:abstractNumId="12">
    <w:nsid w:val="359303F9"/>
    <w:multiLevelType w:val="hybridMultilevel"/>
    <w:tmpl w:val="3A62448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3B281E39"/>
    <w:multiLevelType w:val="hybridMultilevel"/>
    <w:tmpl w:val="6BFE5090"/>
    <w:lvl w:ilvl="0">
      <w:start w:val="3"/>
      <w:numFmt w:val="decimal"/>
      <w:lvlText w:val="%1"/>
      <w:lvlJc w:val="left"/>
      <w:pPr>
        <w:ind w:left="720" w:hanging="360"/>
      </w:pPr>
      <w:rPr>
        <w:rFonts w:ascii="Century Gothic" w:hAnsi="Century Gothic" w:cs="Times New Roman" w:hint="default"/>
        <w:color w:val="5514B4" w:themeColor="accent1"/>
        <w:sz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B6A03CF"/>
    <w:multiLevelType w:val="multilevel"/>
    <w:tmpl w:val="1DB88B62"/>
    <w:lvl w:ilvl="0">
      <w:start w:val="1"/>
      <w:numFmt w:val="decimal"/>
      <w:pStyle w:val="Heading1"/>
      <w:lvlText w:val="%1"/>
      <w:lvlJc w:val="left"/>
      <w:pPr>
        <w:ind w:left="5342" w:hanging="1022"/>
      </w:pPr>
      <w:rPr>
        <w:rFonts w:hint="default"/>
      </w:rPr>
    </w:lvl>
    <w:lvl w:ilvl="1">
      <w:start w:val="1"/>
      <w:numFmt w:val="decimal"/>
      <w:lvlText w:val="%2."/>
      <w:lvlJc w:val="left"/>
      <w:pPr>
        <w:ind w:left="5342" w:hanging="1022"/>
      </w:pPr>
      <w:rPr>
        <w:rFonts w:hint="default"/>
      </w:rPr>
    </w:lvl>
    <w:lvl w:ilvl="2">
      <w:start w:val="1"/>
      <w:numFmt w:val="decimal"/>
      <w:lvlText w:val="%1.%2.%3"/>
      <w:lvlJc w:val="left"/>
      <w:pPr>
        <w:ind w:left="5342" w:hanging="1022"/>
      </w:pPr>
      <w:rPr>
        <w:rFonts w:hint="default"/>
      </w:rPr>
    </w:lvl>
    <w:lvl w:ilvl="3">
      <w:start w:val="1"/>
      <w:numFmt w:val="decimal"/>
      <w:lvlText w:val="%1.%2.%3.%4."/>
      <w:lvlJc w:val="left"/>
      <w:pPr>
        <w:ind w:left="6048" w:hanging="648"/>
      </w:pPr>
      <w:rPr>
        <w:rFonts w:hint="default"/>
      </w:rPr>
    </w:lvl>
    <w:lvl w:ilvl="4">
      <w:start w:val="1"/>
      <w:numFmt w:val="decimal"/>
      <w:lvlText w:val="%1.%2.%3.%4.%5."/>
      <w:lvlJc w:val="left"/>
      <w:pPr>
        <w:ind w:left="6552" w:hanging="792"/>
      </w:pPr>
      <w:rPr>
        <w:rFonts w:hint="default"/>
      </w:rPr>
    </w:lvl>
    <w:lvl w:ilvl="5">
      <w:start w:val="1"/>
      <w:numFmt w:val="decimal"/>
      <w:lvlText w:val="%1.%2.%3.%4.%5.%6."/>
      <w:lvlJc w:val="left"/>
      <w:pPr>
        <w:ind w:left="7056" w:hanging="936"/>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064" w:hanging="1224"/>
      </w:pPr>
      <w:rPr>
        <w:rFonts w:hint="default"/>
      </w:rPr>
    </w:lvl>
    <w:lvl w:ilvl="8">
      <w:start w:val="1"/>
      <w:numFmt w:val="decimal"/>
      <w:lvlText w:val="%1.%2.%3.%4.%5.%6.%7.%8.%9."/>
      <w:lvlJc w:val="left"/>
      <w:pPr>
        <w:ind w:left="8640" w:hanging="1440"/>
      </w:pPr>
      <w:rPr>
        <w:rFonts w:hint="default"/>
      </w:rPr>
    </w:lvl>
  </w:abstractNum>
  <w:abstractNum w:abstractNumId="15">
    <w:nsid w:val="3F097952"/>
    <w:multiLevelType w:val="multilevel"/>
    <w:tmpl w:val="5740B884"/>
    <w:lvl w:ilvl="0">
      <w:start w:val="1"/>
      <w:numFmt w:val="upperLetter"/>
      <w:pStyle w:val="Appendixheading1"/>
      <w:lvlText w:val="Appendix %1"/>
      <w:lvlJc w:val="left"/>
      <w:pPr>
        <w:ind w:left="0" w:firstLine="0"/>
      </w:pPr>
      <w:rPr>
        <w:rFonts w:ascii="Century Gothic" w:hAnsi="Century Gothic" w:hint="default"/>
        <w:b/>
        <w:i w:val="0"/>
        <w:color w:val="5514B4" w:themeColor="accent1"/>
        <w:sz w:val="40"/>
      </w:rPr>
    </w:lvl>
    <w:lvl w:ilvl="1">
      <w:start w:val="1"/>
      <w:numFmt w:val="decimal"/>
      <w:lvlText w:val="Appendix %1.%2"/>
      <w:lvlJc w:val="left"/>
      <w:pPr>
        <w:ind w:left="0" w:firstLine="0"/>
      </w:pPr>
      <w:rPr>
        <w:rFonts w:ascii="Century Gothic" w:hAnsi="Century Gothic" w:hint="default"/>
        <w:b/>
        <w:i w:val="0"/>
        <w:color w:val="5514B4" w:themeColor="accent1"/>
        <w:sz w:val="28"/>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nsid w:val="43CE0107"/>
    <w:multiLevelType w:val="hybridMultilevel"/>
    <w:tmpl w:val="3A809078"/>
    <w:lvl w:ilvl="0">
      <w:start w:val="1"/>
      <w:numFmt w:val="bullet"/>
      <w:lvlText w:val=""/>
      <w:lvlJc w:val="left"/>
      <w:pPr>
        <w:ind w:left="720" w:hanging="360"/>
      </w:pPr>
      <w:rPr>
        <w:rFonts w:ascii="Symbol" w:hAnsi="Symbol" w:hint="default"/>
        <w:sz w:val="20"/>
        <w:szCs w:val="2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492565A"/>
    <w:multiLevelType w:val="multilevel"/>
    <w:tmpl w:val="EF205876"/>
    <w:lvl w:ilvl="0">
      <w:start w:val="1"/>
      <w:numFmt w:val="bullet"/>
      <w:lvlText w:val=""/>
      <w:lvlJc w:val="left"/>
      <w:pPr>
        <w:ind w:left="1572" w:hanging="284"/>
      </w:pPr>
      <w:rPr>
        <w:rFonts w:ascii="Wingdings" w:hAnsi="Wingdings" w:hint="default"/>
      </w:rPr>
    </w:lvl>
    <w:lvl w:ilvl="1">
      <w:start w:val="1"/>
      <w:numFmt w:val="bullet"/>
      <w:lvlText w:val=""/>
      <w:lvlJc w:val="left"/>
      <w:pPr>
        <w:ind w:left="1855" w:hanging="283"/>
      </w:pPr>
      <w:rPr>
        <w:rFonts w:ascii="Symbol" w:hAnsi="Symbol" w:hint="default"/>
      </w:rPr>
    </w:lvl>
    <w:lvl w:ilvl="2">
      <w:start w:val="1"/>
      <w:numFmt w:val="bullet"/>
      <w:lvlText w:val=""/>
      <w:lvlJc w:val="left"/>
      <w:pPr>
        <w:ind w:left="2139" w:hanging="284"/>
      </w:pPr>
      <w:rPr>
        <w:rFonts w:ascii="Symbol" w:hAnsi="Symbol" w:hint="default"/>
      </w:rPr>
    </w:lvl>
    <w:lvl w:ilvl="3">
      <w:start w:val="1"/>
      <w:numFmt w:val="bullet"/>
      <w:lvlText w:val=""/>
      <w:lvlJc w:val="left"/>
      <w:pPr>
        <w:ind w:left="2422" w:hanging="283"/>
      </w:pPr>
      <w:rPr>
        <w:rFonts w:ascii="Symbol" w:hAnsi="Symbol" w:hint="default"/>
      </w:rPr>
    </w:lvl>
    <w:lvl w:ilvl="4">
      <w:start w:val="1"/>
      <w:numFmt w:val="bullet"/>
      <w:lvlText w:val=""/>
      <w:lvlJc w:val="left"/>
      <w:pPr>
        <w:ind w:left="2706" w:hanging="284"/>
      </w:pPr>
      <w:rPr>
        <w:rFonts w:ascii="Symbol" w:hAnsi="Symbol" w:hint="default"/>
      </w:rPr>
    </w:lvl>
    <w:lvl w:ilvl="5">
      <w:start w:val="1"/>
      <w:numFmt w:val="bullet"/>
      <w:lvlText w:val=""/>
      <w:lvlJc w:val="left"/>
      <w:pPr>
        <w:ind w:left="2989" w:hanging="283"/>
      </w:pPr>
      <w:rPr>
        <w:rFonts w:ascii="Symbol" w:hAnsi="Symbol" w:hint="default"/>
      </w:rPr>
    </w:lvl>
    <w:lvl w:ilvl="6">
      <w:start w:val="1"/>
      <w:numFmt w:val="bullet"/>
      <w:lvlText w:val=""/>
      <w:lvlJc w:val="left"/>
      <w:pPr>
        <w:ind w:left="3273" w:hanging="284"/>
      </w:pPr>
      <w:rPr>
        <w:rFonts w:ascii="Symbol" w:hAnsi="Symbol" w:hint="default"/>
      </w:rPr>
    </w:lvl>
    <w:lvl w:ilvl="7">
      <w:start w:val="1"/>
      <w:numFmt w:val="bullet"/>
      <w:lvlText w:val=""/>
      <w:lvlJc w:val="left"/>
      <w:pPr>
        <w:ind w:left="3556" w:hanging="283"/>
      </w:pPr>
      <w:rPr>
        <w:rFonts w:ascii="Symbol" w:hAnsi="Symbol" w:hint="default"/>
      </w:rPr>
    </w:lvl>
    <w:lvl w:ilvl="8">
      <w:start w:val="1"/>
      <w:numFmt w:val="bullet"/>
      <w:lvlText w:val=""/>
      <w:lvlJc w:val="left"/>
      <w:pPr>
        <w:ind w:left="3840" w:hanging="284"/>
      </w:pPr>
      <w:rPr>
        <w:rFonts w:ascii="Symbol" w:hAnsi="Symbol" w:hint="default"/>
      </w:rPr>
    </w:lvl>
  </w:abstractNum>
  <w:abstractNum w:abstractNumId="18">
    <w:nsid w:val="482A3DFD"/>
    <w:multiLevelType w:val="hybridMultilevel"/>
    <w:tmpl w:val="910AD9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8A236DE"/>
    <w:multiLevelType w:val="hybridMultilevel"/>
    <w:tmpl w:val="5464F416"/>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B0E1EE8"/>
    <w:multiLevelType w:val="hybridMultilevel"/>
    <w:tmpl w:val="CB02BF78"/>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6DC01F5"/>
    <w:multiLevelType w:val="multilevel"/>
    <w:tmpl w:val="C2EC73D6"/>
    <w:name w:val="BT bullet list"/>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22">
    <w:nsid w:val="57F80A21"/>
    <w:multiLevelType w:val="multilevel"/>
    <w:tmpl w:val="9A5A10B4"/>
    <w:lvl w:ilvl="0">
      <w:start w:val="1"/>
      <w:numFmt w:val="upperLetter"/>
      <w:lvlText w:val="Appendix %1."/>
      <w:lvlJc w:val="left"/>
      <w:pPr>
        <w:ind w:left="360" w:hanging="360"/>
      </w:pPr>
      <w:rPr>
        <w:rFonts w:ascii="Century Gothic" w:hAnsi="Century Gothic" w:hint="default"/>
        <w:b/>
        <w:bCs w:val="0"/>
        <w:i w:val="0"/>
        <w:iCs w:val="0"/>
        <w:caps w:val="0"/>
        <w:smallCaps w:val="0"/>
        <w:strike w:val="0"/>
        <w:dstrike w:val="0"/>
        <w:outline w:val="0"/>
        <w:shadow w:val="0"/>
        <w:emboss w:val="0"/>
        <w:imprint w:val="0"/>
        <w:noProof w:val="0"/>
        <w:vanish w:val="0"/>
        <w:color w:val="5514B4" w:themeColor="accent1"/>
        <w:spacing w:val="0"/>
        <w:kern w:val="0"/>
        <w:position w:val="0"/>
        <w:sz w:val="40"/>
        <w:szCs w:val="40"/>
        <w:u w:val="none"/>
        <w:effect w:val="none"/>
        <w:vertAlign w:val="baseline"/>
        <w:specVanish w:val="0"/>
      </w:rPr>
    </w:lvl>
    <w:lvl w:ilvl="1">
      <w:start w:val="1"/>
      <w:numFmt w:val="decimal"/>
      <w:lvlRestart w:val="0"/>
      <w:lvlText w:val="Appendix %1.%2"/>
      <w:lvlJc w:val="left"/>
      <w:pPr>
        <w:ind w:left="792" w:hanging="792"/>
      </w:pPr>
      <w:rPr>
        <w:rFonts w:ascii="Century Gothic" w:hAnsi="Century Gothic" w:hint="default"/>
        <w:b/>
        <w:bCs w:val="0"/>
        <w:i w:val="0"/>
        <w:iCs w:val="0"/>
        <w:caps w:val="0"/>
        <w:smallCaps w:val="0"/>
        <w:strike w:val="0"/>
        <w:dstrike w:val="0"/>
        <w:outline w:val="0"/>
        <w:shadow w:val="0"/>
        <w:emboss w:val="0"/>
        <w:imprint w:val="0"/>
        <w:noProof w:val="0"/>
        <w:vanish w:val="0"/>
        <w:color w:val="5514B4" w:themeColor="accent1"/>
        <w:spacing w:val="0"/>
        <w:kern w:val="0"/>
        <w:position w:val="0"/>
        <w:sz w:val="28"/>
        <w:u w:val="none"/>
        <w:effect w:val="none"/>
        <w:vertAlign w:val="baseline"/>
        <w:specVanish w:val="0"/>
      </w:rPr>
    </w:lvl>
    <w:lvl w:ilvl="2">
      <w:start w:val="1"/>
      <w:numFmt w:val="decimal"/>
      <w:lvlText w:val="Appendix %1.%2.%3"/>
      <w:lvlJc w:val="right"/>
      <w:pPr>
        <w:ind w:left="792" w:hanging="792"/>
      </w:pPr>
      <w:rPr>
        <w:rFonts w:hint="default"/>
        <w:b/>
        <w:i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1B644F2"/>
    <w:multiLevelType w:val="multilevel"/>
    <w:tmpl w:val="10E2220C"/>
    <w:lvl w:ilvl="0">
      <w:start w:val="1"/>
      <w:numFmt w:val="decimal"/>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645F4EA6"/>
    <w:multiLevelType w:val="multilevel"/>
    <w:tmpl w:val="E65E6652"/>
    <w:lvl w:ilvl="0">
      <w:start w:val="1"/>
      <w:numFmt w:val="decimal"/>
      <w:lvlText w:val="%1."/>
      <w:lvlJc w:val="left"/>
      <w:pPr>
        <w:ind w:left="284" w:hanging="284"/>
      </w:pPr>
      <w:rPr>
        <w:rFonts w:hint="default"/>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25">
    <w:nsid w:val="68403E3F"/>
    <w:multiLevelType w:val="hybridMultilevel"/>
    <w:tmpl w:val="97DC69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A161E1A"/>
    <w:multiLevelType w:val="hybridMultilevel"/>
    <w:tmpl w:val="04E8B43C"/>
    <w:lvl w:ilvl="0">
      <w:start w:val="1"/>
      <w:numFmt w:val="lowerRoman"/>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C5138B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F44533E"/>
    <w:multiLevelType w:val="multilevel"/>
    <w:tmpl w:val="E65E6652"/>
    <w:numStyleLink w:val="StyleOutlinenumberedLeft0cmHanging05cm"/>
  </w:abstractNum>
  <w:abstractNum w:abstractNumId="29">
    <w:nsid w:val="747752E0"/>
    <w:multiLevelType w:val="multilevel"/>
    <w:tmpl w:val="E604D6C6"/>
    <w:name w:val="BT bullet list"/>
    <w:lvl w:ilvl="0">
      <w:start w:val="1"/>
      <w:numFmt w:val="bullet"/>
      <w:lvlText w:val=""/>
      <w:lvlJc w:val="left"/>
      <w:pPr>
        <w:ind w:left="284" w:hanging="284"/>
      </w:pPr>
      <w:rPr>
        <w:rFonts w:ascii="Symbol" w:hAnsi="Symbol" w:hint="default"/>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30">
    <w:nsid w:val="77A71D2A"/>
    <w:multiLevelType w:val="multilevel"/>
    <w:tmpl w:val="EF205876"/>
    <w:lvl w:ilvl="0">
      <w:start w:val="1"/>
      <w:numFmt w:val="bullet"/>
      <w:lvlText w:val=""/>
      <w:lvlJc w:val="left"/>
      <w:pPr>
        <w:ind w:left="1572" w:hanging="284"/>
      </w:pPr>
      <w:rPr>
        <w:rFonts w:ascii="Wingdings" w:hAnsi="Wingdings" w:hint="default"/>
      </w:rPr>
    </w:lvl>
    <w:lvl w:ilvl="1">
      <w:start w:val="1"/>
      <w:numFmt w:val="bullet"/>
      <w:lvlText w:val=""/>
      <w:lvlJc w:val="left"/>
      <w:pPr>
        <w:ind w:left="1855" w:hanging="283"/>
      </w:pPr>
      <w:rPr>
        <w:rFonts w:ascii="Symbol" w:hAnsi="Symbol" w:hint="default"/>
      </w:rPr>
    </w:lvl>
    <w:lvl w:ilvl="2">
      <w:start w:val="1"/>
      <w:numFmt w:val="bullet"/>
      <w:lvlText w:val=""/>
      <w:lvlJc w:val="left"/>
      <w:pPr>
        <w:ind w:left="2139" w:hanging="284"/>
      </w:pPr>
      <w:rPr>
        <w:rFonts w:ascii="Symbol" w:hAnsi="Symbol" w:hint="default"/>
      </w:rPr>
    </w:lvl>
    <w:lvl w:ilvl="3">
      <w:start w:val="1"/>
      <w:numFmt w:val="bullet"/>
      <w:lvlText w:val=""/>
      <w:lvlJc w:val="left"/>
      <w:pPr>
        <w:ind w:left="2422" w:hanging="283"/>
      </w:pPr>
      <w:rPr>
        <w:rFonts w:ascii="Symbol" w:hAnsi="Symbol" w:hint="default"/>
      </w:rPr>
    </w:lvl>
    <w:lvl w:ilvl="4">
      <w:start w:val="1"/>
      <w:numFmt w:val="bullet"/>
      <w:lvlText w:val=""/>
      <w:lvlJc w:val="left"/>
      <w:pPr>
        <w:ind w:left="2706" w:hanging="284"/>
      </w:pPr>
      <w:rPr>
        <w:rFonts w:ascii="Symbol" w:hAnsi="Symbol" w:hint="default"/>
      </w:rPr>
    </w:lvl>
    <w:lvl w:ilvl="5">
      <w:start w:val="1"/>
      <w:numFmt w:val="bullet"/>
      <w:lvlText w:val=""/>
      <w:lvlJc w:val="left"/>
      <w:pPr>
        <w:ind w:left="2989" w:hanging="283"/>
      </w:pPr>
      <w:rPr>
        <w:rFonts w:ascii="Symbol" w:hAnsi="Symbol" w:hint="default"/>
      </w:rPr>
    </w:lvl>
    <w:lvl w:ilvl="6">
      <w:start w:val="1"/>
      <w:numFmt w:val="bullet"/>
      <w:lvlText w:val=""/>
      <w:lvlJc w:val="left"/>
      <w:pPr>
        <w:ind w:left="3273" w:hanging="284"/>
      </w:pPr>
      <w:rPr>
        <w:rFonts w:ascii="Symbol" w:hAnsi="Symbol" w:hint="default"/>
      </w:rPr>
    </w:lvl>
    <w:lvl w:ilvl="7">
      <w:start w:val="1"/>
      <w:numFmt w:val="bullet"/>
      <w:lvlText w:val=""/>
      <w:lvlJc w:val="left"/>
      <w:pPr>
        <w:ind w:left="3556" w:hanging="283"/>
      </w:pPr>
      <w:rPr>
        <w:rFonts w:ascii="Symbol" w:hAnsi="Symbol" w:hint="default"/>
      </w:rPr>
    </w:lvl>
    <w:lvl w:ilvl="8">
      <w:start w:val="1"/>
      <w:numFmt w:val="bullet"/>
      <w:lvlText w:val=""/>
      <w:lvlJc w:val="left"/>
      <w:pPr>
        <w:ind w:left="3840" w:hanging="284"/>
      </w:pPr>
      <w:rPr>
        <w:rFonts w:ascii="Symbol" w:hAnsi="Symbol" w:hint="default"/>
      </w:rPr>
    </w:lvl>
  </w:abstractNum>
  <w:abstractNum w:abstractNumId="31">
    <w:nsid w:val="7A362C82"/>
    <w:multiLevelType w:val="hybridMultilevel"/>
    <w:tmpl w:val="72AC91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22"/>
  </w:num>
  <w:num w:numId="3">
    <w:abstractNumId w:val="7"/>
  </w:num>
  <w:num w:numId="4">
    <w:abstractNumId w:val="8"/>
  </w:num>
  <w:num w:numId="5">
    <w:abstractNumId w:val="17"/>
  </w:num>
  <w:num w:numId="6">
    <w:abstractNumId w:val="30"/>
  </w:num>
  <w:num w:numId="7">
    <w:abstractNumId w:val="24"/>
  </w:num>
  <w:num w:numId="8">
    <w:abstractNumId w:val="3"/>
  </w:num>
  <w:num w:numId="9">
    <w:abstractNumId w:val="5"/>
  </w:num>
  <w:num w:numId="10">
    <w:abstractNumId w:val="12"/>
  </w:num>
  <w:num w:numId="11">
    <w:abstractNumId w:val="15"/>
  </w:num>
  <w:num w:numId="12">
    <w:abstractNumId w:val="23"/>
  </w:num>
  <w:num w:numId="13">
    <w:abstractNumId w:val="10"/>
  </w:num>
  <w:num w:numId="14">
    <w:abstractNumId w:val="6"/>
  </w:num>
  <w:num w:numId="15">
    <w:abstractNumId w:val="28"/>
  </w:num>
  <w:num w:numId="16">
    <w:abstractNumId w:val="11"/>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lvl w:ilvl="0">
        <w:start w:val="1"/>
        <w:numFmt w:val="decimal"/>
        <w:lvlText w:val="%1)"/>
        <w:lvlJc w:val="left"/>
        <w:pPr>
          <w:ind w:left="284" w:hanging="284"/>
        </w:pPr>
        <w:rPr>
          <w:rFonts w:hint="default"/>
        </w:rPr>
      </w:lvl>
    </w:lvlOverride>
    <w:lvlOverride w:ilvl="1">
      <w:lvl w:ilvl="1">
        <w:start w:val="1"/>
        <w:numFmt w:val="lowerLetter"/>
        <w:lvlText w:val="%2)"/>
        <w:lvlJc w:val="left"/>
        <w:pPr>
          <w:ind w:left="567" w:hanging="283"/>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2">
    <w:abstractNumId w:val="27"/>
  </w:num>
  <w:num w:numId="23">
    <w:abstractNumId w:val="25"/>
  </w:num>
  <w:num w:numId="24">
    <w:abstractNumId w:val="31"/>
  </w:num>
  <w:num w:numId="25">
    <w:abstractNumId w:val="2"/>
  </w:num>
  <w:num w:numId="26">
    <w:abstractNumId w:val="19"/>
  </w:num>
  <w:num w:numId="27">
    <w:abstractNumId w:val="16"/>
  </w:num>
  <w:num w:numId="28">
    <w:abstractNumId w:val="9"/>
  </w:num>
  <w:num w:numId="29">
    <w:abstractNumId w:val="26"/>
  </w:num>
  <w:num w:numId="30">
    <w:abstractNumId w:val="0"/>
  </w:num>
  <w:num w:numId="31">
    <w:abstractNumId w:val="18"/>
  </w:num>
  <w:num w:numId="32">
    <w:abstractNumId w:val="20"/>
  </w:num>
  <w:num w:numId="33">
    <w:abstractNumId w:val="13"/>
  </w:num>
  <w:num w:numId="34">
    <w:abstractNumId w:val="4"/>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5724" w:allStyles="0" w:alternateStyleNames="0" w:clearFormatting="1" w:customStyles="0" w:directFormattingOnNumbering="1" w:directFormattingOnParagraphs="1" w:directFormattingOnRuns="1" w:directFormattingOnTables="0" w:headingStyles="1" w:latentStyles="1" w:numberingStyles="0" w:stylesInUse="0" w:tableStyles="0" w:top3HeadingStyles="0" w:visibleStyles="1"/>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Gothic" w:hAnsi="Century Gothic" w:eastAsiaTheme="minorHAnsi" w:cstheme="minorBidi"/>
        <w:color w:val="000000" w:themeColor="text1"/>
        <w:sz w:val="18"/>
        <w:szCs w:val="18"/>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6"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qFormat="1"/>
    <w:lsdException w:name="footer" w:semiHidden="1" w:unhideWhenUsed="1" w:qFormat="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atentStyles>
  <w:style w:type="paragraph" w:default="1" w:styleId="Normal">
    <w:name w:val="Normal"/>
    <w:uiPriority w:val="6"/>
    <w:qFormat/>
    <w:rsid w:val="003A3ADA"/>
    <w:pPr>
      <w:spacing w:after="0" w:line="264" w:lineRule="auto"/>
    </w:pPr>
  </w:style>
  <w:style w:type="paragraph" w:styleId="Heading1">
    <w:name w:val="heading 1"/>
    <w:basedOn w:val="Normal"/>
    <w:next w:val="Normal"/>
    <w:link w:val="Heading1Char"/>
    <w:uiPriority w:val="1"/>
    <w:qFormat/>
    <w:rsid w:val="00436758"/>
    <w:pPr>
      <w:keepNext/>
      <w:numPr>
        <w:numId w:val="1"/>
      </w:numPr>
      <w:tabs>
        <w:tab w:val="left" w:pos="1021"/>
      </w:tabs>
      <w:spacing w:before="180" w:after="60" w:line="240" w:lineRule="auto"/>
      <w:ind w:left="1021" w:hanging="1021"/>
      <w:outlineLvl w:val="0"/>
    </w:pPr>
    <w:rPr>
      <w:b/>
      <w:bCs/>
      <w:color w:val="5514B4" w:themeColor="accent1"/>
      <w:sz w:val="40"/>
      <w:szCs w:val="48"/>
    </w:rPr>
  </w:style>
  <w:style w:type="paragraph" w:styleId="Heading2">
    <w:name w:val="heading 2"/>
    <w:basedOn w:val="Normal"/>
    <w:next w:val="Normal"/>
    <w:link w:val="Heading2Char"/>
    <w:uiPriority w:val="2"/>
    <w:qFormat/>
    <w:rsid w:val="00436758"/>
    <w:pPr>
      <w:keepNext/>
      <w:tabs>
        <w:tab w:val="left" w:pos="284"/>
      </w:tabs>
      <w:spacing w:before="180" w:line="240" w:lineRule="auto"/>
      <w:outlineLvl w:val="1"/>
    </w:pPr>
    <w:rPr>
      <w:b/>
      <w:bCs/>
      <w:color w:val="5514B4" w:themeColor="accent1"/>
      <w:sz w:val="32"/>
      <w:szCs w:val="32"/>
    </w:rPr>
  </w:style>
  <w:style w:type="paragraph" w:styleId="Heading3">
    <w:name w:val="heading 3"/>
    <w:basedOn w:val="Heading2"/>
    <w:next w:val="Normal"/>
    <w:link w:val="Heading3Char"/>
    <w:uiPriority w:val="3"/>
    <w:qFormat/>
    <w:rsid w:val="00436758"/>
    <w:pPr>
      <w:numPr>
        <w:ilvl w:val="2"/>
      </w:numPr>
      <w:spacing w:after="60"/>
      <w:ind w:left="1021" w:hanging="1021"/>
      <w:outlineLvl w:val="2"/>
    </w:pPr>
    <w:rPr>
      <w:sz w:val="24"/>
      <w:szCs w:val="28"/>
    </w:rPr>
  </w:style>
  <w:style w:type="paragraph" w:styleId="Heading4">
    <w:name w:val="heading 4"/>
    <w:basedOn w:val="Heading3"/>
    <w:next w:val="Normal"/>
    <w:link w:val="Heading4Char"/>
    <w:uiPriority w:val="9"/>
    <w:semiHidden/>
    <w:rsid w:val="006E39A0"/>
    <w:pPr>
      <w:keepLines/>
      <w:spacing w:before="40"/>
      <w:outlineLvl w:val="3"/>
    </w:pPr>
    <w:rPr>
      <w:rFonts w:eastAsiaTheme="majorEastAsia" w:cstheme="majorBidi"/>
      <w:iC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36758"/>
    <w:rPr>
      <w:b/>
      <w:bCs/>
      <w:color w:val="5514B4" w:themeColor="accent1"/>
      <w:sz w:val="40"/>
      <w:szCs w:val="48"/>
    </w:rPr>
  </w:style>
  <w:style w:type="character" w:customStyle="1" w:styleId="Heading2Char">
    <w:name w:val="Heading 2 Char"/>
    <w:basedOn w:val="DefaultParagraphFont"/>
    <w:link w:val="Heading2"/>
    <w:uiPriority w:val="2"/>
    <w:rsid w:val="00436758"/>
    <w:rPr>
      <w:b/>
      <w:bCs/>
      <w:color w:val="5514B4" w:themeColor="accent1"/>
      <w:sz w:val="32"/>
      <w:szCs w:val="32"/>
    </w:rPr>
  </w:style>
  <w:style w:type="character" w:customStyle="1" w:styleId="Heading3Char">
    <w:name w:val="Heading 3 Char"/>
    <w:basedOn w:val="DefaultParagraphFont"/>
    <w:link w:val="Heading3"/>
    <w:uiPriority w:val="3"/>
    <w:rsid w:val="00436758"/>
    <w:rPr>
      <w:b/>
      <w:bCs/>
      <w:color w:val="5514B4" w:themeColor="accent1"/>
      <w:sz w:val="24"/>
      <w:szCs w:val="28"/>
    </w:rPr>
  </w:style>
  <w:style w:type="character" w:customStyle="1" w:styleId="Heading4Char">
    <w:name w:val="Heading 4 Char"/>
    <w:basedOn w:val="DefaultParagraphFont"/>
    <w:link w:val="Heading4"/>
    <w:uiPriority w:val="9"/>
    <w:semiHidden/>
    <w:rsid w:val="00344CD1"/>
    <w:rPr>
      <w:rFonts w:eastAsiaTheme="majorEastAsia" w:cstheme="majorBidi"/>
      <w:b/>
      <w:bCs/>
      <w:iCs/>
      <w:color w:val="000000" w:themeColor="background2"/>
      <w:sz w:val="24"/>
    </w:rPr>
  </w:style>
  <w:style w:type="paragraph" w:styleId="Footer">
    <w:name w:val="footer"/>
    <w:basedOn w:val="Normal"/>
    <w:link w:val="FooterChar"/>
    <w:uiPriority w:val="99"/>
    <w:qFormat/>
    <w:rsid w:val="003A2C98"/>
    <w:pPr>
      <w:tabs>
        <w:tab w:val="center" w:pos="4680"/>
        <w:tab w:val="right" w:pos="9360"/>
      </w:tabs>
    </w:pPr>
  </w:style>
  <w:style w:type="character" w:customStyle="1" w:styleId="FooterChar">
    <w:name w:val="Footer Char"/>
    <w:basedOn w:val="DefaultParagraphFont"/>
    <w:link w:val="Footer"/>
    <w:uiPriority w:val="99"/>
    <w:rsid w:val="007C7F78"/>
  </w:style>
  <w:style w:type="table" w:styleId="TableGrid">
    <w:name w:val="Table Grid"/>
    <w:basedOn w:val="TableNormal"/>
    <w:uiPriority w:val="39"/>
    <w:rsid w:val="003A2C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1">
    <w:name w:val="Subheading 1"/>
    <w:basedOn w:val="Normal"/>
    <w:link w:val="Subheading1Char"/>
    <w:uiPriority w:val="4"/>
    <w:qFormat/>
    <w:rsid w:val="00436758"/>
    <w:pPr>
      <w:keepNext/>
      <w:spacing w:before="180" w:after="60"/>
    </w:pPr>
    <w:rPr>
      <w:b/>
      <w:bCs/>
      <w:sz w:val="24"/>
      <w:szCs w:val="24"/>
    </w:rPr>
  </w:style>
  <w:style w:type="paragraph" w:customStyle="1" w:styleId="Subheading2">
    <w:name w:val="Subheading 2"/>
    <w:basedOn w:val="Normal"/>
    <w:link w:val="Subheading2Char"/>
    <w:uiPriority w:val="5"/>
    <w:qFormat/>
    <w:rsid w:val="00436758"/>
    <w:pPr>
      <w:keepNext/>
      <w:spacing w:before="180" w:after="60"/>
    </w:pPr>
    <w:rPr>
      <w:b/>
      <w:bCs/>
    </w:rPr>
  </w:style>
  <w:style w:type="character" w:customStyle="1" w:styleId="Subheading1Char">
    <w:name w:val="Subheading 1 Char"/>
    <w:basedOn w:val="DefaultParagraphFont"/>
    <w:link w:val="Subheading1"/>
    <w:uiPriority w:val="4"/>
    <w:rsid w:val="00436758"/>
    <w:rPr>
      <w:b/>
      <w:bCs/>
      <w:sz w:val="24"/>
      <w:szCs w:val="24"/>
    </w:rPr>
  </w:style>
  <w:style w:type="character" w:customStyle="1" w:styleId="Subheading2Char">
    <w:name w:val="Subheading 2 Char"/>
    <w:basedOn w:val="DefaultParagraphFont"/>
    <w:link w:val="Subheading2"/>
    <w:uiPriority w:val="5"/>
    <w:rsid w:val="00436758"/>
    <w:rPr>
      <w:b/>
      <w:bCs/>
    </w:rPr>
  </w:style>
  <w:style w:type="paragraph" w:styleId="Caption">
    <w:name w:val="caption"/>
    <w:basedOn w:val="Normal"/>
    <w:next w:val="Normal"/>
    <w:uiPriority w:val="8"/>
    <w:qFormat/>
    <w:rsid w:val="00F3658E"/>
    <w:pPr>
      <w:keepNext/>
    </w:pPr>
    <w:rPr>
      <w:b/>
      <w:iCs/>
      <w:szCs w:val="14"/>
    </w:rPr>
  </w:style>
  <w:style w:type="character" w:styleId="Hyperlink">
    <w:name w:val="Hyperlink"/>
    <w:basedOn w:val="DefaultParagraphFont"/>
    <w:uiPriority w:val="99"/>
    <w:qFormat/>
    <w:rsid w:val="00E34F6D"/>
    <w:rPr>
      <w:rFonts w:ascii="Century Gothic" w:hAnsi="Century Gothic"/>
      <w:color w:val="5514B4" w:themeColor="accent1"/>
      <w:sz w:val="18"/>
      <w:u w:val="none"/>
    </w:rPr>
  </w:style>
  <w:style w:type="paragraph" w:customStyle="1" w:styleId="Appendixheading1">
    <w:name w:val="Appendix heading 1"/>
    <w:basedOn w:val="Heading1"/>
    <w:next w:val="Normal"/>
    <w:uiPriority w:val="9"/>
    <w:qFormat/>
    <w:rsid w:val="00343050"/>
    <w:pPr>
      <w:numPr>
        <w:numId w:val="11"/>
      </w:numPr>
      <w:tabs>
        <w:tab w:val="clear" w:pos="1021"/>
      </w:tabs>
      <w:spacing w:after="120"/>
      <w:ind w:left="2977" w:hanging="2977"/>
    </w:pPr>
  </w:style>
  <w:style w:type="paragraph" w:customStyle="1" w:styleId="Heading1withnoauto-numbering">
    <w:name w:val="Heading 1 with no auto-numbering"/>
    <w:basedOn w:val="Heading1"/>
    <w:next w:val="Normal"/>
    <w:qFormat/>
    <w:rsid w:val="00436758"/>
    <w:pPr>
      <w:numPr>
        <w:numId w:val="0"/>
      </w:numPr>
      <w:spacing w:after="120"/>
    </w:pPr>
  </w:style>
  <w:style w:type="paragraph" w:customStyle="1" w:styleId="Appendixheading2">
    <w:name w:val="Appendix heading 2"/>
    <w:basedOn w:val="Heading2"/>
    <w:next w:val="Normal"/>
    <w:uiPriority w:val="10"/>
    <w:qFormat/>
    <w:rsid w:val="00FF43A4"/>
    <w:pPr>
      <w:tabs>
        <w:tab w:val="clear" w:pos="284"/>
      </w:tabs>
      <w:ind w:left="2126" w:hanging="2126"/>
    </w:pPr>
    <w:rPr>
      <w:sz w:val="28"/>
    </w:rPr>
  </w:style>
  <w:style w:type="paragraph" w:styleId="TOC2">
    <w:name w:val="toc 2"/>
    <w:basedOn w:val="Normal"/>
    <w:next w:val="Normal"/>
    <w:uiPriority w:val="39"/>
    <w:rsid w:val="0009167F"/>
    <w:pPr>
      <w:tabs>
        <w:tab w:val="left" w:pos="2126"/>
        <w:tab w:val="right" w:pos="9582"/>
      </w:tabs>
      <w:ind w:left="2126" w:hanging="2126"/>
      <w:contextualSpacing/>
    </w:pPr>
    <w:rPr>
      <w:rFonts w:eastAsiaTheme="minorEastAsia" w:cs="Times New Roman"/>
      <w:noProof/>
      <w:sz w:val="20"/>
      <w:szCs w:val="22"/>
    </w:rPr>
  </w:style>
  <w:style w:type="paragraph" w:styleId="TOC1">
    <w:name w:val="toc 1"/>
    <w:basedOn w:val="Normal"/>
    <w:next w:val="Normal"/>
    <w:uiPriority w:val="39"/>
    <w:rsid w:val="0009167F"/>
    <w:pPr>
      <w:tabs>
        <w:tab w:val="left" w:pos="2126"/>
        <w:tab w:val="right" w:pos="9592"/>
      </w:tabs>
      <w:spacing w:before="240"/>
      <w:ind w:left="2126" w:hanging="2126"/>
    </w:pPr>
    <w:rPr>
      <w:rFonts w:eastAsiaTheme="minorEastAsia" w:cs="Times New Roman"/>
      <w:b/>
      <w:noProof/>
      <w:sz w:val="24"/>
      <w:szCs w:val="22"/>
    </w:rPr>
  </w:style>
  <w:style w:type="paragraph" w:customStyle="1" w:styleId="Documenttitle">
    <w:name w:val="Document title"/>
    <w:basedOn w:val="Title"/>
    <w:uiPriority w:val="10"/>
    <w:qFormat/>
    <w:rsid w:val="00851010"/>
    <w:pPr>
      <w:spacing w:line="216" w:lineRule="auto"/>
      <w:ind w:left="170"/>
      <w:contextualSpacing w:val="0"/>
    </w:pPr>
    <w:rPr>
      <w:rFonts w:ascii="Century Gothic" w:eastAsia="Times New Roman" w:hAnsi="Century Gothic" w:cs="Times New Roman"/>
      <w:b/>
      <w:bCs/>
      <w:color w:val="FFFFFF" w:themeColor="background1"/>
      <w:spacing w:val="-16"/>
      <w:kern w:val="0"/>
      <w:sz w:val="76"/>
      <w:szCs w:val="20"/>
    </w:rPr>
  </w:style>
  <w:style w:type="paragraph" w:styleId="Title">
    <w:name w:val="Title"/>
    <w:basedOn w:val="Normal"/>
    <w:next w:val="Normal"/>
    <w:link w:val="TitleChar"/>
    <w:uiPriority w:val="10"/>
    <w:semiHidden/>
    <w:qFormat/>
    <w:rsid w:val="006E39A0"/>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semiHidden/>
    <w:rsid w:val="00950D3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91C59"/>
    <w:rPr>
      <w:rFonts w:ascii="Segoe UI" w:hAnsi="Segoe UI" w:cs="Segoe UI"/>
    </w:rPr>
  </w:style>
  <w:style w:type="character" w:customStyle="1" w:styleId="BalloonTextChar">
    <w:name w:val="Balloon Text Char"/>
    <w:basedOn w:val="DefaultParagraphFont"/>
    <w:link w:val="BalloonText"/>
    <w:uiPriority w:val="99"/>
    <w:semiHidden/>
    <w:rsid w:val="00491C59"/>
    <w:rPr>
      <w:rFonts w:ascii="Segoe UI" w:hAnsi="Segoe UI" w:cs="Segoe UI"/>
      <w:color w:val="AAAAAA" w:themeColor="accent5"/>
      <w:sz w:val="18"/>
      <w:szCs w:val="18"/>
    </w:rPr>
  </w:style>
  <w:style w:type="paragraph" w:customStyle="1" w:styleId="Heading3withnoauto-numbering">
    <w:name w:val="Heading 3 with no auto-numbering"/>
    <w:basedOn w:val="Subheading1"/>
    <w:qFormat/>
    <w:rsid w:val="00436758"/>
    <w:pPr>
      <w:spacing w:before="240"/>
    </w:pPr>
    <w:rPr>
      <w:color w:val="5514B4" w:themeColor="accent1"/>
    </w:rPr>
  </w:style>
  <w:style w:type="character" w:customStyle="1" w:styleId="UnresolvedMention1">
    <w:name w:val="Unresolved Mention1"/>
    <w:basedOn w:val="DefaultParagraphFont"/>
    <w:uiPriority w:val="99"/>
    <w:semiHidden/>
    <w:unhideWhenUsed/>
    <w:rsid w:val="00896F78"/>
    <w:rPr>
      <w:color w:val="605E5C"/>
      <w:shd w:val="clear" w:color="auto" w:fill="E1DFDD"/>
    </w:rPr>
  </w:style>
  <w:style w:type="paragraph" w:customStyle="1" w:styleId="Frontcoverdataclassification">
    <w:name w:val="Front cover data classification"/>
    <w:basedOn w:val="Normal"/>
    <w:uiPriority w:val="13"/>
    <w:qFormat/>
    <w:rsid w:val="00710072"/>
    <w:pPr>
      <w:spacing w:line="240" w:lineRule="auto"/>
      <w:jc w:val="right"/>
    </w:pPr>
    <w:rPr>
      <w:rFonts w:eastAsia="Times New Roman" w:cs="Times New Roman"/>
      <w:b/>
      <w:bCs/>
      <w:color w:val="FFFFFF" w:themeColor="background1"/>
      <w:sz w:val="20"/>
      <w:szCs w:val="20"/>
    </w:rPr>
  </w:style>
  <w:style w:type="paragraph" w:customStyle="1" w:styleId="Contentsheading">
    <w:name w:val="Contents heading"/>
    <w:basedOn w:val="Heading1withnoauto-numbering"/>
    <w:uiPriority w:val="1"/>
    <w:rsid w:val="00E34F6D"/>
    <w:pPr>
      <w:tabs>
        <w:tab w:val="clear" w:pos="1021"/>
        <w:tab w:val="left" w:pos="2126"/>
        <w:tab w:val="right" w:pos="9594"/>
      </w:tabs>
      <w:ind w:left="2126"/>
    </w:pPr>
    <w:rPr>
      <w:rFonts w:eastAsia="Times New Roman" w:cs="Times New Roman"/>
      <w:sz w:val="32"/>
      <w:szCs w:val="20"/>
    </w:rPr>
  </w:style>
  <w:style w:type="paragraph" w:customStyle="1" w:styleId="Frontcoversubtitle">
    <w:name w:val="Front cover subtitle"/>
    <w:basedOn w:val="Normal"/>
    <w:uiPriority w:val="11"/>
    <w:qFormat/>
    <w:rsid w:val="00F4289E"/>
    <w:pPr>
      <w:ind w:left="227"/>
    </w:pPr>
    <w:rPr>
      <w:rFonts w:eastAsia="Times New Roman" w:cs="Times New Roman"/>
      <w:color w:val="FFFFFF" w:themeColor="background1"/>
      <w:sz w:val="28"/>
      <w:szCs w:val="20"/>
    </w:rPr>
  </w:style>
  <w:style w:type="paragraph" w:styleId="Header">
    <w:name w:val="header"/>
    <w:basedOn w:val="Normal"/>
    <w:link w:val="HeaderChar"/>
    <w:uiPriority w:val="17"/>
    <w:qFormat/>
    <w:rsid w:val="003A2C98"/>
    <w:pPr>
      <w:tabs>
        <w:tab w:val="center" w:pos="4513"/>
        <w:tab w:val="right" w:pos="9026"/>
      </w:tabs>
    </w:pPr>
  </w:style>
  <w:style w:type="character" w:customStyle="1" w:styleId="HeaderChar">
    <w:name w:val="Header Char"/>
    <w:basedOn w:val="DefaultParagraphFont"/>
    <w:link w:val="Header"/>
    <w:uiPriority w:val="17"/>
    <w:rsid w:val="007C7F78"/>
  </w:style>
  <w:style w:type="character" w:styleId="FollowedHyperlink">
    <w:name w:val="FollowedHyperlink"/>
    <w:basedOn w:val="DefaultParagraphFont"/>
    <w:uiPriority w:val="99"/>
    <w:rsid w:val="00BF7CC1"/>
    <w:rPr>
      <w:color w:val="5514B4" w:themeColor="followedHyperlink"/>
      <w:u w:val="single"/>
    </w:rPr>
  </w:style>
  <w:style w:type="character" w:styleId="PlaceholderText">
    <w:name w:val="Placeholder Text"/>
    <w:basedOn w:val="DefaultParagraphFont"/>
    <w:uiPriority w:val="99"/>
    <w:semiHidden/>
    <w:rsid w:val="00956B4A"/>
    <w:rPr>
      <w:color w:val="808080"/>
    </w:rPr>
  </w:style>
  <w:style w:type="paragraph" w:customStyle="1" w:styleId="BTbulletlist">
    <w:name w:val="BT bullet list"/>
    <w:basedOn w:val="ListParagraph"/>
    <w:uiPriority w:val="7"/>
    <w:qFormat/>
    <w:rsid w:val="002B733A"/>
    <w:pPr>
      <w:numPr>
        <w:numId w:val="3"/>
      </w:numPr>
      <w:spacing w:after="60"/>
      <w:contextualSpacing w:val="0"/>
    </w:pPr>
  </w:style>
  <w:style w:type="paragraph" w:styleId="ListParagraph">
    <w:name w:val="List Paragraph"/>
    <w:basedOn w:val="Normal"/>
    <w:uiPriority w:val="34"/>
    <w:semiHidden/>
    <w:qFormat/>
    <w:rsid w:val="00430D7E"/>
    <w:pPr>
      <w:ind w:left="720"/>
      <w:contextualSpacing/>
    </w:pPr>
  </w:style>
  <w:style w:type="table" w:customStyle="1" w:styleId="BTindigotable">
    <w:name w:val="BT indigo table"/>
    <w:basedOn w:val="TableNormal"/>
    <w:uiPriority w:val="99"/>
    <w:rsid w:val="00BB1EF6"/>
    <w:pPr>
      <w:spacing w:before="80" w:after="0" w:line="240" w:lineRule="auto"/>
      <w:ind w:left="113" w:right="113"/>
    </w:pPr>
    <w:rPr>
      <w:color w:val="FFFFFF" w:themeColor="background1"/>
      <w:lang w:val="en-US"/>
    </w:rPr>
    <w:tblPr>
      <w:tblBorders>
        <w:insideH w:val="single" w:sz="4" w:space="0" w:color="FFFFFF" w:themeColor="background1"/>
      </w:tblBorders>
      <w:tblCellMar>
        <w:left w:w="57" w:type="dxa"/>
        <w:right w:w="57" w:type="dxa"/>
      </w:tblCellMar>
    </w:tblPr>
    <w:tcPr>
      <w:shd w:val="clear" w:color="auto" w:fill="5514B4" w:themeFill="accent1"/>
      <w:vAlign w:val="center"/>
    </w:tcPr>
    <w:tblStylePr w:type="firstRow">
      <w:pPr>
        <w:wordWrap/>
        <w:spacing w:before="80" w:beforeLines="0" w:beforeAutospacing="0" w:after="80" w:afterLines="0" w:afterAutospacing="0" w:line="240" w:lineRule="auto"/>
        <w:ind w:left="113" w:right="113" w:leftChars="0" w:rightChars="0"/>
        <w:jc w:val="left"/>
      </w:pPr>
      <w:rPr>
        <w:rFonts w:ascii="Century Gothic" w:hAnsi="Century Gothic"/>
        <w:b/>
        <w:i w:val="0"/>
        <w:color w:val="E16EFF" w:themeColor="accent2"/>
        <w:sz w:val="18"/>
      </w:rPr>
      <w:tblPr/>
      <w:tcPr>
        <w:shd w:val="clear" w:color="auto" w:fill="5514B4" w:themeFill="accent1"/>
      </w:tcPr>
    </w:tblStylePr>
    <w:tblStylePr w:type="firstCol">
      <w:pPr>
        <w:jc w:val="left"/>
      </w:pPr>
    </w:tblStylePr>
  </w:style>
  <w:style w:type="paragraph" w:customStyle="1" w:styleId="Frontcoverinfo">
    <w:name w:val="Front cover info"/>
    <w:basedOn w:val="Normal"/>
    <w:uiPriority w:val="12"/>
    <w:qFormat/>
    <w:rsid w:val="00F4289E"/>
    <w:pPr>
      <w:ind w:left="227"/>
    </w:pPr>
    <w:rPr>
      <w:color w:val="FFFFFF" w:themeColor="background1"/>
      <w:sz w:val="24"/>
    </w:rPr>
  </w:style>
  <w:style w:type="paragraph" w:customStyle="1" w:styleId="Heading2withnoauto-numbering">
    <w:name w:val="Heading 2 with no auto-numbering"/>
    <w:basedOn w:val="Normal"/>
    <w:qFormat/>
    <w:rsid w:val="00436758"/>
    <w:pPr>
      <w:keepNext/>
      <w:spacing w:before="240" w:line="240" w:lineRule="auto"/>
    </w:pPr>
    <w:rPr>
      <w:b/>
      <w:bCs/>
      <w:color w:val="5514B4" w:themeColor="accent1"/>
      <w:sz w:val="32"/>
      <w:szCs w:val="32"/>
    </w:rPr>
  </w:style>
  <w:style w:type="table" w:customStyle="1" w:styleId="BTwhitetable">
    <w:name w:val="BT white table"/>
    <w:basedOn w:val="BTindigotable"/>
    <w:uiPriority w:val="99"/>
    <w:rsid w:val="00701C8B"/>
    <w:rPr>
      <w:color w:val="000000" w:themeColor="text1"/>
    </w:rPr>
    <w:tblPr>
      <w:tblBorders>
        <w:insideH w:val="single" w:sz="4" w:space="0" w:color="AAAAAA" w:themeColor="accent5"/>
      </w:tblBorders>
    </w:tblPr>
    <w:tcPr>
      <w:shd w:val="clear" w:color="auto" w:fill="FFFFFF" w:themeFill="background1"/>
    </w:tcPr>
    <w:tblStylePr w:type="firstRow">
      <w:pPr>
        <w:wordWrap/>
        <w:spacing w:before="80" w:beforeLines="0" w:beforeAutospacing="0" w:after="80" w:afterLines="0" w:afterAutospacing="0" w:line="240" w:lineRule="auto"/>
        <w:ind w:left="113" w:right="113" w:leftChars="0" w:rightChars="0"/>
        <w:jc w:val="left"/>
      </w:pPr>
      <w:rPr>
        <w:rFonts w:ascii="Century Gothic" w:hAnsi="Century Gothic"/>
        <w:b/>
        <w:i w:val="0"/>
        <w:color w:val="5514B4" w:themeColor="accent1"/>
        <w:sz w:val="18"/>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left"/>
      </w:pPr>
    </w:tblStylePr>
  </w:style>
  <w:style w:type="numbering" w:customStyle="1" w:styleId="StyleOutlinenumberedLeft0cmHanging05cm">
    <w:name w:val="Style Outline numbered Left:  0 cm Hanging:  0.5 cm"/>
    <w:basedOn w:val="NoList"/>
    <w:rsid w:val="00CE089B"/>
    <w:pPr>
      <w:numPr>
        <w:numId w:val="13"/>
      </w:numPr>
    </w:pPr>
  </w:style>
  <w:style w:type="paragraph" w:customStyle="1" w:styleId="Backpagetextwith55cmrightindent">
    <w:name w:val="Back page text with 5.5cm right indent"/>
    <w:basedOn w:val="Normal"/>
    <w:uiPriority w:val="15"/>
    <w:qFormat/>
    <w:rsid w:val="00343050"/>
    <w:pPr>
      <w:ind w:right="3117"/>
    </w:pPr>
    <w:rPr>
      <w:color w:val="FFFFFF" w:themeColor="background1"/>
    </w:rPr>
  </w:style>
  <w:style w:type="paragraph" w:customStyle="1" w:styleId="Backpagetextnoident">
    <w:name w:val="Back page text no ident"/>
    <w:basedOn w:val="Normal"/>
    <w:uiPriority w:val="14"/>
    <w:qFormat/>
    <w:rsid w:val="00343050"/>
    <w:rPr>
      <w:color w:val="FFFFFF" w:themeColor="background1"/>
    </w:rPr>
  </w:style>
  <w:style w:type="paragraph" w:customStyle="1" w:styleId="Headerdataclassification">
    <w:name w:val="Header data classification"/>
    <w:basedOn w:val="Normal"/>
    <w:uiPriority w:val="16"/>
    <w:qFormat/>
    <w:rsid w:val="007C7F78"/>
    <w:pPr>
      <w:jc w:val="right"/>
    </w:pPr>
    <w:rPr>
      <w:b/>
      <w:bCs/>
      <w:color w:val="5514B4"/>
      <w:sz w:val="20"/>
      <w:szCs w:val="20"/>
      <w:lang w:val="en-US"/>
    </w:rPr>
  </w:style>
  <w:style w:type="paragraph" w:customStyle="1" w:styleId="Hyperlinkwhite">
    <w:name w:val="Hyperlink white"/>
    <w:basedOn w:val="Backpagetextnoident"/>
    <w:uiPriority w:val="19"/>
    <w:qFormat/>
    <w:rsid w:val="00FA7660"/>
  </w:style>
  <w:style w:type="character" w:styleId="FootnoteReference">
    <w:name w:val="footnote reference"/>
    <w:basedOn w:val="DefaultParagraphFont"/>
    <w:uiPriority w:val="99"/>
    <w:rsid w:val="0025530D"/>
    <w:rPr>
      <w:rFonts w:ascii="Century Gothic" w:hAnsi="Century Gothic"/>
      <w:sz w:val="18"/>
      <w:vertAlign w:val="superscript"/>
    </w:rPr>
  </w:style>
  <w:style w:type="paragraph" w:styleId="FootnoteText">
    <w:name w:val="footnote text"/>
    <w:basedOn w:val="Normal"/>
    <w:link w:val="FootnoteTextChar"/>
    <w:uiPriority w:val="99"/>
    <w:rsid w:val="00961FDF"/>
    <w:pPr>
      <w:spacing w:line="240" w:lineRule="auto"/>
      <w:ind w:left="113" w:hanging="113"/>
    </w:pPr>
    <w:rPr>
      <w:sz w:val="16"/>
      <w:szCs w:val="20"/>
    </w:rPr>
  </w:style>
  <w:style w:type="character" w:customStyle="1" w:styleId="FootnoteTextChar">
    <w:name w:val="Footnote Text Char"/>
    <w:basedOn w:val="DefaultParagraphFont"/>
    <w:link w:val="FootnoteText"/>
    <w:uiPriority w:val="99"/>
    <w:rsid w:val="00961FDF"/>
    <w:rPr>
      <w:sz w:val="16"/>
      <w:szCs w:val="20"/>
    </w:rPr>
  </w:style>
  <w:style w:type="paragraph" w:customStyle="1" w:styleId="Default">
    <w:name w:val="Default"/>
    <w:rsid w:val="00FF3A26"/>
    <w:pPr>
      <w:autoSpaceDE w:val="0"/>
      <w:autoSpaceDN w:val="0"/>
      <w:adjustRightInd w:val="0"/>
      <w:spacing w:after="0" w:line="240" w:lineRule="auto"/>
    </w:pPr>
    <w:rPr>
      <w:rFonts w:ascii="Gill Sans MT" w:hAnsi="Gill Sans MT" w:cs="Gill Sans MT"/>
      <w:color w:val="000000"/>
      <w:sz w:val="24"/>
      <w:szCs w:val="24"/>
    </w:rPr>
  </w:style>
  <w:style w:type="character" w:styleId="CommentReference">
    <w:name w:val="annotation reference"/>
    <w:basedOn w:val="DefaultParagraphFont"/>
    <w:uiPriority w:val="99"/>
    <w:semiHidden/>
    <w:unhideWhenUsed/>
    <w:rsid w:val="00FF3A26"/>
    <w:rPr>
      <w:sz w:val="16"/>
      <w:szCs w:val="16"/>
    </w:rPr>
  </w:style>
  <w:style w:type="paragraph" w:styleId="CommentText">
    <w:name w:val="annotation text"/>
    <w:basedOn w:val="Normal"/>
    <w:link w:val="CommentTextChar"/>
    <w:uiPriority w:val="99"/>
    <w:unhideWhenUsed/>
    <w:rsid w:val="00FF3A26"/>
    <w:pPr>
      <w:spacing w:line="240" w:lineRule="auto"/>
    </w:pPr>
    <w:rPr>
      <w:rFonts w:ascii="Arial Black" w:eastAsia="Times New Roman" w:hAnsi="Arial Black" w:cs="Times New Roman"/>
      <w:color w:val="auto"/>
      <w:sz w:val="20"/>
      <w:szCs w:val="20"/>
    </w:rPr>
  </w:style>
  <w:style w:type="character" w:customStyle="1" w:styleId="CommentTextChar">
    <w:name w:val="Comment Text Char"/>
    <w:basedOn w:val="DefaultParagraphFont"/>
    <w:link w:val="CommentText"/>
    <w:uiPriority w:val="99"/>
    <w:rsid w:val="00FF3A26"/>
    <w:rPr>
      <w:rFonts w:ascii="Arial Black" w:eastAsia="Times New Roman" w:hAnsi="Arial Black" w:cs="Times New Roman"/>
      <w:color w:val="auto"/>
      <w:sz w:val="20"/>
      <w:szCs w:val="20"/>
    </w:rPr>
  </w:style>
  <w:style w:type="paragraph" w:styleId="CommentSubject">
    <w:name w:val="annotation subject"/>
    <w:basedOn w:val="CommentText"/>
    <w:next w:val="CommentText"/>
    <w:link w:val="CommentSubjectChar"/>
    <w:uiPriority w:val="99"/>
    <w:semiHidden/>
    <w:rsid w:val="005B6780"/>
    <w:rPr>
      <w:rFonts w:ascii="Century Gothic" w:hAnsi="Century Gothic"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5B6780"/>
    <w:rPr>
      <w:rFonts w:ascii="Arial Black" w:eastAsia="Times New Roman" w:hAnsi="Arial Black" w:cs="Times New Roman"/>
      <w:b/>
      <w:bCs/>
      <w:color w:val="auto"/>
      <w:sz w:val="20"/>
      <w:szCs w:val="20"/>
    </w:rPr>
  </w:style>
  <w:style w:type="character" w:customStyle="1" w:styleId="UnresolvedMention2">
    <w:name w:val="Unresolved Mention2"/>
    <w:basedOn w:val="DefaultParagraphFont"/>
    <w:uiPriority w:val="99"/>
    <w:semiHidden/>
    <w:unhideWhenUsed/>
    <w:rsid w:val="00C05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BT colour palette">
      <a:dk1>
        <a:sysClr val="windowText" lastClr="000000"/>
      </a:dk1>
      <a:lt1>
        <a:sysClr val="window" lastClr="FFFFFF"/>
      </a:lt1>
      <a:dk2>
        <a:srgbClr val="000000"/>
      </a:dk2>
      <a:lt2>
        <a:srgbClr val="000000"/>
      </a:lt2>
      <a:accent1>
        <a:srgbClr val="5514B4"/>
      </a:accent1>
      <a:accent2>
        <a:srgbClr val="E16EFF"/>
      </a:accent2>
      <a:accent3>
        <a:srgbClr val="FF5A4B"/>
      </a:accent3>
      <a:accent4>
        <a:srgbClr val="1EC8E6"/>
      </a:accent4>
      <a:accent5>
        <a:srgbClr val="AAAAAA"/>
      </a:accent5>
      <a:accent6>
        <a:srgbClr val="D9D9D9"/>
      </a:accent6>
      <a:hlink>
        <a:srgbClr val="5514B4"/>
      </a:hlink>
      <a:folHlink>
        <a:srgbClr val="5514B4"/>
      </a:folHlink>
    </a:clrScheme>
    <a:fontScheme name="Century Gothic B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74E91CC5EE2547B3BE95A26ECF48CC" ma:contentTypeVersion="13" ma:contentTypeDescription="Create a new document." ma:contentTypeScope="" ma:versionID="36e3ae63c3cbb55e98789b48be9da816">
  <xsd:schema xmlns:xsd="http://www.w3.org/2001/XMLSchema" xmlns:xs="http://www.w3.org/2001/XMLSchema" xmlns:p="http://schemas.microsoft.com/office/2006/metadata/properties" xmlns:ns3="8d0b8531-0562-4851-b4d5-9300b8385017" xmlns:ns4="b59705b0-df87-404d-9e92-ed0106190f5a" targetNamespace="http://schemas.microsoft.com/office/2006/metadata/properties" ma:root="true" ma:fieldsID="9fafd789e6e1ab2be37c32c843da449b" ns3:_="" ns4:_="">
    <xsd:import namespace="8d0b8531-0562-4851-b4d5-9300b8385017"/>
    <xsd:import namespace="b59705b0-df87-404d-9e92-ed0106190f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b8531-0562-4851-b4d5-9300b8385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9705b0-df87-404d-9e92-ed0106190f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27472E-8E58-4609-9269-7ECD1CA0C41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b59705b0-df87-404d-9e92-ed0106190f5a"/>
    <ds:schemaRef ds:uri="http://purl.org/dc/terms/"/>
    <ds:schemaRef ds:uri="http://schemas.openxmlformats.org/package/2006/metadata/core-properties"/>
    <ds:schemaRef ds:uri="8d0b8531-0562-4851-b4d5-9300b8385017"/>
    <ds:schemaRef ds:uri="http://www.w3.org/XML/1998/namespace"/>
    <ds:schemaRef ds:uri="http://purl.org/dc/dcmitype/"/>
  </ds:schemaRefs>
</ds:datastoreItem>
</file>

<file path=customXml/itemProps2.xml><?xml version="1.0" encoding="utf-8"?>
<ds:datastoreItem xmlns:ds="http://schemas.openxmlformats.org/officeDocument/2006/customXml" ds:itemID="{180E6CB4-5C2B-4C76-8A5A-AFAA34715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b8531-0562-4851-b4d5-9300b8385017"/>
    <ds:schemaRef ds:uri="b59705b0-df87-404d-9e92-ed0106190f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22E23A-2555-4BE2-B303-AF3CB99C5D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