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35444" w:rsidRPr="00135444" w:rsidP="00135444">
      <w:pPr>
        <w:spacing w:after="0"/>
        <w:jc w:val="center"/>
        <w:rPr>
          <w:rFonts w:ascii="Minion Pro" w:hAnsi="Minion Pro" w:cs="Arial"/>
          <w:b/>
          <w:bCs/>
          <w:sz w:val="24"/>
          <w:szCs w:val="24"/>
        </w:rPr>
      </w:pPr>
      <w:r w:rsidRPr="00135444">
        <w:rPr>
          <w:rFonts w:ascii="Minion Pro" w:hAnsi="Minion Pro" w:cs="Arial"/>
          <w:b/>
          <w:bCs/>
          <w:sz w:val="24"/>
          <w:szCs w:val="24"/>
        </w:rPr>
        <w:t xml:space="preserve">Written evidence from </w:t>
      </w:r>
      <w:r w:rsidRPr="00135444">
        <w:rPr>
          <w:rFonts w:ascii="Minion Pro" w:hAnsi="Minion Pro" w:cs="Arial"/>
          <w:b/>
          <w:bCs/>
          <w:sz w:val="24"/>
          <w:szCs w:val="24"/>
        </w:rPr>
        <w:t>the Institute for Government</w:t>
      </w:r>
      <w:r w:rsidRPr="00135444">
        <w:rPr>
          <w:rFonts w:ascii="Minion Pro" w:hAnsi="Minion Pro" w:cs="Arial"/>
          <w:b/>
          <w:bCs/>
          <w:sz w:val="24"/>
          <w:szCs w:val="24"/>
        </w:rPr>
        <w:t xml:space="preserve"> (RCC2</w:t>
      </w:r>
      <w:r w:rsidRPr="00135444">
        <w:rPr>
          <w:rFonts w:ascii="Minion Pro" w:hAnsi="Minion Pro" w:cs="Arial"/>
          <w:b/>
          <w:bCs/>
          <w:sz w:val="24"/>
          <w:szCs w:val="24"/>
        </w:rPr>
        <w:t>7</w:t>
      </w:r>
      <w:r w:rsidRPr="00135444">
        <w:rPr>
          <w:rFonts w:ascii="Minion Pro" w:hAnsi="Minion Pro" w:cs="Arial"/>
          <w:b/>
          <w:bCs/>
          <w:sz w:val="24"/>
          <w:szCs w:val="24"/>
        </w:rPr>
        <w:t>)</w:t>
      </w:r>
    </w:p>
    <w:p w:rsidR="00135444" w:rsidRPr="00135444" w:rsidP="00135444">
      <w:pPr>
        <w:spacing w:after="0"/>
        <w:rPr>
          <w:rFonts w:ascii="Minion Pro" w:hAnsi="Minion Pro" w:cs="Arial"/>
          <w:b/>
          <w:bCs/>
          <w:sz w:val="24"/>
          <w:szCs w:val="24"/>
        </w:rPr>
      </w:pPr>
    </w:p>
    <w:p w:rsidR="00135444" w:rsidRPr="00135444" w:rsidP="00135444">
      <w:pPr>
        <w:spacing w:after="0"/>
        <w:rPr>
          <w:rFonts w:ascii="Minion Pro" w:hAnsi="Minion Pro" w:cs="Arial"/>
          <w:b/>
          <w:bCs/>
          <w:sz w:val="24"/>
          <w:szCs w:val="24"/>
        </w:rPr>
      </w:pPr>
      <w:r w:rsidRPr="00135444">
        <w:rPr>
          <w:rFonts w:ascii="Minion Pro" w:hAnsi="Minion Pro" w:cs="Arial"/>
          <w:b/>
          <w:bCs/>
          <w:sz w:val="24"/>
          <w:szCs w:val="24"/>
        </w:rPr>
        <w:t xml:space="preserve">Public Administration and Constitutional Affairs Committee </w:t>
      </w:r>
    </w:p>
    <w:p w:rsidR="00135444" w:rsidRPr="00135444" w:rsidP="00135444">
      <w:pPr>
        <w:pStyle w:val="breadcrumb-item"/>
        <w:shd w:val="clear" w:color="auto" w:fill="FFFFFF"/>
        <w:spacing w:before="0" w:beforeAutospacing="0" w:after="0" w:afterAutospacing="0"/>
        <w:jc w:val="both"/>
        <w:rPr>
          <w:rFonts w:ascii="Minion Pro" w:hAnsi="Minion Pro" w:eastAsiaTheme="minorHAnsi" w:cs="Arial"/>
          <w:b/>
          <w:bCs/>
          <w:lang w:eastAsia="en-US"/>
        </w:rPr>
      </w:pPr>
      <w:r>
        <w:fldChar w:fldCharType="begin"/>
      </w:r>
      <w:r>
        <w:instrText xml:space="preserve"> HYPERLINK "https://admin.committees.parliament.uk/Committee/327/CommitteeBusiness/310/CommitteeBusinessSubmissionPeriod/Edit/149" </w:instrText>
      </w:r>
      <w:r>
        <w:fldChar w:fldCharType="separate"/>
      </w:r>
      <w:r w:rsidRPr="00135444">
        <w:rPr>
          <w:rFonts w:ascii="Minion Pro" w:hAnsi="Minion Pro" w:eastAsiaTheme="minorHAnsi" w:cs="Arial"/>
          <w:b/>
          <w:bCs/>
          <w:lang w:eastAsia="en-US"/>
        </w:rPr>
        <w:t>Responding to Covid-19 and the Coronavirus Act 2020</w:t>
      </w:r>
      <w:r>
        <w:fldChar w:fldCharType="end"/>
      </w:r>
      <w:r w:rsidRPr="00135444">
        <w:rPr>
          <w:rFonts w:ascii="Minion Pro" w:hAnsi="Minion Pro" w:eastAsiaTheme="minorHAnsi" w:cs="Arial"/>
          <w:b/>
          <w:bCs/>
          <w:lang w:eastAsia="en-US"/>
        </w:rPr>
        <w:t xml:space="preserve"> inquiry</w:t>
      </w:r>
    </w:p>
    <w:p w:rsidR="00135444" w:rsidRPr="00135444" w:rsidP="004A2278">
      <w:pPr>
        <w:pStyle w:val="Heading1"/>
        <w:rPr>
          <w:rFonts w:ascii="Minion Pro" w:hAnsi="Minion Pro"/>
          <w:b/>
          <w:bCs/>
          <w:sz w:val="24"/>
          <w:szCs w:val="24"/>
        </w:rPr>
      </w:pPr>
    </w:p>
    <w:p w:rsidR="00E43069" w:rsidRPr="00135444" w:rsidP="00E43069">
      <w:pPr>
        <w:pStyle w:val="Heading2"/>
        <w:rPr>
          <w:rFonts w:ascii="Minion Pro" w:hAnsi="Minion Pro"/>
          <w:sz w:val="24"/>
          <w:szCs w:val="24"/>
        </w:rPr>
      </w:pPr>
      <w:r w:rsidRPr="00135444">
        <w:rPr>
          <w:rFonts w:ascii="Minion Pro" w:hAnsi="Minion Pro"/>
          <w:sz w:val="24"/>
          <w:szCs w:val="24"/>
        </w:rPr>
        <w:t>Summary</w:t>
      </w:r>
    </w:p>
    <w:p w:rsidR="006A7655" w:rsidRPr="00135444" w:rsidP="00FE0FB4">
      <w:pPr>
        <w:rPr>
          <w:rFonts w:ascii="Minion Pro" w:hAnsi="Minion Pro"/>
          <w:sz w:val="24"/>
          <w:szCs w:val="24"/>
        </w:rPr>
      </w:pPr>
      <w:r w:rsidRPr="00135444">
        <w:rPr>
          <w:rFonts w:ascii="Minion Pro" w:hAnsi="Minion Pro"/>
          <w:sz w:val="24"/>
          <w:szCs w:val="24"/>
        </w:rPr>
        <w:t xml:space="preserve">There should be a public inquiry into the government’s response to the coronavirus pandemic. We set out the key points we argue in this document below: </w:t>
      </w:r>
    </w:p>
    <w:p w:rsidR="006A7655"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The inquiry</w:t>
      </w:r>
      <w:r w:rsidRPr="00135444">
        <w:rPr>
          <w:rFonts w:ascii="Minion Pro" w:hAnsi="Minion Pro"/>
          <w:b w:val="0"/>
          <w:bCs w:val="0"/>
          <w:sz w:val="24"/>
          <w:szCs w:val="24"/>
        </w:rPr>
        <w:t xml:space="preserve"> should be convened as a statutory inquiry under the 2005 Inquiries Act. While this sacrific</w:t>
      </w:r>
      <w:r w:rsidRPr="00135444">
        <w:rPr>
          <w:rFonts w:ascii="Minion Pro" w:hAnsi="Minion Pro"/>
          <w:b w:val="0"/>
          <w:bCs w:val="0"/>
          <w:sz w:val="24"/>
          <w:szCs w:val="24"/>
        </w:rPr>
        <w:t xml:space="preserve">es some of the procedural flexibility that a non-statutory inquiry would have it ensures that the inquiry will have the necessary powers to fully investigate the issue. </w:t>
      </w:r>
    </w:p>
    <w:p w:rsidR="00FE0FB4"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This inquiry will be complex – to ensure that it is both timely and effective it shoul</w:t>
      </w:r>
      <w:r w:rsidRPr="00135444">
        <w:rPr>
          <w:rFonts w:ascii="Minion Pro" w:hAnsi="Minion Pro"/>
          <w:b w:val="0"/>
          <w:bCs w:val="0"/>
          <w:sz w:val="24"/>
          <w:szCs w:val="24"/>
        </w:rPr>
        <w:t>d modularise its investigations, deliver its findings via interim reports, and recruit staff with prior experience of inquiries to speed up its establishment.</w:t>
      </w:r>
    </w:p>
    <w:p w:rsidR="006A7655"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In addition to a full public inquiry, a non-statutory rapid review should be instigated by govern</w:t>
      </w:r>
      <w:r w:rsidRPr="00135444">
        <w:rPr>
          <w:rFonts w:ascii="Minion Pro" w:hAnsi="Minion Pro"/>
          <w:b w:val="0"/>
          <w:bCs w:val="0"/>
          <w:sz w:val="24"/>
          <w:szCs w:val="24"/>
        </w:rPr>
        <w:t>ment at the earliest opportunity to learn lessons about government’s response ahead of any second wave.</w:t>
      </w:r>
    </w:p>
    <w:p w:rsidR="006A7655"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Delivering lasting change is a crucial purpose of every public inquiry. An inquiry into the coronavirus crisis needs to have a strong focus on lesson le</w:t>
      </w:r>
      <w:r w:rsidRPr="00135444">
        <w:rPr>
          <w:rFonts w:ascii="Minion Pro" w:hAnsi="Minion Pro"/>
          <w:b w:val="0"/>
          <w:bCs w:val="0"/>
          <w:sz w:val="24"/>
          <w:szCs w:val="24"/>
        </w:rPr>
        <w:t>arning and policy improvement. Accountability cannot be separated from this endeavour – learning is a crucial component of accountability.</w:t>
      </w:r>
    </w:p>
    <w:p w:rsidR="006A7655"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The inquiry needs an impartial and independent chair who commands public trust. This could be a current and former ju</w:t>
      </w:r>
      <w:r w:rsidRPr="00135444">
        <w:rPr>
          <w:rFonts w:ascii="Minion Pro" w:hAnsi="Minion Pro"/>
          <w:b w:val="0"/>
          <w:bCs w:val="0"/>
          <w:sz w:val="24"/>
          <w:szCs w:val="24"/>
        </w:rPr>
        <w:t xml:space="preserve">dge, or a former senior official, or </w:t>
      </w:r>
      <w:r w:rsidRPr="00135444">
        <w:rPr>
          <w:rFonts w:ascii="Minion Pro" w:hAnsi="Minion Pro"/>
          <w:b w:val="0"/>
          <w:bCs w:val="0"/>
          <w:sz w:val="24"/>
          <w:szCs w:val="24"/>
        </w:rPr>
        <w:t>other skilled professional with relevant expertise, independence and impartiality</w:t>
      </w:r>
      <w:r w:rsidRPr="00135444">
        <w:rPr>
          <w:rFonts w:ascii="Minion Pro" w:hAnsi="Minion Pro"/>
          <w:b w:val="0"/>
          <w:bCs w:val="0"/>
          <w:sz w:val="24"/>
          <w:szCs w:val="24"/>
        </w:rPr>
        <w:t xml:space="preserve">. Whoever is appointed as chair should be supported by a panel of non-partisan experts who bring </w:t>
      </w:r>
      <w:r w:rsidRPr="00135444">
        <w:rPr>
          <w:rFonts w:ascii="Minion Pro" w:hAnsi="Minion Pro"/>
          <w:b w:val="0"/>
          <w:bCs w:val="0"/>
          <w:sz w:val="24"/>
          <w:szCs w:val="24"/>
        </w:rPr>
        <w:t xml:space="preserve">together </w:t>
      </w:r>
      <w:r w:rsidRPr="00135444">
        <w:rPr>
          <w:rFonts w:ascii="Minion Pro" w:hAnsi="Minion Pro"/>
          <w:b w:val="0"/>
          <w:bCs w:val="0"/>
          <w:sz w:val="24"/>
          <w:szCs w:val="24"/>
        </w:rPr>
        <w:t>a broader set of knowledge, expe</w:t>
      </w:r>
      <w:r w:rsidRPr="00135444">
        <w:rPr>
          <w:rFonts w:ascii="Minion Pro" w:hAnsi="Minion Pro"/>
          <w:b w:val="0"/>
          <w:bCs w:val="0"/>
          <w:sz w:val="24"/>
          <w:szCs w:val="24"/>
        </w:rPr>
        <w:t>rience and perspectives</w:t>
      </w:r>
      <w:r w:rsidRPr="00135444">
        <w:rPr>
          <w:rFonts w:ascii="Minion Pro" w:hAnsi="Minion Pro"/>
          <w:b w:val="0"/>
          <w:bCs w:val="0"/>
          <w:sz w:val="24"/>
          <w:szCs w:val="24"/>
        </w:rPr>
        <w:t xml:space="preserve"> </w:t>
      </w:r>
      <w:r w:rsidRPr="00135444">
        <w:rPr>
          <w:rFonts w:ascii="Minion Pro" w:hAnsi="Minion Pro"/>
          <w:b w:val="0"/>
          <w:bCs w:val="0"/>
          <w:sz w:val="24"/>
          <w:szCs w:val="24"/>
        </w:rPr>
        <w:t>to the inquiry. These might include former officials, scientists, or healthcare/public health professionals.</w:t>
      </w:r>
    </w:p>
    <w:p w:rsidR="006A7655" w:rsidRPr="00135444" w:rsidP="006A7655">
      <w:pPr>
        <w:pStyle w:val="ListParagraph"/>
        <w:numPr>
          <w:ilvl w:val="0"/>
          <w:numId w:val="33"/>
        </w:numPr>
        <w:rPr>
          <w:rFonts w:ascii="Minion Pro" w:hAnsi="Minion Pro"/>
          <w:b w:val="0"/>
          <w:bCs w:val="0"/>
          <w:sz w:val="24"/>
          <w:szCs w:val="24"/>
        </w:rPr>
      </w:pPr>
      <w:r w:rsidRPr="00135444">
        <w:rPr>
          <w:rFonts w:ascii="Minion Pro" w:hAnsi="Minion Pro"/>
          <w:b w:val="0"/>
          <w:bCs w:val="0"/>
          <w:sz w:val="24"/>
          <w:szCs w:val="24"/>
        </w:rPr>
        <w:t>The terms of reference should be drafted in consultation with the public, under the direction of the chair and their panel.</w:t>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There should be room for the chair to update the terms of reference as the initial stage of the inquiry develops. </w:t>
      </w:r>
    </w:p>
    <w:p w:rsidR="006A7655" w:rsidRPr="00135444" w:rsidP="004B4D95">
      <w:pPr>
        <w:pStyle w:val="ListParagraph"/>
        <w:numPr>
          <w:ilvl w:val="0"/>
          <w:numId w:val="32"/>
        </w:numPr>
        <w:rPr>
          <w:rFonts w:ascii="Minion Pro" w:hAnsi="Minion Pro"/>
          <w:b w:val="0"/>
          <w:bCs w:val="0"/>
          <w:sz w:val="24"/>
          <w:szCs w:val="24"/>
        </w:rPr>
      </w:pPr>
      <w:r w:rsidRPr="00135444">
        <w:rPr>
          <w:rFonts w:ascii="Minion Pro" w:hAnsi="Minion Pro"/>
          <w:b w:val="0"/>
          <w:bCs w:val="0"/>
          <w:sz w:val="24"/>
          <w:szCs w:val="24"/>
        </w:rPr>
        <w:t xml:space="preserve">Most importantly: too often </w:t>
      </w:r>
      <w:r w:rsidRPr="00135444">
        <w:rPr>
          <w:rFonts w:ascii="Minion Pro" w:hAnsi="Minion Pro"/>
          <w:b w:val="0"/>
          <w:bCs w:val="0"/>
          <w:sz w:val="24"/>
          <w:szCs w:val="24"/>
        </w:rPr>
        <w:t xml:space="preserve">public inquiries have failed to translate their findings into lasting change. </w:t>
      </w:r>
      <w:r w:rsidRPr="00135444">
        <w:rPr>
          <w:rFonts w:ascii="Minion Pro" w:hAnsi="Minion Pro"/>
          <w:b w:val="0"/>
          <w:bCs w:val="0"/>
          <w:sz w:val="24"/>
          <w:szCs w:val="24"/>
        </w:rPr>
        <w:t>This must not be allowed to happen</w:t>
      </w:r>
      <w:r w:rsidRPr="00135444">
        <w:rPr>
          <w:rFonts w:ascii="Minion Pro" w:hAnsi="Minion Pro"/>
          <w:b w:val="0"/>
          <w:bCs w:val="0"/>
          <w:sz w:val="24"/>
          <w:szCs w:val="24"/>
        </w:rPr>
        <w:t xml:space="preserve"> in any inquiry into coronavirus.</w:t>
      </w:r>
      <w:r w:rsidRPr="00135444">
        <w:rPr>
          <w:rFonts w:ascii="Minion Pro" w:hAnsi="Minion Pro"/>
          <w:b w:val="0"/>
          <w:bCs w:val="0"/>
          <w:sz w:val="24"/>
          <w:szCs w:val="24"/>
        </w:rPr>
        <w:t xml:space="preserve"> </w:t>
      </w:r>
      <w:r w:rsidRPr="00135444">
        <w:rPr>
          <w:rFonts w:ascii="Minion Pro" w:hAnsi="Minion Pro"/>
          <w:b w:val="0"/>
          <w:bCs w:val="0"/>
          <w:sz w:val="24"/>
          <w:szCs w:val="24"/>
        </w:rPr>
        <w:t>We recommend the following to ensure an inquiry leads to change:</w:t>
      </w:r>
    </w:p>
    <w:p w:rsidR="00EA0253" w:rsidRPr="00135444" w:rsidP="006A7655">
      <w:pPr>
        <w:pStyle w:val="ListParagraph"/>
        <w:numPr>
          <w:ilvl w:val="0"/>
          <w:numId w:val="25"/>
        </w:numPr>
        <w:rPr>
          <w:rFonts w:ascii="Minion Pro" w:hAnsi="Minion Pro"/>
          <w:b w:val="0"/>
          <w:bCs w:val="0"/>
          <w:sz w:val="24"/>
          <w:szCs w:val="24"/>
        </w:rPr>
      </w:pPr>
      <w:r w:rsidRPr="00135444">
        <w:rPr>
          <w:rFonts w:ascii="Minion Pro" w:hAnsi="Minion Pro"/>
          <w:b w:val="0"/>
          <w:bCs w:val="0"/>
          <w:sz w:val="24"/>
          <w:szCs w:val="24"/>
        </w:rPr>
        <w:t>The chair and panellists should consider how they can continue to advocate for and monitor the implementation of their recommendations, drawing on the exampl</w:t>
      </w:r>
      <w:r w:rsidRPr="00135444">
        <w:rPr>
          <w:rFonts w:ascii="Minion Pro" w:hAnsi="Minion Pro"/>
          <w:b w:val="0"/>
          <w:bCs w:val="0"/>
          <w:sz w:val="24"/>
          <w:szCs w:val="24"/>
        </w:rPr>
        <w:t xml:space="preserve">es of </w:t>
      </w:r>
      <w:r w:rsidRPr="00135444">
        <w:rPr>
          <w:rFonts w:ascii="Minion Pro" w:hAnsi="Minion Pro"/>
          <w:b w:val="0"/>
          <w:bCs w:val="0"/>
          <w:sz w:val="24"/>
          <w:szCs w:val="24"/>
        </w:rPr>
        <w:t>Lord Laming</w:t>
      </w:r>
      <w:r w:rsidRPr="00135444">
        <w:rPr>
          <w:rFonts w:ascii="Minion Pro" w:hAnsi="Minion Pro"/>
          <w:b w:val="0"/>
          <w:bCs w:val="0"/>
          <w:sz w:val="24"/>
          <w:szCs w:val="24"/>
        </w:rPr>
        <w:t>, who</w:t>
      </w:r>
      <w:r w:rsidRPr="00135444">
        <w:rPr>
          <w:rFonts w:ascii="Minion Pro" w:hAnsi="Minion Pro"/>
          <w:b w:val="0"/>
          <w:bCs w:val="0"/>
          <w:sz w:val="24"/>
          <w:szCs w:val="24"/>
        </w:rPr>
        <w:t xml:space="preserve"> developed a detailed implementation plan as part of his report into the death of Baby P</w:t>
      </w:r>
      <w:r>
        <w:rPr>
          <w:rStyle w:val="EndnoteReference"/>
          <w:rFonts w:ascii="Minion Pro" w:hAnsi="Minion Pro"/>
          <w:b w:val="0"/>
          <w:bCs w:val="0"/>
          <w:sz w:val="24"/>
          <w:szCs w:val="24"/>
        </w:rPr>
        <w:endnoteReference w:id="2"/>
      </w:r>
      <w:r w:rsidRPr="00135444">
        <w:rPr>
          <w:rFonts w:ascii="Minion Pro" w:hAnsi="Minion Pro"/>
          <w:b w:val="0"/>
          <w:bCs w:val="0"/>
          <w:sz w:val="24"/>
          <w:szCs w:val="24"/>
        </w:rPr>
        <w:t xml:space="preserve"> and </w:t>
      </w:r>
      <w:r w:rsidRPr="00135444">
        <w:rPr>
          <w:rFonts w:ascii="Minion Pro" w:hAnsi="Minion Pro"/>
          <w:b w:val="0"/>
          <w:bCs w:val="0"/>
          <w:sz w:val="24"/>
          <w:szCs w:val="24"/>
        </w:rPr>
        <w:t>Lord Bichard, who informally reconvened his inquiry into the Soham tragedy six months after the publication of his report to consider how we</w:t>
      </w:r>
      <w:r w:rsidRPr="00135444">
        <w:rPr>
          <w:rFonts w:ascii="Minion Pro" w:hAnsi="Minion Pro"/>
          <w:b w:val="0"/>
          <w:bCs w:val="0"/>
          <w:sz w:val="24"/>
          <w:szCs w:val="24"/>
        </w:rPr>
        <w:t>ll the recommendations were being implemented.</w:t>
      </w:r>
      <w:r>
        <w:rPr>
          <w:rStyle w:val="EndnoteReference"/>
          <w:rFonts w:ascii="Minion Pro" w:hAnsi="Minion Pro"/>
          <w:b w:val="0"/>
          <w:bCs w:val="0"/>
          <w:sz w:val="24"/>
          <w:szCs w:val="24"/>
        </w:rPr>
        <w:endnoteReference w:id="3"/>
      </w:r>
    </w:p>
    <w:p w:rsidR="004531C9" w:rsidRPr="00135444" w:rsidP="00EA0253">
      <w:pPr>
        <w:pStyle w:val="ListParagraph"/>
        <w:numPr>
          <w:ilvl w:val="0"/>
          <w:numId w:val="32"/>
        </w:numPr>
        <w:rPr>
          <w:rFonts w:ascii="Minion Pro" w:hAnsi="Minion Pro"/>
          <w:b w:val="0"/>
          <w:bCs w:val="0"/>
          <w:sz w:val="24"/>
          <w:szCs w:val="24"/>
        </w:rPr>
      </w:pPr>
      <w:r w:rsidRPr="00135444">
        <w:rPr>
          <w:rFonts w:ascii="Minion Pro" w:hAnsi="Minion Pro"/>
          <w:b w:val="0"/>
          <w:bCs w:val="0"/>
          <w:sz w:val="24"/>
          <w:szCs w:val="24"/>
        </w:rPr>
        <w:t xml:space="preserve">The inquiry </w:t>
      </w:r>
      <w:r w:rsidRPr="00135444">
        <w:rPr>
          <w:rFonts w:ascii="Minion Pro" w:hAnsi="Minion Pro"/>
          <w:b w:val="0"/>
          <w:bCs w:val="0"/>
          <w:sz w:val="24"/>
          <w:szCs w:val="24"/>
        </w:rPr>
        <w:t>should identify</w:t>
      </w:r>
      <w:r w:rsidRPr="00135444">
        <w:rPr>
          <w:rFonts w:ascii="Minion Pro" w:hAnsi="Minion Pro"/>
          <w:b w:val="0"/>
          <w:bCs w:val="0"/>
          <w:sz w:val="24"/>
          <w:szCs w:val="24"/>
        </w:rPr>
        <w:t xml:space="preserve"> people with experience of making policy to help develop recommendations that are ready to be implemented</w:t>
      </w:r>
      <w:r w:rsidRPr="00135444">
        <w:rPr>
          <w:rFonts w:ascii="Minion Pro" w:hAnsi="Minion Pro"/>
          <w:b w:val="0"/>
          <w:bCs w:val="0"/>
          <w:sz w:val="24"/>
          <w:szCs w:val="24"/>
        </w:rPr>
        <w:t>, either through the use of an expert panel and/or through the seminar mecha</w:t>
      </w:r>
      <w:r w:rsidRPr="00135444">
        <w:rPr>
          <w:rFonts w:ascii="Minion Pro" w:hAnsi="Minion Pro"/>
          <w:b w:val="0"/>
          <w:bCs w:val="0"/>
          <w:sz w:val="24"/>
          <w:szCs w:val="24"/>
        </w:rPr>
        <w:t xml:space="preserve">nism used in previous inquiries including the Bristol Inquiry. </w:t>
      </w:r>
    </w:p>
    <w:p w:rsidR="004531C9" w:rsidRPr="00135444" w:rsidP="00EA0253">
      <w:pPr>
        <w:pStyle w:val="ListParagraph"/>
        <w:numPr>
          <w:ilvl w:val="0"/>
          <w:numId w:val="32"/>
        </w:numPr>
        <w:rPr>
          <w:rFonts w:ascii="Minion Pro" w:hAnsi="Minion Pro"/>
          <w:b w:val="0"/>
          <w:bCs w:val="0"/>
          <w:sz w:val="24"/>
          <w:szCs w:val="24"/>
        </w:rPr>
      </w:pPr>
      <w:r w:rsidRPr="00135444">
        <w:rPr>
          <w:rFonts w:ascii="Minion Pro" w:hAnsi="Minion Pro"/>
          <w:b w:val="0"/>
          <w:bCs w:val="0"/>
          <w:sz w:val="24"/>
          <w:szCs w:val="24"/>
        </w:rPr>
        <w:t xml:space="preserve">Departments which are subject to recommendations should create transparent reporting mechanisms so that </w:t>
      </w:r>
      <w:r w:rsidRPr="00135444">
        <w:rPr>
          <w:rFonts w:ascii="Minion Pro" w:hAnsi="Minion Pro"/>
          <w:b w:val="0"/>
          <w:bCs w:val="0"/>
          <w:sz w:val="24"/>
          <w:szCs w:val="24"/>
        </w:rPr>
        <w:t xml:space="preserve">Parliament and </w:t>
      </w:r>
      <w:r w:rsidRPr="00135444">
        <w:rPr>
          <w:rFonts w:ascii="Minion Pro" w:hAnsi="Minion Pro"/>
          <w:b w:val="0"/>
          <w:bCs w:val="0"/>
          <w:sz w:val="24"/>
          <w:szCs w:val="24"/>
        </w:rPr>
        <w:t>the public can track the</w:t>
      </w:r>
      <w:r w:rsidRPr="00135444">
        <w:rPr>
          <w:rFonts w:ascii="Minion Pro" w:hAnsi="Minion Pro"/>
          <w:b w:val="0"/>
          <w:bCs w:val="0"/>
          <w:sz w:val="24"/>
          <w:szCs w:val="24"/>
        </w:rPr>
        <w:t xml:space="preserve"> implementation of recommendations. </w:t>
      </w:r>
    </w:p>
    <w:p w:rsidR="005E48A1" w:rsidRPr="00135444" w:rsidP="00EA0253">
      <w:pPr>
        <w:pStyle w:val="ListParagraph"/>
        <w:numPr>
          <w:ilvl w:val="0"/>
          <w:numId w:val="32"/>
        </w:numPr>
        <w:rPr>
          <w:rFonts w:ascii="Minion Pro" w:hAnsi="Minion Pro"/>
          <w:b w:val="0"/>
          <w:bCs w:val="0"/>
          <w:sz w:val="24"/>
          <w:szCs w:val="24"/>
        </w:rPr>
      </w:pPr>
      <w:r w:rsidRPr="00135444">
        <w:rPr>
          <w:rFonts w:ascii="Minion Pro" w:hAnsi="Minion Pro"/>
          <w:b w:val="0"/>
          <w:bCs w:val="0"/>
          <w:sz w:val="24"/>
          <w:szCs w:val="24"/>
        </w:rPr>
        <w:t xml:space="preserve">Parliament </w:t>
      </w:r>
      <w:r w:rsidRPr="00135444">
        <w:rPr>
          <w:rFonts w:ascii="Minion Pro" w:hAnsi="Minion Pro"/>
          <w:b w:val="0"/>
          <w:bCs w:val="0"/>
          <w:sz w:val="24"/>
          <w:szCs w:val="24"/>
        </w:rPr>
        <w:t>has a crucial role in</w:t>
      </w:r>
      <w:r w:rsidRPr="00135444">
        <w:rPr>
          <w:rFonts w:ascii="Minion Pro" w:hAnsi="Minion Pro"/>
          <w:b w:val="0"/>
          <w:bCs w:val="0"/>
          <w:sz w:val="24"/>
          <w:szCs w:val="24"/>
        </w:rPr>
        <w:t xml:space="preserve"> hold</w:t>
      </w:r>
      <w:r w:rsidRPr="00135444">
        <w:rPr>
          <w:rFonts w:ascii="Minion Pro" w:hAnsi="Minion Pro"/>
          <w:b w:val="0"/>
          <w:bCs w:val="0"/>
          <w:sz w:val="24"/>
          <w:szCs w:val="24"/>
        </w:rPr>
        <w:t>ing</w:t>
      </w:r>
      <w:r w:rsidRPr="00135444">
        <w:rPr>
          <w:rFonts w:ascii="Minion Pro" w:hAnsi="Minion Pro"/>
          <w:b w:val="0"/>
          <w:bCs w:val="0"/>
          <w:sz w:val="24"/>
          <w:szCs w:val="24"/>
        </w:rPr>
        <w:t xml:space="preserve"> the government accountable for its implementation of any recommendations that an inquiry makes.</w:t>
      </w:r>
      <w:r w:rsidRPr="00135444">
        <w:rPr>
          <w:rFonts w:ascii="Minion Pro" w:hAnsi="Minion Pro"/>
          <w:sz w:val="24"/>
          <w:szCs w:val="24"/>
        </w:rPr>
        <w:t xml:space="preserve"> </w:t>
      </w:r>
      <w:r w:rsidRPr="00135444">
        <w:rPr>
          <w:rFonts w:ascii="Minion Pro" w:hAnsi="Minion Pro"/>
          <w:b w:val="0"/>
          <w:bCs w:val="0"/>
          <w:sz w:val="24"/>
          <w:szCs w:val="24"/>
        </w:rPr>
        <w:t>Parliamentary select committees should scrutinise the implementation of recommendations – calling ministers and senior officials t</w:t>
      </w:r>
      <w:r w:rsidRPr="00135444">
        <w:rPr>
          <w:rFonts w:ascii="Minion Pro" w:hAnsi="Minion Pro"/>
          <w:b w:val="0"/>
          <w:bCs w:val="0"/>
          <w:sz w:val="24"/>
          <w:szCs w:val="24"/>
        </w:rPr>
        <w:t>o report on the progress of their departments.</w:t>
      </w:r>
    </w:p>
    <w:p w:rsidR="00E17432" w:rsidRPr="00135444">
      <w:pPr>
        <w:spacing w:after="160"/>
        <w:jc w:val="left"/>
        <w:rPr>
          <w:rFonts w:ascii="Minion Pro" w:hAnsi="Minion Pro"/>
          <w:sz w:val="24"/>
          <w:szCs w:val="24"/>
        </w:rPr>
      </w:pPr>
    </w:p>
    <w:p w:rsidR="00EA0253" w:rsidP="000E4013">
      <w:pPr>
        <w:spacing w:after="160"/>
        <w:rPr>
          <w:rFonts w:ascii="Minion Pro" w:hAnsi="Minion Pro"/>
          <w:sz w:val="24"/>
          <w:szCs w:val="24"/>
        </w:rPr>
      </w:pPr>
      <w:r w:rsidRPr="00135444">
        <w:rPr>
          <w:rFonts w:ascii="Minion Pro" w:hAnsi="Minion Pro"/>
          <w:sz w:val="24"/>
          <w:szCs w:val="24"/>
        </w:rPr>
        <w:t>This is an evidence submission on behalf of the Institute for Government, prepared by Marcus Shepheard (Senior Researcher) and Emma Norris (Director of Research).</w:t>
      </w:r>
      <w:r w:rsidRPr="00135444">
        <w:rPr>
          <w:rFonts w:ascii="Minion Pro" w:hAnsi="Minion Pro"/>
          <w:sz w:val="24"/>
          <w:szCs w:val="24"/>
        </w:rPr>
        <w:t xml:space="preserve"> </w:t>
      </w:r>
      <w:r w:rsidRPr="00135444">
        <w:rPr>
          <w:rFonts w:ascii="Minion Pro" w:hAnsi="Minion Pro"/>
          <w:sz w:val="24"/>
          <w:szCs w:val="24"/>
        </w:rPr>
        <w:t>The Institute for Government works to make go</w:t>
      </w:r>
      <w:r w:rsidRPr="00135444">
        <w:rPr>
          <w:rFonts w:ascii="Minion Pro" w:hAnsi="Minion Pro"/>
          <w:sz w:val="24"/>
          <w:szCs w:val="24"/>
        </w:rPr>
        <w:t>vernment more effective, and we have a long-standing interest in public inquiries. Our previous research in this area has focused on how inquiries can effectively deliver lasting positive change.</w:t>
      </w:r>
      <w:r>
        <w:rPr>
          <w:rStyle w:val="EndnoteReference"/>
          <w:rFonts w:ascii="Minion Pro" w:hAnsi="Minion Pro"/>
          <w:sz w:val="24"/>
          <w:szCs w:val="24"/>
        </w:rPr>
        <w:endnoteReference w:id="4"/>
      </w:r>
    </w:p>
    <w:p w:rsidR="00135444" w:rsidRPr="00135444" w:rsidP="000E4013">
      <w:pPr>
        <w:spacing w:after="160"/>
        <w:rPr>
          <w:rFonts w:ascii="Minion Pro" w:hAnsi="Minion Pro" w:eastAsiaTheme="majorEastAsia" w:cstheme="majorBidi"/>
          <w:color w:val="002060"/>
          <w:sz w:val="24"/>
          <w:szCs w:val="24"/>
        </w:rPr>
      </w:pPr>
    </w:p>
    <w:p w:rsidR="00472570" w:rsidRPr="00135444" w:rsidP="00447120">
      <w:pPr>
        <w:pStyle w:val="Heading2"/>
        <w:rPr>
          <w:rFonts w:ascii="Minion Pro" w:hAnsi="Minion Pro"/>
          <w:sz w:val="24"/>
          <w:szCs w:val="24"/>
        </w:rPr>
      </w:pPr>
      <w:r w:rsidRPr="00135444">
        <w:rPr>
          <w:rFonts w:ascii="Minion Pro" w:hAnsi="Minion Pro"/>
          <w:sz w:val="24"/>
          <w:szCs w:val="24"/>
        </w:rPr>
        <w:t>Introduction</w:t>
      </w:r>
    </w:p>
    <w:p w:rsidR="008A3CCC" w:rsidRPr="00135444" w:rsidP="00475F6E">
      <w:pPr>
        <w:rPr>
          <w:rFonts w:ascii="Minion Pro" w:hAnsi="Minion Pro"/>
          <w:sz w:val="24"/>
          <w:szCs w:val="24"/>
        </w:rPr>
      </w:pPr>
      <w:r w:rsidRPr="00135444">
        <w:rPr>
          <w:rFonts w:ascii="Minion Pro" w:hAnsi="Minion Pro"/>
          <w:sz w:val="24"/>
          <w:szCs w:val="24"/>
        </w:rPr>
        <w:t xml:space="preserve">An inquiry into the government’s response to </w:t>
      </w:r>
      <w:r w:rsidRPr="00135444">
        <w:rPr>
          <w:rFonts w:ascii="Minion Pro" w:hAnsi="Minion Pro"/>
          <w:sz w:val="24"/>
          <w:szCs w:val="24"/>
        </w:rPr>
        <w:t>the coronavirus crisis would be a</w:t>
      </w:r>
      <w:r w:rsidRPr="00135444">
        <w:rPr>
          <w:rFonts w:ascii="Minion Pro" w:hAnsi="Minion Pro"/>
          <w:sz w:val="24"/>
          <w:szCs w:val="24"/>
        </w:rPr>
        <w:t>n unusual case – inquiries where</w:t>
      </w:r>
      <w:r w:rsidRPr="00135444">
        <w:rPr>
          <w:rFonts w:ascii="Minion Pro" w:hAnsi="Minion Pro"/>
          <w:sz w:val="24"/>
          <w:szCs w:val="24"/>
        </w:rPr>
        <w:t xml:space="preserve"> </w:t>
      </w:r>
      <w:r w:rsidRPr="00135444">
        <w:rPr>
          <w:rFonts w:ascii="Minion Pro" w:hAnsi="Minion Pro"/>
          <w:sz w:val="24"/>
          <w:szCs w:val="24"/>
        </w:rPr>
        <w:t>a sitting government investigat</w:t>
      </w:r>
      <w:r w:rsidRPr="00135444">
        <w:rPr>
          <w:rFonts w:ascii="Minion Pro" w:hAnsi="Minion Pro"/>
          <w:sz w:val="24"/>
          <w:szCs w:val="24"/>
        </w:rPr>
        <w:t>es its own</w:t>
      </w:r>
      <w:r w:rsidRPr="00135444">
        <w:rPr>
          <w:rFonts w:ascii="Minion Pro" w:hAnsi="Minion Pro"/>
          <w:sz w:val="24"/>
          <w:szCs w:val="24"/>
        </w:rPr>
        <w:t xml:space="preserve"> actions and decisions </w:t>
      </w:r>
      <w:r w:rsidRPr="00135444">
        <w:rPr>
          <w:rFonts w:ascii="Minion Pro" w:hAnsi="Minion Pro"/>
          <w:sz w:val="24"/>
          <w:szCs w:val="24"/>
        </w:rPr>
        <w:t>are rare</w:t>
      </w:r>
      <w:r w:rsidRPr="00135444">
        <w:rPr>
          <w:rFonts w:ascii="Minion Pro" w:hAnsi="Minion Pro"/>
          <w:sz w:val="24"/>
          <w:szCs w:val="24"/>
        </w:rPr>
        <w:t xml:space="preserve">. </w:t>
      </w:r>
      <w:r w:rsidRPr="00135444">
        <w:rPr>
          <w:rFonts w:ascii="Minion Pro" w:hAnsi="Minion Pro"/>
          <w:sz w:val="24"/>
          <w:szCs w:val="24"/>
        </w:rPr>
        <w:t>However</w:t>
      </w:r>
      <w:r w:rsidRPr="00135444">
        <w:rPr>
          <w:rFonts w:ascii="Minion Pro" w:hAnsi="Minion Pro"/>
          <w:sz w:val="24"/>
          <w:szCs w:val="24"/>
        </w:rPr>
        <w:t>,</w:t>
      </w:r>
      <w:r w:rsidRPr="00135444">
        <w:rPr>
          <w:rFonts w:ascii="Minion Pro" w:hAnsi="Minion Pro"/>
          <w:sz w:val="24"/>
          <w:szCs w:val="24"/>
        </w:rPr>
        <w:t xml:space="preserve"> there are examples and w</w:t>
      </w:r>
      <w:r w:rsidRPr="00135444">
        <w:rPr>
          <w:rFonts w:ascii="Minion Pro" w:hAnsi="Minion Pro"/>
          <w:sz w:val="24"/>
          <w:szCs w:val="24"/>
        </w:rPr>
        <w:t xml:space="preserve">e </w:t>
      </w:r>
      <w:r w:rsidRPr="00135444">
        <w:rPr>
          <w:rFonts w:ascii="Minion Pro" w:hAnsi="Minion Pro"/>
          <w:sz w:val="24"/>
          <w:szCs w:val="24"/>
        </w:rPr>
        <w:t>note</w:t>
      </w:r>
      <w:r w:rsidRPr="00135444">
        <w:rPr>
          <w:rFonts w:ascii="Minion Pro" w:hAnsi="Minion Pro"/>
          <w:sz w:val="24"/>
          <w:szCs w:val="24"/>
        </w:rPr>
        <w:t xml:space="preserve"> f</w:t>
      </w:r>
      <w:r w:rsidRPr="00135444">
        <w:rPr>
          <w:rFonts w:ascii="Minion Pro" w:hAnsi="Minion Pro"/>
          <w:sz w:val="24"/>
          <w:szCs w:val="24"/>
        </w:rPr>
        <w:t>ive</w:t>
      </w:r>
      <w:r w:rsidRPr="00135444">
        <w:rPr>
          <w:rFonts w:ascii="Minion Pro" w:hAnsi="Minion Pro"/>
          <w:sz w:val="24"/>
          <w:szCs w:val="24"/>
        </w:rPr>
        <w:t xml:space="preserve"> preceden</w:t>
      </w:r>
      <w:r w:rsidRPr="00135444">
        <w:rPr>
          <w:rFonts w:ascii="Minion Pro" w:hAnsi="Minion Pro"/>
          <w:sz w:val="24"/>
          <w:szCs w:val="24"/>
        </w:rPr>
        <w:t>t</w:t>
      </w:r>
      <w:r w:rsidRPr="00135444">
        <w:rPr>
          <w:rFonts w:ascii="Minion Pro" w:hAnsi="Minion Pro"/>
          <w:sz w:val="24"/>
          <w:szCs w:val="24"/>
        </w:rPr>
        <w:t>s:</w:t>
      </w:r>
    </w:p>
    <w:p w:rsidR="0007003E" w:rsidRPr="00135444" w:rsidP="0007003E">
      <w:pPr>
        <w:pStyle w:val="ListParagraph"/>
        <w:numPr>
          <w:ilvl w:val="0"/>
          <w:numId w:val="23"/>
        </w:numPr>
        <w:rPr>
          <w:rFonts w:ascii="Minion Pro" w:hAnsi="Minion Pro"/>
          <w:b w:val="0"/>
          <w:bCs w:val="0"/>
          <w:sz w:val="24"/>
          <w:szCs w:val="24"/>
        </w:rPr>
      </w:pPr>
      <w:r w:rsidRPr="00135444">
        <w:rPr>
          <w:rFonts w:ascii="Minion Pro" w:hAnsi="Minion Pro"/>
          <w:b w:val="0"/>
          <w:bCs w:val="0"/>
          <w:sz w:val="24"/>
          <w:szCs w:val="24"/>
        </w:rPr>
        <w:t>The Falkland Islands Inquiry was established by Margaret Th</w:t>
      </w:r>
      <w:r w:rsidRPr="00135444">
        <w:rPr>
          <w:rFonts w:ascii="Minion Pro" w:hAnsi="Minion Pro"/>
          <w:b w:val="0"/>
          <w:bCs w:val="0"/>
          <w:sz w:val="24"/>
          <w:szCs w:val="24"/>
        </w:rPr>
        <w:t>atcher in 1982 to consider “</w:t>
      </w:r>
      <w:r w:rsidRPr="00135444">
        <w:rPr>
          <w:rFonts w:ascii="Minion Pro" w:hAnsi="Minion Pro"/>
          <w:b w:val="0"/>
          <w:bCs w:val="0"/>
          <w:sz w:val="24"/>
          <w:szCs w:val="24"/>
        </w:rPr>
        <w:t>the way in which the Government Departments concerned had discharged their responsibilities in the period leading up to the invasion of the Falkland Islands</w:t>
      </w:r>
      <w:r w:rsidRPr="00135444">
        <w:rPr>
          <w:rFonts w:ascii="Minion Pro" w:hAnsi="Minion Pro"/>
          <w:b w:val="0"/>
          <w:bCs w:val="0"/>
          <w:sz w:val="24"/>
          <w:szCs w:val="24"/>
        </w:rPr>
        <w:t>”.</w:t>
      </w:r>
      <w:r>
        <w:rPr>
          <w:rStyle w:val="EndnoteReference"/>
          <w:rFonts w:ascii="Minion Pro" w:hAnsi="Minion Pro"/>
          <w:b w:val="0"/>
          <w:bCs w:val="0"/>
          <w:sz w:val="24"/>
          <w:szCs w:val="24"/>
        </w:rPr>
        <w:endnoteReference w:id="5"/>
      </w:r>
      <w:r w:rsidRPr="00135444">
        <w:rPr>
          <w:rFonts w:ascii="Minion Pro" w:hAnsi="Minion Pro"/>
          <w:b w:val="0"/>
          <w:bCs w:val="0"/>
          <w:sz w:val="24"/>
          <w:szCs w:val="24"/>
        </w:rPr>
        <w:t xml:space="preserve"> This inquiry – convened as a ‘Committee of Privy Councillors’ provid</w:t>
      </w:r>
      <w:r w:rsidRPr="00135444">
        <w:rPr>
          <w:rFonts w:ascii="Minion Pro" w:hAnsi="Minion Pro"/>
          <w:b w:val="0"/>
          <w:bCs w:val="0"/>
          <w:sz w:val="24"/>
          <w:szCs w:val="24"/>
        </w:rPr>
        <w:t>ed the model for the Butler Review and Iraq Inquiry.</w:t>
      </w:r>
    </w:p>
    <w:p w:rsidR="00302BA2" w:rsidRPr="00135444" w:rsidP="0007003E">
      <w:pPr>
        <w:pStyle w:val="ListParagraph"/>
        <w:numPr>
          <w:ilvl w:val="0"/>
          <w:numId w:val="23"/>
        </w:numPr>
        <w:rPr>
          <w:rFonts w:ascii="Minion Pro" w:hAnsi="Minion Pro"/>
          <w:b w:val="0"/>
          <w:bCs w:val="0"/>
          <w:sz w:val="24"/>
          <w:szCs w:val="24"/>
        </w:rPr>
      </w:pPr>
      <w:r w:rsidRPr="00135444">
        <w:rPr>
          <w:rFonts w:ascii="Minion Pro" w:hAnsi="Minion Pro"/>
          <w:b w:val="0"/>
          <w:bCs w:val="0"/>
          <w:sz w:val="24"/>
          <w:szCs w:val="24"/>
        </w:rPr>
        <w:t xml:space="preserve">The Hutton Inquiry was </w:t>
      </w:r>
      <w:r w:rsidRPr="00135444">
        <w:rPr>
          <w:rFonts w:ascii="Minion Pro" w:hAnsi="Minion Pro"/>
          <w:b w:val="0"/>
          <w:bCs w:val="0"/>
          <w:sz w:val="24"/>
          <w:szCs w:val="24"/>
        </w:rPr>
        <w:t xml:space="preserve">a non-statutory inquiry </w:t>
      </w:r>
      <w:r w:rsidRPr="00135444">
        <w:rPr>
          <w:rFonts w:ascii="Minion Pro" w:hAnsi="Minion Pro"/>
          <w:b w:val="0"/>
          <w:bCs w:val="0"/>
          <w:sz w:val="24"/>
          <w:szCs w:val="24"/>
        </w:rPr>
        <w:t xml:space="preserve">established by </w:t>
      </w:r>
      <w:r w:rsidRPr="00135444">
        <w:rPr>
          <w:rFonts w:ascii="Minion Pro" w:hAnsi="Minion Pro"/>
          <w:b w:val="0"/>
          <w:bCs w:val="0"/>
          <w:sz w:val="24"/>
          <w:szCs w:val="24"/>
        </w:rPr>
        <w:t xml:space="preserve">Lord Falconer </w:t>
      </w:r>
      <w:r w:rsidRPr="00135444">
        <w:rPr>
          <w:rFonts w:ascii="Minion Pro" w:hAnsi="Minion Pro"/>
          <w:b w:val="0"/>
          <w:bCs w:val="0"/>
          <w:sz w:val="24"/>
          <w:szCs w:val="24"/>
        </w:rPr>
        <w:t xml:space="preserve">in July 2003, </w:t>
      </w:r>
      <w:r w:rsidRPr="00135444">
        <w:rPr>
          <w:rFonts w:ascii="Minion Pro" w:hAnsi="Minion Pro"/>
          <w:b w:val="0"/>
          <w:bCs w:val="0"/>
          <w:sz w:val="24"/>
          <w:szCs w:val="24"/>
        </w:rPr>
        <w:t>to investigate</w:t>
      </w:r>
      <w:r w:rsidRPr="00135444">
        <w:rPr>
          <w:rFonts w:ascii="Minion Pro" w:hAnsi="Minion Pro"/>
          <w:b w:val="0"/>
          <w:bCs w:val="0"/>
          <w:sz w:val="24"/>
          <w:szCs w:val="24"/>
        </w:rPr>
        <w:t xml:space="preserve"> the death of </w:t>
      </w:r>
      <w:r w:rsidRPr="00135444">
        <w:rPr>
          <w:rFonts w:ascii="Minion Pro" w:hAnsi="Minion Pro"/>
          <w:b w:val="0"/>
          <w:bCs w:val="0"/>
          <w:sz w:val="24"/>
          <w:szCs w:val="24"/>
        </w:rPr>
        <w:t>David Kelly, a weapons expert.</w:t>
      </w:r>
    </w:p>
    <w:p w:rsidR="00302BA2" w:rsidRPr="00135444" w:rsidP="00447120">
      <w:pPr>
        <w:pStyle w:val="ListParagraph"/>
        <w:numPr>
          <w:ilvl w:val="0"/>
          <w:numId w:val="23"/>
        </w:numPr>
        <w:rPr>
          <w:rFonts w:ascii="Minion Pro" w:hAnsi="Minion Pro"/>
          <w:b w:val="0"/>
          <w:bCs w:val="0"/>
          <w:sz w:val="24"/>
          <w:szCs w:val="24"/>
        </w:rPr>
      </w:pPr>
      <w:r w:rsidRPr="00135444">
        <w:rPr>
          <w:rFonts w:ascii="Minion Pro" w:hAnsi="Minion Pro"/>
          <w:b w:val="0"/>
          <w:bCs w:val="0"/>
          <w:sz w:val="24"/>
          <w:szCs w:val="24"/>
        </w:rPr>
        <w:t>The Butler Review was</w:t>
      </w:r>
      <w:r w:rsidRPr="00135444">
        <w:rPr>
          <w:rFonts w:ascii="Minion Pro" w:hAnsi="Minion Pro"/>
          <w:b w:val="0"/>
          <w:bCs w:val="0"/>
          <w:sz w:val="24"/>
          <w:szCs w:val="24"/>
        </w:rPr>
        <w:t xml:space="preserve"> a non-statutory inquiry</w:t>
      </w:r>
      <w:r w:rsidRPr="00135444">
        <w:rPr>
          <w:rFonts w:ascii="Minion Pro" w:hAnsi="Minion Pro"/>
          <w:b w:val="0"/>
          <w:bCs w:val="0"/>
          <w:sz w:val="24"/>
          <w:szCs w:val="24"/>
        </w:rPr>
        <w:t xml:space="preserve"> established by Jack Straw “</w:t>
      </w:r>
      <w:r w:rsidRPr="00135444">
        <w:rPr>
          <w:rFonts w:ascii="Minion Pro" w:hAnsi="Minion Pro"/>
          <w:b w:val="0"/>
          <w:bCs w:val="0"/>
          <w:sz w:val="24"/>
          <w:szCs w:val="24"/>
        </w:rPr>
        <w:t>to review intelligence on weapons of mass destruction</w:t>
      </w:r>
      <w:r w:rsidRPr="00135444">
        <w:rPr>
          <w:rFonts w:ascii="Minion Pro" w:hAnsi="Minion Pro"/>
          <w:b w:val="0"/>
          <w:bCs w:val="0"/>
          <w:sz w:val="24"/>
          <w:szCs w:val="24"/>
        </w:rPr>
        <w:t>”.</w:t>
      </w:r>
      <w:r>
        <w:rPr>
          <w:rStyle w:val="EndnoteReference"/>
          <w:rFonts w:ascii="Minion Pro" w:hAnsi="Minion Pro"/>
          <w:b w:val="0"/>
          <w:bCs w:val="0"/>
          <w:sz w:val="24"/>
          <w:szCs w:val="24"/>
        </w:rPr>
        <w:endnoteReference w:id="6"/>
      </w:r>
      <w:r w:rsidRPr="00135444">
        <w:rPr>
          <w:rFonts w:ascii="Minion Pro" w:hAnsi="Minion Pro"/>
          <w:b w:val="0"/>
          <w:bCs w:val="0"/>
          <w:sz w:val="24"/>
          <w:szCs w:val="24"/>
        </w:rPr>
        <w:t xml:space="preserve"> This inquiry would build on earlier investigative work done by the Commons Intelligence and Security and Foreign Affairs Select Committees.</w:t>
      </w:r>
      <w:r>
        <w:rPr>
          <w:rStyle w:val="EndnoteReference"/>
          <w:rFonts w:ascii="Minion Pro" w:hAnsi="Minion Pro"/>
          <w:b w:val="0"/>
          <w:bCs w:val="0"/>
          <w:sz w:val="24"/>
          <w:szCs w:val="24"/>
        </w:rPr>
        <w:endnoteReference w:id="7"/>
      </w:r>
      <w:r w:rsidRPr="00135444">
        <w:rPr>
          <w:rFonts w:ascii="Minion Pro" w:hAnsi="Minion Pro"/>
          <w:b w:val="0"/>
          <w:bCs w:val="0"/>
          <w:sz w:val="24"/>
          <w:szCs w:val="24"/>
        </w:rPr>
        <w:t xml:space="preserve"> </w:t>
      </w:r>
    </w:p>
    <w:p w:rsidR="00A65763" w:rsidRPr="00135444" w:rsidP="00302BA2">
      <w:pPr>
        <w:pStyle w:val="ListParagraph"/>
        <w:numPr>
          <w:ilvl w:val="0"/>
          <w:numId w:val="23"/>
        </w:numPr>
        <w:rPr>
          <w:rFonts w:ascii="Minion Pro" w:hAnsi="Minion Pro"/>
          <w:b w:val="0"/>
          <w:bCs w:val="0"/>
          <w:sz w:val="24"/>
          <w:szCs w:val="24"/>
        </w:rPr>
      </w:pPr>
      <w:r w:rsidRPr="00135444">
        <w:rPr>
          <w:rFonts w:ascii="Minion Pro" w:hAnsi="Minion Pro"/>
          <w:b w:val="0"/>
          <w:bCs w:val="0"/>
          <w:sz w:val="24"/>
          <w:szCs w:val="24"/>
        </w:rPr>
        <w:t>T</w:t>
      </w:r>
      <w:r w:rsidRPr="00135444">
        <w:rPr>
          <w:rFonts w:ascii="Minion Pro" w:hAnsi="Minion Pro"/>
          <w:b w:val="0"/>
          <w:bCs w:val="0"/>
          <w:sz w:val="24"/>
          <w:szCs w:val="24"/>
        </w:rPr>
        <w:t>he I</w:t>
      </w:r>
      <w:r w:rsidRPr="00135444">
        <w:rPr>
          <w:rFonts w:ascii="Minion Pro" w:hAnsi="Minion Pro"/>
          <w:b w:val="0"/>
          <w:bCs w:val="0"/>
          <w:sz w:val="24"/>
          <w:szCs w:val="24"/>
        </w:rPr>
        <w:t xml:space="preserve">raq Inquiry was </w:t>
      </w:r>
      <w:r w:rsidRPr="00135444">
        <w:rPr>
          <w:rFonts w:ascii="Minion Pro" w:hAnsi="Minion Pro"/>
          <w:b w:val="0"/>
          <w:bCs w:val="0"/>
          <w:sz w:val="24"/>
          <w:szCs w:val="24"/>
        </w:rPr>
        <w:t xml:space="preserve">a non-statutory inquiry </w:t>
      </w:r>
      <w:r w:rsidRPr="00135444">
        <w:rPr>
          <w:rFonts w:ascii="Minion Pro" w:hAnsi="Minion Pro"/>
          <w:b w:val="0"/>
          <w:bCs w:val="0"/>
          <w:sz w:val="24"/>
          <w:szCs w:val="24"/>
        </w:rPr>
        <w:t xml:space="preserve">established by Gordon Brown to investigate the </w:t>
      </w:r>
      <w:r w:rsidRPr="00135444">
        <w:rPr>
          <w:rFonts w:ascii="Minion Pro" w:hAnsi="Minion Pro"/>
          <w:b w:val="0"/>
          <w:bCs w:val="0"/>
          <w:sz w:val="24"/>
          <w:szCs w:val="24"/>
        </w:rPr>
        <w:t>decisions made by the Labour government in the run-up to the invasion of Iraq</w:t>
      </w:r>
      <w:r w:rsidRPr="00135444">
        <w:rPr>
          <w:rFonts w:ascii="Minion Pro" w:hAnsi="Minion Pro"/>
          <w:b w:val="0"/>
          <w:bCs w:val="0"/>
          <w:sz w:val="24"/>
          <w:szCs w:val="24"/>
        </w:rPr>
        <w:t>.</w:t>
      </w:r>
      <w:r>
        <w:rPr>
          <w:rStyle w:val="EndnoteReference"/>
          <w:rFonts w:ascii="Minion Pro" w:hAnsi="Minion Pro"/>
          <w:b w:val="0"/>
          <w:bCs w:val="0"/>
          <w:sz w:val="24"/>
          <w:szCs w:val="24"/>
        </w:rPr>
        <w:endnoteReference w:id="8"/>
      </w:r>
      <w:r w:rsidRPr="00135444">
        <w:rPr>
          <w:rFonts w:ascii="Minion Pro" w:hAnsi="Minion Pro"/>
          <w:b w:val="0"/>
          <w:bCs w:val="0"/>
          <w:sz w:val="24"/>
          <w:szCs w:val="24"/>
        </w:rPr>
        <w:t xml:space="preserve"> The</w:t>
      </w:r>
      <w:r w:rsidRPr="00135444">
        <w:rPr>
          <w:rFonts w:ascii="Minion Pro" w:hAnsi="Minion Pro"/>
          <w:b w:val="0"/>
          <w:bCs w:val="0"/>
          <w:sz w:val="24"/>
          <w:szCs w:val="24"/>
        </w:rPr>
        <w:t xml:space="preserve"> scope of the inquiry included what was known in advance, </w:t>
      </w:r>
      <w:r w:rsidRPr="00135444">
        <w:rPr>
          <w:rFonts w:ascii="Minion Pro" w:hAnsi="Minion Pro"/>
          <w:b w:val="0"/>
          <w:bCs w:val="0"/>
          <w:sz w:val="24"/>
          <w:szCs w:val="24"/>
        </w:rPr>
        <w:t xml:space="preserve">and </w:t>
      </w:r>
      <w:r w:rsidRPr="00135444">
        <w:rPr>
          <w:rFonts w:ascii="Minion Pro" w:hAnsi="Minion Pro"/>
          <w:b w:val="0"/>
          <w:bCs w:val="0"/>
          <w:sz w:val="24"/>
          <w:szCs w:val="24"/>
        </w:rPr>
        <w:t xml:space="preserve">how </w:t>
      </w:r>
      <w:r w:rsidRPr="00135444">
        <w:rPr>
          <w:rFonts w:ascii="Minion Pro" w:hAnsi="Minion Pro"/>
          <w:b w:val="0"/>
          <w:bCs w:val="0"/>
          <w:sz w:val="24"/>
          <w:szCs w:val="24"/>
        </w:rPr>
        <w:t xml:space="preserve">ministers used that </w:t>
      </w:r>
      <w:r w:rsidRPr="00135444">
        <w:rPr>
          <w:rFonts w:ascii="Minion Pro" w:hAnsi="Minion Pro"/>
          <w:b w:val="0"/>
          <w:bCs w:val="0"/>
          <w:sz w:val="24"/>
          <w:szCs w:val="24"/>
        </w:rPr>
        <w:t xml:space="preserve">information to make decisions. </w:t>
      </w:r>
    </w:p>
    <w:p w:rsidR="001F55A9" w:rsidRPr="00135444" w:rsidP="00447120">
      <w:pPr>
        <w:pStyle w:val="ListParagraph"/>
        <w:numPr>
          <w:ilvl w:val="0"/>
          <w:numId w:val="23"/>
        </w:numPr>
        <w:rPr>
          <w:rFonts w:ascii="Minion Pro" w:hAnsi="Minion Pro"/>
          <w:b w:val="0"/>
          <w:bCs w:val="0"/>
          <w:sz w:val="24"/>
          <w:szCs w:val="24"/>
        </w:rPr>
      </w:pPr>
      <w:r w:rsidRPr="00135444">
        <w:rPr>
          <w:rFonts w:ascii="Minion Pro" w:hAnsi="Minion Pro"/>
          <w:b w:val="0"/>
          <w:bCs w:val="0"/>
          <w:sz w:val="24"/>
          <w:szCs w:val="24"/>
        </w:rPr>
        <w:t xml:space="preserve">The RHI Inquiry </w:t>
      </w:r>
      <w:r w:rsidRPr="00135444">
        <w:rPr>
          <w:rFonts w:ascii="Minion Pro" w:hAnsi="Minion Pro"/>
          <w:b w:val="0"/>
          <w:bCs w:val="0"/>
          <w:sz w:val="24"/>
          <w:szCs w:val="24"/>
        </w:rPr>
        <w:t xml:space="preserve">was </w:t>
      </w:r>
      <w:r w:rsidRPr="00135444">
        <w:rPr>
          <w:rFonts w:ascii="Minion Pro" w:hAnsi="Minion Pro"/>
          <w:b w:val="0"/>
          <w:bCs w:val="0"/>
          <w:sz w:val="24"/>
          <w:szCs w:val="24"/>
        </w:rPr>
        <w:t>established</w:t>
      </w:r>
      <w:r w:rsidRPr="00135444">
        <w:rPr>
          <w:rFonts w:ascii="Minion Pro" w:hAnsi="Minion Pro"/>
          <w:b w:val="0"/>
          <w:bCs w:val="0"/>
          <w:sz w:val="24"/>
          <w:szCs w:val="24"/>
        </w:rPr>
        <w:t xml:space="preserve"> in January 2017</w:t>
      </w:r>
      <w:r w:rsidRPr="00135444">
        <w:rPr>
          <w:rFonts w:ascii="Minion Pro" w:hAnsi="Minion Pro"/>
          <w:b w:val="0"/>
          <w:bCs w:val="0"/>
          <w:sz w:val="24"/>
          <w:szCs w:val="24"/>
        </w:rPr>
        <w:t xml:space="preserve"> by Máirtín Ó Muilleoir, the </w:t>
      </w:r>
      <w:r w:rsidRPr="00135444">
        <w:rPr>
          <w:rFonts w:ascii="Minion Pro" w:hAnsi="Minion Pro"/>
          <w:b w:val="0"/>
          <w:bCs w:val="0"/>
          <w:sz w:val="24"/>
          <w:szCs w:val="24"/>
        </w:rPr>
        <w:t xml:space="preserve">Sinn Fein Minister </w:t>
      </w:r>
      <w:r w:rsidRPr="00135444">
        <w:rPr>
          <w:rFonts w:ascii="Minion Pro" w:hAnsi="Minion Pro"/>
          <w:b w:val="0"/>
          <w:bCs w:val="0"/>
          <w:sz w:val="24"/>
          <w:szCs w:val="24"/>
        </w:rPr>
        <w:t>for Finance in the Northern Ireland Executive</w:t>
      </w:r>
      <w:r w:rsidRPr="00135444">
        <w:rPr>
          <w:rFonts w:ascii="Minion Pro" w:hAnsi="Minion Pro"/>
          <w:b w:val="0"/>
          <w:bCs w:val="0"/>
          <w:sz w:val="24"/>
          <w:szCs w:val="24"/>
        </w:rPr>
        <w:t xml:space="preserve"> to examine</w:t>
      </w:r>
      <w:r w:rsidRPr="00135444">
        <w:rPr>
          <w:rFonts w:ascii="Minion Pro" w:hAnsi="Minion Pro"/>
          <w:b w:val="0"/>
          <w:bCs w:val="0"/>
          <w:sz w:val="24"/>
          <w:szCs w:val="24"/>
        </w:rPr>
        <w:t xml:space="preserve"> </w:t>
      </w:r>
      <w:r w:rsidRPr="00135444">
        <w:rPr>
          <w:rFonts w:ascii="Minion Pro" w:hAnsi="Minion Pro"/>
          <w:b w:val="0"/>
          <w:bCs w:val="0"/>
          <w:sz w:val="24"/>
          <w:szCs w:val="24"/>
        </w:rPr>
        <w:t>“</w:t>
      </w:r>
      <w:r w:rsidRPr="00135444">
        <w:rPr>
          <w:rFonts w:ascii="Minion Pro" w:hAnsi="Minion Pro"/>
          <w:b w:val="0"/>
          <w:bCs w:val="0"/>
          <w:sz w:val="24"/>
          <w:szCs w:val="24"/>
        </w:rPr>
        <w:t xml:space="preserve">why the botched RHI scheme went wrong and the </w:t>
      </w:r>
      <w:r w:rsidRPr="00135444">
        <w:rPr>
          <w:rFonts w:ascii="Minion Pro" w:hAnsi="Minion Pro"/>
          <w:b w:val="0"/>
          <w:bCs w:val="0"/>
          <w:sz w:val="24"/>
          <w:szCs w:val="24"/>
        </w:rPr>
        <w:t>circumstances surrounding it</w:t>
      </w:r>
      <w:r w:rsidRPr="00135444">
        <w:rPr>
          <w:rFonts w:ascii="Minion Pro" w:hAnsi="Minion Pro"/>
          <w:b w:val="0"/>
          <w:bCs w:val="0"/>
          <w:sz w:val="24"/>
          <w:szCs w:val="24"/>
        </w:rPr>
        <w:t>”.</w:t>
      </w:r>
      <w:r>
        <w:rPr>
          <w:rStyle w:val="EndnoteReference"/>
          <w:rFonts w:ascii="Minion Pro" w:hAnsi="Minion Pro"/>
          <w:b w:val="0"/>
          <w:bCs w:val="0"/>
          <w:sz w:val="24"/>
          <w:szCs w:val="24"/>
        </w:rPr>
        <w:endnoteReference w:id="9"/>
      </w:r>
      <w:r w:rsidRPr="00135444">
        <w:rPr>
          <w:rFonts w:ascii="Minion Pro" w:hAnsi="Minion Pro"/>
          <w:b w:val="0"/>
          <w:bCs w:val="0"/>
          <w:sz w:val="24"/>
          <w:szCs w:val="24"/>
        </w:rPr>
        <w:t xml:space="preserve"> This inquiry is notable for being convened under the 2005 Inquiries Act</w:t>
      </w:r>
      <w:r w:rsidRPr="00135444">
        <w:rPr>
          <w:rFonts w:ascii="Minion Pro" w:hAnsi="Minion Pro"/>
          <w:b w:val="0"/>
          <w:bCs w:val="0"/>
          <w:sz w:val="24"/>
          <w:szCs w:val="24"/>
        </w:rPr>
        <w:t>.</w:t>
      </w:r>
    </w:p>
    <w:p w:rsidR="001061E8" w:rsidRPr="00135444" w:rsidP="00447120">
      <w:pPr>
        <w:rPr>
          <w:rFonts w:ascii="Minion Pro" w:hAnsi="Minion Pro"/>
          <w:sz w:val="24"/>
          <w:szCs w:val="24"/>
        </w:rPr>
      </w:pPr>
      <w:r w:rsidRPr="00135444">
        <w:rPr>
          <w:rFonts w:ascii="Minion Pro" w:hAnsi="Minion Pro"/>
          <w:sz w:val="24"/>
          <w:szCs w:val="24"/>
        </w:rPr>
        <w:t>While</w:t>
      </w:r>
      <w:r w:rsidRPr="00135444">
        <w:rPr>
          <w:rFonts w:ascii="Minion Pro" w:hAnsi="Minion Pro"/>
          <w:sz w:val="24"/>
          <w:szCs w:val="24"/>
        </w:rPr>
        <w:t xml:space="preserve"> none of these inquiries specifically consider a disease outbreak the theme of their</w:t>
      </w:r>
      <w:r w:rsidRPr="00135444">
        <w:rPr>
          <w:rFonts w:ascii="Minion Pro" w:hAnsi="Minion Pro"/>
          <w:sz w:val="24"/>
          <w:szCs w:val="24"/>
        </w:rPr>
        <w:t xml:space="preserve"> focus is akin to what an inquiry into the government’s respon</w:t>
      </w:r>
      <w:r w:rsidRPr="00135444">
        <w:rPr>
          <w:rFonts w:ascii="Minion Pro" w:hAnsi="Minion Pro"/>
          <w:sz w:val="24"/>
          <w:szCs w:val="24"/>
        </w:rPr>
        <w:t>se to</w:t>
      </w:r>
      <w:r w:rsidRPr="00135444">
        <w:rPr>
          <w:rFonts w:ascii="Minion Pro" w:hAnsi="Minion Pro"/>
          <w:sz w:val="24"/>
          <w:szCs w:val="24"/>
        </w:rPr>
        <w:t xml:space="preserve"> coronavirus might consider – what </w:t>
      </w:r>
      <w:r w:rsidRPr="00135444">
        <w:rPr>
          <w:rFonts w:ascii="Minion Pro" w:hAnsi="Minion Pro"/>
          <w:sz w:val="24"/>
          <w:szCs w:val="24"/>
        </w:rPr>
        <w:t>was known about the virus, when, how was that information used to make decisions, and how were those decisions implemented?</w:t>
      </w:r>
      <w:r w:rsidRPr="00135444">
        <w:rPr>
          <w:rFonts w:ascii="Minion Pro" w:hAnsi="Minion Pro"/>
          <w:sz w:val="24"/>
          <w:szCs w:val="24"/>
        </w:rPr>
        <w:t xml:space="preserve"> </w:t>
      </w:r>
    </w:p>
    <w:p w:rsidR="00C802A6" w:rsidRPr="00135444" w:rsidP="004A2278">
      <w:pPr>
        <w:rPr>
          <w:rFonts w:ascii="Minion Pro" w:hAnsi="Minion Pro"/>
          <w:sz w:val="24"/>
          <w:szCs w:val="24"/>
        </w:rPr>
      </w:pPr>
      <w:r w:rsidRPr="00135444">
        <w:rPr>
          <w:rFonts w:ascii="Minion Pro" w:hAnsi="Minion Pro"/>
          <w:sz w:val="24"/>
          <w:szCs w:val="24"/>
        </w:rPr>
        <w:t xml:space="preserve">Since 1990 there have been several inquiries looking at </w:t>
      </w:r>
      <w:r w:rsidRPr="00135444">
        <w:rPr>
          <w:rFonts w:ascii="Minion Pro" w:hAnsi="Minion Pro"/>
          <w:sz w:val="24"/>
          <w:szCs w:val="24"/>
        </w:rPr>
        <w:t xml:space="preserve">how the government has handled </w:t>
      </w:r>
      <w:r w:rsidRPr="00135444">
        <w:rPr>
          <w:rFonts w:ascii="Minion Pro" w:hAnsi="Minion Pro"/>
          <w:sz w:val="24"/>
          <w:szCs w:val="24"/>
        </w:rPr>
        <w:t>dise</w:t>
      </w:r>
      <w:r w:rsidRPr="00135444">
        <w:rPr>
          <w:rFonts w:ascii="Minion Pro" w:hAnsi="Minion Pro"/>
          <w:sz w:val="24"/>
          <w:szCs w:val="24"/>
        </w:rPr>
        <w:t xml:space="preserve">ase outbreaks. The </w:t>
      </w:r>
      <w:r w:rsidRPr="00135444">
        <w:rPr>
          <w:rFonts w:ascii="Minion Pro" w:hAnsi="Minion Pro"/>
          <w:sz w:val="24"/>
          <w:szCs w:val="24"/>
        </w:rPr>
        <w:t xml:space="preserve">BSE inquiry – established </w:t>
      </w:r>
      <w:r w:rsidRPr="00135444">
        <w:rPr>
          <w:rFonts w:ascii="Minion Pro" w:hAnsi="Minion Pro"/>
          <w:sz w:val="24"/>
          <w:szCs w:val="24"/>
        </w:rPr>
        <w:t xml:space="preserve">by a Labour government </w:t>
      </w:r>
      <w:r w:rsidRPr="00135444">
        <w:rPr>
          <w:rFonts w:ascii="Minion Pro" w:hAnsi="Minion Pro"/>
          <w:sz w:val="24"/>
          <w:szCs w:val="24"/>
        </w:rPr>
        <w:t xml:space="preserve">in 1997 – looked back to how the </w:t>
      </w:r>
      <w:r w:rsidRPr="00135444">
        <w:rPr>
          <w:rFonts w:ascii="Minion Pro" w:hAnsi="Minion Pro"/>
          <w:sz w:val="24"/>
          <w:szCs w:val="24"/>
        </w:rPr>
        <w:t xml:space="preserve">BSE epidemic had been managed under the previous </w:t>
      </w:r>
      <w:r w:rsidRPr="00135444">
        <w:rPr>
          <w:rFonts w:ascii="Minion Pro" w:hAnsi="Minion Pro"/>
          <w:sz w:val="24"/>
          <w:szCs w:val="24"/>
        </w:rPr>
        <w:t>C</w:t>
      </w:r>
      <w:r w:rsidRPr="00135444">
        <w:rPr>
          <w:rFonts w:ascii="Minion Pro" w:hAnsi="Minion Pro"/>
          <w:sz w:val="24"/>
          <w:szCs w:val="24"/>
        </w:rPr>
        <w:t xml:space="preserve">onservative government. The </w:t>
      </w:r>
      <w:r w:rsidRPr="00135444">
        <w:rPr>
          <w:rFonts w:ascii="Minion Pro" w:hAnsi="Minion Pro"/>
          <w:sz w:val="24"/>
          <w:szCs w:val="24"/>
        </w:rPr>
        <w:t xml:space="preserve">Foot and Mouth Inquiry – established in 2001 – considered how the </w:t>
      </w:r>
      <w:r w:rsidRPr="00135444">
        <w:rPr>
          <w:rFonts w:ascii="Minion Pro" w:hAnsi="Minion Pro"/>
          <w:sz w:val="24"/>
          <w:szCs w:val="24"/>
        </w:rPr>
        <w:t>then-Labour</w:t>
      </w:r>
      <w:r w:rsidRPr="00135444">
        <w:rPr>
          <w:rFonts w:ascii="Minion Pro" w:hAnsi="Minion Pro"/>
          <w:sz w:val="24"/>
          <w:szCs w:val="24"/>
        </w:rPr>
        <w:t xml:space="preserve"> </w:t>
      </w:r>
      <w:r w:rsidRPr="00135444">
        <w:rPr>
          <w:rFonts w:ascii="Minion Pro" w:hAnsi="Minion Pro"/>
          <w:sz w:val="24"/>
          <w:szCs w:val="24"/>
        </w:rPr>
        <w:t>government had managed that crisis</w:t>
      </w:r>
      <w:r w:rsidRPr="00135444">
        <w:rPr>
          <w:rFonts w:ascii="Minion Pro" w:hAnsi="Minion Pro"/>
          <w:sz w:val="24"/>
          <w:szCs w:val="24"/>
        </w:rPr>
        <w:t xml:space="preserve"> itself</w:t>
      </w:r>
      <w:r w:rsidRPr="00135444">
        <w:rPr>
          <w:rFonts w:ascii="Minion Pro" w:hAnsi="Minion Pro"/>
          <w:sz w:val="24"/>
          <w:szCs w:val="24"/>
        </w:rPr>
        <w:t xml:space="preserve">. </w:t>
      </w:r>
      <w:r w:rsidRPr="00135444">
        <w:rPr>
          <w:rFonts w:ascii="Minion Pro" w:hAnsi="Minion Pro"/>
          <w:sz w:val="24"/>
          <w:szCs w:val="24"/>
        </w:rPr>
        <w:t>These were national outbreaks</w:t>
      </w:r>
      <w:r w:rsidRPr="00135444">
        <w:rPr>
          <w:rFonts w:ascii="Minion Pro" w:hAnsi="Minion Pro"/>
          <w:sz w:val="24"/>
          <w:szCs w:val="24"/>
        </w:rPr>
        <w:t xml:space="preserve">, and the inquiries looked closely at </w:t>
      </w:r>
      <w:r w:rsidRPr="00135444">
        <w:rPr>
          <w:rFonts w:ascii="Minion Pro" w:hAnsi="Minion Pro"/>
          <w:sz w:val="24"/>
          <w:szCs w:val="24"/>
        </w:rPr>
        <w:t xml:space="preserve">how </w:t>
      </w:r>
      <w:r w:rsidRPr="00135444">
        <w:rPr>
          <w:rFonts w:ascii="Minion Pro" w:hAnsi="Minion Pro"/>
          <w:sz w:val="24"/>
          <w:szCs w:val="24"/>
        </w:rPr>
        <w:t xml:space="preserve">decisions were made in central government. </w:t>
      </w:r>
      <w:r w:rsidRPr="00135444">
        <w:rPr>
          <w:rFonts w:ascii="Minion Pro" w:hAnsi="Minion Pro"/>
          <w:sz w:val="24"/>
          <w:szCs w:val="24"/>
        </w:rPr>
        <w:t>These inquiries</w:t>
      </w:r>
      <w:r w:rsidRPr="00135444">
        <w:rPr>
          <w:rFonts w:ascii="Minion Pro" w:hAnsi="Minion Pro"/>
          <w:sz w:val="24"/>
          <w:szCs w:val="24"/>
        </w:rPr>
        <w:t xml:space="preserve"> contrast </w:t>
      </w:r>
      <w:r w:rsidRPr="00135444">
        <w:rPr>
          <w:rFonts w:ascii="Minion Pro" w:hAnsi="Minion Pro"/>
          <w:sz w:val="24"/>
          <w:szCs w:val="24"/>
        </w:rPr>
        <w:t>with others</w:t>
      </w:r>
      <w:r w:rsidRPr="00135444">
        <w:rPr>
          <w:rFonts w:ascii="Minion Pro" w:hAnsi="Minion Pro"/>
          <w:sz w:val="24"/>
          <w:szCs w:val="24"/>
        </w:rPr>
        <w:t xml:space="preserve"> such as </w:t>
      </w:r>
      <w:r w:rsidRPr="00135444">
        <w:rPr>
          <w:rFonts w:ascii="Minion Pro" w:hAnsi="Minion Pro"/>
          <w:sz w:val="24"/>
          <w:szCs w:val="24"/>
        </w:rPr>
        <w:t xml:space="preserve">the Pennington Group Inquiry (1996-97), the </w:t>
      </w:r>
      <w:r w:rsidRPr="00135444">
        <w:rPr>
          <w:rFonts w:ascii="Minion Pro" w:hAnsi="Minion Pro"/>
          <w:sz w:val="24"/>
          <w:szCs w:val="24"/>
        </w:rPr>
        <w:t>Inquiry i</w:t>
      </w:r>
      <w:r w:rsidRPr="00135444">
        <w:rPr>
          <w:rFonts w:ascii="Minion Pro" w:hAnsi="Minion Pro"/>
          <w:sz w:val="24"/>
          <w:szCs w:val="24"/>
        </w:rPr>
        <w:t>nto 2005 Outbreak of E. coli O157 in South Wales (2005-09)</w:t>
      </w:r>
      <w:r w:rsidRPr="00135444">
        <w:rPr>
          <w:rFonts w:ascii="Minion Pro" w:hAnsi="Minion Pro"/>
          <w:sz w:val="24"/>
          <w:szCs w:val="24"/>
        </w:rPr>
        <w:t xml:space="preserve">, </w:t>
      </w:r>
      <w:r w:rsidRPr="00135444">
        <w:rPr>
          <w:rFonts w:ascii="Minion Pro" w:hAnsi="Minion Pro"/>
          <w:sz w:val="24"/>
          <w:szCs w:val="24"/>
        </w:rPr>
        <w:t xml:space="preserve">the Northern Trusts Inquiry (2008-11) and the Vale of Leven Hospital Inquiry (2009-14) which were more focused on the specific failings of </w:t>
      </w:r>
      <w:r w:rsidRPr="00135444">
        <w:rPr>
          <w:rFonts w:ascii="Minion Pro" w:hAnsi="Minion Pro"/>
          <w:sz w:val="24"/>
          <w:szCs w:val="24"/>
        </w:rPr>
        <w:t>parts of the healthcare system</w:t>
      </w:r>
      <w:r w:rsidRPr="00135444">
        <w:rPr>
          <w:rFonts w:ascii="Minion Pro" w:hAnsi="Minion Pro"/>
          <w:sz w:val="24"/>
          <w:szCs w:val="24"/>
        </w:rPr>
        <w:t xml:space="preserve"> during a localised disease outbreak</w:t>
      </w:r>
      <w:r w:rsidRPr="00135444">
        <w:rPr>
          <w:rFonts w:ascii="Minion Pro" w:hAnsi="Minion Pro"/>
          <w:sz w:val="24"/>
          <w:szCs w:val="24"/>
        </w:rPr>
        <w:t xml:space="preserve">. </w:t>
      </w:r>
    </w:p>
    <w:p w:rsidR="000C7F93" w:rsidRPr="00135444" w:rsidP="004A2278">
      <w:pPr>
        <w:rPr>
          <w:rFonts w:ascii="Minion Pro" w:hAnsi="Minion Pro"/>
          <w:sz w:val="24"/>
          <w:szCs w:val="24"/>
        </w:rPr>
      </w:pPr>
      <w:r w:rsidRPr="00135444">
        <w:rPr>
          <w:rFonts w:ascii="Minion Pro" w:hAnsi="Minion Pro"/>
          <w:sz w:val="24"/>
          <w:szCs w:val="24"/>
        </w:rPr>
        <w:t>There have also been other inquiries where a sit</w:t>
      </w:r>
      <w:r w:rsidRPr="00135444">
        <w:rPr>
          <w:rFonts w:ascii="Minion Pro" w:hAnsi="Minion Pro"/>
          <w:sz w:val="24"/>
          <w:szCs w:val="24"/>
        </w:rPr>
        <w:t xml:space="preserve">ting government has investigated the decisions, actions, or behaviour of its own ministers. </w:t>
      </w:r>
      <w:r w:rsidRPr="00135444">
        <w:rPr>
          <w:rFonts w:ascii="Minion Pro" w:hAnsi="Minion Pro"/>
          <w:sz w:val="24"/>
          <w:szCs w:val="24"/>
        </w:rPr>
        <w:t xml:space="preserve">The Scott Inquiry was established by John Major </w:t>
      </w:r>
      <w:r w:rsidRPr="00135444">
        <w:rPr>
          <w:rFonts w:ascii="Minion Pro" w:hAnsi="Minion Pro"/>
          <w:sz w:val="24"/>
          <w:szCs w:val="24"/>
        </w:rPr>
        <w:t xml:space="preserve">in 1992 </w:t>
      </w:r>
      <w:r w:rsidRPr="00135444">
        <w:rPr>
          <w:rFonts w:ascii="Minion Pro" w:hAnsi="Minion Pro"/>
          <w:sz w:val="24"/>
          <w:szCs w:val="24"/>
        </w:rPr>
        <w:t xml:space="preserve">to investigate </w:t>
      </w:r>
      <w:r w:rsidRPr="00135444">
        <w:rPr>
          <w:rFonts w:ascii="Minion Pro" w:hAnsi="Minion Pro"/>
          <w:sz w:val="24"/>
          <w:szCs w:val="24"/>
        </w:rPr>
        <w:t xml:space="preserve">earlier </w:t>
      </w:r>
      <w:r w:rsidRPr="00135444">
        <w:rPr>
          <w:rFonts w:ascii="Minion Pro" w:hAnsi="Minion Pro"/>
          <w:sz w:val="24"/>
          <w:szCs w:val="24"/>
        </w:rPr>
        <w:t xml:space="preserve">decisions made by Conservative ministers relating to the sale of arms to Iraq. </w:t>
      </w:r>
      <w:r w:rsidRPr="00135444">
        <w:rPr>
          <w:rFonts w:ascii="Minion Pro" w:hAnsi="Minion Pro"/>
          <w:sz w:val="24"/>
          <w:szCs w:val="24"/>
        </w:rPr>
        <w:t>Simila</w:t>
      </w:r>
      <w:r w:rsidRPr="00135444">
        <w:rPr>
          <w:rFonts w:ascii="Minion Pro" w:hAnsi="Minion Pro"/>
          <w:sz w:val="24"/>
          <w:szCs w:val="24"/>
        </w:rPr>
        <w:t xml:space="preserve">rly, the Sierra Leone Arms Investigation in 1998 and the Hammond Inquiry in 2001 both dealt with the actions of Labour ministers. </w:t>
      </w:r>
      <w:r w:rsidRPr="00135444">
        <w:rPr>
          <w:rFonts w:ascii="Minion Pro" w:hAnsi="Minion Pro"/>
          <w:sz w:val="24"/>
          <w:szCs w:val="24"/>
        </w:rPr>
        <w:t>These have less direct bearing on the coronavirus inquiry, but we note them as further examples of inquiries that have been di</w:t>
      </w:r>
      <w:r w:rsidRPr="00135444">
        <w:rPr>
          <w:rFonts w:ascii="Minion Pro" w:hAnsi="Minion Pro"/>
          <w:sz w:val="24"/>
          <w:szCs w:val="24"/>
        </w:rPr>
        <w:t xml:space="preserve">rected </w:t>
      </w:r>
      <w:r w:rsidRPr="00135444">
        <w:rPr>
          <w:rFonts w:ascii="Minion Pro" w:hAnsi="Minion Pro"/>
          <w:sz w:val="24"/>
          <w:szCs w:val="24"/>
        </w:rPr>
        <w:t>towards members of the sitting government.</w:t>
      </w:r>
    </w:p>
    <w:p w:rsidR="009D19F2" w:rsidRPr="00135444" w:rsidP="00447120">
      <w:pPr>
        <w:pStyle w:val="Heading2"/>
        <w:rPr>
          <w:rFonts w:ascii="Minion Pro" w:hAnsi="Minion Pro"/>
          <w:sz w:val="24"/>
          <w:szCs w:val="24"/>
        </w:rPr>
      </w:pPr>
      <w:r w:rsidRPr="00135444">
        <w:rPr>
          <w:rFonts w:ascii="Minion Pro" w:hAnsi="Minion Pro"/>
          <w:sz w:val="24"/>
          <w:szCs w:val="24"/>
        </w:rPr>
        <w:t xml:space="preserve">1 - </w:t>
      </w:r>
      <w:r w:rsidRPr="00135444">
        <w:rPr>
          <w:rFonts w:ascii="Minion Pro" w:hAnsi="Minion Pro"/>
          <w:sz w:val="24"/>
          <w:szCs w:val="24"/>
        </w:rPr>
        <w:t xml:space="preserve">What form is the most appropriate for an inquiry into the UK response to the Coronavirus pandemic? Should it be a statutory inquiry and, if not, what form of non-statutory inquiry should be held? </w:t>
      </w:r>
    </w:p>
    <w:p w:rsidR="005B150E" w:rsidRPr="00135444" w:rsidP="00112362">
      <w:pPr>
        <w:rPr>
          <w:rFonts w:ascii="Minion Pro" w:hAnsi="Minion Pro"/>
          <w:sz w:val="24"/>
          <w:szCs w:val="24"/>
        </w:rPr>
      </w:pPr>
      <w:r w:rsidRPr="00135444">
        <w:rPr>
          <w:rFonts w:ascii="Minion Pro" w:hAnsi="Minion Pro"/>
          <w:sz w:val="24"/>
          <w:szCs w:val="24"/>
        </w:rPr>
        <w:t>There</w:t>
      </w:r>
      <w:r w:rsidRPr="00135444">
        <w:rPr>
          <w:rFonts w:ascii="Minion Pro" w:hAnsi="Minion Pro"/>
          <w:sz w:val="24"/>
          <w:szCs w:val="24"/>
        </w:rPr>
        <w:t xml:space="preserve"> are benefits and drawbacks to both models for an inquiry. Here, we set out some of the key features, benefits and drawbacks of both types of inquiry.</w:t>
      </w:r>
    </w:p>
    <w:p w:rsidR="00493824" w:rsidRPr="00135444" w:rsidP="00493824">
      <w:pPr>
        <w:pStyle w:val="Heading3"/>
        <w:rPr>
          <w:rFonts w:ascii="Minion Pro" w:hAnsi="Minion Pro"/>
          <w:sz w:val="24"/>
        </w:rPr>
      </w:pPr>
      <w:r w:rsidRPr="00135444">
        <w:rPr>
          <w:rFonts w:ascii="Minion Pro" w:hAnsi="Minion Pro"/>
          <w:sz w:val="24"/>
        </w:rPr>
        <w:t>Non-statutory public inquiries</w:t>
      </w:r>
    </w:p>
    <w:p w:rsidR="0065332D" w:rsidRPr="00135444" w:rsidP="00112362">
      <w:pPr>
        <w:rPr>
          <w:rFonts w:ascii="Minion Pro" w:hAnsi="Minion Pro"/>
          <w:sz w:val="24"/>
          <w:szCs w:val="24"/>
        </w:rPr>
      </w:pPr>
      <w:r w:rsidRPr="00135444">
        <w:rPr>
          <w:rFonts w:ascii="Minion Pro" w:hAnsi="Minion Pro"/>
          <w:sz w:val="24"/>
          <w:szCs w:val="24"/>
        </w:rPr>
        <w:t xml:space="preserve">Several </w:t>
      </w:r>
      <w:r w:rsidRPr="00135444">
        <w:rPr>
          <w:rFonts w:ascii="Minion Pro" w:hAnsi="Minion Pro"/>
          <w:sz w:val="24"/>
          <w:szCs w:val="24"/>
        </w:rPr>
        <w:t>non-statutory</w:t>
      </w:r>
      <w:r w:rsidRPr="00135444">
        <w:rPr>
          <w:rFonts w:ascii="Minion Pro" w:hAnsi="Minion Pro"/>
          <w:sz w:val="24"/>
          <w:szCs w:val="24"/>
        </w:rPr>
        <w:t xml:space="preserve"> inquiries </w:t>
      </w:r>
      <w:r w:rsidRPr="00135444">
        <w:rPr>
          <w:rFonts w:ascii="Minion Pro" w:hAnsi="Minion Pro"/>
          <w:sz w:val="24"/>
          <w:szCs w:val="24"/>
        </w:rPr>
        <w:t>have been</w:t>
      </w:r>
      <w:r w:rsidRPr="00135444">
        <w:rPr>
          <w:rFonts w:ascii="Minion Pro" w:hAnsi="Minion Pro"/>
          <w:sz w:val="24"/>
          <w:szCs w:val="24"/>
        </w:rPr>
        <w:t xml:space="preserve"> convened as a ‘Committee of Priv</w:t>
      </w:r>
      <w:r w:rsidRPr="00135444">
        <w:rPr>
          <w:rFonts w:ascii="Minion Pro" w:hAnsi="Minion Pro"/>
          <w:sz w:val="24"/>
          <w:szCs w:val="24"/>
        </w:rPr>
        <w:t xml:space="preserve">y Councillors’. </w:t>
      </w:r>
      <w:r w:rsidRPr="00135444">
        <w:rPr>
          <w:rFonts w:ascii="Minion Pro" w:hAnsi="Minion Pro"/>
          <w:sz w:val="24"/>
          <w:szCs w:val="24"/>
        </w:rPr>
        <w:t xml:space="preserve">The Falkland Islands Inquiry </w:t>
      </w:r>
      <w:r w:rsidRPr="00135444">
        <w:rPr>
          <w:rFonts w:ascii="Minion Pro" w:hAnsi="Minion Pro"/>
          <w:sz w:val="24"/>
          <w:szCs w:val="24"/>
        </w:rPr>
        <w:t>established the modern form of this</w:t>
      </w:r>
      <w:r w:rsidRPr="00135444">
        <w:rPr>
          <w:rFonts w:ascii="Minion Pro" w:hAnsi="Minion Pro"/>
          <w:sz w:val="24"/>
          <w:szCs w:val="24"/>
        </w:rPr>
        <w:t xml:space="preserve"> </w:t>
      </w:r>
      <w:r w:rsidRPr="00135444">
        <w:rPr>
          <w:rFonts w:ascii="Minion Pro" w:hAnsi="Minion Pro"/>
          <w:sz w:val="24"/>
          <w:szCs w:val="24"/>
        </w:rPr>
        <w:t>and Margaret Thatcher, when announcing the</w:t>
      </w:r>
      <w:r w:rsidRPr="00135444">
        <w:rPr>
          <w:rFonts w:ascii="Minion Pro" w:hAnsi="Minion Pro"/>
          <w:sz w:val="24"/>
          <w:szCs w:val="24"/>
        </w:rPr>
        <w:t>, outlined what she saw as the advantages of this model:</w:t>
      </w:r>
    </w:p>
    <w:p w:rsidR="00063D2A" w:rsidRPr="00135444" w:rsidP="00447120">
      <w:pPr>
        <w:ind w:left="720"/>
        <w:rPr>
          <w:rFonts w:ascii="Minion Pro" w:hAnsi="Minion Pro"/>
          <w:i/>
          <w:iCs/>
          <w:sz w:val="24"/>
          <w:szCs w:val="24"/>
        </w:rPr>
      </w:pPr>
      <w:r w:rsidRPr="00135444">
        <w:rPr>
          <w:rFonts w:ascii="Minion Pro" w:hAnsi="Minion Pro"/>
          <w:i/>
          <w:iCs/>
          <w:sz w:val="24"/>
          <w:szCs w:val="24"/>
        </w:rPr>
        <w:t>T</w:t>
      </w:r>
      <w:r w:rsidRPr="00135444">
        <w:rPr>
          <w:rFonts w:ascii="Minion Pro" w:hAnsi="Minion Pro"/>
          <w:i/>
          <w:iCs/>
          <w:sz w:val="24"/>
          <w:szCs w:val="24"/>
        </w:rPr>
        <w:t>he overriding considerations are that it should be independent, that it sho</w:t>
      </w:r>
      <w:r w:rsidRPr="00135444">
        <w:rPr>
          <w:rFonts w:ascii="Minion Pro" w:hAnsi="Minion Pro"/>
          <w:i/>
          <w:iCs/>
          <w:sz w:val="24"/>
          <w:szCs w:val="24"/>
        </w:rPr>
        <w:t>uld command confidence, that its members should have access to all relevant papers and persons and that it should complete its work speedily. Those four considerations taken together led naturally to a Committee of Privy Councillors. Such a Committee has o</w:t>
      </w:r>
      <w:r w:rsidRPr="00135444">
        <w:rPr>
          <w:rFonts w:ascii="Minion Pro" w:hAnsi="Minion Pro"/>
          <w:i/>
          <w:iCs/>
          <w:sz w:val="24"/>
          <w:szCs w:val="24"/>
        </w:rPr>
        <w:t>ne great advantage over other forms of inquiry. As it conducts its deliberations in private and its members are all Privy Councillors, there need be no reservations about providing it with all the relevant evidence—including much that is highly sensitive—s</w:t>
      </w:r>
      <w:r w:rsidRPr="00135444">
        <w:rPr>
          <w:rFonts w:ascii="Minion Pro" w:hAnsi="Minion Pro"/>
          <w:i/>
          <w:iCs/>
          <w:sz w:val="24"/>
          <w:szCs w:val="24"/>
        </w:rPr>
        <w:t>ubject to safeguards upon its use and publication.</w:t>
      </w:r>
    </w:p>
    <w:p w:rsidR="00836D80" w:rsidRPr="00135444" w:rsidP="00836D80">
      <w:pPr>
        <w:ind w:left="720"/>
        <w:rPr>
          <w:rFonts w:ascii="Minion Pro" w:hAnsi="Minion Pro"/>
          <w:sz w:val="24"/>
          <w:szCs w:val="24"/>
        </w:rPr>
      </w:pPr>
      <w:r w:rsidRPr="00135444">
        <w:rPr>
          <w:rFonts w:ascii="Minion Pro" w:hAnsi="Minion Pro"/>
          <w:i/>
          <w:iCs/>
          <w:sz w:val="24"/>
          <w:szCs w:val="24"/>
        </w:rPr>
        <w:t>A Committee of Privy Councillors can be authorised to see relevant departmental documents, Cabinet and Cabinet Committee memoranda and minutes, and intelligence assessments and reports, all on Privy Counci</w:t>
      </w:r>
      <w:r w:rsidRPr="00135444">
        <w:rPr>
          <w:rFonts w:ascii="Minion Pro" w:hAnsi="Minion Pro"/>
          <w:i/>
          <w:iCs/>
          <w:sz w:val="24"/>
          <w:szCs w:val="24"/>
        </w:rPr>
        <w:t>llor terms.</w:t>
      </w:r>
      <w:r>
        <w:rPr>
          <w:rStyle w:val="EndnoteReference"/>
          <w:rFonts w:ascii="Minion Pro" w:hAnsi="Minion Pro"/>
          <w:i/>
          <w:iCs/>
          <w:sz w:val="24"/>
          <w:szCs w:val="24"/>
        </w:rPr>
        <w:endnoteReference w:id="10"/>
      </w:r>
    </w:p>
    <w:p w:rsidR="00EA15D1" w:rsidRPr="00135444" w:rsidP="00EA15D1">
      <w:pPr>
        <w:rPr>
          <w:rFonts w:ascii="Minion Pro" w:hAnsi="Minion Pro"/>
          <w:sz w:val="24"/>
          <w:szCs w:val="24"/>
        </w:rPr>
      </w:pPr>
      <w:r w:rsidRPr="00135444">
        <w:rPr>
          <w:rFonts w:ascii="Minion Pro" w:hAnsi="Minion Pro"/>
          <w:sz w:val="24"/>
          <w:szCs w:val="24"/>
        </w:rPr>
        <w:t>Jack Straw (Foreign Secretary) cited Franks as the model when establishing the Butler Review.</w:t>
      </w:r>
      <w:r>
        <w:rPr>
          <w:rStyle w:val="EndnoteReference"/>
          <w:rFonts w:ascii="Minion Pro" w:hAnsi="Minion Pro"/>
          <w:sz w:val="24"/>
          <w:szCs w:val="24"/>
        </w:rPr>
        <w:endnoteReference w:id="11"/>
      </w:r>
      <w:r w:rsidRPr="00135444">
        <w:rPr>
          <w:rFonts w:ascii="Minion Pro" w:hAnsi="Minion Pro"/>
          <w:sz w:val="24"/>
          <w:szCs w:val="24"/>
        </w:rPr>
        <w:t xml:space="preserve"> Similarly, </w:t>
      </w:r>
      <w:r w:rsidRPr="00135444">
        <w:rPr>
          <w:rFonts w:ascii="Minion Pro" w:hAnsi="Minion Pro"/>
          <w:sz w:val="24"/>
          <w:szCs w:val="24"/>
        </w:rPr>
        <w:t>Gordon Brown, w</w:t>
      </w:r>
      <w:r w:rsidRPr="00135444">
        <w:rPr>
          <w:rFonts w:ascii="Minion Pro" w:hAnsi="Minion Pro"/>
          <w:sz w:val="24"/>
          <w:szCs w:val="24"/>
        </w:rPr>
        <w:t xml:space="preserve">hen </w:t>
      </w:r>
      <w:r w:rsidRPr="00135444">
        <w:rPr>
          <w:rFonts w:ascii="Minion Pro" w:hAnsi="Minion Pro"/>
          <w:sz w:val="24"/>
          <w:szCs w:val="24"/>
        </w:rPr>
        <w:t xml:space="preserve">he </w:t>
      </w:r>
      <w:r w:rsidRPr="00135444">
        <w:rPr>
          <w:rFonts w:ascii="Minion Pro" w:hAnsi="Minion Pro"/>
          <w:sz w:val="24"/>
          <w:szCs w:val="24"/>
        </w:rPr>
        <w:t>establish</w:t>
      </w:r>
      <w:r w:rsidRPr="00135444">
        <w:rPr>
          <w:rFonts w:ascii="Minion Pro" w:hAnsi="Minion Pro"/>
          <w:sz w:val="24"/>
          <w:szCs w:val="24"/>
        </w:rPr>
        <w:t>ed</w:t>
      </w:r>
      <w:r w:rsidRPr="00135444">
        <w:rPr>
          <w:rFonts w:ascii="Minion Pro" w:hAnsi="Minion Pro"/>
          <w:sz w:val="24"/>
          <w:szCs w:val="24"/>
        </w:rPr>
        <w:t xml:space="preserve"> the Iraq Inquiry</w:t>
      </w:r>
      <w:r w:rsidRPr="00135444">
        <w:rPr>
          <w:rFonts w:ascii="Minion Pro" w:hAnsi="Minion Pro"/>
          <w:sz w:val="24"/>
          <w:szCs w:val="24"/>
        </w:rPr>
        <w:t>, noted that the Cabine</w:t>
      </w:r>
      <w:r w:rsidRPr="00135444">
        <w:rPr>
          <w:rFonts w:ascii="Minion Pro" w:hAnsi="Minion Pro"/>
          <w:sz w:val="24"/>
          <w:szCs w:val="24"/>
        </w:rPr>
        <w:t>t Secretary (</w:t>
      </w:r>
      <w:r w:rsidRPr="00135444">
        <w:rPr>
          <w:rFonts w:ascii="Minion Pro" w:hAnsi="Minion Pro"/>
          <w:sz w:val="24"/>
          <w:szCs w:val="24"/>
        </w:rPr>
        <w:t xml:space="preserve">then </w:t>
      </w:r>
      <w:r w:rsidRPr="00135444">
        <w:rPr>
          <w:rFonts w:ascii="Minion Pro" w:hAnsi="Minion Pro"/>
          <w:sz w:val="24"/>
          <w:szCs w:val="24"/>
        </w:rPr>
        <w:t xml:space="preserve">Gus O’Donnell) had </w:t>
      </w:r>
      <w:r w:rsidRPr="00135444">
        <w:rPr>
          <w:rFonts w:ascii="Minion Pro" w:hAnsi="Minion Pro"/>
          <w:sz w:val="24"/>
          <w:szCs w:val="24"/>
        </w:rPr>
        <w:t xml:space="preserve">advised “that </w:t>
      </w:r>
      <w:r w:rsidRPr="00135444">
        <w:rPr>
          <w:rFonts w:ascii="Minion Pro" w:hAnsi="Minion Pro"/>
          <w:sz w:val="24"/>
          <w:szCs w:val="24"/>
        </w:rPr>
        <w:t>the Franks inquiry is the best precedent</w:t>
      </w:r>
      <w:r w:rsidRPr="00135444">
        <w:rPr>
          <w:rFonts w:ascii="Minion Pro" w:hAnsi="Minion Pro"/>
          <w:sz w:val="24"/>
          <w:szCs w:val="24"/>
        </w:rPr>
        <w:t>.”</w:t>
      </w:r>
      <w:r>
        <w:rPr>
          <w:rStyle w:val="EndnoteReference"/>
          <w:rFonts w:ascii="Minion Pro" w:hAnsi="Minion Pro"/>
          <w:sz w:val="24"/>
          <w:szCs w:val="24"/>
        </w:rPr>
        <w:endnoteReference w:id="12"/>
      </w:r>
      <w:r w:rsidRPr="00135444">
        <w:rPr>
          <w:rFonts w:ascii="Minion Pro" w:hAnsi="Minion Pro"/>
          <w:sz w:val="24"/>
          <w:szCs w:val="24"/>
        </w:rPr>
        <w:t xml:space="preserve"> </w:t>
      </w:r>
      <w:r w:rsidRPr="00135444">
        <w:rPr>
          <w:rFonts w:ascii="Minion Pro" w:hAnsi="Minion Pro"/>
          <w:sz w:val="24"/>
          <w:szCs w:val="24"/>
        </w:rPr>
        <w:t>When discussing the decision to establish the Iraq as a Privy Councillor Inquiry rather than under the 2005 Inquiries Act Jeremy Heywood (then Cabinet Secretary) remarked:</w:t>
      </w:r>
    </w:p>
    <w:p w:rsidR="00EA15D1" w:rsidRPr="00135444" w:rsidP="00EA15D1">
      <w:pPr>
        <w:ind w:left="720"/>
        <w:rPr>
          <w:rFonts w:ascii="Minion Pro" w:hAnsi="Minion Pro"/>
          <w:i/>
          <w:iCs/>
          <w:sz w:val="24"/>
          <w:szCs w:val="24"/>
        </w:rPr>
      </w:pPr>
      <w:r w:rsidRPr="00135444">
        <w:rPr>
          <w:rFonts w:ascii="Minion Pro" w:hAnsi="Minion Pro"/>
          <w:i/>
          <w:iCs/>
          <w:sz w:val="24"/>
          <w:szCs w:val="24"/>
        </w:rPr>
        <w:t>we had a conversation abou</w:t>
      </w:r>
      <w:r w:rsidRPr="00135444">
        <w:rPr>
          <w:rFonts w:ascii="Minion Pro" w:hAnsi="Minion Pro"/>
          <w:i/>
          <w:iCs/>
          <w:sz w:val="24"/>
          <w:szCs w:val="24"/>
        </w:rPr>
        <w:t>t that and discussed it with internal experts and we don’t believe it would have speeded things up. We don’t think it would have saved costs. We don’t think it would have led to a better, more comprehensive, more credible outcome, so that is our position</w:t>
      </w:r>
      <w:r w:rsidRPr="00135444">
        <w:rPr>
          <w:rFonts w:ascii="Minion Pro" w:hAnsi="Minion Pro"/>
          <w:i/>
          <w:iCs/>
          <w:sz w:val="24"/>
          <w:szCs w:val="24"/>
        </w:rPr>
        <w:t>.</w:t>
      </w:r>
      <w:r>
        <w:rPr>
          <w:rStyle w:val="EndnoteReference"/>
          <w:rFonts w:ascii="Minion Pro" w:hAnsi="Minion Pro"/>
          <w:sz w:val="24"/>
          <w:szCs w:val="24"/>
        </w:rPr>
        <w:endnoteReference w:id="13"/>
      </w:r>
    </w:p>
    <w:p w:rsidR="00487EB2" w:rsidRPr="00135444" w:rsidP="003D1C32">
      <w:pPr>
        <w:rPr>
          <w:rFonts w:ascii="Minion Pro" w:hAnsi="Minion Pro"/>
          <w:sz w:val="24"/>
          <w:szCs w:val="24"/>
        </w:rPr>
      </w:pPr>
      <w:r w:rsidRPr="00135444">
        <w:rPr>
          <w:rFonts w:ascii="Minion Pro" w:hAnsi="Minion Pro"/>
          <w:sz w:val="24"/>
          <w:szCs w:val="24"/>
        </w:rPr>
        <w:t>This made sense as both inquiries shared similar questions at their heart – the decisions made in the run-up to a war. In contrast t</w:t>
      </w:r>
      <w:r w:rsidRPr="00135444">
        <w:rPr>
          <w:rFonts w:ascii="Minion Pro" w:hAnsi="Minion Pro"/>
          <w:sz w:val="24"/>
          <w:szCs w:val="24"/>
        </w:rPr>
        <w:t xml:space="preserve">he BSE Inquiry </w:t>
      </w:r>
      <w:r w:rsidRPr="00135444">
        <w:rPr>
          <w:rFonts w:ascii="Minion Pro" w:hAnsi="Minion Pro"/>
          <w:sz w:val="24"/>
          <w:szCs w:val="24"/>
        </w:rPr>
        <w:t xml:space="preserve">was established using the Scott Inquiry as its </w:t>
      </w:r>
      <w:r w:rsidRPr="00135444">
        <w:rPr>
          <w:rFonts w:ascii="Minion Pro" w:hAnsi="Minion Pro"/>
          <w:sz w:val="24"/>
          <w:szCs w:val="24"/>
        </w:rPr>
        <w:t>model.</w:t>
      </w:r>
      <w:r>
        <w:rPr>
          <w:rStyle w:val="EndnoteReference"/>
          <w:rFonts w:ascii="Minion Pro" w:hAnsi="Minion Pro"/>
          <w:sz w:val="24"/>
          <w:szCs w:val="24"/>
        </w:rPr>
        <w:endnoteReference w:id="14"/>
      </w:r>
      <w:r w:rsidRPr="00135444">
        <w:rPr>
          <w:rFonts w:ascii="Minion Pro" w:hAnsi="Minion Pro"/>
          <w:sz w:val="24"/>
          <w:szCs w:val="24"/>
        </w:rPr>
        <w:t xml:space="preserve"> </w:t>
      </w:r>
      <w:r w:rsidRPr="00135444">
        <w:rPr>
          <w:rFonts w:ascii="Minion Pro" w:hAnsi="Minion Pro"/>
          <w:b/>
          <w:bCs/>
          <w:sz w:val="24"/>
          <w:szCs w:val="24"/>
        </w:rPr>
        <w:t>Notably all of these inquiries, with the exception of</w:t>
      </w:r>
      <w:r w:rsidRPr="00135444">
        <w:rPr>
          <w:rFonts w:ascii="Minion Pro" w:hAnsi="Minion Pro"/>
          <w:b/>
          <w:bCs/>
          <w:sz w:val="24"/>
          <w:szCs w:val="24"/>
        </w:rPr>
        <w:t xml:space="preserve"> the Iraq Inquiry, were established long before the 2005 Inquiries Act.</w:t>
      </w:r>
      <w:r w:rsidRPr="00135444">
        <w:rPr>
          <w:rFonts w:ascii="Minion Pro" w:hAnsi="Minion Pro"/>
          <w:sz w:val="24"/>
          <w:szCs w:val="24"/>
        </w:rPr>
        <w:t xml:space="preserve"> </w:t>
      </w:r>
    </w:p>
    <w:p w:rsidR="001C70C1" w:rsidRPr="00135444" w:rsidP="001C70C1">
      <w:pPr>
        <w:rPr>
          <w:rFonts w:ascii="Minion Pro" w:hAnsi="Minion Pro"/>
          <w:sz w:val="24"/>
          <w:szCs w:val="24"/>
        </w:rPr>
      </w:pPr>
      <w:r w:rsidRPr="00135444">
        <w:rPr>
          <w:rFonts w:ascii="Minion Pro" w:hAnsi="Minion Pro"/>
          <w:sz w:val="24"/>
          <w:szCs w:val="24"/>
        </w:rPr>
        <w:t xml:space="preserve">There has been a prevailing view that non-statutory inquiries are less confrontational and could rely on the support of the government that established them. </w:t>
      </w:r>
      <w:r w:rsidRPr="00135444">
        <w:rPr>
          <w:rFonts w:ascii="Minion Pro" w:hAnsi="Minion Pro"/>
          <w:sz w:val="24"/>
          <w:szCs w:val="24"/>
        </w:rPr>
        <w:t>There has been a presumpt</w:t>
      </w:r>
      <w:r w:rsidRPr="00135444">
        <w:rPr>
          <w:rFonts w:ascii="Minion Pro" w:hAnsi="Minion Pro"/>
          <w:sz w:val="24"/>
          <w:szCs w:val="24"/>
        </w:rPr>
        <w:t xml:space="preserve">ion that the willingness to establish the inquiry connotes a similar willingness to cooperate with the </w:t>
      </w:r>
      <w:r w:rsidRPr="00135444">
        <w:rPr>
          <w:rFonts w:ascii="Minion Pro" w:hAnsi="Minion Pro"/>
          <w:sz w:val="24"/>
          <w:szCs w:val="24"/>
        </w:rPr>
        <w:t>it</w:t>
      </w:r>
      <w:r w:rsidRPr="00135444">
        <w:rPr>
          <w:rFonts w:ascii="Minion Pro" w:hAnsi="Minion Pro"/>
          <w:sz w:val="24"/>
          <w:szCs w:val="24"/>
        </w:rPr>
        <w:t>.</w:t>
      </w:r>
      <w:r w:rsidRPr="00135444">
        <w:rPr>
          <w:rFonts w:ascii="Minion Pro" w:hAnsi="Minion Pro"/>
          <w:sz w:val="24"/>
          <w:szCs w:val="24"/>
        </w:rPr>
        <w:t xml:space="preserve"> </w:t>
      </w:r>
      <w:r w:rsidRPr="00135444">
        <w:rPr>
          <w:rFonts w:ascii="Minion Pro" w:hAnsi="Minion Pro"/>
          <w:sz w:val="24"/>
          <w:szCs w:val="24"/>
        </w:rPr>
        <w:t>When he announced the Iraq Inquiry Gordon Brown stated:</w:t>
      </w:r>
    </w:p>
    <w:p w:rsidR="001C70C1" w:rsidRPr="00135444" w:rsidP="001F5AB1">
      <w:pPr>
        <w:ind w:left="720"/>
        <w:rPr>
          <w:rFonts w:ascii="Minion Pro" w:hAnsi="Minion Pro"/>
          <w:i/>
          <w:iCs/>
          <w:sz w:val="24"/>
          <w:szCs w:val="24"/>
        </w:rPr>
      </w:pPr>
      <w:r w:rsidRPr="00135444">
        <w:rPr>
          <w:rFonts w:ascii="Minion Pro" w:hAnsi="Minion Pro"/>
          <w:i/>
          <w:iCs/>
          <w:sz w:val="24"/>
          <w:szCs w:val="24"/>
        </w:rPr>
        <w:t xml:space="preserve">The inquiry will receive the full co-operation of the Government. It will have access to all </w:t>
      </w:r>
      <w:r w:rsidRPr="00135444">
        <w:rPr>
          <w:rFonts w:ascii="Minion Pro" w:hAnsi="Minion Pro"/>
          <w:i/>
          <w:iCs/>
          <w:sz w:val="24"/>
          <w:szCs w:val="24"/>
        </w:rPr>
        <w:t>Government papers, and the ability to call any witnesses.</w:t>
      </w:r>
      <w:r>
        <w:rPr>
          <w:rStyle w:val="EndnoteReference"/>
          <w:rFonts w:ascii="Minion Pro" w:hAnsi="Minion Pro"/>
          <w:i/>
          <w:iCs/>
          <w:sz w:val="24"/>
          <w:szCs w:val="24"/>
        </w:rPr>
        <w:endnoteReference w:id="15"/>
      </w:r>
    </w:p>
    <w:p w:rsidR="001F5AB1" w:rsidRPr="00135444" w:rsidP="001F5AB1">
      <w:pPr>
        <w:rPr>
          <w:rFonts w:ascii="Minion Pro" w:hAnsi="Minion Pro"/>
          <w:sz w:val="24"/>
          <w:szCs w:val="24"/>
        </w:rPr>
      </w:pPr>
      <w:r w:rsidRPr="00135444">
        <w:rPr>
          <w:rFonts w:ascii="Minion Pro" w:hAnsi="Minion Pro"/>
          <w:sz w:val="24"/>
          <w:szCs w:val="24"/>
        </w:rPr>
        <w:t xml:space="preserve">There are </w:t>
      </w:r>
      <w:r w:rsidRPr="00135444">
        <w:rPr>
          <w:rFonts w:ascii="Minion Pro" w:hAnsi="Minion Pro"/>
          <w:sz w:val="24"/>
          <w:szCs w:val="24"/>
        </w:rPr>
        <w:t>few</w:t>
      </w:r>
      <w:r w:rsidRPr="00135444">
        <w:rPr>
          <w:rFonts w:ascii="Minion Pro" w:hAnsi="Minion Pro"/>
          <w:sz w:val="24"/>
          <w:szCs w:val="24"/>
        </w:rPr>
        <w:t xml:space="preserve"> examples of outright hostility towards and inquiry from government</w:t>
      </w:r>
      <w:r w:rsidRPr="00135444">
        <w:rPr>
          <w:rFonts w:ascii="Minion Pro" w:hAnsi="Minion Pro"/>
          <w:sz w:val="24"/>
          <w:szCs w:val="24"/>
        </w:rPr>
        <w:t xml:space="preserve">, however </w:t>
      </w:r>
      <w:r w:rsidRPr="00135444">
        <w:rPr>
          <w:rFonts w:ascii="Minion Pro" w:hAnsi="Minion Pro"/>
          <w:b/>
          <w:bCs/>
          <w:sz w:val="24"/>
          <w:szCs w:val="24"/>
        </w:rPr>
        <w:t>n</w:t>
      </w:r>
      <w:r w:rsidRPr="00135444">
        <w:rPr>
          <w:rFonts w:ascii="Minion Pro" w:hAnsi="Minion Pro"/>
          <w:b/>
          <w:bCs/>
          <w:sz w:val="24"/>
          <w:szCs w:val="24"/>
        </w:rPr>
        <w:t xml:space="preserve">on-statutory inquiries have no inherent safeguards against this and rely on good will and </w:t>
      </w:r>
      <w:r w:rsidRPr="00135444">
        <w:rPr>
          <w:rFonts w:ascii="Minion Pro" w:hAnsi="Minion Pro"/>
          <w:b/>
          <w:bCs/>
          <w:sz w:val="24"/>
          <w:szCs w:val="24"/>
        </w:rPr>
        <w:t>cooperation</w:t>
      </w:r>
      <w:r w:rsidRPr="00135444">
        <w:rPr>
          <w:rFonts w:ascii="Minion Pro" w:hAnsi="Minion Pro"/>
          <w:b/>
          <w:bCs/>
          <w:sz w:val="24"/>
          <w:szCs w:val="24"/>
        </w:rPr>
        <w:t xml:space="preserve"> to </w:t>
      </w:r>
      <w:r w:rsidRPr="00135444">
        <w:rPr>
          <w:rFonts w:ascii="Minion Pro" w:hAnsi="Minion Pro"/>
          <w:b/>
          <w:bCs/>
          <w:sz w:val="24"/>
          <w:szCs w:val="24"/>
        </w:rPr>
        <w:t>c</w:t>
      </w:r>
      <w:r w:rsidRPr="00135444">
        <w:rPr>
          <w:rFonts w:ascii="Minion Pro" w:hAnsi="Minion Pro"/>
          <w:b/>
          <w:bCs/>
          <w:sz w:val="24"/>
          <w:szCs w:val="24"/>
        </w:rPr>
        <w:t>onduct their business.</w:t>
      </w:r>
    </w:p>
    <w:p w:rsidR="00C63F64" w:rsidRPr="00135444" w:rsidP="00922A76">
      <w:pPr>
        <w:pStyle w:val="Heading3"/>
        <w:rPr>
          <w:rFonts w:ascii="Minion Pro" w:hAnsi="Minion Pro"/>
          <w:sz w:val="24"/>
        </w:rPr>
      </w:pPr>
      <w:r w:rsidRPr="00135444">
        <w:rPr>
          <w:rFonts w:ascii="Minion Pro" w:hAnsi="Minion Pro"/>
          <w:sz w:val="24"/>
        </w:rPr>
        <w:t>Statutory public inquiries</w:t>
      </w:r>
    </w:p>
    <w:p w:rsidR="00A41E16" w:rsidRPr="00135444" w:rsidP="00803A9C">
      <w:pPr>
        <w:rPr>
          <w:rFonts w:ascii="Minion Pro" w:hAnsi="Minion Pro"/>
          <w:sz w:val="24"/>
          <w:szCs w:val="24"/>
        </w:rPr>
      </w:pPr>
      <w:r w:rsidRPr="00135444">
        <w:rPr>
          <w:rFonts w:ascii="Minion Pro" w:hAnsi="Minion Pro"/>
          <w:sz w:val="24"/>
          <w:szCs w:val="24"/>
        </w:rPr>
        <w:t>All</w:t>
      </w:r>
      <w:r w:rsidRPr="00135444">
        <w:rPr>
          <w:rFonts w:ascii="Minion Pro" w:hAnsi="Minion Pro"/>
          <w:sz w:val="24"/>
          <w:szCs w:val="24"/>
        </w:rPr>
        <w:t xml:space="preserve"> ten of the ongoing public inquiries are statutory inquiries convened </w:t>
      </w:r>
      <w:r w:rsidRPr="00135444">
        <w:rPr>
          <w:rFonts w:ascii="Minion Pro" w:hAnsi="Minion Pro"/>
          <w:sz w:val="24"/>
          <w:szCs w:val="24"/>
        </w:rPr>
        <w:t xml:space="preserve">under the 2005 Act. </w:t>
      </w:r>
      <w:r w:rsidRPr="00135444">
        <w:rPr>
          <w:rFonts w:ascii="Minion Pro" w:hAnsi="Minion Pro"/>
          <w:sz w:val="24"/>
          <w:szCs w:val="24"/>
        </w:rPr>
        <w:t>A statutory inquiry has a range of powers</w:t>
      </w:r>
      <w:r w:rsidRPr="00135444">
        <w:rPr>
          <w:rFonts w:ascii="Minion Pro" w:hAnsi="Minion Pro"/>
          <w:sz w:val="24"/>
          <w:szCs w:val="24"/>
        </w:rPr>
        <w:t xml:space="preserve"> that non-statutory inquiries do not</w:t>
      </w:r>
      <w:r w:rsidRPr="00135444">
        <w:rPr>
          <w:rFonts w:ascii="Minion Pro" w:hAnsi="Minion Pro"/>
          <w:sz w:val="24"/>
          <w:szCs w:val="24"/>
        </w:rPr>
        <w:t>, m</w:t>
      </w:r>
      <w:r w:rsidRPr="00135444">
        <w:rPr>
          <w:rFonts w:ascii="Minion Pro" w:hAnsi="Minion Pro"/>
          <w:sz w:val="24"/>
          <w:szCs w:val="24"/>
        </w:rPr>
        <w:t>o</w:t>
      </w:r>
      <w:r w:rsidRPr="00135444">
        <w:rPr>
          <w:rFonts w:ascii="Minion Pro" w:hAnsi="Minion Pro"/>
          <w:sz w:val="24"/>
          <w:szCs w:val="24"/>
        </w:rPr>
        <w:t xml:space="preserve">st notably the power to compel individuals to provide documents or testimony. </w:t>
      </w:r>
      <w:r w:rsidRPr="00135444">
        <w:rPr>
          <w:rFonts w:ascii="Minion Pro" w:hAnsi="Minion Pro"/>
          <w:sz w:val="24"/>
          <w:szCs w:val="24"/>
        </w:rPr>
        <w:t>Statutory inquiries</w:t>
      </w:r>
      <w:r w:rsidRPr="00135444">
        <w:rPr>
          <w:rFonts w:ascii="Minion Pro" w:hAnsi="Minion Pro"/>
          <w:sz w:val="24"/>
          <w:szCs w:val="24"/>
        </w:rPr>
        <w:t xml:space="preserve"> </w:t>
      </w:r>
      <w:r w:rsidRPr="00135444">
        <w:rPr>
          <w:rFonts w:ascii="Minion Pro" w:hAnsi="Minion Pro"/>
          <w:sz w:val="24"/>
          <w:szCs w:val="24"/>
        </w:rPr>
        <w:t>can</w:t>
      </w:r>
      <w:r w:rsidRPr="00135444">
        <w:rPr>
          <w:rFonts w:ascii="Minion Pro" w:hAnsi="Minion Pro"/>
          <w:sz w:val="24"/>
          <w:szCs w:val="24"/>
        </w:rPr>
        <w:t xml:space="preserve"> take sworn evidence under oath, meaning that a witness who lies perjures himself.</w:t>
      </w:r>
      <w:r>
        <w:rPr>
          <w:rStyle w:val="EndnoteReference"/>
          <w:rFonts w:ascii="Minion Pro" w:hAnsi="Minion Pro"/>
          <w:sz w:val="24"/>
          <w:szCs w:val="24"/>
        </w:rPr>
        <w:endnoteReference w:id="16"/>
      </w:r>
    </w:p>
    <w:p w:rsidR="001C539B" w:rsidRPr="00135444" w:rsidP="00803A9C">
      <w:pPr>
        <w:rPr>
          <w:rFonts w:ascii="Minion Pro" w:hAnsi="Minion Pro"/>
          <w:sz w:val="24"/>
          <w:szCs w:val="24"/>
        </w:rPr>
      </w:pPr>
      <w:r w:rsidRPr="00135444">
        <w:rPr>
          <w:rFonts w:ascii="Minion Pro" w:hAnsi="Minion Pro"/>
          <w:sz w:val="24"/>
          <w:szCs w:val="24"/>
        </w:rPr>
        <w:t xml:space="preserve">Statutory inquiries </w:t>
      </w:r>
      <w:r w:rsidRPr="00135444">
        <w:rPr>
          <w:rFonts w:ascii="Minion Pro" w:hAnsi="Minion Pro"/>
          <w:sz w:val="24"/>
          <w:szCs w:val="24"/>
        </w:rPr>
        <w:t>ha</w:t>
      </w:r>
      <w:r w:rsidRPr="00135444">
        <w:rPr>
          <w:rFonts w:ascii="Minion Pro" w:hAnsi="Minion Pro"/>
          <w:sz w:val="24"/>
          <w:szCs w:val="24"/>
        </w:rPr>
        <w:t>ve</w:t>
      </w:r>
      <w:r w:rsidRPr="00135444">
        <w:rPr>
          <w:rFonts w:ascii="Minion Pro" w:hAnsi="Minion Pro"/>
          <w:sz w:val="24"/>
          <w:szCs w:val="24"/>
        </w:rPr>
        <w:t xml:space="preserve"> less procedural flexibility</w:t>
      </w:r>
      <w:r w:rsidRPr="00135444">
        <w:rPr>
          <w:rFonts w:ascii="Minion Pro" w:hAnsi="Minion Pro"/>
          <w:sz w:val="24"/>
          <w:szCs w:val="24"/>
        </w:rPr>
        <w:t xml:space="preserve"> than non-statutory</w:t>
      </w:r>
      <w:r w:rsidRPr="00135444">
        <w:rPr>
          <w:rFonts w:ascii="Minion Pro" w:hAnsi="Minion Pro"/>
          <w:sz w:val="24"/>
          <w:szCs w:val="24"/>
        </w:rPr>
        <w:t xml:space="preserve"> inquiries</w:t>
      </w:r>
      <w:r w:rsidRPr="00135444">
        <w:rPr>
          <w:rFonts w:ascii="Minion Pro" w:hAnsi="Minion Pro"/>
          <w:sz w:val="24"/>
          <w:szCs w:val="24"/>
        </w:rPr>
        <w:t xml:space="preserve">, in particular </w:t>
      </w:r>
      <w:r w:rsidRPr="00135444">
        <w:rPr>
          <w:rFonts w:ascii="Minion Pro" w:hAnsi="Minion Pro"/>
          <w:sz w:val="24"/>
          <w:szCs w:val="24"/>
        </w:rPr>
        <w:t>they</w:t>
      </w:r>
      <w:r w:rsidRPr="00135444">
        <w:rPr>
          <w:rFonts w:ascii="Minion Pro" w:hAnsi="Minion Pro"/>
          <w:sz w:val="24"/>
          <w:szCs w:val="24"/>
        </w:rPr>
        <w:t xml:space="preserve"> must hold most of </w:t>
      </w:r>
      <w:r w:rsidRPr="00135444">
        <w:rPr>
          <w:rFonts w:ascii="Minion Pro" w:hAnsi="Minion Pro"/>
          <w:sz w:val="24"/>
          <w:szCs w:val="24"/>
        </w:rPr>
        <w:t>their</w:t>
      </w:r>
      <w:r w:rsidRPr="00135444">
        <w:rPr>
          <w:rFonts w:ascii="Minion Pro" w:hAnsi="Minion Pro"/>
          <w:sz w:val="24"/>
          <w:szCs w:val="24"/>
        </w:rPr>
        <w:t xml:space="preserve"> proceedings in public, with a few narrow exceptions.</w:t>
      </w:r>
      <w:r w:rsidRPr="00135444">
        <w:rPr>
          <w:rFonts w:ascii="Minion Pro" w:hAnsi="Minion Pro"/>
          <w:sz w:val="24"/>
          <w:szCs w:val="24"/>
        </w:rPr>
        <w:t xml:space="preserve"> However, this should not prove problematic for an inquiry into coronavirus.</w:t>
      </w:r>
      <w:r w:rsidRPr="00135444">
        <w:rPr>
          <w:rFonts w:ascii="Minion Pro" w:hAnsi="Minion Pro"/>
          <w:sz w:val="24"/>
          <w:szCs w:val="24"/>
        </w:rPr>
        <w:t xml:space="preserve"> </w:t>
      </w:r>
      <w:r w:rsidRPr="00135444">
        <w:rPr>
          <w:rFonts w:ascii="Minion Pro" w:hAnsi="Minion Pro"/>
          <w:sz w:val="24"/>
          <w:szCs w:val="24"/>
        </w:rPr>
        <w:t>M</w:t>
      </w:r>
      <w:r w:rsidRPr="00135444">
        <w:rPr>
          <w:rFonts w:ascii="Minion Pro" w:hAnsi="Minion Pro"/>
          <w:sz w:val="24"/>
          <w:szCs w:val="24"/>
        </w:rPr>
        <w:t>any of the non-statutory inquiries we have noted need</w:t>
      </w:r>
      <w:r w:rsidRPr="00135444">
        <w:rPr>
          <w:rFonts w:ascii="Minion Pro" w:hAnsi="Minion Pro"/>
          <w:sz w:val="24"/>
          <w:szCs w:val="24"/>
        </w:rPr>
        <w:t>ed</w:t>
      </w:r>
      <w:r w:rsidRPr="00135444">
        <w:rPr>
          <w:rFonts w:ascii="Minion Pro" w:hAnsi="Minion Pro"/>
          <w:sz w:val="24"/>
          <w:szCs w:val="24"/>
        </w:rPr>
        <w:t xml:space="preserve"> to deal with su</w:t>
      </w:r>
      <w:r w:rsidRPr="00135444">
        <w:rPr>
          <w:rFonts w:ascii="Minion Pro" w:hAnsi="Minion Pro"/>
          <w:sz w:val="24"/>
          <w:szCs w:val="24"/>
        </w:rPr>
        <w:t>bstantial amount</w:t>
      </w:r>
      <w:r w:rsidRPr="00135444">
        <w:rPr>
          <w:rFonts w:ascii="Minion Pro" w:hAnsi="Minion Pro"/>
          <w:sz w:val="24"/>
          <w:szCs w:val="24"/>
        </w:rPr>
        <w:t>s</w:t>
      </w:r>
      <w:r w:rsidRPr="00135444">
        <w:rPr>
          <w:rFonts w:ascii="Minion Pro" w:hAnsi="Minion Pro"/>
          <w:sz w:val="24"/>
          <w:szCs w:val="24"/>
        </w:rPr>
        <w:t xml:space="preserve"> of sensitive material relating to national security</w:t>
      </w:r>
      <w:r w:rsidRPr="00135444">
        <w:rPr>
          <w:rFonts w:ascii="Minion Pro" w:hAnsi="Minion Pro"/>
          <w:sz w:val="24"/>
          <w:szCs w:val="24"/>
        </w:rPr>
        <w:t xml:space="preserve"> so private proceeding were necessary. This is unlikely to be the case with an inquiry into coronavirus</w:t>
      </w:r>
      <w:r w:rsidRPr="00135444">
        <w:rPr>
          <w:rFonts w:ascii="Minion Pro" w:hAnsi="Minion Pro"/>
          <w:sz w:val="24"/>
          <w:szCs w:val="24"/>
        </w:rPr>
        <w:t xml:space="preserve"> and as such there should be an expectation that it would conduct its business in pu</w:t>
      </w:r>
      <w:r w:rsidRPr="00135444">
        <w:rPr>
          <w:rFonts w:ascii="Minion Pro" w:hAnsi="Minion Pro"/>
          <w:sz w:val="24"/>
          <w:szCs w:val="24"/>
        </w:rPr>
        <w:t>blic. A statutory inquiry would support this ambition.</w:t>
      </w:r>
    </w:p>
    <w:p w:rsidR="000D3BBF" w:rsidRPr="00135444" w:rsidP="00803A9C">
      <w:pPr>
        <w:rPr>
          <w:rFonts w:ascii="Minion Pro" w:hAnsi="Minion Pro"/>
          <w:sz w:val="24"/>
          <w:szCs w:val="24"/>
        </w:rPr>
      </w:pPr>
      <w:r w:rsidRPr="00135444">
        <w:rPr>
          <w:rFonts w:ascii="Minion Pro" w:hAnsi="Minion Pro"/>
          <w:sz w:val="24"/>
          <w:szCs w:val="24"/>
        </w:rPr>
        <w:t xml:space="preserve">There are also </w:t>
      </w:r>
      <w:r w:rsidRPr="00135444">
        <w:rPr>
          <w:rFonts w:ascii="Minion Pro" w:hAnsi="Minion Pro"/>
          <w:sz w:val="24"/>
          <w:szCs w:val="24"/>
        </w:rPr>
        <w:t>considerations relating to Article 2 of the Human Rights Act which would favour a statutory inquiry.</w:t>
      </w:r>
      <w:r>
        <w:rPr>
          <w:rStyle w:val="EndnoteReference"/>
          <w:rFonts w:ascii="Minion Pro" w:hAnsi="Minion Pro"/>
          <w:sz w:val="24"/>
          <w:szCs w:val="24"/>
        </w:rPr>
        <w:endnoteReference w:id="17"/>
      </w:r>
    </w:p>
    <w:p w:rsidR="001C2192" w:rsidRPr="00135444" w:rsidP="001C2192">
      <w:pPr>
        <w:pStyle w:val="Heading3"/>
        <w:rPr>
          <w:rFonts w:ascii="Minion Pro" w:hAnsi="Minion Pro"/>
          <w:sz w:val="24"/>
        </w:rPr>
      </w:pPr>
      <w:r w:rsidRPr="00135444">
        <w:rPr>
          <w:rFonts w:ascii="Minion Pro" w:hAnsi="Minion Pro"/>
          <w:sz w:val="24"/>
        </w:rPr>
        <w:t>Statutory inquiries do not take longer or cost more than non-statutory inquiries</w:t>
      </w:r>
    </w:p>
    <w:p w:rsidR="00986FE2" w:rsidRPr="00135444" w:rsidP="00447120">
      <w:pPr>
        <w:rPr>
          <w:rFonts w:ascii="Minion Pro" w:hAnsi="Minion Pro"/>
          <w:sz w:val="24"/>
          <w:szCs w:val="24"/>
        </w:rPr>
      </w:pPr>
      <w:r w:rsidRPr="00135444">
        <w:rPr>
          <w:rFonts w:ascii="Minion Pro" w:hAnsi="Minion Pro"/>
          <w:sz w:val="24"/>
          <w:szCs w:val="24"/>
        </w:rPr>
        <w:t>Pri</w:t>
      </w:r>
      <w:r w:rsidRPr="00135444">
        <w:rPr>
          <w:rFonts w:ascii="Minion Pro" w:hAnsi="Minion Pro"/>
          <w:sz w:val="24"/>
          <w:szCs w:val="24"/>
        </w:rPr>
        <w:t xml:space="preserve">or to the inquiries act it was the case that statutory inquiries </w:t>
      </w:r>
      <w:r w:rsidRPr="00135444">
        <w:rPr>
          <w:rFonts w:ascii="Minion Pro" w:hAnsi="Minion Pro"/>
          <w:sz w:val="24"/>
          <w:szCs w:val="24"/>
        </w:rPr>
        <w:t>took longer than non-statutory inquiries</w:t>
      </w:r>
      <w:r w:rsidRPr="00135444">
        <w:rPr>
          <w:rFonts w:ascii="Minion Pro" w:hAnsi="Minion Pro"/>
          <w:sz w:val="24"/>
          <w:szCs w:val="24"/>
        </w:rPr>
        <w:t>, almost three times as long.</w:t>
      </w:r>
      <w:r w:rsidRPr="00135444">
        <w:rPr>
          <w:rFonts w:ascii="Minion Pro" w:hAnsi="Minion Pro"/>
          <w:sz w:val="24"/>
          <w:szCs w:val="24"/>
        </w:rPr>
        <w:t xml:space="preserve"> </w:t>
      </w:r>
      <w:r w:rsidRPr="00135444">
        <w:rPr>
          <w:rFonts w:ascii="Minion Pro" w:hAnsi="Minion Pro"/>
          <w:sz w:val="24"/>
          <w:szCs w:val="24"/>
        </w:rPr>
        <w:t>However</w:t>
      </w:r>
      <w:r w:rsidRPr="00135444">
        <w:rPr>
          <w:rFonts w:ascii="Minion Pro" w:hAnsi="Minion Pro"/>
          <w:sz w:val="24"/>
          <w:szCs w:val="24"/>
        </w:rPr>
        <w:t>,</w:t>
      </w:r>
      <w:r w:rsidRPr="00135444">
        <w:rPr>
          <w:rFonts w:ascii="Minion Pro" w:hAnsi="Minion Pro"/>
          <w:sz w:val="24"/>
          <w:szCs w:val="24"/>
        </w:rPr>
        <w:t xml:space="preserve"> since the</w:t>
      </w:r>
      <w:r w:rsidRPr="00135444">
        <w:rPr>
          <w:rFonts w:ascii="Minion Pro" w:hAnsi="Minion Pro"/>
          <w:sz w:val="24"/>
          <w:szCs w:val="24"/>
        </w:rPr>
        <w:t xml:space="preserve"> 2005 Act</w:t>
      </w:r>
      <w:r w:rsidRPr="00135444">
        <w:rPr>
          <w:rFonts w:ascii="Minion Pro" w:hAnsi="Minion Pro"/>
          <w:sz w:val="24"/>
          <w:szCs w:val="24"/>
        </w:rPr>
        <w:t xml:space="preserve"> this has not been the case, largely because non-statutory inquiries have started taking as lo</w:t>
      </w:r>
      <w:r w:rsidRPr="00135444">
        <w:rPr>
          <w:rFonts w:ascii="Minion Pro" w:hAnsi="Minion Pro"/>
          <w:sz w:val="24"/>
          <w:szCs w:val="24"/>
        </w:rPr>
        <w:t xml:space="preserve">ng as statutory ones. </w:t>
      </w:r>
    </w:p>
    <w:tbl>
      <w:tblPr>
        <w:tblStyle w:val="TableGrid"/>
        <w:tblW w:w="0" w:type="auto"/>
        <w:jc w:val="center"/>
        <w:tblLook w:val="04A0"/>
      </w:tblPr>
      <w:tblGrid>
        <w:gridCol w:w="1095"/>
        <w:gridCol w:w="4244"/>
        <w:gridCol w:w="1063"/>
        <w:gridCol w:w="2199"/>
      </w:tblGrid>
      <w:tr w:rsidTr="00AA0914">
        <w:tblPrEx>
          <w:tblW w:w="0" w:type="auto"/>
          <w:jc w:val="center"/>
          <w:tblLook w:val="04A0"/>
        </w:tblPrEx>
        <w:trPr>
          <w:jc w:val="center"/>
        </w:trPr>
        <w:tc>
          <w:tcPr>
            <w:tcW w:w="1095" w:type="dxa"/>
            <w:tcBorders>
              <w:top w:val="nil"/>
              <w:left w:val="nil"/>
              <w:bottom w:val="nil"/>
              <w:right w:val="nil"/>
            </w:tcBorders>
          </w:tcPr>
          <w:p w:rsidR="00B57AD5" w:rsidRPr="00135444" w:rsidP="00BE55D9">
            <w:pPr>
              <w:pStyle w:val="NoSpacing"/>
              <w:rPr>
                <w:rFonts w:ascii="Minion Pro" w:hAnsi="Minion Pro"/>
                <w:b/>
                <w:bCs/>
                <w:sz w:val="24"/>
                <w:szCs w:val="24"/>
              </w:rPr>
            </w:pPr>
          </w:p>
        </w:tc>
        <w:tc>
          <w:tcPr>
            <w:tcW w:w="4244" w:type="dxa"/>
            <w:tcBorders>
              <w:top w:val="nil"/>
              <w:left w:val="nil"/>
              <w:bottom w:val="nil"/>
              <w:right w:val="nil"/>
            </w:tcBorders>
          </w:tcPr>
          <w:p w:rsidR="00B57AD5" w:rsidRPr="00135444" w:rsidP="00BE55D9">
            <w:pPr>
              <w:pStyle w:val="NoSpacing"/>
              <w:rPr>
                <w:rFonts w:ascii="Minion Pro" w:hAnsi="Minion Pro"/>
                <w:b/>
                <w:bCs/>
                <w:sz w:val="24"/>
                <w:szCs w:val="24"/>
              </w:rPr>
            </w:pPr>
            <w:r w:rsidRPr="00135444">
              <w:rPr>
                <w:rFonts w:ascii="Minion Pro" w:hAnsi="Minion Pro"/>
                <w:b/>
                <w:bCs/>
                <w:sz w:val="24"/>
                <w:szCs w:val="24"/>
              </w:rPr>
              <w:t>Type of inquiry</w:t>
            </w:r>
          </w:p>
        </w:tc>
        <w:tc>
          <w:tcPr>
            <w:tcW w:w="1063" w:type="dxa"/>
            <w:tcBorders>
              <w:top w:val="nil"/>
              <w:left w:val="nil"/>
              <w:bottom w:val="nil"/>
              <w:right w:val="nil"/>
            </w:tcBorders>
          </w:tcPr>
          <w:p w:rsidR="00B57AD5" w:rsidRPr="00135444" w:rsidP="00B57AD5">
            <w:pPr>
              <w:pStyle w:val="NoSpacing"/>
              <w:jc w:val="center"/>
              <w:rPr>
                <w:rFonts w:ascii="Minion Pro" w:hAnsi="Minion Pro"/>
                <w:b/>
                <w:bCs/>
                <w:sz w:val="24"/>
                <w:szCs w:val="24"/>
              </w:rPr>
            </w:pPr>
            <w:r w:rsidRPr="00135444">
              <w:rPr>
                <w:rFonts w:ascii="Minion Pro" w:hAnsi="Minion Pro"/>
                <w:b/>
                <w:bCs/>
                <w:sz w:val="24"/>
                <w:szCs w:val="24"/>
              </w:rPr>
              <w:t>Number</w:t>
            </w:r>
          </w:p>
        </w:tc>
        <w:tc>
          <w:tcPr>
            <w:tcW w:w="2199" w:type="dxa"/>
            <w:tcBorders>
              <w:top w:val="nil"/>
              <w:left w:val="nil"/>
              <w:bottom w:val="nil"/>
              <w:right w:val="nil"/>
            </w:tcBorders>
          </w:tcPr>
          <w:p w:rsidR="00B57AD5" w:rsidRPr="00135444" w:rsidP="00B57AD5">
            <w:pPr>
              <w:pStyle w:val="NoSpacing"/>
              <w:jc w:val="center"/>
              <w:rPr>
                <w:rFonts w:ascii="Minion Pro" w:hAnsi="Minion Pro"/>
                <w:b/>
                <w:bCs/>
                <w:sz w:val="24"/>
                <w:szCs w:val="24"/>
              </w:rPr>
            </w:pPr>
            <w:r w:rsidRPr="00135444">
              <w:rPr>
                <w:rFonts w:ascii="Minion Pro" w:hAnsi="Minion Pro"/>
                <w:b/>
                <w:bCs/>
                <w:sz w:val="24"/>
                <w:szCs w:val="24"/>
              </w:rPr>
              <w:t>Median length (days)</w:t>
            </w:r>
          </w:p>
        </w:tc>
      </w:tr>
      <w:tr w:rsidTr="00AA0914">
        <w:tblPrEx>
          <w:tblW w:w="0" w:type="auto"/>
          <w:jc w:val="center"/>
          <w:tblLook w:val="04A0"/>
        </w:tblPrEx>
        <w:trPr>
          <w:jc w:val="center"/>
        </w:trPr>
        <w:tc>
          <w:tcPr>
            <w:tcW w:w="1095" w:type="dxa"/>
            <w:tcBorders>
              <w:top w:val="single" w:sz="4" w:space="0" w:color="auto"/>
            </w:tcBorders>
          </w:tcPr>
          <w:p w:rsidR="00B57AD5" w:rsidRPr="00135444" w:rsidP="00BE55D9">
            <w:pPr>
              <w:pStyle w:val="NoSpacing"/>
              <w:rPr>
                <w:rFonts w:ascii="Minion Pro" w:hAnsi="Minion Pro"/>
                <w:sz w:val="24"/>
                <w:szCs w:val="24"/>
              </w:rPr>
            </w:pPr>
            <w:r w:rsidRPr="00135444">
              <w:rPr>
                <w:rFonts w:ascii="Minion Pro" w:hAnsi="Minion Pro"/>
                <w:sz w:val="24"/>
                <w:szCs w:val="24"/>
              </w:rPr>
              <w:t>Pre-2005</w:t>
            </w:r>
          </w:p>
        </w:tc>
        <w:tc>
          <w:tcPr>
            <w:tcW w:w="4244" w:type="dxa"/>
            <w:tcBorders>
              <w:top w:val="single" w:sz="4" w:space="0" w:color="auto"/>
            </w:tcBorders>
          </w:tcPr>
          <w:p w:rsidR="00B57AD5" w:rsidRPr="00135444" w:rsidP="00BE55D9">
            <w:pPr>
              <w:pStyle w:val="NoSpacing"/>
              <w:rPr>
                <w:rFonts w:ascii="Minion Pro" w:hAnsi="Minion Pro"/>
                <w:sz w:val="24"/>
                <w:szCs w:val="24"/>
              </w:rPr>
            </w:pPr>
            <w:r w:rsidRPr="00135444">
              <w:rPr>
                <w:rFonts w:ascii="Minion Pro" w:hAnsi="Minion Pro"/>
                <w:sz w:val="24"/>
                <w:szCs w:val="24"/>
              </w:rPr>
              <w:t>Non-statutory</w:t>
            </w:r>
          </w:p>
        </w:tc>
        <w:tc>
          <w:tcPr>
            <w:tcW w:w="1063" w:type="dxa"/>
            <w:tcBorders>
              <w:top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17</w:t>
            </w:r>
          </w:p>
        </w:tc>
        <w:tc>
          <w:tcPr>
            <w:tcW w:w="2199" w:type="dxa"/>
            <w:tcBorders>
              <w:top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347</w:t>
            </w:r>
          </w:p>
        </w:tc>
      </w:tr>
      <w:tr w:rsidTr="00AA0914">
        <w:tblPrEx>
          <w:tblW w:w="0" w:type="auto"/>
          <w:jc w:val="center"/>
          <w:tblLook w:val="04A0"/>
        </w:tblPrEx>
        <w:trPr>
          <w:jc w:val="center"/>
        </w:trPr>
        <w:tc>
          <w:tcPr>
            <w:tcW w:w="1095" w:type="dxa"/>
            <w:tcBorders>
              <w:bottom w:val="single" w:sz="4" w:space="0" w:color="auto"/>
            </w:tcBorders>
          </w:tcPr>
          <w:p w:rsidR="00B57AD5" w:rsidRPr="00135444" w:rsidP="00BE55D9">
            <w:pPr>
              <w:pStyle w:val="NoSpacing"/>
              <w:rPr>
                <w:rFonts w:ascii="Minion Pro" w:hAnsi="Minion Pro"/>
                <w:sz w:val="24"/>
                <w:szCs w:val="24"/>
              </w:rPr>
            </w:pPr>
          </w:p>
        </w:tc>
        <w:tc>
          <w:tcPr>
            <w:tcW w:w="4244" w:type="dxa"/>
            <w:tcBorders>
              <w:bottom w:val="single" w:sz="4" w:space="0" w:color="auto"/>
            </w:tcBorders>
          </w:tcPr>
          <w:p w:rsidR="00B57AD5" w:rsidRPr="00135444" w:rsidP="00BE55D9">
            <w:pPr>
              <w:pStyle w:val="NoSpacing"/>
              <w:rPr>
                <w:rFonts w:ascii="Minion Pro" w:hAnsi="Minion Pro"/>
                <w:sz w:val="24"/>
                <w:szCs w:val="24"/>
              </w:rPr>
            </w:pPr>
            <w:r w:rsidRPr="00135444">
              <w:rPr>
                <w:rFonts w:ascii="Minion Pro" w:hAnsi="Minion Pro"/>
                <w:sz w:val="24"/>
                <w:szCs w:val="24"/>
              </w:rPr>
              <w:t>Statutory</w:t>
            </w:r>
          </w:p>
        </w:tc>
        <w:tc>
          <w:tcPr>
            <w:tcW w:w="1063" w:type="dxa"/>
            <w:tcBorders>
              <w:bottom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24</w:t>
            </w:r>
          </w:p>
        </w:tc>
        <w:tc>
          <w:tcPr>
            <w:tcW w:w="2199" w:type="dxa"/>
            <w:tcBorders>
              <w:bottom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1111.5</w:t>
            </w:r>
          </w:p>
        </w:tc>
      </w:tr>
      <w:tr w:rsidTr="00AA0914">
        <w:tblPrEx>
          <w:tblW w:w="0" w:type="auto"/>
          <w:jc w:val="center"/>
          <w:tblLook w:val="04A0"/>
        </w:tblPrEx>
        <w:trPr>
          <w:jc w:val="center"/>
        </w:trPr>
        <w:tc>
          <w:tcPr>
            <w:tcW w:w="1095" w:type="dxa"/>
            <w:tcBorders>
              <w:top w:val="single" w:sz="4" w:space="0" w:color="auto"/>
              <w:left w:val="nil"/>
              <w:bottom w:val="single" w:sz="4" w:space="0" w:color="auto"/>
              <w:right w:val="nil"/>
            </w:tcBorders>
          </w:tcPr>
          <w:p w:rsidR="00B57AD5" w:rsidRPr="00135444" w:rsidP="00BE55D9">
            <w:pPr>
              <w:pStyle w:val="NoSpacing"/>
              <w:rPr>
                <w:rFonts w:ascii="Minion Pro" w:hAnsi="Minion Pro"/>
                <w:sz w:val="24"/>
                <w:szCs w:val="24"/>
              </w:rPr>
            </w:pPr>
          </w:p>
        </w:tc>
        <w:tc>
          <w:tcPr>
            <w:tcW w:w="4244" w:type="dxa"/>
            <w:tcBorders>
              <w:top w:val="single" w:sz="4" w:space="0" w:color="auto"/>
              <w:left w:val="nil"/>
              <w:bottom w:val="single" w:sz="4" w:space="0" w:color="auto"/>
              <w:right w:val="nil"/>
            </w:tcBorders>
          </w:tcPr>
          <w:p w:rsidR="00B57AD5" w:rsidRPr="00135444" w:rsidP="00BE55D9">
            <w:pPr>
              <w:pStyle w:val="NoSpacing"/>
              <w:rPr>
                <w:rFonts w:ascii="Minion Pro" w:hAnsi="Minion Pro"/>
                <w:sz w:val="24"/>
                <w:szCs w:val="24"/>
              </w:rPr>
            </w:pPr>
          </w:p>
        </w:tc>
        <w:tc>
          <w:tcPr>
            <w:tcW w:w="1063" w:type="dxa"/>
            <w:tcBorders>
              <w:top w:val="single" w:sz="4" w:space="0" w:color="auto"/>
              <w:left w:val="nil"/>
              <w:bottom w:val="single" w:sz="4" w:space="0" w:color="auto"/>
              <w:right w:val="nil"/>
            </w:tcBorders>
          </w:tcPr>
          <w:p w:rsidR="00B57AD5" w:rsidRPr="00135444" w:rsidP="00B57AD5">
            <w:pPr>
              <w:pStyle w:val="NoSpacing"/>
              <w:jc w:val="center"/>
              <w:rPr>
                <w:rFonts w:ascii="Minion Pro" w:hAnsi="Minion Pro"/>
                <w:sz w:val="24"/>
                <w:szCs w:val="24"/>
              </w:rPr>
            </w:pPr>
          </w:p>
        </w:tc>
        <w:tc>
          <w:tcPr>
            <w:tcW w:w="2199" w:type="dxa"/>
            <w:tcBorders>
              <w:top w:val="single" w:sz="4" w:space="0" w:color="auto"/>
              <w:left w:val="nil"/>
              <w:bottom w:val="single" w:sz="4" w:space="0" w:color="auto"/>
              <w:right w:val="nil"/>
            </w:tcBorders>
          </w:tcPr>
          <w:p w:rsidR="00B57AD5" w:rsidRPr="00135444" w:rsidP="00B57AD5">
            <w:pPr>
              <w:pStyle w:val="NoSpacing"/>
              <w:jc w:val="center"/>
              <w:rPr>
                <w:rFonts w:ascii="Minion Pro" w:hAnsi="Minion Pro"/>
                <w:sz w:val="24"/>
                <w:szCs w:val="24"/>
              </w:rPr>
            </w:pPr>
          </w:p>
        </w:tc>
      </w:tr>
      <w:tr w:rsidTr="00AA0914">
        <w:tblPrEx>
          <w:tblW w:w="0" w:type="auto"/>
          <w:jc w:val="center"/>
          <w:tblLook w:val="04A0"/>
        </w:tblPrEx>
        <w:trPr>
          <w:jc w:val="center"/>
        </w:trPr>
        <w:tc>
          <w:tcPr>
            <w:tcW w:w="1095" w:type="dxa"/>
            <w:tcBorders>
              <w:top w:val="single" w:sz="4" w:space="0" w:color="auto"/>
            </w:tcBorders>
          </w:tcPr>
          <w:p w:rsidR="00B57AD5" w:rsidRPr="00135444" w:rsidP="00BE55D9">
            <w:pPr>
              <w:pStyle w:val="NoSpacing"/>
              <w:rPr>
                <w:rFonts w:ascii="Minion Pro" w:hAnsi="Minion Pro"/>
                <w:sz w:val="24"/>
                <w:szCs w:val="24"/>
              </w:rPr>
            </w:pPr>
            <w:r w:rsidRPr="00135444">
              <w:rPr>
                <w:rFonts w:ascii="Minion Pro" w:hAnsi="Minion Pro"/>
                <w:sz w:val="24"/>
                <w:szCs w:val="24"/>
              </w:rPr>
              <w:t>Post-2005</w:t>
            </w:r>
          </w:p>
        </w:tc>
        <w:tc>
          <w:tcPr>
            <w:tcW w:w="4244" w:type="dxa"/>
            <w:tcBorders>
              <w:top w:val="single" w:sz="4" w:space="0" w:color="auto"/>
            </w:tcBorders>
          </w:tcPr>
          <w:p w:rsidR="00B57AD5" w:rsidRPr="00135444" w:rsidP="00BE55D9">
            <w:pPr>
              <w:pStyle w:val="NoSpacing"/>
              <w:rPr>
                <w:rFonts w:ascii="Minion Pro" w:hAnsi="Minion Pro"/>
                <w:sz w:val="24"/>
                <w:szCs w:val="24"/>
              </w:rPr>
            </w:pPr>
            <w:r w:rsidRPr="00135444">
              <w:rPr>
                <w:rFonts w:ascii="Minion Pro" w:hAnsi="Minion Pro"/>
                <w:sz w:val="24"/>
                <w:szCs w:val="24"/>
              </w:rPr>
              <w:t>Non-statutory</w:t>
            </w:r>
          </w:p>
        </w:tc>
        <w:tc>
          <w:tcPr>
            <w:tcW w:w="1063" w:type="dxa"/>
            <w:tcBorders>
              <w:top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6</w:t>
            </w:r>
          </w:p>
        </w:tc>
        <w:tc>
          <w:tcPr>
            <w:tcW w:w="2199" w:type="dxa"/>
            <w:tcBorders>
              <w:top w:val="single" w:sz="4" w:space="0" w:color="auto"/>
            </w:tcBorders>
          </w:tcPr>
          <w:p w:rsidR="00B57AD5" w:rsidRPr="00135444" w:rsidP="00B57AD5">
            <w:pPr>
              <w:pStyle w:val="NoSpacing"/>
              <w:jc w:val="center"/>
              <w:rPr>
                <w:rFonts w:ascii="Minion Pro" w:hAnsi="Minion Pro"/>
                <w:sz w:val="24"/>
                <w:szCs w:val="24"/>
              </w:rPr>
            </w:pPr>
            <w:r w:rsidRPr="00135444">
              <w:rPr>
                <w:rFonts w:ascii="Minion Pro" w:hAnsi="Minion Pro"/>
                <w:sz w:val="24"/>
                <w:szCs w:val="24"/>
              </w:rPr>
              <w:t>1262</w:t>
            </w:r>
          </w:p>
        </w:tc>
      </w:tr>
      <w:tr w:rsidTr="00AA0914">
        <w:tblPrEx>
          <w:tblW w:w="0" w:type="auto"/>
          <w:jc w:val="center"/>
          <w:tblLook w:val="04A0"/>
        </w:tblPrEx>
        <w:trPr>
          <w:jc w:val="center"/>
        </w:trPr>
        <w:tc>
          <w:tcPr>
            <w:tcW w:w="1095" w:type="dxa"/>
          </w:tcPr>
          <w:p w:rsidR="00B57AD5" w:rsidRPr="00135444" w:rsidP="00BE55D9">
            <w:pPr>
              <w:pStyle w:val="NoSpacing"/>
              <w:rPr>
                <w:rFonts w:ascii="Minion Pro" w:hAnsi="Minion Pro"/>
                <w:sz w:val="24"/>
                <w:szCs w:val="24"/>
              </w:rPr>
            </w:pPr>
          </w:p>
        </w:tc>
        <w:tc>
          <w:tcPr>
            <w:tcW w:w="4244" w:type="dxa"/>
          </w:tcPr>
          <w:p w:rsidR="00B57AD5" w:rsidRPr="00135444" w:rsidP="00BE55D9">
            <w:pPr>
              <w:pStyle w:val="NoSpacing"/>
              <w:rPr>
                <w:rFonts w:ascii="Minion Pro" w:hAnsi="Minion Pro"/>
                <w:sz w:val="24"/>
                <w:szCs w:val="24"/>
              </w:rPr>
            </w:pPr>
            <w:r w:rsidRPr="00135444">
              <w:rPr>
                <w:rFonts w:ascii="Minion Pro" w:hAnsi="Minion Pro"/>
                <w:sz w:val="24"/>
                <w:szCs w:val="24"/>
              </w:rPr>
              <w:t>Inquiries Act 2005 (Completed inquiries)</w:t>
            </w:r>
          </w:p>
        </w:tc>
        <w:tc>
          <w:tcPr>
            <w:tcW w:w="1063" w:type="dxa"/>
          </w:tcPr>
          <w:p w:rsidR="00B57AD5" w:rsidRPr="00135444" w:rsidP="00B57AD5">
            <w:pPr>
              <w:pStyle w:val="NoSpacing"/>
              <w:jc w:val="center"/>
              <w:rPr>
                <w:rFonts w:ascii="Minion Pro" w:hAnsi="Minion Pro"/>
                <w:sz w:val="24"/>
                <w:szCs w:val="24"/>
              </w:rPr>
            </w:pPr>
            <w:r w:rsidRPr="00135444">
              <w:rPr>
                <w:rFonts w:ascii="Minion Pro" w:hAnsi="Minion Pro"/>
                <w:sz w:val="24"/>
                <w:szCs w:val="24"/>
              </w:rPr>
              <w:t>15</w:t>
            </w:r>
          </w:p>
        </w:tc>
        <w:tc>
          <w:tcPr>
            <w:tcW w:w="2199" w:type="dxa"/>
          </w:tcPr>
          <w:p w:rsidR="00B57AD5" w:rsidRPr="00135444" w:rsidP="00B57AD5">
            <w:pPr>
              <w:pStyle w:val="NoSpacing"/>
              <w:jc w:val="center"/>
              <w:rPr>
                <w:rFonts w:ascii="Minion Pro" w:hAnsi="Minion Pro"/>
                <w:sz w:val="24"/>
                <w:szCs w:val="24"/>
              </w:rPr>
            </w:pPr>
            <w:r w:rsidRPr="00135444">
              <w:rPr>
                <w:rFonts w:ascii="Minion Pro" w:hAnsi="Minion Pro"/>
                <w:sz w:val="24"/>
                <w:szCs w:val="24"/>
              </w:rPr>
              <w:t>1133</w:t>
            </w:r>
          </w:p>
        </w:tc>
      </w:tr>
      <w:tr w:rsidTr="00AA0914">
        <w:tblPrEx>
          <w:tblW w:w="0" w:type="auto"/>
          <w:jc w:val="center"/>
          <w:tblLook w:val="04A0"/>
        </w:tblPrEx>
        <w:trPr>
          <w:jc w:val="center"/>
        </w:trPr>
        <w:tc>
          <w:tcPr>
            <w:tcW w:w="1095" w:type="dxa"/>
          </w:tcPr>
          <w:p w:rsidR="00B57AD5" w:rsidRPr="00135444" w:rsidP="00BE55D9">
            <w:pPr>
              <w:pStyle w:val="NoSpacing"/>
              <w:rPr>
                <w:rFonts w:ascii="Minion Pro" w:hAnsi="Minion Pro"/>
                <w:sz w:val="24"/>
                <w:szCs w:val="24"/>
              </w:rPr>
            </w:pPr>
          </w:p>
        </w:tc>
        <w:tc>
          <w:tcPr>
            <w:tcW w:w="4244" w:type="dxa"/>
          </w:tcPr>
          <w:p w:rsidR="00B57AD5" w:rsidRPr="00135444" w:rsidP="00BE55D9">
            <w:pPr>
              <w:pStyle w:val="NoSpacing"/>
              <w:rPr>
                <w:rFonts w:ascii="Minion Pro" w:hAnsi="Minion Pro"/>
                <w:sz w:val="24"/>
                <w:szCs w:val="24"/>
              </w:rPr>
            </w:pPr>
            <w:r w:rsidRPr="00135444">
              <w:rPr>
                <w:rFonts w:ascii="Minion Pro" w:hAnsi="Minion Pro"/>
                <w:sz w:val="24"/>
                <w:szCs w:val="24"/>
              </w:rPr>
              <w:t xml:space="preserve">Inquiries Act 2005 (Including ongoing </w:t>
            </w:r>
            <w:r w:rsidRPr="00135444">
              <w:rPr>
                <w:rFonts w:ascii="Minion Pro" w:hAnsi="Minion Pro"/>
                <w:sz w:val="24"/>
                <w:szCs w:val="24"/>
              </w:rPr>
              <w:t>inquiries)</w:t>
            </w:r>
          </w:p>
        </w:tc>
        <w:tc>
          <w:tcPr>
            <w:tcW w:w="1063" w:type="dxa"/>
          </w:tcPr>
          <w:p w:rsidR="00B57AD5" w:rsidRPr="00135444" w:rsidP="00B57AD5">
            <w:pPr>
              <w:pStyle w:val="NoSpacing"/>
              <w:jc w:val="center"/>
              <w:rPr>
                <w:rFonts w:ascii="Minion Pro" w:hAnsi="Minion Pro"/>
                <w:sz w:val="24"/>
                <w:szCs w:val="24"/>
              </w:rPr>
            </w:pPr>
            <w:r w:rsidRPr="00135444">
              <w:rPr>
                <w:rFonts w:ascii="Minion Pro" w:hAnsi="Minion Pro"/>
                <w:sz w:val="24"/>
                <w:szCs w:val="24"/>
              </w:rPr>
              <w:t>25</w:t>
            </w:r>
          </w:p>
        </w:tc>
        <w:tc>
          <w:tcPr>
            <w:tcW w:w="2199" w:type="dxa"/>
          </w:tcPr>
          <w:p w:rsidR="00B57AD5" w:rsidRPr="00135444" w:rsidP="00B57AD5">
            <w:pPr>
              <w:pStyle w:val="NoSpacing"/>
              <w:jc w:val="center"/>
              <w:rPr>
                <w:rFonts w:ascii="Minion Pro" w:hAnsi="Minion Pro"/>
                <w:sz w:val="24"/>
                <w:szCs w:val="24"/>
              </w:rPr>
            </w:pPr>
            <w:r w:rsidRPr="00135444">
              <w:rPr>
                <w:rFonts w:ascii="Minion Pro" w:hAnsi="Minion Pro"/>
                <w:sz w:val="24"/>
                <w:szCs w:val="24"/>
              </w:rPr>
              <w:t>1114</w:t>
            </w:r>
          </w:p>
        </w:tc>
      </w:tr>
    </w:tbl>
    <w:p w:rsidR="001C2192" w:rsidRPr="00135444" w:rsidP="00447120">
      <w:pPr>
        <w:rPr>
          <w:rFonts w:ascii="Minion Pro" w:hAnsi="Minion Pro"/>
          <w:sz w:val="24"/>
          <w:szCs w:val="24"/>
        </w:rPr>
      </w:pPr>
    </w:p>
    <w:p w:rsidR="000C68A2" w:rsidRPr="00135444" w:rsidP="00447120">
      <w:pPr>
        <w:rPr>
          <w:rFonts w:ascii="Minion Pro" w:hAnsi="Minion Pro"/>
          <w:sz w:val="24"/>
          <w:szCs w:val="24"/>
        </w:rPr>
      </w:pPr>
      <w:r w:rsidRPr="00135444">
        <w:rPr>
          <w:rFonts w:ascii="Minion Pro" w:hAnsi="Minion Pro"/>
          <w:sz w:val="24"/>
          <w:szCs w:val="24"/>
        </w:rPr>
        <w:t>The costs of public inquiries are not widely reported</w:t>
      </w:r>
      <w:r w:rsidRPr="00135444">
        <w:rPr>
          <w:rFonts w:ascii="Minion Pro" w:hAnsi="Minion Pro"/>
          <w:sz w:val="24"/>
          <w:szCs w:val="24"/>
        </w:rPr>
        <w:t xml:space="preserve"> or easy to compare, however it seems that again there is little difference between the costs of statutory and non-statutory inquiries. </w:t>
      </w:r>
      <w:r w:rsidRPr="00135444">
        <w:rPr>
          <w:rFonts w:ascii="Minion Pro" w:hAnsi="Minion Pro"/>
          <w:sz w:val="24"/>
          <w:szCs w:val="24"/>
        </w:rPr>
        <w:t>Eighteen</w:t>
      </w:r>
      <w:r w:rsidRPr="00135444">
        <w:rPr>
          <w:rFonts w:ascii="Minion Pro" w:hAnsi="Minion Pro"/>
          <w:sz w:val="24"/>
          <w:szCs w:val="24"/>
        </w:rPr>
        <w:t xml:space="preserve"> statutory inquiries since 2005 report</w:t>
      </w:r>
      <w:r w:rsidRPr="00135444">
        <w:rPr>
          <w:rFonts w:ascii="Minion Pro" w:hAnsi="Minion Pro"/>
          <w:sz w:val="24"/>
          <w:szCs w:val="24"/>
        </w:rPr>
        <w:t>ed</w:t>
      </w:r>
      <w:r w:rsidRPr="00135444">
        <w:rPr>
          <w:rFonts w:ascii="Minion Pro" w:hAnsi="Minion Pro"/>
          <w:sz w:val="24"/>
          <w:szCs w:val="24"/>
        </w:rPr>
        <w:t xml:space="preserve"> a median cost of £5.7m </w:t>
      </w:r>
      <w:r w:rsidRPr="00135444">
        <w:rPr>
          <w:rFonts w:ascii="Minion Pro" w:hAnsi="Minion Pro"/>
          <w:sz w:val="24"/>
          <w:szCs w:val="24"/>
        </w:rPr>
        <w:t xml:space="preserve">while two non-statutory inquiries in the same period reported a median cost of £7.7m. Ultimately the cost and length of an inquiry is largely determined by its scope, </w:t>
      </w:r>
      <w:r w:rsidRPr="00135444">
        <w:rPr>
          <w:rFonts w:ascii="Minion Pro" w:hAnsi="Minion Pro"/>
          <w:sz w:val="24"/>
          <w:szCs w:val="24"/>
        </w:rPr>
        <w:t xml:space="preserve">not its precise form, and we do not believe that </w:t>
      </w:r>
      <w:r w:rsidRPr="00135444">
        <w:rPr>
          <w:rFonts w:ascii="Minion Pro" w:hAnsi="Minion Pro"/>
          <w:sz w:val="24"/>
          <w:szCs w:val="24"/>
        </w:rPr>
        <w:t>time and cost</w:t>
      </w:r>
      <w:r w:rsidRPr="00135444">
        <w:rPr>
          <w:rFonts w:ascii="Minion Pro" w:hAnsi="Minion Pro"/>
          <w:sz w:val="24"/>
          <w:szCs w:val="24"/>
        </w:rPr>
        <w:t xml:space="preserve"> </w:t>
      </w:r>
      <w:r w:rsidRPr="00135444">
        <w:rPr>
          <w:rFonts w:ascii="Minion Pro" w:hAnsi="Minion Pro"/>
          <w:sz w:val="24"/>
          <w:szCs w:val="24"/>
        </w:rPr>
        <w:t xml:space="preserve">should be </w:t>
      </w:r>
      <w:r w:rsidRPr="00135444">
        <w:rPr>
          <w:rFonts w:ascii="Minion Pro" w:hAnsi="Minion Pro"/>
          <w:sz w:val="24"/>
          <w:szCs w:val="24"/>
        </w:rPr>
        <w:t>a</w:t>
      </w:r>
      <w:r w:rsidRPr="00135444">
        <w:rPr>
          <w:rFonts w:ascii="Minion Pro" w:hAnsi="Minion Pro"/>
          <w:sz w:val="24"/>
          <w:szCs w:val="24"/>
        </w:rPr>
        <w:t xml:space="preserve"> strong consideration when </w:t>
      </w:r>
      <w:r w:rsidRPr="00135444">
        <w:rPr>
          <w:rFonts w:ascii="Minion Pro" w:hAnsi="Minion Pro"/>
          <w:sz w:val="24"/>
          <w:szCs w:val="24"/>
        </w:rPr>
        <w:t>choosing whether to hold a statutory inquiry or a non-statutory one.</w:t>
      </w:r>
    </w:p>
    <w:p w:rsidR="001C2192" w:rsidRPr="00135444" w:rsidP="001C2192">
      <w:pPr>
        <w:pStyle w:val="Heading3"/>
        <w:rPr>
          <w:rFonts w:ascii="Minion Pro" w:hAnsi="Minion Pro"/>
          <w:sz w:val="24"/>
        </w:rPr>
      </w:pPr>
      <w:r w:rsidRPr="00135444">
        <w:rPr>
          <w:rFonts w:ascii="Minion Pro" w:hAnsi="Minion Pro"/>
          <w:sz w:val="24"/>
        </w:rPr>
        <w:t>Conclusion</w:t>
      </w:r>
    </w:p>
    <w:p w:rsidR="00BD583D" w:rsidRPr="00135444" w:rsidP="00BD583D">
      <w:pPr>
        <w:rPr>
          <w:rFonts w:ascii="Minion Pro" w:hAnsi="Minion Pro"/>
          <w:sz w:val="24"/>
          <w:szCs w:val="24"/>
        </w:rPr>
      </w:pPr>
      <w:r w:rsidRPr="00135444">
        <w:rPr>
          <w:rFonts w:ascii="Minion Pro" w:hAnsi="Minion Pro"/>
          <w:sz w:val="24"/>
          <w:szCs w:val="24"/>
        </w:rPr>
        <w:t xml:space="preserve">There are pros and cons to both forms of inquiry. </w:t>
      </w:r>
      <w:r w:rsidRPr="00135444">
        <w:rPr>
          <w:rFonts w:ascii="Minion Pro" w:hAnsi="Minion Pro"/>
          <w:sz w:val="24"/>
          <w:szCs w:val="24"/>
        </w:rPr>
        <w:t>The</w:t>
      </w:r>
      <w:r w:rsidRPr="00135444">
        <w:rPr>
          <w:rFonts w:ascii="Minion Pro" w:hAnsi="Minion Pro"/>
          <w:sz w:val="24"/>
          <w:szCs w:val="24"/>
        </w:rPr>
        <w:t xml:space="preserve"> main </w:t>
      </w:r>
      <w:r w:rsidRPr="00135444">
        <w:rPr>
          <w:rFonts w:ascii="Minion Pro" w:hAnsi="Minion Pro"/>
          <w:sz w:val="24"/>
          <w:szCs w:val="24"/>
        </w:rPr>
        <w:t xml:space="preserve">case for non-statutory inquiries is that they are less confrontational, </w:t>
      </w:r>
      <w:r w:rsidRPr="00135444">
        <w:rPr>
          <w:rFonts w:ascii="Minion Pro" w:hAnsi="Minion Pro"/>
          <w:sz w:val="24"/>
          <w:szCs w:val="24"/>
        </w:rPr>
        <w:t>provide</w:t>
      </w:r>
      <w:r w:rsidRPr="00135444">
        <w:rPr>
          <w:rFonts w:ascii="Minion Pro" w:hAnsi="Minion Pro"/>
          <w:sz w:val="24"/>
          <w:szCs w:val="24"/>
        </w:rPr>
        <w:t xml:space="preserve"> more procedural flexibility in some places, and have historically been </w:t>
      </w:r>
      <w:r w:rsidRPr="00135444">
        <w:rPr>
          <w:rFonts w:ascii="Minion Pro" w:hAnsi="Minion Pro"/>
          <w:sz w:val="24"/>
          <w:szCs w:val="24"/>
        </w:rPr>
        <w:t xml:space="preserve">cheaper and quicker to run. It is clear from recent experience that there is no difference in how long </w:t>
      </w:r>
      <w:r w:rsidRPr="00135444">
        <w:rPr>
          <w:rFonts w:ascii="Minion Pro" w:hAnsi="Minion Pro"/>
          <w:sz w:val="24"/>
          <w:szCs w:val="24"/>
        </w:rPr>
        <w:t>the different forms of inquiry take, or how much they cost. This is predominantly</w:t>
      </w:r>
      <w:r w:rsidRPr="00135444">
        <w:rPr>
          <w:rFonts w:ascii="Minion Pro" w:hAnsi="Minion Pro"/>
          <w:sz w:val="24"/>
          <w:szCs w:val="24"/>
        </w:rPr>
        <w:t xml:space="preserve"> determined by their scope and other factors. </w:t>
      </w:r>
      <w:r w:rsidRPr="00135444">
        <w:rPr>
          <w:rFonts w:ascii="Minion Pro" w:hAnsi="Minion Pro"/>
          <w:sz w:val="24"/>
          <w:szCs w:val="24"/>
        </w:rPr>
        <w:t>Statutory inquiries have a set of powers around the compulsion of the release of documents and calling witness and the requirement for witnesses to give evidence under oath that make them a more powerful form t</w:t>
      </w:r>
      <w:r w:rsidRPr="00135444">
        <w:rPr>
          <w:rFonts w:ascii="Minion Pro" w:hAnsi="Minion Pro"/>
          <w:sz w:val="24"/>
          <w:szCs w:val="24"/>
        </w:rPr>
        <w:t xml:space="preserve">han non-statutory inquiries. </w:t>
      </w:r>
      <w:r w:rsidRPr="00135444">
        <w:rPr>
          <w:rFonts w:ascii="Minion Pro" w:hAnsi="Minion Pro"/>
          <w:sz w:val="24"/>
          <w:szCs w:val="24"/>
        </w:rPr>
        <w:t xml:space="preserve"> </w:t>
      </w:r>
    </w:p>
    <w:p w:rsidR="004911C6" w:rsidRPr="00135444" w:rsidP="00447120">
      <w:pPr>
        <w:rPr>
          <w:rFonts w:ascii="Minion Pro" w:hAnsi="Minion Pro"/>
          <w:b/>
          <w:bCs/>
          <w:sz w:val="24"/>
          <w:szCs w:val="24"/>
        </w:rPr>
      </w:pPr>
      <w:r w:rsidRPr="00135444">
        <w:rPr>
          <w:rFonts w:ascii="Minion Pro" w:hAnsi="Minion Pro"/>
          <w:b/>
          <w:bCs/>
          <w:sz w:val="24"/>
          <w:szCs w:val="24"/>
        </w:rPr>
        <w:t xml:space="preserve">A public inquiry into the UK’s response to the coronavirus pandemic should be convened as a statutory </w:t>
      </w:r>
      <w:r w:rsidRPr="00135444">
        <w:rPr>
          <w:rFonts w:ascii="Minion Pro" w:hAnsi="Minion Pro"/>
          <w:b/>
          <w:bCs/>
          <w:sz w:val="24"/>
          <w:szCs w:val="24"/>
        </w:rPr>
        <w:t>inquiry under the 2005 Act</w:t>
      </w:r>
      <w:r w:rsidRPr="00135444">
        <w:rPr>
          <w:rFonts w:ascii="Minion Pro" w:hAnsi="Minion Pro"/>
          <w:b/>
          <w:bCs/>
          <w:sz w:val="24"/>
          <w:szCs w:val="24"/>
        </w:rPr>
        <w:t xml:space="preserve">. </w:t>
      </w:r>
      <w:r w:rsidRPr="00135444">
        <w:rPr>
          <w:rFonts w:ascii="Minion Pro" w:hAnsi="Minion Pro"/>
          <w:b/>
          <w:bCs/>
          <w:sz w:val="24"/>
          <w:szCs w:val="24"/>
        </w:rPr>
        <w:t>This would</w:t>
      </w:r>
      <w:r w:rsidRPr="00135444">
        <w:rPr>
          <w:rFonts w:ascii="Minion Pro" w:hAnsi="Minion Pro"/>
          <w:b/>
          <w:bCs/>
          <w:sz w:val="24"/>
          <w:szCs w:val="24"/>
        </w:rPr>
        <w:t xml:space="preserve"> ensure that the inquiry has the necessary powers to </w:t>
      </w:r>
      <w:r w:rsidRPr="00135444">
        <w:rPr>
          <w:rFonts w:ascii="Minion Pro" w:hAnsi="Minion Pro"/>
          <w:b/>
          <w:bCs/>
          <w:sz w:val="24"/>
          <w:szCs w:val="24"/>
        </w:rPr>
        <w:t xml:space="preserve">do its business and will best assure that the proceedings are </w:t>
      </w:r>
      <w:r w:rsidRPr="00135444">
        <w:rPr>
          <w:rFonts w:ascii="Minion Pro" w:hAnsi="Minion Pro"/>
          <w:b/>
          <w:bCs/>
          <w:sz w:val="24"/>
          <w:szCs w:val="24"/>
        </w:rPr>
        <w:t>as public as possible</w:t>
      </w:r>
      <w:r w:rsidRPr="00135444">
        <w:rPr>
          <w:rFonts w:ascii="Minion Pro" w:hAnsi="Minion Pro"/>
          <w:b/>
          <w:bCs/>
          <w:sz w:val="24"/>
          <w:szCs w:val="24"/>
        </w:rPr>
        <w:t>.</w:t>
      </w:r>
    </w:p>
    <w:p w:rsidR="002E055C" w:rsidRPr="00135444" w:rsidP="00447120">
      <w:pPr>
        <w:rPr>
          <w:rFonts w:ascii="Minion Pro" w:hAnsi="Minion Pro"/>
          <w:b/>
          <w:bCs/>
          <w:sz w:val="24"/>
          <w:szCs w:val="24"/>
        </w:rPr>
      </w:pPr>
    </w:p>
    <w:p w:rsidR="009D19F2" w:rsidRPr="00135444" w:rsidP="006E4B20">
      <w:pPr>
        <w:pStyle w:val="Heading2"/>
        <w:rPr>
          <w:rFonts w:ascii="Minion Pro" w:hAnsi="Minion Pro"/>
          <w:sz w:val="24"/>
          <w:szCs w:val="24"/>
        </w:rPr>
      </w:pPr>
      <w:r w:rsidRPr="00135444">
        <w:rPr>
          <w:rFonts w:ascii="Minion Pro" w:hAnsi="Minion Pro"/>
          <w:sz w:val="24"/>
          <w:szCs w:val="24"/>
        </w:rPr>
        <w:t xml:space="preserve">2 - </w:t>
      </w:r>
      <w:r w:rsidRPr="00135444">
        <w:rPr>
          <w:rFonts w:ascii="Minion Pro" w:hAnsi="Minion Pro"/>
          <w:sz w:val="24"/>
          <w:szCs w:val="24"/>
        </w:rPr>
        <w:t>How should the balance between comprehensiveness and timeliness be managed? Can a single inquiry be both comprehe</w:t>
      </w:r>
      <w:r w:rsidRPr="00135444">
        <w:rPr>
          <w:rFonts w:ascii="Minion Pro" w:hAnsi="Minion Pro"/>
          <w:sz w:val="24"/>
          <w:szCs w:val="24"/>
        </w:rPr>
        <w:t xml:space="preserve">nsive and timely? </w:t>
      </w:r>
    </w:p>
    <w:p w:rsidR="0065263D" w:rsidRPr="00135444" w:rsidP="004A2278">
      <w:pPr>
        <w:rPr>
          <w:rFonts w:ascii="Minion Pro" w:hAnsi="Minion Pro"/>
          <w:sz w:val="24"/>
          <w:szCs w:val="24"/>
          <w:lang w:val="en-US"/>
        </w:rPr>
      </w:pPr>
      <w:r w:rsidRPr="00135444">
        <w:rPr>
          <w:rFonts w:ascii="Minion Pro" w:hAnsi="Minion Pro"/>
          <w:sz w:val="24"/>
          <w:szCs w:val="24"/>
        </w:rPr>
        <w:t xml:space="preserve">Public inquiries </w:t>
      </w:r>
      <w:r w:rsidRPr="00135444">
        <w:rPr>
          <w:rFonts w:ascii="Minion Pro" w:hAnsi="Minion Pro"/>
          <w:sz w:val="24"/>
          <w:szCs w:val="24"/>
        </w:rPr>
        <w:t>take time</w:t>
      </w:r>
      <w:r w:rsidRPr="00135444">
        <w:rPr>
          <w:rFonts w:ascii="Minion Pro" w:hAnsi="Minion Pro"/>
          <w:sz w:val="24"/>
          <w:szCs w:val="24"/>
        </w:rPr>
        <w:t xml:space="preserve">. </w:t>
      </w:r>
      <w:r w:rsidRPr="00135444">
        <w:rPr>
          <w:rFonts w:ascii="Minion Pro" w:hAnsi="Minion Pro"/>
          <w:sz w:val="24"/>
          <w:szCs w:val="24"/>
        </w:rPr>
        <w:t xml:space="preserve">There have </w:t>
      </w:r>
      <w:r w:rsidRPr="00135444">
        <w:rPr>
          <w:rFonts w:ascii="Minion Pro" w:hAnsi="Minion Pro"/>
          <w:sz w:val="24"/>
          <w:szCs w:val="24"/>
          <w:lang w:val="en-US"/>
        </w:rPr>
        <w:t xml:space="preserve">been at least 64 inquiries which have completed and published a report since 1990. </w:t>
      </w:r>
      <w:r w:rsidRPr="00135444">
        <w:rPr>
          <w:rFonts w:ascii="Minion Pro" w:hAnsi="Minion Pro"/>
          <w:sz w:val="24"/>
          <w:szCs w:val="24"/>
          <w:lang w:val="en-US"/>
        </w:rPr>
        <w:t>Of these 50 (78%) took four years or less</w:t>
      </w:r>
      <w:r w:rsidRPr="00135444">
        <w:rPr>
          <w:rFonts w:ascii="Minion Pro" w:hAnsi="Minion Pro"/>
          <w:sz w:val="24"/>
          <w:szCs w:val="24"/>
          <w:lang w:val="en-US"/>
        </w:rPr>
        <w:t xml:space="preserve">, only 12 (19%) took less than a year. </w:t>
      </w:r>
      <w:r w:rsidRPr="00135444">
        <w:rPr>
          <w:rFonts w:ascii="Minion Pro" w:hAnsi="Minion Pro"/>
          <w:sz w:val="24"/>
          <w:szCs w:val="24"/>
          <w:lang w:val="en-US"/>
        </w:rPr>
        <w:t xml:space="preserve">There are currently a further </w:t>
      </w:r>
      <w:r w:rsidRPr="00135444">
        <w:rPr>
          <w:rFonts w:ascii="Minion Pro" w:hAnsi="Minion Pro"/>
          <w:sz w:val="24"/>
          <w:szCs w:val="24"/>
          <w:lang w:val="en-US"/>
        </w:rPr>
        <w:t>ten</w:t>
      </w:r>
      <w:r w:rsidRPr="00135444">
        <w:rPr>
          <w:rFonts w:ascii="Minion Pro" w:hAnsi="Minion Pro"/>
          <w:sz w:val="24"/>
          <w:szCs w:val="24"/>
          <w:lang w:val="en-US"/>
        </w:rPr>
        <w:t xml:space="preserve"> i</w:t>
      </w:r>
      <w:r w:rsidRPr="00135444">
        <w:rPr>
          <w:rFonts w:ascii="Minion Pro" w:hAnsi="Minion Pro"/>
          <w:sz w:val="24"/>
          <w:szCs w:val="24"/>
          <w:lang w:val="en-US"/>
        </w:rPr>
        <w:t xml:space="preserve">nquiries ongoing, </w:t>
      </w:r>
      <w:r w:rsidRPr="00135444">
        <w:rPr>
          <w:rFonts w:ascii="Minion Pro" w:hAnsi="Minion Pro"/>
          <w:sz w:val="24"/>
          <w:szCs w:val="24"/>
          <w:lang w:val="en-US"/>
        </w:rPr>
        <w:t>four of which have been running for more th</w:t>
      </w:r>
      <w:r w:rsidRPr="00135444">
        <w:rPr>
          <w:rFonts w:ascii="Minion Pro" w:hAnsi="Minion Pro"/>
          <w:sz w:val="24"/>
          <w:szCs w:val="24"/>
          <w:lang w:val="en-US"/>
        </w:rPr>
        <w:t>a</w:t>
      </w:r>
      <w:r w:rsidRPr="00135444">
        <w:rPr>
          <w:rFonts w:ascii="Minion Pro" w:hAnsi="Minion Pro"/>
          <w:sz w:val="24"/>
          <w:szCs w:val="24"/>
          <w:lang w:val="en-US"/>
        </w:rPr>
        <w:t>n four years.</w:t>
      </w:r>
      <w:r>
        <w:rPr>
          <w:rStyle w:val="FootnoteReference"/>
          <w:rFonts w:ascii="Minion Pro" w:hAnsi="Minion Pro"/>
          <w:sz w:val="24"/>
          <w:szCs w:val="24"/>
          <w:lang w:val="en-US"/>
        </w:rPr>
        <w:footnoteReference w:id="2"/>
      </w:r>
    </w:p>
    <w:p w:rsidR="005A1952" w:rsidRPr="00135444" w:rsidP="004A2278">
      <w:pPr>
        <w:rPr>
          <w:rFonts w:ascii="Minion Pro" w:hAnsi="Minion Pro"/>
          <w:sz w:val="24"/>
          <w:szCs w:val="24"/>
        </w:rPr>
      </w:pPr>
      <w:r w:rsidRPr="00135444">
        <w:rPr>
          <w:rFonts w:ascii="Minion Pro" w:hAnsi="Minion Pro"/>
          <w:noProof/>
          <w:sz w:val="24"/>
          <w:szCs w:val="24"/>
        </w:rPr>
        <w:drawing>
          <wp:inline distT="0" distB="0" distL="0" distR="0">
            <wp:extent cx="5486400" cy="3200400"/>
            <wp:effectExtent l="0" t="0" r="0" b="0"/>
            <wp:docPr id="1" name="20200702 Inquiry Length.png"/>
            <wp:cNvGraphicFramePr/>
            <a:graphic xmlns:a="http://schemas.openxmlformats.org/drawingml/2006/main">
              <a:graphicData uri="http://schemas.openxmlformats.org/drawingml/2006/picture">
                <pic:pic xmlns:pic="http://schemas.openxmlformats.org/drawingml/2006/picture">
                  <pic:nvPicPr>
                    <pic:cNvPr id="1" name="20200702 Inquiry Length.png"/>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731510" cy="3372485"/>
                    </a:xfrm>
                    <a:prstGeom prst="rect">
                      <a:avLst/>
                    </a:prstGeom>
                  </pic:spPr>
                </pic:pic>
              </a:graphicData>
            </a:graphic>
          </wp:inline>
        </w:drawing>
      </w:r>
    </w:p>
    <w:p w:rsidR="003A089B" w:rsidRPr="00135444" w:rsidP="00823B95">
      <w:pPr>
        <w:spacing w:after="160"/>
        <w:jc w:val="left"/>
        <w:rPr>
          <w:rFonts w:ascii="Minion Pro" w:hAnsi="Minion Pro"/>
          <w:sz w:val="24"/>
          <w:szCs w:val="24"/>
        </w:rPr>
      </w:pPr>
      <w:r w:rsidRPr="00135444">
        <w:rPr>
          <w:rFonts w:ascii="Minion Pro" w:hAnsi="Minion Pro"/>
          <w:sz w:val="24"/>
          <w:szCs w:val="24"/>
        </w:rPr>
        <w:t xml:space="preserve">There are several reasons why inquiries </w:t>
      </w:r>
      <w:r w:rsidRPr="00135444">
        <w:rPr>
          <w:rFonts w:ascii="Minion Pro" w:hAnsi="Minion Pro"/>
          <w:sz w:val="24"/>
          <w:szCs w:val="24"/>
        </w:rPr>
        <w:t xml:space="preserve">can </w:t>
      </w:r>
      <w:r w:rsidRPr="00135444">
        <w:rPr>
          <w:rFonts w:ascii="Minion Pro" w:hAnsi="Minion Pro"/>
          <w:sz w:val="24"/>
          <w:szCs w:val="24"/>
        </w:rPr>
        <w:t xml:space="preserve">take so long: </w:t>
      </w:r>
    </w:p>
    <w:p w:rsidR="0072142F" w:rsidRPr="00135444" w:rsidP="003A089B">
      <w:pPr>
        <w:pStyle w:val="ListParagraph"/>
        <w:numPr>
          <w:ilvl w:val="0"/>
          <w:numId w:val="21"/>
        </w:numPr>
        <w:rPr>
          <w:rFonts w:ascii="Minion Pro" w:hAnsi="Minion Pro"/>
          <w:b w:val="0"/>
          <w:bCs w:val="0"/>
          <w:sz w:val="24"/>
          <w:szCs w:val="24"/>
        </w:rPr>
      </w:pPr>
      <w:r w:rsidRPr="00135444">
        <w:rPr>
          <w:rFonts w:ascii="Minion Pro" w:hAnsi="Minion Pro"/>
          <w:b w:val="0"/>
          <w:bCs w:val="0"/>
          <w:sz w:val="24"/>
          <w:szCs w:val="24"/>
        </w:rPr>
        <w:t xml:space="preserve">The work </w:t>
      </w:r>
      <w:r w:rsidRPr="00135444">
        <w:rPr>
          <w:rFonts w:ascii="Minion Pro" w:hAnsi="Minion Pro"/>
          <w:b w:val="0"/>
          <w:bCs w:val="0"/>
          <w:sz w:val="24"/>
          <w:szCs w:val="24"/>
        </w:rPr>
        <w:t xml:space="preserve">involved with </w:t>
      </w:r>
      <w:r w:rsidRPr="00135444">
        <w:rPr>
          <w:rFonts w:ascii="Minion Pro" w:hAnsi="Minion Pro"/>
          <w:b w:val="0"/>
          <w:bCs w:val="0"/>
          <w:sz w:val="24"/>
          <w:szCs w:val="24"/>
        </w:rPr>
        <w:t xml:space="preserve">any inquiry is time-consuming. </w:t>
      </w:r>
      <w:r w:rsidRPr="00135444">
        <w:rPr>
          <w:rFonts w:ascii="Minion Pro" w:hAnsi="Minion Pro"/>
          <w:b w:val="0"/>
          <w:bCs w:val="0"/>
          <w:sz w:val="24"/>
          <w:szCs w:val="24"/>
        </w:rPr>
        <w:t xml:space="preserve">It is not uncommon for an inquiry to </w:t>
      </w:r>
      <w:r w:rsidRPr="00135444">
        <w:rPr>
          <w:rFonts w:ascii="Minion Pro" w:hAnsi="Minion Pro"/>
          <w:b w:val="0"/>
          <w:bCs w:val="0"/>
          <w:sz w:val="24"/>
          <w:szCs w:val="24"/>
        </w:rPr>
        <w:t xml:space="preserve">need to </w:t>
      </w:r>
      <w:r w:rsidRPr="00135444">
        <w:rPr>
          <w:rFonts w:ascii="Minion Pro" w:hAnsi="Minion Pro"/>
          <w:b w:val="0"/>
          <w:bCs w:val="0"/>
          <w:sz w:val="24"/>
          <w:szCs w:val="24"/>
        </w:rPr>
        <w:t xml:space="preserve">review millions of documents and take evidence from hundreds of people. </w:t>
      </w:r>
      <w:r w:rsidRPr="00135444">
        <w:rPr>
          <w:rFonts w:ascii="Minion Pro" w:hAnsi="Minion Pro"/>
          <w:b w:val="0"/>
          <w:bCs w:val="0"/>
          <w:sz w:val="24"/>
          <w:szCs w:val="24"/>
        </w:rPr>
        <w:t>This</w:t>
      </w:r>
      <w:r w:rsidRPr="00135444">
        <w:rPr>
          <w:rFonts w:ascii="Minion Pro" w:hAnsi="Minion Pro"/>
          <w:b w:val="0"/>
          <w:bCs w:val="0"/>
          <w:sz w:val="24"/>
          <w:szCs w:val="24"/>
        </w:rPr>
        <w:t xml:space="preserve"> process of considering the evidence </w:t>
      </w:r>
      <w:r w:rsidRPr="00135444">
        <w:rPr>
          <w:rFonts w:ascii="Minion Pro" w:hAnsi="Minion Pro"/>
          <w:b w:val="0"/>
          <w:bCs w:val="0"/>
          <w:sz w:val="24"/>
          <w:szCs w:val="24"/>
        </w:rPr>
        <w:t>prolongs them</w:t>
      </w:r>
      <w:r w:rsidRPr="00135444">
        <w:rPr>
          <w:rFonts w:ascii="Minion Pro" w:hAnsi="Minion Pro"/>
          <w:b w:val="0"/>
          <w:bCs w:val="0"/>
          <w:sz w:val="24"/>
          <w:szCs w:val="24"/>
        </w:rPr>
        <w:t>.</w:t>
      </w:r>
      <w:r>
        <w:rPr>
          <w:rStyle w:val="EndnoteReference"/>
          <w:rFonts w:ascii="Minion Pro" w:hAnsi="Minion Pro"/>
          <w:b w:val="0"/>
          <w:bCs w:val="0"/>
          <w:sz w:val="24"/>
          <w:szCs w:val="24"/>
        </w:rPr>
        <w:endnoteReference w:id="18"/>
      </w:r>
    </w:p>
    <w:p w:rsidR="00922DF6" w:rsidRPr="00135444" w:rsidP="003A089B">
      <w:pPr>
        <w:pStyle w:val="ListParagraph"/>
        <w:numPr>
          <w:ilvl w:val="0"/>
          <w:numId w:val="21"/>
        </w:numPr>
        <w:rPr>
          <w:rFonts w:ascii="Minion Pro" w:hAnsi="Minion Pro"/>
          <w:b w:val="0"/>
          <w:bCs w:val="0"/>
          <w:sz w:val="24"/>
          <w:szCs w:val="24"/>
        </w:rPr>
      </w:pPr>
      <w:r w:rsidRPr="00135444">
        <w:rPr>
          <w:rFonts w:ascii="Minion Pro" w:hAnsi="Minion Pro"/>
          <w:b w:val="0"/>
          <w:bCs w:val="0"/>
          <w:sz w:val="24"/>
          <w:szCs w:val="24"/>
        </w:rPr>
        <w:t>Th</w:t>
      </w:r>
      <w:r w:rsidRPr="00135444">
        <w:rPr>
          <w:rFonts w:ascii="Minion Pro" w:hAnsi="Minion Pro"/>
          <w:b w:val="0"/>
          <w:bCs w:val="0"/>
          <w:sz w:val="24"/>
          <w:szCs w:val="24"/>
        </w:rPr>
        <w:t>e scope of each inquir</w:t>
      </w:r>
      <w:r w:rsidRPr="00135444">
        <w:rPr>
          <w:rFonts w:ascii="Minion Pro" w:hAnsi="Minion Pro"/>
          <w:b w:val="0"/>
          <w:bCs w:val="0"/>
          <w:sz w:val="24"/>
          <w:szCs w:val="24"/>
        </w:rPr>
        <w:t>y</w:t>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 as determined by its terms of reference – </w:t>
      </w:r>
      <w:r w:rsidRPr="00135444">
        <w:rPr>
          <w:rFonts w:ascii="Minion Pro" w:hAnsi="Minion Pro"/>
          <w:b w:val="0"/>
          <w:bCs w:val="0"/>
          <w:sz w:val="24"/>
          <w:szCs w:val="24"/>
        </w:rPr>
        <w:t xml:space="preserve">will </w:t>
      </w:r>
      <w:r w:rsidRPr="00135444">
        <w:rPr>
          <w:rFonts w:ascii="Minion Pro" w:hAnsi="Minion Pro"/>
          <w:b w:val="0"/>
          <w:bCs w:val="0"/>
          <w:sz w:val="24"/>
          <w:szCs w:val="24"/>
        </w:rPr>
        <w:t xml:space="preserve">also </w:t>
      </w:r>
      <w:r w:rsidRPr="00135444">
        <w:rPr>
          <w:rFonts w:ascii="Minion Pro" w:hAnsi="Minion Pro"/>
          <w:b w:val="0"/>
          <w:bCs w:val="0"/>
          <w:sz w:val="24"/>
          <w:szCs w:val="24"/>
        </w:rPr>
        <w:t>di</w:t>
      </w:r>
      <w:r w:rsidRPr="00135444">
        <w:rPr>
          <w:rFonts w:ascii="Minion Pro" w:hAnsi="Minion Pro"/>
          <w:b w:val="0"/>
          <w:bCs w:val="0"/>
          <w:sz w:val="24"/>
          <w:szCs w:val="24"/>
        </w:rPr>
        <w:t xml:space="preserve">rectly </w:t>
      </w:r>
      <w:r w:rsidRPr="00135444">
        <w:rPr>
          <w:rFonts w:ascii="Minion Pro" w:hAnsi="Minion Pro"/>
          <w:b w:val="0"/>
          <w:bCs w:val="0"/>
          <w:sz w:val="24"/>
          <w:szCs w:val="24"/>
        </w:rPr>
        <w:t>influence their length.</w:t>
      </w:r>
      <w:r w:rsidRPr="00135444">
        <w:rPr>
          <w:rFonts w:ascii="Minion Pro" w:hAnsi="Minion Pro"/>
          <w:b w:val="0"/>
          <w:bCs w:val="0"/>
          <w:sz w:val="24"/>
          <w:szCs w:val="24"/>
        </w:rPr>
        <w:t xml:space="preserve"> </w:t>
      </w:r>
      <w:r w:rsidRPr="00135444">
        <w:rPr>
          <w:rFonts w:ascii="Minion Pro" w:hAnsi="Minion Pro"/>
          <w:b w:val="0"/>
          <w:bCs w:val="0"/>
          <w:sz w:val="24"/>
          <w:szCs w:val="24"/>
        </w:rPr>
        <w:t>The broader its scope</w:t>
      </w:r>
      <w:r w:rsidRPr="00135444">
        <w:rPr>
          <w:rFonts w:ascii="Minion Pro" w:hAnsi="Minion Pro"/>
          <w:b w:val="0"/>
          <w:bCs w:val="0"/>
          <w:sz w:val="24"/>
          <w:szCs w:val="24"/>
        </w:rPr>
        <w:t xml:space="preserve"> the </w:t>
      </w:r>
      <w:r w:rsidRPr="00135444">
        <w:rPr>
          <w:rFonts w:ascii="Minion Pro" w:hAnsi="Minion Pro"/>
          <w:b w:val="0"/>
          <w:bCs w:val="0"/>
          <w:sz w:val="24"/>
          <w:szCs w:val="24"/>
        </w:rPr>
        <w:t>more questions an inquiry must answe</w:t>
      </w:r>
      <w:r w:rsidRPr="00135444">
        <w:rPr>
          <w:rFonts w:ascii="Minion Pro" w:hAnsi="Minion Pro"/>
          <w:b w:val="0"/>
          <w:bCs w:val="0"/>
          <w:sz w:val="24"/>
          <w:szCs w:val="24"/>
        </w:rPr>
        <w:t>r</w:t>
      </w:r>
      <w:r w:rsidRPr="00135444">
        <w:rPr>
          <w:rFonts w:ascii="Minion Pro" w:hAnsi="Minion Pro"/>
          <w:b w:val="0"/>
          <w:bCs w:val="0"/>
          <w:sz w:val="24"/>
          <w:szCs w:val="24"/>
        </w:rPr>
        <w:t>, and the longer it will take.</w:t>
      </w:r>
    </w:p>
    <w:p w:rsidR="00ED3713" w:rsidRPr="00135444" w:rsidP="003A089B">
      <w:pPr>
        <w:pStyle w:val="ListParagraph"/>
        <w:numPr>
          <w:ilvl w:val="0"/>
          <w:numId w:val="21"/>
        </w:numPr>
        <w:rPr>
          <w:rFonts w:ascii="Minion Pro" w:hAnsi="Minion Pro"/>
          <w:b w:val="0"/>
          <w:bCs w:val="0"/>
          <w:sz w:val="24"/>
          <w:szCs w:val="24"/>
        </w:rPr>
      </w:pPr>
      <w:r w:rsidRPr="00135444">
        <w:rPr>
          <w:rFonts w:ascii="Minion Pro" w:hAnsi="Minion Pro"/>
          <w:b w:val="0"/>
          <w:bCs w:val="0"/>
          <w:sz w:val="24"/>
          <w:szCs w:val="24"/>
        </w:rPr>
        <w:t xml:space="preserve">Inquiries have no legal power to determine </w:t>
      </w:r>
      <w:r w:rsidRPr="00135444">
        <w:rPr>
          <w:rFonts w:ascii="Minion Pro" w:hAnsi="Minion Pro"/>
          <w:b w:val="0"/>
          <w:bCs w:val="0"/>
          <w:sz w:val="24"/>
          <w:szCs w:val="24"/>
        </w:rPr>
        <w:t xml:space="preserve">civil or </w:t>
      </w:r>
      <w:r w:rsidRPr="00135444">
        <w:rPr>
          <w:rFonts w:ascii="Minion Pro" w:hAnsi="Minion Pro"/>
          <w:b w:val="0"/>
          <w:bCs w:val="0"/>
          <w:sz w:val="24"/>
          <w:szCs w:val="24"/>
        </w:rPr>
        <w:t xml:space="preserve">criminal </w:t>
      </w:r>
      <w:r w:rsidRPr="00135444">
        <w:rPr>
          <w:rFonts w:ascii="Minion Pro" w:hAnsi="Minion Pro"/>
          <w:b w:val="0"/>
          <w:bCs w:val="0"/>
          <w:sz w:val="24"/>
          <w:szCs w:val="24"/>
        </w:rPr>
        <w:t>liability</w:t>
      </w:r>
      <w:r w:rsidRPr="00135444">
        <w:rPr>
          <w:rFonts w:ascii="Minion Pro" w:hAnsi="Minion Pro"/>
          <w:b w:val="0"/>
          <w:bCs w:val="0"/>
          <w:sz w:val="24"/>
          <w:szCs w:val="24"/>
        </w:rPr>
        <w:t>.</w:t>
      </w:r>
      <w:r>
        <w:rPr>
          <w:rStyle w:val="EndnoteReference"/>
          <w:rFonts w:ascii="Minion Pro" w:hAnsi="Minion Pro"/>
          <w:b w:val="0"/>
          <w:bCs w:val="0"/>
          <w:sz w:val="24"/>
          <w:szCs w:val="24"/>
        </w:rPr>
        <w:endnoteReference w:id="19"/>
      </w:r>
      <w:r w:rsidRPr="00135444">
        <w:rPr>
          <w:rFonts w:ascii="Minion Pro" w:hAnsi="Minion Pro"/>
          <w:b w:val="0"/>
          <w:bCs w:val="0"/>
          <w:sz w:val="24"/>
          <w:szCs w:val="24"/>
        </w:rPr>
        <w:t xml:space="preserve"> As such, many </w:t>
      </w:r>
      <w:r w:rsidRPr="00135444">
        <w:rPr>
          <w:rFonts w:ascii="Minion Pro" w:hAnsi="Minion Pro"/>
          <w:b w:val="0"/>
          <w:bCs w:val="0"/>
          <w:sz w:val="24"/>
          <w:szCs w:val="24"/>
        </w:rPr>
        <w:t xml:space="preserve">inquiries </w:t>
      </w:r>
      <w:r w:rsidRPr="00135444">
        <w:rPr>
          <w:rFonts w:ascii="Minion Pro" w:hAnsi="Minion Pro"/>
          <w:b w:val="0"/>
          <w:bCs w:val="0"/>
          <w:sz w:val="24"/>
          <w:szCs w:val="24"/>
        </w:rPr>
        <w:t>ha</w:t>
      </w:r>
      <w:r w:rsidRPr="00135444">
        <w:rPr>
          <w:rFonts w:ascii="Minion Pro" w:hAnsi="Minion Pro"/>
          <w:b w:val="0"/>
          <w:bCs w:val="0"/>
          <w:sz w:val="24"/>
          <w:szCs w:val="24"/>
        </w:rPr>
        <w:t>ve had</w:t>
      </w:r>
      <w:r w:rsidRPr="00135444">
        <w:rPr>
          <w:rFonts w:ascii="Minion Pro" w:hAnsi="Minion Pro"/>
          <w:b w:val="0"/>
          <w:bCs w:val="0"/>
          <w:sz w:val="24"/>
          <w:szCs w:val="24"/>
        </w:rPr>
        <w:t xml:space="preserve"> to give way to police investigations </w:t>
      </w:r>
      <w:r w:rsidRPr="00135444">
        <w:rPr>
          <w:rFonts w:ascii="Minion Pro" w:hAnsi="Minion Pro"/>
          <w:b w:val="0"/>
          <w:bCs w:val="0"/>
          <w:sz w:val="24"/>
          <w:szCs w:val="24"/>
        </w:rPr>
        <w:t>or</w:t>
      </w:r>
      <w:r w:rsidRPr="00135444">
        <w:rPr>
          <w:rFonts w:ascii="Minion Pro" w:hAnsi="Minion Pro"/>
          <w:b w:val="0"/>
          <w:bCs w:val="0"/>
          <w:sz w:val="24"/>
          <w:szCs w:val="24"/>
        </w:rPr>
        <w:t xml:space="preserve"> legal cases</w:t>
      </w:r>
      <w:r w:rsidRPr="00135444">
        <w:rPr>
          <w:rFonts w:ascii="Minion Pro" w:hAnsi="Minion Pro"/>
          <w:b w:val="0"/>
          <w:bCs w:val="0"/>
          <w:sz w:val="24"/>
          <w:szCs w:val="24"/>
        </w:rPr>
        <w:t>, which have generally taken precedence. This leads to unavoidable delays.</w:t>
      </w:r>
      <w:r w:rsidRPr="00135444">
        <w:rPr>
          <w:rFonts w:ascii="Minion Pro" w:hAnsi="Minion Pro"/>
          <w:b w:val="0"/>
          <w:bCs w:val="0"/>
          <w:sz w:val="24"/>
          <w:szCs w:val="24"/>
        </w:rPr>
        <w:t xml:space="preserve"> This was most notably the case in the Inquiry into Hyponatraemia-related deaths, which took almost six and a half years to hold i</w:t>
      </w:r>
      <w:r w:rsidRPr="00135444">
        <w:rPr>
          <w:rFonts w:ascii="Minion Pro" w:hAnsi="Minion Pro"/>
          <w:b w:val="0"/>
          <w:bCs w:val="0"/>
          <w:sz w:val="24"/>
          <w:szCs w:val="24"/>
        </w:rPr>
        <w:t>ts first oral hearings.</w:t>
      </w:r>
    </w:p>
    <w:p w:rsidR="00687A2D" w:rsidRPr="00135444" w:rsidP="004A2278">
      <w:pPr>
        <w:pStyle w:val="ListParagraph"/>
        <w:numPr>
          <w:ilvl w:val="0"/>
          <w:numId w:val="21"/>
        </w:numPr>
        <w:rPr>
          <w:rFonts w:ascii="Minion Pro" w:hAnsi="Minion Pro"/>
          <w:b w:val="0"/>
          <w:bCs w:val="0"/>
          <w:sz w:val="24"/>
          <w:szCs w:val="24"/>
        </w:rPr>
      </w:pPr>
      <w:r w:rsidRPr="00135444">
        <w:rPr>
          <w:rFonts w:ascii="Minion Pro" w:hAnsi="Minion Pro"/>
          <w:b w:val="0"/>
          <w:bCs w:val="0"/>
          <w:sz w:val="24"/>
          <w:szCs w:val="24"/>
        </w:rPr>
        <w:t xml:space="preserve">Many inquiries have also suffered delays due to avoidable organisational issues. </w:t>
      </w:r>
      <w:r w:rsidRPr="00135444">
        <w:rPr>
          <w:rFonts w:ascii="Minion Pro" w:hAnsi="Minion Pro"/>
          <w:b w:val="0"/>
          <w:bCs w:val="0"/>
          <w:sz w:val="24"/>
          <w:szCs w:val="24"/>
        </w:rPr>
        <w:t>T</w:t>
      </w:r>
      <w:r w:rsidRPr="00135444">
        <w:rPr>
          <w:rFonts w:ascii="Minion Pro" w:hAnsi="Minion Pro"/>
          <w:b w:val="0"/>
          <w:bCs w:val="0"/>
          <w:sz w:val="24"/>
          <w:szCs w:val="24"/>
        </w:rPr>
        <w:t xml:space="preserve">he </w:t>
      </w:r>
      <w:r w:rsidRPr="00135444">
        <w:rPr>
          <w:rFonts w:ascii="Minion Pro" w:hAnsi="Minion Pro"/>
          <w:b w:val="0"/>
          <w:bCs w:val="0"/>
          <w:sz w:val="24"/>
          <w:szCs w:val="24"/>
        </w:rPr>
        <w:t>work</w:t>
      </w:r>
      <w:r w:rsidRPr="00135444">
        <w:rPr>
          <w:rFonts w:ascii="Minion Pro" w:hAnsi="Minion Pro"/>
          <w:b w:val="0"/>
          <w:bCs w:val="0"/>
          <w:sz w:val="24"/>
          <w:szCs w:val="24"/>
        </w:rPr>
        <w:t xml:space="preserve"> it takes to establish the inquiry</w:t>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 such as locating space for offices and hearing chambers, setting up IT systems, </w:t>
      </w:r>
      <w:r w:rsidRPr="00135444">
        <w:rPr>
          <w:rFonts w:ascii="Minion Pro" w:hAnsi="Minion Pro"/>
          <w:b w:val="0"/>
          <w:bCs w:val="0"/>
          <w:sz w:val="24"/>
          <w:szCs w:val="24"/>
        </w:rPr>
        <w:t xml:space="preserve">and </w:t>
      </w:r>
      <w:r w:rsidRPr="00135444">
        <w:rPr>
          <w:rFonts w:ascii="Minion Pro" w:hAnsi="Minion Pro"/>
          <w:b w:val="0"/>
          <w:bCs w:val="0"/>
          <w:sz w:val="24"/>
          <w:szCs w:val="24"/>
        </w:rPr>
        <w:t>hiring staf</w:t>
      </w:r>
      <w:r w:rsidRPr="00135444">
        <w:rPr>
          <w:rFonts w:ascii="Minion Pro" w:hAnsi="Minion Pro"/>
          <w:b w:val="0"/>
          <w:bCs w:val="0"/>
          <w:sz w:val="24"/>
          <w:szCs w:val="24"/>
        </w:rPr>
        <w:t>f – is ofte</w:t>
      </w:r>
      <w:r w:rsidRPr="00135444">
        <w:rPr>
          <w:rFonts w:ascii="Minion Pro" w:hAnsi="Minion Pro"/>
          <w:b w:val="0"/>
          <w:bCs w:val="0"/>
          <w:sz w:val="24"/>
          <w:szCs w:val="24"/>
        </w:rPr>
        <w:t xml:space="preserve">n </w:t>
      </w:r>
      <w:r w:rsidRPr="00135444">
        <w:rPr>
          <w:rFonts w:ascii="Minion Pro" w:hAnsi="Minion Pro"/>
          <w:b w:val="0"/>
          <w:bCs w:val="0"/>
          <w:sz w:val="24"/>
          <w:szCs w:val="24"/>
        </w:rPr>
        <w:t>more time-consuming than it should be. Similarly</w:t>
      </w:r>
      <w:r w:rsidRPr="00135444">
        <w:rPr>
          <w:rFonts w:ascii="Minion Pro" w:hAnsi="Minion Pro"/>
          <w:b w:val="0"/>
          <w:bCs w:val="0"/>
          <w:sz w:val="24"/>
          <w:szCs w:val="24"/>
        </w:rPr>
        <w:t>,</w:t>
      </w:r>
      <w:r w:rsidRPr="00135444">
        <w:rPr>
          <w:rFonts w:ascii="Minion Pro" w:hAnsi="Minion Pro"/>
          <w:b w:val="0"/>
          <w:bCs w:val="0"/>
          <w:sz w:val="24"/>
          <w:szCs w:val="24"/>
        </w:rPr>
        <w:t xml:space="preserve"> staff churn</w:t>
      </w:r>
      <w:r w:rsidRPr="00135444">
        <w:rPr>
          <w:rFonts w:ascii="Minion Pro" w:hAnsi="Minion Pro"/>
          <w:b w:val="0"/>
          <w:bCs w:val="0"/>
          <w:sz w:val="24"/>
          <w:szCs w:val="24"/>
        </w:rPr>
        <w:t xml:space="preserve"> has prolonged inquiries in the past. This is a</w:t>
      </w:r>
      <w:r w:rsidRPr="00135444">
        <w:rPr>
          <w:rFonts w:ascii="Minion Pro" w:hAnsi="Minion Pro"/>
          <w:b w:val="0"/>
          <w:bCs w:val="0"/>
          <w:sz w:val="24"/>
          <w:szCs w:val="24"/>
        </w:rPr>
        <w:t xml:space="preserve"> particular </w:t>
      </w:r>
      <w:r w:rsidRPr="00135444">
        <w:rPr>
          <w:rFonts w:ascii="Minion Pro" w:hAnsi="Minion Pro"/>
          <w:b w:val="0"/>
          <w:bCs w:val="0"/>
          <w:sz w:val="24"/>
          <w:szCs w:val="24"/>
        </w:rPr>
        <w:t xml:space="preserve">issue </w:t>
      </w:r>
      <w:r w:rsidRPr="00135444">
        <w:rPr>
          <w:rFonts w:ascii="Minion Pro" w:hAnsi="Minion Pro"/>
          <w:b w:val="0"/>
          <w:bCs w:val="0"/>
          <w:sz w:val="24"/>
          <w:szCs w:val="24"/>
        </w:rPr>
        <w:t>if the chair needs to be replaced</w:t>
      </w:r>
      <w:r w:rsidRPr="00135444">
        <w:rPr>
          <w:rFonts w:ascii="Minion Pro" w:hAnsi="Minion Pro"/>
          <w:b w:val="0"/>
          <w:bCs w:val="0"/>
          <w:sz w:val="24"/>
          <w:szCs w:val="24"/>
        </w:rPr>
        <w:t>, which has happened several times – most notably with the Independent Inquiry into Child Sexua</w:t>
      </w:r>
      <w:r w:rsidRPr="00135444">
        <w:rPr>
          <w:rFonts w:ascii="Minion Pro" w:hAnsi="Minion Pro"/>
          <w:b w:val="0"/>
          <w:bCs w:val="0"/>
          <w:sz w:val="24"/>
          <w:szCs w:val="24"/>
        </w:rPr>
        <w:t>l Abuse, which went through four different chairs in</w:t>
      </w:r>
      <w:r w:rsidRPr="00135444">
        <w:rPr>
          <w:rFonts w:ascii="Minion Pro" w:hAnsi="Minion Pro"/>
          <w:b w:val="0"/>
          <w:bCs w:val="0"/>
          <w:sz w:val="24"/>
          <w:szCs w:val="24"/>
        </w:rPr>
        <w:t xml:space="preserve"> just over two years</w:t>
      </w:r>
      <w:r w:rsidRPr="00135444">
        <w:rPr>
          <w:rFonts w:ascii="Minion Pro" w:hAnsi="Minion Pro"/>
          <w:b w:val="0"/>
          <w:bCs w:val="0"/>
          <w:sz w:val="24"/>
          <w:szCs w:val="24"/>
        </w:rPr>
        <w:t>.</w:t>
      </w:r>
    </w:p>
    <w:p w:rsidR="00A90E10" w:rsidRPr="00135444" w:rsidP="004A2278">
      <w:pPr>
        <w:rPr>
          <w:rFonts w:ascii="Minion Pro" w:hAnsi="Minion Pro"/>
          <w:sz w:val="24"/>
          <w:szCs w:val="24"/>
        </w:rPr>
      </w:pPr>
      <w:r w:rsidRPr="00135444">
        <w:rPr>
          <w:rFonts w:ascii="Minion Pro" w:hAnsi="Minion Pro"/>
          <w:sz w:val="24"/>
          <w:szCs w:val="24"/>
        </w:rPr>
        <w:t>Any inquiry into the government’s handling of the coronavirus pandemic will be multifaceted and complex</w:t>
      </w:r>
      <w:r w:rsidRPr="00135444">
        <w:rPr>
          <w:rFonts w:ascii="Minion Pro" w:hAnsi="Minion Pro"/>
          <w:sz w:val="24"/>
          <w:szCs w:val="24"/>
        </w:rPr>
        <w:t xml:space="preserve">. It will cover questions about </w:t>
      </w:r>
      <w:r w:rsidRPr="00135444">
        <w:rPr>
          <w:rFonts w:ascii="Minion Pro" w:hAnsi="Minion Pro"/>
          <w:sz w:val="24"/>
          <w:szCs w:val="24"/>
        </w:rPr>
        <w:t>the decision-making process at the heart of gov</w:t>
      </w:r>
      <w:r w:rsidRPr="00135444">
        <w:rPr>
          <w:rFonts w:ascii="Minion Pro" w:hAnsi="Minion Pro"/>
          <w:sz w:val="24"/>
          <w:szCs w:val="24"/>
        </w:rPr>
        <w:t xml:space="preserve">ernment, the </w:t>
      </w:r>
      <w:r w:rsidRPr="00135444">
        <w:rPr>
          <w:rFonts w:ascii="Minion Pro" w:hAnsi="Minion Pro"/>
          <w:sz w:val="24"/>
          <w:szCs w:val="24"/>
        </w:rPr>
        <w:t>provision of healthcare in response to the pandemic</w:t>
      </w:r>
      <w:r w:rsidRPr="00135444">
        <w:rPr>
          <w:rFonts w:ascii="Minion Pro" w:hAnsi="Minion Pro"/>
          <w:sz w:val="24"/>
          <w:szCs w:val="24"/>
        </w:rPr>
        <w:t>, how prepared services were for this type of emergency and so on</w:t>
      </w:r>
      <w:r w:rsidRPr="00135444">
        <w:rPr>
          <w:rFonts w:ascii="Minion Pro" w:hAnsi="Minion Pro"/>
          <w:sz w:val="24"/>
          <w:szCs w:val="24"/>
        </w:rPr>
        <w:t>.</w:t>
      </w:r>
      <w:r w:rsidRPr="00135444">
        <w:rPr>
          <w:rFonts w:ascii="Minion Pro" w:hAnsi="Minion Pro"/>
          <w:sz w:val="24"/>
          <w:szCs w:val="24"/>
        </w:rPr>
        <w:t xml:space="preserve"> There are some steps which might help expedite any inquiry – or ensure that urgent questions are dealt with quickly:</w:t>
      </w:r>
    </w:p>
    <w:p w:rsidR="00A90E10" w:rsidRPr="00135444" w:rsidP="00823B95">
      <w:pPr>
        <w:pStyle w:val="ListParagraph"/>
        <w:numPr>
          <w:ilvl w:val="0"/>
          <w:numId w:val="28"/>
        </w:numPr>
        <w:rPr>
          <w:rFonts w:ascii="Minion Pro" w:hAnsi="Minion Pro"/>
          <w:sz w:val="24"/>
          <w:szCs w:val="24"/>
        </w:rPr>
      </w:pPr>
      <w:r w:rsidRPr="00135444">
        <w:rPr>
          <w:rFonts w:ascii="Minion Pro" w:hAnsi="Minion Pro"/>
          <w:b w:val="0"/>
          <w:bCs w:val="0"/>
          <w:sz w:val="24"/>
          <w:szCs w:val="24"/>
        </w:rPr>
        <w:t>There is</w:t>
      </w:r>
      <w:r w:rsidRPr="00135444">
        <w:rPr>
          <w:rFonts w:ascii="Minion Pro" w:hAnsi="Minion Pro"/>
          <w:b w:val="0"/>
          <w:bCs w:val="0"/>
          <w:sz w:val="24"/>
          <w:szCs w:val="24"/>
        </w:rPr>
        <w:t xml:space="preserve"> an urgent need to prepare for a potential second wave of the virus – including by drawing lessons from government’s response to date and our increased knowledge of the virus. To do this,</w:t>
      </w:r>
      <w:r w:rsidRPr="00135444">
        <w:rPr>
          <w:rFonts w:ascii="Minion Pro" w:hAnsi="Minion Pro"/>
          <w:b w:val="0"/>
          <w:bCs w:val="0"/>
          <w:sz w:val="24"/>
          <w:szCs w:val="24"/>
        </w:rPr>
        <w:t xml:space="preserve"> </w:t>
      </w:r>
      <w:r w:rsidRPr="00135444">
        <w:rPr>
          <w:rFonts w:ascii="Minion Pro" w:hAnsi="Minion Pro"/>
          <w:b w:val="0"/>
          <w:bCs w:val="0"/>
          <w:sz w:val="24"/>
          <w:szCs w:val="24"/>
        </w:rPr>
        <w:t>government should urgently establish a non-statutory</w:t>
      </w:r>
      <w:r w:rsidRPr="00135444">
        <w:rPr>
          <w:rFonts w:ascii="Minion Pro" w:hAnsi="Minion Pro"/>
          <w:b w:val="0"/>
          <w:bCs w:val="0"/>
          <w:sz w:val="24"/>
          <w:szCs w:val="24"/>
        </w:rPr>
        <w:t xml:space="preserve"> rapid review of</w:t>
      </w:r>
      <w:r w:rsidRPr="00135444">
        <w:rPr>
          <w:rFonts w:ascii="Minion Pro" w:hAnsi="Minion Pro"/>
          <w:b w:val="0"/>
          <w:bCs w:val="0"/>
          <w:sz w:val="24"/>
          <w:szCs w:val="24"/>
        </w:rPr>
        <w:t xml:space="preserve"> key questions in advance of a full inquiry to help the government prepare</w:t>
      </w:r>
      <w:r w:rsidRPr="00135444">
        <w:rPr>
          <w:rFonts w:ascii="Minion Pro" w:hAnsi="Minion Pro"/>
          <w:b w:val="0"/>
          <w:bCs w:val="0"/>
          <w:sz w:val="24"/>
          <w:szCs w:val="24"/>
        </w:rPr>
        <w:t xml:space="preserve"> for a second wave</w:t>
      </w:r>
      <w:r w:rsidRPr="00135444">
        <w:rPr>
          <w:rFonts w:ascii="Minion Pro" w:hAnsi="Minion Pro"/>
          <w:b w:val="0"/>
          <w:bCs w:val="0"/>
          <w:sz w:val="24"/>
          <w:szCs w:val="24"/>
        </w:rPr>
        <w:t>.</w:t>
      </w:r>
      <w:r>
        <w:rPr>
          <w:rStyle w:val="EndnoteReference"/>
          <w:rFonts w:ascii="Minion Pro" w:hAnsi="Minion Pro"/>
          <w:b w:val="0"/>
          <w:bCs w:val="0"/>
          <w:sz w:val="24"/>
          <w:szCs w:val="24"/>
        </w:rPr>
        <w:endnoteReference w:id="20"/>
      </w:r>
      <w:r w:rsidRPr="00135444">
        <w:rPr>
          <w:rFonts w:ascii="Minion Pro" w:hAnsi="Minion Pro"/>
          <w:b w:val="0"/>
          <w:bCs w:val="0"/>
          <w:sz w:val="24"/>
          <w:szCs w:val="24"/>
        </w:rPr>
        <w:t xml:space="preserve"> The interim report on the London Riots provides one model for this. </w:t>
      </w:r>
      <w:r>
        <w:rPr>
          <w:rStyle w:val="EndnoteReference"/>
          <w:rFonts w:ascii="Minion Pro" w:hAnsi="Minion Pro"/>
          <w:b w:val="0"/>
          <w:bCs w:val="0"/>
          <w:sz w:val="24"/>
          <w:szCs w:val="24"/>
        </w:rPr>
        <w:endnoteReference w:id="21"/>
      </w:r>
    </w:p>
    <w:p w:rsidR="00EB1945" w:rsidRPr="00135444" w:rsidP="00A90E10">
      <w:pPr>
        <w:pStyle w:val="ListParagraph"/>
        <w:numPr>
          <w:ilvl w:val="0"/>
          <w:numId w:val="28"/>
        </w:numPr>
        <w:rPr>
          <w:rFonts w:ascii="Minion Pro" w:hAnsi="Minion Pro"/>
          <w:b w:val="0"/>
          <w:bCs w:val="0"/>
          <w:sz w:val="24"/>
          <w:szCs w:val="24"/>
        </w:rPr>
      </w:pPr>
      <w:r w:rsidRPr="00135444">
        <w:rPr>
          <w:rFonts w:ascii="Minion Pro" w:hAnsi="Minion Pro"/>
          <w:b w:val="0"/>
          <w:bCs w:val="0"/>
          <w:sz w:val="24"/>
          <w:szCs w:val="24"/>
        </w:rPr>
        <w:t xml:space="preserve">The inquiry may benefit from modularisation – this has been done with large inquiries such as the </w:t>
      </w:r>
      <w:r w:rsidRPr="00135444">
        <w:rPr>
          <w:rFonts w:ascii="Minion Pro" w:hAnsi="Minion Pro"/>
          <w:b w:val="0"/>
          <w:bCs w:val="0"/>
          <w:sz w:val="24"/>
          <w:szCs w:val="24"/>
        </w:rPr>
        <w:t xml:space="preserve">Baha Mousa Inquiry and the </w:t>
      </w:r>
      <w:r w:rsidRPr="00135444">
        <w:rPr>
          <w:rFonts w:ascii="Minion Pro" w:hAnsi="Minion Pro"/>
          <w:b w:val="0"/>
          <w:bCs w:val="0"/>
          <w:sz w:val="24"/>
          <w:szCs w:val="24"/>
        </w:rPr>
        <w:t>Independent Inquiry into Child Sexual Abuse (IICSA)</w:t>
      </w:r>
      <w:r w:rsidRPr="00135444">
        <w:rPr>
          <w:rFonts w:ascii="Minion Pro" w:hAnsi="Minion Pro"/>
          <w:b w:val="0"/>
          <w:bCs w:val="0"/>
          <w:sz w:val="24"/>
          <w:szCs w:val="24"/>
        </w:rPr>
        <w:t xml:space="preserve"> to help manage the large volume of information.</w:t>
      </w:r>
      <w:r>
        <w:rPr>
          <w:rStyle w:val="EndnoteReference"/>
          <w:rFonts w:ascii="Minion Pro" w:hAnsi="Minion Pro"/>
          <w:b w:val="0"/>
          <w:bCs w:val="0"/>
          <w:sz w:val="24"/>
          <w:szCs w:val="24"/>
        </w:rPr>
        <w:endnoteReference w:id="22"/>
      </w:r>
      <w:r w:rsidRPr="00135444">
        <w:rPr>
          <w:rFonts w:ascii="Minion Pro" w:hAnsi="Minion Pro"/>
          <w:b w:val="0"/>
          <w:bCs w:val="0"/>
          <w:sz w:val="24"/>
          <w:szCs w:val="24"/>
        </w:rPr>
        <w:t xml:space="preserve"> This can be done if the questi</w:t>
      </w:r>
      <w:r w:rsidRPr="00135444">
        <w:rPr>
          <w:rFonts w:ascii="Minion Pro" w:hAnsi="Minion Pro"/>
          <w:b w:val="0"/>
          <w:bCs w:val="0"/>
          <w:sz w:val="24"/>
          <w:szCs w:val="24"/>
        </w:rPr>
        <w:t>ons that the inquiry seeks to answer are sufficiently discrete. In this case it may be possible to</w:t>
      </w:r>
      <w:r w:rsidRPr="00135444">
        <w:rPr>
          <w:rFonts w:ascii="Minion Pro" w:hAnsi="Minion Pro"/>
          <w:b w:val="0"/>
          <w:bCs w:val="0"/>
          <w:sz w:val="24"/>
          <w:szCs w:val="24"/>
        </w:rPr>
        <w:t>, for instance,</w:t>
      </w:r>
      <w:r w:rsidRPr="00135444">
        <w:rPr>
          <w:rFonts w:ascii="Minion Pro" w:hAnsi="Minion Pro"/>
          <w:b w:val="0"/>
          <w:bCs w:val="0"/>
          <w:sz w:val="24"/>
          <w:szCs w:val="24"/>
        </w:rPr>
        <w:t xml:space="preserve"> separate questions about what was known and how </w:t>
      </w:r>
      <w:r w:rsidRPr="00135444">
        <w:rPr>
          <w:rFonts w:ascii="Minion Pro" w:hAnsi="Minion Pro"/>
          <w:b w:val="0"/>
          <w:bCs w:val="0"/>
          <w:sz w:val="24"/>
          <w:szCs w:val="24"/>
        </w:rPr>
        <w:t xml:space="preserve">the government used that information to make decisions from </w:t>
      </w:r>
      <w:r w:rsidRPr="00135444">
        <w:rPr>
          <w:rFonts w:ascii="Minion Pro" w:hAnsi="Minion Pro"/>
          <w:b w:val="0"/>
          <w:bCs w:val="0"/>
          <w:sz w:val="24"/>
          <w:szCs w:val="24"/>
        </w:rPr>
        <w:t>questions about how healthcare was</w:t>
      </w:r>
      <w:r w:rsidRPr="00135444">
        <w:rPr>
          <w:rFonts w:ascii="Minion Pro" w:hAnsi="Minion Pro"/>
          <w:b w:val="0"/>
          <w:bCs w:val="0"/>
          <w:sz w:val="24"/>
          <w:szCs w:val="24"/>
        </w:rPr>
        <w:t xml:space="preserve"> delivered in hospitals during the crisis. The decision of how feasible it is to split up these questions, and how to do so, lies with the chair and their panel.</w:t>
      </w:r>
      <w:r>
        <w:rPr>
          <w:rStyle w:val="EndnoteReference"/>
          <w:rFonts w:ascii="Minion Pro" w:hAnsi="Minion Pro"/>
          <w:b w:val="0"/>
          <w:bCs w:val="0"/>
          <w:sz w:val="24"/>
          <w:szCs w:val="24"/>
        </w:rPr>
        <w:endnoteReference w:id="23"/>
      </w:r>
    </w:p>
    <w:p w:rsidR="00823B95" w:rsidRPr="00135444" w:rsidP="005218BB">
      <w:pPr>
        <w:pStyle w:val="ListParagraph"/>
        <w:numPr>
          <w:ilvl w:val="0"/>
          <w:numId w:val="6"/>
        </w:numPr>
        <w:rPr>
          <w:rFonts w:ascii="Minion Pro" w:hAnsi="Minion Pro"/>
          <w:b w:val="0"/>
          <w:bCs w:val="0"/>
          <w:sz w:val="24"/>
          <w:szCs w:val="24"/>
        </w:rPr>
      </w:pPr>
      <w:r w:rsidRPr="00135444">
        <w:rPr>
          <w:rFonts w:ascii="Minion Pro" w:hAnsi="Minion Pro"/>
          <w:b w:val="0"/>
          <w:bCs w:val="0"/>
          <w:sz w:val="24"/>
          <w:szCs w:val="24"/>
        </w:rPr>
        <w:t>The full inquiry should produce an interim report to share initial findings as quickly as pos</w:t>
      </w:r>
      <w:r w:rsidRPr="00135444">
        <w:rPr>
          <w:rFonts w:ascii="Minion Pro" w:hAnsi="Minion Pro"/>
          <w:b w:val="0"/>
          <w:bCs w:val="0"/>
          <w:sz w:val="24"/>
          <w:szCs w:val="24"/>
        </w:rPr>
        <w:t>sible – rather than holding back all material for a full and final report. Many inquiries have followed this model in the last decade (e.g. the Grenfell Inquiry and the Independent Inquiry into Child Sexual Abuse).</w:t>
      </w:r>
    </w:p>
    <w:p w:rsidR="006A444B" w:rsidRPr="00135444" w:rsidP="005218BB">
      <w:pPr>
        <w:pStyle w:val="ListParagraph"/>
        <w:numPr>
          <w:ilvl w:val="0"/>
          <w:numId w:val="6"/>
        </w:numPr>
        <w:rPr>
          <w:rFonts w:ascii="Minion Pro" w:hAnsi="Minion Pro"/>
          <w:b w:val="0"/>
          <w:bCs w:val="0"/>
          <w:sz w:val="24"/>
          <w:szCs w:val="24"/>
        </w:rPr>
      </w:pPr>
      <w:r w:rsidRPr="00135444">
        <w:rPr>
          <w:rFonts w:ascii="Minion Pro" w:hAnsi="Minion Pro"/>
          <w:b w:val="0"/>
          <w:bCs w:val="0"/>
          <w:sz w:val="24"/>
          <w:szCs w:val="24"/>
        </w:rPr>
        <w:t xml:space="preserve">Enlisting experienced </w:t>
      </w:r>
      <w:r w:rsidRPr="00135444">
        <w:rPr>
          <w:rFonts w:ascii="Minion Pro" w:hAnsi="Minion Pro"/>
          <w:b w:val="0"/>
          <w:bCs w:val="0"/>
          <w:sz w:val="24"/>
          <w:szCs w:val="24"/>
        </w:rPr>
        <w:t>staff</w:t>
      </w:r>
      <w:r w:rsidRPr="00135444">
        <w:rPr>
          <w:rFonts w:ascii="Minion Pro" w:hAnsi="Minion Pro"/>
          <w:b w:val="0"/>
          <w:bCs w:val="0"/>
          <w:sz w:val="24"/>
          <w:szCs w:val="24"/>
        </w:rPr>
        <w:t xml:space="preserve"> </w:t>
      </w:r>
      <w:r w:rsidRPr="00135444">
        <w:rPr>
          <w:rFonts w:ascii="Minion Pro" w:hAnsi="Minion Pro"/>
          <w:b w:val="0"/>
          <w:bCs w:val="0"/>
          <w:sz w:val="24"/>
          <w:szCs w:val="24"/>
        </w:rPr>
        <w:t>will help get</w:t>
      </w:r>
      <w:r w:rsidRPr="00135444">
        <w:rPr>
          <w:rFonts w:ascii="Minion Pro" w:hAnsi="Minion Pro"/>
          <w:b w:val="0"/>
          <w:bCs w:val="0"/>
          <w:sz w:val="24"/>
          <w:szCs w:val="24"/>
        </w:rPr>
        <w:t xml:space="preserve"> the inquiry up and running </w:t>
      </w:r>
      <w:r w:rsidRPr="00135444">
        <w:rPr>
          <w:rFonts w:ascii="Minion Pro" w:hAnsi="Minion Pro"/>
          <w:b w:val="0"/>
          <w:bCs w:val="0"/>
          <w:sz w:val="24"/>
          <w:szCs w:val="24"/>
        </w:rPr>
        <w:t>more quickly</w:t>
      </w:r>
      <w:r w:rsidRPr="00135444">
        <w:rPr>
          <w:rFonts w:ascii="Minion Pro" w:hAnsi="Minion Pro"/>
          <w:b w:val="0"/>
          <w:bCs w:val="0"/>
          <w:sz w:val="24"/>
          <w:szCs w:val="24"/>
        </w:rPr>
        <w:t xml:space="preserve"> – and should help it run </w:t>
      </w:r>
      <w:r w:rsidRPr="00135444">
        <w:rPr>
          <w:rFonts w:ascii="Minion Pro" w:hAnsi="Minion Pro"/>
          <w:b w:val="0"/>
          <w:bCs w:val="0"/>
          <w:sz w:val="24"/>
          <w:szCs w:val="24"/>
        </w:rPr>
        <w:t xml:space="preserve">as effectively as possible </w:t>
      </w:r>
      <w:r w:rsidRPr="00135444">
        <w:rPr>
          <w:rFonts w:ascii="Minion Pro" w:hAnsi="Minion Pro"/>
          <w:b w:val="0"/>
          <w:bCs w:val="0"/>
          <w:sz w:val="24"/>
          <w:szCs w:val="24"/>
        </w:rPr>
        <w:t>over time</w:t>
      </w:r>
      <w:r w:rsidRPr="00135444">
        <w:rPr>
          <w:rFonts w:ascii="Minion Pro" w:hAnsi="Minion Pro"/>
          <w:b w:val="0"/>
          <w:bCs w:val="0"/>
          <w:sz w:val="24"/>
          <w:szCs w:val="24"/>
        </w:rPr>
        <w:t xml:space="preserve">. </w:t>
      </w:r>
      <w:r w:rsidRPr="00135444">
        <w:rPr>
          <w:rFonts w:ascii="Minion Pro" w:hAnsi="Minion Pro"/>
          <w:b w:val="0"/>
          <w:bCs w:val="0"/>
          <w:sz w:val="24"/>
          <w:szCs w:val="24"/>
        </w:rPr>
        <w:t>Despite the number of inquiries that have been held, the</w:t>
      </w:r>
      <w:r w:rsidRPr="00135444">
        <w:rPr>
          <w:rFonts w:ascii="Minion Pro" w:hAnsi="Minion Pro"/>
          <w:b w:val="0"/>
          <w:bCs w:val="0"/>
          <w:sz w:val="24"/>
          <w:szCs w:val="24"/>
        </w:rPr>
        <w:t xml:space="preserve"> process of establishing them has been a trial-and-error process for many people involved</w:t>
      </w:r>
      <w:r w:rsidRPr="00135444">
        <w:rPr>
          <w:rFonts w:ascii="Minion Pro" w:hAnsi="Minion Pro"/>
          <w:b w:val="0"/>
          <w:bCs w:val="0"/>
          <w:sz w:val="24"/>
          <w:szCs w:val="24"/>
        </w:rPr>
        <w:t>. Chair</w:t>
      </w:r>
      <w:r w:rsidRPr="00135444">
        <w:rPr>
          <w:rFonts w:ascii="Minion Pro" w:hAnsi="Minion Pro"/>
          <w:b w:val="0"/>
          <w:bCs w:val="0"/>
          <w:sz w:val="24"/>
          <w:szCs w:val="24"/>
        </w:rPr>
        <w:t>s and secretaries of inquiries describe being ‘thrown in the deep end’ and spending long periods of time on basic organisational tasks such as securing premises and setting up IT.</w:t>
      </w:r>
      <w:r>
        <w:rPr>
          <w:rStyle w:val="EndnoteReference"/>
          <w:rFonts w:ascii="Minion Pro" w:hAnsi="Minion Pro"/>
          <w:b w:val="0"/>
          <w:bCs w:val="0"/>
          <w:sz w:val="24"/>
          <w:szCs w:val="24"/>
        </w:rPr>
        <w:endnoteReference w:id="24"/>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In order to avoid this situation for any coronavirus inquiry, the Cabinet </w:t>
      </w:r>
      <w:r w:rsidRPr="00135444">
        <w:rPr>
          <w:rFonts w:ascii="Minion Pro" w:hAnsi="Minion Pro"/>
          <w:b w:val="0"/>
          <w:bCs w:val="0"/>
          <w:sz w:val="24"/>
          <w:szCs w:val="24"/>
        </w:rPr>
        <w:t xml:space="preserve">Office Inquiries Unit should provide support and expertise on organisational set-up and </w:t>
      </w:r>
      <w:r w:rsidRPr="00135444">
        <w:rPr>
          <w:rFonts w:ascii="Minion Pro" w:hAnsi="Minion Pro"/>
          <w:b w:val="0"/>
          <w:bCs w:val="0"/>
          <w:sz w:val="24"/>
          <w:szCs w:val="24"/>
        </w:rPr>
        <w:t>the government</w:t>
      </w:r>
      <w:r w:rsidRPr="00135444">
        <w:rPr>
          <w:rFonts w:ascii="Minion Pro" w:hAnsi="Minion Pro"/>
          <w:b w:val="0"/>
          <w:bCs w:val="0"/>
          <w:sz w:val="24"/>
          <w:szCs w:val="24"/>
        </w:rPr>
        <w:t xml:space="preserve"> should</w:t>
      </w:r>
      <w:r w:rsidRPr="00135444">
        <w:rPr>
          <w:rFonts w:ascii="Minion Pro" w:hAnsi="Minion Pro"/>
          <w:b w:val="0"/>
          <w:bCs w:val="0"/>
          <w:sz w:val="24"/>
          <w:szCs w:val="24"/>
        </w:rPr>
        <w:t xml:space="preserve"> appoint at minimum a secretary, counsel and solicitor to the inquiry who </w:t>
      </w:r>
      <w:r w:rsidRPr="00135444">
        <w:rPr>
          <w:rFonts w:ascii="Minion Pro" w:hAnsi="Minion Pro"/>
          <w:b w:val="0"/>
          <w:bCs w:val="0"/>
          <w:sz w:val="24"/>
          <w:szCs w:val="24"/>
        </w:rPr>
        <w:t>all have previous experience of public inquiries</w:t>
      </w:r>
      <w:r w:rsidRPr="00135444">
        <w:rPr>
          <w:rFonts w:ascii="Minion Pro" w:hAnsi="Minion Pro"/>
          <w:b w:val="0"/>
          <w:bCs w:val="0"/>
          <w:sz w:val="24"/>
          <w:szCs w:val="24"/>
        </w:rPr>
        <w:t>.</w:t>
      </w:r>
    </w:p>
    <w:p w:rsidR="00241AD7" w:rsidRPr="00135444" w:rsidP="005218BB">
      <w:pPr>
        <w:pStyle w:val="ListParagraph"/>
        <w:numPr>
          <w:ilvl w:val="0"/>
          <w:numId w:val="6"/>
        </w:numPr>
        <w:rPr>
          <w:rFonts w:ascii="Minion Pro" w:hAnsi="Minion Pro"/>
          <w:b w:val="0"/>
          <w:bCs w:val="0"/>
          <w:sz w:val="24"/>
          <w:szCs w:val="24"/>
        </w:rPr>
      </w:pPr>
      <w:r w:rsidRPr="00135444">
        <w:rPr>
          <w:rFonts w:ascii="Minion Pro" w:hAnsi="Minion Pro"/>
          <w:b w:val="0"/>
          <w:bCs w:val="0"/>
          <w:sz w:val="24"/>
          <w:szCs w:val="24"/>
        </w:rPr>
        <w:t xml:space="preserve">Historically there has </w:t>
      </w:r>
      <w:r w:rsidRPr="00135444">
        <w:rPr>
          <w:rFonts w:ascii="Minion Pro" w:hAnsi="Minion Pro"/>
          <w:b w:val="0"/>
          <w:bCs w:val="0"/>
          <w:sz w:val="24"/>
          <w:szCs w:val="24"/>
        </w:rPr>
        <w:t>been a</w:t>
      </w:r>
      <w:r w:rsidRPr="00135444">
        <w:rPr>
          <w:rFonts w:ascii="Minion Pro" w:hAnsi="Minion Pro"/>
          <w:b w:val="0"/>
          <w:bCs w:val="0"/>
          <w:sz w:val="24"/>
          <w:szCs w:val="24"/>
        </w:rPr>
        <w:t xml:space="preserve"> lack of good guidance on how to set up and run an inquiry</w:t>
      </w:r>
      <w:r w:rsidRPr="00135444">
        <w:rPr>
          <w:rFonts w:ascii="Minion Pro" w:hAnsi="Minion Pro"/>
          <w:b w:val="0"/>
          <w:bCs w:val="0"/>
          <w:sz w:val="24"/>
          <w:szCs w:val="24"/>
        </w:rPr>
        <w:t xml:space="preserve">, </w:t>
      </w:r>
      <w:r w:rsidRPr="00135444">
        <w:rPr>
          <w:rFonts w:ascii="Minion Pro" w:hAnsi="Minion Pro"/>
          <w:b w:val="0"/>
          <w:bCs w:val="0"/>
          <w:sz w:val="24"/>
          <w:szCs w:val="24"/>
        </w:rPr>
        <w:t>this means that the process is often inefficient and slower than it should be</w:t>
      </w:r>
      <w:r w:rsidRPr="00135444">
        <w:rPr>
          <w:rFonts w:ascii="Minion Pro" w:hAnsi="Minion Pro"/>
          <w:b w:val="0"/>
          <w:bCs w:val="0"/>
          <w:sz w:val="24"/>
          <w:szCs w:val="24"/>
        </w:rPr>
        <w:t>.</w:t>
      </w:r>
      <w:r>
        <w:rPr>
          <w:rStyle w:val="EndnoteReference"/>
          <w:rFonts w:ascii="Minion Pro" w:hAnsi="Minion Pro"/>
          <w:b w:val="0"/>
          <w:bCs w:val="0"/>
          <w:sz w:val="24"/>
          <w:szCs w:val="24"/>
        </w:rPr>
        <w:endnoteReference w:id="25"/>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To support the </w:t>
      </w:r>
      <w:r w:rsidRPr="00135444">
        <w:rPr>
          <w:rFonts w:ascii="Minion Pro" w:hAnsi="Minion Pro"/>
          <w:b w:val="0"/>
          <w:bCs w:val="0"/>
          <w:sz w:val="24"/>
          <w:szCs w:val="24"/>
        </w:rPr>
        <w:t xml:space="preserve">speedy and effective </w:t>
      </w:r>
      <w:r w:rsidRPr="00135444">
        <w:rPr>
          <w:rFonts w:ascii="Minion Pro" w:hAnsi="Minion Pro"/>
          <w:b w:val="0"/>
          <w:bCs w:val="0"/>
          <w:sz w:val="24"/>
          <w:szCs w:val="24"/>
        </w:rPr>
        <w:t xml:space="preserve">establishment of the inquiry the government should also </w:t>
      </w:r>
      <w:r w:rsidRPr="00135444">
        <w:rPr>
          <w:rFonts w:ascii="Minion Pro" w:hAnsi="Minion Pro"/>
          <w:b w:val="0"/>
          <w:bCs w:val="0"/>
          <w:sz w:val="24"/>
          <w:szCs w:val="24"/>
        </w:rPr>
        <w:t>expedite the publication of the new Public Inquiry Guidelines, currently being drafted by the Cabinet Office</w:t>
      </w:r>
      <w:r w:rsidRPr="00135444">
        <w:rPr>
          <w:rFonts w:ascii="Minion Pro" w:hAnsi="Minion Pro"/>
          <w:b w:val="0"/>
          <w:bCs w:val="0"/>
          <w:sz w:val="24"/>
          <w:szCs w:val="24"/>
        </w:rPr>
        <w:t>.</w:t>
      </w:r>
    </w:p>
    <w:p w:rsidR="002E055C" w:rsidRPr="00135444" w:rsidP="002E055C">
      <w:pPr>
        <w:pStyle w:val="ListParagraph"/>
        <w:numPr>
          <w:ilvl w:val="0"/>
          <w:numId w:val="0"/>
        </w:numPr>
        <w:ind w:left="720"/>
        <w:rPr>
          <w:rFonts w:ascii="Minion Pro" w:hAnsi="Minion Pro"/>
          <w:b w:val="0"/>
          <w:bCs w:val="0"/>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3 - </w:t>
      </w:r>
      <w:r w:rsidRPr="00135444">
        <w:rPr>
          <w:rFonts w:ascii="Minion Pro" w:hAnsi="Minion Pro"/>
          <w:sz w:val="24"/>
          <w:szCs w:val="24"/>
        </w:rPr>
        <w:t>Should the purpose of the inquiry be on accountability or more forward-looking, focus</w:t>
      </w:r>
      <w:r w:rsidRPr="00135444">
        <w:rPr>
          <w:rFonts w:ascii="Minion Pro" w:hAnsi="Minion Pro"/>
          <w:sz w:val="24"/>
          <w:szCs w:val="24"/>
        </w:rPr>
        <w:t xml:space="preserve">ed on lesson learning and improving policy? </w:t>
      </w:r>
    </w:p>
    <w:p w:rsidR="00166407" w:rsidRPr="00135444" w:rsidP="004A2278">
      <w:pPr>
        <w:rPr>
          <w:rFonts w:ascii="Minion Pro" w:hAnsi="Minion Pro"/>
          <w:sz w:val="24"/>
          <w:szCs w:val="24"/>
        </w:rPr>
      </w:pPr>
      <w:r w:rsidRPr="00135444">
        <w:rPr>
          <w:rFonts w:ascii="Minion Pro" w:hAnsi="Minion Pro"/>
          <w:sz w:val="24"/>
          <w:szCs w:val="24"/>
        </w:rPr>
        <w:t xml:space="preserve">Every public inquiry </w:t>
      </w:r>
      <w:r w:rsidRPr="00135444">
        <w:rPr>
          <w:rFonts w:ascii="Minion Pro" w:hAnsi="Minion Pro"/>
          <w:sz w:val="24"/>
          <w:szCs w:val="24"/>
        </w:rPr>
        <w:t>must</w:t>
      </w:r>
      <w:r w:rsidRPr="00135444">
        <w:rPr>
          <w:rFonts w:ascii="Minion Pro" w:hAnsi="Minion Pro"/>
          <w:sz w:val="24"/>
          <w:szCs w:val="24"/>
        </w:rPr>
        <w:t xml:space="preserve"> satisfy three </w:t>
      </w:r>
      <w:r w:rsidRPr="00135444">
        <w:rPr>
          <w:rFonts w:ascii="Minion Pro" w:hAnsi="Minion Pro"/>
          <w:sz w:val="24"/>
          <w:szCs w:val="24"/>
        </w:rPr>
        <w:t>broad questions: what happened, who was responsible and how do we prevent this happening again?</w:t>
      </w:r>
      <w:r>
        <w:rPr>
          <w:rStyle w:val="EndnoteReference"/>
          <w:rFonts w:ascii="Minion Pro" w:hAnsi="Minion Pro"/>
          <w:sz w:val="24"/>
          <w:szCs w:val="24"/>
        </w:rPr>
        <w:endnoteReference w:id="26"/>
      </w:r>
      <w:r w:rsidRPr="00135444">
        <w:rPr>
          <w:rFonts w:ascii="Minion Pro" w:hAnsi="Minion Pro"/>
          <w:sz w:val="24"/>
          <w:szCs w:val="24"/>
        </w:rPr>
        <w:t xml:space="preserve"> </w:t>
      </w:r>
      <w:r w:rsidRPr="00135444">
        <w:rPr>
          <w:rFonts w:ascii="Minion Pro" w:hAnsi="Minion Pro"/>
          <w:sz w:val="24"/>
          <w:szCs w:val="24"/>
        </w:rPr>
        <w:t>The first two questions satisfy the issue of accountability, while the thi</w:t>
      </w:r>
      <w:r w:rsidRPr="00135444">
        <w:rPr>
          <w:rFonts w:ascii="Minion Pro" w:hAnsi="Minion Pro"/>
          <w:sz w:val="24"/>
          <w:szCs w:val="24"/>
        </w:rPr>
        <w:t xml:space="preserve">rd </w:t>
      </w:r>
      <w:r w:rsidRPr="00135444">
        <w:rPr>
          <w:rFonts w:ascii="Minion Pro" w:hAnsi="Minion Pro"/>
          <w:sz w:val="24"/>
          <w:szCs w:val="24"/>
        </w:rPr>
        <w:t xml:space="preserve">satisfies the need for learning and change. </w:t>
      </w:r>
      <w:r w:rsidRPr="00135444">
        <w:rPr>
          <w:rFonts w:ascii="Minion Pro" w:hAnsi="Minion Pro"/>
          <w:sz w:val="24"/>
          <w:szCs w:val="24"/>
        </w:rPr>
        <w:t>I</w:t>
      </w:r>
      <w:r w:rsidRPr="00135444">
        <w:rPr>
          <w:rFonts w:ascii="Minion Pro" w:hAnsi="Minion Pro"/>
          <w:sz w:val="24"/>
          <w:szCs w:val="24"/>
        </w:rPr>
        <w:t xml:space="preserve">t is </w:t>
      </w:r>
      <w:r w:rsidRPr="00135444">
        <w:rPr>
          <w:rFonts w:ascii="Minion Pro" w:hAnsi="Minion Pro"/>
          <w:sz w:val="24"/>
          <w:szCs w:val="24"/>
        </w:rPr>
        <w:t>challenging</w:t>
      </w:r>
      <w:r w:rsidRPr="00135444">
        <w:rPr>
          <w:rFonts w:ascii="Minion Pro" w:hAnsi="Minion Pro"/>
          <w:sz w:val="24"/>
          <w:szCs w:val="24"/>
        </w:rPr>
        <w:t xml:space="preserve"> to answer the third question without answering the first two –</w:t>
      </w:r>
      <w:r w:rsidRPr="00135444">
        <w:rPr>
          <w:rFonts w:ascii="Minion Pro" w:hAnsi="Minion Pro"/>
          <w:sz w:val="24"/>
          <w:szCs w:val="24"/>
        </w:rPr>
        <w:t xml:space="preserve"> </w:t>
      </w:r>
      <w:r w:rsidRPr="00135444">
        <w:rPr>
          <w:rFonts w:ascii="Minion Pro" w:hAnsi="Minion Pro"/>
          <w:sz w:val="24"/>
          <w:szCs w:val="24"/>
        </w:rPr>
        <w:t xml:space="preserve">any public inquiry must implicitly resolve the issue of accountability in order to </w:t>
      </w:r>
      <w:r w:rsidRPr="00135444">
        <w:rPr>
          <w:rFonts w:ascii="Minion Pro" w:hAnsi="Minion Pro"/>
          <w:sz w:val="24"/>
          <w:szCs w:val="24"/>
        </w:rPr>
        <w:t xml:space="preserve">address the issue of change. </w:t>
      </w:r>
    </w:p>
    <w:p w:rsidR="009765A0" w:rsidRPr="00135444" w:rsidP="004A2278">
      <w:pPr>
        <w:rPr>
          <w:rFonts w:ascii="Minion Pro" w:hAnsi="Minion Pro"/>
          <w:sz w:val="24"/>
          <w:szCs w:val="24"/>
        </w:rPr>
      </w:pPr>
      <w:r w:rsidRPr="00135444">
        <w:rPr>
          <w:rFonts w:ascii="Minion Pro" w:hAnsi="Minion Pro"/>
          <w:sz w:val="24"/>
          <w:szCs w:val="24"/>
        </w:rPr>
        <w:t>The Institute f</w:t>
      </w:r>
      <w:r w:rsidRPr="00135444">
        <w:rPr>
          <w:rFonts w:ascii="Minion Pro" w:hAnsi="Minion Pro"/>
          <w:sz w:val="24"/>
          <w:szCs w:val="24"/>
        </w:rPr>
        <w:t xml:space="preserve">or Government firmly believes that delivering lasting change is a crucial and </w:t>
      </w:r>
      <w:r w:rsidRPr="00135444">
        <w:rPr>
          <w:rFonts w:ascii="Minion Pro" w:hAnsi="Minion Pro"/>
          <w:sz w:val="24"/>
          <w:szCs w:val="24"/>
        </w:rPr>
        <w:t>inseparable purpose of every public inquiry.</w:t>
      </w:r>
      <w:r w:rsidRPr="00135444">
        <w:rPr>
          <w:rFonts w:ascii="Minion Pro" w:hAnsi="Minion Pro"/>
          <w:sz w:val="24"/>
          <w:szCs w:val="24"/>
        </w:rPr>
        <w:t xml:space="preserve"> </w:t>
      </w:r>
      <w:r w:rsidRPr="00135444">
        <w:rPr>
          <w:rFonts w:ascii="Minion Pro" w:hAnsi="Minion Pro"/>
          <w:sz w:val="24"/>
          <w:szCs w:val="24"/>
        </w:rPr>
        <w:t>As we have written previously:</w:t>
      </w:r>
    </w:p>
    <w:p w:rsidR="009765A0" w:rsidRPr="00135444" w:rsidP="009765A0">
      <w:pPr>
        <w:ind w:left="720"/>
        <w:rPr>
          <w:rFonts w:ascii="Minion Pro" w:hAnsi="Minion Pro"/>
          <w:sz w:val="24"/>
          <w:szCs w:val="24"/>
        </w:rPr>
      </w:pPr>
      <w:r w:rsidRPr="00135444">
        <w:rPr>
          <w:rFonts w:ascii="Minion Pro" w:hAnsi="Minion Pro"/>
          <w:i/>
          <w:iCs/>
          <w:sz w:val="24"/>
          <w:szCs w:val="24"/>
        </w:rPr>
        <w:t>I</w:t>
      </w:r>
      <w:r w:rsidRPr="00135444">
        <w:rPr>
          <w:rFonts w:ascii="Minion Pro" w:hAnsi="Minion Pro"/>
          <w:i/>
          <w:iCs/>
          <w:sz w:val="24"/>
          <w:szCs w:val="24"/>
        </w:rPr>
        <w:t xml:space="preserve">nquiries should also aim to change the systems that gave rise to the tragedies in the first </w:t>
      </w:r>
      <w:r w:rsidRPr="00135444">
        <w:rPr>
          <w:rFonts w:ascii="Minion Pro" w:hAnsi="Minion Pro"/>
          <w:i/>
          <w:iCs/>
          <w:sz w:val="24"/>
          <w:szCs w:val="24"/>
        </w:rPr>
        <w:t>place and to prevent recurrence. This objective – to be forward-looking, to improve government and public services, and to prevent the same mistakes from being made again – is the most important contribution that an inquiry can make to the wider public int</w:t>
      </w:r>
      <w:r w:rsidRPr="00135444">
        <w:rPr>
          <w:rFonts w:ascii="Minion Pro" w:hAnsi="Minion Pro"/>
          <w:i/>
          <w:iCs/>
          <w:sz w:val="24"/>
          <w:szCs w:val="24"/>
        </w:rPr>
        <w:t>erest. Government has itself argued that this is the key purpose of an inquiry</w:t>
      </w:r>
      <w:r>
        <w:rPr>
          <w:rStyle w:val="EndnoteReference"/>
          <w:rFonts w:ascii="Minion Pro" w:hAnsi="Minion Pro"/>
          <w:i/>
          <w:iCs/>
          <w:sz w:val="24"/>
          <w:szCs w:val="24"/>
        </w:rPr>
        <w:endnoteReference w:id="27"/>
      </w:r>
    </w:p>
    <w:p w:rsidR="008010AE" w:rsidRPr="00135444" w:rsidP="004A2278">
      <w:pPr>
        <w:rPr>
          <w:rFonts w:ascii="Minion Pro" w:hAnsi="Minion Pro"/>
          <w:sz w:val="24"/>
          <w:szCs w:val="24"/>
        </w:rPr>
      </w:pPr>
      <w:r w:rsidRPr="00135444">
        <w:rPr>
          <w:rFonts w:ascii="Minion Pro" w:hAnsi="Minion Pro"/>
          <w:sz w:val="24"/>
          <w:szCs w:val="24"/>
        </w:rPr>
        <w:t>Any inquiry into the coronavirus crisis should have a strong focus on lesson learning and policy improvement from the outset. This purpose should be explicit within the terms o</w:t>
      </w:r>
      <w:r w:rsidRPr="00135444">
        <w:rPr>
          <w:rFonts w:ascii="Minion Pro" w:hAnsi="Minion Pro"/>
          <w:sz w:val="24"/>
          <w:szCs w:val="24"/>
        </w:rPr>
        <w:t>f reference</w:t>
      </w:r>
      <w:r w:rsidRPr="00135444">
        <w:rPr>
          <w:rFonts w:ascii="Minion Pro" w:hAnsi="Minion Pro"/>
          <w:sz w:val="24"/>
          <w:szCs w:val="24"/>
        </w:rPr>
        <w:t>,</w:t>
      </w:r>
      <w:r w:rsidRPr="00135444">
        <w:rPr>
          <w:rFonts w:ascii="Minion Pro" w:hAnsi="Minion Pro"/>
          <w:sz w:val="24"/>
          <w:szCs w:val="24"/>
        </w:rPr>
        <w:t xml:space="preserve"> which should not only require the inquiry to make recommendations, but also describe the contours of an implementation process – including oversight – that will follow the investigatory phase of the inquiry.</w:t>
      </w:r>
      <w:r w:rsidRPr="00135444">
        <w:rPr>
          <w:rFonts w:ascii="Minion Pro" w:hAnsi="Minion Pro"/>
          <w:sz w:val="24"/>
          <w:szCs w:val="24"/>
        </w:rPr>
        <w:t xml:space="preserve"> This is not separate from accountab</w:t>
      </w:r>
      <w:r w:rsidRPr="00135444">
        <w:rPr>
          <w:rFonts w:ascii="Minion Pro" w:hAnsi="Minion Pro"/>
          <w:sz w:val="24"/>
          <w:szCs w:val="24"/>
        </w:rPr>
        <w:t>ility - learning is a crucial component of accountability.</w:t>
      </w:r>
      <w:r>
        <w:rPr>
          <w:rStyle w:val="EndnoteReference"/>
          <w:rFonts w:ascii="Minion Pro" w:hAnsi="Minion Pro"/>
          <w:sz w:val="24"/>
          <w:szCs w:val="24"/>
        </w:rPr>
        <w:endnoteReference w:id="28"/>
      </w:r>
    </w:p>
    <w:p w:rsidR="002E055C" w:rsidRPr="00135444" w:rsidP="004A2278">
      <w:pPr>
        <w:rPr>
          <w:rFonts w:ascii="Minion Pro" w:hAnsi="Minion Pro"/>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4 - </w:t>
      </w:r>
      <w:r w:rsidRPr="00135444">
        <w:rPr>
          <w:rFonts w:ascii="Minion Pro" w:hAnsi="Minion Pro"/>
          <w:sz w:val="24"/>
          <w:szCs w:val="24"/>
        </w:rPr>
        <w:t xml:space="preserve">How wide should the inquiry range? Should it include the devolved administrations?  </w:t>
      </w:r>
    </w:p>
    <w:p w:rsidR="00336398" w:rsidRPr="00135444" w:rsidP="001142C8">
      <w:pPr>
        <w:rPr>
          <w:rFonts w:ascii="Minion Pro" w:hAnsi="Minion Pro"/>
          <w:sz w:val="24"/>
          <w:szCs w:val="24"/>
        </w:rPr>
      </w:pPr>
      <w:r w:rsidRPr="00135444">
        <w:rPr>
          <w:rFonts w:ascii="Minion Pro" w:hAnsi="Minion Pro"/>
          <w:sz w:val="24"/>
          <w:szCs w:val="24"/>
        </w:rPr>
        <w:t xml:space="preserve">The inquiry should focus first and foremost on decision-making at the heart of government. Its remit should </w:t>
      </w:r>
      <w:r w:rsidRPr="00135444">
        <w:rPr>
          <w:rFonts w:ascii="Minion Pro" w:hAnsi="Minion Pro"/>
          <w:sz w:val="24"/>
          <w:szCs w:val="24"/>
        </w:rPr>
        <w:t>include what was known, how this information was used to make decisions, who was involved in that process, and how these decisions were then impleme</w:t>
      </w:r>
      <w:r w:rsidRPr="00135444">
        <w:rPr>
          <w:rFonts w:ascii="Minion Pro" w:hAnsi="Minion Pro"/>
          <w:sz w:val="24"/>
          <w:szCs w:val="24"/>
        </w:rPr>
        <w:t>nted and, crucially, communicated to the public.</w:t>
      </w:r>
    </w:p>
    <w:p w:rsidR="00B56142" w:rsidRPr="00135444" w:rsidP="004A2278">
      <w:pPr>
        <w:rPr>
          <w:rFonts w:ascii="Minion Pro" w:hAnsi="Minion Pro"/>
          <w:sz w:val="24"/>
          <w:szCs w:val="24"/>
        </w:rPr>
      </w:pPr>
      <w:r w:rsidRPr="00135444">
        <w:rPr>
          <w:rFonts w:ascii="Minion Pro" w:hAnsi="Minion Pro"/>
          <w:sz w:val="24"/>
          <w:szCs w:val="24"/>
        </w:rPr>
        <w:t xml:space="preserve">Given the </w:t>
      </w:r>
      <w:r w:rsidRPr="00135444">
        <w:rPr>
          <w:rFonts w:ascii="Minion Pro" w:hAnsi="Minion Pro"/>
          <w:sz w:val="24"/>
          <w:szCs w:val="24"/>
        </w:rPr>
        <w:t>UK</w:t>
      </w:r>
      <w:r w:rsidRPr="00135444">
        <w:rPr>
          <w:rFonts w:ascii="Minion Pro" w:hAnsi="Minion Pro"/>
          <w:sz w:val="24"/>
          <w:szCs w:val="24"/>
        </w:rPr>
        <w:t>-wide scope of the crisis it makes sense for a</w:t>
      </w:r>
      <w:r w:rsidRPr="00135444">
        <w:rPr>
          <w:rFonts w:ascii="Minion Pro" w:hAnsi="Minion Pro"/>
          <w:sz w:val="24"/>
          <w:szCs w:val="24"/>
        </w:rPr>
        <w:t>ny</w:t>
      </w:r>
      <w:r w:rsidRPr="00135444">
        <w:rPr>
          <w:rFonts w:ascii="Minion Pro" w:hAnsi="Minion Pro"/>
          <w:sz w:val="24"/>
          <w:szCs w:val="24"/>
        </w:rPr>
        <w:t xml:space="preserve"> inquiry to be given a remit that covers the whole of the UK. It should be able to call ministers from the devolved administrations – both to give </w:t>
      </w:r>
      <w:r w:rsidRPr="00135444">
        <w:rPr>
          <w:rFonts w:ascii="Minion Pro" w:hAnsi="Minion Pro"/>
          <w:sz w:val="24"/>
          <w:szCs w:val="24"/>
        </w:rPr>
        <w:t xml:space="preserve">evidence on the actions they took and their experience of working with the </w:t>
      </w:r>
      <w:r w:rsidRPr="00135444">
        <w:rPr>
          <w:rFonts w:ascii="Minion Pro" w:hAnsi="Minion Pro"/>
          <w:sz w:val="24"/>
          <w:szCs w:val="24"/>
        </w:rPr>
        <w:t>UK government</w:t>
      </w:r>
      <w:r w:rsidRPr="00135444">
        <w:rPr>
          <w:rFonts w:ascii="Minion Pro" w:hAnsi="Minion Pro"/>
          <w:sz w:val="24"/>
          <w:szCs w:val="24"/>
        </w:rPr>
        <w:t>.</w:t>
      </w:r>
      <w:r w:rsidRPr="00135444">
        <w:rPr>
          <w:rFonts w:ascii="Minion Pro" w:hAnsi="Minion Pro"/>
          <w:sz w:val="24"/>
          <w:szCs w:val="24"/>
        </w:rPr>
        <w:t xml:space="preserve"> </w:t>
      </w:r>
      <w:r w:rsidRPr="00135444">
        <w:rPr>
          <w:rFonts w:ascii="Minion Pro" w:hAnsi="Minion Pro"/>
          <w:sz w:val="24"/>
          <w:szCs w:val="24"/>
        </w:rPr>
        <w:t>The inquiry should consider how well the UK government worked with the devolved administrations throughout the crisis.</w:t>
      </w:r>
    </w:p>
    <w:p w:rsidR="001653C4" w:rsidRPr="00135444" w:rsidP="007439A5">
      <w:pPr>
        <w:rPr>
          <w:rFonts w:ascii="Minion Pro" w:hAnsi="Minion Pro"/>
          <w:sz w:val="24"/>
          <w:szCs w:val="24"/>
        </w:rPr>
      </w:pPr>
      <w:r w:rsidRPr="00135444">
        <w:rPr>
          <w:rFonts w:ascii="Minion Pro" w:hAnsi="Minion Pro"/>
          <w:sz w:val="24"/>
          <w:szCs w:val="24"/>
        </w:rPr>
        <w:t xml:space="preserve">It would </w:t>
      </w:r>
      <w:r w:rsidRPr="00135444">
        <w:rPr>
          <w:rFonts w:ascii="Minion Pro" w:hAnsi="Minion Pro"/>
          <w:sz w:val="24"/>
          <w:szCs w:val="24"/>
        </w:rPr>
        <w:t xml:space="preserve">arguably </w:t>
      </w:r>
      <w:r w:rsidRPr="00135444">
        <w:rPr>
          <w:rFonts w:ascii="Minion Pro" w:hAnsi="Minion Pro"/>
          <w:sz w:val="24"/>
          <w:szCs w:val="24"/>
        </w:rPr>
        <w:t>be inappropriate for the UK g</w:t>
      </w:r>
      <w:r w:rsidRPr="00135444">
        <w:rPr>
          <w:rFonts w:ascii="Minion Pro" w:hAnsi="Minion Pro"/>
          <w:sz w:val="24"/>
          <w:szCs w:val="24"/>
        </w:rPr>
        <w:t>overnment to establish an inquiry into the decisions and actions</w:t>
      </w:r>
      <w:r w:rsidRPr="00135444">
        <w:rPr>
          <w:rFonts w:ascii="Minion Pro" w:hAnsi="Minion Pro"/>
          <w:sz w:val="24"/>
          <w:szCs w:val="24"/>
        </w:rPr>
        <w:t xml:space="preserve"> made by </w:t>
      </w:r>
      <w:r w:rsidRPr="00135444">
        <w:rPr>
          <w:rFonts w:ascii="Minion Pro" w:hAnsi="Minion Pro"/>
          <w:sz w:val="24"/>
          <w:szCs w:val="24"/>
        </w:rPr>
        <w:t>a</w:t>
      </w:r>
      <w:r w:rsidRPr="00135444">
        <w:rPr>
          <w:rFonts w:ascii="Minion Pro" w:hAnsi="Minion Pro"/>
          <w:sz w:val="24"/>
          <w:szCs w:val="24"/>
        </w:rPr>
        <w:t xml:space="preserve"> devolved </w:t>
      </w:r>
      <w:r w:rsidRPr="00135444">
        <w:rPr>
          <w:rFonts w:ascii="Minion Pro" w:hAnsi="Minion Pro"/>
          <w:sz w:val="24"/>
          <w:szCs w:val="24"/>
        </w:rPr>
        <w:t>administration</w:t>
      </w:r>
      <w:r w:rsidRPr="00135444">
        <w:rPr>
          <w:rFonts w:ascii="Minion Pro" w:hAnsi="Minion Pro"/>
          <w:sz w:val="24"/>
          <w:szCs w:val="24"/>
        </w:rPr>
        <w:t xml:space="preserve">. Especially when many of the most pertinent questions sit in reserved </w:t>
      </w:r>
      <w:r w:rsidRPr="00135444">
        <w:rPr>
          <w:rFonts w:ascii="Minion Pro" w:hAnsi="Minion Pro"/>
          <w:sz w:val="24"/>
          <w:szCs w:val="24"/>
        </w:rPr>
        <w:t>areas.</w:t>
      </w:r>
      <w:r w:rsidRPr="00135444">
        <w:rPr>
          <w:rFonts w:ascii="Minion Pro" w:hAnsi="Minion Pro"/>
          <w:sz w:val="24"/>
          <w:szCs w:val="24"/>
        </w:rPr>
        <w:t xml:space="preserve"> </w:t>
      </w:r>
      <w:r w:rsidRPr="00135444">
        <w:rPr>
          <w:rFonts w:ascii="Minion Pro" w:hAnsi="Minion Pro"/>
          <w:sz w:val="24"/>
          <w:szCs w:val="24"/>
        </w:rPr>
        <w:t xml:space="preserve">An inquiry should focus on </w:t>
      </w:r>
      <w:r w:rsidRPr="00135444">
        <w:rPr>
          <w:rFonts w:ascii="Minion Pro" w:hAnsi="Minion Pro"/>
          <w:sz w:val="24"/>
          <w:szCs w:val="24"/>
        </w:rPr>
        <w:t>questions where the UK government has been responsibl</w:t>
      </w:r>
      <w:r w:rsidRPr="00135444">
        <w:rPr>
          <w:rFonts w:ascii="Minion Pro" w:hAnsi="Minion Pro"/>
          <w:sz w:val="24"/>
          <w:szCs w:val="24"/>
        </w:rPr>
        <w:t xml:space="preserve">e for coordinating a UK-wide response. </w:t>
      </w:r>
      <w:r w:rsidRPr="00135444">
        <w:rPr>
          <w:rFonts w:ascii="Minion Pro" w:hAnsi="Minion Pro"/>
          <w:sz w:val="24"/>
          <w:szCs w:val="24"/>
        </w:rPr>
        <w:t xml:space="preserve">For example: </w:t>
      </w:r>
      <w:r w:rsidRPr="00135444">
        <w:rPr>
          <w:rFonts w:ascii="Minion Pro" w:hAnsi="Minion Pro"/>
          <w:sz w:val="24"/>
          <w:szCs w:val="24"/>
        </w:rPr>
        <w:t xml:space="preserve">procurement of PPE and ventilators, </w:t>
      </w:r>
      <w:r w:rsidRPr="00135444">
        <w:rPr>
          <w:rFonts w:ascii="Minion Pro" w:hAnsi="Minion Pro"/>
          <w:sz w:val="24"/>
          <w:szCs w:val="24"/>
        </w:rPr>
        <w:t xml:space="preserve">and the development of novel </w:t>
      </w:r>
      <w:r w:rsidRPr="00135444">
        <w:rPr>
          <w:rFonts w:ascii="Minion Pro" w:hAnsi="Minion Pro"/>
          <w:sz w:val="24"/>
          <w:szCs w:val="24"/>
        </w:rPr>
        <w:t>testing capacity</w:t>
      </w:r>
      <w:r w:rsidRPr="00135444">
        <w:rPr>
          <w:rFonts w:ascii="Minion Pro" w:hAnsi="Minion Pro"/>
          <w:sz w:val="24"/>
          <w:szCs w:val="24"/>
        </w:rPr>
        <w:t xml:space="preserve">. </w:t>
      </w:r>
      <w:r w:rsidRPr="00135444">
        <w:rPr>
          <w:rFonts w:ascii="Minion Pro" w:hAnsi="Minion Pro"/>
          <w:sz w:val="24"/>
          <w:szCs w:val="24"/>
        </w:rPr>
        <w:t>For decisions such as the timing of lockdowns and the enforcement of social distancing rules, where the devolved governme</w:t>
      </w:r>
      <w:r w:rsidRPr="00135444">
        <w:rPr>
          <w:rFonts w:ascii="Minion Pro" w:hAnsi="Minion Pro"/>
          <w:sz w:val="24"/>
          <w:szCs w:val="24"/>
        </w:rPr>
        <w:t xml:space="preserve">nts have </w:t>
      </w:r>
      <w:r w:rsidRPr="00135444">
        <w:rPr>
          <w:rFonts w:ascii="Minion Pro" w:hAnsi="Minion Pro"/>
          <w:sz w:val="24"/>
          <w:szCs w:val="24"/>
        </w:rPr>
        <w:t>responsibility, it would make sense for them to conduct their own inquiries.</w:t>
      </w:r>
    </w:p>
    <w:p w:rsidR="002E055C" w:rsidRPr="00135444" w:rsidP="007439A5">
      <w:pPr>
        <w:rPr>
          <w:rFonts w:ascii="Minion Pro" w:hAnsi="Minion Pro"/>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5 - </w:t>
      </w:r>
      <w:r w:rsidRPr="00135444">
        <w:rPr>
          <w:rFonts w:ascii="Minion Pro" w:hAnsi="Minion Pro"/>
          <w:sz w:val="24"/>
          <w:szCs w:val="24"/>
        </w:rPr>
        <w:t xml:space="preserve">What experience and qualities should the Chair have? </w:t>
      </w:r>
    </w:p>
    <w:p w:rsidR="000321C9" w:rsidRPr="00135444" w:rsidP="004A2278">
      <w:pPr>
        <w:rPr>
          <w:rFonts w:ascii="Minion Pro" w:hAnsi="Minion Pro"/>
          <w:sz w:val="24"/>
          <w:szCs w:val="24"/>
        </w:rPr>
      </w:pPr>
      <w:r w:rsidRPr="00135444">
        <w:rPr>
          <w:rFonts w:ascii="Minion Pro" w:hAnsi="Minion Pro"/>
          <w:sz w:val="24"/>
          <w:szCs w:val="24"/>
        </w:rPr>
        <w:t>Public inquiries have a had a range of chairs over the years</w:t>
      </w:r>
      <w:r w:rsidRPr="00135444">
        <w:rPr>
          <w:rFonts w:ascii="Minion Pro" w:hAnsi="Minion Pro"/>
          <w:sz w:val="24"/>
          <w:szCs w:val="24"/>
        </w:rPr>
        <w:t xml:space="preserve">. </w:t>
      </w:r>
      <w:r w:rsidRPr="00135444">
        <w:rPr>
          <w:rFonts w:ascii="Minion Pro" w:hAnsi="Minion Pro"/>
          <w:sz w:val="24"/>
          <w:szCs w:val="24"/>
        </w:rPr>
        <w:t>There have been at least 74 public</w:t>
      </w:r>
      <w:r w:rsidRPr="00135444">
        <w:rPr>
          <w:rFonts w:ascii="Minion Pro" w:hAnsi="Minion Pro"/>
          <w:sz w:val="24"/>
          <w:szCs w:val="24"/>
        </w:rPr>
        <w:t xml:space="preserve"> </w:t>
      </w:r>
      <w:r w:rsidRPr="00135444">
        <w:rPr>
          <w:rFonts w:ascii="Minion Pro" w:hAnsi="Minion Pro"/>
          <w:sz w:val="24"/>
          <w:szCs w:val="24"/>
        </w:rPr>
        <w:t>inquiries since 1990</w:t>
      </w:r>
      <w:r w:rsidRPr="00135444">
        <w:rPr>
          <w:rFonts w:ascii="Minion Pro" w:hAnsi="Minion Pro"/>
          <w:sz w:val="24"/>
          <w:szCs w:val="24"/>
        </w:rPr>
        <w:t xml:space="preserve">, with at least </w:t>
      </w:r>
      <w:r w:rsidRPr="00135444">
        <w:rPr>
          <w:rFonts w:ascii="Minion Pro" w:hAnsi="Minion Pro"/>
          <w:sz w:val="24"/>
          <w:szCs w:val="24"/>
        </w:rPr>
        <w:t>70 different</w:t>
      </w:r>
      <w:r w:rsidRPr="00135444">
        <w:rPr>
          <w:rFonts w:ascii="Minion Pro" w:hAnsi="Minion Pro"/>
          <w:sz w:val="24"/>
          <w:szCs w:val="24"/>
        </w:rPr>
        <w:t xml:space="preserve"> people serving </w:t>
      </w:r>
      <w:r w:rsidRPr="00135444">
        <w:rPr>
          <w:rFonts w:ascii="Minion Pro" w:hAnsi="Minion Pro"/>
          <w:sz w:val="24"/>
          <w:szCs w:val="24"/>
        </w:rPr>
        <w:t>as chair</w:t>
      </w:r>
      <w:r w:rsidRPr="00135444">
        <w:rPr>
          <w:rFonts w:ascii="Minion Pro" w:hAnsi="Minion Pro"/>
          <w:sz w:val="24"/>
          <w:szCs w:val="24"/>
        </w:rPr>
        <w:t xml:space="preserve"> to one or more inquiries</w:t>
      </w:r>
      <w:r w:rsidRPr="00135444">
        <w:rPr>
          <w:rFonts w:ascii="Minion Pro" w:hAnsi="Minion Pro"/>
          <w:sz w:val="24"/>
          <w:szCs w:val="24"/>
        </w:rPr>
        <w:t>.</w:t>
      </w:r>
      <w:r>
        <w:rPr>
          <w:rStyle w:val="FootnoteReference"/>
          <w:rFonts w:ascii="Minion Pro" w:hAnsi="Minion Pro"/>
          <w:sz w:val="24"/>
          <w:szCs w:val="24"/>
        </w:rPr>
        <w:footnoteReference w:id="3"/>
      </w:r>
      <w:r w:rsidRPr="00135444">
        <w:rPr>
          <w:rFonts w:ascii="Minion Pro" w:hAnsi="Minion Pro"/>
          <w:sz w:val="24"/>
          <w:szCs w:val="24"/>
        </w:rPr>
        <w:t xml:space="preserve"> </w:t>
      </w:r>
      <w:r w:rsidRPr="00135444">
        <w:rPr>
          <w:rFonts w:ascii="Minion Pro" w:hAnsi="Minion Pro"/>
          <w:sz w:val="24"/>
          <w:szCs w:val="24"/>
        </w:rPr>
        <w:t xml:space="preserve">Two thirds of all chairs have been </w:t>
      </w:r>
      <w:r w:rsidRPr="00135444">
        <w:rPr>
          <w:rFonts w:ascii="Minion Pro" w:hAnsi="Minion Pro"/>
          <w:sz w:val="24"/>
          <w:szCs w:val="24"/>
        </w:rPr>
        <w:t xml:space="preserve">current or former </w:t>
      </w:r>
      <w:r w:rsidRPr="00135444">
        <w:rPr>
          <w:rFonts w:ascii="Minion Pro" w:hAnsi="Minion Pro"/>
          <w:sz w:val="24"/>
          <w:szCs w:val="24"/>
        </w:rPr>
        <w:t xml:space="preserve">judges, </w:t>
      </w:r>
      <w:r w:rsidRPr="00135444">
        <w:rPr>
          <w:rFonts w:ascii="Minion Pro" w:hAnsi="Minion Pro"/>
          <w:sz w:val="24"/>
          <w:szCs w:val="24"/>
        </w:rPr>
        <w:t>and a quarter have been barristers. The remaining 10% (7/70) have</w:t>
      </w:r>
      <w:r w:rsidRPr="00135444">
        <w:rPr>
          <w:rFonts w:ascii="Minion Pro" w:hAnsi="Minion Pro"/>
          <w:sz w:val="24"/>
          <w:szCs w:val="24"/>
        </w:rPr>
        <w:t xml:space="preserve"> other backgrounds including: </w:t>
      </w:r>
      <w:r w:rsidRPr="00135444">
        <w:rPr>
          <w:rFonts w:ascii="Minion Pro" w:hAnsi="Minion Pro"/>
          <w:sz w:val="24"/>
          <w:szCs w:val="24"/>
        </w:rPr>
        <w:t xml:space="preserve">scientists, accountants, social workers, </w:t>
      </w:r>
      <w:r w:rsidRPr="00135444">
        <w:rPr>
          <w:rFonts w:ascii="Minion Pro" w:hAnsi="Minion Pro"/>
          <w:sz w:val="24"/>
          <w:szCs w:val="24"/>
        </w:rPr>
        <w:t xml:space="preserve">civil servants, engineers, and clergy. </w:t>
      </w:r>
      <w:r w:rsidRPr="00135444">
        <w:rPr>
          <w:rFonts w:ascii="Minion Pro" w:hAnsi="Minion Pro"/>
          <w:sz w:val="24"/>
          <w:szCs w:val="24"/>
        </w:rPr>
        <w:t>It is important that the government takes time to identify the right chair.</w:t>
      </w:r>
    </w:p>
    <w:p w:rsidR="00F81645" w:rsidRPr="00135444" w:rsidP="00F81645">
      <w:pPr>
        <w:rPr>
          <w:rFonts w:ascii="Minion Pro" w:hAnsi="Minion Pro"/>
          <w:sz w:val="24"/>
          <w:szCs w:val="24"/>
        </w:rPr>
      </w:pPr>
      <w:r w:rsidRPr="00135444">
        <w:rPr>
          <w:rFonts w:ascii="Minion Pro" w:hAnsi="Minion Pro"/>
          <w:sz w:val="24"/>
          <w:szCs w:val="24"/>
        </w:rPr>
        <w:t>Current or former judges are well-suited for this role, they are skilled investigators and have a we</w:t>
      </w:r>
      <w:r w:rsidRPr="00135444">
        <w:rPr>
          <w:rFonts w:ascii="Minion Pro" w:hAnsi="Minion Pro"/>
          <w:sz w:val="24"/>
          <w:szCs w:val="24"/>
        </w:rPr>
        <w:t xml:space="preserve">alth of experience piecing together historical events from fragmentary, often contradictory evidence. </w:t>
      </w:r>
      <w:r w:rsidRPr="00135444">
        <w:rPr>
          <w:rFonts w:ascii="Minion Pro" w:hAnsi="Minion Pro"/>
          <w:sz w:val="24"/>
          <w:szCs w:val="24"/>
        </w:rPr>
        <w:t>They also</w:t>
      </w:r>
      <w:r w:rsidRPr="00135444">
        <w:rPr>
          <w:rFonts w:ascii="Minion Pro" w:hAnsi="Minion Pro"/>
          <w:sz w:val="24"/>
          <w:szCs w:val="24"/>
        </w:rPr>
        <w:t xml:space="preserve"> take an oath of office that requires them to be politically neutral</w:t>
      </w:r>
      <w:r w:rsidRPr="00135444">
        <w:rPr>
          <w:rFonts w:ascii="Minion Pro" w:hAnsi="Minion Pro"/>
          <w:sz w:val="24"/>
          <w:szCs w:val="24"/>
        </w:rPr>
        <w:t xml:space="preserve"> and</w:t>
      </w:r>
      <w:r w:rsidRPr="00135444">
        <w:rPr>
          <w:rFonts w:ascii="Minion Pro" w:hAnsi="Minion Pro"/>
          <w:sz w:val="24"/>
          <w:szCs w:val="24"/>
        </w:rPr>
        <w:t xml:space="preserve"> </w:t>
      </w:r>
      <w:r w:rsidRPr="00135444">
        <w:rPr>
          <w:rFonts w:ascii="Minion Pro" w:hAnsi="Minion Pro"/>
          <w:sz w:val="24"/>
          <w:szCs w:val="24"/>
        </w:rPr>
        <w:t>j</w:t>
      </w:r>
      <w:r w:rsidRPr="00135444">
        <w:rPr>
          <w:rFonts w:ascii="Minion Pro" w:hAnsi="Minion Pro"/>
          <w:sz w:val="24"/>
          <w:szCs w:val="24"/>
        </w:rPr>
        <w:t>udicial chairs have stood by this principle in all recent inquiries. Ju</w:t>
      </w:r>
      <w:r w:rsidRPr="00135444">
        <w:rPr>
          <w:rFonts w:ascii="Minion Pro" w:hAnsi="Minion Pro"/>
          <w:sz w:val="24"/>
          <w:szCs w:val="24"/>
        </w:rPr>
        <w:t xml:space="preserve">dges are also relatively easy to appoint – the government </w:t>
      </w:r>
      <w:r w:rsidRPr="00135444">
        <w:rPr>
          <w:rFonts w:ascii="Minion Pro" w:hAnsi="Minion Pro"/>
          <w:sz w:val="24"/>
          <w:szCs w:val="24"/>
        </w:rPr>
        <w:t>can simply</w:t>
      </w:r>
      <w:r w:rsidRPr="00135444">
        <w:rPr>
          <w:rFonts w:ascii="Minion Pro" w:hAnsi="Minion Pro"/>
          <w:sz w:val="24"/>
          <w:szCs w:val="24"/>
        </w:rPr>
        <w:t xml:space="preserve"> </w:t>
      </w:r>
      <w:r w:rsidRPr="00135444">
        <w:rPr>
          <w:rFonts w:ascii="Minion Pro" w:hAnsi="Minion Pro"/>
          <w:sz w:val="24"/>
          <w:szCs w:val="24"/>
        </w:rPr>
        <w:t xml:space="preserve">ask for a recommendation from the </w:t>
      </w:r>
      <w:r w:rsidRPr="00135444">
        <w:rPr>
          <w:rFonts w:ascii="Minion Pro" w:hAnsi="Minion Pro"/>
          <w:sz w:val="24"/>
          <w:szCs w:val="24"/>
        </w:rPr>
        <w:t>Lord Chief Justice.</w:t>
      </w:r>
      <w:r w:rsidRPr="00135444">
        <w:rPr>
          <w:rFonts w:ascii="Minion Pro" w:hAnsi="Minion Pro"/>
          <w:sz w:val="24"/>
          <w:szCs w:val="24"/>
        </w:rPr>
        <w:t xml:space="preserve"> </w:t>
      </w:r>
      <w:r w:rsidRPr="00135444">
        <w:rPr>
          <w:rFonts w:ascii="Minion Pro" w:hAnsi="Minion Pro"/>
          <w:sz w:val="24"/>
          <w:szCs w:val="24"/>
        </w:rPr>
        <w:t xml:space="preserve"> </w:t>
      </w:r>
      <w:r w:rsidRPr="00135444">
        <w:rPr>
          <w:rFonts w:ascii="Minion Pro" w:hAnsi="Minion Pro"/>
          <w:sz w:val="24"/>
          <w:szCs w:val="24"/>
        </w:rPr>
        <w:t xml:space="preserve"> </w:t>
      </w:r>
    </w:p>
    <w:p w:rsidR="00B75085" w:rsidRPr="00135444" w:rsidP="00823B95">
      <w:pPr>
        <w:spacing w:after="160"/>
        <w:rPr>
          <w:rFonts w:ascii="Minion Pro" w:hAnsi="Minion Pro"/>
          <w:sz w:val="24"/>
          <w:szCs w:val="24"/>
        </w:rPr>
      </w:pPr>
      <w:r w:rsidRPr="00135444">
        <w:rPr>
          <w:rFonts w:ascii="Minion Pro" w:hAnsi="Minion Pro"/>
          <w:sz w:val="24"/>
          <w:szCs w:val="24"/>
        </w:rPr>
        <w:t>However</w:t>
      </w:r>
      <w:r w:rsidRPr="00135444">
        <w:rPr>
          <w:rFonts w:ascii="Minion Pro" w:hAnsi="Minion Pro"/>
          <w:sz w:val="24"/>
          <w:szCs w:val="24"/>
        </w:rPr>
        <w:t xml:space="preserve">, </w:t>
      </w:r>
      <w:r w:rsidRPr="00135444">
        <w:rPr>
          <w:rFonts w:ascii="Minion Pro" w:hAnsi="Minion Pro"/>
          <w:sz w:val="24"/>
          <w:szCs w:val="24"/>
        </w:rPr>
        <w:t xml:space="preserve">one possible downside of appointing a judge is that – quite rightly, by nature of their training and experience - judges </w:t>
      </w:r>
      <w:r w:rsidRPr="00135444">
        <w:rPr>
          <w:rFonts w:ascii="Minion Pro" w:hAnsi="Minion Pro"/>
          <w:sz w:val="24"/>
          <w:szCs w:val="24"/>
        </w:rPr>
        <w:t>tend to see the end of an inquiry as a hard point of separation, after which their involvement ceases. However, such a wall between an inquiry and its aftermath can mean inquiries lose one of the most effective advocates for their recommendations.</w:t>
      </w:r>
      <w:r w:rsidRPr="00135444">
        <w:rPr>
          <w:rFonts w:ascii="Minion Pro" w:hAnsi="Minion Pro"/>
          <w:sz w:val="24"/>
          <w:szCs w:val="24"/>
        </w:rPr>
        <w:t xml:space="preserve"> </w:t>
      </w:r>
    </w:p>
    <w:p w:rsidR="00602298" w:rsidRPr="00135444" w:rsidP="00F81645">
      <w:pPr>
        <w:rPr>
          <w:rFonts w:ascii="Minion Pro" w:hAnsi="Minion Pro"/>
          <w:sz w:val="24"/>
          <w:szCs w:val="24"/>
        </w:rPr>
      </w:pPr>
      <w:r w:rsidRPr="00135444">
        <w:rPr>
          <w:rFonts w:ascii="Minion Pro" w:hAnsi="Minion Pro"/>
          <w:sz w:val="24"/>
          <w:szCs w:val="24"/>
        </w:rPr>
        <w:t>In some</w:t>
      </w:r>
      <w:r w:rsidRPr="00135444">
        <w:rPr>
          <w:rFonts w:ascii="Minion Pro" w:hAnsi="Minion Pro"/>
          <w:sz w:val="24"/>
          <w:szCs w:val="24"/>
        </w:rPr>
        <w:t xml:space="preserve"> cases, non-judicial chairs have had more continued involvement</w:t>
      </w:r>
      <w:r w:rsidRPr="00135444">
        <w:rPr>
          <w:rFonts w:ascii="Minion Pro" w:hAnsi="Minion Pro"/>
          <w:sz w:val="24"/>
          <w:szCs w:val="24"/>
        </w:rPr>
        <w:t xml:space="preserve"> </w:t>
      </w:r>
      <w:r w:rsidRPr="00135444">
        <w:rPr>
          <w:rFonts w:ascii="Minion Pro" w:hAnsi="Minion Pro"/>
          <w:sz w:val="24"/>
          <w:szCs w:val="24"/>
        </w:rPr>
        <w:t>– treating their report and its recommendations as a beginning, rather than an end in itself</w:t>
      </w:r>
      <w:r w:rsidRPr="00135444">
        <w:rPr>
          <w:rFonts w:ascii="Minion Pro" w:hAnsi="Minion Pro"/>
          <w:sz w:val="24"/>
          <w:szCs w:val="24"/>
        </w:rPr>
        <w:t xml:space="preserve">. </w:t>
      </w:r>
      <w:r w:rsidRPr="00135444">
        <w:rPr>
          <w:rFonts w:ascii="Minion Pro" w:hAnsi="Minion Pro"/>
          <w:sz w:val="24"/>
          <w:szCs w:val="24"/>
        </w:rPr>
        <w:t xml:space="preserve">For instance, Baron Laming, a former social worker who chaired the inquiry into the death of </w:t>
      </w:r>
      <w:r w:rsidRPr="00135444">
        <w:rPr>
          <w:rFonts w:ascii="Minion Pro" w:hAnsi="Minion Pro"/>
          <w:sz w:val="24"/>
          <w:szCs w:val="24"/>
        </w:rPr>
        <w:t>Victoria Climbié and the Review of Child Protection in the wake of the Baby P case, developed detailed implementation plans as part of his roles and</w:t>
      </w:r>
      <w:r w:rsidRPr="00135444">
        <w:rPr>
          <w:rFonts w:ascii="Minion Pro" w:hAnsi="Minion Pro"/>
          <w:sz w:val="24"/>
          <w:szCs w:val="24"/>
        </w:rPr>
        <w:t xml:space="preserve"> </w:t>
      </w:r>
      <w:r w:rsidRPr="00135444">
        <w:rPr>
          <w:rFonts w:ascii="Minion Pro" w:hAnsi="Minion Pro"/>
          <w:sz w:val="24"/>
          <w:szCs w:val="24"/>
        </w:rPr>
        <w:t xml:space="preserve">Lord </w:t>
      </w:r>
      <w:r w:rsidRPr="00135444">
        <w:rPr>
          <w:rFonts w:ascii="Minion Pro" w:hAnsi="Minion Pro"/>
          <w:sz w:val="24"/>
          <w:szCs w:val="24"/>
        </w:rPr>
        <w:t>Bichard</w:t>
      </w:r>
      <w:r w:rsidRPr="00135444">
        <w:rPr>
          <w:rFonts w:ascii="Minion Pro" w:hAnsi="Minion Pro"/>
          <w:sz w:val="24"/>
          <w:szCs w:val="24"/>
        </w:rPr>
        <w:t xml:space="preserve"> informally </w:t>
      </w:r>
      <w:r w:rsidRPr="00135444">
        <w:rPr>
          <w:rFonts w:ascii="Minion Pro" w:hAnsi="Minion Pro"/>
          <w:sz w:val="24"/>
          <w:szCs w:val="24"/>
        </w:rPr>
        <w:t>reconvene</w:t>
      </w:r>
      <w:r w:rsidRPr="00135444">
        <w:rPr>
          <w:rFonts w:ascii="Minion Pro" w:hAnsi="Minion Pro"/>
          <w:sz w:val="24"/>
          <w:szCs w:val="24"/>
        </w:rPr>
        <w:t>d</w:t>
      </w:r>
      <w:r w:rsidRPr="00135444">
        <w:rPr>
          <w:rFonts w:ascii="Minion Pro" w:hAnsi="Minion Pro"/>
          <w:sz w:val="24"/>
          <w:szCs w:val="24"/>
        </w:rPr>
        <w:t xml:space="preserve"> his inquiry into </w:t>
      </w:r>
      <w:r w:rsidRPr="00135444">
        <w:rPr>
          <w:rFonts w:ascii="Minion Pro" w:hAnsi="Minion Pro"/>
          <w:sz w:val="24"/>
          <w:szCs w:val="24"/>
        </w:rPr>
        <w:t>the Soham Murders six months after the publication of h</w:t>
      </w:r>
      <w:r w:rsidRPr="00135444">
        <w:rPr>
          <w:rFonts w:ascii="Minion Pro" w:hAnsi="Minion Pro"/>
          <w:sz w:val="24"/>
          <w:szCs w:val="24"/>
        </w:rPr>
        <w:t>is report</w:t>
      </w:r>
      <w:r w:rsidRPr="00135444">
        <w:rPr>
          <w:rFonts w:ascii="Minion Pro" w:hAnsi="Minion Pro"/>
          <w:sz w:val="24"/>
          <w:szCs w:val="24"/>
        </w:rPr>
        <w:t>.</w:t>
      </w:r>
      <w:r>
        <w:rPr>
          <w:rStyle w:val="EndnoteReference"/>
          <w:rFonts w:ascii="Minion Pro" w:hAnsi="Minion Pro"/>
          <w:sz w:val="24"/>
          <w:szCs w:val="24"/>
        </w:rPr>
        <w:endnoteReference w:id="29"/>
      </w:r>
      <w:r w:rsidRPr="00135444">
        <w:rPr>
          <w:rFonts w:ascii="Minion Pro" w:hAnsi="Minion Pro"/>
          <w:sz w:val="24"/>
          <w:szCs w:val="24"/>
        </w:rPr>
        <w:t xml:space="preserve"> </w:t>
      </w:r>
    </w:p>
    <w:p w:rsidR="00F91726" w:rsidRPr="00135444" w:rsidP="00F81645">
      <w:pPr>
        <w:rPr>
          <w:rFonts w:ascii="Minion Pro" w:hAnsi="Minion Pro"/>
          <w:sz w:val="24"/>
          <w:szCs w:val="24"/>
        </w:rPr>
      </w:pPr>
      <w:r w:rsidRPr="00135444">
        <w:rPr>
          <w:rFonts w:ascii="Minion Pro" w:hAnsi="Minion Pro"/>
          <w:sz w:val="24"/>
          <w:szCs w:val="24"/>
        </w:rPr>
        <w:t>Non-judicial chairs may also bring more domain expertise</w:t>
      </w:r>
      <w:r w:rsidRPr="00135444">
        <w:rPr>
          <w:rFonts w:ascii="Minion Pro" w:hAnsi="Minion Pro"/>
          <w:sz w:val="24"/>
          <w:szCs w:val="24"/>
        </w:rPr>
        <w:t xml:space="preserve"> and a focus on implementation</w:t>
      </w:r>
      <w:r w:rsidRPr="00135444">
        <w:rPr>
          <w:rFonts w:ascii="Minion Pro" w:hAnsi="Minion Pro"/>
          <w:sz w:val="24"/>
          <w:szCs w:val="24"/>
        </w:rPr>
        <w:t xml:space="preserve">, but </w:t>
      </w:r>
      <w:r w:rsidRPr="00135444">
        <w:rPr>
          <w:rFonts w:ascii="Minion Pro" w:hAnsi="Minion Pro"/>
          <w:sz w:val="24"/>
          <w:szCs w:val="24"/>
        </w:rPr>
        <w:t>can lack</w:t>
      </w:r>
      <w:r w:rsidRPr="00135444">
        <w:rPr>
          <w:rFonts w:ascii="Minion Pro" w:hAnsi="Minion Pro"/>
          <w:sz w:val="24"/>
          <w:szCs w:val="24"/>
        </w:rPr>
        <w:t xml:space="preserve"> a judge’s investigative skills</w:t>
      </w:r>
      <w:r w:rsidRPr="00135444">
        <w:rPr>
          <w:rFonts w:ascii="Minion Pro" w:hAnsi="Minion Pro"/>
          <w:sz w:val="24"/>
          <w:szCs w:val="24"/>
        </w:rPr>
        <w:t>, experience of running hearings and other benefits</w:t>
      </w:r>
      <w:r w:rsidRPr="00135444">
        <w:rPr>
          <w:rFonts w:ascii="Minion Pro" w:hAnsi="Minion Pro"/>
          <w:sz w:val="24"/>
          <w:szCs w:val="24"/>
        </w:rPr>
        <w:t>. This is a balance that the government will need to weigh wh</w:t>
      </w:r>
      <w:r w:rsidRPr="00135444">
        <w:rPr>
          <w:rFonts w:ascii="Minion Pro" w:hAnsi="Minion Pro"/>
          <w:sz w:val="24"/>
          <w:szCs w:val="24"/>
        </w:rPr>
        <w:t>en selecting a chair.</w:t>
      </w:r>
    </w:p>
    <w:p w:rsidR="00443C55" w:rsidRPr="00135444" w:rsidP="00447120">
      <w:pPr>
        <w:rPr>
          <w:rFonts w:ascii="Minion Pro" w:hAnsi="Minion Pro"/>
          <w:sz w:val="24"/>
          <w:szCs w:val="24"/>
        </w:rPr>
      </w:pPr>
      <w:r w:rsidRPr="00135444">
        <w:rPr>
          <w:rFonts w:ascii="Minion Pro" w:hAnsi="Minion Pro"/>
          <w:sz w:val="24"/>
          <w:szCs w:val="24"/>
        </w:rPr>
        <w:t>A</w:t>
      </w:r>
      <w:r w:rsidRPr="00135444">
        <w:rPr>
          <w:rFonts w:ascii="Minion Pro" w:hAnsi="Minion Pro"/>
          <w:sz w:val="24"/>
          <w:szCs w:val="24"/>
        </w:rPr>
        <w:t xml:space="preserve">ny chair selected to lead an inquiry </w:t>
      </w:r>
      <w:r w:rsidRPr="00135444">
        <w:rPr>
          <w:rFonts w:ascii="Minion Pro" w:hAnsi="Minion Pro"/>
          <w:sz w:val="24"/>
          <w:szCs w:val="24"/>
        </w:rPr>
        <w:t>must</w:t>
      </w:r>
      <w:r w:rsidRPr="00135444">
        <w:rPr>
          <w:rFonts w:ascii="Minion Pro" w:hAnsi="Minion Pro"/>
          <w:sz w:val="24"/>
          <w:szCs w:val="24"/>
        </w:rPr>
        <w:t xml:space="preserve"> possess impartiality</w:t>
      </w:r>
      <w:r w:rsidRPr="00135444">
        <w:rPr>
          <w:rFonts w:ascii="Minion Pro" w:hAnsi="Minion Pro"/>
          <w:sz w:val="24"/>
          <w:szCs w:val="24"/>
        </w:rPr>
        <w:t xml:space="preserve"> and</w:t>
      </w:r>
      <w:r w:rsidRPr="00135444">
        <w:rPr>
          <w:rFonts w:ascii="Minion Pro" w:hAnsi="Minion Pro"/>
          <w:sz w:val="24"/>
          <w:szCs w:val="24"/>
        </w:rPr>
        <w:t xml:space="preserve"> independence</w:t>
      </w:r>
      <w:r w:rsidRPr="00135444">
        <w:rPr>
          <w:rFonts w:ascii="Minion Pro" w:hAnsi="Minion Pro"/>
          <w:sz w:val="24"/>
          <w:szCs w:val="24"/>
        </w:rPr>
        <w:t xml:space="preserve">. </w:t>
      </w:r>
      <w:r w:rsidRPr="00135444">
        <w:rPr>
          <w:rFonts w:ascii="Minion Pro" w:hAnsi="Minion Pro"/>
          <w:sz w:val="24"/>
          <w:szCs w:val="24"/>
        </w:rPr>
        <w:t>These qualities are more important than any specific domain knowledge that a chair might need</w:t>
      </w:r>
      <w:r w:rsidRPr="00135444">
        <w:rPr>
          <w:rFonts w:ascii="Minion Pro" w:hAnsi="Minion Pro"/>
          <w:sz w:val="24"/>
          <w:szCs w:val="24"/>
        </w:rPr>
        <w:t>, which</w:t>
      </w:r>
      <w:r w:rsidRPr="00135444">
        <w:rPr>
          <w:rFonts w:ascii="Minion Pro" w:hAnsi="Minion Pro"/>
          <w:sz w:val="24"/>
          <w:szCs w:val="24"/>
        </w:rPr>
        <w:t xml:space="preserve"> can be met by the appointment of a panel and other </w:t>
      </w:r>
      <w:r w:rsidRPr="00135444">
        <w:rPr>
          <w:rFonts w:ascii="Minion Pro" w:hAnsi="Minion Pro"/>
          <w:sz w:val="24"/>
          <w:szCs w:val="24"/>
        </w:rPr>
        <w:t xml:space="preserve">technical assessors. </w:t>
      </w:r>
      <w:r w:rsidRPr="00135444">
        <w:rPr>
          <w:rFonts w:ascii="Minion Pro" w:hAnsi="Minion Pro"/>
          <w:sz w:val="24"/>
          <w:szCs w:val="24"/>
        </w:rPr>
        <w:t>G</w:t>
      </w:r>
      <w:r w:rsidRPr="00135444">
        <w:rPr>
          <w:rFonts w:ascii="Minion Pro" w:hAnsi="Minion Pro"/>
          <w:sz w:val="24"/>
          <w:szCs w:val="24"/>
        </w:rPr>
        <w:t xml:space="preserve">iven the </w:t>
      </w:r>
      <w:r w:rsidRPr="00135444">
        <w:rPr>
          <w:rFonts w:ascii="Minion Pro" w:hAnsi="Minion Pro"/>
          <w:sz w:val="24"/>
          <w:szCs w:val="24"/>
        </w:rPr>
        <w:t xml:space="preserve">very difficult </w:t>
      </w:r>
      <w:r w:rsidRPr="00135444">
        <w:rPr>
          <w:rFonts w:ascii="Minion Pro" w:hAnsi="Minion Pro"/>
          <w:sz w:val="24"/>
          <w:szCs w:val="24"/>
        </w:rPr>
        <w:t xml:space="preserve">nature of the questions that an inquiry into the government’s response to </w:t>
      </w:r>
      <w:r w:rsidRPr="00135444">
        <w:rPr>
          <w:rFonts w:ascii="Minion Pro" w:hAnsi="Minion Pro"/>
          <w:sz w:val="24"/>
          <w:szCs w:val="24"/>
        </w:rPr>
        <w:t>coronavirus will likely have to consider</w:t>
      </w:r>
      <w:r w:rsidRPr="00135444">
        <w:rPr>
          <w:rFonts w:ascii="Minion Pro" w:hAnsi="Minion Pro"/>
          <w:sz w:val="24"/>
          <w:szCs w:val="24"/>
        </w:rPr>
        <w:t>,</w:t>
      </w:r>
      <w:r w:rsidRPr="00135444">
        <w:rPr>
          <w:rFonts w:ascii="Minion Pro" w:hAnsi="Minion Pro"/>
          <w:sz w:val="24"/>
          <w:szCs w:val="24"/>
        </w:rPr>
        <w:t xml:space="preserve"> </w:t>
      </w:r>
      <w:r w:rsidRPr="00135444">
        <w:rPr>
          <w:rFonts w:ascii="Minion Pro" w:hAnsi="Minion Pro"/>
          <w:sz w:val="24"/>
          <w:szCs w:val="24"/>
        </w:rPr>
        <w:t xml:space="preserve">it is imperative that </w:t>
      </w:r>
      <w:r w:rsidRPr="00135444">
        <w:rPr>
          <w:rFonts w:ascii="Minion Pro" w:hAnsi="Minion Pro"/>
          <w:sz w:val="24"/>
          <w:szCs w:val="24"/>
        </w:rPr>
        <w:t xml:space="preserve">the chair </w:t>
      </w:r>
      <w:r w:rsidRPr="00135444">
        <w:rPr>
          <w:rFonts w:ascii="Minion Pro" w:hAnsi="Minion Pro"/>
          <w:sz w:val="24"/>
          <w:szCs w:val="24"/>
        </w:rPr>
        <w:t>is considered an independent actor</w:t>
      </w:r>
      <w:r w:rsidRPr="00135444">
        <w:rPr>
          <w:rFonts w:ascii="Minion Pro" w:hAnsi="Minion Pro"/>
          <w:sz w:val="24"/>
          <w:szCs w:val="24"/>
        </w:rPr>
        <w:t xml:space="preserve">. </w:t>
      </w:r>
    </w:p>
    <w:p w:rsidR="009C2D46" w:rsidRPr="00135444" w:rsidP="009C2D46">
      <w:pPr>
        <w:rPr>
          <w:rFonts w:ascii="Minion Pro" w:hAnsi="Minion Pro"/>
          <w:sz w:val="24"/>
          <w:szCs w:val="24"/>
        </w:rPr>
      </w:pPr>
      <w:r w:rsidRPr="00135444">
        <w:rPr>
          <w:rFonts w:ascii="Minion Pro" w:hAnsi="Minion Pro"/>
          <w:sz w:val="24"/>
          <w:szCs w:val="24"/>
        </w:rPr>
        <w:t>In addition to their role</w:t>
      </w:r>
      <w:r w:rsidRPr="00135444">
        <w:rPr>
          <w:rFonts w:ascii="Minion Pro" w:hAnsi="Minion Pro"/>
          <w:sz w:val="24"/>
          <w:szCs w:val="24"/>
        </w:rPr>
        <w:t xml:space="preserve"> as investigators, chairs are also charged with a powerful moral authority</w:t>
      </w:r>
      <w:r w:rsidRPr="00135444">
        <w:rPr>
          <w:rFonts w:ascii="Minion Pro" w:hAnsi="Minion Pro"/>
          <w:sz w:val="24"/>
          <w:szCs w:val="24"/>
        </w:rPr>
        <w:t>. It is vital that any chair is capable of empathising with the victims of the crisis</w:t>
      </w:r>
      <w:r w:rsidRPr="00135444">
        <w:rPr>
          <w:rFonts w:ascii="Minion Pro" w:hAnsi="Minion Pro"/>
          <w:sz w:val="24"/>
          <w:szCs w:val="24"/>
        </w:rPr>
        <w:t xml:space="preserve"> and</w:t>
      </w:r>
      <w:r w:rsidRPr="00135444">
        <w:rPr>
          <w:rFonts w:ascii="Minion Pro" w:hAnsi="Minion Pro"/>
          <w:sz w:val="24"/>
          <w:szCs w:val="24"/>
        </w:rPr>
        <w:t xml:space="preserve"> </w:t>
      </w:r>
      <w:r w:rsidRPr="00135444">
        <w:rPr>
          <w:rFonts w:ascii="Minion Pro" w:hAnsi="Minion Pro"/>
          <w:sz w:val="24"/>
          <w:szCs w:val="24"/>
        </w:rPr>
        <w:t xml:space="preserve">articulating their loss. </w:t>
      </w:r>
    </w:p>
    <w:p w:rsidR="00242269" w:rsidRPr="00135444" w:rsidP="009C2D46">
      <w:pPr>
        <w:rPr>
          <w:rFonts w:ascii="Minion Pro" w:hAnsi="Minion Pro"/>
          <w:sz w:val="24"/>
          <w:szCs w:val="24"/>
        </w:rPr>
      </w:pPr>
    </w:p>
    <w:p w:rsidR="00541C48" w:rsidRPr="00135444" w:rsidP="00447120">
      <w:pPr>
        <w:pStyle w:val="Heading2"/>
        <w:rPr>
          <w:rFonts w:ascii="Minion Pro" w:hAnsi="Minion Pro"/>
          <w:sz w:val="24"/>
          <w:szCs w:val="24"/>
        </w:rPr>
      </w:pPr>
      <w:r w:rsidRPr="00135444">
        <w:rPr>
          <w:rFonts w:ascii="Minion Pro" w:hAnsi="Minion Pro"/>
          <w:sz w:val="24"/>
          <w:szCs w:val="24"/>
        </w:rPr>
        <w:t xml:space="preserve">6 - </w:t>
      </w:r>
      <w:r w:rsidRPr="00135444">
        <w:rPr>
          <w:rFonts w:ascii="Minion Pro" w:hAnsi="Minion Pro"/>
          <w:sz w:val="24"/>
          <w:szCs w:val="24"/>
        </w:rPr>
        <w:t>Should the Chair be supported by a panel? If so, what knowled</w:t>
      </w:r>
      <w:r w:rsidRPr="00135444">
        <w:rPr>
          <w:rFonts w:ascii="Minion Pro" w:hAnsi="Minion Pro"/>
          <w:sz w:val="24"/>
          <w:szCs w:val="24"/>
        </w:rPr>
        <w:t xml:space="preserve">ge and experience must the panel include? </w:t>
      </w:r>
    </w:p>
    <w:p w:rsidR="00CE651C" w:rsidRPr="00135444" w:rsidP="00CE651C">
      <w:pPr>
        <w:rPr>
          <w:rFonts w:ascii="Minion Pro" w:hAnsi="Minion Pro"/>
          <w:sz w:val="24"/>
          <w:szCs w:val="24"/>
        </w:rPr>
      </w:pPr>
      <w:r w:rsidRPr="00135444">
        <w:rPr>
          <w:rFonts w:ascii="Minion Pro" w:hAnsi="Minion Pro"/>
          <w:sz w:val="24"/>
          <w:szCs w:val="24"/>
        </w:rPr>
        <w:t xml:space="preserve">Any inquiry into this crisis would benefit from being led by a panel. </w:t>
      </w:r>
      <w:r w:rsidRPr="00135444">
        <w:rPr>
          <w:rFonts w:ascii="Minion Pro" w:hAnsi="Minion Pro"/>
          <w:sz w:val="24"/>
          <w:szCs w:val="24"/>
        </w:rPr>
        <w:t>There is plenty of precedent for this</w:t>
      </w:r>
      <w:r w:rsidRPr="00135444">
        <w:rPr>
          <w:rFonts w:ascii="Minion Pro" w:hAnsi="Minion Pro"/>
          <w:sz w:val="24"/>
          <w:szCs w:val="24"/>
        </w:rPr>
        <w:t xml:space="preserve">, the BSE Inquiry, the Butler Review, the Iraq Inquiry and the RHI Inquiry </w:t>
      </w:r>
      <w:r w:rsidRPr="00135444">
        <w:rPr>
          <w:rFonts w:ascii="Minion Pro" w:hAnsi="Minion Pro"/>
          <w:sz w:val="24"/>
          <w:szCs w:val="24"/>
        </w:rPr>
        <w:t xml:space="preserve">are </w:t>
      </w:r>
      <w:r w:rsidRPr="00135444">
        <w:rPr>
          <w:rFonts w:ascii="Minion Pro" w:hAnsi="Minion Pro"/>
          <w:sz w:val="24"/>
          <w:szCs w:val="24"/>
        </w:rPr>
        <w:t xml:space="preserve">comparable </w:t>
      </w:r>
      <w:r w:rsidRPr="00135444">
        <w:rPr>
          <w:rFonts w:ascii="Minion Pro" w:hAnsi="Minion Pro"/>
          <w:sz w:val="24"/>
          <w:szCs w:val="24"/>
        </w:rPr>
        <w:t>inquiries</w:t>
      </w:r>
      <w:r w:rsidRPr="00135444">
        <w:rPr>
          <w:rFonts w:ascii="Minion Pro" w:hAnsi="Minion Pro"/>
          <w:sz w:val="24"/>
          <w:szCs w:val="24"/>
        </w:rPr>
        <w:t xml:space="preserve"> which had panels</w:t>
      </w:r>
      <w:r w:rsidRPr="00135444">
        <w:rPr>
          <w:rFonts w:ascii="Minion Pro" w:hAnsi="Minion Pro"/>
          <w:sz w:val="24"/>
          <w:szCs w:val="24"/>
        </w:rPr>
        <w:t>.</w:t>
      </w:r>
      <w:r>
        <w:rPr>
          <w:rStyle w:val="FootnoteReference"/>
          <w:rFonts w:ascii="Minion Pro" w:hAnsi="Minion Pro"/>
          <w:sz w:val="24"/>
          <w:szCs w:val="24"/>
        </w:rPr>
        <w:footnoteReference w:id="4"/>
      </w:r>
      <w:r w:rsidRPr="00135444">
        <w:rPr>
          <w:rFonts w:ascii="Minion Pro" w:hAnsi="Minion Pro"/>
          <w:sz w:val="24"/>
          <w:szCs w:val="24"/>
        </w:rPr>
        <w:t xml:space="preserve"> </w:t>
      </w:r>
      <w:r w:rsidRPr="00135444">
        <w:rPr>
          <w:rFonts w:ascii="Minion Pro" w:hAnsi="Minion Pro"/>
          <w:sz w:val="24"/>
          <w:szCs w:val="24"/>
        </w:rPr>
        <w:t>These panels broadened the expertise around the c</w:t>
      </w:r>
      <w:r w:rsidRPr="00135444">
        <w:rPr>
          <w:rFonts w:ascii="Minion Pro" w:hAnsi="Minion Pro"/>
          <w:sz w:val="24"/>
          <w:szCs w:val="24"/>
        </w:rPr>
        <w:t>hair. In the case of the BSE inquiry this meant adding a civil servant and geneticist to support the judicial chair with</w:t>
      </w:r>
      <w:r w:rsidRPr="00135444">
        <w:rPr>
          <w:rFonts w:ascii="Minion Pro" w:hAnsi="Minion Pro"/>
          <w:sz w:val="24"/>
          <w:szCs w:val="24"/>
        </w:rPr>
        <w:t xml:space="preserve"> a deeper understanding of how government operates and the</w:t>
      </w:r>
      <w:r w:rsidRPr="00135444">
        <w:rPr>
          <w:rFonts w:ascii="Minion Pro" w:hAnsi="Minion Pro"/>
          <w:sz w:val="24"/>
          <w:szCs w:val="24"/>
        </w:rPr>
        <w:t xml:space="preserve"> science of disease. For the </w:t>
      </w:r>
      <w:r w:rsidRPr="00135444">
        <w:rPr>
          <w:rFonts w:ascii="Minion Pro" w:hAnsi="Minion Pro"/>
          <w:sz w:val="24"/>
          <w:szCs w:val="24"/>
        </w:rPr>
        <w:t>Iraq</w:t>
      </w:r>
      <w:r w:rsidRPr="00135444">
        <w:rPr>
          <w:rFonts w:ascii="Minion Pro" w:hAnsi="Minion Pro"/>
          <w:sz w:val="24"/>
          <w:szCs w:val="24"/>
        </w:rPr>
        <w:t xml:space="preserve"> inquiry </w:t>
      </w:r>
      <w:r w:rsidRPr="00135444">
        <w:rPr>
          <w:rFonts w:ascii="Minion Pro" w:hAnsi="Minion Pro"/>
          <w:sz w:val="24"/>
          <w:szCs w:val="24"/>
        </w:rPr>
        <w:t xml:space="preserve">the panellists included </w:t>
      </w:r>
      <w:r w:rsidRPr="00135444">
        <w:rPr>
          <w:rFonts w:ascii="Minion Pro" w:hAnsi="Minion Pro"/>
          <w:sz w:val="24"/>
          <w:szCs w:val="24"/>
        </w:rPr>
        <w:t xml:space="preserve">two historians, </w:t>
      </w:r>
      <w:r w:rsidRPr="00135444">
        <w:rPr>
          <w:rFonts w:ascii="Minion Pro" w:hAnsi="Minion Pro"/>
          <w:sz w:val="24"/>
          <w:szCs w:val="24"/>
        </w:rPr>
        <w:t xml:space="preserve">a former senior diplomat, and </w:t>
      </w:r>
      <w:r w:rsidRPr="00135444">
        <w:rPr>
          <w:rFonts w:ascii="Minion Pro" w:hAnsi="Minion Pro"/>
          <w:sz w:val="24"/>
          <w:szCs w:val="24"/>
        </w:rPr>
        <w:t xml:space="preserve">crossbench peer. </w:t>
      </w:r>
      <w:r w:rsidRPr="00135444">
        <w:rPr>
          <w:rFonts w:ascii="Minion Pro" w:hAnsi="Minion Pro"/>
          <w:sz w:val="24"/>
          <w:szCs w:val="24"/>
        </w:rPr>
        <w:t>Sir John Chilcot, the chair, commented favourably on the benefits of a panel for this type of inquiry in evidence to Parliament</w:t>
      </w:r>
      <w:r w:rsidRPr="00135444">
        <w:rPr>
          <w:rFonts w:ascii="Minion Pro" w:hAnsi="Minion Pro"/>
          <w:sz w:val="24"/>
          <w:szCs w:val="24"/>
        </w:rPr>
        <w:t>:</w:t>
      </w:r>
    </w:p>
    <w:p w:rsidR="00CE651C" w:rsidRPr="00135444" w:rsidP="00336459">
      <w:pPr>
        <w:ind w:left="720"/>
        <w:rPr>
          <w:rFonts w:ascii="Minion Pro" w:hAnsi="Minion Pro"/>
          <w:sz w:val="24"/>
          <w:szCs w:val="24"/>
        </w:rPr>
      </w:pPr>
      <w:r w:rsidRPr="00135444">
        <w:rPr>
          <w:rFonts w:ascii="Minion Pro" w:hAnsi="Minion Pro"/>
          <w:i/>
          <w:iCs/>
          <w:sz w:val="24"/>
          <w:szCs w:val="24"/>
        </w:rPr>
        <w:t xml:space="preserve">I think for an inquiry into the workings of central Government in a very critical and controversial area, there is real advantage of having an independent committee of people with direct experience of the workings of Government in that way. I think that </w:t>
      </w:r>
      <w:r w:rsidRPr="00135444">
        <w:rPr>
          <w:rFonts w:ascii="Minion Pro" w:hAnsi="Minion Pro"/>
          <w:i/>
          <w:iCs/>
          <w:sz w:val="24"/>
          <w:szCs w:val="24"/>
        </w:rPr>
        <w:t>it would be more difficult for a judge, operating with counsel through a</w:t>
      </w:r>
      <w:r w:rsidRPr="00135444">
        <w:rPr>
          <w:rFonts w:ascii="Minion Pro" w:hAnsi="Minion Pro"/>
          <w:i/>
          <w:iCs/>
          <w:sz w:val="24"/>
          <w:szCs w:val="24"/>
        </w:rPr>
        <w:t xml:space="preserve"> cross-examination, to arrive at well-judged conclusions in that particular individual situation.</w:t>
      </w:r>
      <w:r>
        <w:rPr>
          <w:rStyle w:val="EndnoteReference"/>
          <w:rFonts w:ascii="Minion Pro" w:hAnsi="Minion Pro"/>
          <w:i/>
          <w:iCs/>
          <w:sz w:val="24"/>
          <w:szCs w:val="24"/>
        </w:rPr>
        <w:endnoteReference w:id="30"/>
      </w:r>
    </w:p>
    <w:p w:rsidR="00CE651C" w:rsidRPr="00135444" w:rsidP="00CE651C">
      <w:pPr>
        <w:rPr>
          <w:rFonts w:ascii="Minion Pro" w:hAnsi="Minion Pro"/>
          <w:sz w:val="24"/>
          <w:szCs w:val="24"/>
        </w:rPr>
      </w:pPr>
      <w:r w:rsidRPr="00135444">
        <w:rPr>
          <w:rFonts w:ascii="Minion Pro" w:hAnsi="Minion Pro"/>
          <w:sz w:val="24"/>
          <w:szCs w:val="24"/>
        </w:rPr>
        <w:t>More recently the</w:t>
      </w:r>
      <w:r w:rsidRPr="00135444">
        <w:rPr>
          <w:rFonts w:ascii="Minion Pro" w:hAnsi="Minion Pro"/>
          <w:sz w:val="24"/>
          <w:szCs w:val="24"/>
        </w:rPr>
        <w:t xml:space="preserve"> RHI inquiry appointed Dame Una O’Brien, the former permanent secret</w:t>
      </w:r>
      <w:r w:rsidRPr="00135444">
        <w:rPr>
          <w:rFonts w:ascii="Minion Pro" w:hAnsi="Minion Pro"/>
          <w:sz w:val="24"/>
          <w:szCs w:val="24"/>
        </w:rPr>
        <w:t>ary at the Department of Health, as its statutory panel member.</w:t>
      </w:r>
      <w:r w:rsidRPr="00135444">
        <w:rPr>
          <w:rFonts w:ascii="Minion Pro" w:hAnsi="Minion Pro"/>
          <w:sz w:val="24"/>
          <w:szCs w:val="24"/>
        </w:rPr>
        <w:t xml:space="preserve"> Her expertise of </w:t>
      </w:r>
      <w:r w:rsidRPr="00135444">
        <w:rPr>
          <w:rFonts w:ascii="Minion Pro" w:hAnsi="Minion Pro"/>
          <w:sz w:val="24"/>
          <w:szCs w:val="24"/>
        </w:rPr>
        <w:t>the workings of central government supported the work of the chair Sir Patrick Coghlin, a judge.</w:t>
      </w:r>
    </w:p>
    <w:p w:rsidR="004E255E" w:rsidRPr="00135444" w:rsidP="004A2278">
      <w:pPr>
        <w:rPr>
          <w:rFonts w:ascii="Minion Pro" w:hAnsi="Minion Pro"/>
          <w:sz w:val="24"/>
          <w:szCs w:val="24"/>
        </w:rPr>
      </w:pPr>
      <w:r w:rsidRPr="00135444">
        <w:rPr>
          <w:rFonts w:ascii="Minion Pro" w:hAnsi="Minion Pro"/>
          <w:sz w:val="24"/>
          <w:szCs w:val="24"/>
        </w:rPr>
        <w:t xml:space="preserve">We believe that an inquiry examining the government’s response to coronavirus </w:t>
      </w:r>
      <w:r w:rsidRPr="00135444">
        <w:rPr>
          <w:rFonts w:ascii="Minion Pro" w:hAnsi="Minion Pro"/>
          <w:sz w:val="24"/>
          <w:szCs w:val="24"/>
        </w:rPr>
        <w:t xml:space="preserve">would benefit from a panel. </w:t>
      </w:r>
      <w:r w:rsidRPr="00135444">
        <w:rPr>
          <w:rFonts w:ascii="Minion Pro" w:hAnsi="Minion Pro"/>
          <w:sz w:val="24"/>
          <w:szCs w:val="24"/>
        </w:rPr>
        <w:t>This inquiry is likely to be complex</w:t>
      </w:r>
      <w:r w:rsidRPr="00135444">
        <w:rPr>
          <w:rFonts w:ascii="Minion Pro" w:hAnsi="Minion Pro"/>
          <w:sz w:val="24"/>
          <w:szCs w:val="24"/>
        </w:rPr>
        <w:t>, with a broad scope</w:t>
      </w:r>
      <w:r w:rsidRPr="00135444">
        <w:rPr>
          <w:rFonts w:ascii="Minion Pro" w:hAnsi="Minion Pro"/>
          <w:sz w:val="24"/>
          <w:szCs w:val="24"/>
        </w:rPr>
        <w:t xml:space="preserve">. A panel would </w:t>
      </w:r>
      <w:r w:rsidRPr="00135444">
        <w:rPr>
          <w:rFonts w:ascii="Minion Pro" w:hAnsi="Minion Pro"/>
          <w:sz w:val="24"/>
          <w:szCs w:val="24"/>
        </w:rPr>
        <w:t xml:space="preserve">bring a broader range of experience into the heart of </w:t>
      </w:r>
      <w:r w:rsidRPr="00135444">
        <w:rPr>
          <w:rFonts w:ascii="Minion Pro" w:hAnsi="Minion Pro"/>
          <w:sz w:val="24"/>
          <w:szCs w:val="24"/>
        </w:rPr>
        <w:t xml:space="preserve">the </w:t>
      </w:r>
      <w:r w:rsidRPr="00135444">
        <w:rPr>
          <w:rFonts w:ascii="Minion Pro" w:hAnsi="Minion Pro"/>
          <w:sz w:val="24"/>
          <w:szCs w:val="24"/>
        </w:rPr>
        <w:t>inquiry</w:t>
      </w:r>
      <w:r w:rsidRPr="00135444">
        <w:rPr>
          <w:rFonts w:ascii="Minion Pro" w:hAnsi="Minion Pro"/>
          <w:sz w:val="24"/>
          <w:szCs w:val="24"/>
        </w:rPr>
        <w:t xml:space="preserve">, enabling it to come to </w:t>
      </w:r>
      <w:r w:rsidRPr="00135444">
        <w:rPr>
          <w:rFonts w:ascii="Minion Pro" w:hAnsi="Minion Pro"/>
          <w:sz w:val="24"/>
          <w:szCs w:val="24"/>
        </w:rPr>
        <w:t>effective</w:t>
      </w:r>
      <w:r w:rsidRPr="00135444">
        <w:rPr>
          <w:rFonts w:ascii="Minion Pro" w:hAnsi="Minion Pro"/>
          <w:sz w:val="24"/>
          <w:szCs w:val="24"/>
        </w:rPr>
        <w:t xml:space="preserve"> conclusions</w:t>
      </w:r>
      <w:r w:rsidRPr="00135444">
        <w:rPr>
          <w:rFonts w:ascii="Minion Pro" w:hAnsi="Minion Pro"/>
          <w:sz w:val="24"/>
          <w:szCs w:val="24"/>
        </w:rPr>
        <w:t>.</w:t>
      </w:r>
      <w:r w:rsidRPr="00135444">
        <w:rPr>
          <w:rFonts w:ascii="Minion Pro" w:hAnsi="Minion Pro"/>
          <w:sz w:val="24"/>
          <w:szCs w:val="24"/>
        </w:rPr>
        <w:t xml:space="preserve"> </w:t>
      </w:r>
      <w:r w:rsidRPr="00135444">
        <w:rPr>
          <w:rFonts w:ascii="Minion Pro" w:hAnsi="Minion Pro"/>
          <w:sz w:val="24"/>
          <w:szCs w:val="24"/>
        </w:rPr>
        <w:t>Areas of expertise which panellists might h</w:t>
      </w:r>
      <w:r w:rsidRPr="00135444">
        <w:rPr>
          <w:rFonts w:ascii="Minion Pro" w:hAnsi="Minion Pro"/>
          <w:sz w:val="24"/>
          <w:szCs w:val="24"/>
        </w:rPr>
        <w:t>ave would likely include</w:t>
      </w:r>
      <w:r w:rsidRPr="00135444">
        <w:rPr>
          <w:rFonts w:ascii="Minion Pro" w:hAnsi="Minion Pro"/>
          <w:sz w:val="24"/>
          <w:szCs w:val="24"/>
        </w:rPr>
        <w:t xml:space="preserve"> (but not be limited to) the following</w:t>
      </w:r>
      <w:r w:rsidRPr="00135444">
        <w:rPr>
          <w:rFonts w:ascii="Minion Pro" w:hAnsi="Minion Pro"/>
          <w:sz w:val="24"/>
          <w:szCs w:val="24"/>
        </w:rPr>
        <w:t>:</w:t>
      </w:r>
    </w:p>
    <w:p w:rsidR="006A444B" w:rsidRPr="00135444" w:rsidP="004E255E">
      <w:pPr>
        <w:pStyle w:val="ListParagraph"/>
        <w:numPr>
          <w:ilvl w:val="0"/>
          <w:numId w:val="18"/>
        </w:numPr>
        <w:rPr>
          <w:rFonts w:ascii="Minion Pro" w:hAnsi="Minion Pro"/>
          <w:b w:val="0"/>
          <w:bCs w:val="0"/>
          <w:sz w:val="24"/>
          <w:szCs w:val="24"/>
        </w:rPr>
      </w:pPr>
      <w:r w:rsidRPr="00135444">
        <w:rPr>
          <w:rFonts w:ascii="Minion Pro" w:hAnsi="Minion Pro"/>
          <w:b w:val="0"/>
          <w:bCs w:val="0"/>
          <w:sz w:val="24"/>
          <w:szCs w:val="24"/>
        </w:rPr>
        <w:t>E</w:t>
      </w:r>
      <w:r w:rsidRPr="00135444">
        <w:rPr>
          <w:rFonts w:ascii="Minion Pro" w:hAnsi="Minion Pro"/>
          <w:b w:val="0"/>
          <w:bCs w:val="0"/>
          <w:sz w:val="24"/>
          <w:szCs w:val="24"/>
        </w:rPr>
        <w:t xml:space="preserve">xperience </w:t>
      </w:r>
      <w:r w:rsidRPr="00135444">
        <w:rPr>
          <w:rFonts w:ascii="Minion Pro" w:hAnsi="Minion Pro"/>
          <w:b w:val="0"/>
          <w:bCs w:val="0"/>
          <w:sz w:val="24"/>
          <w:szCs w:val="24"/>
        </w:rPr>
        <w:t xml:space="preserve">of </w:t>
      </w:r>
      <w:r w:rsidRPr="00135444">
        <w:rPr>
          <w:rFonts w:ascii="Minion Pro" w:hAnsi="Minion Pro"/>
          <w:b w:val="0"/>
          <w:bCs w:val="0"/>
          <w:sz w:val="24"/>
          <w:szCs w:val="24"/>
        </w:rPr>
        <w:t xml:space="preserve">working at the heart of government – </w:t>
      </w:r>
      <w:r w:rsidRPr="00135444">
        <w:rPr>
          <w:rFonts w:ascii="Minion Pro" w:hAnsi="Minion Pro"/>
          <w:b w:val="0"/>
          <w:bCs w:val="0"/>
          <w:sz w:val="24"/>
          <w:szCs w:val="24"/>
        </w:rPr>
        <w:t>for example</w:t>
      </w:r>
      <w:r w:rsidRPr="00135444">
        <w:rPr>
          <w:rFonts w:ascii="Minion Pro" w:hAnsi="Minion Pro"/>
          <w:b w:val="0"/>
          <w:bCs w:val="0"/>
          <w:sz w:val="24"/>
          <w:szCs w:val="24"/>
        </w:rPr>
        <w:t xml:space="preserve"> a former permanent secretary. </w:t>
      </w:r>
    </w:p>
    <w:p w:rsidR="00882080" w:rsidRPr="00135444" w:rsidP="004E255E">
      <w:pPr>
        <w:pStyle w:val="ListParagraph"/>
        <w:numPr>
          <w:ilvl w:val="0"/>
          <w:numId w:val="18"/>
        </w:numPr>
        <w:rPr>
          <w:rFonts w:ascii="Minion Pro" w:hAnsi="Minion Pro"/>
          <w:b w:val="0"/>
          <w:bCs w:val="0"/>
          <w:sz w:val="24"/>
          <w:szCs w:val="24"/>
        </w:rPr>
      </w:pPr>
      <w:r w:rsidRPr="00135444">
        <w:rPr>
          <w:rFonts w:ascii="Minion Pro" w:hAnsi="Minion Pro"/>
          <w:b w:val="0"/>
          <w:bCs w:val="0"/>
          <w:sz w:val="24"/>
          <w:szCs w:val="24"/>
        </w:rPr>
        <w:t xml:space="preserve">Experience of working in </w:t>
      </w:r>
      <w:r w:rsidRPr="00135444">
        <w:rPr>
          <w:rFonts w:ascii="Minion Pro" w:hAnsi="Minion Pro"/>
          <w:b w:val="0"/>
          <w:bCs w:val="0"/>
          <w:sz w:val="24"/>
          <w:szCs w:val="24"/>
        </w:rPr>
        <w:t>healthcare</w:t>
      </w:r>
      <w:r w:rsidRPr="00135444">
        <w:rPr>
          <w:rFonts w:ascii="Minion Pro" w:hAnsi="Minion Pro"/>
          <w:b w:val="0"/>
          <w:bCs w:val="0"/>
          <w:sz w:val="24"/>
          <w:szCs w:val="24"/>
        </w:rPr>
        <w:t xml:space="preserve"> – </w:t>
      </w:r>
      <w:r w:rsidRPr="00135444">
        <w:rPr>
          <w:rFonts w:ascii="Minion Pro" w:hAnsi="Minion Pro"/>
          <w:b w:val="0"/>
          <w:bCs w:val="0"/>
          <w:sz w:val="24"/>
          <w:szCs w:val="24"/>
        </w:rPr>
        <w:t>for example a</w:t>
      </w:r>
      <w:r w:rsidRPr="00135444">
        <w:rPr>
          <w:rFonts w:ascii="Minion Pro" w:hAnsi="Minion Pro"/>
          <w:b w:val="0"/>
          <w:bCs w:val="0"/>
          <w:sz w:val="24"/>
          <w:szCs w:val="24"/>
        </w:rPr>
        <w:t xml:space="preserve"> senior</w:t>
      </w:r>
      <w:r w:rsidRPr="00135444">
        <w:rPr>
          <w:rFonts w:ascii="Minion Pro" w:hAnsi="Minion Pro"/>
          <w:b w:val="0"/>
          <w:bCs w:val="0"/>
          <w:sz w:val="24"/>
          <w:szCs w:val="24"/>
        </w:rPr>
        <w:t xml:space="preserve"> doctor, or the leader of a healthcare trust. </w:t>
      </w:r>
    </w:p>
    <w:p w:rsidR="00ED7DD4" w:rsidRPr="00135444" w:rsidP="004E255E">
      <w:pPr>
        <w:pStyle w:val="ListParagraph"/>
        <w:numPr>
          <w:ilvl w:val="0"/>
          <w:numId w:val="18"/>
        </w:numPr>
        <w:rPr>
          <w:rFonts w:ascii="Minion Pro" w:hAnsi="Minion Pro"/>
          <w:b w:val="0"/>
          <w:bCs w:val="0"/>
          <w:sz w:val="24"/>
          <w:szCs w:val="24"/>
        </w:rPr>
      </w:pPr>
      <w:r w:rsidRPr="00135444">
        <w:rPr>
          <w:rFonts w:ascii="Minion Pro" w:hAnsi="Minion Pro"/>
          <w:b w:val="0"/>
          <w:bCs w:val="0"/>
          <w:sz w:val="24"/>
          <w:szCs w:val="24"/>
        </w:rPr>
        <w:t>Experts in epidemiology and public health</w:t>
      </w:r>
      <w:r w:rsidRPr="00135444">
        <w:rPr>
          <w:rFonts w:ascii="Minion Pro" w:hAnsi="Minion Pro"/>
          <w:b w:val="0"/>
          <w:bCs w:val="0"/>
          <w:sz w:val="24"/>
          <w:szCs w:val="24"/>
        </w:rPr>
        <w:t>.</w:t>
      </w:r>
    </w:p>
    <w:p w:rsidR="006C6213" w:rsidRPr="00135444" w:rsidP="004E255E">
      <w:pPr>
        <w:pStyle w:val="ListParagraph"/>
        <w:numPr>
          <w:ilvl w:val="0"/>
          <w:numId w:val="18"/>
        </w:numPr>
        <w:rPr>
          <w:rFonts w:ascii="Minion Pro" w:hAnsi="Minion Pro"/>
          <w:b w:val="0"/>
          <w:bCs w:val="0"/>
          <w:sz w:val="24"/>
          <w:szCs w:val="24"/>
        </w:rPr>
      </w:pPr>
      <w:r w:rsidRPr="00135444">
        <w:rPr>
          <w:rFonts w:ascii="Minion Pro" w:hAnsi="Minion Pro"/>
          <w:b w:val="0"/>
          <w:bCs w:val="0"/>
          <w:sz w:val="24"/>
          <w:szCs w:val="24"/>
        </w:rPr>
        <w:t>Experience working with victims</w:t>
      </w:r>
      <w:r w:rsidRPr="00135444">
        <w:rPr>
          <w:rFonts w:ascii="Minion Pro" w:hAnsi="Minion Pro"/>
          <w:b w:val="0"/>
          <w:bCs w:val="0"/>
          <w:sz w:val="24"/>
          <w:szCs w:val="24"/>
        </w:rPr>
        <w:t>.</w:t>
      </w:r>
    </w:p>
    <w:p w:rsidR="00823B95" w:rsidRPr="00135444" w:rsidP="004A2278">
      <w:pPr>
        <w:rPr>
          <w:rFonts w:ascii="Minion Pro" w:hAnsi="Minion Pro"/>
          <w:sz w:val="24"/>
          <w:szCs w:val="24"/>
        </w:rPr>
      </w:pPr>
      <w:r w:rsidRPr="00135444">
        <w:rPr>
          <w:rFonts w:ascii="Minion Pro" w:hAnsi="Minion Pro"/>
          <w:sz w:val="24"/>
          <w:szCs w:val="24"/>
        </w:rPr>
        <w:t xml:space="preserve">One further general benefit of a panel is that it helps </w:t>
      </w:r>
      <w:r w:rsidRPr="00135444">
        <w:rPr>
          <w:rFonts w:ascii="Minion Pro" w:hAnsi="Minion Pro"/>
          <w:sz w:val="24"/>
          <w:szCs w:val="24"/>
        </w:rPr>
        <w:t xml:space="preserve">bring in individuals with experience of policy making and implementation at the highest level of an inquiry. This could help the inquiry to draft better recommendations and thus </w:t>
      </w:r>
      <w:r w:rsidRPr="00135444">
        <w:rPr>
          <w:rFonts w:ascii="Minion Pro" w:hAnsi="Minion Pro"/>
          <w:sz w:val="24"/>
          <w:szCs w:val="24"/>
        </w:rPr>
        <w:t>improve the chances that we see</w:t>
      </w:r>
      <w:r w:rsidRPr="00135444">
        <w:rPr>
          <w:rFonts w:ascii="Minion Pro" w:hAnsi="Minion Pro"/>
          <w:sz w:val="24"/>
          <w:szCs w:val="24"/>
        </w:rPr>
        <w:t xml:space="preserve"> the</w:t>
      </w:r>
      <w:r w:rsidRPr="00135444">
        <w:rPr>
          <w:rFonts w:ascii="Minion Pro" w:hAnsi="Minion Pro"/>
          <w:sz w:val="24"/>
          <w:szCs w:val="24"/>
        </w:rPr>
        <w:t xml:space="preserve"> lasting change</w:t>
      </w:r>
      <w:r w:rsidRPr="00135444">
        <w:rPr>
          <w:rFonts w:ascii="Minion Pro" w:hAnsi="Minion Pro"/>
          <w:sz w:val="24"/>
          <w:szCs w:val="24"/>
        </w:rPr>
        <w:t>s</w:t>
      </w:r>
      <w:r w:rsidRPr="00135444">
        <w:rPr>
          <w:rFonts w:ascii="Minion Pro" w:hAnsi="Minion Pro"/>
          <w:sz w:val="24"/>
          <w:szCs w:val="24"/>
        </w:rPr>
        <w:t xml:space="preserve"> that </w:t>
      </w:r>
      <w:r w:rsidRPr="00135444">
        <w:rPr>
          <w:rFonts w:ascii="Minion Pro" w:hAnsi="Minion Pro"/>
          <w:sz w:val="24"/>
          <w:szCs w:val="24"/>
        </w:rPr>
        <w:t>are</w:t>
      </w:r>
      <w:r w:rsidRPr="00135444">
        <w:rPr>
          <w:rFonts w:ascii="Minion Pro" w:hAnsi="Minion Pro"/>
          <w:sz w:val="24"/>
          <w:szCs w:val="24"/>
        </w:rPr>
        <w:t xml:space="preserve"> needed.</w:t>
      </w:r>
      <w:r w:rsidRPr="00135444">
        <w:rPr>
          <w:rFonts w:ascii="Minion Pro" w:hAnsi="Minion Pro"/>
          <w:sz w:val="24"/>
          <w:szCs w:val="24"/>
        </w:rPr>
        <w:t xml:space="preserve"> </w:t>
      </w:r>
    </w:p>
    <w:p w:rsidR="001C1723" w:rsidRPr="00135444" w:rsidP="004A2278">
      <w:pPr>
        <w:rPr>
          <w:rFonts w:ascii="Minion Pro" w:hAnsi="Minion Pro"/>
          <w:sz w:val="24"/>
          <w:szCs w:val="24"/>
        </w:rPr>
      </w:pPr>
      <w:r w:rsidRPr="00135444">
        <w:rPr>
          <w:rFonts w:ascii="Minion Pro" w:hAnsi="Minion Pro"/>
          <w:sz w:val="24"/>
          <w:szCs w:val="24"/>
        </w:rPr>
        <w:t>The inqu</w:t>
      </w:r>
      <w:r w:rsidRPr="00135444">
        <w:rPr>
          <w:rFonts w:ascii="Minion Pro" w:hAnsi="Minion Pro"/>
          <w:sz w:val="24"/>
          <w:szCs w:val="24"/>
        </w:rPr>
        <w:t xml:space="preserve">iry could also look to the Independent Panel model that has been largely developed by Bishop James Jones. The Hillsborough and Gosport Independent Panels are a form of non-statutory inquiry </w:t>
      </w:r>
      <w:r w:rsidRPr="00135444">
        <w:rPr>
          <w:rFonts w:ascii="Minion Pro" w:hAnsi="Minion Pro"/>
          <w:sz w:val="24"/>
          <w:szCs w:val="24"/>
        </w:rPr>
        <w:t xml:space="preserve">which have found success resolving </w:t>
      </w:r>
      <w:r w:rsidRPr="00135444">
        <w:rPr>
          <w:rFonts w:ascii="Minion Pro" w:hAnsi="Minion Pro"/>
          <w:sz w:val="24"/>
          <w:szCs w:val="24"/>
        </w:rPr>
        <w:t>issues of major public concern.</w:t>
      </w:r>
      <w:r>
        <w:rPr>
          <w:rStyle w:val="EndnoteReference"/>
          <w:rFonts w:ascii="Minion Pro" w:hAnsi="Minion Pro"/>
          <w:sz w:val="24"/>
          <w:szCs w:val="24"/>
        </w:rPr>
        <w:endnoteReference w:id="31"/>
      </w:r>
      <w:r w:rsidRPr="00135444">
        <w:rPr>
          <w:rFonts w:ascii="Minion Pro" w:hAnsi="Minion Pro"/>
          <w:sz w:val="24"/>
          <w:szCs w:val="24"/>
          <w:vertAlign w:val="superscript"/>
        </w:rPr>
        <w:t>,</w:t>
      </w:r>
      <w:r>
        <w:rPr>
          <w:rStyle w:val="EndnoteReference"/>
          <w:rFonts w:ascii="Minion Pro" w:hAnsi="Minion Pro"/>
          <w:sz w:val="24"/>
          <w:szCs w:val="24"/>
        </w:rPr>
        <w:endnoteReference w:id="32"/>
      </w:r>
      <w:r w:rsidRPr="00135444">
        <w:rPr>
          <w:rFonts w:ascii="Minion Pro" w:hAnsi="Minion Pro"/>
          <w:sz w:val="24"/>
          <w:szCs w:val="24"/>
        </w:rPr>
        <w:t xml:space="preserve"> </w:t>
      </w:r>
      <w:r w:rsidRPr="00135444">
        <w:rPr>
          <w:rFonts w:ascii="Minion Pro" w:hAnsi="Minion Pro"/>
          <w:sz w:val="24"/>
          <w:szCs w:val="24"/>
        </w:rPr>
        <w:t xml:space="preserve">In both cases the chair was supported by a panel of eight people from a wide range of </w:t>
      </w:r>
      <w:r w:rsidRPr="00135444">
        <w:rPr>
          <w:rFonts w:ascii="Minion Pro" w:hAnsi="Minion Pro"/>
          <w:sz w:val="24"/>
          <w:szCs w:val="24"/>
        </w:rPr>
        <w:t xml:space="preserve">professional backgrounds. </w:t>
      </w:r>
    </w:p>
    <w:p w:rsidR="00242269" w:rsidRPr="00135444" w:rsidP="004A2278">
      <w:pPr>
        <w:rPr>
          <w:rFonts w:ascii="Minion Pro" w:hAnsi="Minion Pro"/>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7 - </w:t>
      </w:r>
      <w:r w:rsidRPr="00135444">
        <w:rPr>
          <w:rFonts w:ascii="Minion Pro" w:hAnsi="Minion Pro"/>
          <w:sz w:val="24"/>
          <w:szCs w:val="24"/>
        </w:rPr>
        <w:t xml:space="preserve">How should the Terms of Reference be agreed? Should consultation be undertaken first and, if so, how should this be conducted? </w:t>
      </w:r>
    </w:p>
    <w:p w:rsidR="00CA5812" w:rsidRPr="00135444" w:rsidP="004A2278">
      <w:pPr>
        <w:rPr>
          <w:rFonts w:ascii="Minion Pro" w:hAnsi="Minion Pro"/>
          <w:sz w:val="24"/>
          <w:szCs w:val="24"/>
        </w:rPr>
      </w:pPr>
      <w:r w:rsidRPr="00135444">
        <w:rPr>
          <w:rFonts w:ascii="Minion Pro" w:hAnsi="Minion Pro"/>
          <w:sz w:val="24"/>
          <w:szCs w:val="24"/>
        </w:rPr>
        <w:t>The te</w:t>
      </w:r>
      <w:r w:rsidRPr="00135444">
        <w:rPr>
          <w:rFonts w:ascii="Minion Pro" w:hAnsi="Minion Pro"/>
          <w:sz w:val="24"/>
          <w:szCs w:val="24"/>
        </w:rPr>
        <w:t>rms of reference for an inquiry offer the clearest exposition of its aims. Decisions on the wording of the terms of reference influence how the inquiry is run, how long it will take, how much it will cost and how it can effect change.</w:t>
      </w:r>
      <w:r>
        <w:rPr>
          <w:rStyle w:val="EndnoteReference"/>
          <w:rFonts w:ascii="Minion Pro" w:hAnsi="Minion Pro"/>
          <w:sz w:val="24"/>
          <w:szCs w:val="24"/>
        </w:rPr>
        <w:endnoteReference w:id="33"/>
      </w:r>
      <w:r w:rsidRPr="00135444">
        <w:rPr>
          <w:rFonts w:ascii="Minion Pro" w:hAnsi="Minion Pro"/>
          <w:sz w:val="24"/>
          <w:szCs w:val="24"/>
        </w:rPr>
        <w:t xml:space="preserve"> As such, being clear</w:t>
      </w:r>
      <w:r w:rsidRPr="00135444">
        <w:rPr>
          <w:rFonts w:ascii="Minion Pro" w:hAnsi="Minion Pro"/>
          <w:sz w:val="24"/>
          <w:szCs w:val="24"/>
        </w:rPr>
        <w:t xml:space="preserve"> and direct in the terms of reference about which of the many potential purposes of inquiries is being pursued is critical. This will ensure that the inquiry is run in a way that supports these aims and importantly will help to avoid disappointment or disi</w:t>
      </w:r>
      <w:r w:rsidRPr="00135444">
        <w:rPr>
          <w:rFonts w:ascii="Minion Pro" w:hAnsi="Minion Pro"/>
          <w:sz w:val="24"/>
          <w:szCs w:val="24"/>
        </w:rPr>
        <w:t>llusionment at the end of an inquiry</w:t>
      </w:r>
      <w:r w:rsidRPr="00135444">
        <w:rPr>
          <w:rFonts w:ascii="Minion Pro" w:hAnsi="Minion Pro"/>
          <w:sz w:val="24"/>
          <w:szCs w:val="24"/>
        </w:rPr>
        <w:t>.</w:t>
      </w:r>
      <w:r>
        <w:rPr>
          <w:rStyle w:val="EndnoteReference"/>
          <w:rFonts w:ascii="Minion Pro" w:hAnsi="Minion Pro"/>
          <w:sz w:val="24"/>
          <w:szCs w:val="24"/>
        </w:rPr>
        <w:endnoteReference w:id="34"/>
      </w:r>
    </w:p>
    <w:p w:rsidR="00E50FF3" w:rsidRPr="00135444" w:rsidP="004A2278">
      <w:pPr>
        <w:rPr>
          <w:rFonts w:ascii="Minion Pro" w:hAnsi="Minion Pro"/>
          <w:sz w:val="24"/>
          <w:szCs w:val="24"/>
        </w:rPr>
      </w:pPr>
      <w:r w:rsidRPr="00135444">
        <w:rPr>
          <w:rFonts w:ascii="Minion Pro" w:hAnsi="Minion Pro"/>
          <w:sz w:val="24"/>
          <w:szCs w:val="24"/>
        </w:rPr>
        <w:t>Terms of reference have been getting longer over time</w:t>
      </w:r>
      <w:r w:rsidRPr="00135444">
        <w:rPr>
          <w:rFonts w:ascii="Minion Pro" w:hAnsi="Minion Pro"/>
          <w:sz w:val="24"/>
          <w:szCs w:val="24"/>
        </w:rPr>
        <w:t>. This</w:t>
      </w:r>
      <w:r w:rsidRPr="00135444">
        <w:rPr>
          <w:rFonts w:ascii="Minion Pro" w:hAnsi="Minion Pro"/>
          <w:sz w:val="24"/>
          <w:szCs w:val="24"/>
        </w:rPr>
        <w:t xml:space="preserve"> </w:t>
      </w:r>
      <w:r w:rsidRPr="00135444">
        <w:rPr>
          <w:rFonts w:ascii="Minion Pro" w:hAnsi="Minion Pro"/>
          <w:sz w:val="24"/>
          <w:szCs w:val="24"/>
        </w:rPr>
        <w:t xml:space="preserve">reflects a growing focus on detailed and specific questions within terms of reference, instead of the vague instructions to ‘investigate such and such </w:t>
      </w:r>
      <w:r w:rsidRPr="00135444">
        <w:rPr>
          <w:rFonts w:ascii="Minion Pro" w:hAnsi="Minion Pro"/>
          <w:sz w:val="24"/>
          <w:szCs w:val="24"/>
        </w:rPr>
        <w:t>event’ that had been common previously.</w:t>
      </w:r>
      <w:r w:rsidRPr="00135444">
        <w:rPr>
          <w:rFonts w:ascii="Minion Pro" w:hAnsi="Minion Pro"/>
          <w:sz w:val="24"/>
          <w:szCs w:val="24"/>
        </w:rPr>
        <w:t xml:space="preserve"> </w:t>
      </w:r>
      <w:r w:rsidRPr="00135444">
        <w:rPr>
          <w:rFonts w:ascii="Minion Pro" w:hAnsi="Minion Pro"/>
          <w:sz w:val="24"/>
          <w:szCs w:val="24"/>
        </w:rPr>
        <w:t>Modern terms of reference are also – where appropriate – better at setting out the need for recommendations as a core part of the inquiry.</w:t>
      </w:r>
      <w:r>
        <w:rPr>
          <w:rStyle w:val="EndnoteReference"/>
          <w:rFonts w:ascii="Minion Pro" w:hAnsi="Minion Pro"/>
          <w:sz w:val="24"/>
          <w:szCs w:val="24"/>
        </w:rPr>
        <w:endnoteReference w:id="35"/>
      </w:r>
    </w:p>
    <w:p w:rsidR="007240CE" w:rsidRPr="00135444" w:rsidP="004A2278">
      <w:pPr>
        <w:rPr>
          <w:rFonts w:ascii="Minion Pro" w:hAnsi="Minion Pro"/>
          <w:sz w:val="24"/>
          <w:szCs w:val="24"/>
        </w:rPr>
      </w:pPr>
      <w:r w:rsidRPr="00135444">
        <w:rPr>
          <w:rFonts w:ascii="Minion Pro" w:hAnsi="Minion Pro"/>
          <w:sz w:val="24"/>
          <w:szCs w:val="24"/>
        </w:rPr>
        <w:t xml:space="preserve">Getting the terms of reference right is crucial. Vague or overbroad terms </w:t>
      </w:r>
      <w:r w:rsidRPr="00135444">
        <w:rPr>
          <w:rFonts w:ascii="Minion Pro" w:hAnsi="Minion Pro"/>
          <w:sz w:val="24"/>
          <w:szCs w:val="24"/>
        </w:rPr>
        <w:t>ma</w:t>
      </w:r>
      <w:r w:rsidRPr="00135444">
        <w:rPr>
          <w:rFonts w:ascii="Minion Pro" w:hAnsi="Minion Pro"/>
          <w:sz w:val="24"/>
          <w:szCs w:val="24"/>
        </w:rPr>
        <w:t>ke it harder to run a timely inquiry. However</w:t>
      </w:r>
      <w:r w:rsidRPr="00135444">
        <w:rPr>
          <w:rFonts w:ascii="Minion Pro" w:hAnsi="Minion Pro"/>
          <w:sz w:val="24"/>
          <w:szCs w:val="24"/>
        </w:rPr>
        <w:t>,</w:t>
      </w:r>
      <w:r w:rsidRPr="00135444">
        <w:rPr>
          <w:rFonts w:ascii="Minion Pro" w:hAnsi="Minion Pro"/>
          <w:sz w:val="24"/>
          <w:szCs w:val="24"/>
        </w:rPr>
        <w:t xml:space="preserve"> there is often pressure from those affected by </w:t>
      </w:r>
      <w:r w:rsidRPr="00135444">
        <w:rPr>
          <w:rFonts w:ascii="Minion Pro" w:hAnsi="Minion Pro"/>
          <w:sz w:val="24"/>
          <w:szCs w:val="24"/>
        </w:rPr>
        <w:t>the events that precipitated an inquiry to set broad terms of reference.</w:t>
      </w:r>
      <w:r>
        <w:rPr>
          <w:rStyle w:val="EndnoteReference"/>
          <w:rFonts w:ascii="Minion Pro" w:hAnsi="Minion Pro"/>
          <w:sz w:val="24"/>
          <w:szCs w:val="24"/>
        </w:rPr>
        <w:endnoteReference w:id="36"/>
      </w:r>
      <w:r w:rsidRPr="00135444">
        <w:rPr>
          <w:rFonts w:ascii="Minion Pro" w:hAnsi="Minion Pro"/>
          <w:sz w:val="24"/>
          <w:szCs w:val="24"/>
        </w:rPr>
        <w:t xml:space="preserve"> </w:t>
      </w:r>
      <w:r w:rsidRPr="00135444">
        <w:rPr>
          <w:rFonts w:ascii="Minion Pro" w:hAnsi="Minion Pro"/>
          <w:sz w:val="24"/>
          <w:szCs w:val="24"/>
        </w:rPr>
        <w:t>This needs to be balanced carefully. As we have argued previously:</w:t>
      </w:r>
    </w:p>
    <w:p w:rsidR="006F5755" w:rsidRPr="00135444" w:rsidP="0043119C">
      <w:pPr>
        <w:ind w:left="720"/>
        <w:rPr>
          <w:rFonts w:ascii="Minion Pro" w:hAnsi="Minion Pro"/>
          <w:i/>
          <w:iCs/>
          <w:sz w:val="24"/>
          <w:szCs w:val="24"/>
        </w:rPr>
      </w:pPr>
      <w:r w:rsidRPr="00135444">
        <w:rPr>
          <w:rFonts w:ascii="Minion Pro" w:hAnsi="Minion Pro"/>
          <w:i/>
          <w:iCs/>
          <w:sz w:val="24"/>
          <w:szCs w:val="24"/>
        </w:rPr>
        <w:t>Wide-ranging remits c</w:t>
      </w:r>
      <w:r w:rsidRPr="00135444">
        <w:rPr>
          <w:rFonts w:ascii="Minion Pro" w:hAnsi="Minion Pro"/>
          <w:i/>
          <w:iCs/>
          <w:sz w:val="24"/>
          <w:szCs w:val="24"/>
        </w:rPr>
        <w:t>an also compromise the ‘primary purpose of an inquiry’,</w:t>
      </w:r>
      <w:r>
        <w:rPr>
          <w:rStyle w:val="EndnoteReference"/>
          <w:rFonts w:ascii="Minion Pro" w:hAnsi="Minion Pro"/>
          <w:i/>
          <w:iCs/>
          <w:sz w:val="24"/>
          <w:szCs w:val="24"/>
        </w:rPr>
        <w:endnoteReference w:id="37"/>
      </w:r>
      <w:r w:rsidRPr="00135444">
        <w:rPr>
          <w:rFonts w:ascii="Minion Pro" w:hAnsi="Minion Pro"/>
          <w:i/>
          <w:iCs/>
          <w:sz w:val="24"/>
          <w:szCs w:val="24"/>
        </w:rPr>
        <w:t xml:space="preserve"> which speaks most to the public interest: the opportunity to learn from what went wrong and prevent recurrence. Lengthy, broad and expensive inquiries can delay or constrain change. In the case of th</w:t>
      </w:r>
      <w:r w:rsidRPr="00135444">
        <w:rPr>
          <w:rFonts w:ascii="Minion Pro" w:hAnsi="Minion Pro"/>
          <w:i/>
          <w:iCs/>
          <w:sz w:val="24"/>
          <w:szCs w:val="24"/>
        </w:rPr>
        <w:t>e Chilcot Inquiry, for instance, the remit was so wide that the inquiry took seven years and the report came so long after the events being examined that the window of opportunity for change had closed; systems and institutions had already moved on.</w:t>
      </w:r>
      <w:r>
        <w:rPr>
          <w:rStyle w:val="EndnoteReference"/>
          <w:rFonts w:ascii="Minion Pro" w:hAnsi="Minion Pro"/>
          <w:i/>
          <w:iCs/>
          <w:sz w:val="24"/>
          <w:szCs w:val="24"/>
        </w:rPr>
        <w:endnoteReference w:id="38"/>
      </w:r>
      <w:r w:rsidRPr="00135444">
        <w:rPr>
          <w:rFonts w:ascii="Minion Pro" w:hAnsi="Minion Pro"/>
          <w:i/>
          <w:iCs/>
          <w:sz w:val="24"/>
          <w:szCs w:val="24"/>
        </w:rPr>
        <w:t xml:space="preserve"> If ve</w:t>
      </w:r>
      <w:r w:rsidRPr="00135444">
        <w:rPr>
          <w:rFonts w:ascii="Minion Pro" w:hAnsi="Minion Pro"/>
          <w:i/>
          <w:iCs/>
          <w:sz w:val="24"/>
          <w:szCs w:val="24"/>
        </w:rPr>
        <w:t>ry public mistakes have been made or there is a danger of recurrence, then lessons need to be drawn as soon as possible. Applying a narrower focus can ensure that inquiries deliver more efficiently, and may therefore be able to influence change more effect</w:t>
      </w:r>
      <w:r w:rsidRPr="00135444">
        <w:rPr>
          <w:rFonts w:ascii="Minion Pro" w:hAnsi="Minion Pro"/>
          <w:i/>
          <w:iCs/>
          <w:sz w:val="24"/>
          <w:szCs w:val="24"/>
        </w:rPr>
        <w:t>ively.</w:t>
      </w:r>
      <w:r>
        <w:rPr>
          <w:rStyle w:val="EndnoteReference"/>
          <w:rFonts w:ascii="Minion Pro" w:hAnsi="Minion Pro"/>
          <w:i/>
          <w:iCs/>
          <w:sz w:val="24"/>
          <w:szCs w:val="24"/>
        </w:rPr>
        <w:endnoteReference w:id="39"/>
      </w:r>
    </w:p>
    <w:p w:rsidR="003343DA" w:rsidRPr="00135444" w:rsidP="004A2278">
      <w:pPr>
        <w:rPr>
          <w:rFonts w:ascii="Minion Pro" w:hAnsi="Minion Pro"/>
          <w:sz w:val="24"/>
          <w:szCs w:val="24"/>
        </w:rPr>
      </w:pPr>
      <w:r w:rsidRPr="00135444">
        <w:rPr>
          <w:rFonts w:ascii="Minion Pro" w:hAnsi="Minion Pro"/>
          <w:sz w:val="24"/>
          <w:szCs w:val="24"/>
        </w:rPr>
        <w:t xml:space="preserve">Historically the terms of reference were often set out at the moment when an inquiry was announced. </w:t>
      </w:r>
      <w:r w:rsidRPr="00135444">
        <w:rPr>
          <w:rFonts w:ascii="Minion Pro" w:hAnsi="Minion Pro"/>
          <w:sz w:val="24"/>
          <w:szCs w:val="24"/>
        </w:rPr>
        <w:t xml:space="preserve">But conventions around terms of reference are changing. </w:t>
      </w:r>
      <w:r w:rsidRPr="00135444">
        <w:rPr>
          <w:rFonts w:ascii="Minion Pro" w:hAnsi="Minion Pro"/>
          <w:sz w:val="24"/>
          <w:szCs w:val="24"/>
        </w:rPr>
        <w:t xml:space="preserve">Increasingly inquiries are being established without </w:t>
      </w:r>
      <w:r w:rsidRPr="00135444">
        <w:rPr>
          <w:rFonts w:ascii="Minion Pro" w:hAnsi="Minion Pro"/>
          <w:sz w:val="24"/>
          <w:szCs w:val="24"/>
        </w:rPr>
        <w:t>firm terms of reference to allow time f</w:t>
      </w:r>
      <w:r w:rsidRPr="00135444">
        <w:rPr>
          <w:rFonts w:ascii="Minion Pro" w:hAnsi="Minion Pro"/>
          <w:sz w:val="24"/>
          <w:szCs w:val="24"/>
        </w:rPr>
        <w:t>or consultation with victims, other affected groups, or the wider public</w:t>
      </w:r>
      <w:r w:rsidRPr="00135444">
        <w:rPr>
          <w:rFonts w:ascii="Minion Pro" w:hAnsi="Minion Pro"/>
          <w:sz w:val="24"/>
          <w:szCs w:val="24"/>
        </w:rPr>
        <w:t>:</w:t>
      </w:r>
    </w:p>
    <w:p w:rsidR="005A00AE" w:rsidRPr="00135444" w:rsidP="003343DA">
      <w:pPr>
        <w:pStyle w:val="ListParagraph"/>
        <w:numPr>
          <w:ilvl w:val="0"/>
          <w:numId w:val="24"/>
        </w:numPr>
        <w:rPr>
          <w:rFonts w:ascii="Minion Pro" w:hAnsi="Minion Pro"/>
          <w:b w:val="0"/>
          <w:bCs w:val="0"/>
          <w:sz w:val="24"/>
          <w:szCs w:val="24"/>
        </w:rPr>
      </w:pPr>
      <w:r w:rsidRPr="00135444">
        <w:rPr>
          <w:rFonts w:ascii="Minion Pro" w:hAnsi="Minion Pro"/>
          <w:b w:val="0"/>
          <w:bCs w:val="0"/>
          <w:sz w:val="24"/>
          <w:szCs w:val="24"/>
        </w:rPr>
        <w:t xml:space="preserve">The Paterson Inquiry was announced in December 2017, but the </w:t>
      </w:r>
      <w:r w:rsidRPr="00135444">
        <w:rPr>
          <w:rFonts w:ascii="Minion Pro" w:hAnsi="Minion Pro"/>
          <w:b w:val="0"/>
          <w:bCs w:val="0"/>
          <w:sz w:val="24"/>
          <w:szCs w:val="24"/>
        </w:rPr>
        <w:t>t</w:t>
      </w:r>
      <w:r w:rsidRPr="00135444">
        <w:rPr>
          <w:rFonts w:ascii="Minion Pro" w:hAnsi="Minion Pro"/>
          <w:b w:val="0"/>
          <w:bCs w:val="0"/>
          <w:sz w:val="24"/>
          <w:szCs w:val="24"/>
        </w:rPr>
        <w:t xml:space="preserve">erms of </w:t>
      </w:r>
      <w:r w:rsidRPr="00135444">
        <w:rPr>
          <w:rFonts w:ascii="Minion Pro" w:hAnsi="Minion Pro"/>
          <w:b w:val="0"/>
          <w:bCs w:val="0"/>
          <w:sz w:val="24"/>
          <w:szCs w:val="24"/>
        </w:rPr>
        <w:t xml:space="preserve">reference were not published until </w:t>
      </w:r>
      <w:r w:rsidRPr="00135444">
        <w:rPr>
          <w:rFonts w:ascii="Minion Pro" w:hAnsi="Minion Pro"/>
          <w:b w:val="0"/>
          <w:bCs w:val="0"/>
          <w:sz w:val="24"/>
          <w:szCs w:val="24"/>
        </w:rPr>
        <w:t>March 2018. The</w:t>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chair </w:t>
      </w:r>
      <w:r w:rsidRPr="00135444">
        <w:rPr>
          <w:rFonts w:ascii="Minion Pro" w:hAnsi="Minion Pro"/>
          <w:b w:val="0"/>
          <w:bCs w:val="0"/>
          <w:sz w:val="24"/>
          <w:szCs w:val="24"/>
        </w:rPr>
        <w:t>had “</w:t>
      </w:r>
      <w:r w:rsidRPr="00135444">
        <w:rPr>
          <w:rFonts w:ascii="Minion Pro" w:hAnsi="Minion Pro"/>
          <w:b w:val="0"/>
          <w:bCs w:val="0"/>
          <w:sz w:val="24"/>
          <w:szCs w:val="24"/>
        </w:rPr>
        <w:t>worked with affected families to ensure their view</w:t>
      </w:r>
      <w:r w:rsidRPr="00135444">
        <w:rPr>
          <w:rFonts w:ascii="Minion Pro" w:hAnsi="Minion Pro"/>
          <w:b w:val="0"/>
          <w:bCs w:val="0"/>
          <w:sz w:val="24"/>
          <w:szCs w:val="24"/>
        </w:rPr>
        <w:t>s are taken into account in shaping the terms of reference</w:t>
      </w:r>
      <w:r w:rsidRPr="00135444">
        <w:rPr>
          <w:rFonts w:ascii="Minion Pro" w:hAnsi="Minion Pro"/>
          <w:b w:val="0"/>
          <w:bCs w:val="0"/>
          <w:sz w:val="24"/>
          <w:szCs w:val="24"/>
        </w:rPr>
        <w:t>”</w:t>
      </w:r>
      <w:r>
        <w:rPr>
          <w:rStyle w:val="EndnoteReference"/>
          <w:rFonts w:ascii="Minion Pro" w:hAnsi="Minion Pro"/>
          <w:b w:val="0"/>
          <w:bCs w:val="0"/>
          <w:sz w:val="24"/>
          <w:szCs w:val="24"/>
        </w:rPr>
        <w:endnoteReference w:id="40"/>
      </w:r>
    </w:p>
    <w:p w:rsidR="004A5433" w:rsidRPr="00135444" w:rsidP="003343DA">
      <w:pPr>
        <w:pStyle w:val="ListParagraph"/>
        <w:numPr>
          <w:ilvl w:val="0"/>
          <w:numId w:val="24"/>
        </w:numPr>
        <w:rPr>
          <w:rFonts w:ascii="Minion Pro" w:hAnsi="Minion Pro"/>
          <w:b w:val="0"/>
          <w:bCs w:val="0"/>
          <w:sz w:val="24"/>
          <w:szCs w:val="24"/>
        </w:rPr>
      </w:pPr>
      <w:r w:rsidRPr="00135444">
        <w:rPr>
          <w:rFonts w:ascii="Minion Pro" w:hAnsi="Minion Pro"/>
          <w:b w:val="0"/>
          <w:bCs w:val="0"/>
          <w:sz w:val="24"/>
          <w:szCs w:val="24"/>
        </w:rPr>
        <w:t xml:space="preserve">The Infected Blood Inquiry held a </w:t>
      </w:r>
      <w:r w:rsidRPr="00135444">
        <w:rPr>
          <w:rFonts w:ascii="Minion Pro" w:hAnsi="Minion Pro"/>
          <w:b w:val="0"/>
          <w:bCs w:val="0"/>
          <w:sz w:val="24"/>
          <w:szCs w:val="24"/>
        </w:rPr>
        <w:t xml:space="preserve">months-long consultation that </w:t>
      </w:r>
      <w:r w:rsidRPr="00135444">
        <w:rPr>
          <w:rFonts w:ascii="Minion Pro" w:hAnsi="Minion Pro"/>
          <w:b w:val="0"/>
          <w:bCs w:val="0"/>
          <w:sz w:val="24"/>
          <w:szCs w:val="24"/>
        </w:rPr>
        <w:t xml:space="preserve">included 15 meetings with groups and individuals affected by contaminated blood. This process produced over 700 responses which were used to </w:t>
      </w:r>
      <w:r w:rsidRPr="00135444">
        <w:rPr>
          <w:rFonts w:ascii="Minion Pro" w:hAnsi="Minion Pro"/>
          <w:b w:val="0"/>
          <w:bCs w:val="0"/>
          <w:sz w:val="24"/>
          <w:szCs w:val="24"/>
        </w:rPr>
        <w:t>ensure that the inquiry’s terms of reference properly reflected the concerns of those affected.</w:t>
      </w:r>
      <w:r>
        <w:rPr>
          <w:rStyle w:val="EndnoteReference"/>
          <w:rFonts w:ascii="Minion Pro" w:hAnsi="Minion Pro"/>
          <w:b w:val="0"/>
          <w:bCs w:val="0"/>
          <w:sz w:val="24"/>
          <w:szCs w:val="24"/>
        </w:rPr>
        <w:endnoteReference w:id="41"/>
      </w:r>
    </w:p>
    <w:p w:rsidR="00435ECE" w:rsidRPr="00135444" w:rsidP="003343DA">
      <w:pPr>
        <w:pStyle w:val="ListParagraph"/>
        <w:numPr>
          <w:ilvl w:val="0"/>
          <w:numId w:val="24"/>
        </w:numPr>
        <w:rPr>
          <w:rFonts w:ascii="Minion Pro" w:hAnsi="Minion Pro"/>
          <w:b w:val="0"/>
          <w:bCs w:val="0"/>
          <w:sz w:val="24"/>
          <w:szCs w:val="24"/>
        </w:rPr>
      </w:pPr>
      <w:r w:rsidRPr="00135444">
        <w:rPr>
          <w:rFonts w:ascii="Minion Pro" w:hAnsi="Minion Pro"/>
          <w:b w:val="0"/>
          <w:bCs w:val="0"/>
          <w:sz w:val="24"/>
          <w:szCs w:val="24"/>
        </w:rPr>
        <w:t>The Grenfell Tower</w:t>
      </w:r>
      <w:r w:rsidRPr="00135444">
        <w:rPr>
          <w:rFonts w:ascii="Minion Pro" w:hAnsi="Minion Pro"/>
          <w:b w:val="0"/>
          <w:bCs w:val="0"/>
          <w:sz w:val="24"/>
          <w:szCs w:val="24"/>
        </w:rPr>
        <w:t xml:space="preserve"> Inquiry</w:t>
      </w:r>
      <w:r w:rsidRPr="00135444">
        <w:rPr>
          <w:rFonts w:ascii="Minion Pro" w:hAnsi="Minion Pro"/>
          <w:b w:val="0"/>
          <w:bCs w:val="0"/>
          <w:sz w:val="24"/>
          <w:szCs w:val="24"/>
        </w:rPr>
        <w:t xml:space="preserve"> held a consultation on the terms of reference</w:t>
      </w:r>
      <w:r w:rsidRPr="00135444">
        <w:rPr>
          <w:rFonts w:ascii="Minion Pro" w:hAnsi="Minion Pro"/>
          <w:b w:val="0"/>
          <w:bCs w:val="0"/>
          <w:sz w:val="24"/>
          <w:szCs w:val="24"/>
        </w:rPr>
        <w:t xml:space="preserve">, however the chair ultimately decided to </w:t>
      </w:r>
      <w:r w:rsidRPr="00135444">
        <w:rPr>
          <w:rFonts w:ascii="Minion Pro" w:hAnsi="Minion Pro"/>
          <w:b w:val="0"/>
          <w:bCs w:val="0"/>
          <w:sz w:val="24"/>
          <w:szCs w:val="24"/>
        </w:rPr>
        <w:t>recommend</w:t>
      </w:r>
      <w:r w:rsidRPr="00135444">
        <w:rPr>
          <w:rFonts w:ascii="Minion Pro" w:hAnsi="Minion Pro"/>
          <w:b w:val="0"/>
          <w:bCs w:val="0"/>
          <w:sz w:val="24"/>
          <w:szCs w:val="24"/>
        </w:rPr>
        <w:t xml:space="preserve"> a narrower focus than what many of the people affected had </w:t>
      </w:r>
      <w:r w:rsidRPr="00135444">
        <w:rPr>
          <w:rFonts w:ascii="Minion Pro" w:hAnsi="Minion Pro"/>
          <w:b w:val="0"/>
          <w:bCs w:val="0"/>
          <w:sz w:val="24"/>
          <w:szCs w:val="24"/>
        </w:rPr>
        <w:t>campaigned for.</w:t>
      </w:r>
      <w:r>
        <w:rPr>
          <w:rStyle w:val="EndnoteReference"/>
          <w:rFonts w:ascii="Minion Pro" w:hAnsi="Minion Pro"/>
          <w:b w:val="0"/>
          <w:bCs w:val="0"/>
          <w:sz w:val="24"/>
          <w:szCs w:val="24"/>
        </w:rPr>
        <w:endnoteReference w:id="42"/>
      </w:r>
      <w:r w:rsidRPr="00135444">
        <w:rPr>
          <w:rFonts w:ascii="Minion Pro" w:hAnsi="Minion Pro"/>
          <w:b w:val="0"/>
          <w:bCs w:val="0"/>
          <w:sz w:val="24"/>
          <w:szCs w:val="24"/>
        </w:rPr>
        <w:t xml:space="preserve"> </w:t>
      </w:r>
      <w:r w:rsidRPr="00135444">
        <w:rPr>
          <w:rFonts w:ascii="Minion Pro" w:hAnsi="Minion Pro"/>
          <w:b w:val="0"/>
          <w:bCs w:val="0"/>
          <w:sz w:val="24"/>
          <w:szCs w:val="24"/>
        </w:rPr>
        <w:t>This undoubtedly harmed the trust between the affected community and the i</w:t>
      </w:r>
      <w:r w:rsidRPr="00135444">
        <w:rPr>
          <w:rFonts w:ascii="Minion Pro" w:hAnsi="Minion Pro"/>
          <w:b w:val="0"/>
          <w:bCs w:val="0"/>
          <w:sz w:val="24"/>
          <w:szCs w:val="24"/>
        </w:rPr>
        <w:t xml:space="preserve">nquiry. </w:t>
      </w:r>
      <w:r w:rsidRPr="00135444">
        <w:rPr>
          <w:rFonts w:ascii="Minion Pro" w:hAnsi="Minion Pro"/>
          <w:b w:val="0"/>
          <w:bCs w:val="0"/>
          <w:sz w:val="24"/>
          <w:szCs w:val="24"/>
        </w:rPr>
        <w:t>The</w:t>
      </w:r>
      <w:r w:rsidRPr="00135444">
        <w:rPr>
          <w:rFonts w:ascii="Minion Pro" w:hAnsi="Minion Pro"/>
          <w:b w:val="0"/>
          <w:bCs w:val="0"/>
          <w:sz w:val="24"/>
          <w:szCs w:val="24"/>
        </w:rPr>
        <w:t xml:space="preserve"> </w:t>
      </w:r>
      <w:r w:rsidRPr="00135444">
        <w:rPr>
          <w:rFonts w:ascii="Minion Pro" w:hAnsi="Minion Pro"/>
          <w:b w:val="0"/>
          <w:bCs w:val="0"/>
          <w:sz w:val="24"/>
          <w:szCs w:val="24"/>
        </w:rPr>
        <w:t xml:space="preserve">chair </w:t>
      </w:r>
      <w:r w:rsidRPr="00135444">
        <w:rPr>
          <w:rFonts w:ascii="Minion Pro" w:hAnsi="Minion Pro"/>
          <w:b w:val="0"/>
          <w:bCs w:val="0"/>
          <w:sz w:val="24"/>
          <w:szCs w:val="24"/>
        </w:rPr>
        <w:t>argued t</w:t>
      </w:r>
      <w:r w:rsidRPr="00135444">
        <w:rPr>
          <w:rFonts w:ascii="Minion Pro" w:hAnsi="Minion Pro"/>
          <w:b w:val="0"/>
          <w:bCs w:val="0"/>
          <w:sz w:val="24"/>
          <w:szCs w:val="24"/>
        </w:rPr>
        <w:t xml:space="preserve">wo reasons for </w:t>
      </w:r>
      <w:r w:rsidRPr="00135444">
        <w:rPr>
          <w:rFonts w:ascii="Minion Pro" w:hAnsi="Minion Pro"/>
          <w:b w:val="0"/>
          <w:bCs w:val="0"/>
          <w:sz w:val="24"/>
          <w:szCs w:val="24"/>
        </w:rPr>
        <w:t>narrower terms</w:t>
      </w:r>
      <w:r w:rsidRPr="00135444">
        <w:rPr>
          <w:rFonts w:ascii="Minion Pro" w:hAnsi="Minion Pro"/>
          <w:b w:val="0"/>
          <w:bCs w:val="0"/>
          <w:sz w:val="24"/>
          <w:szCs w:val="24"/>
        </w:rPr>
        <w:t>. Firstly that</w:t>
      </w:r>
      <w:r w:rsidRPr="00135444">
        <w:rPr>
          <w:rFonts w:ascii="Minion Pro" w:hAnsi="Minion Pro"/>
          <w:b w:val="0"/>
          <w:bCs w:val="0"/>
          <w:sz w:val="24"/>
          <w:szCs w:val="24"/>
        </w:rPr>
        <w:t xml:space="preserve"> it would enable the Inquiry to </w:t>
      </w:r>
      <w:r w:rsidRPr="00135444">
        <w:rPr>
          <w:rFonts w:ascii="Minion Pro" w:hAnsi="Minion Pro"/>
          <w:b w:val="0"/>
          <w:bCs w:val="0"/>
          <w:sz w:val="24"/>
          <w:szCs w:val="24"/>
        </w:rPr>
        <w:t xml:space="preserve">“complete it’s work as quickly as possible”, and also because “the inclusion of such broad questions within the scope of the Inquiry would raise questions </w:t>
      </w:r>
      <w:r w:rsidRPr="00135444">
        <w:rPr>
          <w:rFonts w:ascii="Minion Pro" w:hAnsi="Minion Pro"/>
          <w:b w:val="0"/>
          <w:bCs w:val="0"/>
          <w:sz w:val="24"/>
          <w:szCs w:val="24"/>
        </w:rPr>
        <w:t xml:space="preserve">of </w:t>
      </w:r>
      <w:r w:rsidRPr="00135444">
        <w:rPr>
          <w:rFonts w:ascii="Minion Pro" w:hAnsi="Minion Pro"/>
          <w:b w:val="0"/>
          <w:bCs w:val="0"/>
          <w:sz w:val="24"/>
          <w:szCs w:val="24"/>
        </w:rPr>
        <w:t>a social, economic and political nature which in my view are not suitable for a judge-led inquiry.”</w:t>
      </w:r>
      <w:r>
        <w:rPr>
          <w:rStyle w:val="EndnoteReference"/>
          <w:rFonts w:ascii="Minion Pro" w:hAnsi="Minion Pro"/>
          <w:b w:val="0"/>
          <w:bCs w:val="0"/>
          <w:sz w:val="24"/>
          <w:szCs w:val="24"/>
        </w:rPr>
        <w:endnoteReference w:id="43"/>
      </w:r>
      <w:r w:rsidRPr="00135444">
        <w:rPr>
          <w:rFonts w:ascii="Minion Pro" w:hAnsi="Minion Pro"/>
          <w:b w:val="0"/>
          <w:bCs w:val="0"/>
          <w:sz w:val="24"/>
          <w:szCs w:val="24"/>
        </w:rPr>
        <w:t xml:space="preserve"> </w:t>
      </w:r>
      <w:r w:rsidRPr="00135444">
        <w:rPr>
          <w:rFonts w:ascii="Minion Pro" w:hAnsi="Minion Pro"/>
          <w:b w:val="0"/>
          <w:bCs w:val="0"/>
          <w:sz w:val="24"/>
          <w:szCs w:val="24"/>
        </w:rPr>
        <w:t>The chair’s recommended terms of reference were accepted in full by Theresa May, then Prime Minister.</w:t>
      </w:r>
      <w:r>
        <w:rPr>
          <w:rStyle w:val="EndnoteReference"/>
          <w:rFonts w:ascii="Minion Pro" w:hAnsi="Minion Pro"/>
          <w:b w:val="0"/>
          <w:bCs w:val="0"/>
          <w:sz w:val="24"/>
          <w:szCs w:val="24"/>
        </w:rPr>
        <w:endnoteReference w:id="44"/>
      </w:r>
      <w:r w:rsidRPr="00135444">
        <w:rPr>
          <w:rFonts w:ascii="Minion Pro" w:hAnsi="Minion Pro"/>
          <w:b w:val="0"/>
          <w:bCs w:val="0"/>
          <w:sz w:val="24"/>
          <w:szCs w:val="24"/>
        </w:rPr>
        <w:t xml:space="preserve"> </w:t>
      </w:r>
    </w:p>
    <w:p w:rsidR="00B84466" w:rsidRPr="00135444" w:rsidP="004A2278">
      <w:pPr>
        <w:rPr>
          <w:rFonts w:ascii="Minion Pro" w:hAnsi="Minion Pro"/>
          <w:sz w:val="24"/>
          <w:szCs w:val="24"/>
        </w:rPr>
      </w:pPr>
      <w:r w:rsidRPr="00135444">
        <w:rPr>
          <w:rFonts w:ascii="Minion Pro" w:hAnsi="Minion Pro"/>
          <w:sz w:val="24"/>
          <w:szCs w:val="24"/>
        </w:rPr>
        <w:t>Some</w:t>
      </w:r>
      <w:r w:rsidRPr="00135444">
        <w:rPr>
          <w:rFonts w:ascii="Minion Pro" w:hAnsi="Minion Pro"/>
          <w:sz w:val="24"/>
          <w:szCs w:val="24"/>
        </w:rPr>
        <w:t xml:space="preserve"> recent inquiries such as the Manchester Are</w:t>
      </w:r>
      <w:r w:rsidRPr="00135444">
        <w:rPr>
          <w:rFonts w:ascii="Minion Pro" w:hAnsi="Minion Pro"/>
          <w:sz w:val="24"/>
          <w:szCs w:val="24"/>
        </w:rPr>
        <w:t>na Inquiry</w:t>
      </w:r>
      <w:r w:rsidRPr="00135444">
        <w:rPr>
          <w:rFonts w:ascii="Minion Pro" w:hAnsi="Minion Pro"/>
          <w:sz w:val="24"/>
          <w:szCs w:val="24"/>
        </w:rPr>
        <w:t xml:space="preserve"> and the Jermaine Baker Inquiry have been announced with terms of reference already set – although there may have been private consultation in advance.</w:t>
      </w:r>
      <w:r>
        <w:rPr>
          <w:rStyle w:val="EndnoteReference"/>
          <w:rFonts w:ascii="Minion Pro" w:hAnsi="Minion Pro"/>
          <w:sz w:val="24"/>
          <w:szCs w:val="24"/>
        </w:rPr>
        <w:endnoteReference w:id="45"/>
      </w:r>
      <w:r w:rsidRPr="00135444">
        <w:rPr>
          <w:rFonts w:ascii="Minion Pro" w:hAnsi="Minion Pro"/>
          <w:sz w:val="24"/>
          <w:szCs w:val="24"/>
          <w:vertAlign w:val="superscript"/>
        </w:rPr>
        <w:t>,</w:t>
      </w:r>
      <w:r>
        <w:rPr>
          <w:rStyle w:val="EndnoteReference"/>
          <w:rFonts w:ascii="Minion Pro" w:hAnsi="Minion Pro"/>
          <w:sz w:val="24"/>
          <w:szCs w:val="24"/>
        </w:rPr>
        <w:endnoteReference w:id="46"/>
      </w:r>
      <w:r w:rsidRPr="00135444">
        <w:rPr>
          <w:rFonts w:ascii="Minion Pro" w:hAnsi="Minion Pro"/>
          <w:sz w:val="24"/>
          <w:szCs w:val="24"/>
        </w:rPr>
        <w:t xml:space="preserve"> </w:t>
      </w:r>
      <w:r w:rsidRPr="00135444">
        <w:rPr>
          <w:rFonts w:ascii="Minion Pro" w:hAnsi="Minion Pro"/>
          <w:sz w:val="24"/>
          <w:szCs w:val="24"/>
        </w:rPr>
        <w:t xml:space="preserve">In general consultation on the terms of reference is good practice and </w:t>
      </w:r>
      <w:r w:rsidRPr="00135444">
        <w:rPr>
          <w:rFonts w:ascii="Minion Pro" w:hAnsi="Minion Pro"/>
          <w:sz w:val="24"/>
          <w:szCs w:val="24"/>
        </w:rPr>
        <w:t>can help ensure that</w:t>
      </w:r>
      <w:r w:rsidRPr="00135444">
        <w:rPr>
          <w:rFonts w:ascii="Minion Pro" w:hAnsi="Minion Pro"/>
          <w:sz w:val="24"/>
          <w:szCs w:val="24"/>
        </w:rPr>
        <w:t xml:space="preserve"> the scope of the inquiry aligns closely with both the concerns of those affected, and the imperative to </w:t>
      </w:r>
      <w:r w:rsidRPr="00135444">
        <w:rPr>
          <w:rFonts w:ascii="Minion Pro" w:hAnsi="Minion Pro"/>
          <w:sz w:val="24"/>
          <w:szCs w:val="24"/>
        </w:rPr>
        <w:t>deliver lasting change.</w:t>
      </w:r>
      <w:r w:rsidRPr="00135444">
        <w:rPr>
          <w:rFonts w:ascii="Minion Pro" w:hAnsi="Minion Pro"/>
          <w:sz w:val="24"/>
          <w:szCs w:val="24"/>
        </w:rPr>
        <w:t xml:space="preserve"> If the government establishes a statutory inquiry under the 2005 </w:t>
      </w:r>
      <w:r w:rsidRPr="00135444">
        <w:rPr>
          <w:rFonts w:ascii="Minion Pro" w:hAnsi="Minion Pro"/>
          <w:sz w:val="24"/>
          <w:szCs w:val="24"/>
        </w:rPr>
        <w:t>A</w:t>
      </w:r>
      <w:r w:rsidRPr="00135444">
        <w:rPr>
          <w:rFonts w:ascii="Minion Pro" w:hAnsi="Minion Pro"/>
          <w:sz w:val="24"/>
          <w:szCs w:val="24"/>
        </w:rPr>
        <w:t xml:space="preserve">ct and appoints a panel, then they are required by law to </w:t>
      </w:r>
      <w:r w:rsidRPr="00135444">
        <w:rPr>
          <w:rFonts w:ascii="Minion Pro" w:hAnsi="Minion Pro"/>
          <w:sz w:val="24"/>
          <w:szCs w:val="24"/>
        </w:rPr>
        <w:t>be consulted.</w:t>
      </w:r>
      <w:r>
        <w:rPr>
          <w:rStyle w:val="EndnoteReference"/>
          <w:rFonts w:ascii="Minion Pro" w:hAnsi="Minion Pro"/>
          <w:sz w:val="24"/>
          <w:szCs w:val="24"/>
        </w:rPr>
        <w:endnoteReference w:id="47"/>
      </w:r>
      <w:r w:rsidRPr="00135444">
        <w:rPr>
          <w:rFonts w:ascii="Minion Pro" w:hAnsi="Minion Pro"/>
          <w:sz w:val="24"/>
          <w:szCs w:val="24"/>
        </w:rPr>
        <w:t xml:space="preserve"> </w:t>
      </w:r>
    </w:p>
    <w:p w:rsidR="00B84466" w:rsidRPr="00135444" w:rsidP="004A2278">
      <w:pPr>
        <w:rPr>
          <w:rFonts w:ascii="Minion Pro" w:hAnsi="Minion Pro"/>
          <w:sz w:val="24"/>
          <w:szCs w:val="24"/>
        </w:rPr>
      </w:pPr>
      <w:r w:rsidRPr="00135444">
        <w:rPr>
          <w:rFonts w:ascii="Minion Pro" w:hAnsi="Minion Pro"/>
          <w:sz w:val="24"/>
          <w:szCs w:val="24"/>
        </w:rPr>
        <w:t>In addition to consultation on the Terms of Reference, the chair of any inquiry into coronavirus should be deeply involved in their determination. This should include any chair making use of the right to amend the terms of reference as they</w:t>
      </w:r>
      <w:r w:rsidRPr="00135444">
        <w:rPr>
          <w:rFonts w:ascii="Minion Pro" w:hAnsi="Minion Pro"/>
          <w:sz w:val="24"/>
          <w:szCs w:val="24"/>
        </w:rPr>
        <w:t xml:space="preserve"> begin to gather evidence that helps them better determine the scope. </w:t>
      </w:r>
    </w:p>
    <w:p w:rsidR="00242269" w:rsidRPr="00135444" w:rsidP="004A2278">
      <w:pPr>
        <w:rPr>
          <w:rFonts w:ascii="Minion Pro" w:hAnsi="Minion Pro"/>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8 - </w:t>
      </w:r>
      <w:r w:rsidRPr="00135444">
        <w:rPr>
          <w:rFonts w:ascii="Minion Pro" w:hAnsi="Minion Pro"/>
          <w:sz w:val="24"/>
          <w:szCs w:val="24"/>
        </w:rPr>
        <w:t xml:space="preserve">What role should Parliament play? How much input should it have and how far should it have an oversight role? </w:t>
      </w:r>
    </w:p>
    <w:p w:rsidR="00443148" w:rsidRPr="00135444" w:rsidP="00823B95">
      <w:pPr>
        <w:spacing w:after="160"/>
        <w:rPr>
          <w:rFonts w:ascii="Minion Pro" w:hAnsi="Minion Pro"/>
          <w:sz w:val="24"/>
          <w:szCs w:val="24"/>
        </w:rPr>
      </w:pPr>
      <w:r w:rsidRPr="00135444">
        <w:rPr>
          <w:rFonts w:ascii="Minion Pro" w:hAnsi="Minion Pro"/>
          <w:sz w:val="24"/>
          <w:szCs w:val="24"/>
        </w:rPr>
        <w:t xml:space="preserve">The main role for Parliament should be focused on </w:t>
      </w:r>
      <w:r w:rsidRPr="00135444">
        <w:rPr>
          <w:rFonts w:ascii="Minion Pro" w:hAnsi="Minion Pro"/>
          <w:sz w:val="24"/>
          <w:szCs w:val="24"/>
        </w:rPr>
        <w:t>holding the governm</w:t>
      </w:r>
      <w:r w:rsidRPr="00135444">
        <w:rPr>
          <w:rFonts w:ascii="Minion Pro" w:hAnsi="Minion Pro"/>
          <w:sz w:val="24"/>
          <w:szCs w:val="24"/>
        </w:rPr>
        <w:t>ent to account</w:t>
      </w:r>
      <w:r w:rsidRPr="00135444">
        <w:rPr>
          <w:rFonts w:ascii="Minion Pro" w:hAnsi="Minion Pro"/>
          <w:sz w:val="24"/>
          <w:szCs w:val="24"/>
        </w:rPr>
        <w:t xml:space="preserve"> for implementing the recommendations of an inquiry</w:t>
      </w:r>
      <w:r w:rsidRPr="00135444">
        <w:rPr>
          <w:rFonts w:ascii="Minion Pro" w:hAnsi="Minion Pro"/>
          <w:sz w:val="24"/>
          <w:szCs w:val="24"/>
        </w:rPr>
        <w:t xml:space="preserve">. </w:t>
      </w:r>
    </w:p>
    <w:p w:rsidR="00443148" w:rsidRPr="00135444" w:rsidP="00823B95">
      <w:pPr>
        <w:spacing w:after="160"/>
        <w:rPr>
          <w:rFonts w:ascii="Minion Pro" w:hAnsi="Minion Pro"/>
          <w:sz w:val="24"/>
          <w:szCs w:val="24"/>
        </w:rPr>
      </w:pPr>
      <w:r w:rsidRPr="00135444">
        <w:rPr>
          <w:rFonts w:ascii="Minion Pro" w:hAnsi="Minion Pro"/>
          <w:sz w:val="24"/>
          <w:szCs w:val="24"/>
        </w:rPr>
        <w:t>Currently, there is very little firm procedure for holding government to account for any promises made in the aftermath of inquiries. The Inquiries Act 2005 does not make any provision for</w:t>
      </w:r>
      <w:r w:rsidRPr="00135444">
        <w:rPr>
          <w:rFonts w:ascii="Minion Pro" w:hAnsi="Minion Pro"/>
          <w:sz w:val="24"/>
          <w:szCs w:val="24"/>
        </w:rPr>
        <w:t xml:space="preserve"> the implementation of inquiry recommendations and recommendations are non-binding.</w:t>
      </w:r>
    </w:p>
    <w:p w:rsidR="00443148" w:rsidRPr="00135444" w:rsidP="00823B95">
      <w:pPr>
        <w:rPr>
          <w:rFonts w:ascii="Minion Pro" w:hAnsi="Minion Pro"/>
          <w:sz w:val="24"/>
          <w:szCs w:val="24"/>
        </w:rPr>
      </w:pPr>
      <w:r w:rsidRPr="00135444">
        <w:rPr>
          <w:rFonts w:ascii="Minion Pro" w:hAnsi="Minion Pro"/>
          <w:sz w:val="24"/>
          <w:szCs w:val="24"/>
        </w:rPr>
        <w:t>To improve scrutiny in the aftermath of inquiries, there should be an</w:t>
      </w:r>
      <w:r w:rsidRPr="00135444">
        <w:rPr>
          <w:rFonts w:ascii="Minion Pro" w:hAnsi="Minion Pro"/>
          <w:sz w:val="24"/>
          <w:szCs w:val="24"/>
        </w:rPr>
        <w:t xml:space="preserve"> enhanced role for select committees in undertaking this scrutiny of government</w:t>
      </w:r>
      <w:r w:rsidRPr="00135444">
        <w:rPr>
          <w:rFonts w:ascii="Minion Pro" w:hAnsi="Minion Pro"/>
          <w:sz w:val="24"/>
          <w:szCs w:val="24"/>
        </w:rPr>
        <w:t>. Their routine involvem</w:t>
      </w:r>
      <w:r w:rsidRPr="00135444">
        <w:rPr>
          <w:rFonts w:ascii="Minion Pro" w:hAnsi="Minion Pro"/>
          <w:sz w:val="24"/>
          <w:szCs w:val="24"/>
        </w:rPr>
        <w:t>ent would provide an opportunity to monitor the state of the implementation of inquiry recommendations. This happened in the case of the Mid Staffs Inquiry – Sir Robert Francis invited the Health Select Committee to review whether implementation of his rec</w:t>
      </w:r>
      <w:r w:rsidRPr="00135444">
        <w:rPr>
          <w:rFonts w:ascii="Minion Pro" w:hAnsi="Minion Pro"/>
          <w:sz w:val="24"/>
          <w:szCs w:val="24"/>
        </w:rPr>
        <w:t xml:space="preserve">ommendations was happening, which they did effectively. </w:t>
      </w:r>
    </w:p>
    <w:p w:rsidR="00443148" w:rsidRPr="00135444" w:rsidP="00823B95">
      <w:pPr>
        <w:rPr>
          <w:rFonts w:ascii="Minion Pro" w:hAnsi="Minion Pro"/>
          <w:sz w:val="24"/>
          <w:szCs w:val="24"/>
        </w:rPr>
      </w:pPr>
      <w:r w:rsidRPr="00135444">
        <w:rPr>
          <w:rFonts w:ascii="Minion Pro" w:hAnsi="Minion Pro"/>
          <w:sz w:val="24"/>
          <w:szCs w:val="24"/>
        </w:rPr>
        <w:t xml:space="preserve">In addition to this, </w:t>
      </w:r>
      <w:r w:rsidRPr="00135444">
        <w:rPr>
          <w:rFonts w:ascii="Minion Pro" w:hAnsi="Minion Pro"/>
          <w:sz w:val="24"/>
          <w:szCs w:val="24"/>
        </w:rPr>
        <w:t>scrutinising the implementation of inquiry findings should become a core task for select committees</w:t>
      </w:r>
      <w:r w:rsidRPr="00135444">
        <w:rPr>
          <w:rFonts w:ascii="Minion Pro" w:hAnsi="Minion Pro"/>
          <w:sz w:val="24"/>
          <w:szCs w:val="24"/>
        </w:rPr>
        <w:t xml:space="preserve">. Given the number of inquiries that government pursues, the burden of running </w:t>
      </w:r>
      <w:r w:rsidRPr="00135444">
        <w:rPr>
          <w:rFonts w:ascii="Minion Pro" w:hAnsi="Minion Pro"/>
          <w:sz w:val="24"/>
          <w:szCs w:val="24"/>
        </w:rPr>
        <w:t xml:space="preserve">regular sessions on every inquiry might be overwhelming. Therefore, government departments responsible for implementing inquiry recommendations should update the relevant department select committee on progress. In instances where the information provided </w:t>
      </w:r>
      <w:r w:rsidRPr="00135444">
        <w:rPr>
          <w:rFonts w:ascii="Minion Pro" w:hAnsi="Minion Pro"/>
          <w:sz w:val="24"/>
          <w:szCs w:val="24"/>
        </w:rPr>
        <w:t>is unsatisfactory, select committees should move to hold full hearings.</w:t>
      </w:r>
    </w:p>
    <w:p w:rsidR="00242269" w:rsidRPr="00135444" w:rsidP="00823B95">
      <w:pPr>
        <w:rPr>
          <w:rFonts w:ascii="Minion Pro" w:hAnsi="Minion Pro"/>
          <w:sz w:val="24"/>
          <w:szCs w:val="24"/>
        </w:rPr>
      </w:pPr>
    </w:p>
    <w:p w:rsidR="009D19F2" w:rsidRPr="00135444" w:rsidP="00447120">
      <w:pPr>
        <w:pStyle w:val="Heading2"/>
        <w:rPr>
          <w:rFonts w:ascii="Minion Pro" w:hAnsi="Minion Pro"/>
          <w:sz w:val="24"/>
          <w:szCs w:val="24"/>
        </w:rPr>
      </w:pPr>
      <w:r w:rsidRPr="00135444">
        <w:rPr>
          <w:rFonts w:ascii="Minion Pro" w:hAnsi="Minion Pro"/>
          <w:sz w:val="24"/>
          <w:szCs w:val="24"/>
        </w:rPr>
        <w:t xml:space="preserve">9 - </w:t>
      </w:r>
      <w:r w:rsidRPr="00135444">
        <w:rPr>
          <w:rFonts w:ascii="Minion Pro" w:hAnsi="Minion Pro"/>
          <w:sz w:val="24"/>
          <w:szCs w:val="24"/>
        </w:rPr>
        <w:t>What mechanisms are there to ensure that the recommendations of any inquiry are implemented?</w:t>
      </w:r>
    </w:p>
    <w:p w:rsidR="003578FF" w:rsidRPr="00135444" w:rsidP="00EF52B5">
      <w:pPr>
        <w:rPr>
          <w:rFonts w:ascii="Minion Pro" w:hAnsi="Minion Pro"/>
          <w:sz w:val="24"/>
          <w:szCs w:val="24"/>
        </w:rPr>
      </w:pPr>
      <w:r w:rsidRPr="00135444">
        <w:rPr>
          <w:rFonts w:ascii="Minion Pro" w:hAnsi="Minion Pro"/>
          <w:sz w:val="24"/>
          <w:szCs w:val="24"/>
        </w:rPr>
        <w:t>The implementation of inquiry recommendations has been patchy.</w:t>
      </w:r>
      <w:r>
        <w:rPr>
          <w:rStyle w:val="EndnoteReference"/>
          <w:rFonts w:ascii="Minion Pro" w:hAnsi="Minion Pro"/>
          <w:sz w:val="24"/>
          <w:szCs w:val="24"/>
        </w:rPr>
        <w:endnoteReference w:id="48"/>
      </w:r>
      <w:r w:rsidRPr="00135444">
        <w:rPr>
          <w:rFonts w:ascii="Minion Pro" w:hAnsi="Minion Pro"/>
          <w:sz w:val="24"/>
          <w:szCs w:val="24"/>
        </w:rPr>
        <w:t xml:space="preserve"> As Sir Robert Francis </w:t>
      </w:r>
      <w:r w:rsidRPr="00135444">
        <w:rPr>
          <w:rFonts w:ascii="Minion Pro" w:hAnsi="Minion Pro"/>
          <w:sz w:val="24"/>
          <w:szCs w:val="24"/>
        </w:rPr>
        <w:t>noted,</w:t>
      </w:r>
      <w:r w:rsidRPr="00135444">
        <w:rPr>
          <w:rFonts w:ascii="Minion Pro" w:hAnsi="Minion Pro"/>
          <w:sz w:val="24"/>
          <w:szCs w:val="24"/>
        </w:rPr>
        <w:t xml:space="preserve"> </w:t>
      </w:r>
      <w:r w:rsidRPr="00135444">
        <w:rPr>
          <w:rFonts w:ascii="Minion Pro" w:hAnsi="Minion Pro"/>
          <w:sz w:val="24"/>
          <w:szCs w:val="24"/>
        </w:rPr>
        <w:t>”The implementation of recommendations is</w:t>
      </w:r>
      <w:r w:rsidRPr="00135444">
        <w:rPr>
          <w:rFonts w:ascii="Minion Pro" w:hAnsi="Minion Pro"/>
          <w:sz w:val="24"/>
          <w:szCs w:val="24"/>
        </w:rPr>
        <w:t>…</w:t>
      </w:r>
      <w:r w:rsidRPr="00135444">
        <w:rPr>
          <w:rFonts w:ascii="Minion Pro" w:hAnsi="Minion Pro"/>
          <w:sz w:val="24"/>
          <w:szCs w:val="24"/>
        </w:rPr>
        <w:t xml:space="preserve"> far from guaranteed, even where those to whom they are addressed accept – or appear to accept them. A study of the fate of inquiry recommendations makes grim reading for inquiry panels”.</w:t>
      </w:r>
      <w:r>
        <w:rPr>
          <w:rStyle w:val="EndnoteReference"/>
          <w:rFonts w:ascii="Minion Pro" w:hAnsi="Minion Pro"/>
          <w:sz w:val="24"/>
          <w:szCs w:val="24"/>
        </w:rPr>
        <w:endnoteReference w:id="49"/>
      </w:r>
      <w:r w:rsidRPr="00135444">
        <w:rPr>
          <w:rFonts w:ascii="Minion Pro" w:hAnsi="Minion Pro"/>
          <w:sz w:val="24"/>
          <w:szCs w:val="24"/>
        </w:rPr>
        <w:t xml:space="preserve"> </w:t>
      </w:r>
      <w:r w:rsidRPr="00135444">
        <w:rPr>
          <w:rFonts w:ascii="Minion Pro" w:hAnsi="Minion Pro"/>
          <w:sz w:val="24"/>
          <w:szCs w:val="24"/>
        </w:rPr>
        <w:t>In a few instances</w:t>
      </w:r>
      <w:r w:rsidRPr="00135444">
        <w:rPr>
          <w:rFonts w:ascii="Minion Pro" w:hAnsi="Minion Pro"/>
          <w:sz w:val="24"/>
          <w:szCs w:val="24"/>
        </w:rPr>
        <w:t xml:space="preserve"> – such as the Mid Staffs Inquiry – there was a thorough follow-up process, scrutinised by Parliament. However</w:t>
      </w:r>
      <w:r w:rsidRPr="00135444">
        <w:rPr>
          <w:rFonts w:ascii="Minion Pro" w:hAnsi="Minion Pro"/>
          <w:sz w:val="24"/>
          <w:szCs w:val="24"/>
        </w:rPr>
        <w:t>,</w:t>
      </w:r>
      <w:r w:rsidRPr="00135444">
        <w:rPr>
          <w:rFonts w:ascii="Minion Pro" w:hAnsi="Minion Pro"/>
          <w:sz w:val="24"/>
          <w:szCs w:val="24"/>
        </w:rPr>
        <w:t xml:space="preserve"> </w:t>
      </w:r>
      <w:r w:rsidRPr="00135444">
        <w:rPr>
          <w:rFonts w:ascii="Minion Pro" w:hAnsi="Minion Pro"/>
          <w:sz w:val="24"/>
          <w:szCs w:val="24"/>
        </w:rPr>
        <w:t>it is clear that recommendations are not always implemented, and the worst cases arise when the failure to make change after one inquiry leads t</w:t>
      </w:r>
      <w:r w:rsidRPr="00135444">
        <w:rPr>
          <w:rFonts w:ascii="Minion Pro" w:hAnsi="Minion Pro"/>
          <w:sz w:val="24"/>
          <w:szCs w:val="24"/>
        </w:rPr>
        <w:t xml:space="preserve">o a repeated failure of the same or similar type. </w:t>
      </w:r>
    </w:p>
    <w:p w:rsidR="005A1952" w:rsidRPr="00135444" w:rsidP="00EF52B5">
      <w:pPr>
        <w:rPr>
          <w:rFonts w:ascii="Minion Pro" w:hAnsi="Minion Pro"/>
          <w:sz w:val="24"/>
          <w:szCs w:val="24"/>
        </w:rPr>
      </w:pPr>
      <w:r w:rsidRPr="00135444">
        <w:rPr>
          <w:rFonts w:ascii="Minion Pro" w:hAnsi="Minion Pro"/>
          <w:sz w:val="24"/>
          <w:szCs w:val="24"/>
        </w:rPr>
        <w:t>We have seen instances of this with the Inquests after the 7/7 terror attacks, which noted tha</w:t>
      </w:r>
      <w:r w:rsidRPr="00135444">
        <w:rPr>
          <w:rFonts w:ascii="Minion Pro" w:hAnsi="Minion Pro"/>
          <w:sz w:val="24"/>
          <w:szCs w:val="24"/>
        </w:rPr>
        <w:t>t the emergency services and TfL workers suffered the same interoperability issues with their radio equipment a</w:t>
      </w:r>
      <w:r w:rsidRPr="00135444">
        <w:rPr>
          <w:rFonts w:ascii="Minion Pro" w:hAnsi="Minion Pro"/>
          <w:sz w:val="24"/>
          <w:szCs w:val="24"/>
        </w:rPr>
        <w:t xml:space="preserve">s had been the case </w:t>
      </w:r>
      <w:r w:rsidRPr="00135444">
        <w:rPr>
          <w:rFonts w:ascii="Minion Pro" w:hAnsi="Minion Pro"/>
          <w:sz w:val="24"/>
          <w:szCs w:val="24"/>
        </w:rPr>
        <w:t>during the 1987 Kings Cross Fire, despite recommendations made by the subsequent inquiry into the fire. Similarly</w:t>
      </w:r>
      <w:r w:rsidRPr="00135444">
        <w:rPr>
          <w:rFonts w:ascii="Minion Pro" w:hAnsi="Minion Pro"/>
          <w:sz w:val="24"/>
          <w:szCs w:val="24"/>
        </w:rPr>
        <w:t>,</w:t>
      </w:r>
      <w:r w:rsidRPr="00135444">
        <w:rPr>
          <w:rFonts w:ascii="Minion Pro" w:hAnsi="Minion Pro"/>
          <w:sz w:val="24"/>
          <w:szCs w:val="24"/>
        </w:rPr>
        <w:t xml:space="preserve"> the first report of the Grenfell Inquiry noted </w:t>
      </w:r>
      <w:r w:rsidRPr="00135444">
        <w:rPr>
          <w:rFonts w:ascii="Minion Pro" w:hAnsi="Minion Pro"/>
          <w:sz w:val="24"/>
          <w:szCs w:val="24"/>
        </w:rPr>
        <w:t>similar issues in fire service control rooms which should have been addres</w:t>
      </w:r>
      <w:r w:rsidRPr="00135444">
        <w:rPr>
          <w:rFonts w:ascii="Minion Pro" w:hAnsi="Minion Pro"/>
          <w:sz w:val="24"/>
          <w:szCs w:val="24"/>
        </w:rPr>
        <w:t xml:space="preserve">sed following the inquest into the fire at Lakanal House in 2009. </w:t>
      </w:r>
      <w:r w:rsidRPr="00135444">
        <w:rPr>
          <w:rFonts w:ascii="Minion Pro" w:hAnsi="Minion Pro"/>
          <w:sz w:val="24"/>
          <w:szCs w:val="24"/>
        </w:rPr>
        <w:t>There have almost certainly been other instances like these.</w:t>
      </w:r>
      <w:r>
        <w:rPr>
          <w:rStyle w:val="EndnoteReference"/>
          <w:rFonts w:ascii="Minion Pro" w:hAnsi="Minion Pro"/>
          <w:sz w:val="24"/>
          <w:szCs w:val="24"/>
        </w:rPr>
        <w:endnoteReference w:id="50"/>
      </w:r>
    </w:p>
    <w:p w:rsidR="00443148" w:rsidRPr="00135444" w:rsidP="00823B95">
      <w:pPr>
        <w:pStyle w:val="Heading3"/>
        <w:rPr>
          <w:rFonts w:ascii="Minion Pro" w:hAnsi="Minion Pro"/>
          <w:sz w:val="24"/>
        </w:rPr>
      </w:pPr>
      <w:r w:rsidRPr="00135444">
        <w:rPr>
          <w:rFonts w:ascii="Minion Pro" w:hAnsi="Minion Pro"/>
          <w:sz w:val="24"/>
        </w:rPr>
        <w:t>The role of the chair</w:t>
      </w:r>
    </w:p>
    <w:p w:rsidR="00EB781C" w:rsidRPr="00135444" w:rsidP="00EB781C">
      <w:pPr>
        <w:rPr>
          <w:rFonts w:ascii="Minion Pro" w:hAnsi="Minion Pro"/>
          <w:sz w:val="24"/>
          <w:szCs w:val="24"/>
        </w:rPr>
      </w:pPr>
      <w:r w:rsidRPr="00135444">
        <w:rPr>
          <w:rFonts w:ascii="Minion Pro" w:hAnsi="Minion Pro"/>
          <w:sz w:val="24"/>
          <w:szCs w:val="24"/>
        </w:rPr>
        <w:t>Acknowledging this</w:t>
      </w:r>
      <w:r w:rsidRPr="00135444">
        <w:rPr>
          <w:rFonts w:ascii="Minion Pro" w:hAnsi="Minion Pro"/>
          <w:sz w:val="24"/>
          <w:szCs w:val="24"/>
        </w:rPr>
        <w:t xml:space="preserve"> issue</w:t>
      </w:r>
      <w:r w:rsidRPr="00135444">
        <w:rPr>
          <w:rFonts w:ascii="Minion Pro" w:hAnsi="Minion Pro"/>
          <w:sz w:val="24"/>
          <w:szCs w:val="24"/>
        </w:rPr>
        <w:t xml:space="preserve"> s</w:t>
      </w:r>
      <w:r w:rsidRPr="00135444">
        <w:rPr>
          <w:rFonts w:ascii="Minion Pro" w:hAnsi="Minion Pro"/>
          <w:sz w:val="24"/>
          <w:szCs w:val="24"/>
        </w:rPr>
        <w:t xml:space="preserve">ome inquiry chairs have taken a more direct or hands-on approach to seeing their recommendations implemented: </w:t>
      </w:r>
    </w:p>
    <w:p w:rsidR="00EB781C" w:rsidRPr="00135444" w:rsidP="00EB781C">
      <w:pPr>
        <w:pStyle w:val="ListParagraph"/>
        <w:numPr>
          <w:ilvl w:val="0"/>
          <w:numId w:val="25"/>
        </w:numPr>
        <w:rPr>
          <w:rFonts w:ascii="Minion Pro" w:hAnsi="Minion Pro"/>
          <w:b w:val="0"/>
          <w:bCs w:val="0"/>
          <w:sz w:val="24"/>
          <w:szCs w:val="24"/>
        </w:rPr>
      </w:pPr>
      <w:r w:rsidRPr="00135444">
        <w:rPr>
          <w:rFonts w:ascii="Minion Pro" w:hAnsi="Minion Pro"/>
          <w:b w:val="0"/>
          <w:bCs w:val="0"/>
          <w:sz w:val="24"/>
          <w:szCs w:val="24"/>
        </w:rPr>
        <w:t>Lord Laming developed a detailed implementation plan as part of his report into the death of Baby P which considered the status of recommendation</w:t>
      </w:r>
      <w:r w:rsidRPr="00135444">
        <w:rPr>
          <w:rFonts w:ascii="Minion Pro" w:hAnsi="Minion Pro"/>
          <w:b w:val="0"/>
          <w:bCs w:val="0"/>
          <w:sz w:val="24"/>
          <w:szCs w:val="24"/>
        </w:rPr>
        <w:t>s made by his earlier inquiry into the death of Victoria Climbié.</w:t>
      </w:r>
      <w:r>
        <w:rPr>
          <w:rStyle w:val="EndnoteReference"/>
          <w:rFonts w:ascii="Minion Pro" w:hAnsi="Minion Pro"/>
          <w:b w:val="0"/>
          <w:bCs w:val="0"/>
          <w:sz w:val="24"/>
          <w:szCs w:val="24"/>
        </w:rPr>
        <w:endnoteReference w:id="51"/>
      </w:r>
      <w:r w:rsidRPr="00135444">
        <w:rPr>
          <w:rFonts w:ascii="Minion Pro" w:hAnsi="Minion Pro"/>
          <w:b w:val="0"/>
          <w:bCs w:val="0"/>
          <w:sz w:val="24"/>
          <w:szCs w:val="24"/>
        </w:rPr>
        <w:t xml:space="preserve"> </w:t>
      </w:r>
    </w:p>
    <w:p w:rsidR="00EB781C" w:rsidRPr="00135444" w:rsidP="00EB781C">
      <w:pPr>
        <w:pStyle w:val="ListParagraph"/>
        <w:numPr>
          <w:ilvl w:val="0"/>
          <w:numId w:val="25"/>
        </w:numPr>
        <w:rPr>
          <w:rFonts w:ascii="Minion Pro" w:hAnsi="Minion Pro"/>
          <w:b w:val="0"/>
          <w:bCs w:val="0"/>
          <w:sz w:val="24"/>
          <w:szCs w:val="24"/>
        </w:rPr>
      </w:pPr>
      <w:r w:rsidRPr="00135444">
        <w:rPr>
          <w:rFonts w:ascii="Minion Pro" w:hAnsi="Minion Pro"/>
          <w:b w:val="0"/>
          <w:bCs w:val="0"/>
          <w:sz w:val="24"/>
          <w:szCs w:val="24"/>
        </w:rPr>
        <w:t>Lord Bichard, reconvened his inquiry six months after the publication of his report to consider how well the recommendations were being implemented.</w:t>
      </w:r>
      <w:r>
        <w:rPr>
          <w:rStyle w:val="EndnoteReference"/>
          <w:rFonts w:ascii="Minion Pro" w:hAnsi="Minion Pro"/>
          <w:b w:val="0"/>
          <w:bCs w:val="0"/>
          <w:sz w:val="24"/>
          <w:szCs w:val="24"/>
        </w:rPr>
        <w:endnoteReference w:id="52"/>
      </w:r>
      <w:r w:rsidRPr="00135444">
        <w:rPr>
          <w:rFonts w:ascii="Minion Pro" w:hAnsi="Minion Pro"/>
          <w:b w:val="0"/>
          <w:bCs w:val="0"/>
          <w:sz w:val="24"/>
          <w:szCs w:val="24"/>
        </w:rPr>
        <w:t xml:space="preserve"> </w:t>
      </w:r>
    </w:p>
    <w:p w:rsidR="00443148" w:rsidRPr="00135444" w:rsidP="00443148">
      <w:pPr>
        <w:pStyle w:val="ListParagraph"/>
        <w:numPr>
          <w:ilvl w:val="0"/>
          <w:numId w:val="25"/>
        </w:numPr>
        <w:rPr>
          <w:rFonts w:ascii="Minion Pro" w:hAnsi="Minion Pro"/>
          <w:b w:val="0"/>
          <w:bCs w:val="0"/>
          <w:sz w:val="24"/>
          <w:szCs w:val="24"/>
        </w:rPr>
      </w:pPr>
      <w:r w:rsidRPr="00135444">
        <w:rPr>
          <w:rFonts w:ascii="Minion Pro" w:hAnsi="Minion Pro"/>
          <w:b w:val="0"/>
          <w:bCs w:val="0"/>
          <w:sz w:val="24"/>
          <w:szCs w:val="24"/>
        </w:rPr>
        <w:t xml:space="preserve">The first </w:t>
      </w:r>
      <w:r w:rsidRPr="00135444">
        <w:rPr>
          <w:rFonts w:ascii="Minion Pro" w:hAnsi="Minion Pro"/>
          <w:b w:val="0"/>
          <w:bCs w:val="0"/>
          <w:sz w:val="24"/>
          <w:szCs w:val="24"/>
        </w:rPr>
        <w:t>recommendation of Sir Robert Francis’s report for the Mid Staffordshire NHS Foundation Trust Inquiry specifically invited the House of Commons Select Committee on Health to “consider incorporating into its reviews of the performance of organisations accoun</w:t>
      </w:r>
      <w:r w:rsidRPr="00135444">
        <w:rPr>
          <w:rFonts w:ascii="Minion Pro" w:hAnsi="Minion Pro"/>
          <w:b w:val="0"/>
          <w:bCs w:val="0"/>
          <w:sz w:val="24"/>
          <w:szCs w:val="24"/>
        </w:rPr>
        <w:t>table to Parliament a review of the decisions and actions they have taken with regard to the recommendations in this report.”</w:t>
      </w:r>
      <w:r>
        <w:rPr>
          <w:rStyle w:val="EndnoteReference"/>
          <w:rFonts w:ascii="Minion Pro" w:hAnsi="Minion Pro"/>
          <w:b w:val="0"/>
          <w:bCs w:val="0"/>
          <w:sz w:val="24"/>
          <w:szCs w:val="24"/>
        </w:rPr>
        <w:endnoteReference w:id="53"/>
      </w:r>
    </w:p>
    <w:p w:rsidR="00443148" w:rsidRPr="00135444" w:rsidP="00823B95">
      <w:pPr>
        <w:pStyle w:val="Heading3"/>
        <w:rPr>
          <w:rFonts w:ascii="Minion Pro" w:hAnsi="Minion Pro"/>
          <w:bCs/>
          <w:sz w:val="24"/>
        </w:rPr>
      </w:pPr>
      <w:r w:rsidRPr="00135444">
        <w:rPr>
          <w:rFonts w:ascii="Minion Pro" w:hAnsi="Minion Pro"/>
          <w:bCs/>
          <w:sz w:val="24"/>
        </w:rPr>
        <w:t>Structuring an inquiry to support change</w:t>
      </w:r>
    </w:p>
    <w:p w:rsidR="00784E1B" w:rsidRPr="00135444" w:rsidP="00EF52B5">
      <w:pPr>
        <w:rPr>
          <w:rFonts w:ascii="Minion Pro" w:hAnsi="Minion Pro"/>
          <w:sz w:val="24"/>
          <w:szCs w:val="24"/>
        </w:rPr>
      </w:pPr>
      <w:r w:rsidRPr="00135444">
        <w:rPr>
          <w:rFonts w:ascii="Minion Pro" w:hAnsi="Minion Pro"/>
          <w:sz w:val="24"/>
          <w:szCs w:val="24"/>
        </w:rPr>
        <w:t xml:space="preserve">An inquiry cannot bind the government to </w:t>
      </w:r>
      <w:r w:rsidRPr="00135444">
        <w:rPr>
          <w:rFonts w:ascii="Minion Pro" w:hAnsi="Minion Pro"/>
          <w:sz w:val="24"/>
          <w:szCs w:val="24"/>
        </w:rPr>
        <w:t xml:space="preserve">accept its </w:t>
      </w:r>
      <w:r w:rsidRPr="00135444">
        <w:rPr>
          <w:rFonts w:ascii="Minion Pro" w:hAnsi="Minion Pro"/>
          <w:sz w:val="24"/>
          <w:szCs w:val="24"/>
        </w:rPr>
        <w:t xml:space="preserve">recommendations, however there are </w:t>
      </w:r>
      <w:r w:rsidRPr="00135444">
        <w:rPr>
          <w:rFonts w:ascii="Minion Pro" w:hAnsi="Minion Pro"/>
          <w:sz w:val="24"/>
          <w:szCs w:val="24"/>
        </w:rPr>
        <w:t>s</w:t>
      </w:r>
      <w:r w:rsidRPr="00135444">
        <w:rPr>
          <w:rFonts w:ascii="Minion Pro" w:hAnsi="Minion Pro"/>
          <w:sz w:val="24"/>
          <w:szCs w:val="24"/>
        </w:rPr>
        <w:t>teps</w:t>
      </w:r>
      <w:r w:rsidRPr="00135444">
        <w:rPr>
          <w:rFonts w:ascii="Minion Pro" w:hAnsi="Minion Pro"/>
          <w:sz w:val="24"/>
          <w:szCs w:val="24"/>
        </w:rPr>
        <w:t xml:space="preserve"> that can be taken to support implementation and ensure that </w:t>
      </w:r>
      <w:r w:rsidRPr="00135444">
        <w:rPr>
          <w:rFonts w:ascii="Minion Pro" w:hAnsi="Minion Pro"/>
          <w:sz w:val="24"/>
          <w:szCs w:val="24"/>
        </w:rPr>
        <w:t>lasting, positive change occurs</w:t>
      </w:r>
      <w:r w:rsidRPr="00135444">
        <w:rPr>
          <w:rFonts w:ascii="Minion Pro" w:hAnsi="Minion Pro"/>
          <w:sz w:val="24"/>
          <w:szCs w:val="24"/>
        </w:rPr>
        <w:t xml:space="preserve">. </w:t>
      </w:r>
      <w:r w:rsidRPr="00135444">
        <w:rPr>
          <w:rFonts w:ascii="Minion Pro" w:hAnsi="Minion Pro"/>
          <w:sz w:val="24"/>
          <w:szCs w:val="24"/>
        </w:rPr>
        <w:t>Some of these involve developing better recommendations in the first place:</w:t>
      </w:r>
    </w:p>
    <w:p w:rsidR="00A8578E" w:rsidRPr="00135444" w:rsidP="00A8578E">
      <w:pPr>
        <w:pStyle w:val="ListParagraph"/>
        <w:numPr>
          <w:ilvl w:val="0"/>
          <w:numId w:val="17"/>
        </w:numPr>
        <w:rPr>
          <w:rFonts w:ascii="Minion Pro" w:hAnsi="Minion Pro"/>
          <w:sz w:val="24"/>
          <w:szCs w:val="24"/>
        </w:rPr>
      </w:pPr>
      <w:r w:rsidRPr="00135444">
        <w:rPr>
          <w:rFonts w:ascii="Minion Pro" w:hAnsi="Minion Pro"/>
          <w:b w:val="0"/>
          <w:bCs w:val="0"/>
          <w:sz w:val="24"/>
          <w:szCs w:val="24"/>
        </w:rPr>
        <w:t xml:space="preserve">All recommendations </w:t>
      </w:r>
      <w:r w:rsidRPr="00135444">
        <w:rPr>
          <w:rFonts w:ascii="Minion Pro" w:hAnsi="Minion Pro"/>
          <w:b w:val="0"/>
          <w:bCs w:val="0"/>
          <w:sz w:val="24"/>
          <w:szCs w:val="24"/>
        </w:rPr>
        <w:t xml:space="preserve">made by the inquiry </w:t>
      </w:r>
      <w:r w:rsidRPr="00135444">
        <w:rPr>
          <w:rFonts w:ascii="Minion Pro" w:hAnsi="Minion Pro"/>
          <w:b w:val="0"/>
          <w:bCs w:val="0"/>
          <w:sz w:val="24"/>
          <w:szCs w:val="24"/>
        </w:rPr>
        <w:t xml:space="preserve">should </w:t>
      </w:r>
      <w:r w:rsidRPr="00135444">
        <w:rPr>
          <w:rFonts w:ascii="Minion Pro" w:hAnsi="Minion Pro"/>
          <w:b w:val="0"/>
          <w:bCs w:val="0"/>
          <w:sz w:val="24"/>
          <w:szCs w:val="24"/>
        </w:rPr>
        <w:t>clearly indicate who is supposed to</w:t>
      </w:r>
      <w:r w:rsidRPr="00135444">
        <w:rPr>
          <w:rFonts w:ascii="Minion Pro" w:hAnsi="Minion Pro"/>
          <w:b w:val="0"/>
          <w:bCs w:val="0"/>
          <w:sz w:val="24"/>
          <w:szCs w:val="24"/>
        </w:rPr>
        <w:t xml:space="preserve"> take action  and </w:t>
      </w:r>
      <w:r w:rsidRPr="00135444">
        <w:rPr>
          <w:rFonts w:ascii="Minion Pro" w:hAnsi="Minion Pro"/>
          <w:b w:val="0"/>
          <w:bCs w:val="0"/>
          <w:sz w:val="24"/>
          <w:szCs w:val="24"/>
        </w:rPr>
        <w:t>suggested timescales for when they should be implemented.</w:t>
      </w:r>
    </w:p>
    <w:p w:rsidR="00894B26" w:rsidRPr="00135444" w:rsidP="00A8578E">
      <w:pPr>
        <w:pStyle w:val="ListParagraph"/>
        <w:numPr>
          <w:ilvl w:val="0"/>
          <w:numId w:val="17"/>
        </w:numPr>
        <w:rPr>
          <w:rFonts w:ascii="Minion Pro" w:hAnsi="Minion Pro"/>
          <w:sz w:val="24"/>
          <w:szCs w:val="24"/>
        </w:rPr>
      </w:pPr>
      <w:r w:rsidRPr="00135444">
        <w:rPr>
          <w:rFonts w:ascii="Minion Pro" w:hAnsi="Minion Pro"/>
          <w:b w:val="0"/>
          <w:bCs w:val="0"/>
          <w:sz w:val="24"/>
          <w:szCs w:val="24"/>
        </w:rPr>
        <w:t xml:space="preserve">Every recommendation should be developed and reviewed by a group of individuals with relevant policy-making </w:t>
      </w:r>
      <w:r w:rsidRPr="00135444">
        <w:rPr>
          <w:rFonts w:ascii="Minion Pro" w:hAnsi="Minion Pro"/>
          <w:b w:val="0"/>
          <w:bCs w:val="0"/>
          <w:sz w:val="24"/>
          <w:szCs w:val="24"/>
        </w:rPr>
        <w:t xml:space="preserve">and implementation expertise via a series of seminars at the end of the </w:t>
      </w:r>
      <w:r w:rsidRPr="00135444">
        <w:rPr>
          <w:rFonts w:ascii="Minion Pro" w:hAnsi="Minion Pro"/>
          <w:b w:val="0"/>
          <w:bCs w:val="0"/>
          <w:sz w:val="24"/>
          <w:szCs w:val="24"/>
        </w:rPr>
        <w:t>inquiry.</w:t>
      </w:r>
      <w:r>
        <w:rPr>
          <w:rStyle w:val="EndnoteReference"/>
          <w:rFonts w:ascii="Minion Pro" w:hAnsi="Minion Pro"/>
          <w:b w:val="0"/>
          <w:bCs w:val="0"/>
          <w:sz w:val="24"/>
          <w:szCs w:val="24"/>
        </w:rPr>
        <w:endnoteReference w:id="54"/>
      </w:r>
      <w:r w:rsidRPr="00135444">
        <w:rPr>
          <w:rFonts w:ascii="Minion Pro" w:hAnsi="Minion Pro"/>
          <w:b w:val="0"/>
          <w:bCs w:val="0"/>
          <w:sz w:val="24"/>
          <w:szCs w:val="24"/>
        </w:rPr>
        <w:t xml:space="preserve"> These seminars should be used to help determine how quickly it would be reasonable for each recommendation to be implemented, and who should be responsible for the change.</w:t>
      </w:r>
    </w:p>
    <w:p w:rsidR="00443148" w:rsidRPr="00135444" w:rsidP="00823B95">
      <w:pPr>
        <w:pStyle w:val="Heading3"/>
        <w:rPr>
          <w:rFonts w:ascii="Minion Pro" w:hAnsi="Minion Pro"/>
          <w:sz w:val="24"/>
        </w:rPr>
      </w:pPr>
      <w:r w:rsidRPr="00135444">
        <w:rPr>
          <w:rFonts w:ascii="Minion Pro" w:hAnsi="Minion Pro"/>
          <w:sz w:val="24"/>
        </w:rPr>
        <w:t>Government leadership</w:t>
      </w:r>
    </w:p>
    <w:p w:rsidR="00A1413A" w:rsidRPr="00135444" w:rsidP="00185C3E">
      <w:pPr>
        <w:rPr>
          <w:rFonts w:ascii="Minion Pro" w:hAnsi="Minion Pro"/>
          <w:sz w:val="24"/>
          <w:szCs w:val="24"/>
        </w:rPr>
      </w:pPr>
      <w:r w:rsidRPr="00135444">
        <w:rPr>
          <w:rFonts w:ascii="Minion Pro" w:hAnsi="Minion Pro"/>
          <w:sz w:val="24"/>
          <w:szCs w:val="24"/>
        </w:rPr>
        <w:t xml:space="preserve">The relevant departments </w:t>
      </w:r>
      <w:r w:rsidRPr="00135444">
        <w:rPr>
          <w:rFonts w:ascii="Minion Pro" w:hAnsi="Minion Pro"/>
          <w:sz w:val="24"/>
          <w:szCs w:val="24"/>
        </w:rPr>
        <w:t>should create transparent m</w:t>
      </w:r>
      <w:r w:rsidRPr="00135444">
        <w:rPr>
          <w:rFonts w:ascii="Minion Pro" w:hAnsi="Minion Pro"/>
          <w:sz w:val="24"/>
          <w:szCs w:val="24"/>
        </w:rPr>
        <w:t>echanisms to implement recommendations</w:t>
      </w:r>
      <w:r w:rsidRPr="00135444">
        <w:rPr>
          <w:rFonts w:ascii="Minion Pro" w:hAnsi="Minion Pro"/>
          <w:sz w:val="24"/>
          <w:szCs w:val="24"/>
        </w:rPr>
        <w:t>. A good example of this followed the Inquiry into Hyponatraemia-Related Deaths i</w:t>
      </w:r>
      <w:r w:rsidRPr="00135444">
        <w:rPr>
          <w:rFonts w:ascii="Minion Pro" w:hAnsi="Minion Pro"/>
          <w:sz w:val="24"/>
          <w:szCs w:val="24"/>
        </w:rPr>
        <w:t>n Northern Ireland</w:t>
      </w:r>
      <w:r w:rsidRPr="00135444">
        <w:rPr>
          <w:rFonts w:ascii="Minion Pro" w:hAnsi="Minion Pro"/>
          <w:sz w:val="24"/>
          <w:szCs w:val="24"/>
        </w:rPr>
        <w:t>. There</w:t>
      </w:r>
      <w:r w:rsidRPr="00135444">
        <w:rPr>
          <w:rFonts w:ascii="Minion Pro" w:hAnsi="Minion Pro"/>
          <w:sz w:val="24"/>
          <w:szCs w:val="24"/>
        </w:rPr>
        <w:t xml:space="preserve"> the Department of Health established nine workstreams to oversee the implementation of recommendations made by </w:t>
      </w:r>
      <w:r w:rsidRPr="00135444">
        <w:rPr>
          <w:rFonts w:ascii="Minion Pro" w:hAnsi="Minion Pro"/>
          <w:sz w:val="24"/>
          <w:szCs w:val="24"/>
        </w:rPr>
        <w:t xml:space="preserve">the </w:t>
      </w:r>
      <w:r w:rsidRPr="00135444">
        <w:rPr>
          <w:rFonts w:ascii="Minion Pro" w:hAnsi="Minion Pro"/>
          <w:sz w:val="24"/>
          <w:szCs w:val="24"/>
        </w:rPr>
        <w:t>inquiry.</w:t>
      </w:r>
      <w:r>
        <w:rPr>
          <w:rStyle w:val="EndnoteReference"/>
          <w:rFonts w:ascii="Minion Pro" w:hAnsi="Minion Pro"/>
          <w:sz w:val="24"/>
          <w:szCs w:val="24"/>
        </w:rPr>
        <w:endnoteReference w:id="55"/>
      </w:r>
    </w:p>
    <w:p w:rsidR="00443148" w:rsidRPr="00135444" w:rsidP="00823B95">
      <w:pPr>
        <w:pStyle w:val="Heading3"/>
        <w:rPr>
          <w:rFonts w:ascii="Minion Pro" w:hAnsi="Minion Pro"/>
          <w:bCs/>
          <w:sz w:val="24"/>
        </w:rPr>
      </w:pPr>
      <w:r w:rsidRPr="00135444">
        <w:rPr>
          <w:rFonts w:ascii="Minion Pro" w:hAnsi="Minion Pro"/>
          <w:bCs/>
          <w:sz w:val="24"/>
        </w:rPr>
        <w:t>The role of Parliament</w:t>
      </w:r>
    </w:p>
    <w:p w:rsidR="00B973B8" w:rsidRPr="00135444">
      <w:pPr>
        <w:rPr>
          <w:rFonts w:ascii="Minion Pro" w:hAnsi="Minion Pro"/>
          <w:sz w:val="24"/>
          <w:szCs w:val="24"/>
        </w:rPr>
      </w:pPr>
      <w:r w:rsidRPr="00135444">
        <w:rPr>
          <w:rFonts w:ascii="Minion Pro" w:hAnsi="Minion Pro"/>
          <w:sz w:val="24"/>
          <w:szCs w:val="24"/>
        </w:rPr>
        <w:t>S</w:t>
      </w:r>
      <w:r w:rsidRPr="00135444">
        <w:rPr>
          <w:rFonts w:ascii="Minion Pro" w:hAnsi="Minion Pro"/>
          <w:sz w:val="24"/>
          <w:szCs w:val="24"/>
        </w:rPr>
        <w:t>elect committee</w:t>
      </w:r>
      <w:r w:rsidRPr="00135444">
        <w:rPr>
          <w:rFonts w:ascii="Minion Pro" w:hAnsi="Minion Pro"/>
          <w:sz w:val="24"/>
          <w:szCs w:val="24"/>
        </w:rPr>
        <w:t>s</w:t>
      </w:r>
      <w:r w:rsidRPr="00135444">
        <w:rPr>
          <w:rFonts w:ascii="Minion Pro" w:hAnsi="Minion Pro"/>
          <w:sz w:val="24"/>
          <w:szCs w:val="24"/>
        </w:rPr>
        <w:t xml:space="preserve"> should take </w:t>
      </w:r>
      <w:r w:rsidRPr="00135444">
        <w:rPr>
          <w:rFonts w:ascii="Minion Pro" w:hAnsi="Minion Pro"/>
          <w:sz w:val="24"/>
          <w:szCs w:val="24"/>
        </w:rPr>
        <w:t>responsibility for</w:t>
      </w:r>
      <w:r w:rsidRPr="00135444">
        <w:rPr>
          <w:rFonts w:ascii="Minion Pro" w:hAnsi="Minion Pro"/>
          <w:sz w:val="24"/>
          <w:szCs w:val="24"/>
        </w:rPr>
        <w:t xml:space="preserve"> scruti</w:t>
      </w:r>
      <w:r w:rsidRPr="00135444">
        <w:rPr>
          <w:rFonts w:ascii="Minion Pro" w:hAnsi="Minion Pro"/>
          <w:sz w:val="24"/>
          <w:szCs w:val="24"/>
        </w:rPr>
        <w:t>nising</w:t>
      </w:r>
      <w:r w:rsidRPr="00135444">
        <w:rPr>
          <w:rFonts w:ascii="Minion Pro" w:hAnsi="Minion Pro"/>
          <w:sz w:val="24"/>
          <w:szCs w:val="24"/>
        </w:rPr>
        <w:t xml:space="preserve"> the implementation of </w:t>
      </w:r>
      <w:r w:rsidRPr="00135444">
        <w:rPr>
          <w:rFonts w:ascii="Minion Pro" w:hAnsi="Minion Pro"/>
          <w:sz w:val="24"/>
          <w:szCs w:val="24"/>
        </w:rPr>
        <w:t xml:space="preserve">inquiry </w:t>
      </w:r>
      <w:r w:rsidRPr="00135444">
        <w:rPr>
          <w:rFonts w:ascii="Minion Pro" w:hAnsi="Minion Pro"/>
          <w:sz w:val="24"/>
          <w:szCs w:val="24"/>
        </w:rPr>
        <w:t>recommendations.</w:t>
      </w:r>
      <w:r>
        <w:rPr>
          <w:rStyle w:val="EndnoteReference"/>
          <w:rFonts w:ascii="Minion Pro" w:hAnsi="Minion Pro"/>
          <w:sz w:val="24"/>
          <w:szCs w:val="24"/>
        </w:rPr>
        <w:endnoteReference w:id="56"/>
      </w:r>
      <w:r w:rsidRPr="00135444">
        <w:rPr>
          <w:rFonts w:ascii="Minion Pro" w:hAnsi="Minion Pro"/>
          <w:sz w:val="24"/>
          <w:szCs w:val="24"/>
        </w:rPr>
        <w:t xml:space="preserve"> </w:t>
      </w:r>
      <w:r w:rsidRPr="00135444">
        <w:rPr>
          <w:rFonts w:ascii="Minion Pro" w:hAnsi="Minion Pro"/>
          <w:sz w:val="24"/>
          <w:szCs w:val="24"/>
        </w:rPr>
        <w:t>The Government</w:t>
      </w:r>
      <w:r w:rsidRPr="00135444">
        <w:rPr>
          <w:rFonts w:ascii="Minion Pro" w:hAnsi="Minion Pro"/>
          <w:sz w:val="24"/>
          <w:szCs w:val="24"/>
        </w:rPr>
        <w:t xml:space="preserve"> should publish a </w:t>
      </w:r>
      <w:r w:rsidRPr="00135444">
        <w:rPr>
          <w:rFonts w:ascii="Minion Pro" w:hAnsi="Minion Pro"/>
          <w:sz w:val="24"/>
          <w:szCs w:val="24"/>
        </w:rPr>
        <w:t xml:space="preserve">response to any inquiry reports and their recommendations, detailing </w:t>
      </w:r>
      <w:r w:rsidRPr="00135444">
        <w:rPr>
          <w:rFonts w:ascii="Minion Pro" w:hAnsi="Minion Pro"/>
          <w:sz w:val="24"/>
          <w:szCs w:val="24"/>
        </w:rPr>
        <w:t>which are accepted or rejected – with clear reasons why</w:t>
      </w:r>
      <w:r w:rsidRPr="00135444">
        <w:rPr>
          <w:rFonts w:ascii="Minion Pro" w:hAnsi="Minion Pro"/>
          <w:sz w:val="24"/>
          <w:szCs w:val="24"/>
        </w:rPr>
        <w:t xml:space="preserve">. This </w:t>
      </w:r>
      <w:r w:rsidRPr="00135444">
        <w:rPr>
          <w:rFonts w:ascii="Minion Pro" w:hAnsi="Minion Pro"/>
          <w:sz w:val="24"/>
          <w:szCs w:val="24"/>
        </w:rPr>
        <w:t xml:space="preserve">report </w:t>
      </w:r>
      <w:r w:rsidRPr="00135444">
        <w:rPr>
          <w:rFonts w:ascii="Minion Pro" w:hAnsi="Minion Pro"/>
          <w:sz w:val="24"/>
          <w:szCs w:val="24"/>
        </w:rPr>
        <w:t>should be the roadmap for implementation and select committees should use it to hold the government to account.</w:t>
      </w:r>
      <w:r w:rsidRPr="00135444">
        <w:rPr>
          <w:rFonts w:ascii="Minion Pro" w:hAnsi="Minion Pro"/>
          <w:sz w:val="24"/>
          <w:szCs w:val="24"/>
        </w:rPr>
        <w:t xml:space="preserve"> Relevant committees</w:t>
      </w:r>
      <w:r w:rsidRPr="00135444">
        <w:rPr>
          <w:rFonts w:ascii="Minion Pro" w:hAnsi="Minion Pro"/>
          <w:sz w:val="24"/>
          <w:szCs w:val="24"/>
        </w:rPr>
        <w:t xml:space="preserve"> should call ministers and senior officials to provide r</w:t>
      </w:r>
      <w:r w:rsidRPr="00135444">
        <w:rPr>
          <w:rFonts w:ascii="Minion Pro" w:hAnsi="Minion Pro"/>
          <w:sz w:val="24"/>
          <w:szCs w:val="24"/>
        </w:rPr>
        <w:t xml:space="preserve">egular progress reports. </w:t>
      </w:r>
    </w:p>
    <w:p w:rsidR="006763A5" w:rsidRPr="00135444" w:rsidP="00185C3E">
      <w:pPr>
        <w:rPr>
          <w:rFonts w:ascii="Minion Pro" w:hAnsi="Minion Pro"/>
          <w:sz w:val="24"/>
          <w:szCs w:val="24"/>
        </w:rPr>
      </w:pPr>
      <w:r w:rsidRPr="00135444">
        <w:rPr>
          <w:rFonts w:ascii="Minion Pro" w:hAnsi="Minion Pro"/>
          <w:sz w:val="24"/>
          <w:szCs w:val="24"/>
        </w:rPr>
        <w:t>One example of what this might look like is the Mid Staffs Inquiry:</w:t>
      </w:r>
    </w:p>
    <w:p w:rsidR="00B973B8" w:rsidRPr="00135444" w:rsidP="00B973B8">
      <w:pPr>
        <w:pStyle w:val="ListParagraph"/>
        <w:numPr>
          <w:ilvl w:val="0"/>
          <w:numId w:val="26"/>
        </w:numPr>
        <w:rPr>
          <w:rFonts w:ascii="Minion Pro" w:hAnsi="Minion Pro"/>
          <w:b w:val="0"/>
          <w:bCs w:val="0"/>
          <w:sz w:val="24"/>
          <w:szCs w:val="24"/>
        </w:rPr>
      </w:pPr>
      <w:r w:rsidRPr="00135444">
        <w:rPr>
          <w:rFonts w:ascii="Minion Pro" w:hAnsi="Minion Pro"/>
          <w:b w:val="0"/>
          <w:bCs w:val="0"/>
          <w:sz w:val="24"/>
          <w:szCs w:val="24"/>
        </w:rPr>
        <w:t>Sir Robert Francis publishe</w:t>
      </w:r>
      <w:r w:rsidRPr="00135444">
        <w:rPr>
          <w:rFonts w:ascii="Minion Pro" w:hAnsi="Minion Pro"/>
          <w:b w:val="0"/>
          <w:bCs w:val="0"/>
          <w:sz w:val="24"/>
          <w:szCs w:val="24"/>
        </w:rPr>
        <w:t>d</w:t>
      </w:r>
      <w:r w:rsidRPr="00135444">
        <w:rPr>
          <w:rFonts w:ascii="Minion Pro" w:hAnsi="Minion Pro"/>
          <w:b w:val="0"/>
          <w:bCs w:val="0"/>
          <w:sz w:val="24"/>
          <w:szCs w:val="24"/>
        </w:rPr>
        <w:t xml:space="preserve"> his report on the 6</w:t>
      </w:r>
      <w:r w:rsidRPr="00135444">
        <w:rPr>
          <w:rFonts w:ascii="Minion Pro" w:hAnsi="Minion Pro"/>
          <w:b w:val="0"/>
          <w:bCs w:val="0"/>
          <w:sz w:val="24"/>
          <w:szCs w:val="24"/>
          <w:vertAlign w:val="superscript"/>
        </w:rPr>
        <w:t>th</w:t>
      </w:r>
      <w:r w:rsidRPr="00135444">
        <w:rPr>
          <w:rFonts w:ascii="Minion Pro" w:hAnsi="Minion Pro"/>
          <w:b w:val="0"/>
          <w:bCs w:val="0"/>
          <w:sz w:val="24"/>
          <w:szCs w:val="24"/>
        </w:rPr>
        <w:t xml:space="preserve"> February 2013, it </w:t>
      </w:r>
      <w:r w:rsidRPr="00135444">
        <w:rPr>
          <w:rFonts w:ascii="Minion Pro" w:hAnsi="Minion Pro"/>
          <w:b w:val="0"/>
          <w:bCs w:val="0"/>
          <w:sz w:val="24"/>
          <w:szCs w:val="24"/>
        </w:rPr>
        <w:t>ma</w:t>
      </w:r>
      <w:r w:rsidRPr="00135444">
        <w:rPr>
          <w:rFonts w:ascii="Minion Pro" w:hAnsi="Minion Pro"/>
          <w:b w:val="0"/>
          <w:bCs w:val="0"/>
          <w:sz w:val="24"/>
          <w:szCs w:val="24"/>
        </w:rPr>
        <w:t>de</w:t>
      </w:r>
      <w:r w:rsidRPr="00135444">
        <w:rPr>
          <w:rFonts w:ascii="Minion Pro" w:hAnsi="Minion Pro"/>
          <w:b w:val="0"/>
          <w:bCs w:val="0"/>
          <w:sz w:val="24"/>
          <w:szCs w:val="24"/>
        </w:rPr>
        <w:t xml:space="preserve"> 290 recommendations.</w:t>
      </w:r>
      <w:r>
        <w:rPr>
          <w:rStyle w:val="EndnoteReference"/>
          <w:rFonts w:ascii="Minion Pro" w:hAnsi="Minion Pro"/>
          <w:b w:val="0"/>
          <w:bCs w:val="0"/>
          <w:sz w:val="24"/>
          <w:szCs w:val="24"/>
        </w:rPr>
        <w:endnoteReference w:id="57"/>
      </w:r>
      <w:r w:rsidRPr="00135444">
        <w:rPr>
          <w:rFonts w:ascii="Minion Pro" w:hAnsi="Minion Pro"/>
          <w:b w:val="0"/>
          <w:bCs w:val="0"/>
          <w:sz w:val="24"/>
          <w:szCs w:val="24"/>
        </w:rPr>
        <w:t xml:space="preserve"> </w:t>
      </w:r>
      <w:r w:rsidRPr="00135444">
        <w:rPr>
          <w:rFonts w:ascii="Minion Pro" w:hAnsi="Minion Pro"/>
          <w:b w:val="0"/>
          <w:bCs w:val="0"/>
          <w:sz w:val="24"/>
          <w:szCs w:val="24"/>
        </w:rPr>
        <w:t>His first recommendation invited the Commons Health Select Committ</w:t>
      </w:r>
      <w:r w:rsidRPr="00135444">
        <w:rPr>
          <w:rFonts w:ascii="Minion Pro" w:hAnsi="Minion Pro"/>
          <w:b w:val="0"/>
          <w:bCs w:val="0"/>
          <w:sz w:val="24"/>
          <w:szCs w:val="24"/>
        </w:rPr>
        <w:t xml:space="preserve">ee to scrutinise the implementation </w:t>
      </w:r>
      <w:r w:rsidRPr="00135444">
        <w:rPr>
          <w:rFonts w:ascii="Minion Pro" w:hAnsi="Minion Pro"/>
          <w:b w:val="0"/>
          <w:bCs w:val="0"/>
          <w:sz w:val="24"/>
          <w:szCs w:val="24"/>
        </w:rPr>
        <w:t xml:space="preserve">of the report’s findings. </w:t>
      </w:r>
      <w:r w:rsidRPr="00135444">
        <w:rPr>
          <w:rFonts w:ascii="Minion Pro" w:hAnsi="Minion Pro"/>
          <w:b w:val="0"/>
          <w:bCs w:val="0"/>
          <w:sz w:val="24"/>
          <w:szCs w:val="24"/>
        </w:rPr>
        <w:t>In response Prime Minister David Cameron told Parliament “</w:t>
      </w:r>
      <w:r w:rsidRPr="00135444">
        <w:rPr>
          <w:rFonts w:ascii="Minion Pro" w:hAnsi="Minion Pro"/>
          <w:b w:val="0"/>
          <w:bCs w:val="0"/>
          <w:sz w:val="24"/>
          <w:szCs w:val="24"/>
        </w:rPr>
        <w:t>We will study every one of the 290 recommendations in today’s report and we will respond in detail next month</w:t>
      </w:r>
      <w:r w:rsidRPr="00135444">
        <w:rPr>
          <w:rFonts w:ascii="Minion Pro" w:hAnsi="Minion Pro"/>
          <w:b w:val="0"/>
          <w:bCs w:val="0"/>
          <w:sz w:val="24"/>
          <w:szCs w:val="24"/>
        </w:rPr>
        <w:t>”.</w:t>
      </w:r>
      <w:r>
        <w:rPr>
          <w:rStyle w:val="EndnoteReference"/>
          <w:rFonts w:ascii="Minion Pro" w:hAnsi="Minion Pro"/>
          <w:b w:val="0"/>
          <w:bCs w:val="0"/>
          <w:sz w:val="24"/>
          <w:szCs w:val="24"/>
        </w:rPr>
        <w:endnoteReference w:id="58"/>
      </w:r>
      <w:r w:rsidRPr="00135444">
        <w:rPr>
          <w:rFonts w:ascii="Minion Pro" w:hAnsi="Minion Pro"/>
          <w:b w:val="0"/>
          <w:bCs w:val="0"/>
          <w:sz w:val="24"/>
          <w:szCs w:val="24"/>
        </w:rPr>
        <w:t xml:space="preserve"> In response to question</w:t>
      </w:r>
      <w:r w:rsidRPr="00135444">
        <w:rPr>
          <w:rFonts w:ascii="Minion Pro" w:hAnsi="Minion Pro"/>
          <w:b w:val="0"/>
          <w:bCs w:val="0"/>
          <w:sz w:val="24"/>
          <w:szCs w:val="24"/>
        </w:rPr>
        <w:t>s from MPs he provided assurances that the government would implement Sir Francis’s recommendations.</w:t>
      </w:r>
      <w:r w:rsidRPr="00135444">
        <w:rPr>
          <w:rFonts w:ascii="Minion Pro" w:hAnsi="Minion Pro"/>
          <w:b w:val="0"/>
          <w:bCs w:val="0"/>
          <w:sz w:val="24"/>
          <w:szCs w:val="24"/>
        </w:rPr>
        <w:t xml:space="preserve"> </w:t>
      </w:r>
    </w:p>
    <w:p w:rsidR="008B7B29" w:rsidRPr="00135444" w:rsidP="00A90E10">
      <w:pPr>
        <w:pStyle w:val="ListParagraph"/>
        <w:numPr>
          <w:ilvl w:val="0"/>
          <w:numId w:val="26"/>
        </w:numPr>
        <w:rPr>
          <w:rFonts w:ascii="Minion Pro" w:hAnsi="Minion Pro"/>
          <w:b w:val="0"/>
          <w:bCs w:val="0"/>
          <w:sz w:val="24"/>
          <w:szCs w:val="24"/>
        </w:rPr>
      </w:pPr>
      <w:r w:rsidRPr="00135444">
        <w:rPr>
          <w:rFonts w:ascii="Minion Pro" w:hAnsi="Minion Pro"/>
          <w:b w:val="0"/>
          <w:bCs w:val="0"/>
          <w:sz w:val="24"/>
          <w:szCs w:val="24"/>
        </w:rPr>
        <w:t xml:space="preserve">A little over a month later the </w:t>
      </w:r>
      <w:r w:rsidRPr="00135444">
        <w:rPr>
          <w:rFonts w:ascii="Minion Pro" w:hAnsi="Minion Pro"/>
          <w:b w:val="0"/>
          <w:bCs w:val="0"/>
          <w:sz w:val="24"/>
          <w:szCs w:val="24"/>
        </w:rPr>
        <w:t>g</w:t>
      </w:r>
      <w:r w:rsidRPr="00135444">
        <w:rPr>
          <w:rFonts w:ascii="Minion Pro" w:hAnsi="Minion Pro"/>
          <w:b w:val="0"/>
          <w:bCs w:val="0"/>
          <w:sz w:val="24"/>
          <w:szCs w:val="24"/>
        </w:rPr>
        <w:t>overnment publishes ‘Patients First and Foremost’</w:t>
      </w:r>
      <w:r w:rsidRPr="00135444">
        <w:rPr>
          <w:rFonts w:ascii="Minion Pro" w:hAnsi="Minion Pro"/>
          <w:b w:val="0"/>
          <w:bCs w:val="0"/>
          <w:sz w:val="24"/>
          <w:szCs w:val="24"/>
        </w:rPr>
        <w:t xml:space="preserve">. This </w:t>
      </w:r>
      <w:r w:rsidRPr="00135444">
        <w:rPr>
          <w:rFonts w:ascii="Minion Pro" w:hAnsi="Minion Pro"/>
          <w:b w:val="0"/>
          <w:bCs w:val="0"/>
          <w:sz w:val="24"/>
          <w:szCs w:val="24"/>
        </w:rPr>
        <w:t xml:space="preserve">report </w:t>
      </w:r>
      <w:r w:rsidRPr="00135444">
        <w:rPr>
          <w:rFonts w:ascii="Minion Pro" w:hAnsi="Minion Pro"/>
          <w:b w:val="0"/>
          <w:bCs w:val="0"/>
          <w:sz w:val="24"/>
          <w:szCs w:val="24"/>
        </w:rPr>
        <w:t xml:space="preserve">was </w:t>
      </w:r>
      <w:r w:rsidRPr="00135444">
        <w:rPr>
          <w:rFonts w:ascii="Minion Pro" w:hAnsi="Minion Pro"/>
          <w:b w:val="0"/>
          <w:bCs w:val="0"/>
          <w:sz w:val="24"/>
          <w:szCs w:val="24"/>
        </w:rPr>
        <w:t xml:space="preserve">“not, and could not be, a full response to each and </w:t>
      </w:r>
      <w:r w:rsidRPr="00135444">
        <w:rPr>
          <w:rFonts w:ascii="Minion Pro" w:hAnsi="Minion Pro"/>
          <w:b w:val="0"/>
          <w:bCs w:val="0"/>
          <w:sz w:val="24"/>
          <w:szCs w:val="24"/>
        </w:rPr>
        <w:t>every one of Robert Francis’ 290 recommendations.”.</w:t>
      </w:r>
      <w:r w:rsidRPr="00135444">
        <w:rPr>
          <w:rFonts w:ascii="Minion Pro" w:hAnsi="Minion Pro"/>
          <w:b w:val="0"/>
          <w:bCs w:val="0"/>
          <w:sz w:val="24"/>
          <w:szCs w:val="24"/>
        </w:rPr>
        <w:t xml:space="preserve"> But it outlined how the </w:t>
      </w:r>
      <w:r w:rsidRPr="00135444">
        <w:rPr>
          <w:rFonts w:ascii="Minion Pro" w:hAnsi="Minion Pro"/>
          <w:b w:val="0"/>
          <w:bCs w:val="0"/>
          <w:sz w:val="24"/>
          <w:szCs w:val="24"/>
        </w:rPr>
        <w:t>g</w:t>
      </w:r>
      <w:r w:rsidRPr="00135444">
        <w:rPr>
          <w:rFonts w:ascii="Minion Pro" w:hAnsi="Minion Pro"/>
          <w:b w:val="0"/>
          <w:bCs w:val="0"/>
          <w:sz w:val="24"/>
          <w:szCs w:val="24"/>
        </w:rPr>
        <w:t xml:space="preserve">overnment planned to engage with the </w:t>
      </w:r>
      <w:r w:rsidRPr="00135444">
        <w:rPr>
          <w:rFonts w:ascii="Minion Pro" w:hAnsi="Minion Pro"/>
          <w:b w:val="0"/>
          <w:bCs w:val="0"/>
          <w:sz w:val="24"/>
          <w:szCs w:val="24"/>
        </w:rPr>
        <w:t>issues raised in the report.</w:t>
      </w:r>
      <w:r>
        <w:rPr>
          <w:rStyle w:val="EndnoteReference"/>
          <w:rFonts w:ascii="Minion Pro" w:hAnsi="Minion Pro"/>
          <w:b w:val="0"/>
          <w:bCs w:val="0"/>
          <w:sz w:val="24"/>
          <w:szCs w:val="24"/>
        </w:rPr>
        <w:endnoteReference w:id="59"/>
      </w:r>
      <w:r w:rsidRPr="00135444">
        <w:rPr>
          <w:rFonts w:ascii="Minion Pro" w:hAnsi="Minion Pro"/>
          <w:b w:val="0"/>
          <w:bCs w:val="0"/>
          <w:sz w:val="24"/>
          <w:szCs w:val="24"/>
        </w:rPr>
        <w:t xml:space="preserve"> </w:t>
      </w:r>
    </w:p>
    <w:p w:rsidR="008B7B29" w:rsidRPr="00135444" w:rsidP="00A90E10">
      <w:pPr>
        <w:pStyle w:val="ListParagraph"/>
        <w:numPr>
          <w:ilvl w:val="0"/>
          <w:numId w:val="26"/>
        </w:numPr>
        <w:rPr>
          <w:rFonts w:ascii="Minion Pro" w:hAnsi="Minion Pro"/>
          <w:b w:val="0"/>
          <w:bCs w:val="0"/>
          <w:sz w:val="24"/>
          <w:szCs w:val="24"/>
        </w:rPr>
      </w:pPr>
      <w:r w:rsidRPr="00135444">
        <w:rPr>
          <w:rFonts w:ascii="Minion Pro" w:hAnsi="Minion Pro"/>
          <w:b w:val="0"/>
          <w:bCs w:val="0"/>
          <w:sz w:val="24"/>
          <w:szCs w:val="24"/>
        </w:rPr>
        <w:t>At the same</w:t>
      </w:r>
      <w:r w:rsidRPr="00135444">
        <w:rPr>
          <w:rFonts w:ascii="Minion Pro" w:hAnsi="Minion Pro"/>
          <w:b w:val="0"/>
          <w:bCs w:val="0"/>
          <w:sz w:val="24"/>
          <w:szCs w:val="24"/>
        </w:rPr>
        <w:t xml:space="preserve"> time the Commons Health Select </w:t>
      </w:r>
      <w:r w:rsidRPr="00135444">
        <w:rPr>
          <w:rFonts w:ascii="Minion Pro" w:hAnsi="Minion Pro"/>
          <w:b w:val="0"/>
          <w:bCs w:val="0"/>
          <w:sz w:val="24"/>
          <w:szCs w:val="24"/>
        </w:rPr>
        <w:t xml:space="preserve">Committee opened an inquiry into the Mid Staffs Inquiry report. </w:t>
      </w:r>
      <w:r w:rsidRPr="00135444">
        <w:rPr>
          <w:rFonts w:ascii="Minion Pro" w:hAnsi="Minion Pro"/>
          <w:b w:val="0"/>
          <w:bCs w:val="0"/>
          <w:sz w:val="24"/>
          <w:szCs w:val="24"/>
        </w:rPr>
        <w:t>They</w:t>
      </w:r>
      <w:r w:rsidRPr="00135444">
        <w:rPr>
          <w:rFonts w:ascii="Minion Pro" w:hAnsi="Minion Pro"/>
          <w:b w:val="0"/>
          <w:bCs w:val="0"/>
          <w:sz w:val="24"/>
          <w:szCs w:val="24"/>
        </w:rPr>
        <w:t xml:space="preserve"> </w:t>
      </w:r>
      <w:r w:rsidRPr="00135444">
        <w:rPr>
          <w:rFonts w:ascii="Minion Pro" w:hAnsi="Minion Pro"/>
          <w:b w:val="0"/>
          <w:bCs w:val="0"/>
          <w:sz w:val="24"/>
          <w:szCs w:val="24"/>
        </w:rPr>
        <w:t>took oral evidence from</w:t>
      </w:r>
      <w:r w:rsidRPr="00135444">
        <w:rPr>
          <w:rFonts w:ascii="Minion Pro" w:hAnsi="Minion Pro"/>
          <w:b w:val="0"/>
          <w:bCs w:val="0"/>
          <w:sz w:val="24"/>
          <w:szCs w:val="24"/>
        </w:rPr>
        <w:t xml:space="preserve"> several senior people including:</w:t>
      </w:r>
      <w:r w:rsidRPr="00135444">
        <w:rPr>
          <w:rFonts w:ascii="Minion Pro" w:hAnsi="Minion Pro"/>
          <w:b w:val="0"/>
          <w:bCs w:val="0"/>
          <w:sz w:val="24"/>
          <w:szCs w:val="24"/>
        </w:rPr>
        <w:t xml:space="preserve"> Sir Robert Francis, </w:t>
      </w:r>
      <w:r w:rsidRPr="00135444">
        <w:rPr>
          <w:rFonts w:ascii="Minion Pro" w:hAnsi="Minion Pro"/>
          <w:b w:val="0"/>
          <w:bCs w:val="0"/>
          <w:sz w:val="24"/>
          <w:szCs w:val="24"/>
        </w:rPr>
        <w:t>Sir David Nicholson</w:t>
      </w:r>
      <w:r w:rsidRPr="00135444">
        <w:rPr>
          <w:rFonts w:ascii="Minion Pro" w:hAnsi="Minion Pro"/>
          <w:b w:val="0"/>
          <w:bCs w:val="0"/>
          <w:sz w:val="24"/>
          <w:szCs w:val="24"/>
        </w:rPr>
        <w:t xml:space="preserve"> (CEO of NHS England), Dame Una O’Brien (Permanent Secretary at the Department of Health) and Jeremy Hunt (</w:t>
      </w:r>
      <w:r w:rsidRPr="00135444">
        <w:rPr>
          <w:rFonts w:ascii="Minion Pro" w:hAnsi="Minion Pro"/>
          <w:b w:val="0"/>
          <w:bCs w:val="0"/>
          <w:sz w:val="24"/>
          <w:szCs w:val="24"/>
        </w:rPr>
        <w:t>Secretary of State for Health).</w:t>
      </w:r>
      <w:r>
        <w:rPr>
          <w:rStyle w:val="EndnoteReference"/>
          <w:rFonts w:ascii="Minion Pro" w:hAnsi="Minion Pro"/>
          <w:b w:val="0"/>
          <w:bCs w:val="0"/>
          <w:sz w:val="24"/>
          <w:szCs w:val="24"/>
        </w:rPr>
        <w:endnoteReference w:id="60"/>
      </w:r>
      <w:r w:rsidRPr="00135444">
        <w:rPr>
          <w:rFonts w:ascii="Minion Pro" w:hAnsi="Minion Pro"/>
          <w:b w:val="0"/>
          <w:bCs w:val="0"/>
          <w:sz w:val="24"/>
          <w:szCs w:val="24"/>
        </w:rPr>
        <w:t xml:space="preserve"> The committee produ</w:t>
      </w:r>
      <w:r w:rsidRPr="00135444">
        <w:rPr>
          <w:rFonts w:ascii="Minion Pro" w:hAnsi="Minion Pro"/>
          <w:b w:val="0"/>
          <w:bCs w:val="0"/>
          <w:sz w:val="24"/>
          <w:szCs w:val="24"/>
        </w:rPr>
        <w:t xml:space="preserve">ced a report </w:t>
      </w:r>
      <w:r w:rsidRPr="00135444">
        <w:rPr>
          <w:rFonts w:ascii="Minion Pro" w:hAnsi="Minion Pro"/>
          <w:b w:val="0"/>
          <w:bCs w:val="0"/>
          <w:sz w:val="24"/>
          <w:szCs w:val="24"/>
        </w:rPr>
        <w:t xml:space="preserve">which posed questions for the government about its implementation strategy and </w:t>
      </w:r>
      <w:r w:rsidRPr="00135444">
        <w:rPr>
          <w:rFonts w:ascii="Minion Pro" w:hAnsi="Minion Pro"/>
          <w:b w:val="0"/>
          <w:bCs w:val="0"/>
          <w:sz w:val="24"/>
          <w:szCs w:val="24"/>
        </w:rPr>
        <w:t>outlin</w:t>
      </w:r>
      <w:r w:rsidRPr="00135444">
        <w:rPr>
          <w:rFonts w:ascii="Minion Pro" w:hAnsi="Minion Pro"/>
          <w:b w:val="0"/>
          <w:bCs w:val="0"/>
          <w:sz w:val="24"/>
          <w:szCs w:val="24"/>
        </w:rPr>
        <w:t>e</w:t>
      </w:r>
      <w:r w:rsidRPr="00135444">
        <w:rPr>
          <w:rFonts w:ascii="Minion Pro" w:hAnsi="Minion Pro"/>
          <w:b w:val="0"/>
          <w:bCs w:val="0"/>
          <w:sz w:val="24"/>
          <w:szCs w:val="24"/>
        </w:rPr>
        <w:t xml:space="preserve"> </w:t>
      </w:r>
      <w:r w:rsidRPr="00135444">
        <w:rPr>
          <w:rFonts w:ascii="Minion Pro" w:hAnsi="Minion Pro"/>
          <w:b w:val="0"/>
          <w:bCs w:val="0"/>
          <w:sz w:val="24"/>
          <w:szCs w:val="24"/>
        </w:rPr>
        <w:t>actions the government needed to take.</w:t>
      </w:r>
      <w:r>
        <w:rPr>
          <w:rStyle w:val="EndnoteReference"/>
          <w:rFonts w:ascii="Minion Pro" w:hAnsi="Minion Pro"/>
          <w:b w:val="0"/>
          <w:bCs w:val="0"/>
          <w:sz w:val="24"/>
          <w:szCs w:val="24"/>
        </w:rPr>
        <w:endnoteReference w:id="61"/>
      </w:r>
    </w:p>
    <w:p w:rsidR="00235D9C" w:rsidRPr="00135444" w:rsidP="00185C3E">
      <w:pPr>
        <w:pStyle w:val="ListParagraph"/>
        <w:numPr>
          <w:ilvl w:val="0"/>
          <w:numId w:val="26"/>
        </w:numPr>
        <w:rPr>
          <w:rFonts w:ascii="Minion Pro" w:hAnsi="Minion Pro"/>
          <w:b w:val="0"/>
          <w:bCs w:val="0"/>
          <w:sz w:val="24"/>
          <w:szCs w:val="24"/>
        </w:rPr>
      </w:pPr>
      <w:r w:rsidRPr="00135444">
        <w:rPr>
          <w:rFonts w:ascii="Minion Pro" w:hAnsi="Minion Pro"/>
          <w:b w:val="0"/>
          <w:bCs w:val="0"/>
          <w:sz w:val="24"/>
          <w:szCs w:val="24"/>
        </w:rPr>
        <w:t>Th</w:t>
      </w:r>
      <w:r w:rsidRPr="00135444">
        <w:rPr>
          <w:rFonts w:ascii="Minion Pro" w:hAnsi="Minion Pro"/>
          <w:b w:val="0"/>
          <w:bCs w:val="0"/>
          <w:sz w:val="24"/>
          <w:szCs w:val="24"/>
        </w:rPr>
        <w:t>e government’s preliminary</w:t>
      </w:r>
      <w:r w:rsidRPr="00135444">
        <w:rPr>
          <w:rFonts w:ascii="Minion Pro" w:hAnsi="Minion Pro"/>
          <w:b w:val="0"/>
          <w:bCs w:val="0"/>
          <w:sz w:val="24"/>
          <w:szCs w:val="24"/>
        </w:rPr>
        <w:t xml:space="preserve"> response was followed by a full </w:t>
      </w:r>
      <w:r w:rsidRPr="00135444">
        <w:rPr>
          <w:rFonts w:ascii="Minion Pro" w:hAnsi="Minion Pro"/>
          <w:b w:val="0"/>
          <w:bCs w:val="0"/>
          <w:sz w:val="24"/>
          <w:szCs w:val="24"/>
        </w:rPr>
        <w:t>response to all recommendations in November 2013</w:t>
      </w:r>
      <w:r w:rsidRPr="00135444">
        <w:rPr>
          <w:rFonts w:ascii="Minion Pro" w:hAnsi="Minion Pro"/>
          <w:b w:val="0"/>
          <w:bCs w:val="0"/>
          <w:sz w:val="24"/>
          <w:szCs w:val="24"/>
        </w:rPr>
        <w:t xml:space="preserve">. </w:t>
      </w:r>
      <w:r w:rsidRPr="00135444">
        <w:rPr>
          <w:rFonts w:ascii="Minion Pro" w:hAnsi="Minion Pro"/>
          <w:b w:val="0"/>
          <w:bCs w:val="0"/>
          <w:sz w:val="24"/>
          <w:szCs w:val="24"/>
        </w:rPr>
        <w:t>This response stated that “the Government and the national organisations that have signed this response accept the Francis report. Where we disagree with any of the specific recommendations in the Inquiry report, or where the relevant organisations have el</w:t>
      </w:r>
      <w:r w:rsidRPr="00135444">
        <w:rPr>
          <w:rFonts w:ascii="Minion Pro" w:hAnsi="Minion Pro"/>
          <w:b w:val="0"/>
          <w:bCs w:val="0"/>
          <w:sz w:val="24"/>
          <w:szCs w:val="24"/>
        </w:rPr>
        <w:t>ected to achieve the same goal</w:t>
      </w:r>
      <w:r w:rsidRPr="00135444">
        <w:rPr>
          <w:rFonts w:ascii="Minion Pro" w:hAnsi="Minion Pro"/>
          <w:b w:val="0"/>
          <w:bCs w:val="0"/>
          <w:sz w:val="24"/>
          <w:szCs w:val="24"/>
        </w:rPr>
        <w:t xml:space="preserve"> </w:t>
      </w:r>
      <w:r w:rsidRPr="00135444">
        <w:rPr>
          <w:rFonts w:ascii="Minion Pro" w:hAnsi="Minion Pro"/>
          <w:b w:val="0"/>
          <w:bCs w:val="0"/>
          <w:sz w:val="24"/>
          <w:szCs w:val="24"/>
        </w:rPr>
        <w:t>by a different method, this has been made clear in the accompanying document.</w:t>
      </w:r>
      <w:r w:rsidRPr="00135444">
        <w:rPr>
          <w:rFonts w:ascii="Minion Pro" w:hAnsi="Minion Pro"/>
          <w:b w:val="0"/>
          <w:bCs w:val="0"/>
          <w:sz w:val="24"/>
          <w:szCs w:val="24"/>
        </w:rPr>
        <w:t>”</w:t>
      </w:r>
      <w:r>
        <w:rPr>
          <w:rStyle w:val="EndnoteReference"/>
          <w:rFonts w:ascii="Minion Pro" w:hAnsi="Minion Pro"/>
          <w:b w:val="0"/>
          <w:bCs w:val="0"/>
          <w:sz w:val="24"/>
          <w:szCs w:val="24"/>
        </w:rPr>
        <w:endnoteReference w:id="62"/>
      </w:r>
      <w:r w:rsidRPr="00135444">
        <w:rPr>
          <w:rFonts w:ascii="Minion Pro" w:hAnsi="Minion Pro"/>
          <w:b w:val="0"/>
          <w:bCs w:val="0"/>
          <w:sz w:val="24"/>
          <w:szCs w:val="24"/>
        </w:rPr>
        <w:t xml:space="preserve"> The government also published a response to the Health Select Committee’s ‘After Francis’ report alongside this.</w:t>
      </w:r>
      <w:r>
        <w:rPr>
          <w:rStyle w:val="EndnoteReference"/>
          <w:rFonts w:ascii="Minion Pro" w:hAnsi="Minion Pro"/>
          <w:b w:val="0"/>
          <w:bCs w:val="0"/>
          <w:sz w:val="24"/>
          <w:szCs w:val="24"/>
        </w:rPr>
        <w:endnoteReference w:id="63"/>
      </w:r>
    </w:p>
    <w:p w:rsidR="00B91A00" w:rsidP="00235D9C">
      <w:pPr>
        <w:rPr>
          <w:rFonts w:ascii="Minion Pro" w:hAnsi="Minion Pro"/>
          <w:sz w:val="24"/>
          <w:szCs w:val="24"/>
        </w:rPr>
      </w:pPr>
      <w:r w:rsidRPr="00135444">
        <w:rPr>
          <w:rFonts w:ascii="Minion Pro" w:hAnsi="Minion Pro"/>
          <w:sz w:val="24"/>
          <w:szCs w:val="24"/>
        </w:rPr>
        <w:t xml:space="preserve">Tracking the implementation of </w:t>
      </w:r>
      <w:r w:rsidRPr="00135444">
        <w:rPr>
          <w:rFonts w:ascii="Minion Pro" w:hAnsi="Minion Pro"/>
          <w:sz w:val="24"/>
          <w:szCs w:val="24"/>
        </w:rPr>
        <w:t>any inquiries recommendations is difficult, but a one-year retrospective by the Nuffield Trust suggested that progress was being made.</w:t>
      </w:r>
      <w:r>
        <w:rPr>
          <w:rStyle w:val="EndnoteReference"/>
          <w:rFonts w:ascii="Minion Pro" w:hAnsi="Minion Pro"/>
          <w:sz w:val="24"/>
          <w:szCs w:val="24"/>
        </w:rPr>
        <w:endnoteReference w:id="64"/>
      </w:r>
      <w:r w:rsidRPr="00135444">
        <w:rPr>
          <w:rFonts w:ascii="Minion Pro" w:hAnsi="Minion Pro"/>
          <w:sz w:val="24"/>
          <w:szCs w:val="24"/>
        </w:rPr>
        <w:t xml:space="preserve"> Inquiries are serious affairs and their recommendations are made sincerely. The type of scrutiny that </w:t>
      </w:r>
      <w:r w:rsidRPr="00135444">
        <w:rPr>
          <w:rFonts w:ascii="Minion Pro" w:hAnsi="Minion Pro"/>
          <w:sz w:val="24"/>
          <w:szCs w:val="24"/>
        </w:rPr>
        <w:t>parliament gave to</w:t>
      </w:r>
      <w:r w:rsidRPr="00135444">
        <w:rPr>
          <w:rFonts w:ascii="Minion Pro" w:hAnsi="Minion Pro"/>
          <w:sz w:val="24"/>
          <w:szCs w:val="24"/>
        </w:rPr>
        <w:t xml:space="preserve"> the</w:t>
      </w:r>
      <w:r w:rsidRPr="00135444">
        <w:rPr>
          <w:rFonts w:ascii="Minion Pro" w:hAnsi="Minion Pro"/>
          <w:sz w:val="24"/>
          <w:szCs w:val="24"/>
        </w:rPr>
        <w:t xml:space="preserve"> Mid Staffs </w:t>
      </w:r>
      <w:r w:rsidRPr="00135444">
        <w:rPr>
          <w:rFonts w:ascii="Minion Pro" w:hAnsi="Minion Pro"/>
          <w:sz w:val="24"/>
          <w:szCs w:val="24"/>
        </w:rPr>
        <w:t xml:space="preserve">Inquiry </w:t>
      </w:r>
      <w:r w:rsidRPr="00135444">
        <w:rPr>
          <w:rFonts w:ascii="Minion Pro" w:hAnsi="Minion Pro"/>
          <w:sz w:val="24"/>
          <w:szCs w:val="24"/>
        </w:rPr>
        <w:t xml:space="preserve">is not unprecedented, but it is still far from the norm. </w:t>
      </w:r>
    </w:p>
    <w:p w:rsidR="00135444" w:rsidP="00235D9C">
      <w:pPr>
        <w:rPr>
          <w:rFonts w:ascii="Minion Pro" w:hAnsi="Minion Pro"/>
          <w:sz w:val="24"/>
          <w:szCs w:val="24"/>
        </w:rPr>
      </w:pPr>
    </w:p>
    <w:p w:rsidR="00135444" w:rsidRPr="00135444" w:rsidP="00235D9C">
      <w:pPr>
        <w:rPr>
          <w:rFonts w:ascii="Minion Pro" w:hAnsi="Minion Pro"/>
          <w:i/>
          <w:iCs/>
          <w:sz w:val="24"/>
          <w:szCs w:val="24"/>
        </w:rPr>
      </w:pPr>
      <w:r w:rsidRPr="00135444">
        <w:rPr>
          <w:rFonts w:ascii="Minion Pro" w:hAnsi="Minion Pro"/>
          <w:i/>
          <w:iCs/>
          <w:sz w:val="24"/>
          <w:szCs w:val="24"/>
        </w:rPr>
        <w:t>July 2020</w:t>
      </w:r>
    </w:p>
    <w:p w:rsidR="00213A93" w:rsidP="00235D9C">
      <w:pPr>
        <w:rPr>
          <w:rFonts w:ascii="Minion Pro" w:hAnsi="Minion Pro"/>
          <w:sz w:val="24"/>
          <w:szCs w:val="24"/>
        </w:rPr>
      </w:pPr>
      <w:r w:rsidRPr="00135444">
        <w:rPr>
          <w:rFonts w:ascii="Minion Pro" w:hAnsi="Minion Pro"/>
          <w:sz w:val="24"/>
          <w:szCs w:val="24"/>
        </w:rPr>
        <w:br w:type="page"/>
      </w:r>
    </w:p>
    <w:p w:rsidR="00135444" w:rsidRPr="00135444" w:rsidP="00235D9C">
      <w:pPr>
        <w:rPr>
          <w:rFonts w:ascii="Minion Pro" w:hAnsi="Minion Pro"/>
          <w:sz w:val="24"/>
          <w:szCs w:val="24"/>
        </w:rPr>
      </w:pPr>
      <w:bookmarkStart w:id="0" w:name="_GoBack"/>
      <w:bookmarkEnd w:id="0"/>
    </w:p>
    <w:p w:rsidR="00A201F8" w:rsidRPr="00135444" w:rsidP="00447120">
      <w:pPr>
        <w:pStyle w:val="Heading2"/>
        <w:rPr>
          <w:rFonts w:ascii="Minion Pro" w:hAnsi="Minion Pro"/>
          <w:b/>
          <w:bCs/>
          <w:sz w:val="24"/>
          <w:szCs w:val="24"/>
        </w:rPr>
      </w:pPr>
      <w:r w:rsidRPr="00135444">
        <w:rPr>
          <w:rFonts w:ascii="Minion Pro" w:hAnsi="Minion Pro"/>
          <w:b/>
          <w:bCs/>
          <w:sz w:val="24"/>
          <w:szCs w:val="24"/>
        </w:rPr>
        <w:t>Appendix</w:t>
      </w:r>
    </w:p>
    <w:p w:rsidR="00137FF3" w:rsidRPr="00135444" w:rsidP="00447120">
      <w:pPr>
        <w:pStyle w:val="Heading3"/>
        <w:rPr>
          <w:rFonts w:ascii="Minion Pro" w:hAnsi="Minion Pro"/>
          <w:sz w:val="24"/>
        </w:rPr>
      </w:pPr>
      <w:r w:rsidRPr="00135444">
        <w:rPr>
          <w:rFonts w:ascii="Minion Pro" w:hAnsi="Minion Pro"/>
          <w:sz w:val="24"/>
        </w:rPr>
        <w:t>Table A1 – Composition of panels for inquiries of note</w:t>
      </w:r>
    </w:p>
    <w:tbl>
      <w:tblPr>
        <w:tblStyle w:val="TableGrid"/>
        <w:tblW w:w="9129" w:type="dxa"/>
        <w:tblLook w:val="04A0"/>
      </w:tblPr>
      <w:tblGrid>
        <w:gridCol w:w="2245"/>
        <w:gridCol w:w="1316"/>
        <w:gridCol w:w="3833"/>
        <w:gridCol w:w="1735"/>
      </w:tblGrid>
      <w:tr w:rsidTr="00447120">
        <w:tblPrEx>
          <w:tblW w:w="9129" w:type="dxa"/>
          <w:tblLook w:val="04A0"/>
        </w:tblPrEx>
        <w:tc>
          <w:tcPr>
            <w:tcW w:w="2245" w:type="dxa"/>
          </w:tcPr>
          <w:p w:rsidR="007C5AA8" w:rsidRPr="00135444" w:rsidP="00A90E10">
            <w:pPr>
              <w:pStyle w:val="NoSpacing"/>
              <w:rPr>
                <w:rFonts w:ascii="Minion Pro" w:hAnsi="Minion Pro"/>
                <w:sz w:val="24"/>
                <w:szCs w:val="24"/>
              </w:rPr>
            </w:pPr>
            <w:r w:rsidRPr="00135444">
              <w:rPr>
                <w:rFonts w:ascii="Minion Pro" w:hAnsi="Minion Pro"/>
                <w:sz w:val="24"/>
                <w:szCs w:val="24"/>
              </w:rPr>
              <w:t>Falkland Islands Inquiry</w:t>
            </w:r>
          </w:p>
        </w:tc>
        <w:tc>
          <w:tcPr>
            <w:tcW w:w="1316" w:type="dxa"/>
          </w:tcPr>
          <w:p w:rsidR="007C5AA8" w:rsidRPr="00135444" w:rsidP="00A90E10">
            <w:pPr>
              <w:pStyle w:val="NoSpacing"/>
              <w:rPr>
                <w:rFonts w:ascii="Minion Pro" w:hAnsi="Minion Pro"/>
                <w:sz w:val="24"/>
                <w:szCs w:val="24"/>
              </w:rPr>
            </w:pPr>
            <w:r w:rsidRPr="00135444">
              <w:rPr>
                <w:rFonts w:ascii="Minion Pro" w:hAnsi="Minion Pro"/>
                <w:sz w:val="24"/>
                <w:szCs w:val="24"/>
              </w:rPr>
              <w:t>1982 – 1983</w:t>
            </w:r>
          </w:p>
        </w:tc>
        <w:tc>
          <w:tcPr>
            <w:tcW w:w="3833" w:type="dxa"/>
          </w:tcPr>
          <w:p w:rsidR="007C5AA8" w:rsidRPr="00135444" w:rsidP="00A90E10">
            <w:pPr>
              <w:pStyle w:val="NoSpacing"/>
              <w:rPr>
                <w:rFonts w:ascii="Minion Pro" w:hAnsi="Minion Pro"/>
                <w:b/>
                <w:bCs/>
                <w:sz w:val="24"/>
                <w:szCs w:val="24"/>
              </w:rPr>
            </w:pPr>
            <w:r w:rsidRPr="00135444">
              <w:rPr>
                <w:rFonts w:ascii="Minion Pro" w:hAnsi="Minion Pro"/>
                <w:b/>
                <w:bCs/>
                <w:sz w:val="24"/>
                <w:szCs w:val="24"/>
              </w:rPr>
              <w:t>Lord Franks (Chair)</w:t>
            </w:r>
          </w:p>
        </w:tc>
        <w:tc>
          <w:tcPr>
            <w:tcW w:w="1735" w:type="dxa"/>
          </w:tcPr>
          <w:p w:rsidR="007C5AA8"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7C5AA8" w:rsidRPr="00135444" w:rsidP="00A90E10">
            <w:pPr>
              <w:pStyle w:val="NoSpacing"/>
              <w:rPr>
                <w:rFonts w:ascii="Minion Pro" w:hAnsi="Minion Pro"/>
                <w:sz w:val="24"/>
                <w:szCs w:val="24"/>
              </w:rPr>
            </w:pPr>
          </w:p>
        </w:tc>
        <w:tc>
          <w:tcPr>
            <w:tcW w:w="1316" w:type="dxa"/>
          </w:tcPr>
          <w:p w:rsidR="007C5AA8" w:rsidRPr="00135444" w:rsidP="00A90E10">
            <w:pPr>
              <w:pStyle w:val="NoSpacing"/>
              <w:rPr>
                <w:rFonts w:ascii="Minion Pro" w:hAnsi="Minion Pro"/>
                <w:sz w:val="24"/>
                <w:szCs w:val="24"/>
              </w:rPr>
            </w:pPr>
          </w:p>
        </w:tc>
        <w:tc>
          <w:tcPr>
            <w:tcW w:w="3833" w:type="dxa"/>
          </w:tcPr>
          <w:p w:rsidR="007C5AA8" w:rsidRPr="00135444" w:rsidP="00A90E10">
            <w:pPr>
              <w:pStyle w:val="NoSpacing"/>
              <w:rPr>
                <w:rFonts w:ascii="Minion Pro" w:hAnsi="Minion Pro"/>
                <w:sz w:val="24"/>
                <w:szCs w:val="24"/>
              </w:rPr>
            </w:pPr>
            <w:r w:rsidRPr="00135444">
              <w:rPr>
                <w:rFonts w:ascii="Minion Pro" w:hAnsi="Minion Pro"/>
                <w:sz w:val="24"/>
                <w:szCs w:val="24"/>
              </w:rPr>
              <w:t>Lord Barber</w:t>
            </w:r>
          </w:p>
        </w:tc>
        <w:tc>
          <w:tcPr>
            <w:tcW w:w="1735" w:type="dxa"/>
          </w:tcPr>
          <w:p w:rsidR="007C5AA8" w:rsidRPr="00135444" w:rsidP="00A90E10">
            <w:pPr>
              <w:pStyle w:val="NoSpacing"/>
              <w:rPr>
                <w:rFonts w:ascii="Minion Pro" w:hAnsi="Minion Pro"/>
                <w:sz w:val="24"/>
                <w:szCs w:val="24"/>
              </w:rPr>
            </w:pPr>
            <w:r w:rsidRPr="00135444">
              <w:rPr>
                <w:rFonts w:ascii="Minion Pro" w:hAnsi="Minion Pro"/>
                <w:sz w:val="24"/>
                <w:szCs w:val="24"/>
              </w:rPr>
              <w:t>Conservative Peer</w:t>
            </w:r>
          </w:p>
        </w:tc>
      </w:tr>
      <w:tr w:rsidTr="00447120">
        <w:tblPrEx>
          <w:tblW w:w="9129" w:type="dxa"/>
          <w:tblLook w:val="04A0"/>
        </w:tblPrEx>
        <w:tc>
          <w:tcPr>
            <w:tcW w:w="2245" w:type="dxa"/>
          </w:tcPr>
          <w:p w:rsidR="007C5AA8" w:rsidRPr="00135444" w:rsidP="00A90E10">
            <w:pPr>
              <w:pStyle w:val="NoSpacing"/>
              <w:rPr>
                <w:rFonts w:ascii="Minion Pro" w:hAnsi="Minion Pro"/>
                <w:sz w:val="24"/>
                <w:szCs w:val="24"/>
              </w:rPr>
            </w:pPr>
          </w:p>
        </w:tc>
        <w:tc>
          <w:tcPr>
            <w:tcW w:w="1316" w:type="dxa"/>
          </w:tcPr>
          <w:p w:rsidR="007C5AA8" w:rsidRPr="00135444" w:rsidP="00A90E10">
            <w:pPr>
              <w:pStyle w:val="NoSpacing"/>
              <w:rPr>
                <w:rFonts w:ascii="Minion Pro" w:hAnsi="Minion Pro"/>
                <w:sz w:val="24"/>
                <w:szCs w:val="24"/>
              </w:rPr>
            </w:pPr>
          </w:p>
        </w:tc>
        <w:tc>
          <w:tcPr>
            <w:tcW w:w="3833" w:type="dxa"/>
          </w:tcPr>
          <w:p w:rsidR="007C5AA8" w:rsidRPr="00135444" w:rsidP="00A90E10">
            <w:pPr>
              <w:pStyle w:val="NoSpacing"/>
              <w:rPr>
                <w:rFonts w:ascii="Minion Pro" w:hAnsi="Minion Pro"/>
                <w:sz w:val="24"/>
                <w:szCs w:val="24"/>
              </w:rPr>
            </w:pPr>
            <w:r w:rsidRPr="00135444">
              <w:rPr>
                <w:rFonts w:ascii="Minion Pro" w:hAnsi="Minion Pro"/>
                <w:sz w:val="24"/>
                <w:szCs w:val="24"/>
              </w:rPr>
              <w:t>Lord Lever of Manchester</w:t>
            </w:r>
          </w:p>
        </w:tc>
        <w:tc>
          <w:tcPr>
            <w:tcW w:w="1735" w:type="dxa"/>
          </w:tcPr>
          <w:p w:rsidR="007C5AA8" w:rsidRPr="00135444" w:rsidP="00A90E10">
            <w:pPr>
              <w:pStyle w:val="NoSpacing"/>
              <w:rPr>
                <w:rFonts w:ascii="Minion Pro" w:hAnsi="Minion Pro"/>
                <w:sz w:val="24"/>
                <w:szCs w:val="24"/>
              </w:rPr>
            </w:pPr>
            <w:r w:rsidRPr="00135444">
              <w:rPr>
                <w:rFonts w:ascii="Minion Pro" w:hAnsi="Minion Pro"/>
                <w:sz w:val="24"/>
                <w:szCs w:val="24"/>
              </w:rPr>
              <w:t>Labour Peer</w:t>
            </w:r>
          </w:p>
        </w:tc>
      </w:tr>
      <w:tr w:rsidTr="00447120">
        <w:tblPrEx>
          <w:tblW w:w="9129" w:type="dxa"/>
          <w:tblLook w:val="04A0"/>
        </w:tblPrEx>
        <w:tc>
          <w:tcPr>
            <w:tcW w:w="2245" w:type="dxa"/>
          </w:tcPr>
          <w:p w:rsidR="007C5AA8" w:rsidRPr="00135444" w:rsidP="00A90E10">
            <w:pPr>
              <w:pStyle w:val="NoSpacing"/>
              <w:rPr>
                <w:rFonts w:ascii="Minion Pro" w:hAnsi="Minion Pro"/>
                <w:sz w:val="24"/>
                <w:szCs w:val="24"/>
              </w:rPr>
            </w:pPr>
          </w:p>
        </w:tc>
        <w:tc>
          <w:tcPr>
            <w:tcW w:w="1316" w:type="dxa"/>
          </w:tcPr>
          <w:p w:rsidR="007C5AA8" w:rsidRPr="00135444" w:rsidP="00A90E10">
            <w:pPr>
              <w:pStyle w:val="NoSpacing"/>
              <w:rPr>
                <w:rFonts w:ascii="Minion Pro" w:hAnsi="Minion Pro"/>
                <w:sz w:val="24"/>
                <w:szCs w:val="24"/>
              </w:rPr>
            </w:pPr>
          </w:p>
        </w:tc>
        <w:tc>
          <w:tcPr>
            <w:tcW w:w="3833" w:type="dxa"/>
          </w:tcPr>
          <w:p w:rsidR="007C5AA8" w:rsidRPr="00135444" w:rsidP="00A90E10">
            <w:pPr>
              <w:pStyle w:val="NoSpacing"/>
              <w:rPr>
                <w:rFonts w:ascii="Minion Pro" w:hAnsi="Minion Pro"/>
                <w:sz w:val="24"/>
                <w:szCs w:val="24"/>
              </w:rPr>
            </w:pPr>
            <w:r w:rsidRPr="00135444">
              <w:rPr>
                <w:rFonts w:ascii="Minion Pro" w:hAnsi="Minion Pro"/>
                <w:sz w:val="24"/>
                <w:szCs w:val="24"/>
              </w:rPr>
              <w:t>Sir Patrick Nairne</w:t>
            </w:r>
          </w:p>
        </w:tc>
        <w:tc>
          <w:tcPr>
            <w:tcW w:w="1735" w:type="dxa"/>
          </w:tcPr>
          <w:p w:rsidR="007C5AA8"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7C5AA8">
        <w:tblPrEx>
          <w:tblW w:w="9129" w:type="dxa"/>
          <w:tblLook w:val="04A0"/>
        </w:tblPrEx>
        <w:tc>
          <w:tcPr>
            <w:tcW w:w="2245" w:type="dxa"/>
          </w:tcPr>
          <w:p w:rsidR="00AD63A4" w:rsidRPr="00135444" w:rsidP="00A90E10">
            <w:pPr>
              <w:pStyle w:val="NoSpacing"/>
              <w:rPr>
                <w:rFonts w:ascii="Minion Pro" w:hAnsi="Minion Pro"/>
                <w:sz w:val="24"/>
                <w:szCs w:val="24"/>
              </w:rPr>
            </w:pPr>
          </w:p>
        </w:tc>
        <w:tc>
          <w:tcPr>
            <w:tcW w:w="1316" w:type="dxa"/>
          </w:tcPr>
          <w:p w:rsidR="00AD63A4" w:rsidRPr="00135444" w:rsidP="00A90E10">
            <w:pPr>
              <w:pStyle w:val="NoSpacing"/>
              <w:rPr>
                <w:rFonts w:ascii="Minion Pro" w:hAnsi="Minion Pro"/>
                <w:sz w:val="24"/>
                <w:szCs w:val="24"/>
              </w:rPr>
            </w:pPr>
          </w:p>
        </w:tc>
        <w:tc>
          <w:tcPr>
            <w:tcW w:w="3833" w:type="dxa"/>
          </w:tcPr>
          <w:p w:rsidR="00AD63A4" w:rsidRPr="00135444" w:rsidP="00A90E10">
            <w:pPr>
              <w:pStyle w:val="NoSpacing"/>
              <w:rPr>
                <w:rFonts w:ascii="Minion Pro" w:hAnsi="Minion Pro"/>
                <w:sz w:val="24"/>
                <w:szCs w:val="24"/>
              </w:rPr>
            </w:pPr>
            <w:r w:rsidRPr="00135444">
              <w:rPr>
                <w:rFonts w:ascii="Minion Pro" w:hAnsi="Minion Pro"/>
                <w:sz w:val="24"/>
                <w:szCs w:val="24"/>
              </w:rPr>
              <w:t>Rt Hon Merlyn Rees MP</w:t>
            </w:r>
          </w:p>
        </w:tc>
        <w:tc>
          <w:tcPr>
            <w:tcW w:w="1735" w:type="dxa"/>
          </w:tcPr>
          <w:p w:rsidR="00AD63A4" w:rsidRPr="00135444" w:rsidP="00A90E10">
            <w:pPr>
              <w:pStyle w:val="NoSpacing"/>
              <w:rPr>
                <w:rFonts w:ascii="Minion Pro" w:hAnsi="Minion Pro"/>
                <w:sz w:val="24"/>
                <w:szCs w:val="24"/>
              </w:rPr>
            </w:pPr>
            <w:r w:rsidRPr="00135444">
              <w:rPr>
                <w:rFonts w:ascii="Minion Pro" w:hAnsi="Minion Pro"/>
                <w:sz w:val="24"/>
                <w:szCs w:val="24"/>
              </w:rPr>
              <w:t>Labour MP</w:t>
            </w:r>
          </w:p>
        </w:tc>
      </w:tr>
      <w:tr w:rsidTr="007C5AA8">
        <w:tblPrEx>
          <w:tblW w:w="9129" w:type="dxa"/>
          <w:tblLook w:val="04A0"/>
        </w:tblPrEx>
        <w:tc>
          <w:tcPr>
            <w:tcW w:w="2245" w:type="dxa"/>
          </w:tcPr>
          <w:p w:rsidR="00AD63A4" w:rsidRPr="00135444" w:rsidP="00A90E10">
            <w:pPr>
              <w:pStyle w:val="NoSpacing"/>
              <w:rPr>
                <w:rFonts w:ascii="Minion Pro" w:hAnsi="Minion Pro"/>
                <w:sz w:val="24"/>
                <w:szCs w:val="24"/>
              </w:rPr>
            </w:pPr>
          </w:p>
        </w:tc>
        <w:tc>
          <w:tcPr>
            <w:tcW w:w="1316" w:type="dxa"/>
          </w:tcPr>
          <w:p w:rsidR="00AD63A4" w:rsidRPr="00135444" w:rsidP="00A90E10">
            <w:pPr>
              <w:pStyle w:val="NoSpacing"/>
              <w:rPr>
                <w:rFonts w:ascii="Minion Pro" w:hAnsi="Minion Pro"/>
                <w:sz w:val="24"/>
                <w:szCs w:val="24"/>
              </w:rPr>
            </w:pPr>
          </w:p>
        </w:tc>
        <w:tc>
          <w:tcPr>
            <w:tcW w:w="3833" w:type="dxa"/>
          </w:tcPr>
          <w:p w:rsidR="00AD63A4" w:rsidRPr="00135444" w:rsidP="00A90E10">
            <w:pPr>
              <w:pStyle w:val="NoSpacing"/>
              <w:rPr>
                <w:rFonts w:ascii="Minion Pro" w:hAnsi="Minion Pro"/>
                <w:sz w:val="24"/>
                <w:szCs w:val="24"/>
              </w:rPr>
            </w:pPr>
            <w:r w:rsidRPr="00135444">
              <w:rPr>
                <w:rFonts w:ascii="Minion Pro" w:hAnsi="Minion Pro"/>
                <w:sz w:val="24"/>
                <w:szCs w:val="24"/>
              </w:rPr>
              <w:t>Lord Watkinson</w:t>
            </w:r>
          </w:p>
        </w:tc>
        <w:tc>
          <w:tcPr>
            <w:tcW w:w="1735" w:type="dxa"/>
          </w:tcPr>
          <w:p w:rsidR="00AD63A4" w:rsidRPr="00135444" w:rsidP="00A90E10">
            <w:pPr>
              <w:pStyle w:val="NoSpacing"/>
              <w:rPr>
                <w:rFonts w:ascii="Minion Pro" w:hAnsi="Minion Pro"/>
                <w:sz w:val="24"/>
                <w:szCs w:val="24"/>
              </w:rPr>
            </w:pPr>
            <w:r w:rsidRPr="00135444">
              <w:rPr>
                <w:rFonts w:ascii="Minion Pro" w:hAnsi="Minion Pro"/>
                <w:sz w:val="24"/>
                <w:szCs w:val="24"/>
              </w:rPr>
              <w:t>Conservative Peer</w:t>
            </w:r>
          </w:p>
        </w:tc>
      </w:tr>
      <w:tr w:rsidTr="007C5AA8">
        <w:tblPrEx>
          <w:tblW w:w="9129" w:type="dxa"/>
          <w:tblLook w:val="04A0"/>
        </w:tblPrEx>
        <w:tc>
          <w:tcPr>
            <w:tcW w:w="2245" w:type="dxa"/>
          </w:tcPr>
          <w:p w:rsidR="000010E1" w:rsidRPr="00135444" w:rsidP="00A90E10">
            <w:pPr>
              <w:pStyle w:val="NoSpacing"/>
              <w:rPr>
                <w:rFonts w:ascii="Minion Pro" w:hAnsi="Minion Pro"/>
                <w:sz w:val="24"/>
                <w:szCs w:val="24"/>
              </w:rPr>
            </w:pPr>
            <w:r w:rsidRPr="00135444">
              <w:rPr>
                <w:rFonts w:ascii="Minion Pro" w:hAnsi="Minion Pro"/>
                <w:sz w:val="24"/>
                <w:szCs w:val="24"/>
              </w:rPr>
              <w:t>BSE Inquiry</w:t>
            </w:r>
          </w:p>
        </w:tc>
        <w:tc>
          <w:tcPr>
            <w:tcW w:w="1316" w:type="dxa"/>
          </w:tcPr>
          <w:p w:rsidR="000010E1" w:rsidRPr="00135444" w:rsidP="00A90E10">
            <w:pPr>
              <w:pStyle w:val="NoSpacing"/>
              <w:rPr>
                <w:rFonts w:ascii="Minion Pro" w:hAnsi="Minion Pro"/>
                <w:sz w:val="24"/>
                <w:szCs w:val="24"/>
              </w:rPr>
            </w:pPr>
            <w:r w:rsidRPr="00135444">
              <w:rPr>
                <w:rFonts w:ascii="Minion Pro" w:hAnsi="Minion Pro"/>
                <w:sz w:val="24"/>
                <w:szCs w:val="24"/>
              </w:rPr>
              <w:t>1997 – 2000</w:t>
            </w:r>
          </w:p>
        </w:tc>
        <w:tc>
          <w:tcPr>
            <w:tcW w:w="3833" w:type="dxa"/>
          </w:tcPr>
          <w:p w:rsidR="000010E1" w:rsidRPr="00135444" w:rsidP="00A90E10">
            <w:pPr>
              <w:pStyle w:val="NoSpacing"/>
              <w:rPr>
                <w:rFonts w:ascii="Minion Pro" w:hAnsi="Minion Pro"/>
                <w:sz w:val="24"/>
                <w:szCs w:val="24"/>
              </w:rPr>
            </w:pPr>
            <w:r w:rsidRPr="00135444">
              <w:rPr>
                <w:rFonts w:ascii="Minion Pro" w:hAnsi="Minion Pro"/>
                <w:b/>
                <w:bCs/>
                <w:sz w:val="24"/>
                <w:szCs w:val="24"/>
              </w:rPr>
              <w:t>Lord Philips of Worth Matravers (Chair)</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Judge</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b/>
                <w:bCs/>
                <w:sz w:val="24"/>
                <w:szCs w:val="24"/>
              </w:rPr>
            </w:pPr>
            <w:r w:rsidRPr="00135444">
              <w:rPr>
                <w:rFonts w:ascii="Minion Pro" w:hAnsi="Minion Pro"/>
                <w:sz w:val="24"/>
                <w:szCs w:val="24"/>
              </w:rPr>
              <w:t xml:space="preserve">June </w:t>
            </w:r>
            <w:r w:rsidRPr="00135444">
              <w:rPr>
                <w:rFonts w:ascii="Minion Pro" w:hAnsi="Minion Pro"/>
                <w:sz w:val="24"/>
                <w:szCs w:val="24"/>
              </w:rPr>
              <w:t>Bridgeman</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Prof Malcolm Ferguson-Smith</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Scientist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r w:rsidRPr="00135444">
              <w:rPr>
                <w:rFonts w:ascii="Minion Pro" w:hAnsi="Minion Pro"/>
                <w:sz w:val="24"/>
                <w:szCs w:val="24"/>
              </w:rPr>
              <w:t>Butler Review</w:t>
            </w:r>
          </w:p>
        </w:tc>
        <w:tc>
          <w:tcPr>
            <w:tcW w:w="1316" w:type="dxa"/>
          </w:tcPr>
          <w:p w:rsidR="000010E1" w:rsidRPr="00135444" w:rsidP="00A90E10">
            <w:pPr>
              <w:pStyle w:val="NoSpacing"/>
              <w:rPr>
                <w:rFonts w:ascii="Minion Pro" w:hAnsi="Minion Pro"/>
                <w:sz w:val="24"/>
                <w:szCs w:val="24"/>
              </w:rPr>
            </w:pPr>
            <w:r w:rsidRPr="00135444">
              <w:rPr>
                <w:rFonts w:ascii="Minion Pro" w:hAnsi="Minion Pro"/>
                <w:sz w:val="24"/>
                <w:szCs w:val="24"/>
              </w:rPr>
              <w:t>2004</w:t>
            </w:r>
          </w:p>
        </w:tc>
        <w:tc>
          <w:tcPr>
            <w:tcW w:w="3833" w:type="dxa"/>
          </w:tcPr>
          <w:p w:rsidR="000010E1" w:rsidRPr="00135444" w:rsidP="00A90E10">
            <w:pPr>
              <w:pStyle w:val="NoSpacing"/>
              <w:rPr>
                <w:rFonts w:ascii="Minion Pro" w:hAnsi="Minion Pro"/>
                <w:sz w:val="24"/>
                <w:szCs w:val="24"/>
              </w:rPr>
            </w:pPr>
            <w:r w:rsidRPr="00135444">
              <w:rPr>
                <w:rFonts w:ascii="Minion Pro" w:hAnsi="Minion Pro"/>
                <w:b/>
                <w:bCs/>
                <w:sz w:val="24"/>
                <w:szCs w:val="24"/>
              </w:rPr>
              <w:t>Lord Butler of Brockwell (Chair)</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b/>
                <w:bCs/>
                <w:sz w:val="24"/>
                <w:szCs w:val="24"/>
              </w:rPr>
            </w:pPr>
            <w:r w:rsidRPr="00135444">
              <w:rPr>
                <w:rFonts w:ascii="Minion Pro" w:hAnsi="Minion Pro"/>
                <w:sz w:val="24"/>
                <w:szCs w:val="24"/>
              </w:rPr>
              <w:t>Field Marshall the Lord Inge</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Military</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Sir John Chilcot</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Rt Hon Ann Taylor MP</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Politician</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 xml:space="preserve">Rt Hon </w:t>
            </w:r>
            <w:r w:rsidRPr="00135444">
              <w:rPr>
                <w:rFonts w:ascii="Minion Pro" w:hAnsi="Minion Pro"/>
                <w:sz w:val="24"/>
                <w:szCs w:val="24"/>
              </w:rPr>
              <w:t>Michael Mates MP</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Politician</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r w:rsidRPr="00135444">
              <w:rPr>
                <w:rFonts w:ascii="Minion Pro" w:hAnsi="Minion Pro"/>
                <w:sz w:val="24"/>
                <w:szCs w:val="24"/>
              </w:rPr>
              <w:t>Iraq Inquiry</w:t>
            </w:r>
          </w:p>
        </w:tc>
        <w:tc>
          <w:tcPr>
            <w:tcW w:w="1316" w:type="dxa"/>
          </w:tcPr>
          <w:p w:rsidR="000010E1" w:rsidRPr="00135444" w:rsidP="00A90E10">
            <w:pPr>
              <w:pStyle w:val="NoSpacing"/>
              <w:rPr>
                <w:rFonts w:ascii="Minion Pro" w:hAnsi="Minion Pro"/>
                <w:sz w:val="24"/>
                <w:szCs w:val="24"/>
              </w:rPr>
            </w:pPr>
            <w:r w:rsidRPr="00135444">
              <w:rPr>
                <w:rFonts w:ascii="Minion Pro" w:hAnsi="Minion Pro"/>
                <w:sz w:val="24"/>
                <w:szCs w:val="24"/>
              </w:rPr>
              <w:t>2009 – 2016</w:t>
            </w:r>
          </w:p>
        </w:tc>
        <w:tc>
          <w:tcPr>
            <w:tcW w:w="3833" w:type="dxa"/>
          </w:tcPr>
          <w:p w:rsidR="000010E1" w:rsidRPr="00135444" w:rsidP="00A90E10">
            <w:pPr>
              <w:pStyle w:val="NoSpacing"/>
              <w:rPr>
                <w:rFonts w:ascii="Minion Pro" w:hAnsi="Minion Pro"/>
                <w:sz w:val="24"/>
                <w:szCs w:val="24"/>
              </w:rPr>
            </w:pPr>
            <w:r w:rsidRPr="00135444">
              <w:rPr>
                <w:rFonts w:ascii="Minion Pro" w:hAnsi="Minion Pro"/>
                <w:b/>
                <w:bCs/>
                <w:sz w:val="24"/>
                <w:szCs w:val="24"/>
              </w:rPr>
              <w:t>Sir John Chilcot (Chair)</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b/>
                <w:bCs/>
                <w:sz w:val="24"/>
                <w:szCs w:val="24"/>
              </w:rPr>
            </w:pPr>
            <w:r w:rsidRPr="00135444">
              <w:rPr>
                <w:rFonts w:ascii="Minion Pro" w:hAnsi="Minion Pro"/>
                <w:sz w:val="24"/>
                <w:szCs w:val="24"/>
              </w:rPr>
              <w:t>Sir Lawrence Freedman</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Historian</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Sir Martin Gilbert</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Historian</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Sir Roderic Lyne</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sz w:val="24"/>
                <w:szCs w:val="24"/>
              </w:rPr>
            </w:pPr>
            <w:r w:rsidRPr="00135444">
              <w:rPr>
                <w:rFonts w:ascii="Minion Pro" w:hAnsi="Minion Pro"/>
                <w:sz w:val="24"/>
                <w:szCs w:val="24"/>
              </w:rPr>
              <w:t>Baroness Prashar</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Crossbench Peer</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r w:rsidRPr="00135444">
              <w:rPr>
                <w:rFonts w:ascii="Minion Pro" w:hAnsi="Minion Pro"/>
                <w:sz w:val="24"/>
                <w:szCs w:val="24"/>
              </w:rPr>
              <w:t>RHI Inquiry</w:t>
            </w:r>
          </w:p>
        </w:tc>
        <w:tc>
          <w:tcPr>
            <w:tcW w:w="1316" w:type="dxa"/>
          </w:tcPr>
          <w:p w:rsidR="000010E1" w:rsidRPr="00135444" w:rsidP="00A90E10">
            <w:pPr>
              <w:pStyle w:val="NoSpacing"/>
              <w:rPr>
                <w:rFonts w:ascii="Minion Pro" w:hAnsi="Minion Pro"/>
                <w:sz w:val="24"/>
                <w:szCs w:val="24"/>
              </w:rPr>
            </w:pPr>
            <w:r w:rsidRPr="00135444">
              <w:rPr>
                <w:rFonts w:ascii="Minion Pro" w:hAnsi="Minion Pro"/>
                <w:sz w:val="24"/>
                <w:szCs w:val="24"/>
              </w:rPr>
              <w:t xml:space="preserve">2017 – </w:t>
            </w:r>
            <w:r w:rsidRPr="00135444">
              <w:rPr>
                <w:rFonts w:ascii="Minion Pro" w:hAnsi="Minion Pro"/>
                <w:sz w:val="24"/>
                <w:szCs w:val="24"/>
              </w:rPr>
              <w:t>2020</w:t>
            </w:r>
          </w:p>
        </w:tc>
        <w:tc>
          <w:tcPr>
            <w:tcW w:w="3833" w:type="dxa"/>
          </w:tcPr>
          <w:p w:rsidR="000010E1" w:rsidRPr="00135444" w:rsidP="00A90E10">
            <w:pPr>
              <w:pStyle w:val="NoSpacing"/>
              <w:rPr>
                <w:rFonts w:ascii="Minion Pro" w:hAnsi="Minion Pro"/>
                <w:sz w:val="24"/>
                <w:szCs w:val="24"/>
              </w:rPr>
            </w:pPr>
            <w:r w:rsidRPr="00135444">
              <w:rPr>
                <w:rFonts w:ascii="Minion Pro" w:hAnsi="Minion Pro"/>
                <w:b/>
                <w:bCs/>
                <w:sz w:val="24"/>
                <w:szCs w:val="24"/>
              </w:rPr>
              <w:t>Rt Hon Sir Patrick Coughlin (Chair)</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Judge</w:t>
            </w:r>
          </w:p>
        </w:tc>
      </w:tr>
      <w:tr w:rsidTr="00447120">
        <w:tblPrEx>
          <w:tblW w:w="9129" w:type="dxa"/>
          <w:tblLook w:val="04A0"/>
        </w:tblPrEx>
        <w:tc>
          <w:tcPr>
            <w:tcW w:w="2245" w:type="dxa"/>
          </w:tcPr>
          <w:p w:rsidR="000010E1" w:rsidRPr="00135444" w:rsidP="00A90E10">
            <w:pPr>
              <w:pStyle w:val="NoSpacing"/>
              <w:rPr>
                <w:rFonts w:ascii="Minion Pro" w:hAnsi="Minion Pro"/>
                <w:sz w:val="24"/>
                <w:szCs w:val="24"/>
              </w:rPr>
            </w:pPr>
          </w:p>
        </w:tc>
        <w:tc>
          <w:tcPr>
            <w:tcW w:w="1316" w:type="dxa"/>
          </w:tcPr>
          <w:p w:rsidR="000010E1" w:rsidRPr="00135444" w:rsidP="00A90E10">
            <w:pPr>
              <w:pStyle w:val="NoSpacing"/>
              <w:rPr>
                <w:rFonts w:ascii="Minion Pro" w:hAnsi="Minion Pro"/>
                <w:sz w:val="24"/>
                <w:szCs w:val="24"/>
              </w:rPr>
            </w:pPr>
          </w:p>
        </w:tc>
        <w:tc>
          <w:tcPr>
            <w:tcW w:w="3833" w:type="dxa"/>
          </w:tcPr>
          <w:p w:rsidR="000010E1" w:rsidRPr="00135444" w:rsidP="00A90E10">
            <w:pPr>
              <w:pStyle w:val="NoSpacing"/>
              <w:rPr>
                <w:rFonts w:ascii="Minion Pro" w:hAnsi="Minion Pro"/>
                <w:b/>
                <w:bCs/>
                <w:sz w:val="24"/>
                <w:szCs w:val="24"/>
              </w:rPr>
            </w:pPr>
            <w:r w:rsidRPr="00135444">
              <w:rPr>
                <w:rFonts w:ascii="Minion Pro" w:hAnsi="Minion Pro"/>
                <w:sz w:val="24"/>
                <w:szCs w:val="24"/>
              </w:rPr>
              <w:t>Dame Una O’Brien</w:t>
            </w:r>
          </w:p>
        </w:tc>
        <w:tc>
          <w:tcPr>
            <w:tcW w:w="1735" w:type="dxa"/>
          </w:tcPr>
          <w:p w:rsidR="000010E1" w:rsidRPr="00135444" w:rsidP="00A90E10">
            <w:pPr>
              <w:pStyle w:val="NoSpacing"/>
              <w:rPr>
                <w:rFonts w:ascii="Minion Pro" w:hAnsi="Minion Pro"/>
                <w:sz w:val="24"/>
                <w:szCs w:val="24"/>
              </w:rPr>
            </w:pPr>
            <w:r w:rsidRPr="00135444">
              <w:rPr>
                <w:rFonts w:ascii="Minion Pro" w:hAnsi="Minion Pro"/>
                <w:sz w:val="24"/>
                <w:szCs w:val="24"/>
              </w:rPr>
              <w:t>Civil Servant</w:t>
            </w:r>
          </w:p>
        </w:tc>
      </w:tr>
    </w:tbl>
    <w:p w:rsidR="005A1952" w:rsidRPr="00135444">
      <w:pPr>
        <w:spacing w:after="160"/>
        <w:jc w:val="left"/>
        <w:rPr>
          <w:rFonts w:ascii="Minion Pro" w:hAnsi="Minion Pro"/>
          <w:sz w:val="24"/>
          <w:szCs w:val="24"/>
        </w:rPr>
      </w:pPr>
      <w:r w:rsidRPr="00135444">
        <w:rPr>
          <w:rFonts w:ascii="Minion Pro" w:hAnsi="Minion Pro"/>
          <w:sz w:val="24"/>
          <w:szCs w:val="24"/>
        </w:rPr>
        <w:br w:type="page"/>
      </w:r>
    </w:p>
    <w:p w:rsidR="009D19F2" w:rsidRPr="00135444" w:rsidP="00823B95">
      <w:pPr>
        <w:pStyle w:val="Heading2"/>
        <w:rPr>
          <w:rFonts w:ascii="Minion Pro" w:hAnsi="Minion Pro"/>
          <w:sz w:val="24"/>
          <w:szCs w:val="24"/>
        </w:rPr>
      </w:pPr>
      <w:r w:rsidRPr="00135444">
        <w:rPr>
          <w:rFonts w:ascii="Minion Pro" w:hAnsi="Minion Pro"/>
          <w:sz w:val="24"/>
          <w:szCs w:val="24"/>
        </w:rPr>
        <w:t>References</w:t>
      </w:r>
    </w:p>
    <w:sectPr>
      <w:footnotePr>
        <w:numFmt w:val="lowerRoman"/>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D2D0D" w:rsidP="005A1952">
      <w:pPr>
        <w:spacing w:after="0" w:line="240" w:lineRule="auto"/>
      </w:pPr>
      <w:r>
        <w:separator/>
      </w:r>
    </w:p>
  </w:endnote>
  <w:endnote w:type="continuationSeparator" w:id="1">
    <w:p w:rsidR="002D2D0D" w:rsidP="005A1952">
      <w:pPr>
        <w:spacing w:after="0" w:line="240" w:lineRule="auto"/>
      </w:pPr>
      <w:r>
        <w:continuationSeparator/>
      </w:r>
    </w:p>
  </w:endnote>
  <w:endnote w:id="2">
    <w:p w:rsidR="006A7655"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Laming H, </w:t>
      </w:r>
      <w:r w:rsidRPr="00135444">
        <w:rPr>
          <w:rFonts w:ascii="Minion Pro" w:hAnsi="Minion Pro"/>
          <w:i/>
          <w:iCs/>
          <w:sz w:val="20"/>
        </w:rPr>
        <w:t>The Protection of Children in England: A progress report</w:t>
      </w:r>
      <w:r w:rsidRPr="00135444">
        <w:rPr>
          <w:rFonts w:ascii="Minion Pro" w:hAnsi="Minion Pro"/>
          <w:sz w:val="20"/>
        </w:rPr>
        <w:t xml:space="preserve">, 12 March 2009, HC 330, The Stationary Office, retrieved 16 July 2020, </w:t>
      </w:r>
      <w:r>
        <w:fldChar w:fldCharType="begin"/>
      </w:r>
      <w:r>
        <w:instrText xml:space="preserve"> HYPERLINK "https://www.gov.uk/government/publications/the-protection-of-children-in-england-a-progress-report" </w:instrText>
      </w:r>
      <w:r>
        <w:fldChar w:fldCharType="separate"/>
      </w:r>
      <w:r w:rsidRPr="00135444">
        <w:rPr>
          <w:rStyle w:val="Hyperlink"/>
          <w:rFonts w:ascii="Minion Pro" w:hAnsi="Minion Pro"/>
          <w:sz w:val="20"/>
        </w:rPr>
        <w:t>https://www.gov.uk/government/publications/the-protection-of-children-in-england-a-progress-report</w:t>
      </w:r>
      <w:r>
        <w:fldChar w:fldCharType="end"/>
      </w:r>
    </w:p>
  </w:endnote>
  <w:endnote w:id="3">
    <w:p w:rsidR="006A7655"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Bichard M, </w:t>
      </w:r>
      <w:r w:rsidRPr="00135444">
        <w:rPr>
          <w:rFonts w:ascii="Minion Pro" w:hAnsi="Minion Pro"/>
          <w:i/>
          <w:iCs/>
          <w:sz w:val="20"/>
        </w:rPr>
        <w:t>The Bichard Inquiry Report</w:t>
      </w:r>
      <w:r w:rsidRPr="00135444">
        <w:rPr>
          <w:rFonts w:ascii="Minion Pro" w:hAnsi="Minion Pro"/>
          <w:sz w:val="20"/>
        </w:rPr>
        <w:t xml:space="preserve">, 22 June 2004, HC 653, The Stationary Office, p12, retrieved 16 July 2020, </w:t>
      </w:r>
      <w:r>
        <w:fldChar w:fldCharType="begin"/>
      </w:r>
      <w:r>
        <w:instrText xml:space="preserve"> HYPERLINK "https://dera.ioe.ac.uk/6394/1/report.pdf" </w:instrText>
      </w:r>
      <w:r>
        <w:fldChar w:fldCharType="separate"/>
      </w:r>
      <w:r w:rsidRPr="00135444">
        <w:rPr>
          <w:rStyle w:val="Hyperlink"/>
          <w:rFonts w:ascii="Minion Pro" w:hAnsi="Minion Pro"/>
          <w:sz w:val="20"/>
        </w:rPr>
        <w:t>https://dera.ioe.ac.uk/6394/1/report.pdf</w:t>
      </w:r>
      <w:r>
        <w:fldChar w:fldCharType="end"/>
      </w:r>
      <w:r w:rsidRPr="00135444">
        <w:rPr>
          <w:rFonts w:ascii="Minion Pro" w:hAnsi="Minion Pro"/>
          <w:sz w:val="20"/>
        </w:rPr>
        <w:t xml:space="preserve"> </w:t>
      </w:r>
    </w:p>
  </w:endnote>
  <w:endnote w:id="4">
    <w:p w:rsidR="00FB238F"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w:t>
      </w:r>
      <w:r w:rsidRPr="00135444">
        <w:rPr>
          <w:rFonts w:ascii="Minion Pro" w:hAnsi="Minion Pro"/>
          <w:sz w:val="20"/>
        </w:rPr>
        <w:t xml:space="preserve">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sz w:val="20"/>
        </w:rPr>
        <w:t>HC Deb 08 July 1982 vol 27 cc469</w:t>
      </w:r>
    </w:p>
  </w:endnote>
  <w:endnote w:id="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sz w:val="20"/>
        </w:rPr>
        <w:t>HC Deb 03 February 2004 vol 417</w:t>
      </w:r>
      <w:r w:rsidRPr="00135444">
        <w:rPr>
          <w:rFonts w:ascii="Minion Pro" w:hAnsi="Minion Pro"/>
          <w:sz w:val="20"/>
        </w:rPr>
        <w:t xml:space="preserve"> cc625</w:t>
      </w:r>
    </w:p>
  </w:endnote>
  <w:endnote w:id="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sz w:val="20"/>
        </w:rPr>
        <w:t>HC Deb 03 February 2004 vol 417</w:t>
      </w:r>
      <w:r w:rsidRPr="00135444">
        <w:rPr>
          <w:rFonts w:ascii="Minion Pro" w:hAnsi="Minion Pro"/>
          <w:sz w:val="20"/>
        </w:rPr>
        <w:t xml:space="preserve"> cc626</w:t>
      </w:r>
    </w:p>
  </w:endnote>
  <w:endnote w:id="8">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HC Deb 15 June 2009 vol 494 cc21-27</w:t>
      </w:r>
    </w:p>
  </w:endnote>
  <w:endnote w:id="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Northern Ireland Assembly, Official Report, Ministerial Statement, </w:t>
      </w:r>
      <w:r w:rsidRPr="00135444">
        <w:rPr>
          <w:rFonts w:ascii="Minion Pro" w:hAnsi="Minion Pro"/>
          <w:i/>
          <w:iCs/>
          <w:sz w:val="20"/>
        </w:rPr>
        <w:t>Public Inquiry on the Renewable He</w:t>
      </w:r>
      <w:r w:rsidRPr="00135444">
        <w:rPr>
          <w:rFonts w:ascii="Minion Pro" w:hAnsi="Minion Pro"/>
          <w:i/>
          <w:iCs/>
          <w:sz w:val="20"/>
        </w:rPr>
        <w:t>at Incentive Scheme</w:t>
      </w:r>
      <w:r w:rsidRPr="00135444">
        <w:rPr>
          <w:rFonts w:ascii="Minion Pro" w:hAnsi="Minion Pro"/>
          <w:sz w:val="20"/>
        </w:rPr>
        <w:t xml:space="preserve">, 24 January 2017, retrieved 17 July 2020, </w:t>
      </w:r>
      <w:r>
        <w:fldChar w:fldCharType="begin"/>
      </w:r>
      <w:r>
        <w:instrText xml:space="preserve"> HYPERLINK "http://aims.niassembly.gov.uk/officialreport/report.aspx?&amp;eveDate=2017/01/24&amp;docID=288332" </w:instrText>
      </w:r>
      <w:r>
        <w:fldChar w:fldCharType="separate"/>
      </w:r>
      <w:r w:rsidRPr="00135444">
        <w:rPr>
          <w:rStyle w:val="Hyperlink"/>
          <w:rFonts w:ascii="Minion Pro" w:hAnsi="Minion Pro"/>
          <w:sz w:val="20"/>
        </w:rPr>
        <w:t>http://aims.niassembly.gov.uk/officialreport/report.aspx?&amp;eveDate=2017/01/24&amp;docID=288332</w:t>
      </w:r>
      <w:r>
        <w:fldChar w:fldCharType="end"/>
      </w:r>
    </w:p>
  </w:endnote>
  <w:endnote w:id="1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HC Deb 08 July 1982 vol 27 cc469</w:t>
      </w:r>
    </w:p>
  </w:endnote>
  <w:endnote w:id="11">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sz w:val="20"/>
        </w:rPr>
        <w:t>HC Deb 03 February 2004 vol 417 cc625</w:t>
      </w:r>
    </w:p>
  </w:endnote>
  <w:endnote w:id="1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HC Deb 15 June 2009 vol 494 cc23</w:t>
      </w:r>
    </w:p>
  </w:endnote>
  <w:endnote w:id="13">
    <w:p w:rsidR="00A90E10" w:rsidRPr="00135444" w:rsidP="00135444">
      <w:pPr>
        <w:pStyle w:val="EndnoteText"/>
        <w:rPr>
          <w:rFonts w:ascii="Minion Pro" w:hAnsi="Minion Pro"/>
          <w:i/>
          <w:iCs/>
          <w:sz w:val="20"/>
        </w:rPr>
      </w:pPr>
      <w:r w:rsidRPr="00135444">
        <w:rPr>
          <w:rStyle w:val="EndnoteReference"/>
          <w:rFonts w:ascii="Minion Pro" w:hAnsi="Minion Pro"/>
          <w:sz w:val="20"/>
        </w:rPr>
        <w:endnoteRef/>
      </w:r>
      <w:r w:rsidRPr="00135444">
        <w:rPr>
          <w:rFonts w:ascii="Minion Pro" w:hAnsi="Minion Pro"/>
          <w:sz w:val="20"/>
        </w:rPr>
        <w:t xml:space="preserve"> House of Commons Public Administration and Constitutional Affairs Select Committee, </w:t>
      </w:r>
      <w:r w:rsidRPr="00135444">
        <w:rPr>
          <w:rFonts w:ascii="Minion Pro" w:hAnsi="Minion Pro"/>
          <w:i/>
          <w:iCs/>
          <w:sz w:val="20"/>
        </w:rPr>
        <w:t>Oral evidence: Chilcot Inquiry: Lessons for the Machinery of Government</w:t>
      </w:r>
      <w:r w:rsidRPr="00135444">
        <w:rPr>
          <w:rFonts w:ascii="Minion Pro" w:hAnsi="Minion Pro"/>
          <w:sz w:val="20"/>
        </w:rPr>
        <w:t xml:space="preserve">, 14 September 2016, HC 656, retrieved 17 July 2020, </w:t>
      </w:r>
      <w:r>
        <w:fldChar w:fldCharType="begin"/>
      </w:r>
      <w:r>
        <w:instrText xml:space="preserve"> HYPERLINK "http://data.parliament.uk/writtenevidence/committeeevidence.svc/evidencedocument/public-administration-and-constitutional-affairs-committee/chilcot-inquiry-lessons-for-the-machinery-of-government/oral/38387.pdf" </w:instrText>
      </w:r>
      <w:r>
        <w:fldChar w:fldCharType="separate"/>
      </w:r>
      <w:r w:rsidRPr="00135444">
        <w:rPr>
          <w:rStyle w:val="Hyperlink"/>
          <w:rFonts w:ascii="Minion Pro" w:hAnsi="Minion Pro"/>
          <w:sz w:val="20"/>
        </w:rPr>
        <w:t>http://data.parliament.uk/writtenevidence/committeeevidence.svc/evidencedocumen</w:t>
      </w:r>
      <w:r w:rsidRPr="00135444">
        <w:rPr>
          <w:rStyle w:val="Hyperlink"/>
          <w:rFonts w:ascii="Minion Pro" w:hAnsi="Minion Pro"/>
          <w:sz w:val="20"/>
        </w:rPr>
        <w:t>t/public-administration-and-constitutional-affairs-committee/chilcot-inquiry-lessons-for-the-machinery-of-government/oral/38387.pdf</w:t>
      </w:r>
      <w:r>
        <w:fldChar w:fldCharType="end"/>
      </w:r>
    </w:p>
  </w:endnote>
  <w:endnote w:id="14">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sz w:val="20"/>
        </w:rPr>
        <w:t>HC Deb 22 December 1997 vol 303 cc6</w:t>
      </w:r>
      <w:r w:rsidRPr="00135444">
        <w:rPr>
          <w:rFonts w:ascii="Minion Pro" w:hAnsi="Minion Pro"/>
          <w:sz w:val="20"/>
        </w:rPr>
        <w:t>86</w:t>
      </w:r>
    </w:p>
  </w:endnote>
  <w:endnote w:id="1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HC Deb 15 June 2009 vol 494 cc23</w:t>
      </w:r>
    </w:p>
  </w:endnote>
  <w:endnote w:id="1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i/>
          <w:iCs/>
          <w:sz w:val="20"/>
        </w:rPr>
        <w:t>Inquiries Act 2005</w:t>
      </w:r>
    </w:p>
  </w:endnote>
  <w:endnote w:id="1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Bowen P, </w:t>
      </w:r>
      <w:r w:rsidRPr="00135444">
        <w:rPr>
          <w:rFonts w:ascii="Minion Pro" w:hAnsi="Minion Pro"/>
          <w:i/>
          <w:iCs/>
          <w:sz w:val="20"/>
        </w:rPr>
        <w:t>Learning lessons the hard way – Article 2 duties to investigate the Government’s response to the Covid-19 pandemic</w:t>
      </w:r>
      <w:r w:rsidRPr="00135444">
        <w:rPr>
          <w:rFonts w:ascii="Minion Pro" w:hAnsi="Minion Pro"/>
          <w:sz w:val="20"/>
        </w:rPr>
        <w:t xml:space="preserve">, 29 April 2020, Blog, UK Constitutional Law Association, retrieved 22 July 2020, </w:t>
      </w:r>
      <w:r>
        <w:fldChar w:fldCharType="begin"/>
      </w:r>
      <w:r>
        <w:instrText xml:space="preserve"> HYPERLINK "https://ukconstitutionallaw.org/2020/04/29/paul-bowen-qc-learning-lessons-the-hard-way-article-2-duties-to-investigate-the-governments-response-to-the-covid-19-pandemic/" </w:instrText>
      </w:r>
      <w:r>
        <w:fldChar w:fldCharType="separate"/>
      </w:r>
      <w:r w:rsidRPr="00135444">
        <w:rPr>
          <w:rStyle w:val="Hyperlink"/>
          <w:rFonts w:ascii="Minion Pro" w:hAnsi="Minion Pro"/>
          <w:sz w:val="20"/>
        </w:rPr>
        <w:t>https://ukconstitutionallaw.org/2020/04/29/paul-bowen-qc-learning-lessons-the-hard-way-article-2-duties-to-investigate-the-government</w:t>
      </w:r>
      <w:r w:rsidRPr="00135444">
        <w:rPr>
          <w:rStyle w:val="Hyperlink"/>
          <w:rFonts w:ascii="Minion Pro" w:hAnsi="Minion Pro"/>
          <w:sz w:val="20"/>
        </w:rPr>
        <w:t>s-response-to-the-covid-19-pandemic/</w:t>
      </w:r>
      <w:r>
        <w:fldChar w:fldCharType="end"/>
      </w:r>
    </w:p>
  </w:endnote>
  <w:endnote w:id="18">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1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i/>
          <w:iCs/>
          <w:sz w:val="20"/>
        </w:rPr>
        <w:t>Inquiries Act 2005</w:t>
      </w:r>
      <w:r w:rsidRPr="00135444">
        <w:rPr>
          <w:rFonts w:ascii="Minion Pro" w:hAnsi="Minion Pro"/>
          <w:sz w:val="20"/>
        </w:rPr>
        <w:t>, s2</w:t>
      </w:r>
    </w:p>
  </w:endnote>
  <w:endnote w:id="2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w:t>
      </w:r>
      <w:r w:rsidRPr="00135444">
        <w:rPr>
          <w:rFonts w:ascii="Minion Pro" w:hAnsi="Minion Pro"/>
          <w:i/>
          <w:iCs/>
          <w:sz w:val="20"/>
        </w:rPr>
        <w:t>There needs to be a rapid review on coronavirus as part of a full public inquiry</w:t>
      </w:r>
      <w:r w:rsidRPr="00135444">
        <w:rPr>
          <w:rFonts w:ascii="Minion Pro" w:hAnsi="Minion Pro"/>
          <w:sz w:val="20"/>
        </w:rPr>
        <w:t>, 11 June 2020, In</w:t>
      </w:r>
      <w:r w:rsidRPr="00135444">
        <w:rPr>
          <w:rFonts w:ascii="Minion Pro" w:hAnsi="Minion Pro"/>
          <w:sz w:val="20"/>
        </w:rPr>
        <w:t xml:space="preserve">stitute for Government, retrieved 20 July 2020 </w:t>
      </w:r>
      <w:r>
        <w:fldChar w:fldCharType="begin"/>
      </w:r>
      <w:r>
        <w:instrText xml:space="preserve"> HYPERLINK "https://www.instituteforgovernment.org.uk/blog/there-needs-be-rapid-review-coronavirus-part-full-public-inquiry" </w:instrText>
      </w:r>
      <w:r>
        <w:fldChar w:fldCharType="separate"/>
      </w:r>
      <w:r w:rsidRPr="00135444">
        <w:rPr>
          <w:rStyle w:val="Hyperlink"/>
          <w:rFonts w:ascii="Minion Pro" w:hAnsi="Minion Pro"/>
          <w:sz w:val="20"/>
        </w:rPr>
        <w:t>https://www.instituteforgovernment.org.uk/blog/there-needs-be-rapid-review-coronavir</w:t>
      </w:r>
      <w:r w:rsidRPr="00135444">
        <w:rPr>
          <w:rStyle w:val="Hyperlink"/>
          <w:rFonts w:ascii="Minion Pro" w:hAnsi="Minion Pro"/>
          <w:sz w:val="20"/>
        </w:rPr>
        <w:t>us-part-full-public-inquiry</w:t>
      </w:r>
      <w:r>
        <w:fldChar w:fldCharType="end"/>
      </w:r>
    </w:p>
  </w:endnote>
  <w:endnote w:id="21">
    <w:p w:rsidR="00823B95"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Riots Communities and Victims Panel, </w:t>
      </w:r>
      <w:r w:rsidRPr="00135444">
        <w:rPr>
          <w:rFonts w:ascii="Minion Pro" w:hAnsi="Minion Pro"/>
          <w:i/>
          <w:iCs/>
          <w:sz w:val="20"/>
        </w:rPr>
        <w:t>5 Days in August: an interim report on the 2011 English riots</w:t>
      </w:r>
      <w:r w:rsidRPr="00135444">
        <w:rPr>
          <w:rFonts w:ascii="Minion Pro" w:hAnsi="Minion Pro"/>
          <w:sz w:val="20"/>
        </w:rPr>
        <w:t xml:space="preserve">, 28 November 2011, retrieved 27 July 2020, </w:t>
      </w:r>
      <w:r>
        <w:fldChar w:fldCharType="begin"/>
      </w:r>
      <w:r>
        <w:instrText xml:space="preserve"> HYPERLINK "https://www.bl.uk/collection-items/5-days-in-august-an-interim-report-on-the-2011-english-riots" </w:instrText>
      </w:r>
      <w:r>
        <w:fldChar w:fldCharType="separate"/>
      </w:r>
      <w:r w:rsidRPr="00135444">
        <w:rPr>
          <w:rStyle w:val="Hyperlink"/>
          <w:rFonts w:ascii="Minion Pro" w:hAnsi="Minion Pro"/>
          <w:sz w:val="20"/>
        </w:rPr>
        <w:t>https://www.bl.uk/collection-items/5-days-in-august-an-interim-report-on-the-2011-english-riots</w:t>
      </w:r>
      <w:r>
        <w:fldChar w:fldCharType="end"/>
      </w:r>
    </w:p>
  </w:endnote>
  <w:endnote w:id="2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12 December 2017, Institute for Government, retrieved 16 Jul</w:t>
      </w:r>
      <w:r w:rsidRPr="00135444">
        <w:rPr>
          <w:rFonts w:ascii="Minion Pro" w:hAnsi="Minion Pro"/>
          <w:sz w:val="20"/>
        </w:rPr>
        <w:t xml:space="preserve">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23">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w:t>
      </w:r>
      <w:r w:rsidRPr="00135444">
        <w:rPr>
          <w:rFonts w:ascii="Minion Pro" w:hAnsi="Minion Pro"/>
          <w:i/>
          <w:iCs/>
          <w:sz w:val="20"/>
        </w:rPr>
        <w:t xml:space="preserve">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w:t>
      </w:r>
      <w:r w:rsidRPr="00135444">
        <w:rPr>
          <w:rStyle w:val="Hyperlink"/>
          <w:rFonts w:ascii="Minion Pro" w:hAnsi="Minion Pro"/>
          <w:sz w:val="20"/>
        </w:rPr>
        <w:t>lic-inquiries-can-lead-change</w:t>
      </w:r>
      <w:r>
        <w:fldChar w:fldCharType="end"/>
      </w:r>
    </w:p>
  </w:endnote>
  <w:endnote w:id="24">
    <w:p w:rsidR="005931C6"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2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Hughes L, </w:t>
      </w:r>
      <w:r w:rsidRPr="00135444">
        <w:rPr>
          <w:rFonts w:ascii="Minion Pro" w:hAnsi="Minion Pro"/>
          <w:i/>
          <w:iCs/>
          <w:sz w:val="20"/>
        </w:rPr>
        <w:t>Oral Evidence to the House of Lords Select Committee on the Inquiries Act 2005</w:t>
      </w:r>
      <w:r w:rsidRPr="00135444">
        <w:rPr>
          <w:rFonts w:ascii="Minion Pro" w:hAnsi="Minion Pro"/>
          <w:sz w:val="20"/>
        </w:rPr>
        <w:t>, 2013, House of Lords, Q137, , retrieved 20 July 20</w:t>
      </w:r>
      <w:r w:rsidRPr="00135444">
        <w:rPr>
          <w:rFonts w:ascii="Minion Pro" w:hAnsi="Minion Pro"/>
          <w:sz w:val="20"/>
        </w:rPr>
        <w:t xml:space="preserve">20, </w:t>
      </w:r>
      <w:r>
        <w:fldChar w:fldCharType="begin"/>
      </w:r>
      <w:r>
        <w:instrText xml:space="preserve"> HYPERLINK "https://www.parliament.uk/documents/lords-committees/Inquiries-Act-2005/IA_Written_Oral_evidencevol.pdf" </w:instrText>
      </w:r>
      <w:r>
        <w:fldChar w:fldCharType="separate"/>
      </w:r>
      <w:r w:rsidRPr="00135444">
        <w:rPr>
          <w:rStyle w:val="Hyperlink"/>
          <w:rFonts w:ascii="Minion Pro" w:hAnsi="Minion Pro"/>
          <w:sz w:val="20"/>
        </w:rPr>
        <w:t>https://www.parliament.uk/documents/lords-committees/Inquiries-Act-2005/IA_Written_Oral_evidencevol.pdf</w:t>
      </w:r>
      <w:r>
        <w:fldChar w:fldCharType="end"/>
      </w:r>
    </w:p>
  </w:endnote>
  <w:endnote w:id="2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House of Lords Select Comm</w:t>
      </w:r>
      <w:r w:rsidRPr="00135444">
        <w:rPr>
          <w:rFonts w:ascii="Minion Pro" w:hAnsi="Minion Pro"/>
          <w:sz w:val="20"/>
        </w:rPr>
        <w:t xml:space="preserve">ittee on the Inquiries Act 2005 </w:t>
      </w:r>
      <w:r w:rsidRPr="00135444">
        <w:rPr>
          <w:rFonts w:ascii="Minion Pro" w:hAnsi="Minion Pro"/>
          <w:i/>
          <w:iCs/>
          <w:sz w:val="20"/>
        </w:rPr>
        <w:t>The Inquiries Act 2005: Post-legislative scrutiny</w:t>
      </w:r>
      <w:r w:rsidRPr="00135444">
        <w:rPr>
          <w:rFonts w:ascii="Minion Pro" w:hAnsi="Minion Pro"/>
          <w:sz w:val="20"/>
        </w:rPr>
        <w:t xml:space="preserve">, 11 March 2014, HL 134, The Stationery Office, retrieved 20 July 2020, </w:t>
      </w:r>
      <w:r>
        <w:fldChar w:fldCharType="begin"/>
      </w:r>
      <w:r>
        <w:instrText xml:space="preserve"> HYPERLINK "https://www.parliament.uk/business/committees/committees-a-z/lords-select/inquiries-act-2005/" </w:instrText>
      </w:r>
      <w:r>
        <w:fldChar w:fldCharType="separate"/>
      </w:r>
      <w:r w:rsidRPr="00135444">
        <w:rPr>
          <w:rStyle w:val="Hyperlink"/>
          <w:rFonts w:ascii="Minion Pro" w:hAnsi="Minion Pro"/>
          <w:sz w:val="20"/>
        </w:rPr>
        <w:t>https://www.parliament.uk/business/committees/committees-a-z/lords-select/inquiries-act-2005/</w:t>
      </w:r>
      <w:r>
        <w:fldChar w:fldCharType="end"/>
      </w:r>
    </w:p>
  </w:endnote>
  <w:endnote w:id="2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w:t>
      </w:r>
      <w:r w:rsidRPr="00135444">
        <w:rPr>
          <w:rStyle w:val="Hyperlink"/>
          <w:rFonts w:ascii="Minion Pro" w:hAnsi="Minion Pro"/>
          <w:sz w:val="20"/>
        </w:rPr>
        <w:t>ead-change</w:t>
      </w:r>
      <w:r>
        <w:fldChar w:fldCharType="end"/>
      </w:r>
    </w:p>
  </w:endnote>
  <w:endnote w:id="28">
    <w:p w:rsidR="008010AE"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Guerin B, McCrae J and Shepheard M, </w:t>
      </w:r>
      <w:r w:rsidRPr="00135444">
        <w:rPr>
          <w:rFonts w:ascii="Minion Pro" w:hAnsi="Minion Pro"/>
          <w:i/>
          <w:iCs/>
          <w:sz w:val="20"/>
        </w:rPr>
        <w:t>Accountability in modern government: recommendations for change</w:t>
      </w:r>
      <w:r w:rsidRPr="00135444">
        <w:rPr>
          <w:rFonts w:ascii="Minion Pro" w:hAnsi="Minion Pro"/>
          <w:sz w:val="20"/>
        </w:rPr>
        <w:t xml:space="preserve">, 15 October 2018, Institute for Government, retrieved 16 July 2020, </w:t>
      </w:r>
      <w:r>
        <w:fldChar w:fldCharType="begin"/>
      </w:r>
      <w:r>
        <w:instrText xml:space="preserve"> HYPERLINK "https://www.instituteforgovernment.org.uk/publications/accountability-modern-government-recommendations" </w:instrText>
      </w:r>
      <w:r>
        <w:fldChar w:fldCharType="separate"/>
      </w:r>
      <w:r w:rsidRPr="00135444">
        <w:rPr>
          <w:rStyle w:val="Hyperlink"/>
          <w:rFonts w:ascii="Minion Pro" w:hAnsi="Minion Pro"/>
          <w:sz w:val="20"/>
        </w:rPr>
        <w:t>https://www.instituteforgovernment.org.uk/publications/accountability-modern-government-recommendations</w:t>
      </w:r>
      <w:r>
        <w:fldChar w:fldCharType="end"/>
      </w:r>
    </w:p>
    <w:p w:rsidR="00A90E10" w:rsidRPr="00135444" w:rsidP="00135444">
      <w:pPr>
        <w:pStyle w:val="EndnoteText"/>
        <w:rPr>
          <w:rFonts w:ascii="Minion Pro" w:hAnsi="Minion Pro"/>
          <w:sz w:val="20"/>
        </w:rPr>
      </w:pPr>
      <w:r w:rsidRPr="00135444">
        <w:rPr>
          <w:rStyle w:val="EndnoteReference"/>
          <w:rFonts w:ascii="Minion Pro" w:hAnsi="Minion Pro"/>
          <w:sz w:val="20"/>
        </w:rPr>
        <w:endnoteRef/>
      </w:r>
    </w:p>
  </w:endnote>
  <w:endnote w:id="2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Bichard M, </w:t>
      </w:r>
      <w:r w:rsidRPr="00135444">
        <w:rPr>
          <w:rFonts w:ascii="Minion Pro" w:hAnsi="Minion Pro"/>
          <w:i/>
          <w:iCs/>
          <w:sz w:val="20"/>
        </w:rPr>
        <w:t>The Bichard Inquiry Report</w:t>
      </w:r>
      <w:r w:rsidRPr="00135444">
        <w:rPr>
          <w:rFonts w:ascii="Minion Pro" w:hAnsi="Minion Pro"/>
          <w:sz w:val="20"/>
        </w:rPr>
        <w:t>, 22 June 2004, HC 653, The Stationary Office, p12, retrieved 1</w:t>
      </w:r>
      <w:r w:rsidRPr="00135444">
        <w:rPr>
          <w:rFonts w:ascii="Minion Pro" w:hAnsi="Minion Pro"/>
          <w:sz w:val="20"/>
        </w:rPr>
        <w:t xml:space="preserve">6 July 2020, </w:t>
      </w:r>
      <w:r>
        <w:fldChar w:fldCharType="begin"/>
      </w:r>
      <w:r>
        <w:instrText xml:space="preserve"> HYPERLINK "https://dera.ioe.ac.uk/6394/1/report.pdf" </w:instrText>
      </w:r>
      <w:r>
        <w:fldChar w:fldCharType="separate"/>
      </w:r>
      <w:r w:rsidRPr="00135444">
        <w:rPr>
          <w:rStyle w:val="Hyperlink"/>
          <w:rFonts w:ascii="Minion Pro" w:hAnsi="Minion Pro"/>
          <w:sz w:val="20"/>
        </w:rPr>
        <w:t>https://dera.ioe.ac.uk/6394/1/report.pdf</w:t>
      </w:r>
      <w:r>
        <w:fldChar w:fldCharType="end"/>
      </w:r>
      <w:r w:rsidRPr="00135444">
        <w:rPr>
          <w:rFonts w:ascii="Minion Pro" w:hAnsi="Minion Pro"/>
          <w:sz w:val="20"/>
        </w:rPr>
        <w:t xml:space="preserve"> </w:t>
      </w:r>
    </w:p>
  </w:endnote>
  <w:endnote w:id="3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House of Commons Liaison Committee, </w:t>
      </w:r>
      <w:r w:rsidRPr="00135444">
        <w:rPr>
          <w:rFonts w:ascii="Minion Pro" w:hAnsi="Minion Pro"/>
          <w:i/>
          <w:iCs/>
          <w:sz w:val="20"/>
        </w:rPr>
        <w:t>Oral evidence: Follow up to the Chilcot Report</w:t>
      </w:r>
      <w:r w:rsidRPr="00135444">
        <w:rPr>
          <w:rFonts w:ascii="Minion Pro" w:hAnsi="Minion Pro"/>
          <w:sz w:val="20"/>
        </w:rPr>
        <w:t xml:space="preserve">, 2 November 2016, HC 689, retrieved 17 July 2020, </w:t>
      </w:r>
      <w:r>
        <w:fldChar w:fldCharType="begin"/>
      </w:r>
      <w:r>
        <w:instrText xml:space="preserve"> HYPERLINK "https://www.parliament.uk/business/committees/committees-a-z/commons-select/liaison-committee/news-parliament-20151/chilcot-evidence-16-17/" </w:instrText>
      </w:r>
      <w:r>
        <w:fldChar w:fldCharType="separate"/>
      </w:r>
      <w:r w:rsidRPr="00135444">
        <w:rPr>
          <w:rStyle w:val="Hyperlink"/>
          <w:rFonts w:ascii="Minion Pro" w:hAnsi="Minion Pro"/>
          <w:sz w:val="20"/>
        </w:rPr>
        <w:t>https://www.parliament.uk/business/committees/committees-a-z/commons-select/liaison-committee/news-parliament-20</w:t>
      </w:r>
      <w:r w:rsidRPr="00135444">
        <w:rPr>
          <w:rStyle w:val="Hyperlink"/>
          <w:rFonts w:ascii="Minion Pro" w:hAnsi="Minion Pro"/>
          <w:sz w:val="20"/>
        </w:rPr>
        <w:t>151/chilcot-evidence-16-17/</w:t>
      </w:r>
      <w:r>
        <w:fldChar w:fldCharType="end"/>
      </w:r>
    </w:p>
  </w:endnote>
  <w:endnote w:id="31">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Hillsborough Independent Panel, </w:t>
      </w:r>
      <w:r w:rsidRPr="00135444">
        <w:rPr>
          <w:rFonts w:ascii="Minion Pro" w:hAnsi="Minion Pro"/>
          <w:i/>
          <w:iCs/>
          <w:sz w:val="20"/>
        </w:rPr>
        <w:t>The report of the Hillsborough Independent Panel</w:t>
      </w:r>
      <w:r w:rsidRPr="00135444">
        <w:rPr>
          <w:rFonts w:ascii="Minion Pro" w:hAnsi="Minion Pro"/>
          <w:sz w:val="20"/>
        </w:rPr>
        <w:t xml:space="preserve">, 12 September 2012, HC 581, The Stationary Office, retrieved 16 July 2020, </w:t>
      </w:r>
      <w:r>
        <w:fldChar w:fldCharType="begin"/>
      </w:r>
      <w:r>
        <w:instrText xml:space="preserve"> HYPERLINK "https://www.gov.uk/government/publications/the-report-of-the-hillsborough-independent-panel" </w:instrText>
      </w:r>
      <w:r>
        <w:fldChar w:fldCharType="separate"/>
      </w:r>
      <w:r w:rsidRPr="00135444">
        <w:rPr>
          <w:rStyle w:val="Hyperlink"/>
          <w:rFonts w:ascii="Minion Pro" w:hAnsi="Minion Pro"/>
          <w:sz w:val="20"/>
        </w:rPr>
        <w:t>https://www.gov.uk/government/publications/the-report-of-the-hillsborough-independent-panel</w:t>
      </w:r>
      <w:r>
        <w:fldChar w:fldCharType="end"/>
      </w:r>
    </w:p>
  </w:endnote>
  <w:endnote w:id="3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The Gosport Independent Panel, </w:t>
      </w:r>
      <w:r w:rsidRPr="00135444">
        <w:rPr>
          <w:rFonts w:ascii="Minion Pro" w:hAnsi="Minion Pro"/>
          <w:i/>
          <w:iCs/>
          <w:sz w:val="20"/>
        </w:rPr>
        <w:t>Gosport War Memorial Hospital</w:t>
      </w:r>
      <w:r w:rsidRPr="00135444">
        <w:rPr>
          <w:rFonts w:ascii="Minion Pro" w:hAnsi="Minion Pro"/>
          <w:sz w:val="20"/>
        </w:rPr>
        <w:t xml:space="preserve">, 20 June 2018, HC 1084, The Stationary Office, retrieved 16 </w:t>
      </w:r>
      <w:r w:rsidRPr="00135444">
        <w:rPr>
          <w:rFonts w:ascii="Minion Pro" w:hAnsi="Minion Pro"/>
          <w:sz w:val="20"/>
        </w:rPr>
        <w:t xml:space="preserve">July 2020, </w:t>
      </w:r>
      <w:r>
        <w:fldChar w:fldCharType="begin"/>
      </w:r>
      <w:r>
        <w:instrText xml:space="preserve"> HYPERLINK "https://www.gosportpanel.independent.gov.uk/panel-report/" </w:instrText>
      </w:r>
      <w:r>
        <w:fldChar w:fldCharType="separate"/>
      </w:r>
      <w:r w:rsidRPr="00135444">
        <w:rPr>
          <w:rStyle w:val="Hyperlink"/>
          <w:rFonts w:ascii="Minion Pro" w:hAnsi="Minion Pro"/>
          <w:sz w:val="20"/>
        </w:rPr>
        <w:t>https://www.gosportpanel.independent.gov.uk/panel-report/</w:t>
      </w:r>
      <w:r>
        <w:fldChar w:fldCharType="end"/>
      </w:r>
    </w:p>
  </w:endnote>
  <w:endnote w:id="33">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Blom-Cooper S (2004) </w:t>
      </w:r>
      <w:r w:rsidRPr="00135444">
        <w:rPr>
          <w:rFonts w:ascii="Minion Pro" w:hAnsi="Minion Pro"/>
          <w:i/>
          <w:iCs/>
          <w:sz w:val="20"/>
        </w:rPr>
        <w:t>Oral Evidence to the House of Commons Public Administration Select Committee ‘Government b</w:t>
      </w:r>
      <w:r w:rsidRPr="00135444">
        <w:rPr>
          <w:rFonts w:ascii="Minion Pro" w:hAnsi="Minion Pro"/>
          <w:i/>
          <w:iCs/>
          <w:sz w:val="20"/>
        </w:rPr>
        <w:t>y Inquiry’</w:t>
      </w:r>
      <w:r w:rsidRPr="00135444">
        <w:rPr>
          <w:rFonts w:ascii="Minion Pro" w:hAnsi="Minion Pro"/>
          <w:sz w:val="20"/>
        </w:rPr>
        <w:t xml:space="preserve">, Q681, House of Commons, retrieved 20 July 2020, </w:t>
      </w:r>
      <w:r>
        <w:fldChar w:fldCharType="begin"/>
      </w:r>
      <w:r>
        <w:instrText xml:space="preserve"> HYPERLINK "https://publications.parliament.uk/pa/cm200405/cmselect/cmpubadm/uc51-i/uc5102.htm" </w:instrText>
      </w:r>
      <w:r>
        <w:fldChar w:fldCharType="separate"/>
      </w:r>
      <w:r w:rsidRPr="00135444">
        <w:rPr>
          <w:rStyle w:val="Hyperlink"/>
          <w:rFonts w:ascii="Minion Pro" w:hAnsi="Minion Pro"/>
          <w:sz w:val="20"/>
        </w:rPr>
        <w:t>https://publications.parliament.uk/pa/cm200405/cmselect/cmpubadm/uc51-i/uc5102.htm</w:t>
      </w:r>
      <w:r>
        <w:fldChar w:fldCharType="end"/>
      </w:r>
    </w:p>
  </w:endnote>
  <w:endnote w:id="34">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w:t>
      </w:r>
      <w:r w:rsidRPr="00135444">
        <w:rPr>
          <w:rFonts w:ascii="Minion Pro" w:hAnsi="Minion Pro"/>
          <w:sz w:val="20"/>
        </w:rPr>
        <w:t xml:space="preserve">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w:t>
      </w:r>
      <w:r w:rsidRPr="00135444">
        <w:rPr>
          <w:rStyle w:val="Hyperlink"/>
          <w:rFonts w:ascii="Minion Pro" w:hAnsi="Minion Pro"/>
          <w:sz w:val="20"/>
        </w:rPr>
        <w:t>rnment.org.uk/publications/how-public-inquiries-can-lead-change</w:t>
      </w:r>
      <w:r>
        <w:fldChar w:fldCharType="end"/>
      </w:r>
    </w:p>
  </w:endnote>
  <w:endnote w:id="3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3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w:t>
      </w:r>
      <w:r w:rsidRPr="00135444">
        <w:rPr>
          <w:rStyle w:val="Hyperlink"/>
          <w:rFonts w:ascii="Minion Pro" w:hAnsi="Minion Pro"/>
          <w:sz w:val="20"/>
        </w:rPr>
        <w:t>ead-change</w:t>
      </w:r>
      <w:r>
        <w:fldChar w:fldCharType="end"/>
      </w:r>
    </w:p>
  </w:endnote>
  <w:endnote w:id="3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House of Commons Public Administration Select Committee, </w:t>
      </w:r>
      <w:r w:rsidRPr="00135444">
        <w:rPr>
          <w:rFonts w:ascii="Minion Pro" w:hAnsi="Minion Pro"/>
          <w:i/>
          <w:iCs/>
          <w:sz w:val="20"/>
        </w:rPr>
        <w:t>Government by Inquiry</w:t>
      </w:r>
      <w:r w:rsidRPr="00135444">
        <w:rPr>
          <w:rFonts w:ascii="Minion Pro" w:hAnsi="Minion Pro"/>
          <w:sz w:val="20"/>
        </w:rPr>
        <w:t xml:space="preserve">, 27 January 2005, HC 51-I, The Stationary Office, retrieved 20 July 2020, </w:t>
      </w:r>
      <w:r>
        <w:fldChar w:fldCharType="begin"/>
      </w:r>
      <w:r>
        <w:instrText xml:space="preserve"> HYPERLINK "https://publications.parliament.uk/pa/cm200405/cmselect/cmpubadm/51/51i.pdf" </w:instrText>
      </w:r>
      <w:r>
        <w:fldChar w:fldCharType="separate"/>
      </w:r>
      <w:r w:rsidRPr="00135444">
        <w:rPr>
          <w:rStyle w:val="Hyperlink"/>
          <w:rFonts w:ascii="Minion Pro" w:hAnsi="Minion Pro"/>
          <w:sz w:val="20"/>
        </w:rPr>
        <w:t>https://publications.parliament.uk/pa/cm200405/cmselect/cmpubadm/51/51i.pdf</w:t>
      </w:r>
      <w:r>
        <w:fldChar w:fldCharType="end"/>
      </w:r>
    </w:p>
  </w:endnote>
  <w:endnote w:id="38">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Riddell P, </w:t>
      </w:r>
      <w:r w:rsidRPr="00135444">
        <w:rPr>
          <w:rFonts w:ascii="Minion Pro" w:hAnsi="Minion Pro"/>
          <w:i/>
          <w:iCs/>
          <w:sz w:val="20"/>
        </w:rPr>
        <w:t>The role of public inquiries</w:t>
      </w:r>
      <w:r w:rsidRPr="00135444">
        <w:rPr>
          <w:rFonts w:ascii="Minion Pro" w:hAnsi="Minion Pro"/>
          <w:sz w:val="20"/>
        </w:rPr>
        <w:t xml:space="preserve">, 26 July 2016, Institute for Government, retrieved 20 July 2020, </w:t>
      </w:r>
      <w:r>
        <w:fldChar w:fldCharType="begin"/>
      </w:r>
      <w:r>
        <w:instrText xml:space="preserve"> HYPERLINK "http://www.instituteforgovernment.org.uk/blog/role-public-inquiries" </w:instrText>
      </w:r>
      <w:r>
        <w:fldChar w:fldCharType="separate"/>
      </w:r>
      <w:r w:rsidRPr="00135444">
        <w:rPr>
          <w:rStyle w:val="Hyperlink"/>
          <w:rFonts w:ascii="Minion Pro" w:hAnsi="Minion Pro"/>
          <w:sz w:val="20"/>
        </w:rPr>
        <w:t>www.instituteforgovernment.org.uk/blog/role-public-inquiries</w:t>
      </w:r>
      <w:r>
        <w:fldChar w:fldCharType="end"/>
      </w:r>
    </w:p>
  </w:endnote>
  <w:endnote w:id="3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12 December 2017, Institute for Government</w:t>
      </w:r>
      <w:r w:rsidRPr="00135444">
        <w:rPr>
          <w:rFonts w:ascii="Minion Pro" w:hAnsi="Minion Pro"/>
          <w:sz w:val="20"/>
        </w:rPr>
        <w:t xml:space="preserve">,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4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Doyle-Price, </w:t>
      </w:r>
      <w:r w:rsidRPr="00135444">
        <w:rPr>
          <w:rFonts w:ascii="Minion Pro" w:hAnsi="Minion Pro"/>
          <w:i/>
          <w:iCs/>
          <w:sz w:val="20"/>
        </w:rPr>
        <w:t>Terms of refere</w:t>
      </w:r>
      <w:r w:rsidRPr="00135444">
        <w:rPr>
          <w:rFonts w:ascii="Minion Pro" w:hAnsi="Minion Pro"/>
          <w:i/>
          <w:iCs/>
          <w:sz w:val="20"/>
        </w:rPr>
        <w:t>nce for the inquiry into the issues raised by the Paterson case</w:t>
      </w:r>
      <w:r w:rsidRPr="00135444">
        <w:rPr>
          <w:rFonts w:ascii="Minion Pro" w:hAnsi="Minion Pro"/>
          <w:sz w:val="20"/>
        </w:rPr>
        <w:t xml:space="preserve">, 27 March 2018, Written Statement HCWS589, retrieved 20 July 2020, </w:t>
      </w:r>
      <w:r>
        <w:fldChar w:fldCharType="begin"/>
      </w:r>
      <w:r>
        <w:instrText xml:space="preserve"> HYPERLINK "https://www.parliament.uk/business/publications/written-questions-answers-statements/written-statement/Commons/2018-03-27/HCWS589/" </w:instrText>
      </w:r>
      <w:r>
        <w:fldChar w:fldCharType="separate"/>
      </w:r>
      <w:r w:rsidRPr="00135444">
        <w:rPr>
          <w:rStyle w:val="Hyperlink"/>
          <w:rFonts w:ascii="Minion Pro" w:hAnsi="Minion Pro"/>
          <w:sz w:val="20"/>
        </w:rPr>
        <w:t>https://www.parliament.uk/business/publications/written-questions-answers-statements/written-statement/Commons/2018-03-27/HCWS589/</w:t>
      </w:r>
      <w:r>
        <w:fldChar w:fldCharType="end"/>
      </w:r>
    </w:p>
  </w:endnote>
  <w:endnote w:id="41">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Infected Blood Inquiry, </w:t>
      </w:r>
      <w:r w:rsidRPr="00135444">
        <w:rPr>
          <w:rFonts w:ascii="Minion Pro" w:hAnsi="Minion Pro"/>
          <w:i/>
          <w:iCs/>
          <w:sz w:val="20"/>
        </w:rPr>
        <w:t>Summary of responses to the Infected Blood Inquiry’s consultation seeking vie</w:t>
      </w:r>
      <w:r w:rsidRPr="00135444">
        <w:rPr>
          <w:rFonts w:ascii="Minion Pro" w:hAnsi="Minion Pro"/>
          <w:i/>
          <w:iCs/>
          <w:sz w:val="20"/>
        </w:rPr>
        <w:t>ws on terms of reference</w:t>
      </w:r>
      <w:r w:rsidRPr="00135444">
        <w:rPr>
          <w:rFonts w:ascii="Minion Pro" w:hAnsi="Minion Pro"/>
          <w:sz w:val="20"/>
        </w:rPr>
        <w:t xml:space="preserve">, 7 June 2018, retrieved 20 July 2020, </w:t>
      </w:r>
      <w:r>
        <w:fldChar w:fldCharType="begin"/>
      </w:r>
      <w:r>
        <w:instrText xml:space="preserve"> HYPERLINK "https://www.infectedbloodinquiry.org.uk/sites/default/files/Summary-of-consultation-responses.pdf" </w:instrText>
      </w:r>
      <w:r>
        <w:fldChar w:fldCharType="separate"/>
      </w:r>
      <w:r w:rsidRPr="00135444">
        <w:rPr>
          <w:rStyle w:val="Hyperlink"/>
          <w:rFonts w:ascii="Minion Pro" w:hAnsi="Minion Pro"/>
          <w:sz w:val="20"/>
        </w:rPr>
        <w:t>https://www.infectedbloodinquiry.org.uk/sites/default/files/Summary-of-consultatio</w:t>
      </w:r>
      <w:r w:rsidRPr="00135444">
        <w:rPr>
          <w:rStyle w:val="Hyperlink"/>
          <w:rFonts w:ascii="Minion Pro" w:hAnsi="Minion Pro"/>
          <w:sz w:val="20"/>
        </w:rPr>
        <w:t>n-responses.pdf</w:t>
      </w:r>
      <w:r>
        <w:fldChar w:fldCharType="end"/>
      </w:r>
      <w:r w:rsidRPr="00135444">
        <w:rPr>
          <w:rFonts w:ascii="Minion Pro" w:hAnsi="Minion Pro"/>
          <w:sz w:val="20"/>
        </w:rPr>
        <w:t xml:space="preserve"> </w:t>
      </w:r>
    </w:p>
  </w:endnote>
  <w:endnote w:id="4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Moore-Bick M, </w:t>
      </w:r>
      <w:r w:rsidRPr="00135444">
        <w:rPr>
          <w:rFonts w:ascii="Minion Pro" w:hAnsi="Minion Pro"/>
          <w:i/>
          <w:iCs/>
          <w:sz w:val="20"/>
        </w:rPr>
        <w:t>Sir Martin Moore-Bick sets out his terms of reference for the Grenfell Tower Inquiry</w:t>
      </w:r>
      <w:r w:rsidRPr="00135444">
        <w:rPr>
          <w:rFonts w:ascii="Minion Pro" w:hAnsi="Minion Pro"/>
          <w:sz w:val="20"/>
        </w:rPr>
        <w:t xml:space="preserve">, 10 August 2017, GOV.UK retrieved 20 July 2020, </w:t>
      </w:r>
      <w:r>
        <w:fldChar w:fldCharType="begin"/>
      </w:r>
      <w:r>
        <w:instrText xml:space="preserve"> HYPERLINK "https://www.gov.uk/government/publications/grenfell-tower-inquiry-terms-of-reference-published" </w:instrText>
      </w:r>
      <w:r>
        <w:fldChar w:fldCharType="separate"/>
      </w:r>
      <w:r w:rsidRPr="00135444">
        <w:rPr>
          <w:rStyle w:val="Hyperlink"/>
          <w:rFonts w:ascii="Minion Pro" w:hAnsi="Minion Pro"/>
          <w:sz w:val="20"/>
        </w:rPr>
        <w:t>https://www.gov.uk/government/publications/grenfell-tower-inquiry-terms-of-reference-published</w:t>
      </w:r>
      <w:r>
        <w:fldChar w:fldCharType="end"/>
      </w:r>
    </w:p>
  </w:endnote>
  <w:endnote w:id="43">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Moore-Bick M, </w:t>
      </w:r>
      <w:r w:rsidRPr="00135444">
        <w:rPr>
          <w:rFonts w:ascii="Minion Pro" w:hAnsi="Minion Pro"/>
          <w:i/>
          <w:iCs/>
          <w:sz w:val="20"/>
        </w:rPr>
        <w:t>Sir Martin Moore-Bick sets out his terms of reference for the Grenfell Tower Inquiry</w:t>
      </w:r>
      <w:r w:rsidRPr="00135444">
        <w:rPr>
          <w:rFonts w:ascii="Minion Pro" w:hAnsi="Minion Pro"/>
          <w:sz w:val="20"/>
        </w:rPr>
        <w:t>, 10 August 2017, GOV.UK retrieved 20</w:t>
      </w:r>
      <w:r w:rsidRPr="00135444">
        <w:rPr>
          <w:rFonts w:ascii="Minion Pro" w:hAnsi="Minion Pro"/>
          <w:sz w:val="20"/>
        </w:rPr>
        <w:t xml:space="preserve"> July 2020, </w:t>
      </w:r>
      <w:r>
        <w:fldChar w:fldCharType="begin"/>
      </w:r>
      <w:r>
        <w:instrText xml:space="preserve"> HYPERLINK "https://www.gov.uk/government/publications/grenfell-tower-inquiry-terms-of-reference-published" </w:instrText>
      </w:r>
      <w:r>
        <w:fldChar w:fldCharType="separate"/>
      </w:r>
      <w:r w:rsidRPr="00135444">
        <w:rPr>
          <w:rStyle w:val="Hyperlink"/>
          <w:rFonts w:ascii="Minion Pro" w:hAnsi="Minion Pro"/>
          <w:sz w:val="20"/>
        </w:rPr>
        <w:t>https://www.gov.uk/government/publications/grenfell-tower-inquiry-terms-of-reference-published</w:t>
      </w:r>
      <w:r>
        <w:fldChar w:fldCharType="end"/>
      </w:r>
    </w:p>
  </w:endnote>
  <w:endnote w:id="44">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May T, </w:t>
      </w:r>
      <w:r w:rsidRPr="00135444">
        <w:rPr>
          <w:rFonts w:ascii="Minion Pro" w:hAnsi="Minion Pro"/>
          <w:i/>
          <w:iCs/>
          <w:sz w:val="20"/>
        </w:rPr>
        <w:t>The Prime Minister responds t</w:t>
      </w:r>
      <w:r w:rsidRPr="00135444">
        <w:rPr>
          <w:rFonts w:ascii="Minion Pro" w:hAnsi="Minion Pro"/>
          <w:i/>
          <w:iCs/>
          <w:sz w:val="20"/>
        </w:rPr>
        <w:t>o Sir Martin Moore-Bick, accepting in full his recommended terms of reference</w:t>
      </w:r>
      <w:r w:rsidRPr="00135444">
        <w:rPr>
          <w:rFonts w:ascii="Minion Pro" w:hAnsi="Minion Pro"/>
          <w:sz w:val="20"/>
        </w:rPr>
        <w:t xml:space="preserve">, 15 August 2017, GOV.UK, retrieved 20 July 2020, </w:t>
      </w:r>
      <w:r>
        <w:fldChar w:fldCharType="begin"/>
      </w:r>
      <w:r>
        <w:instrText xml:space="preserve"> HYPERLINK "https://www.gov.uk/government/publications/grenfell-tower-inquiry-terms-of-reference-published" </w:instrText>
      </w:r>
      <w:r>
        <w:fldChar w:fldCharType="separate"/>
      </w:r>
      <w:r w:rsidRPr="00135444">
        <w:rPr>
          <w:rStyle w:val="Hyperlink"/>
          <w:rFonts w:ascii="Minion Pro" w:hAnsi="Minion Pro"/>
          <w:sz w:val="20"/>
        </w:rPr>
        <w:t>https://www.gov.uk/go</w:t>
      </w:r>
      <w:r w:rsidRPr="00135444">
        <w:rPr>
          <w:rStyle w:val="Hyperlink"/>
          <w:rFonts w:ascii="Minion Pro" w:hAnsi="Minion Pro"/>
          <w:sz w:val="20"/>
        </w:rPr>
        <w:t>vernment/publications/grenfell-tower-inquiry-terms-of-reference-published</w:t>
      </w:r>
      <w:r>
        <w:fldChar w:fldCharType="end"/>
      </w:r>
    </w:p>
  </w:endnote>
  <w:endnote w:id="4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Patel P, </w:t>
      </w:r>
      <w:r w:rsidRPr="00135444">
        <w:rPr>
          <w:rFonts w:ascii="Minion Pro" w:hAnsi="Minion Pro"/>
          <w:i/>
          <w:iCs/>
          <w:sz w:val="20"/>
        </w:rPr>
        <w:t>Manchester Arena Attack</w:t>
      </w:r>
      <w:r w:rsidRPr="00135444">
        <w:rPr>
          <w:rFonts w:ascii="Minion Pro" w:hAnsi="Minion Pro"/>
          <w:sz w:val="20"/>
        </w:rPr>
        <w:t xml:space="preserve">, 22 October 2019, HCWS28, retrieved 20 July 2020, </w:t>
      </w:r>
      <w:r>
        <w:fldChar w:fldCharType="begin"/>
      </w:r>
      <w:r>
        <w:instrText xml:space="preserve"> HYPERLINK "https://hansard.parliament.uk/Commons/2019-10-22/debates/19102233000009/ManchesterArenaAttack" </w:instrText>
      </w:r>
      <w:r>
        <w:fldChar w:fldCharType="separate"/>
      </w:r>
      <w:r w:rsidRPr="00135444">
        <w:rPr>
          <w:rStyle w:val="Hyperlink"/>
          <w:rFonts w:ascii="Minion Pro" w:hAnsi="Minion Pro"/>
          <w:sz w:val="20"/>
        </w:rPr>
        <w:t>https://hansard.parliament.uk/Commons/2019-10-22/debates/19102233000009/ManchesterArenaAttack</w:t>
      </w:r>
      <w:r>
        <w:fldChar w:fldCharType="end"/>
      </w:r>
    </w:p>
  </w:endnote>
  <w:endnote w:id="4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Williams S, </w:t>
      </w:r>
      <w:r w:rsidRPr="00135444">
        <w:rPr>
          <w:rFonts w:ascii="Minion Pro" w:hAnsi="Minion Pro"/>
          <w:i/>
          <w:iCs/>
          <w:sz w:val="20"/>
        </w:rPr>
        <w:t>Establishing a public inquiry into the</w:t>
      </w:r>
      <w:r w:rsidRPr="00135444">
        <w:rPr>
          <w:rFonts w:ascii="Minion Pro" w:hAnsi="Minion Pro"/>
          <w:i/>
          <w:iCs/>
          <w:sz w:val="20"/>
        </w:rPr>
        <w:t xml:space="preserve"> death of Jermaine Baker</w:t>
      </w:r>
      <w:r w:rsidRPr="00135444">
        <w:rPr>
          <w:rFonts w:ascii="Minion Pro" w:hAnsi="Minion Pro"/>
          <w:sz w:val="20"/>
        </w:rPr>
        <w:t xml:space="preserve">, 12 February 2020, HLWS104, retrieved 20 July 2020, </w:t>
      </w:r>
      <w:r>
        <w:fldChar w:fldCharType="begin"/>
      </w:r>
      <w:r>
        <w:instrText xml:space="preserve"> HYPERLINK "https://www.parliament.uk/business/publications/written-questions-answers-statements/written-statement/Lords/2020-02-12/HLWS104/" </w:instrText>
      </w:r>
      <w:r>
        <w:fldChar w:fldCharType="separate"/>
      </w:r>
      <w:r w:rsidRPr="00135444">
        <w:rPr>
          <w:rStyle w:val="Hyperlink"/>
          <w:rFonts w:ascii="Minion Pro" w:hAnsi="Minion Pro"/>
          <w:sz w:val="20"/>
        </w:rPr>
        <w:t>https://www.parliament.uk/business/pu</w:t>
      </w:r>
      <w:r w:rsidRPr="00135444">
        <w:rPr>
          <w:rStyle w:val="Hyperlink"/>
          <w:rFonts w:ascii="Minion Pro" w:hAnsi="Minion Pro"/>
          <w:sz w:val="20"/>
        </w:rPr>
        <w:t>blications/written-questions-answers-statements/written-statement/Lords/2020-02-12/HLWS104/</w:t>
      </w:r>
      <w:r>
        <w:fldChar w:fldCharType="end"/>
      </w:r>
    </w:p>
  </w:endnote>
  <w:endnote w:id="4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w:t>
      </w:r>
      <w:r w:rsidRPr="00135444">
        <w:rPr>
          <w:rFonts w:ascii="Minion Pro" w:hAnsi="Minion Pro"/>
          <w:i/>
          <w:iCs/>
          <w:sz w:val="20"/>
        </w:rPr>
        <w:t>Inquiries Act 2005</w:t>
      </w:r>
    </w:p>
  </w:endnote>
  <w:endnote w:id="48">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Eastman N, </w:t>
      </w:r>
      <w:r w:rsidRPr="00135444">
        <w:rPr>
          <w:rFonts w:ascii="Minion Pro" w:hAnsi="Minion Pro"/>
          <w:i/>
          <w:iCs/>
          <w:sz w:val="20"/>
        </w:rPr>
        <w:t>Towards an audit of inquiries,</w:t>
      </w:r>
      <w:r w:rsidRPr="00135444">
        <w:rPr>
          <w:rFonts w:ascii="Minion Pro" w:hAnsi="Minion Pro"/>
          <w:sz w:val="20"/>
        </w:rPr>
        <w:t xml:space="preserve"> 1996, in Peay J ed., Inquiries after Homicide, Duckworth,</w:t>
      </w:r>
    </w:p>
  </w:endnote>
  <w:endnote w:id="4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Francis R, </w:t>
      </w:r>
      <w:r w:rsidRPr="00135444">
        <w:rPr>
          <w:rFonts w:ascii="Minion Pro" w:hAnsi="Minion Pro"/>
          <w:i/>
          <w:iCs/>
          <w:sz w:val="20"/>
        </w:rPr>
        <w:t>Written Evidence to the H</w:t>
      </w:r>
      <w:r w:rsidRPr="00135444">
        <w:rPr>
          <w:rFonts w:ascii="Minion Pro" w:hAnsi="Minion Pro"/>
          <w:i/>
          <w:iCs/>
          <w:sz w:val="20"/>
        </w:rPr>
        <w:t>ouse of Lords Select Committee on the Inquiries Act 2005</w:t>
      </w:r>
      <w:r w:rsidRPr="00135444">
        <w:rPr>
          <w:rFonts w:ascii="Minion Pro" w:hAnsi="Minion Pro"/>
          <w:sz w:val="20"/>
        </w:rPr>
        <w:t xml:space="preserve">, 11 March 2014, House of Lords, retrieved 20 July 2020, </w:t>
      </w:r>
      <w:r>
        <w:fldChar w:fldCharType="begin"/>
      </w:r>
      <w:r>
        <w:instrText xml:space="preserve"> HYPERLINK "https://www.parliament.uk/documents/lords-committees/Inquiries-Act-2005/IA_Written_Oral_evidencevol.pdf" </w:instrText>
      </w:r>
      <w:r>
        <w:fldChar w:fldCharType="separate"/>
      </w:r>
      <w:r w:rsidRPr="00135444">
        <w:rPr>
          <w:rStyle w:val="Hyperlink"/>
          <w:rFonts w:ascii="Minion Pro" w:hAnsi="Minion Pro"/>
          <w:sz w:val="20"/>
        </w:rPr>
        <w:t>https://www.parliament.uk/</w:t>
      </w:r>
      <w:r w:rsidRPr="00135444">
        <w:rPr>
          <w:rStyle w:val="Hyperlink"/>
          <w:rFonts w:ascii="Minion Pro" w:hAnsi="Minion Pro"/>
          <w:sz w:val="20"/>
        </w:rPr>
        <w:t>documents/lords-committees/Inquiries-Act-2005/IA_Written_Oral_evidencevol.pdf</w:t>
      </w:r>
      <w:r>
        <w:fldChar w:fldCharType="end"/>
      </w:r>
      <w:r w:rsidRPr="00135444">
        <w:rPr>
          <w:rFonts w:ascii="Minion Pro" w:hAnsi="Minion Pro"/>
          <w:sz w:val="20"/>
        </w:rPr>
        <w:t xml:space="preserve"> </w:t>
      </w:r>
    </w:p>
  </w:endnote>
  <w:endnote w:id="5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Moore-Bick M, </w:t>
      </w:r>
      <w:r w:rsidRPr="00135444">
        <w:rPr>
          <w:rFonts w:ascii="Minion Pro" w:hAnsi="Minion Pro"/>
          <w:i/>
          <w:iCs/>
          <w:sz w:val="20"/>
        </w:rPr>
        <w:t>GRENFELL TOWER INQUIRY: PHASE 1 REPORT</w:t>
      </w:r>
      <w:r w:rsidRPr="00135444">
        <w:rPr>
          <w:rFonts w:ascii="Minion Pro" w:hAnsi="Minion Pro"/>
          <w:sz w:val="20"/>
        </w:rPr>
        <w:t xml:space="preserve">, 30 October 2019, HC 49, retrieved 20 July 2020, </w:t>
      </w:r>
      <w:r>
        <w:fldChar w:fldCharType="begin"/>
      </w:r>
      <w:r>
        <w:instrText xml:space="preserve"> HYPERLINK "https://www.grenfelltowerinquiry.org.uk/phase-1-report" </w:instrText>
      </w:r>
      <w:r>
        <w:fldChar w:fldCharType="separate"/>
      </w:r>
      <w:r w:rsidRPr="00135444">
        <w:rPr>
          <w:rStyle w:val="Hyperlink"/>
          <w:rFonts w:ascii="Minion Pro" w:hAnsi="Minion Pro"/>
          <w:sz w:val="20"/>
        </w:rPr>
        <w:t>ht</w:t>
      </w:r>
      <w:r w:rsidRPr="00135444">
        <w:rPr>
          <w:rStyle w:val="Hyperlink"/>
          <w:rFonts w:ascii="Minion Pro" w:hAnsi="Minion Pro"/>
          <w:sz w:val="20"/>
        </w:rPr>
        <w:t>tps://www.grenfelltowerinquiry.org.uk/phase-1-report</w:t>
      </w:r>
      <w:r>
        <w:fldChar w:fldCharType="end"/>
      </w:r>
    </w:p>
  </w:endnote>
  <w:endnote w:id="51">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Laming H, </w:t>
      </w:r>
      <w:r w:rsidRPr="00135444">
        <w:rPr>
          <w:rFonts w:ascii="Minion Pro" w:hAnsi="Minion Pro"/>
          <w:i/>
          <w:iCs/>
          <w:sz w:val="20"/>
        </w:rPr>
        <w:t>The Protection of Children in England: A progress report</w:t>
      </w:r>
      <w:r w:rsidRPr="00135444">
        <w:rPr>
          <w:rFonts w:ascii="Minion Pro" w:hAnsi="Minion Pro"/>
          <w:sz w:val="20"/>
        </w:rPr>
        <w:t xml:space="preserve">, 12 March 2009, HC 330, The Stationary Office, retrieved 16 July 2020, </w:t>
      </w:r>
      <w:r>
        <w:fldChar w:fldCharType="begin"/>
      </w:r>
      <w:r>
        <w:instrText xml:space="preserve"> HYPERLINK "https://www.gov.uk/government/publications/the-protection-of-children-in-england-a-progress-report" </w:instrText>
      </w:r>
      <w:r>
        <w:fldChar w:fldCharType="separate"/>
      </w:r>
      <w:r w:rsidRPr="00135444">
        <w:rPr>
          <w:rStyle w:val="Hyperlink"/>
          <w:rFonts w:ascii="Minion Pro" w:hAnsi="Minion Pro"/>
          <w:sz w:val="20"/>
        </w:rPr>
        <w:t>https://www.gov.uk/government/publications/the-protection-of-children-in-england-a-progress-report</w:t>
      </w:r>
      <w:r>
        <w:fldChar w:fldCharType="end"/>
      </w:r>
    </w:p>
  </w:endnote>
  <w:endnote w:id="5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Bichard M, </w:t>
      </w:r>
      <w:r w:rsidRPr="00135444">
        <w:rPr>
          <w:rFonts w:ascii="Minion Pro" w:hAnsi="Minion Pro"/>
          <w:i/>
          <w:iCs/>
          <w:sz w:val="20"/>
        </w:rPr>
        <w:t>The Bichard Inquiry Report</w:t>
      </w:r>
      <w:r w:rsidRPr="00135444">
        <w:rPr>
          <w:rFonts w:ascii="Minion Pro" w:hAnsi="Minion Pro"/>
          <w:sz w:val="20"/>
        </w:rPr>
        <w:t>, 22 June 2004, HC 653, The Stationary Office, p12, retrieved 1</w:t>
      </w:r>
      <w:r w:rsidRPr="00135444">
        <w:rPr>
          <w:rFonts w:ascii="Minion Pro" w:hAnsi="Minion Pro"/>
          <w:sz w:val="20"/>
        </w:rPr>
        <w:t xml:space="preserve">6 July 2020, </w:t>
      </w:r>
      <w:r>
        <w:fldChar w:fldCharType="begin"/>
      </w:r>
      <w:r>
        <w:instrText xml:space="preserve"> HYPERLINK "https://dera.ioe.ac.uk/6394/1/report.pdf" </w:instrText>
      </w:r>
      <w:r>
        <w:fldChar w:fldCharType="separate"/>
      </w:r>
      <w:r w:rsidRPr="00135444">
        <w:rPr>
          <w:rStyle w:val="Hyperlink"/>
          <w:rFonts w:ascii="Minion Pro" w:hAnsi="Minion Pro"/>
          <w:sz w:val="20"/>
        </w:rPr>
        <w:t>https://dera.ioe.ac.uk/6394/1/report.pdf</w:t>
      </w:r>
      <w:r>
        <w:fldChar w:fldCharType="end"/>
      </w:r>
      <w:r w:rsidRPr="00135444">
        <w:rPr>
          <w:rFonts w:ascii="Minion Pro" w:hAnsi="Minion Pro"/>
          <w:sz w:val="20"/>
        </w:rPr>
        <w:t xml:space="preserve"> </w:t>
      </w:r>
    </w:p>
  </w:endnote>
  <w:endnote w:id="53">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Francis R, </w:t>
      </w:r>
      <w:r w:rsidRPr="00135444">
        <w:rPr>
          <w:rFonts w:ascii="Minion Pro" w:hAnsi="Minion Pro"/>
          <w:i/>
          <w:iCs/>
          <w:sz w:val="20"/>
        </w:rPr>
        <w:t>Report of the Mid Staffordshire NHS Foundation Trust Public Inquiry</w:t>
      </w:r>
      <w:r w:rsidRPr="00135444">
        <w:rPr>
          <w:rFonts w:ascii="Minion Pro" w:hAnsi="Minion Pro"/>
          <w:sz w:val="20"/>
        </w:rPr>
        <w:t>, 6 February 2013, HC 947, The Stationary Office, retrieved 20 J</w:t>
      </w:r>
      <w:r w:rsidRPr="00135444">
        <w:rPr>
          <w:rFonts w:ascii="Minion Pro" w:hAnsi="Minion Pro"/>
          <w:sz w:val="20"/>
        </w:rPr>
        <w:t xml:space="preserve">uly 2020, </w:t>
      </w:r>
      <w:r>
        <w:fldChar w:fldCharType="begin"/>
      </w:r>
      <w:r>
        <w:instrText xml:space="preserve"> HYPERLINK "https://www.gov.uk/government/publications/report-of-the-mid-staffordshire-nhs-foundation-trust-public-inquiry" </w:instrText>
      </w:r>
      <w:r>
        <w:fldChar w:fldCharType="separate"/>
      </w:r>
      <w:r w:rsidRPr="00135444">
        <w:rPr>
          <w:rStyle w:val="Hyperlink"/>
          <w:rFonts w:ascii="Minion Pro" w:hAnsi="Minion Pro"/>
          <w:sz w:val="20"/>
        </w:rPr>
        <w:t>https://www.gov.uk/government/publications/report-of-the-mid-staffordshire-nhs-foundation-trust-public-inquiry</w:t>
      </w:r>
      <w:r>
        <w:fldChar w:fldCharType="end"/>
      </w:r>
    </w:p>
  </w:endnote>
  <w:endnote w:id="54">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w:t>
      </w:r>
      <w:r w:rsidRPr="00135444">
        <w:rPr>
          <w:rFonts w:ascii="Minion Pro" w:hAnsi="Minion Pro"/>
          <w:sz w:val="20"/>
        </w:rPr>
        <w:t xml:space="preserve">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55">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Northern Ireland Department of Health, </w:t>
      </w:r>
      <w:r w:rsidRPr="00135444">
        <w:rPr>
          <w:rFonts w:ascii="Minion Pro" w:hAnsi="Minion Pro"/>
          <w:sz w:val="20"/>
        </w:rPr>
        <w:t xml:space="preserve">Implementation </w:t>
      </w:r>
      <w:r w:rsidRPr="00135444">
        <w:rPr>
          <w:rFonts w:ascii="Minion Pro" w:hAnsi="Minion Pro"/>
          <w:sz w:val="20"/>
        </w:rPr>
        <w:t>of recommendations from the Inquiry into Hyponatraemia-Related Deaths</w:t>
      </w:r>
      <w:r w:rsidRPr="00135444">
        <w:rPr>
          <w:rFonts w:ascii="Minion Pro" w:hAnsi="Minion Pro"/>
          <w:sz w:val="20"/>
        </w:rPr>
        <w:t xml:space="preserve">, 28 June 2018, ni-gov.uk, retrieved 21 July 2020, </w:t>
      </w:r>
      <w:r>
        <w:fldChar w:fldCharType="begin"/>
      </w:r>
      <w:r>
        <w:instrText xml:space="preserve"> HYPERLINK "https://www.health-ni.gov.uk/news/implementation-recommendations-inquiry-hyponatraemia-related-deaths" </w:instrText>
      </w:r>
      <w:r>
        <w:fldChar w:fldCharType="separate"/>
      </w:r>
      <w:r w:rsidRPr="00135444">
        <w:rPr>
          <w:rStyle w:val="Hyperlink"/>
          <w:rFonts w:ascii="Minion Pro" w:hAnsi="Minion Pro"/>
          <w:sz w:val="20"/>
        </w:rPr>
        <w:t>https://www.health-ni</w:t>
      </w:r>
      <w:r w:rsidRPr="00135444">
        <w:rPr>
          <w:rStyle w:val="Hyperlink"/>
          <w:rFonts w:ascii="Minion Pro" w:hAnsi="Minion Pro"/>
          <w:sz w:val="20"/>
        </w:rPr>
        <w:t>.gov.uk/news/implementation-recommendations-inquiry-hyponatraemia-related-deaths</w:t>
      </w:r>
      <w:r>
        <w:fldChar w:fldCharType="end"/>
      </w:r>
    </w:p>
  </w:endnote>
  <w:endnote w:id="56">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Norris E and Shepheard M, </w:t>
      </w:r>
      <w:r w:rsidRPr="00135444">
        <w:rPr>
          <w:rFonts w:ascii="Minion Pro" w:hAnsi="Minion Pro"/>
          <w:i/>
          <w:iCs/>
          <w:sz w:val="20"/>
        </w:rPr>
        <w:t>How public inquiries can lead to change</w:t>
      </w:r>
      <w:r w:rsidRPr="00135444">
        <w:rPr>
          <w:rFonts w:ascii="Minion Pro" w:hAnsi="Minion Pro"/>
          <w:sz w:val="20"/>
        </w:rPr>
        <w:t xml:space="preserve">, 12 December 2017, Institute for Government, retrieved 16 July 2020, </w:t>
      </w:r>
      <w:r>
        <w:fldChar w:fldCharType="begin"/>
      </w:r>
      <w:r>
        <w:instrText xml:space="preserve"> HYPERLINK "https://www.instituteforgovernment.org.uk/publications/how-public-inquiries-can-lead-change" </w:instrText>
      </w:r>
      <w:r>
        <w:fldChar w:fldCharType="separate"/>
      </w:r>
      <w:r w:rsidRPr="00135444">
        <w:rPr>
          <w:rStyle w:val="Hyperlink"/>
          <w:rFonts w:ascii="Minion Pro" w:hAnsi="Minion Pro"/>
          <w:sz w:val="20"/>
        </w:rPr>
        <w:t>https://www.instituteforgovernment.org.uk/publications/how-public-inquiries-can-lead-change</w:t>
      </w:r>
      <w:r>
        <w:fldChar w:fldCharType="end"/>
      </w:r>
    </w:p>
  </w:endnote>
  <w:endnote w:id="57">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Francis R, </w:t>
      </w:r>
      <w:r w:rsidRPr="00135444">
        <w:rPr>
          <w:rFonts w:ascii="Minion Pro" w:hAnsi="Minion Pro"/>
          <w:i/>
          <w:iCs/>
          <w:sz w:val="20"/>
        </w:rPr>
        <w:t>Report of the Mid Staffordshire NHS Foundation Trust Public Inquiry</w:t>
      </w:r>
      <w:r w:rsidRPr="00135444">
        <w:rPr>
          <w:rFonts w:ascii="Minion Pro" w:hAnsi="Minion Pro"/>
          <w:sz w:val="20"/>
        </w:rPr>
        <w:t>, 6 Februar</w:t>
      </w:r>
      <w:r w:rsidRPr="00135444">
        <w:rPr>
          <w:rFonts w:ascii="Minion Pro" w:hAnsi="Minion Pro"/>
          <w:sz w:val="20"/>
        </w:rPr>
        <w:t xml:space="preserve">y 2013, HC 947, The Stationary Office, retrieved 20 July 2020, </w:t>
      </w:r>
      <w:r>
        <w:fldChar w:fldCharType="begin"/>
      </w:r>
      <w:r>
        <w:instrText xml:space="preserve"> HYPERLINK "https://www.gov.uk/government/publications/report-of-the-mid-staffordshire-nhs-foundation-trust-public-inquiry" </w:instrText>
      </w:r>
      <w:r>
        <w:fldChar w:fldCharType="separate"/>
      </w:r>
      <w:r w:rsidRPr="00135444">
        <w:rPr>
          <w:rStyle w:val="Hyperlink"/>
          <w:rFonts w:ascii="Minion Pro" w:hAnsi="Minion Pro"/>
          <w:sz w:val="20"/>
        </w:rPr>
        <w:t>https://www.gov.uk/government/publications/report-of-the-mid-stafford</w:t>
      </w:r>
      <w:r w:rsidRPr="00135444">
        <w:rPr>
          <w:rStyle w:val="Hyperlink"/>
          <w:rFonts w:ascii="Minion Pro" w:hAnsi="Minion Pro"/>
          <w:sz w:val="20"/>
        </w:rPr>
        <w:t>shire-nhs-foundation-trust-public-inquiry</w:t>
      </w:r>
      <w:r>
        <w:fldChar w:fldCharType="end"/>
      </w:r>
    </w:p>
  </w:endnote>
  <w:endnote w:id="58">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HC Deb 6 February 2013 Vol 558 cc281-283</w:t>
      </w:r>
    </w:p>
  </w:endnote>
  <w:endnote w:id="59">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Department of Health and Social Care,</w:t>
      </w:r>
      <w:r w:rsidRPr="00135444">
        <w:rPr>
          <w:rFonts w:ascii="Minion Pro" w:hAnsi="Minion Pro"/>
          <w:sz w:val="20"/>
        </w:rPr>
        <w:t xml:space="preserve"> </w:t>
      </w:r>
      <w:r w:rsidRPr="00135444">
        <w:rPr>
          <w:rFonts w:ascii="Minion Pro" w:hAnsi="Minion Pro"/>
          <w:i/>
          <w:iCs/>
          <w:sz w:val="20"/>
        </w:rPr>
        <w:t xml:space="preserve">Patients First and Foremost: the Initial Government Response to the Report of the Mid Staffordshire NHS Foundation Trust Public </w:t>
      </w:r>
      <w:r w:rsidRPr="00135444">
        <w:rPr>
          <w:rFonts w:ascii="Minion Pro" w:hAnsi="Minion Pro"/>
          <w:i/>
          <w:iCs/>
          <w:sz w:val="20"/>
        </w:rPr>
        <w:t>Inquiry</w:t>
      </w:r>
      <w:r w:rsidRPr="00135444">
        <w:rPr>
          <w:rFonts w:ascii="Minion Pro" w:hAnsi="Minion Pro"/>
          <w:sz w:val="20"/>
        </w:rPr>
        <w:t xml:space="preserve">, 26 March 2013, GOV.UK retrieved 21 July 2020, </w:t>
      </w:r>
      <w:r>
        <w:fldChar w:fldCharType="begin"/>
      </w:r>
      <w:r>
        <w:instrText xml:space="preserve"> HYPERLINK "https://www.gov.uk/government/publications/government-initial-response-to-the-mid-staffs-report" </w:instrText>
      </w:r>
      <w:r>
        <w:fldChar w:fldCharType="separate"/>
      </w:r>
      <w:r w:rsidRPr="00135444">
        <w:rPr>
          <w:rStyle w:val="Hyperlink"/>
          <w:rFonts w:ascii="Minion Pro" w:hAnsi="Minion Pro"/>
          <w:sz w:val="20"/>
        </w:rPr>
        <w:t>https://www.gov.uk/government/publications/government-initial-response-to-the-mid-staffs-rep</w:t>
      </w:r>
      <w:r w:rsidRPr="00135444">
        <w:rPr>
          <w:rStyle w:val="Hyperlink"/>
          <w:rFonts w:ascii="Minion Pro" w:hAnsi="Minion Pro"/>
          <w:sz w:val="20"/>
        </w:rPr>
        <w:t>ort</w:t>
      </w:r>
      <w:r>
        <w:fldChar w:fldCharType="end"/>
      </w:r>
    </w:p>
  </w:endnote>
  <w:endnote w:id="60">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Health Select Committee, </w:t>
      </w:r>
      <w:r w:rsidRPr="00135444">
        <w:rPr>
          <w:rFonts w:ascii="Minion Pro" w:hAnsi="Minion Pro"/>
          <w:i/>
          <w:iCs/>
          <w:sz w:val="20"/>
        </w:rPr>
        <w:t>Report of the Mid Staffordshire NHS Foundation Trust Public Inquiry</w:t>
      </w:r>
      <w:r w:rsidRPr="00135444">
        <w:rPr>
          <w:rFonts w:ascii="Minion Pro" w:hAnsi="Minion Pro"/>
          <w:sz w:val="20"/>
        </w:rPr>
        <w:t xml:space="preserve">, retrieved 21 July 2020, </w:t>
      </w:r>
      <w:r>
        <w:fldChar w:fldCharType="begin"/>
      </w:r>
      <w:r>
        <w:instrText xml:space="preserve"> HYPERLINK "https://www.parliament.uk/business/committees/committees-a-z/commons-select/health-committee/inquiries/parliament-2010/report-of-the-mid-staffordshire-nhs-foundation-trust-public-inquiry/?type=Oral" \l "pnlPublicationFilter" </w:instrText>
      </w:r>
      <w:r>
        <w:fldChar w:fldCharType="separate"/>
      </w:r>
      <w:r w:rsidRPr="00135444">
        <w:rPr>
          <w:rStyle w:val="Hyperlink"/>
          <w:rFonts w:ascii="Minion Pro" w:hAnsi="Minion Pro"/>
          <w:sz w:val="20"/>
        </w:rPr>
        <w:t>https://www.parliament.uk/business/committees/committees-a-z/commons-select/health-committee/inquiries/parliament-2010/report-of-the-mid-staffordshi</w:t>
      </w:r>
      <w:r w:rsidRPr="00135444">
        <w:rPr>
          <w:rStyle w:val="Hyperlink"/>
          <w:rFonts w:ascii="Minion Pro" w:hAnsi="Minion Pro"/>
          <w:sz w:val="20"/>
        </w:rPr>
        <w:t>re-nhs-foundation-trust-public-inquiry/</w:t>
      </w:r>
      <w:r>
        <w:fldChar w:fldCharType="end"/>
      </w:r>
    </w:p>
  </w:endnote>
  <w:endnote w:id="61">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Health Select Committee, </w:t>
      </w:r>
      <w:r w:rsidRPr="00135444">
        <w:rPr>
          <w:rFonts w:ascii="Minion Pro" w:hAnsi="Minion Pro"/>
          <w:i/>
          <w:iCs/>
          <w:sz w:val="20"/>
        </w:rPr>
        <w:t>After Francis, Making a difference</w:t>
      </w:r>
      <w:r w:rsidRPr="00135444">
        <w:rPr>
          <w:rFonts w:ascii="Minion Pro" w:hAnsi="Minion Pro"/>
          <w:sz w:val="20"/>
        </w:rPr>
        <w:t xml:space="preserve">, 10 September 2013, retrieved 21 July 2020, </w:t>
      </w:r>
      <w:r>
        <w:fldChar w:fldCharType="begin"/>
      </w:r>
      <w:r>
        <w:instrText xml:space="preserve"> HYPERLINK "https://publications.parliament.uk/pa/cm201314/cmselect/cmhealth/657/65703.htm" </w:instrText>
      </w:r>
      <w:r>
        <w:fldChar w:fldCharType="separate"/>
      </w:r>
      <w:r w:rsidRPr="00135444">
        <w:rPr>
          <w:rStyle w:val="Hyperlink"/>
          <w:rFonts w:ascii="Minion Pro" w:hAnsi="Minion Pro"/>
          <w:sz w:val="20"/>
        </w:rPr>
        <w:t>https://publica</w:t>
      </w:r>
      <w:r w:rsidRPr="00135444">
        <w:rPr>
          <w:rStyle w:val="Hyperlink"/>
          <w:rFonts w:ascii="Minion Pro" w:hAnsi="Minion Pro"/>
          <w:sz w:val="20"/>
        </w:rPr>
        <w:t>tions.parliament.uk/pa/cm201314/cmselect/cmhealth/657/65703.htm</w:t>
      </w:r>
      <w:r>
        <w:fldChar w:fldCharType="end"/>
      </w:r>
    </w:p>
  </w:endnote>
  <w:endnote w:id="62">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Department of Health and Social Care, </w:t>
      </w:r>
      <w:r w:rsidRPr="00135444">
        <w:rPr>
          <w:rFonts w:ascii="Minion Pro" w:hAnsi="Minion Pro"/>
          <w:i/>
          <w:iCs/>
          <w:sz w:val="20"/>
        </w:rPr>
        <w:t>Hard Truths: the journey to putting patients first</w:t>
      </w:r>
      <w:r w:rsidRPr="00135444">
        <w:rPr>
          <w:rFonts w:ascii="Minion Pro" w:hAnsi="Minion Pro"/>
          <w:sz w:val="20"/>
        </w:rPr>
        <w:t xml:space="preserve">, 19 November 2013, GOV.UK, retrieved 21 July 2020, </w:t>
      </w:r>
      <w:r>
        <w:fldChar w:fldCharType="begin"/>
      </w:r>
      <w:r>
        <w:instrText xml:space="preserve"> HYPERLINK "https://www.gov.uk/government/publications/mid-staffordshire-nhs-ft-public-inquiry-government-response" </w:instrText>
      </w:r>
      <w:r>
        <w:fldChar w:fldCharType="separate"/>
      </w:r>
      <w:r w:rsidRPr="00135444">
        <w:rPr>
          <w:rStyle w:val="Hyperlink"/>
          <w:rFonts w:ascii="Minion Pro" w:hAnsi="Minion Pro"/>
          <w:sz w:val="20"/>
        </w:rPr>
        <w:t>https://www.gov.uk/government/publications/mid-staffordshire-nhs-ft-public-inquiry-government-response</w:t>
      </w:r>
      <w:r>
        <w:fldChar w:fldCharType="end"/>
      </w:r>
    </w:p>
  </w:endnote>
  <w:endnote w:id="63">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Department of Health and Social Care, </w:t>
      </w:r>
      <w:r w:rsidRPr="00135444">
        <w:rPr>
          <w:rFonts w:ascii="Minion Pro" w:hAnsi="Minion Pro"/>
          <w:i/>
          <w:iCs/>
          <w:sz w:val="20"/>
        </w:rPr>
        <w:t>The Government Response to the House of C</w:t>
      </w:r>
      <w:r w:rsidRPr="00135444">
        <w:rPr>
          <w:rFonts w:ascii="Minion Pro" w:hAnsi="Minion Pro"/>
          <w:i/>
          <w:iCs/>
          <w:sz w:val="20"/>
        </w:rPr>
        <w:t>ommons Health Committee Third Report of Session 2013-14: After Francis: making a difference</w:t>
      </w:r>
      <w:r w:rsidRPr="00135444">
        <w:rPr>
          <w:rFonts w:ascii="Minion Pro" w:hAnsi="Minion Pro"/>
          <w:sz w:val="20"/>
        </w:rPr>
        <w:t xml:space="preserve">, 19 November 2013, Cm8755, GOV.UK, retrieved 21 July 2020, </w:t>
      </w:r>
      <w:r>
        <w:fldChar w:fldCharType="begin"/>
      </w:r>
      <w:r>
        <w:instrText xml:space="preserve"> HYPERLINK "https://www.gov.uk/government/publications/mid-staffordshire-nhs-ft-public-inquiry-government-response" </w:instrText>
      </w:r>
      <w:r>
        <w:fldChar w:fldCharType="separate"/>
      </w:r>
      <w:r w:rsidRPr="00135444">
        <w:rPr>
          <w:rStyle w:val="Hyperlink"/>
          <w:rFonts w:ascii="Minion Pro" w:hAnsi="Minion Pro"/>
          <w:sz w:val="20"/>
        </w:rPr>
        <w:t>https://www.gov.uk/government/publications/mid-staffordshire-nhs-ft-public-inquiry-government-response</w:t>
      </w:r>
      <w:r>
        <w:fldChar w:fldCharType="end"/>
      </w:r>
    </w:p>
  </w:endnote>
  <w:endnote w:id="64">
    <w:p w:rsidR="00A90E10" w:rsidRPr="00135444" w:rsidP="00135444">
      <w:pPr>
        <w:pStyle w:val="EndnoteText"/>
        <w:rPr>
          <w:rFonts w:ascii="Minion Pro" w:hAnsi="Minion Pro"/>
          <w:sz w:val="20"/>
        </w:rPr>
      </w:pPr>
      <w:r w:rsidRPr="00135444">
        <w:rPr>
          <w:rStyle w:val="EndnoteReference"/>
          <w:rFonts w:ascii="Minion Pro" w:hAnsi="Minion Pro"/>
          <w:sz w:val="20"/>
        </w:rPr>
        <w:endnoteRef/>
      </w:r>
      <w:r w:rsidRPr="00135444">
        <w:rPr>
          <w:rFonts w:ascii="Minion Pro" w:hAnsi="Minion Pro"/>
          <w:sz w:val="20"/>
        </w:rPr>
        <w:t xml:space="preserve"> Dayan M, Smith J, Williams S, and Thorlby R, </w:t>
      </w:r>
      <w:r w:rsidRPr="00135444">
        <w:rPr>
          <w:rFonts w:ascii="Minion Pro" w:hAnsi="Minion Pro"/>
          <w:i/>
          <w:iCs/>
          <w:sz w:val="20"/>
        </w:rPr>
        <w:t>The Francis Report: one year on</w:t>
      </w:r>
      <w:r w:rsidRPr="00135444">
        <w:rPr>
          <w:rFonts w:ascii="Minion Pro" w:hAnsi="Minion Pro"/>
          <w:sz w:val="20"/>
        </w:rPr>
        <w:t xml:space="preserve">, 6 February 2014, The Nuffield Trust, retrieved 21 July </w:t>
      </w:r>
      <w:r w:rsidRPr="00135444">
        <w:rPr>
          <w:rFonts w:ascii="Minion Pro" w:hAnsi="Minion Pro"/>
          <w:sz w:val="20"/>
        </w:rPr>
        <w:t>2020,</w:t>
      </w:r>
      <w:r w:rsidRPr="00135444">
        <w:rPr>
          <w:rFonts w:ascii="Minion Pro" w:hAnsi="Minion Pro"/>
          <w:i/>
          <w:iCs/>
          <w:sz w:val="20"/>
        </w:rPr>
        <w:t xml:space="preserve"> </w:t>
      </w:r>
      <w:r>
        <w:fldChar w:fldCharType="begin"/>
      </w:r>
      <w:r>
        <w:instrText xml:space="preserve"> HYPERLINK "https://www.nuffieldtrust.org.uk/research/the-francis-report-one-year-on" </w:instrText>
      </w:r>
      <w:r>
        <w:fldChar w:fldCharType="separate"/>
      </w:r>
      <w:r w:rsidRPr="00135444">
        <w:rPr>
          <w:rStyle w:val="Hyperlink"/>
          <w:rFonts w:ascii="Minion Pro" w:hAnsi="Minion Pro"/>
          <w:sz w:val="20"/>
        </w:rPr>
        <w:t>https://www.nuffieldtrust.org.uk/research/the-francis-report-one-year-on</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D2D0D" w:rsidP="005A1952">
      <w:pPr>
        <w:spacing w:after="0" w:line="240" w:lineRule="auto"/>
      </w:pPr>
      <w:r>
        <w:separator/>
      </w:r>
    </w:p>
  </w:footnote>
  <w:footnote w:type="continuationSeparator" w:id="1">
    <w:p w:rsidR="002D2D0D" w:rsidP="005A1952">
      <w:pPr>
        <w:spacing w:after="0" w:line="240" w:lineRule="auto"/>
      </w:pPr>
      <w:r>
        <w:continuationSeparator/>
      </w:r>
    </w:p>
  </w:footnote>
  <w:footnote w:id="2">
    <w:p w:rsidR="00A90E10" w:rsidRPr="008D7D6A">
      <w:pPr>
        <w:pStyle w:val="FootnoteText"/>
        <w:rPr>
          <w:lang w:val="en-US"/>
        </w:rPr>
      </w:pPr>
      <w:r>
        <w:rPr>
          <w:rStyle w:val="FootnoteReference"/>
        </w:rPr>
        <w:footnoteRef/>
      </w:r>
      <w:r>
        <w:t xml:space="preserve"> </w:t>
      </w:r>
      <w:r>
        <w:rPr>
          <w:lang w:val="en-US"/>
        </w:rPr>
        <w:t xml:space="preserve">The Undercover Policing Inquiry, The Independent Inquiry into Child Sexual Abuse, The Scottish Child Abuse Inquiry, and the Edinburgh Tram </w:t>
      </w:r>
      <w:r>
        <w:rPr>
          <w:lang w:val="en-US"/>
        </w:rPr>
        <w:t>Inquiry</w:t>
      </w:r>
    </w:p>
  </w:footnote>
  <w:footnote w:id="3">
    <w:p w:rsidR="00A90E10">
      <w:pPr>
        <w:pStyle w:val="FootnoteText"/>
      </w:pPr>
      <w:r>
        <w:rPr>
          <w:rStyle w:val="FootnoteReference"/>
        </w:rPr>
        <w:footnoteRef/>
      </w:r>
      <w:r>
        <w:t xml:space="preserve"> Several individuals have chaired multiple inquiries: </w:t>
      </w:r>
      <w:r w:rsidRPr="0060402B">
        <w:t>William Cullen, Baron Cullen of Whitekirk</w:t>
      </w:r>
      <w:r>
        <w:t xml:space="preserve"> (4), </w:t>
      </w:r>
      <w:r w:rsidRPr="0059401D">
        <w:t>Tony Clarke, Baron Clarke of Stone-cum-Ebony</w:t>
      </w:r>
      <w:r>
        <w:t xml:space="preserve"> (3), George Penrose, Lord Penrose (2), Michael Redfern QC (2), Professor Hugh Pennington (2), Profess</w:t>
      </w:r>
      <w:r>
        <w:t>or John Uff (2), Ranald MacLean, Lord Maclean (2). Similarly several inquiries have had multiple chairs, most recently the Independent Inquiry into Child Sexual Abuse, which has had four chairs since being established.</w:t>
      </w:r>
    </w:p>
  </w:footnote>
  <w:footnote w:id="4">
    <w:p w:rsidR="004053EC">
      <w:pPr>
        <w:pStyle w:val="FootnoteText"/>
      </w:pPr>
      <w:r>
        <w:rPr>
          <w:rStyle w:val="FootnoteReference"/>
        </w:rPr>
        <w:footnoteRef/>
      </w:r>
      <w:r>
        <w:t xml:space="preserve"> See appendix for lists of panellist</w:t>
      </w:r>
      <w: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84404C8"/>
    <w:lvl w:ilvl="0">
      <w:start w:val="1"/>
      <w:numFmt w:val="decimal"/>
      <w:lvlText w:val="%1."/>
      <w:lvlJc w:val="left"/>
      <w:pPr>
        <w:tabs>
          <w:tab w:val="num" w:pos="1492"/>
        </w:tabs>
        <w:ind w:left="1492" w:hanging="360"/>
      </w:pPr>
    </w:lvl>
  </w:abstractNum>
  <w:abstractNum w:abstractNumId="1">
    <w:nsid w:val="FFFFFF7D"/>
    <w:multiLevelType w:val="singleLevel"/>
    <w:tmpl w:val="D1CABB7C"/>
    <w:lvl w:ilvl="0">
      <w:start w:val="1"/>
      <w:numFmt w:val="decimal"/>
      <w:lvlText w:val="%1."/>
      <w:lvlJc w:val="left"/>
      <w:pPr>
        <w:tabs>
          <w:tab w:val="num" w:pos="1209"/>
        </w:tabs>
        <w:ind w:left="1209" w:hanging="360"/>
      </w:pPr>
    </w:lvl>
  </w:abstractNum>
  <w:abstractNum w:abstractNumId="2">
    <w:nsid w:val="FFFFFF7E"/>
    <w:multiLevelType w:val="singleLevel"/>
    <w:tmpl w:val="FA762048"/>
    <w:lvl w:ilvl="0">
      <w:start w:val="1"/>
      <w:numFmt w:val="decimal"/>
      <w:lvlText w:val="%1."/>
      <w:lvlJc w:val="left"/>
      <w:pPr>
        <w:tabs>
          <w:tab w:val="num" w:pos="926"/>
        </w:tabs>
        <w:ind w:left="926" w:hanging="360"/>
      </w:pPr>
    </w:lvl>
  </w:abstractNum>
  <w:abstractNum w:abstractNumId="3">
    <w:nsid w:val="FFFFFF7F"/>
    <w:multiLevelType w:val="singleLevel"/>
    <w:tmpl w:val="C5D63A04"/>
    <w:lvl w:ilvl="0">
      <w:start w:val="1"/>
      <w:numFmt w:val="decimal"/>
      <w:lvlText w:val="%1."/>
      <w:lvlJc w:val="left"/>
      <w:pPr>
        <w:tabs>
          <w:tab w:val="num" w:pos="643"/>
        </w:tabs>
        <w:ind w:left="643" w:hanging="360"/>
      </w:pPr>
    </w:lvl>
  </w:abstractNum>
  <w:abstractNum w:abstractNumId="4">
    <w:nsid w:val="FFFFFF80"/>
    <w:multiLevelType w:val="singleLevel"/>
    <w:tmpl w:val="2782E8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5836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A2A7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AA87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4CA184"/>
    <w:lvl w:ilvl="0">
      <w:start w:val="1"/>
      <w:numFmt w:val="decimal"/>
      <w:lvlText w:val="%1."/>
      <w:lvlJc w:val="left"/>
      <w:pPr>
        <w:tabs>
          <w:tab w:val="num" w:pos="360"/>
        </w:tabs>
        <w:ind w:left="360" w:hanging="360"/>
      </w:pPr>
    </w:lvl>
  </w:abstractNum>
  <w:abstractNum w:abstractNumId="9">
    <w:nsid w:val="FFFFFF89"/>
    <w:multiLevelType w:val="singleLevel"/>
    <w:tmpl w:val="0F3E1B74"/>
    <w:lvl w:ilvl="0">
      <w:start w:val="1"/>
      <w:numFmt w:val="bullet"/>
      <w:lvlText w:val=""/>
      <w:lvlJc w:val="left"/>
      <w:pPr>
        <w:tabs>
          <w:tab w:val="num" w:pos="360"/>
        </w:tabs>
        <w:ind w:left="360" w:hanging="360"/>
      </w:pPr>
      <w:rPr>
        <w:rFonts w:ascii="Symbol" w:hAnsi="Symbol" w:hint="default"/>
      </w:rPr>
    </w:lvl>
  </w:abstractNum>
  <w:abstractNum w:abstractNumId="10">
    <w:nsid w:val="05BB0E54"/>
    <w:multiLevelType w:val="hybridMultilevel"/>
    <w:tmpl w:val="A14EBC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8F7CCB"/>
    <w:multiLevelType w:val="hybridMultilevel"/>
    <w:tmpl w:val="8BD61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15A28"/>
    <w:multiLevelType w:val="hybridMultilevel"/>
    <w:tmpl w:val="DEF4E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F77B0F"/>
    <w:multiLevelType w:val="multilevel"/>
    <w:tmpl w:val="71F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4B660F"/>
    <w:multiLevelType w:val="hybridMultilevel"/>
    <w:tmpl w:val="18D61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7C3F64"/>
    <w:multiLevelType w:val="hybridMultilevel"/>
    <w:tmpl w:val="1B7CBE66"/>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2917A64"/>
    <w:multiLevelType w:val="hybridMultilevel"/>
    <w:tmpl w:val="3648D4B8"/>
    <w:lvl w:ilvl="0">
      <w:start w:val="0"/>
      <w:numFmt w:val="bullet"/>
      <w:lvlText w:val="-"/>
      <w:lvlJc w:val="left"/>
      <w:pPr>
        <w:ind w:left="720" w:hanging="360"/>
      </w:pPr>
      <w:rPr>
        <w:rFonts w:ascii="Open Sans" w:hAnsi="Open Sans" w:eastAsiaTheme="minorHAnsi" w:cs="Open San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F70993"/>
    <w:multiLevelType w:val="hybridMultilevel"/>
    <w:tmpl w:val="D8A6D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AC22D5"/>
    <w:multiLevelType w:val="hybridMultilevel"/>
    <w:tmpl w:val="0EA4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E2158D"/>
    <w:multiLevelType w:val="hybridMultilevel"/>
    <w:tmpl w:val="0B0C15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83800FB"/>
    <w:multiLevelType w:val="hybridMultilevel"/>
    <w:tmpl w:val="95A20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8F4209"/>
    <w:multiLevelType w:val="hybridMultilevel"/>
    <w:tmpl w:val="0FEAE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DA533F"/>
    <w:multiLevelType w:val="hybridMultilevel"/>
    <w:tmpl w:val="B4605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F64569"/>
    <w:multiLevelType w:val="hybridMultilevel"/>
    <w:tmpl w:val="4296E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693C50"/>
    <w:multiLevelType w:val="hybridMultilevel"/>
    <w:tmpl w:val="08F610FC"/>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FAB25F0"/>
    <w:multiLevelType w:val="hybridMultilevel"/>
    <w:tmpl w:val="5B4AB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464D26"/>
    <w:multiLevelType w:val="hybridMultilevel"/>
    <w:tmpl w:val="D2BC26EA"/>
    <w:lvl w:ilvl="0">
      <w:start w:val="1"/>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365BC4"/>
    <w:multiLevelType w:val="hybridMultilevel"/>
    <w:tmpl w:val="7E642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B372D4"/>
    <w:multiLevelType w:val="hybridMultilevel"/>
    <w:tmpl w:val="E3E672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8146C3"/>
    <w:multiLevelType w:val="hybridMultilevel"/>
    <w:tmpl w:val="D05E5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016EA5"/>
    <w:multiLevelType w:val="hybridMultilevel"/>
    <w:tmpl w:val="FA264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A06407"/>
    <w:multiLevelType w:val="hybridMultilevel"/>
    <w:tmpl w:val="77104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5C4FEA"/>
    <w:multiLevelType w:val="hybridMultilevel"/>
    <w:tmpl w:val="1C680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8"/>
  </w:num>
  <w:num w:numId="4">
    <w:abstractNumId w:val="30"/>
  </w:num>
  <w:num w:numId="5">
    <w:abstractNumId w:val="25"/>
  </w:num>
  <w:num w:numId="6">
    <w:abstractNumId w:val="2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2"/>
  </w:num>
  <w:num w:numId="19">
    <w:abstractNumId w:val="16"/>
  </w:num>
  <w:num w:numId="20">
    <w:abstractNumId w:val="10"/>
  </w:num>
  <w:num w:numId="21">
    <w:abstractNumId w:val="27"/>
  </w:num>
  <w:num w:numId="22">
    <w:abstractNumId w:val="18"/>
  </w:num>
  <w:num w:numId="23">
    <w:abstractNumId w:val="22"/>
  </w:num>
  <w:num w:numId="24">
    <w:abstractNumId w:val="32"/>
  </w:num>
  <w:num w:numId="25">
    <w:abstractNumId w:val="31"/>
  </w:num>
  <w:num w:numId="26">
    <w:abstractNumId w:val="21"/>
  </w:num>
  <w:num w:numId="27">
    <w:abstractNumId w:val="11"/>
  </w:num>
  <w:num w:numId="28">
    <w:abstractNumId w:val="14"/>
  </w:num>
  <w:num w:numId="29">
    <w:abstractNumId w:val="24"/>
  </w:num>
  <w:num w:numId="30">
    <w:abstractNumId w:val="19"/>
  </w:num>
  <w:num w:numId="31">
    <w:abstractNumId w:val="26"/>
  </w:num>
  <w:num w:numId="32">
    <w:abstractNumId w:val="2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oNotTrackMoves/>
  <w:defaultTabStop w:val="720"/>
  <w:characterSpacingControl w:val="doNotCompress"/>
  <w:footnotePr>
    <w:numFmt w:val="lowerRoman"/>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1" w:val="H4sIAAAAAAAEAKtWcslP9kxRslIyNDYytjC1NDKxNDcwtbQ0MTRT0lEKTi0uzszPAykwrAUASbhpPywAAAA="/>
    <w:docVar w:name="__Grammarly_42____i" w:val="H4sIAAAAAAAEAKtWckksSQxILCpxzi/NK1GyMqwFAAEhoTITAAAA"/>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E50"/>
    <w:pPr>
      <w:spacing w:after="120"/>
      <w:jc w:val="both"/>
    </w:pPr>
    <w:rPr>
      <w:rFonts w:ascii="Open Sans" w:hAnsi="Open Sans" w:cs="Open Sans"/>
      <w:sz w:val="18"/>
      <w:szCs w:val="18"/>
    </w:rPr>
  </w:style>
  <w:style w:type="paragraph" w:styleId="Heading1">
    <w:name w:val="heading 1"/>
    <w:basedOn w:val="Normal"/>
    <w:next w:val="Normal"/>
    <w:link w:val="Heading1Char"/>
    <w:uiPriority w:val="9"/>
    <w:qFormat/>
    <w:rsid w:val="004A2278"/>
    <w:pPr>
      <w:keepNext/>
      <w:keepLines/>
      <w:spacing w:after="240"/>
      <w:outlineLvl w:val="0"/>
    </w:pPr>
    <w:rPr>
      <w:rFonts w:eastAsiaTheme="majorEastAsia"/>
      <w:color w:val="002060"/>
      <w:sz w:val="28"/>
      <w:szCs w:val="28"/>
    </w:rPr>
  </w:style>
  <w:style w:type="paragraph" w:styleId="Heading2">
    <w:name w:val="heading 2"/>
    <w:basedOn w:val="Normal"/>
    <w:next w:val="Normal"/>
    <w:link w:val="Heading2Char"/>
    <w:uiPriority w:val="9"/>
    <w:unhideWhenUsed/>
    <w:qFormat/>
    <w:rsid w:val="002E2293"/>
    <w:pPr>
      <w:keepNext/>
      <w:keepLines/>
      <w:outlineLvl w:val="1"/>
    </w:pPr>
    <w:rPr>
      <w:rFonts w:ascii="Open Sans Semibold" w:hAnsi="Open Sans Semibold" w:eastAsiaTheme="majorEastAsia" w:cstheme="majorBidi"/>
      <w:color w:val="002060"/>
      <w:sz w:val="20"/>
      <w:szCs w:val="26"/>
    </w:rPr>
  </w:style>
  <w:style w:type="paragraph" w:styleId="Heading3">
    <w:name w:val="heading 3"/>
    <w:basedOn w:val="Normal"/>
    <w:next w:val="Normal"/>
    <w:link w:val="Heading3Char"/>
    <w:uiPriority w:val="9"/>
    <w:unhideWhenUsed/>
    <w:qFormat/>
    <w:rsid w:val="00922A76"/>
    <w:pPr>
      <w:keepNext/>
      <w:keepLines/>
      <w:outlineLvl w:val="2"/>
    </w:pPr>
    <w:rPr>
      <w:rFonts w:eastAsiaTheme="majorEastAsia" w:cstheme="majorBidi"/>
      <w:b/>
      <w:color w:val="D0006F" w:themeColor="accent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278"/>
    <w:pPr>
      <w:numPr>
        <w:numId w:val="2"/>
      </w:numPr>
      <w:contextualSpacing/>
    </w:pPr>
    <w:rPr>
      <w:b/>
      <w:bCs/>
    </w:rPr>
  </w:style>
  <w:style w:type="character" w:customStyle="1" w:styleId="Heading1Char">
    <w:name w:val="Heading 1 Char"/>
    <w:basedOn w:val="DefaultParagraphFont"/>
    <w:link w:val="Heading1"/>
    <w:uiPriority w:val="9"/>
    <w:rsid w:val="004A2278"/>
    <w:rPr>
      <w:rFonts w:ascii="Open Sans" w:hAnsi="Open Sans" w:eastAsiaTheme="majorEastAsia" w:cs="Open Sans"/>
      <w:color w:val="002060"/>
      <w:sz w:val="28"/>
      <w:szCs w:val="28"/>
    </w:rPr>
  </w:style>
  <w:style w:type="paragraph" w:styleId="BalloonText">
    <w:name w:val="Balloon Text"/>
    <w:basedOn w:val="Normal"/>
    <w:link w:val="BalloonTextChar"/>
    <w:uiPriority w:val="99"/>
    <w:semiHidden/>
    <w:unhideWhenUsed/>
    <w:rsid w:val="004B5C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B5CA3"/>
    <w:rPr>
      <w:rFonts w:ascii="Segoe UI" w:hAnsi="Segoe UI" w:cs="Segoe UI"/>
      <w:sz w:val="18"/>
      <w:szCs w:val="18"/>
    </w:rPr>
  </w:style>
  <w:style w:type="paragraph" w:styleId="EndnoteText">
    <w:name w:val="endnote text"/>
    <w:basedOn w:val="Normal"/>
    <w:link w:val="EndnoteTextChar"/>
    <w:uiPriority w:val="99"/>
    <w:semiHidden/>
    <w:unhideWhenUsed/>
    <w:rsid w:val="00FD13B4"/>
    <w:pPr>
      <w:spacing w:after="0" w:line="240" w:lineRule="auto"/>
      <w:jc w:val="left"/>
    </w:pPr>
    <w:rPr>
      <w:sz w:val="16"/>
      <w:szCs w:val="20"/>
    </w:rPr>
  </w:style>
  <w:style w:type="character" w:customStyle="1" w:styleId="EndnoteTextChar">
    <w:name w:val="Endnote Text Char"/>
    <w:basedOn w:val="DefaultParagraphFont"/>
    <w:link w:val="EndnoteText"/>
    <w:uiPriority w:val="99"/>
    <w:semiHidden/>
    <w:rsid w:val="00FD13B4"/>
    <w:rPr>
      <w:rFonts w:ascii="Open Sans" w:hAnsi="Open Sans" w:cs="Open Sans"/>
      <w:sz w:val="16"/>
      <w:szCs w:val="20"/>
    </w:rPr>
  </w:style>
  <w:style w:type="character" w:styleId="EndnoteReference">
    <w:name w:val="endnote reference"/>
    <w:basedOn w:val="DefaultParagraphFont"/>
    <w:uiPriority w:val="99"/>
    <w:semiHidden/>
    <w:unhideWhenUsed/>
    <w:rsid w:val="005A1952"/>
    <w:rPr>
      <w:vertAlign w:val="superscript"/>
    </w:rPr>
  </w:style>
  <w:style w:type="character" w:styleId="CommentReference">
    <w:name w:val="annotation reference"/>
    <w:basedOn w:val="DefaultParagraphFont"/>
    <w:uiPriority w:val="99"/>
    <w:semiHidden/>
    <w:unhideWhenUsed/>
    <w:rsid w:val="005A1952"/>
    <w:rPr>
      <w:sz w:val="16"/>
      <w:szCs w:val="16"/>
    </w:rPr>
  </w:style>
  <w:style w:type="paragraph" w:styleId="CommentText">
    <w:name w:val="annotation text"/>
    <w:basedOn w:val="Normal"/>
    <w:link w:val="CommentTextChar"/>
    <w:uiPriority w:val="99"/>
    <w:semiHidden/>
    <w:unhideWhenUsed/>
    <w:rsid w:val="005A1952"/>
    <w:pPr>
      <w:spacing w:line="240" w:lineRule="auto"/>
    </w:pPr>
    <w:rPr>
      <w:sz w:val="20"/>
      <w:szCs w:val="20"/>
    </w:rPr>
  </w:style>
  <w:style w:type="character" w:customStyle="1" w:styleId="CommentTextChar">
    <w:name w:val="Comment Text Char"/>
    <w:basedOn w:val="DefaultParagraphFont"/>
    <w:link w:val="CommentText"/>
    <w:uiPriority w:val="99"/>
    <w:semiHidden/>
    <w:rsid w:val="005A1952"/>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5A1952"/>
    <w:rPr>
      <w:b/>
      <w:bCs/>
    </w:rPr>
  </w:style>
  <w:style w:type="character" w:customStyle="1" w:styleId="CommentSubjectChar">
    <w:name w:val="Comment Subject Char"/>
    <w:basedOn w:val="CommentTextChar"/>
    <w:link w:val="CommentSubject"/>
    <w:uiPriority w:val="99"/>
    <w:semiHidden/>
    <w:rsid w:val="005A1952"/>
    <w:rPr>
      <w:rFonts w:ascii="Open Sans" w:hAnsi="Open Sans" w:cs="Open Sans"/>
      <w:b/>
      <w:bCs/>
      <w:sz w:val="20"/>
      <w:szCs w:val="20"/>
    </w:rPr>
  </w:style>
  <w:style w:type="paragraph" w:styleId="FootnoteText">
    <w:name w:val="footnote text"/>
    <w:basedOn w:val="Normal"/>
    <w:link w:val="FootnoteTextChar"/>
    <w:uiPriority w:val="99"/>
    <w:semiHidden/>
    <w:unhideWhenUsed/>
    <w:rsid w:val="00675E50"/>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675E50"/>
    <w:rPr>
      <w:rFonts w:ascii="Open Sans" w:hAnsi="Open Sans" w:cs="Open Sans"/>
      <w:sz w:val="16"/>
      <w:szCs w:val="20"/>
    </w:rPr>
  </w:style>
  <w:style w:type="character" w:styleId="FootnoteReference">
    <w:name w:val="footnote reference"/>
    <w:basedOn w:val="DefaultParagraphFont"/>
    <w:uiPriority w:val="99"/>
    <w:semiHidden/>
    <w:unhideWhenUsed/>
    <w:rsid w:val="008D7D6A"/>
    <w:rPr>
      <w:vertAlign w:val="superscript"/>
    </w:rPr>
  </w:style>
  <w:style w:type="character" w:styleId="Hyperlink">
    <w:name w:val="Hyperlink"/>
    <w:basedOn w:val="DefaultParagraphFont"/>
    <w:uiPriority w:val="99"/>
    <w:unhideWhenUsed/>
    <w:rsid w:val="00973179"/>
    <w:rPr>
      <w:color w:val="0000FF" w:themeColor="hyperlink"/>
      <w:u w:val="single"/>
    </w:rPr>
  </w:style>
  <w:style w:type="character" w:customStyle="1" w:styleId="UnresolvedMention1">
    <w:name w:val="Unresolved Mention1"/>
    <w:basedOn w:val="DefaultParagraphFont"/>
    <w:uiPriority w:val="99"/>
    <w:semiHidden/>
    <w:unhideWhenUsed/>
    <w:rsid w:val="00973179"/>
    <w:rPr>
      <w:color w:val="605E5C"/>
      <w:shd w:val="clear" w:color="auto" w:fill="E1DFDD"/>
    </w:rPr>
  </w:style>
  <w:style w:type="paragraph" w:styleId="Header">
    <w:name w:val="header"/>
    <w:basedOn w:val="Normal"/>
    <w:link w:val="HeaderChar"/>
    <w:uiPriority w:val="99"/>
    <w:unhideWhenUsed/>
    <w:rsid w:val="0039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E5B"/>
    <w:rPr>
      <w:rFonts w:ascii="Open Sans" w:hAnsi="Open Sans" w:cs="Open Sans"/>
      <w:sz w:val="18"/>
      <w:szCs w:val="18"/>
    </w:rPr>
  </w:style>
  <w:style w:type="paragraph" w:styleId="Footer">
    <w:name w:val="footer"/>
    <w:basedOn w:val="Normal"/>
    <w:link w:val="FooterChar"/>
    <w:uiPriority w:val="99"/>
    <w:unhideWhenUsed/>
    <w:rsid w:val="0039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E5B"/>
    <w:rPr>
      <w:rFonts w:ascii="Open Sans" w:hAnsi="Open Sans" w:cs="Open Sans"/>
      <w:sz w:val="18"/>
      <w:szCs w:val="18"/>
    </w:rPr>
  </w:style>
  <w:style w:type="table" w:styleId="TableGrid">
    <w:name w:val="Table Grid"/>
    <w:basedOn w:val="TableNormal"/>
    <w:uiPriority w:val="39"/>
    <w:rsid w:val="006F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0A"/>
    <w:pPr>
      <w:spacing w:after="0" w:line="240" w:lineRule="auto"/>
      <w:jc w:val="both"/>
    </w:pPr>
    <w:rPr>
      <w:rFonts w:ascii="Open Sans" w:hAnsi="Open Sans" w:cs="Open Sans"/>
      <w:sz w:val="18"/>
      <w:szCs w:val="18"/>
    </w:rPr>
  </w:style>
  <w:style w:type="character" w:customStyle="1" w:styleId="Heading2Char">
    <w:name w:val="Heading 2 Char"/>
    <w:basedOn w:val="DefaultParagraphFont"/>
    <w:link w:val="Heading2"/>
    <w:uiPriority w:val="9"/>
    <w:rsid w:val="002E2293"/>
    <w:rPr>
      <w:rFonts w:ascii="Open Sans Semibold" w:hAnsi="Open Sans Semibold" w:eastAsiaTheme="majorEastAsia" w:cstheme="majorBidi"/>
      <w:color w:val="002060"/>
      <w:sz w:val="20"/>
      <w:szCs w:val="26"/>
    </w:rPr>
  </w:style>
  <w:style w:type="character" w:customStyle="1" w:styleId="Heading3Char">
    <w:name w:val="Heading 3 Char"/>
    <w:basedOn w:val="DefaultParagraphFont"/>
    <w:link w:val="Heading3"/>
    <w:uiPriority w:val="9"/>
    <w:rsid w:val="00922A76"/>
    <w:rPr>
      <w:rFonts w:ascii="Open Sans" w:hAnsi="Open Sans" w:eastAsiaTheme="majorEastAsia" w:cstheme="majorBidi"/>
      <w:b/>
      <w:color w:val="D0006F" w:themeColor="accent3"/>
      <w:sz w:val="18"/>
      <w:szCs w:val="24"/>
    </w:rPr>
  </w:style>
  <w:style w:type="paragraph" w:customStyle="1" w:styleId="breadcrumb-item">
    <w:name w:val="breadcrumb-item"/>
    <w:basedOn w:val="Normal"/>
    <w:rsid w:val="0013544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IfG - New Colours - Transition">
  <a:themeElements>
    <a:clrScheme name="IfG NEW TRANSITION">
      <a:dk1>
        <a:srgbClr val="333F48"/>
      </a:dk1>
      <a:lt1>
        <a:srgbClr val="FFFFFF"/>
      </a:lt1>
      <a:dk2>
        <a:srgbClr val="333F48"/>
      </a:dk2>
      <a:lt2>
        <a:srgbClr val="00C7B1"/>
      </a:lt2>
      <a:accent1>
        <a:srgbClr val="00A8E1"/>
      </a:accent1>
      <a:accent2>
        <a:srgbClr val="FFB511"/>
      </a:accent2>
      <a:accent3>
        <a:srgbClr val="D0006F"/>
      </a:accent3>
      <a:accent4>
        <a:srgbClr val="84329B"/>
      </a:accent4>
      <a:accent5>
        <a:srgbClr val="C1C5C8"/>
      </a:accent5>
      <a:accent6>
        <a:srgbClr val="ED8B00"/>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6350">
          <a:solidFill>
            <a:schemeClr val="bg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rtlCol="0">
        <a:spAutoFit/>
      </a:bodyPr>
      <a:lstStyle>
        <a:defPPr>
          <a:defRPr sz="1400" dirty="0" err="1" smtClean="0">
            <a:latin typeface="Bliss 2 Regular" pitchFamily="50" charset="0"/>
          </a:defRPr>
        </a:defPPr>
      </a:lst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7E05402605E4D9437AF48B0D817CE" ma:contentTypeVersion="8" ma:contentTypeDescription="Create a new document." ma:contentTypeScope="" ma:versionID="aadb3625f31ade2823d8e0a4e170a921">
  <xsd:schema xmlns:xsd="http://www.w3.org/2001/XMLSchema" xmlns:xs="http://www.w3.org/2001/XMLSchema" xmlns:p="http://schemas.microsoft.com/office/2006/metadata/properties" xmlns:ns2="f4cb3962-4989-4c6c-ad5f-e380dc83bc6a" targetNamespace="http://schemas.microsoft.com/office/2006/metadata/properties" ma:root="true" ma:fieldsID="027bbf6694072866fa8eb1c41b2b4128" ns2:_="">
    <xsd:import namespace="f4cb3962-4989-4c6c-ad5f-e380dc83bc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962-4989-4c6c-ad5f-e380dc83b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A4BF-95BA-487F-9E3A-6A550BB66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962-4989-4c6c-ad5f-e380dc83b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4A9CF-CC69-4EAE-A613-3404D9EE880F}">
  <ds:schemaRefs>
    <ds:schemaRef ds:uri="http://purl.org/dc/elements/1.1/"/>
    <ds:schemaRef ds:uri="http://schemas.openxmlformats.org/package/2006/metadata/core-properties"/>
    <ds:schemaRef ds:uri="f4cb3962-4989-4c6c-ad5f-e380dc83bc6a"/>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E8A13D7C-4AB3-4BB4-B084-A644DD3C9529}">
  <ds:schemaRefs>
    <ds:schemaRef ds:uri="http://schemas.microsoft.com/sharepoint/v3/contenttype/forms"/>
  </ds:schemaRefs>
</ds:datastoreItem>
</file>

<file path=customXml/itemProps4.xml><?xml version="1.0" encoding="utf-8"?>
<ds:datastoreItem xmlns:ds="http://schemas.openxmlformats.org/officeDocument/2006/customXml" ds:itemID="{2879A6FD-6550-43B0-8FBC-EFF1615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