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346F" w:rsidRPr="00C67EBD" w:rsidP="0015346F">
      <w:pPr>
        <w:pStyle w:val="Header"/>
        <w:jc w:val="center"/>
        <w:rPr>
          <w:b/>
          <w:bCs/>
        </w:rPr>
      </w:pPr>
      <w:r w:rsidRPr="00C67EBD">
        <w:rPr>
          <w:b/>
          <w:bCs/>
        </w:rPr>
        <w:t xml:space="preserve">Written Evidence Submitted by: </w:t>
      </w:r>
    </w:p>
    <w:p w:rsidR="0015346F" w:rsidRPr="00C67EBD" w:rsidP="0015346F">
      <w:pPr>
        <w:pStyle w:val="Header"/>
        <w:jc w:val="center"/>
        <w:rPr>
          <w:b/>
          <w:bCs/>
        </w:rPr>
      </w:pPr>
      <w:r w:rsidRPr="00C67EBD">
        <w:rPr>
          <w:b/>
          <w:bCs/>
        </w:rPr>
        <w:t>Tim Figures, Director, Technology, Sustainability and Innovation, Make UK</w:t>
      </w:r>
    </w:p>
    <w:p w:rsidR="0015346F" w:rsidRPr="00C67EBD" w:rsidP="0015346F">
      <w:pPr>
        <w:pStyle w:val="Header"/>
        <w:jc w:val="center"/>
        <w:rPr>
          <w:b/>
          <w:bCs/>
        </w:rPr>
      </w:pPr>
      <w:r w:rsidRPr="00C67EBD">
        <w:rPr>
          <w:b/>
          <w:bCs/>
        </w:rPr>
        <w:t>(BRI</w:t>
      </w:r>
      <w:r w:rsidRPr="00C67EBD" w:rsidR="00FA73E0">
        <w:rPr>
          <w:b/>
          <w:bCs/>
        </w:rPr>
        <w:t>0001)</w:t>
      </w:r>
    </w:p>
    <w:p w:rsidR="009F6C56">
      <w:pPr>
        <w:pStyle w:val="BodyText"/>
        <w:spacing w:before="4"/>
        <w:rPr>
          <w:rFonts w:ascii="Times New Roman"/>
          <w:sz w:val="21"/>
        </w:rPr>
      </w:pPr>
    </w:p>
    <w:p w:rsidR="009F6C56">
      <w:pPr>
        <w:rPr>
          <w:rFonts w:ascii="Times New Roman"/>
          <w:sz w:val="21"/>
        </w:rPr>
      </w:pPr>
    </w:p>
    <w:p w:rsidR="0015346F">
      <w:pPr>
        <w:rPr>
          <w:rFonts w:ascii="Times New Roman"/>
          <w:sz w:val="21"/>
        </w:rPr>
      </w:pPr>
    </w:p>
    <w:p w:rsidR="0015346F">
      <w:pPr>
        <w:rPr>
          <w:rFonts w:ascii="Times New Roman"/>
          <w:sz w:val="21"/>
        </w:rPr>
        <w:sectPr>
          <w:headerReference w:type="even" r:id="rId8"/>
          <w:headerReference w:type="default" r:id="rId9"/>
          <w:footerReference w:type="even" r:id="rId10"/>
          <w:footerReference w:type="default" r:id="rId11"/>
          <w:headerReference w:type="first" r:id="rId12"/>
          <w:footerReference w:type="first" r:id="rId13"/>
          <w:type w:val="continuous"/>
          <w:pgSz w:w="11900" w:h="16850"/>
          <w:pgMar w:top="1700" w:right="140" w:bottom="2260" w:left="1020" w:header="681" w:footer="2072" w:gutter="0"/>
          <w:cols w:space="720"/>
        </w:sectPr>
      </w:pPr>
    </w:p>
    <w:p w:rsidR="009F6C56">
      <w:pPr>
        <w:pStyle w:val="BodyText"/>
      </w:pPr>
    </w:p>
    <w:p w:rsidR="009F6C56">
      <w:pPr>
        <w:pStyle w:val="Heading1"/>
        <w:ind w:firstLine="0"/>
      </w:pPr>
      <w:r>
        <w:t>Follow-up to the Committee session on Budget 2020</w:t>
      </w:r>
    </w:p>
    <w:p w:rsidR="009F6C56">
      <w:pPr>
        <w:pStyle w:val="BodyText"/>
        <w:rPr>
          <w:b/>
        </w:rPr>
      </w:pPr>
    </w:p>
    <w:p w:rsidR="009F6C56">
      <w:pPr>
        <w:pStyle w:val="BodyText"/>
        <w:ind w:left="112" w:right="1602"/>
      </w:pPr>
      <w:r>
        <w:t>Thank you for your letter of 9 April and the opportunity to give evidence in front of the Committee on 18 March.</w:t>
      </w:r>
    </w:p>
    <w:p w:rsidR="009F6C56">
      <w:pPr>
        <w:pStyle w:val="BodyText"/>
      </w:pPr>
    </w:p>
    <w:p w:rsidR="009F6C56">
      <w:pPr>
        <w:pStyle w:val="BodyText"/>
        <w:ind w:left="112"/>
      </w:pPr>
      <w:r>
        <w:t>You asked for more information on a couple of the points I raised at the session:</w:t>
      </w:r>
    </w:p>
    <w:p w:rsidR="009F6C56">
      <w:pPr>
        <w:pStyle w:val="BodyText"/>
      </w:pPr>
    </w:p>
    <w:p w:rsidR="009F6C56">
      <w:pPr>
        <w:pStyle w:val="Heading1"/>
        <w:numPr>
          <w:ilvl w:val="0"/>
          <w:numId w:val="1"/>
        </w:numPr>
        <w:tabs>
          <w:tab w:val="left" w:pos="383"/>
        </w:tabs>
        <w:ind w:hanging="271"/>
      </w:pPr>
      <w:r>
        <w:t>Support for adoption and diffusion of technology in</w:t>
      </w:r>
      <w:r>
        <w:rPr>
          <w:spacing w:val="-9"/>
        </w:rPr>
        <w:t xml:space="preserve"> </w:t>
      </w:r>
      <w:r>
        <w:t>manufacturing</w:t>
      </w:r>
    </w:p>
    <w:p w:rsidR="009F6C56">
      <w:pPr>
        <w:pStyle w:val="BodyText"/>
        <w:spacing w:before="1"/>
        <w:ind w:left="112" w:right="1096"/>
      </w:pPr>
      <w:r>
        <w:t>We have just completed some policy work in this area, including extensive stakeholder consultation, and will be publishing a policy paper shortly. This work found that the integrated, co-ordinated single-pot model (as used by the Made Smarter North West pilot) was the most successful form of intervention, particularly with smaller manufacturers.</w:t>
      </w:r>
    </w:p>
    <w:p w:rsidR="009F6C56">
      <w:pPr>
        <w:pStyle w:val="BodyText"/>
        <w:ind w:left="112" w:right="1577"/>
      </w:pPr>
      <w:r>
        <w:t>Outside the North West, a more fragmented approach meant that progress was more limited.</w:t>
      </w:r>
    </w:p>
    <w:p w:rsidR="009F6C56">
      <w:pPr>
        <w:pStyle w:val="BodyText"/>
        <w:spacing w:before="9"/>
        <w:rPr>
          <w:sz w:val="23"/>
        </w:rPr>
      </w:pPr>
    </w:p>
    <w:p w:rsidR="009F6C56">
      <w:pPr>
        <w:pStyle w:val="BodyText"/>
        <w:ind w:left="112" w:right="1028"/>
      </w:pPr>
      <w:r>
        <w:rPr>
          <w:spacing w:val="3"/>
        </w:rPr>
        <w:t xml:space="preserve">We </w:t>
      </w:r>
      <w:r>
        <w:t xml:space="preserve">think that the Government should expand the North West model, resourcing lead regional delivery agents (such as growth hubs) to introduce similar initiatives in other regions. It is also critical that the replacement for European Regional Development funding, which is widely used to support manufacturing SMEs, is flexible enough to support industrial digitalisation. </w:t>
      </w:r>
      <w:r>
        <w:rPr>
          <w:spacing w:val="3"/>
        </w:rPr>
        <w:t xml:space="preserve">We </w:t>
      </w:r>
      <w:r>
        <w:t>think that the challenge-based funding model as used by Innovate UK is less effective, unless an intermediary (such as a university or catapult centre) is involved. The bidding process is too complex and resource-intensive for many SMEs to engage with, and it can lead to an overlapping raft of initiatives which confuse the picture rather than complementing each</w:t>
      </w:r>
      <w:r>
        <w:rPr>
          <w:spacing w:val="-3"/>
        </w:rPr>
        <w:t xml:space="preserve"> </w:t>
      </w:r>
      <w:r>
        <w:t>other.</w:t>
      </w:r>
    </w:p>
    <w:p w:rsidR="009F6C56">
      <w:pPr>
        <w:pStyle w:val="BodyText"/>
        <w:spacing w:before="1"/>
      </w:pPr>
    </w:p>
    <w:p w:rsidR="009F6C56">
      <w:pPr>
        <w:pStyle w:val="BodyText"/>
        <w:ind w:left="112" w:right="1043"/>
      </w:pPr>
      <w:r>
        <w:t>Our policy paper and detailed recommendations will be ready shortly – once it is I’ll send it over.</w:t>
      </w:r>
    </w:p>
    <w:p w:rsidR="009F6C56">
      <w:pPr>
        <w:sectPr>
          <w:type w:val="continuous"/>
          <w:pgSz w:w="11900" w:h="16850"/>
          <w:pgMar w:top="1700" w:right="140" w:bottom="2260" w:left="1020" w:header="720" w:footer="720" w:gutter="0"/>
          <w:cols w:space="720"/>
        </w:sectPr>
      </w:pPr>
    </w:p>
    <w:p w:rsidR="009F6C56">
      <w:pPr>
        <w:pStyle w:val="Heading1"/>
        <w:numPr>
          <w:ilvl w:val="0"/>
          <w:numId w:val="1"/>
        </w:numPr>
        <w:tabs>
          <w:tab w:val="left" w:pos="383"/>
        </w:tabs>
        <w:spacing w:before="92"/>
        <w:ind w:hanging="271"/>
      </w:pPr>
      <w:r>
        <w:t>Simplifying the R&amp;D tax credit system</w:t>
      </w:r>
    </w:p>
    <w:p w:rsidR="009F6C56">
      <w:pPr>
        <w:pStyle w:val="BodyText"/>
        <w:ind w:left="112" w:right="1136"/>
      </w:pPr>
      <w:r>
        <w:t>R&amp;D tax credits are an excellent idea, but the scheme does not always drive the right results as it currently operates. We think that the main problem stems from the way HMRC defines qualifying expenditure. We accept that, of course, it is important to be relatively flexible, but the definitions are drawn in a very broad-brush w</w:t>
      </w:r>
      <w:bookmarkStart w:id="0" w:name="_GoBack"/>
      <w:bookmarkEnd w:id="0"/>
      <w:r>
        <w:t>ay. This means that the onus is on the business to make its case against subjective criteria – such as ‘prove this expenditure helped you to overcome uncertainty’.</w:t>
      </w:r>
    </w:p>
    <w:p w:rsidR="009F6C56">
      <w:pPr>
        <w:pStyle w:val="BodyText"/>
      </w:pPr>
    </w:p>
    <w:p w:rsidR="009F6C56">
      <w:pPr>
        <w:pStyle w:val="BodyText"/>
        <w:ind w:left="112" w:right="1123"/>
      </w:pPr>
      <w:r>
        <w:t>Smaller businesses are less confident operating in this way, and would prefer a simpler assessment process against a more concrete range of criteria. The gap is currently filled by consultants, who will make the case to HMRC on an SME’s behalf in return for a cut of the tax credits if successful. However, these services are often marketed in terms of reclaiming tax against expenditure already committed, rather than as a means of influencing upfront behaviour. We think a review of the operation of the system, with a particular emphasis on improving its visibility and accessibility to SMEs, would help to address this issue.</w:t>
      </w:r>
    </w:p>
    <w:p w:rsidR="009F6C56">
      <w:pPr>
        <w:pStyle w:val="BodyText"/>
        <w:spacing w:before="1"/>
      </w:pPr>
    </w:p>
    <w:p w:rsidR="009F6C56">
      <w:pPr>
        <w:pStyle w:val="BodyText"/>
        <w:ind w:left="112" w:right="1096"/>
      </w:pPr>
      <w:r>
        <w:t>Finally, since the evidence session in March, the scale of the impact of COVID-19 on manufacturing, and the economy in general, has started to become clear. As we move towards recovery, we believe that it will be essential to protect and support ongoing investment in R&amp;D by industry – something which tends to come under pressure at times of economic crisis. I’m sure that this is something the Committee will be interested in, and we would be very happy to share our thoughts with you in due course.</w:t>
      </w:r>
    </w:p>
    <w:p w:rsidR="009F6C56">
      <w:pPr>
        <w:pStyle w:val="BodyText"/>
        <w:rPr>
          <w:sz w:val="26"/>
        </w:rPr>
      </w:pPr>
    </w:p>
    <w:p w:rsidR="009F6C56" w:rsidRPr="00C919AC">
      <w:pPr>
        <w:pStyle w:val="BodyText"/>
        <w:rPr>
          <w:i/>
          <w:iCs/>
          <w:sz w:val="22"/>
        </w:rPr>
      </w:pPr>
    </w:p>
    <w:p w:rsidR="009F6C56" w:rsidRPr="00C919AC">
      <w:pPr>
        <w:pStyle w:val="Heading1"/>
        <w:ind w:firstLine="0"/>
        <w:rPr>
          <w:i/>
          <w:iCs/>
        </w:rPr>
      </w:pPr>
      <w:r w:rsidRPr="00C919AC">
        <w:rPr>
          <w:i/>
          <w:iCs/>
        </w:rPr>
        <w:t>(April 2020)</w:t>
      </w:r>
    </w:p>
    <w:sectPr>
      <w:pgSz w:w="11900" w:h="16850"/>
      <w:pgMar w:top="1700" w:right="140" w:bottom="2260" w:left="1020" w:header="681" w:footer="207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01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6">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01B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01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6">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01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410339"/>
    <w:multiLevelType w:val="hybridMultilevel"/>
    <w:tmpl w:val="A77CD210"/>
    <w:lvl w:ilvl="0">
      <w:start w:val="1"/>
      <w:numFmt w:val="decimal"/>
      <w:lvlText w:val="%1."/>
      <w:lvlJc w:val="left"/>
      <w:pPr>
        <w:ind w:left="382" w:hanging="270"/>
        <w:jc w:val="left"/>
      </w:pPr>
      <w:rPr>
        <w:rFonts w:ascii="Arial" w:eastAsia="Arial" w:hAnsi="Arial" w:cs="Arial" w:hint="default"/>
        <w:b/>
        <w:bCs/>
        <w:w w:val="99"/>
        <w:sz w:val="24"/>
        <w:szCs w:val="24"/>
        <w:lang w:val="en-GB" w:eastAsia="en-GB" w:bidi="en-GB"/>
      </w:rPr>
    </w:lvl>
    <w:lvl w:ilvl="1">
      <w:start w:val="0"/>
      <w:numFmt w:val="bullet"/>
      <w:lvlText w:val="•"/>
      <w:lvlJc w:val="left"/>
      <w:pPr>
        <w:ind w:left="1415" w:hanging="270"/>
      </w:pPr>
      <w:rPr>
        <w:rFonts w:hint="default"/>
        <w:lang w:val="en-GB" w:eastAsia="en-GB" w:bidi="en-GB"/>
      </w:rPr>
    </w:lvl>
    <w:lvl w:ilvl="2">
      <w:start w:val="0"/>
      <w:numFmt w:val="bullet"/>
      <w:lvlText w:val="•"/>
      <w:lvlJc w:val="left"/>
      <w:pPr>
        <w:ind w:left="2451" w:hanging="270"/>
      </w:pPr>
      <w:rPr>
        <w:rFonts w:hint="default"/>
        <w:lang w:val="en-GB" w:eastAsia="en-GB" w:bidi="en-GB"/>
      </w:rPr>
    </w:lvl>
    <w:lvl w:ilvl="3">
      <w:start w:val="0"/>
      <w:numFmt w:val="bullet"/>
      <w:lvlText w:val="•"/>
      <w:lvlJc w:val="left"/>
      <w:pPr>
        <w:ind w:left="3487" w:hanging="270"/>
      </w:pPr>
      <w:rPr>
        <w:rFonts w:hint="default"/>
        <w:lang w:val="en-GB" w:eastAsia="en-GB" w:bidi="en-GB"/>
      </w:rPr>
    </w:lvl>
    <w:lvl w:ilvl="4">
      <w:start w:val="0"/>
      <w:numFmt w:val="bullet"/>
      <w:lvlText w:val="•"/>
      <w:lvlJc w:val="left"/>
      <w:pPr>
        <w:ind w:left="4523" w:hanging="270"/>
      </w:pPr>
      <w:rPr>
        <w:rFonts w:hint="default"/>
        <w:lang w:val="en-GB" w:eastAsia="en-GB" w:bidi="en-GB"/>
      </w:rPr>
    </w:lvl>
    <w:lvl w:ilvl="5">
      <w:start w:val="0"/>
      <w:numFmt w:val="bullet"/>
      <w:lvlText w:val="•"/>
      <w:lvlJc w:val="left"/>
      <w:pPr>
        <w:ind w:left="5559" w:hanging="270"/>
      </w:pPr>
      <w:rPr>
        <w:rFonts w:hint="default"/>
        <w:lang w:val="en-GB" w:eastAsia="en-GB" w:bidi="en-GB"/>
      </w:rPr>
    </w:lvl>
    <w:lvl w:ilvl="6">
      <w:start w:val="0"/>
      <w:numFmt w:val="bullet"/>
      <w:lvlText w:val="•"/>
      <w:lvlJc w:val="left"/>
      <w:pPr>
        <w:ind w:left="6595" w:hanging="270"/>
      </w:pPr>
      <w:rPr>
        <w:rFonts w:hint="default"/>
        <w:lang w:val="en-GB" w:eastAsia="en-GB" w:bidi="en-GB"/>
      </w:rPr>
    </w:lvl>
    <w:lvl w:ilvl="7">
      <w:start w:val="0"/>
      <w:numFmt w:val="bullet"/>
      <w:lvlText w:val="•"/>
      <w:lvlJc w:val="left"/>
      <w:pPr>
        <w:ind w:left="7631" w:hanging="270"/>
      </w:pPr>
      <w:rPr>
        <w:rFonts w:hint="default"/>
        <w:lang w:val="en-GB" w:eastAsia="en-GB" w:bidi="en-GB"/>
      </w:rPr>
    </w:lvl>
    <w:lvl w:ilvl="8">
      <w:start w:val="0"/>
      <w:numFmt w:val="bullet"/>
      <w:lvlText w:val="•"/>
      <w:lvlJc w:val="left"/>
      <w:pPr>
        <w:ind w:left="8667" w:hanging="27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12" w:hanging="27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82" w:hanging="2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5346F"/>
    <w:pPr>
      <w:tabs>
        <w:tab w:val="center" w:pos="4513"/>
        <w:tab w:val="right" w:pos="9026"/>
      </w:tabs>
    </w:pPr>
  </w:style>
  <w:style w:type="character" w:customStyle="1" w:styleId="HeaderChar">
    <w:name w:val="Header Char"/>
    <w:basedOn w:val="DefaultParagraphFont"/>
    <w:link w:val="Header"/>
    <w:uiPriority w:val="99"/>
    <w:rsid w:val="0015346F"/>
    <w:rPr>
      <w:rFonts w:ascii="Arial" w:eastAsia="Arial" w:hAnsi="Arial" w:cs="Arial"/>
      <w:lang w:val="en-GB" w:eastAsia="en-GB" w:bidi="en-GB"/>
    </w:rPr>
  </w:style>
  <w:style w:type="paragraph" w:styleId="Footer">
    <w:name w:val="footer"/>
    <w:basedOn w:val="Normal"/>
    <w:link w:val="FooterChar"/>
    <w:uiPriority w:val="99"/>
    <w:unhideWhenUsed/>
    <w:rsid w:val="0015346F"/>
    <w:pPr>
      <w:tabs>
        <w:tab w:val="center" w:pos="4513"/>
        <w:tab w:val="right" w:pos="9026"/>
      </w:tabs>
    </w:pPr>
  </w:style>
  <w:style w:type="character" w:customStyle="1" w:styleId="FooterChar">
    <w:name w:val="Footer Char"/>
    <w:basedOn w:val="DefaultParagraphFont"/>
    <w:link w:val="Footer"/>
    <w:uiPriority w:val="99"/>
    <w:rsid w:val="0015346F"/>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Written Evidence</TermName>
          <TermId xmlns="http://schemas.microsoft.com/office/infopath/2007/PartnerControls">61853d6b-4874-4925-bac3-742bf6590764</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Budget 2020: research and innovation spending</TermName>
          <TermId xmlns="http://schemas.microsoft.com/office/infopath/2007/PartnerControls">4f80178a-9fa7-4b78-8160-abfac9ead0ce</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B619D908-9A64-44CC-A51E-FD920760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AF3A3-174B-4ABD-81D1-0ED4128BB151}">
  <ds:schemaRefs>
    <ds:schemaRef ds:uri="http://schemas.microsoft.com/sharepoint/events"/>
  </ds:schemaRefs>
</ds:datastoreItem>
</file>

<file path=customXml/itemProps3.xml><?xml version="1.0" encoding="utf-8"?>
<ds:datastoreItem xmlns:ds="http://schemas.openxmlformats.org/officeDocument/2006/customXml" ds:itemID="{06DAA39B-DF4D-4C2A-9354-F611FEC2DDC7}">
  <ds:schemaRefs>
    <ds:schemaRef ds:uri="http://schemas.microsoft.com/sharepoint/v3/contenttype/forms"/>
  </ds:schemaRefs>
</ds:datastoreItem>
</file>

<file path=customXml/itemProps4.xml><?xml version="1.0" encoding="utf-8"?>
<ds:datastoreItem xmlns:ds="http://schemas.openxmlformats.org/officeDocument/2006/customXml" ds:itemID="{538A4C0D-A2C2-4B80-9C3D-7A8571F15EC6}">
  <ds:schemaRefs>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577222f2-5576-4085-a52e-9831727fac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