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1F9F" w:rsidP="00ED5AE5">
      <w:pPr>
        <w:rPr>
          <w:rFonts w:ascii="Verdana" w:hAnsi="Verdana"/>
          <w:b/>
          <w:bCs/>
          <w:sz w:val="28"/>
          <w:szCs w:val="28"/>
        </w:rPr>
      </w:pPr>
      <w:r w:rsidRPr="00632BDF">
        <w:rPr>
          <w:rFonts w:ascii="Verdana" w:hAnsi="Verdana"/>
          <w:b/>
          <w:bCs/>
          <w:sz w:val="28"/>
          <w:szCs w:val="28"/>
        </w:rPr>
        <w:t xml:space="preserve">Professor </w:t>
      </w:r>
      <w:r w:rsidRPr="00632BDF">
        <w:rPr>
          <w:rFonts w:ascii="Verdana" w:hAnsi="Verdana"/>
          <w:b/>
          <w:bCs/>
          <w:sz w:val="28"/>
          <w:szCs w:val="28"/>
        </w:rPr>
        <w:t xml:space="preserve">Ronan McCrea </w:t>
      </w:r>
      <w:r w:rsidR="00F064CB">
        <w:rPr>
          <w:rFonts w:ascii="Verdana" w:hAnsi="Verdana"/>
          <w:b/>
          <w:bCs/>
          <w:sz w:val="28"/>
          <w:szCs w:val="28"/>
        </w:rPr>
        <w:t>–</w:t>
      </w:r>
      <w:r w:rsidRPr="00632BDF">
        <w:rPr>
          <w:rFonts w:ascii="Verdana" w:hAnsi="Verdana"/>
          <w:b/>
          <w:bCs/>
          <w:sz w:val="28"/>
          <w:szCs w:val="28"/>
        </w:rPr>
        <w:t xml:space="preserve"> </w:t>
      </w:r>
      <w:r w:rsidR="004C0532">
        <w:rPr>
          <w:rFonts w:ascii="Verdana" w:hAnsi="Verdana"/>
          <w:b/>
          <w:bCs/>
          <w:sz w:val="28"/>
          <w:szCs w:val="28"/>
        </w:rPr>
        <w:t>Written evidence</w:t>
      </w:r>
      <w:r w:rsidRPr="00632BDF">
        <w:rPr>
          <w:rFonts w:ascii="Verdana" w:hAnsi="Verdana"/>
          <w:b/>
          <w:bCs/>
          <w:sz w:val="28"/>
          <w:szCs w:val="28"/>
        </w:rPr>
        <w:t xml:space="preserve"> </w:t>
      </w:r>
    </w:p>
    <w:p w:rsidR="00AB44AE" w:rsidRPr="00632BDF" w:rsidP="00ED5AE5">
      <w:pPr>
        <w:rPr>
          <w:rFonts w:ascii="Verdana" w:hAnsi="Verdana"/>
          <w:b/>
          <w:bCs/>
          <w:sz w:val="28"/>
          <w:szCs w:val="28"/>
        </w:rPr>
      </w:pPr>
    </w:p>
    <w:p w:rsidR="00ED5AE5" w:rsidRPr="00632BDF" w:rsidP="00ED5AE5">
      <w:pPr>
        <w:rPr>
          <w:rFonts w:ascii="Verdana" w:hAnsi="Verdana"/>
        </w:rPr>
      </w:pPr>
      <w:r w:rsidRPr="00632BDF">
        <w:rPr>
          <w:rFonts w:ascii="Verdana" w:hAnsi="Verdana"/>
        </w:rPr>
        <w:t> </w:t>
      </w:r>
    </w:p>
    <w:p w:rsidR="00ED5AE5" w:rsidRPr="00632BDF" w:rsidP="00ED5AE5">
      <w:pPr>
        <w:rPr>
          <w:rFonts w:ascii="Verdana" w:hAnsi="Verdana"/>
        </w:rPr>
      </w:pPr>
      <w:r w:rsidRPr="00632BDF">
        <w:rPr>
          <w:rFonts w:ascii="Verdana" w:hAnsi="Verdana"/>
        </w:rPr>
        <w:t xml:space="preserve">While Article 257 does permit the establishment of specialised courts there are </w:t>
      </w:r>
      <w:r w:rsidRPr="00632BDF">
        <w:rPr>
          <w:rFonts w:ascii="Verdana" w:hAnsi="Verdana"/>
        </w:rPr>
        <w:t>a number of</w:t>
      </w:r>
      <w:r w:rsidRPr="00632BDF">
        <w:rPr>
          <w:rFonts w:ascii="Verdana" w:hAnsi="Verdana"/>
        </w:rPr>
        <w:t xml:space="preserve"> features that any such court would have that may fail to satisfy the British government. The most important is that a court established under Article 257 would be part of the EU’s judicature with a relationship not unlike that of Employment Tribunals to the higher courts in the UK. Any interpretations of EU law given by such a court would be subject to appeal to the CJEU and the specialised court would be bound to follow any CJEU ruling given. This means that, in the final instance, the legal issues would be decided by an EU court (which is, I believe the core objection of the British government). </w:t>
      </w:r>
    </w:p>
    <w:p w:rsidR="00ED5AE5" w:rsidRPr="00632BDF" w:rsidP="00ED5AE5">
      <w:pPr>
        <w:rPr>
          <w:rFonts w:ascii="Verdana" w:hAnsi="Verdana"/>
        </w:rPr>
      </w:pPr>
      <w:r w:rsidRPr="00632BDF">
        <w:rPr>
          <w:rFonts w:ascii="Verdana" w:hAnsi="Verdana"/>
        </w:rPr>
        <w:t> </w:t>
      </w:r>
    </w:p>
    <w:p w:rsidR="00ED5AE5" w:rsidRPr="00632BDF" w:rsidP="00ED5AE5">
      <w:pPr>
        <w:rPr>
          <w:rFonts w:ascii="Verdana" w:hAnsi="Verdana"/>
        </w:rPr>
      </w:pPr>
      <w:r w:rsidRPr="00632BDF">
        <w:rPr>
          <w:rFonts w:ascii="Verdana" w:hAnsi="Verdana"/>
        </w:rPr>
        <w:t>Given the importance placed by the CJEU on its role as the sole final interpreter of EU law (see e.g. Opinion 2/13 (2014 EU:</w:t>
      </w:r>
      <w:r w:rsidRPr="00632BDF">
        <w:rPr>
          <w:rFonts w:ascii="Verdana" w:hAnsi="Verdana"/>
        </w:rPr>
        <w:t>C:2014:2545</w:t>
      </w:r>
      <w:r w:rsidRPr="00632BDF">
        <w:rPr>
          <w:rFonts w:ascii="Verdana" w:hAnsi="Verdana"/>
        </w:rPr>
        <w:t>), if appeal to the CJEU was curtailed in any meaningful way the Court of Justice would be likely to annual any agreement establishing such a specialised court.</w:t>
      </w:r>
    </w:p>
    <w:p w:rsidR="00ED5AE5" w:rsidRPr="00632BDF" w:rsidP="00ED5AE5">
      <w:pPr>
        <w:rPr>
          <w:rFonts w:ascii="Verdana" w:hAnsi="Verdana"/>
        </w:rPr>
      </w:pPr>
      <w:r w:rsidRPr="00632BDF">
        <w:rPr>
          <w:rFonts w:ascii="Verdana" w:hAnsi="Verdana"/>
        </w:rPr>
        <w:t> </w:t>
      </w:r>
    </w:p>
    <w:p w:rsidR="00ED5AE5" w:rsidRPr="00632BDF" w:rsidP="00ED5AE5">
      <w:pPr>
        <w:rPr>
          <w:rFonts w:ascii="Verdana" w:hAnsi="Verdana"/>
        </w:rPr>
      </w:pPr>
      <w:r w:rsidRPr="00632BDF">
        <w:rPr>
          <w:rFonts w:ascii="Verdana" w:hAnsi="Verdana"/>
        </w:rPr>
        <w:t>In addition, under Article 257, all judges would be nominated by the EU Council while the Council may agree to follow British recommendations in relation to nominations to such a specialised court, the symbolic appointment of judges by the EU Council may be something that the UK government may not be willing to countenance. It is possible that an agreement might provide that all judges also had to be nominated by the UK government. Whether the CJEU would regard the wording of Article 257 as meaning that the EU Council and no other body must nominate the judges of any court established under that article is not clear.</w:t>
      </w:r>
    </w:p>
    <w:p w:rsidR="00B14D91" w:rsidRPr="00632BDF">
      <w:pPr>
        <w:rPr>
          <w:rFonts w:ascii="Verdana" w:hAnsi="Verdana"/>
        </w:rPr>
      </w:pPr>
    </w:p>
    <w:p w:rsidR="00632BDF" w:rsidRPr="00D76C6E">
      <w:pPr>
        <w:rPr>
          <w:rFonts w:ascii="Verdana" w:hAnsi="Verdana"/>
          <w:b/>
          <w:bCs/>
        </w:rPr>
      </w:pPr>
      <w:r w:rsidRPr="00D76C6E">
        <w:rPr>
          <w:rFonts w:ascii="Verdana" w:hAnsi="Verdana"/>
          <w:b/>
          <w:bCs/>
        </w:rPr>
        <w:t xml:space="preserve">4 November </w:t>
      </w:r>
      <w:r w:rsidRPr="00D76C6E" w:rsidR="008966B6">
        <w:rPr>
          <w:rFonts w:ascii="Verdana" w:hAnsi="Verdana"/>
          <w:b/>
          <w:bCs/>
        </w:rPr>
        <w:t>2021</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5AE5"/>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AE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36</Value>
    </TaxCatchAll>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Procedures And Guidance</TermName>
          <TermId xmlns="http://schemas.microsoft.com/office/infopath/2007/PartnerControls">ff371ca7-c6fe-44b5-885b-2b2af847cc2a</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0AAC2DD13DBD4E83D33BED1AC32442" ma:contentTypeVersion="169" ma:contentTypeDescription="Create a new document." ma:contentTypeScope="" ma:versionID="824635b2e171d7a321052f2a9fb6a067">
  <xsd:schema xmlns:xsd="http://www.w3.org/2001/XMLSchema" xmlns:xs="http://www.w3.org/2001/XMLSchema" xmlns:p="http://schemas.microsoft.com/office/2006/metadata/properties" xmlns:ns2="4600776d-0a3c-44b4-bff2-0ceaafb13046" xmlns:ns3="485a6302-b85f-4d7c-a011-e26d5ba99389" xmlns:ns4="79d268c4-0356-4512-82e3-e8973b96fbb0" targetNamespace="http://schemas.microsoft.com/office/2006/metadata/properties" ma:root="true" ma:fieldsID="5e16c4e87b49dde90a03744457943084" ns2:_="" ns3:_="" ns4:_="">
    <xsd:import namespace="4600776d-0a3c-44b4-bff2-0ceaafb13046"/>
    <xsd:import namespace="485a6302-b85f-4d7c-a011-e26d5ba99389"/>
    <xsd:import namespace="79d268c4-0356-4512-82e3-e8973b96fbb0"/>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4:MediaServiceMetadata" minOccurs="0"/>
                <xsd:element ref="ns4:MediaServiceFastMetadata" minOccurs="0"/>
                <xsd:element ref="ns3:SharedWithUsers" minOccurs="0"/>
                <xsd:element ref="ns3:SharedWithDetails" minOccurs="0"/>
                <xsd:element ref="ns2:TaxCatchAll" minOccurs="0"/>
                <xsd:element ref="ns2:k5b153ee974a4a57a7568e533217f2cb" minOccurs="0"/>
                <xsd:element ref="ns2:cd0fc526a5c840319a97fd94028e9904" minOccurs="0"/>
                <xsd:element ref="ns3:_dlc_DocIdUrl" minOccurs="0"/>
                <xsd:element ref="ns2:g3ef09377e3444258679b6035a1ff93a" minOccurs="0"/>
                <xsd:element ref="ns2:c4838c65c76546ae93d5703426802f7f" minOccurs="0"/>
                <xsd:element ref="ns2:j6c5b17cd04246da82e5604daf08bc68" minOccurs="0"/>
                <xsd:element ref="ns3: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5" nillable="true" ma:displayName="Taxonomy Catch All Column" ma:hidden="true" ma:list="{c3be72a0-5934-40e7-a617-8e49b85798f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16" nillable="true" ma:taxonomy="true" ma:internalName="k5b153ee974a4a57a7568e533217f2cb" ma:taxonomyFieldName="ProtectiveMarking" ma:displayName="Protective Marking" ma:indexed="true" ma:readOnly="false" ma:default="36;#Unrestricted|ae6bc852-fecb-4b6b-95a3-8d1301f0fcb7"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1;#Procedures And Guidance|ff371ca7-c6fe-44b5-885b-2b2af847cc2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5a6302-b85f-4d7c-a011-e26d5ba99389"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d268c4-0356-4512-82e3-e8973b96fb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778A692C-CFED-49A4-9AE1-AB59CE5CA4F9}">
  <ds:schemaRefs>
    <ds:schemaRef ds:uri="http://schemas.microsoft.com/sharepoint/v3/contenttype/forms"/>
  </ds:schemaRefs>
</ds:datastoreItem>
</file>

<file path=customXml/itemProps2.xml><?xml version="1.0" encoding="utf-8"?>
<ds:datastoreItem xmlns:ds="http://schemas.openxmlformats.org/officeDocument/2006/customXml" ds:itemID="{AD50DAFD-700E-4A10-AAC0-478954DDDB56}">
  <ds:schemaRefs>
    <ds:schemaRef ds:uri="http://schemas.microsoft.com/office/2006/metadata/properties"/>
    <ds:schemaRef ds:uri="http://schemas.microsoft.com/office/infopath/2007/PartnerControls"/>
    <ds:schemaRef ds:uri="4600776d-0a3c-44b4-bff2-0ceaafb13046"/>
  </ds:schemaRefs>
</ds:datastoreItem>
</file>

<file path=customXml/itemProps3.xml><?xml version="1.0" encoding="utf-8"?>
<ds:datastoreItem xmlns:ds="http://schemas.openxmlformats.org/officeDocument/2006/customXml" ds:itemID="{0B0F1729-A055-4B9B-9595-E10377438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485a6302-b85f-4d7c-a011-e26d5ba99389"/>
    <ds:schemaRef ds:uri="79d268c4-0356-4512-82e3-e8973b96f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72C79-03F4-40A8-BDA1-857FC530834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