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72D5" w:rsidRPr="00111C88" w:rsidP="00745DA5">
      <w:pPr>
        <w:spacing w:before="120" w:after="120" w:line="240" w:lineRule="auto"/>
        <w:ind w:right="425"/>
        <w:jc w:val="both"/>
        <w:rPr>
          <w:rFonts w:ascii="Verdana" w:eastAsia="Times New Roman" w:hAnsi="Verdana" w:cs="Arial"/>
          <w:b/>
          <w:bCs/>
          <w:lang w:eastAsia="en-GB"/>
        </w:rPr>
      </w:pPr>
    </w:p>
    <w:p w:rsidR="006770E0" w:rsidP="00745DA5">
      <w:pPr>
        <w:spacing w:before="120" w:after="120" w:line="240" w:lineRule="auto"/>
        <w:ind w:right="425"/>
        <w:jc w:val="both"/>
        <w:rPr>
          <w:rFonts w:ascii="Verdana" w:hAnsi="Verdana" w:cstheme="minorHAnsi"/>
          <w:b/>
          <w:bCs/>
          <w:sz w:val="28"/>
          <w:szCs w:val="28"/>
        </w:rPr>
      </w:pPr>
    </w:p>
    <w:p w:rsidR="00847FD8" w:rsidRPr="00111C88" w:rsidP="00745DA5">
      <w:pPr>
        <w:spacing w:before="120" w:after="120" w:line="240" w:lineRule="auto"/>
        <w:ind w:right="425"/>
        <w:jc w:val="both"/>
        <w:rPr>
          <w:rFonts w:ascii="Verdana" w:hAnsi="Verdana" w:cstheme="minorHAnsi"/>
          <w:b/>
          <w:bCs/>
          <w:sz w:val="28"/>
          <w:szCs w:val="28"/>
        </w:rPr>
      </w:pPr>
      <w:r w:rsidRPr="00111C88">
        <w:rPr>
          <w:rFonts w:ascii="Verdana" w:hAnsi="Verdana" w:cstheme="minorHAnsi"/>
          <w:b/>
          <w:bCs/>
          <w:sz w:val="28"/>
          <w:szCs w:val="28"/>
        </w:rPr>
        <w:t xml:space="preserve">Dr </w:t>
      </w:r>
      <w:r w:rsidRPr="00111C88">
        <w:rPr>
          <w:rFonts w:ascii="Verdana" w:hAnsi="Verdana" w:cstheme="minorHAnsi"/>
          <w:b/>
          <w:bCs/>
          <w:sz w:val="28"/>
          <w:szCs w:val="28"/>
        </w:rPr>
        <w:t>Sylvia de Mars</w:t>
      </w:r>
      <w:r w:rsidRPr="00111C88" w:rsidR="00BE2D02">
        <w:rPr>
          <w:rFonts w:ascii="Verdana" w:hAnsi="Verdana" w:cstheme="minorHAnsi"/>
          <w:b/>
          <w:bCs/>
          <w:sz w:val="28"/>
          <w:szCs w:val="28"/>
        </w:rPr>
        <w:t xml:space="preserve"> and </w:t>
      </w:r>
      <w:r w:rsidRPr="00111C88">
        <w:rPr>
          <w:rFonts w:ascii="Verdana" w:hAnsi="Verdana" w:cstheme="minorHAnsi"/>
          <w:b/>
          <w:bCs/>
          <w:sz w:val="28"/>
          <w:szCs w:val="28"/>
        </w:rPr>
        <w:t xml:space="preserve">Mr </w:t>
      </w:r>
      <w:r w:rsidRPr="00111C88">
        <w:rPr>
          <w:rFonts w:ascii="Verdana" w:hAnsi="Verdana" w:cstheme="minorHAnsi"/>
          <w:b/>
          <w:bCs/>
          <w:sz w:val="28"/>
          <w:szCs w:val="28"/>
        </w:rPr>
        <w:t>Colin Murra</w:t>
      </w:r>
      <w:r w:rsidRPr="00111C88" w:rsidR="00BE2D02">
        <w:rPr>
          <w:rFonts w:ascii="Verdana" w:hAnsi="Verdana" w:cstheme="minorHAnsi"/>
          <w:b/>
          <w:bCs/>
          <w:sz w:val="28"/>
          <w:szCs w:val="28"/>
        </w:rPr>
        <w:t>y</w:t>
      </w:r>
      <w:r w:rsidRPr="00111C88" w:rsidR="00111C88">
        <w:rPr>
          <w:rFonts w:ascii="Verdana" w:hAnsi="Verdana" w:cstheme="minorHAnsi"/>
          <w:b/>
          <w:bCs/>
          <w:sz w:val="28"/>
          <w:szCs w:val="28"/>
        </w:rPr>
        <w:t xml:space="preserve"> – Written </w:t>
      </w:r>
      <w:r w:rsidR="00B94D01">
        <w:rPr>
          <w:rFonts w:ascii="Verdana" w:hAnsi="Verdana" w:cstheme="minorHAnsi"/>
          <w:b/>
          <w:bCs/>
          <w:sz w:val="28"/>
          <w:szCs w:val="28"/>
        </w:rPr>
        <w:t>evidence</w:t>
      </w:r>
      <w:r w:rsidRPr="00111C88" w:rsidR="00111C88">
        <w:rPr>
          <w:rFonts w:ascii="Verdana" w:hAnsi="Verdana" w:cstheme="minorHAnsi"/>
          <w:b/>
          <w:bCs/>
          <w:sz w:val="28"/>
          <w:szCs w:val="28"/>
        </w:rPr>
        <w:t xml:space="preserve"> </w:t>
      </w:r>
    </w:p>
    <w:p w:rsidR="001F7741" w:rsidRPr="00111C88" w:rsidP="00745DA5">
      <w:pPr>
        <w:spacing w:before="120" w:after="120" w:line="240" w:lineRule="auto"/>
        <w:ind w:right="425"/>
        <w:jc w:val="both"/>
        <w:rPr>
          <w:rFonts w:ascii="Verdana" w:hAnsi="Verdana" w:cstheme="minorHAnsi"/>
        </w:rPr>
      </w:pPr>
    </w:p>
    <w:p w:rsidR="00EF3E70" w:rsidRPr="00111C88" w:rsidP="00745DA5">
      <w:pPr>
        <w:spacing w:before="120" w:after="120" w:line="240" w:lineRule="auto"/>
        <w:ind w:right="425"/>
        <w:jc w:val="both"/>
        <w:rPr>
          <w:rFonts w:ascii="Verdana" w:hAnsi="Verdana" w:cstheme="minorHAnsi"/>
        </w:rPr>
      </w:pPr>
      <w:r w:rsidRPr="00111C88">
        <w:rPr>
          <w:rFonts w:ascii="Verdana" w:eastAsia="Times New Roman" w:hAnsi="Verdana" w:cs="Times New Roman"/>
        </w:rPr>
        <w:t>Sylvia de Mars is a Senior Lecturer at Newcastle Law School, Newcastle University; Colin Murray is a Reader at Newcastle Law School, Newcastle University</w:t>
      </w:r>
      <w:r w:rsidRPr="00111C88" w:rsidR="00BE2D02">
        <w:rPr>
          <w:rFonts w:ascii="Verdana" w:eastAsia="Times New Roman" w:hAnsi="Verdana" w:cs="Times New Roman"/>
        </w:rPr>
        <w:t xml:space="preserve">. </w:t>
      </w:r>
      <w:r w:rsidRPr="00111C88">
        <w:rPr>
          <w:rFonts w:ascii="Verdana" w:hAnsi="Verdana" w:cstheme="minorHAnsi"/>
        </w:rPr>
        <w:t xml:space="preserve">This evidence </w:t>
      </w:r>
      <w:r w:rsidRPr="00111C88" w:rsidR="00BD100D">
        <w:rPr>
          <w:rFonts w:ascii="Verdana" w:hAnsi="Verdana" w:cstheme="minorHAnsi"/>
        </w:rPr>
        <w:t>draws upon</w:t>
      </w:r>
      <w:r w:rsidRPr="00111C88">
        <w:rPr>
          <w:rFonts w:ascii="Verdana" w:hAnsi="Verdana" w:cstheme="minorHAnsi"/>
        </w:rPr>
        <w:t xml:space="preserve"> </w:t>
      </w:r>
      <w:r w:rsidRPr="00111C88" w:rsidR="00EB5821">
        <w:rPr>
          <w:rFonts w:ascii="Verdana" w:hAnsi="Verdana" w:cstheme="minorHAnsi"/>
        </w:rPr>
        <w:t xml:space="preserve">blog posts written by Colin Murray </w:t>
      </w:r>
      <w:r w:rsidRPr="00111C88" w:rsidR="00273A15">
        <w:rPr>
          <w:rFonts w:ascii="Verdana" w:hAnsi="Verdana" w:cstheme="minorHAnsi"/>
        </w:rPr>
        <w:t>and Dr Clare Rice for the UK in a Changing EU (</w:t>
      </w:r>
      <w:r>
        <w:fldChar w:fldCharType="begin"/>
      </w:r>
      <w:r>
        <w:instrText xml:space="preserve"> HYPERLINK "https://ukandeu.ac.uk/northern-ireland-protocol-uk-updated-approach/" </w:instrText>
      </w:r>
      <w:r>
        <w:fldChar w:fldCharType="separate"/>
      </w:r>
      <w:r w:rsidRPr="00111C88" w:rsidR="00A47CFF">
        <w:rPr>
          <w:rStyle w:val="Hyperlink"/>
          <w:rFonts w:ascii="Verdana" w:hAnsi="Verdana" w:cstheme="minorHAnsi"/>
        </w:rPr>
        <w:t>https://ukandeu.ac.uk/northern-ireland-protocol-uk-updated-approach/</w:t>
      </w:r>
      <w:r>
        <w:fldChar w:fldCharType="end"/>
      </w:r>
      <w:r w:rsidRPr="00111C88" w:rsidR="00A47CFF">
        <w:rPr>
          <w:rFonts w:ascii="Verdana" w:hAnsi="Verdana" w:cstheme="minorHAnsi"/>
        </w:rPr>
        <w:t xml:space="preserve">) </w:t>
      </w:r>
      <w:r w:rsidRPr="00111C88" w:rsidR="00645227">
        <w:rPr>
          <w:rFonts w:ascii="Verdana" w:hAnsi="Verdana" w:cstheme="minorHAnsi"/>
        </w:rPr>
        <w:t xml:space="preserve">and by Colin Murray for the LSE </w:t>
      </w:r>
      <w:r w:rsidRPr="00111C88" w:rsidR="0050223D">
        <w:rPr>
          <w:rFonts w:ascii="Verdana" w:hAnsi="Verdana" w:cstheme="minorHAnsi"/>
        </w:rPr>
        <w:t>Politics and Policy</w:t>
      </w:r>
      <w:r w:rsidRPr="00111C88" w:rsidR="00645227">
        <w:rPr>
          <w:rFonts w:ascii="Verdana" w:hAnsi="Verdana" w:cstheme="minorHAnsi"/>
        </w:rPr>
        <w:t xml:space="preserve"> Blog (</w:t>
      </w:r>
      <w:r>
        <w:fldChar w:fldCharType="begin"/>
      </w:r>
      <w:r>
        <w:instrText xml:space="preserve"> HYPERLINK "https://blogs.lse.ac.uk/politicsandpolicy/ni-protocol-renegotiation/" </w:instrText>
      </w:r>
      <w:r>
        <w:fldChar w:fldCharType="separate"/>
      </w:r>
      <w:r w:rsidRPr="00111C88" w:rsidR="00645227">
        <w:rPr>
          <w:rStyle w:val="Hyperlink"/>
          <w:rFonts w:ascii="Verdana" w:hAnsi="Verdana" w:cstheme="minorHAnsi"/>
        </w:rPr>
        <w:t>https://blogs.lse.ac.uk/politicsandpolicy/ni-protocol-renegotiation/</w:t>
      </w:r>
      <w:r>
        <w:fldChar w:fldCharType="end"/>
      </w:r>
      <w:r w:rsidRPr="00111C88" w:rsidR="00645227">
        <w:rPr>
          <w:rFonts w:ascii="Verdana" w:hAnsi="Verdana" w:cstheme="minorHAnsi"/>
        </w:rPr>
        <w:t xml:space="preserve">) </w:t>
      </w:r>
    </w:p>
    <w:p w:rsidR="001A0C67" w:rsidRPr="00111C88" w:rsidP="00745DA5">
      <w:pPr>
        <w:spacing w:before="120" w:after="120"/>
        <w:ind w:right="425"/>
        <w:jc w:val="both"/>
        <w:rPr>
          <w:rFonts w:ascii="Verdana" w:hAnsi="Verdana"/>
        </w:rPr>
      </w:pPr>
    </w:p>
    <w:p w:rsidR="00E50EC7" w:rsidRPr="00111C88" w:rsidP="00745DA5">
      <w:pPr>
        <w:spacing w:before="120" w:after="120" w:line="240" w:lineRule="auto"/>
        <w:ind w:right="425"/>
        <w:jc w:val="both"/>
        <w:rPr>
          <w:rFonts w:ascii="Verdana" w:eastAsia="Times New Roman" w:hAnsi="Verdana" w:cs="Arial"/>
          <w:b/>
          <w:bCs/>
          <w:lang w:eastAsia="en-GB"/>
        </w:rPr>
      </w:pPr>
      <w:r w:rsidRPr="00111C88">
        <w:rPr>
          <w:rFonts w:ascii="Verdana" w:eastAsia="Times New Roman" w:hAnsi="Verdana" w:cs="Arial"/>
          <w:b/>
          <w:bCs/>
          <w:lang w:eastAsia="en-GB"/>
        </w:rPr>
        <w:t xml:space="preserve">MERITS AND DRAWBACKS OF THE UK </w:t>
      </w:r>
      <w:r w:rsidRPr="00111C88" w:rsidR="00087F86">
        <w:rPr>
          <w:rFonts w:ascii="Verdana" w:eastAsia="Times New Roman" w:hAnsi="Verdana" w:cs="Arial"/>
          <w:b/>
          <w:bCs/>
          <w:lang w:eastAsia="en-GB"/>
        </w:rPr>
        <w:t xml:space="preserve">GOVERNMENT’S </w:t>
      </w:r>
      <w:r w:rsidRPr="00111C88">
        <w:rPr>
          <w:rFonts w:ascii="Verdana" w:eastAsia="Times New Roman" w:hAnsi="Verdana" w:cs="Arial"/>
          <w:b/>
          <w:bCs/>
          <w:lang w:eastAsia="en-GB"/>
        </w:rPr>
        <w:t>2021 COMMAND PAPER</w:t>
      </w:r>
    </w:p>
    <w:p w:rsidR="00AE14F0" w:rsidRPr="00111C88" w:rsidP="00745DA5">
      <w:pPr>
        <w:spacing w:before="120" w:after="120" w:line="240" w:lineRule="auto"/>
        <w:ind w:right="425"/>
        <w:jc w:val="both"/>
        <w:rPr>
          <w:rFonts w:ascii="Verdana" w:eastAsia="Times New Roman" w:hAnsi="Verdana" w:cs="Arial"/>
          <w:b/>
          <w:bCs/>
          <w:lang w:eastAsia="en-GB"/>
        </w:rPr>
      </w:pPr>
    </w:p>
    <w:p w:rsidR="00572200"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The</w:t>
      </w:r>
      <w:r w:rsidRPr="00111C88" w:rsidR="00002BCA">
        <w:rPr>
          <w:rFonts w:ascii="Verdana" w:hAnsi="Verdana"/>
        </w:rPr>
        <w:t xml:space="preserve"> July 2021 Command Paper</w:t>
      </w:r>
      <w:r w:rsidRPr="00111C88" w:rsidR="00C203A7">
        <w:rPr>
          <w:rFonts w:ascii="Verdana" w:hAnsi="Verdana"/>
        </w:rPr>
        <w:t xml:space="preserve">, </w:t>
      </w:r>
      <w:r w:rsidRPr="00111C88" w:rsidR="00002BCA">
        <w:rPr>
          <w:rFonts w:ascii="Verdana" w:hAnsi="Verdana"/>
          <w:i/>
          <w:iCs/>
        </w:rPr>
        <w:t>Northern Ireland Protocol: the way forward</w:t>
      </w:r>
      <w:r w:rsidRPr="00111C88" w:rsidR="00002BCA">
        <w:rPr>
          <w:rFonts w:ascii="Verdana" w:hAnsi="Verdana"/>
        </w:rPr>
        <w:t>,</w:t>
      </w:r>
      <w:r w:rsidRPr="00111C88">
        <w:rPr>
          <w:rFonts w:ascii="Verdana" w:hAnsi="Verdana"/>
        </w:rPr>
        <w:t xml:space="preserve"> </w:t>
      </w:r>
      <w:r w:rsidRPr="00111C88" w:rsidR="0050223D">
        <w:rPr>
          <w:rFonts w:ascii="Verdana" w:hAnsi="Verdana"/>
        </w:rPr>
        <w:t>sets out</w:t>
      </w:r>
      <w:r w:rsidRPr="00111C88" w:rsidR="00974AEF">
        <w:rPr>
          <w:rFonts w:ascii="Verdana" w:hAnsi="Verdana"/>
        </w:rPr>
        <w:t xml:space="preserve"> </w:t>
      </w:r>
      <w:r w:rsidRPr="00111C88" w:rsidR="0050223D">
        <w:rPr>
          <w:rFonts w:ascii="Verdana" w:hAnsi="Verdana"/>
        </w:rPr>
        <w:t xml:space="preserve">the current </w:t>
      </w:r>
      <w:r w:rsidRPr="00111C88" w:rsidR="00974AEF">
        <w:rPr>
          <w:rFonts w:ascii="Verdana" w:hAnsi="Verdana"/>
        </w:rPr>
        <w:t xml:space="preserve">UK </w:t>
      </w:r>
      <w:r w:rsidRPr="00111C88" w:rsidR="006848C2">
        <w:rPr>
          <w:rFonts w:ascii="Verdana" w:hAnsi="Verdana"/>
        </w:rPr>
        <w:t xml:space="preserve">Government </w:t>
      </w:r>
      <w:r w:rsidRPr="00111C88" w:rsidR="00A846AB">
        <w:rPr>
          <w:rFonts w:ascii="Verdana" w:hAnsi="Verdana"/>
        </w:rPr>
        <w:t>position</w:t>
      </w:r>
      <w:r w:rsidRPr="00111C88" w:rsidR="00974AEF">
        <w:rPr>
          <w:rFonts w:ascii="Verdana" w:hAnsi="Verdana"/>
        </w:rPr>
        <w:t xml:space="preserve"> </w:t>
      </w:r>
      <w:r w:rsidRPr="00111C88" w:rsidR="0050223D">
        <w:rPr>
          <w:rFonts w:ascii="Verdana" w:hAnsi="Verdana"/>
        </w:rPr>
        <w:t>which</w:t>
      </w:r>
      <w:r w:rsidRPr="00111C88" w:rsidR="00974AEF">
        <w:rPr>
          <w:rFonts w:ascii="Verdana" w:hAnsi="Verdana"/>
        </w:rPr>
        <w:t xml:space="preserve"> </w:t>
      </w:r>
      <w:r w:rsidRPr="00111C88" w:rsidR="006848C2">
        <w:rPr>
          <w:rFonts w:ascii="Verdana" w:hAnsi="Verdana"/>
        </w:rPr>
        <w:t>maintains</w:t>
      </w:r>
      <w:r w:rsidRPr="00111C88" w:rsidR="00974AEF">
        <w:rPr>
          <w:rFonts w:ascii="Verdana" w:hAnsi="Verdana"/>
        </w:rPr>
        <w:t xml:space="preserve"> that the Protocol was </w:t>
      </w:r>
      <w:r w:rsidRPr="00111C88" w:rsidR="006848C2">
        <w:rPr>
          <w:rFonts w:ascii="Verdana" w:hAnsi="Verdana"/>
        </w:rPr>
        <w:t>concluded</w:t>
      </w:r>
      <w:r w:rsidRPr="00111C88" w:rsidR="00974AEF">
        <w:rPr>
          <w:rFonts w:ascii="Verdana" w:hAnsi="Verdana"/>
        </w:rPr>
        <w:t xml:space="preserve"> </w:t>
      </w:r>
      <w:r w:rsidRPr="00111C88" w:rsidR="006848C2">
        <w:rPr>
          <w:rFonts w:ascii="Verdana" w:hAnsi="Verdana"/>
        </w:rPr>
        <w:t>in October</w:t>
      </w:r>
      <w:r w:rsidRPr="00111C88" w:rsidR="00974AEF">
        <w:rPr>
          <w:rFonts w:ascii="Verdana" w:hAnsi="Verdana"/>
        </w:rPr>
        <w:t xml:space="preserve"> </w:t>
      </w:r>
      <w:r w:rsidRPr="00111C88" w:rsidR="006848C2">
        <w:rPr>
          <w:rFonts w:ascii="Verdana" w:hAnsi="Verdana"/>
        </w:rPr>
        <w:t xml:space="preserve">2019 </w:t>
      </w:r>
      <w:r w:rsidRPr="00111C88" w:rsidR="00974AEF">
        <w:rPr>
          <w:rFonts w:ascii="Verdana" w:hAnsi="Verdana"/>
        </w:rPr>
        <w:t xml:space="preserve">under </w:t>
      </w:r>
      <w:r w:rsidRPr="00111C88" w:rsidR="00D55D0B">
        <w:rPr>
          <w:rFonts w:ascii="Verdana" w:hAnsi="Verdana"/>
        </w:rPr>
        <w:t>circumstances in which the UK’s negotiating position was weak</w:t>
      </w:r>
      <w:r w:rsidRPr="00111C88" w:rsidR="00974AEF">
        <w:rPr>
          <w:rFonts w:ascii="Verdana" w:hAnsi="Verdana"/>
        </w:rPr>
        <w:t>,</w:t>
      </w:r>
      <w:r w:rsidRPr="00111C88" w:rsidR="00D55D0B">
        <w:rPr>
          <w:rFonts w:ascii="Verdana" w:hAnsi="Verdana"/>
        </w:rPr>
        <w:t xml:space="preserve"> involves a significant measure of EU ‘overreach’,</w:t>
      </w:r>
      <w:r w:rsidRPr="00111C88" w:rsidR="00974AEF">
        <w:rPr>
          <w:rFonts w:ascii="Verdana" w:hAnsi="Verdana"/>
        </w:rPr>
        <w:t xml:space="preserve"> and </w:t>
      </w:r>
      <w:r w:rsidRPr="00111C88" w:rsidR="006848C2">
        <w:rPr>
          <w:rFonts w:ascii="Verdana" w:hAnsi="Verdana"/>
        </w:rPr>
        <w:t>must thus</w:t>
      </w:r>
      <w:r w:rsidRPr="00111C88" w:rsidR="00974AEF">
        <w:rPr>
          <w:rFonts w:ascii="Verdana" w:hAnsi="Verdana"/>
        </w:rPr>
        <w:t xml:space="preserve"> be </w:t>
      </w:r>
      <w:r w:rsidRPr="00111C88" w:rsidR="00AA3032">
        <w:rPr>
          <w:rFonts w:ascii="Verdana" w:hAnsi="Verdana"/>
        </w:rPr>
        <w:t>revisited</w:t>
      </w:r>
      <w:r w:rsidRPr="00111C88" w:rsidR="00AE14F0">
        <w:rPr>
          <w:rFonts w:ascii="Verdana" w:hAnsi="Verdana"/>
        </w:rPr>
        <w:t>.</w:t>
      </w:r>
      <w:r>
        <w:rPr>
          <w:rStyle w:val="FootnoteReference"/>
          <w:rFonts w:ascii="Verdana" w:hAnsi="Verdana"/>
        </w:rPr>
        <w:footnoteReference w:id="2"/>
      </w:r>
    </w:p>
    <w:p w:rsidR="00C001FC"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The </w:t>
      </w:r>
      <w:r w:rsidRPr="00111C88" w:rsidR="000E211B">
        <w:rPr>
          <w:rFonts w:ascii="Verdana" w:hAnsi="Verdana"/>
        </w:rPr>
        <w:t xml:space="preserve">UK proposes an </w:t>
      </w:r>
      <w:r w:rsidRPr="00111C88">
        <w:rPr>
          <w:rFonts w:ascii="Verdana" w:hAnsi="Verdana"/>
        </w:rPr>
        <w:t>‘alternative way forward’</w:t>
      </w:r>
      <w:r w:rsidRPr="00111C88" w:rsidR="000E211B">
        <w:rPr>
          <w:rFonts w:ascii="Verdana" w:hAnsi="Verdana"/>
        </w:rPr>
        <w:t>, which</w:t>
      </w:r>
      <w:r w:rsidRPr="00111C88">
        <w:rPr>
          <w:rFonts w:ascii="Verdana" w:hAnsi="Verdana"/>
        </w:rPr>
        <w:t xml:space="preserve"> sets out three </w:t>
      </w:r>
      <w:r w:rsidRPr="00111C88">
        <w:rPr>
          <w:rFonts w:ascii="Verdana" w:hAnsi="Verdana"/>
        </w:rPr>
        <w:t xml:space="preserve">strands </w:t>
      </w:r>
      <w:r w:rsidRPr="00111C88" w:rsidR="00C203A7">
        <w:rPr>
          <w:rFonts w:ascii="Verdana" w:hAnsi="Verdana"/>
        </w:rPr>
        <w:t>on which</w:t>
      </w:r>
      <w:r w:rsidRPr="00111C88">
        <w:rPr>
          <w:rFonts w:ascii="Verdana" w:hAnsi="Verdana"/>
        </w:rPr>
        <w:t xml:space="preserve"> the UK would like to reopen negotiations</w:t>
      </w:r>
      <w:r w:rsidRPr="00111C88" w:rsidR="003101A4">
        <w:rPr>
          <w:rFonts w:ascii="Verdana" w:hAnsi="Verdana"/>
        </w:rPr>
        <w:t xml:space="preserve"> to establish a “new balance” in the Protocol’s operation</w:t>
      </w:r>
      <w:r w:rsidRPr="00111C88">
        <w:rPr>
          <w:rFonts w:ascii="Verdana" w:hAnsi="Verdana"/>
        </w:rPr>
        <w:t>. These are:</w:t>
      </w:r>
    </w:p>
    <w:p w:rsidR="00612119" w:rsidRPr="00111C88" w:rsidP="00474B69">
      <w:pPr>
        <w:pStyle w:val="ListParagraph"/>
        <w:numPr>
          <w:ilvl w:val="4"/>
          <w:numId w:val="17"/>
        </w:numPr>
        <w:spacing w:before="120" w:after="120"/>
        <w:ind w:left="709" w:right="425" w:hanging="425"/>
        <w:contextualSpacing w:val="0"/>
        <w:jc w:val="both"/>
        <w:rPr>
          <w:rFonts w:ascii="Verdana" w:hAnsi="Verdana"/>
        </w:rPr>
      </w:pPr>
      <w:r w:rsidRPr="00111C88">
        <w:rPr>
          <w:rFonts w:ascii="Verdana" w:hAnsi="Verdana"/>
        </w:rPr>
        <w:t>Tackling</w:t>
      </w:r>
      <w:r w:rsidRPr="00111C88" w:rsidR="00C001FC">
        <w:rPr>
          <w:rFonts w:ascii="Verdana" w:hAnsi="Verdana"/>
        </w:rPr>
        <w:t xml:space="preserve"> burdens on trade in goods within the UK while managing risks to the EU Single Market.</w:t>
      </w:r>
      <w:r>
        <w:rPr>
          <w:rStyle w:val="FootnoteReference"/>
          <w:rFonts w:ascii="Verdana" w:hAnsi="Verdana"/>
        </w:rPr>
        <w:footnoteReference w:id="3"/>
      </w:r>
    </w:p>
    <w:p w:rsidR="00D55D0B" w:rsidRPr="00111C88" w:rsidP="00474B69">
      <w:pPr>
        <w:pStyle w:val="ListParagraph"/>
        <w:numPr>
          <w:ilvl w:val="4"/>
          <w:numId w:val="17"/>
        </w:numPr>
        <w:tabs>
          <w:tab w:val="left" w:pos="709"/>
        </w:tabs>
        <w:spacing w:before="120" w:after="120"/>
        <w:ind w:left="709" w:right="425" w:hanging="425"/>
        <w:contextualSpacing w:val="0"/>
        <w:jc w:val="both"/>
        <w:rPr>
          <w:rFonts w:ascii="Verdana" w:hAnsi="Verdana"/>
        </w:rPr>
      </w:pPr>
      <w:r w:rsidRPr="00111C88">
        <w:rPr>
          <w:rFonts w:ascii="Verdana" w:hAnsi="Verdana"/>
        </w:rPr>
        <w:t>E</w:t>
      </w:r>
      <w:r w:rsidRPr="00111C88" w:rsidR="008138E6">
        <w:rPr>
          <w:rFonts w:ascii="Verdana" w:hAnsi="Verdana"/>
        </w:rPr>
        <w:t>nsur</w:t>
      </w:r>
      <w:r w:rsidRPr="00111C88">
        <w:rPr>
          <w:rFonts w:ascii="Verdana" w:hAnsi="Verdana"/>
        </w:rPr>
        <w:t>ing</w:t>
      </w:r>
      <w:r w:rsidRPr="00111C88" w:rsidR="008138E6">
        <w:rPr>
          <w:rFonts w:ascii="Verdana" w:hAnsi="Verdana"/>
        </w:rPr>
        <w:t xml:space="preserve"> that businesses and consumers in Northern Ireland can continue to have normal access to goods from the rest of the UK on which they have long relied.</w:t>
      </w:r>
      <w:r>
        <w:rPr>
          <w:rStyle w:val="FootnoteReference"/>
          <w:rFonts w:ascii="Verdana" w:hAnsi="Verdana"/>
        </w:rPr>
        <w:footnoteReference w:id="4"/>
      </w:r>
    </w:p>
    <w:p w:rsidR="00612119" w:rsidRPr="00111C88" w:rsidP="00474B69">
      <w:pPr>
        <w:pStyle w:val="ListParagraph"/>
        <w:numPr>
          <w:ilvl w:val="4"/>
          <w:numId w:val="17"/>
        </w:numPr>
        <w:tabs>
          <w:tab w:val="left" w:pos="851"/>
        </w:tabs>
        <w:spacing w:before="120" w:after="120"/>
        <w:ind w:left="709" w:right="425" w:hanging="425"/>
        <w:contextualSpacing w:val="0"/>
        <w:jc w:val="both"/>
        <w:rPr>
          <w:rFonts w:ascii="Verdana" w:hAnsi="Verdana"/>
        </w:rPr>
      </w:pPr>
      <w:r w:rsidRPr="00111C88">
        <w:rPr>
          <w:rFonts w:ascii="Verdana" w:hAnsi="Verdana"/>
        </w:rPr>
        <w:t>Normalising the ‘governance balance’ of the Protocol.</w:t>
      </w:r>
      <w:r>
        <w:rPr>
          <w:rStyle w:val="FootnoteReference"/>
          <w:rFonts w:ascii="Verdana" w:hAnsi="Verdana"/>
        </w:rPr>
        <w:footnoteReference w:id="5"/>
      </w:r>
    </w:p>
    <w:p w:rsidR="00D55D0B" w:rsidRPr="00111C88" w:rsidP="00745DA5">
      <w:pPr>
        <w:spacing w:before="120" w:after="120"/>
        <w:ind w:right="425"/>
        <w:jc w:val="both"/>
        <w:rPr>
          <w:rFonts w:ascii="Verdana" w:hAnsi="Verdana"/>
        </w:rPr>
      </w:pPr>
      <w:r w:rsidRPr="00111C88">
        <w:rPr>
          <w:rFonts w:ascii="Verdana" w:hAnsi="Verdana"/>
        </w:rPr>
        <w:t>The UK Government maintain</w:t>
      </w:r>
      <w:r w:rsidRPr="00111C88" w:rsidR="00C203A7">
        <w:rPr>
          <w:rFonts w:ascii="Verdana" w:hAnsi="Verdana"/>
        </w:rPr>
        <w:t>s</w:t>
      </w:r>
      <w:r w:rsidRPr="00111C88">
        <w:rPr>
          <w:rFonts w:ascii="Verdana" w:hAnsi="Verdana"/>
        </w:rPr>
        <w:t xml:space="preserve"> that this is not a reworking of the Protocol as a whole, but </w:t>
      </w:r>
      <w:r w:rsidRPr="00111C88" w:rsidR="00C203A7">
        <w:rPr>
          <w:rFonts w:ascii="Verdana" w:hAnsi="Verdana"/>
        </w:rPr>
        <w:t>these are</w:t>
      </w:r>
      <w:r w:rsidRPr="00111C88">
        <w:rPr>
          <w:rFonts w:ascii="Verdana" w:hAnsi="Verdana"/>
        </w:rPr>
        <w:t xml:space="preserve"> far</w:t>
      </w:r>
      <w:r w:rsidRPr="00111C88" w:rsidR="00242EA0">
        <w:rPr>
          <w:rFonts w:ascii="Verdana" w:hAnsi="Verdana"/>
        </w:rPr>
        <w:t>-</w:t>
      </w:r>
      <w:r w:rsidRPr="00111C88">
        <w:rPr>
          <w:rFonts w:ascii="Verdana" w:hAnsi="Verdana"/>
        </w:rPr>
        <w:t xml:space="preserve">reaching changes </w:t>
      </w:r>
      <w:r w:rsidRPr="00111C88" w:rsidR="006765F7">
        <w:rPr>
          <w:rFonts w:ascii="Verdana" w:hAnsi="Verdana"/>
        </w:rPr>
        <w:t xml:space="preserve">which </w:t>
      </w:r>
      <w:r w:rsidRPr="00111C88">
        <w:rPr>
          <w:rFonts w:ascii="Verdana" w:hAnsi="Verdana"/>
        </w:rPr>
        <w:t xml:space="preserve">would not be achievable </w:t>
      </w:r>
      <w:r w:rsidRPr="00111C88" w:rsidR="006765F7">
        <w:rPr>
          <w:rFonts w:ascii="Verdana" w:hAnsi="Verdana"/>
        </w:rPr>
        <w:t xml:space="preserve">within the present terms of the Protocol. As such, they require a renegotiation of </w:t>
      </w:r>
      <w:r w:rsidRPr="00111C88" w:rsidR="00C203A7">
        <w:rPr>
          <w:rFonts w:ascii="Verdana" w:hAnsi="Verdana"/>
        </w:rPr>
        <w:t>its</w:t>
      </w:r>
      <w:r w:rsidRPr="00111C88" w:rsidR="006765F7">
        <w:rPr>
          <w:rFonts w:ascii="Verdana" w:hAnsi="Verdana"/>
        </w:rPr>
        <w:t xml:space="preserve"> terms, and </w:t>
      </w:r>
      <w:r w:rsidRPr="00111C88" w:rsidR="00C203A7">
        <w:rPr>
          <w:rFonts w:ascii="Verdana" w:hAnsi="Verdana"/>
        </w:rPr>
        <w:t>consequently</w:t>
      </w:r>
      <w:r w:rsidRPr="00111C88" w:rsidR="006765F7">
        <w:rPr>
          <w:rFonts w:ascii="Verdana" w:hAnsi="Verdana"/>
        </w:rPr>
        <w:t xml:space="preserve"> the EU approval processes this would entail. </w:t>
      </w:r>
      <w:r w:rsidRPr="00111C88">
        <w:rPr>
          <w:rFonts w:ascii="Verdana" w:hAnsi="Verdana"/>
        </w:rPr>
        <w:t xml:space="preserve"> </w:t>
      </w:r>
    </w:p>
    <w:p w:rsidR="00A86492" w:rsidRPr="00111C88" w:rsidP="00745DA5">
      <w:pPr>
        <w:pStyle w:val="ListParagraph"/>
        <w:spacing w:before="120" w:after="120"/>
        <w:ind w:left="0" w:right="425"/>
        <w:contextualSpacing w:val="0"/>
        <w:rPr>
          <w:rFonts w:ascii="Verdana" w:hAnsi="Verdana"/>
        </w:rPr>
      </w:pPr>
    </w:p>
    <w:p w:rsidR="008940A3" w:rsidRPr="00111C88" w:rsidP="00745DA5">
      <w:pPr>
        <w:spacing w:before="120" w:after="120"/>
        <w:ind w:right="425"/>
        <w:jc w:val="both"/>
        <w:rPr>
          <w:rFonts w:ascii="Verdana" w:hAnsi="Verdana"/>
          <w:b/>
          <w:bCs/>
        </w:rPr>
      </w:pPr>
      <w:r w:rsidRPr="00111C88">
        <w:rPr>
          <w:rFonts w:ascii="Verdana" w:hAnsi="Verdana"/>
          <w:b/>
          <w:bCs/>
        </w:rPr>
        <w:t>BURDENS ON TRADE IN GOODS</w:t>
      </w:r>
    </w:p>
    <w:p w:rsidR="002025CB" w:rsidRPr="00111C88" w:rsidP="00745DA5">
      <w:pPr>
        <w:spacing w:before="120" w:after="120"/>
        <w:ind w:right="425"/>
        <w:jc w:val="both"/>
        <w:rPr>
          <w:rFonts w:ascii="Verdana" w:hAnsi="Verdana"/>
          <w:b/>
          <w:bCs/>
        </w:rPr>
      </w:pPr>
    </w:p>
    <w:p w:rsidR="00002BCA"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On </w:t>
      </w:r>
      <w:r w:rsidRPr="00111C88" w:rsidR="008940A3">
        <w:rPr>
          <w:rFonts w:ascii="Verdana" w:hAnsi="Verdana"/>
          <w:b/>
          <w:bCs/>
        </w:rPr>
        <w:t>customs</w:t>
      </w:r>
      <w:r w:rsidRPr="00111C88">
        <w:rPr>
          <w:rFonts w:ascii="Verdana" w:hAnsi="Verdana"/>
        </w:rPr>
        <w:t>, the Protocol currently applies two sets of rules to products originating in G</w:t>
      </w:r>
      <w:r w:rsidRPr="00111C88" w:rsidR="00181BEA">
        <w:rPr>
          <w:rFonts w:ascii="Verdana" w:hAnsi="Verdana"/>
        </w:rPr>
        <w:t xml:space="preserve">reat </w:t>
      </w:r>
      <w:r w:rsidRPr="00111C88">
        <w:rPr>
          <w:rFonts w:ascii="Verdana" w:hAnsi="Verdana"/>
        </w:rPr>
        <w:t>B</w:t>
      </w:r>
      <w:r w:rsidRPr="00111C88" w:rsidR="00181BEA">
        <w:rPr>
          <w:rFonts w:ascii="Verdana" w:hAnsi="Verdana"/>
        </w:rPr>
        <w:t>ritain</w:t>
      </w:r>
      <w:r w:rsidRPr="00111C88">
        <w:rPr>
          <w:rFonts w:ascii="Verdana" w:hAnsi="Verdana"/>
        </w:rPr>
        <w:t xml:space="preserve">. Where these are </w:t>
      </w:r>
      <w:r w:rsidRPr="00111C88" w:rsidR="00FA55B2">
        <w:rPr>
          <w:rFonts w:ascii="Verdana" w:hAnsi="Verdana"/>
        </w:rPr>
        <w:t>“</w:t>
      </w:r>
      <w:r w:rsidRPr="00111C88">
        <w:rPr>
          <w:rFonts w:ascii="Verdana" w:hAnsi="Verdana"/>
        </w:rPr>
        <w:t>at risk</w:t>
      </w:r>
      <w:r w:rsidRPr="00111C88" w:rsidR="00FA55B2">
        <w:rPr>
          <w:rFonts w:ascii="Verdana" w:hAnsi="Verdana"/>
        </w:rPr>
        <w:t>”</w:t>
      </w:r>
      <w:r w:rsidRPr="00111C88">
        <w:rPr>
          <w:rFonts w:ascii="Verdana" w:hAnsi="Verdana"/>
        </w:rPr>
        <w:t xml:space="preserve"> of crossing into Ireland, they </w:t>
      </w:r>
      <w:r w:rsidRPr="00111C88" w:rsidR="00F80DF8">
        <w:rPr>
          <w:rFonts w:ascii="Verdana" w:hAnsi="Verdana"/>
        </w:rPr>
        <w:t xml:space="preserve">have to comply with the EU’s Customs Code, </w:t>
      </w:r>
      <w:r w:rsidRPr="00111C88" w:rsidR="00FA55B2">
        <w:rPr>
          <w:rFonts w:ascii="Verdana" w:hAnsi="Verdana"/>
        </w:rPr>
        <w:t>under</w:t>
      </w:r>
      <w:r w:rsidRPr="00111C88" w:rsidR="00F80DF8">
        <w:rPr>
          <w:rFonts w:ascii="Verdana" w:hAnsi="Verdana"/>
        </w:rPr>
        <w:t xml:space="preserve"> Article </w:t>
      </w:r>
      <w:r w:rsidRPr="00111C88" w:rsidR="00FA55B2">
        <w:rPr>
          <w:rFonts w:ascii="Verdana" w:hAnsi="Verdana"/>
        </w:rPr>
        <w:t>5</w:t>
      </w:r>
      <w:r w:rsidRPr="00111C88" w:rsidR="00F80DF8">
        <w:rPr>
          <w:rFonts w:ascii="Verdana" w:hAnsi="Verdana"/>
        </w:rPr>
        <w:t xml:space="preserve"> of the Protocol. </w:t>
      </w:r>
      <w:r w:rsidRPr="00111C88" w:rsidR="009A6080">
        <w:rPr>
          <w:rFonts w:ascii="Verdana" w:hAnsi="Verdana"/>
        </w:rPr>
        <w:t xml:space="preserve">They </w:t>
      </w:r>
      <w:r w:rsidRPr="00111C88" w:rsidR="00FA55B2">
        <w:rPr>
          <w:rFonts w:ascii="Verdana" w:hAnsi="Verdana"/>
        </w:rPr>
        <w:t xml:space="preserve">must </w:t>
      </w:r>
      <w:r w:rsidRPr="00111C88" w:rsidR="009A6080">
        <w:rPr>
          <w:rFonts w:ascii="Verdana" w:hAnsi="Verdana"/>
        </w:rPr>
        <w:t>also be checked for regulatory compliance</w:t>
      </w:r>
      <w:r w:rsidRPr="00111C88" w:rsidR="005E04F6">
        <w:rPr>
          <w:rFonts w:ascii="Verdana" w:hAnsi="Verdana"/>
        </w:rPr>
        <w:t xml:space="preserve"> with EU </w:t>
      </w:r>
      <w:r w:rsidRPr="00111C88" w:rsidR="00FA55B2">
        <w:rPr>
          <w:rFonts w:ascii="Verdana" w:hAnsi="Verdana"/>
        </w:rPr>
        <w:t>Single M</w:t>
      </w:r>
      <w:r w:rsidRPr="00111C88" w:rsidR="005E04F6">
        <w:rPr>
          <w:rFonts w:ascii="Verdana" w:hAnsi="Verdana"/>
        </w:rPr>
        <w:t xml:space="preserve">arket law as they enter what </w:t>
      </w:r>
      <w:r w:rsidRPr="00111C88" w:rsidR="005E04F6">
        <w:rPr>
          <w:rFonts w:ascii="Verdana" w:hAnsi="Verdana"/>
        </w:rPr>
        <w:t xml:space="preserve">is part of the EU’s market territory. </w:t>
      </w:r>
      <w:r w:rsidRPr="00111C88" w:rsidR="00F80DF8">
        <w:rPr>
          <w:rFonts w:ascii="Verdana" w:hAnsi="Verdana"/>
        </w:rPr>
        <w:t xml:space="preserve">The Joint Committee has been </w:t>
      </w:r>
      <w:r w:rsidRPr="00111C88" w:rsidR="00E03A66">
        <w:rPr>
          <w:rFonts w:ascii="Verdana" w:hAnsi="Verdana"/>
        </w:rPr>
        <w:t xml:space="preserve">tasked with </w:t>
      </w:r>
      <w:r w:rsidRPr="00111C88" w:rsidR="00FA55B2">
        <w:rPr>
          <w:rFonts w:ascii="Verdana" w:hAnsi="Verdana"/>
        </w:rPr>
        <w:t>detailing</w:t>
      </w:r>
      <w:r w:rsidRPr="00111C88" w:rsidR="00E03A66">
        <w:rPr>
          <w:rFonts w:ascii="Verdana" w:hAnsi="Verdana"/>
        </w:rPr>
        <w:t xml:space="preserve"> what “at risk” means in this context, and the UK is dissatisfied with the current </w:t>
      </w:r>
      <w:r w:rsidRPr="00111C88" w:rsidR="00FA55B2">
        <w:rPr>
          <w:rFonts w:ascii="Verdana" w:hAnsi="Verdana"/>
        </w:rPr>
        <w:t>approach</w:t>
      </w:r>
      <w:r w:rsidRPr="00111C88" w:rsidR="00E03A66">
        <w:rPr>
          <w:rFonts w:ascii="Verdana" w:hAnsi="Verdana"/>
        </w:rPr>
        <w:t>.  Its alternative proposal is one of self-responsibility</w:t>
      </w:r>
      <w:r w:rsidRPr="00111C88" w:rsidR="00FA55B2">
        <w:rPr>
          <w:rFonts w:ascii="Verdana" w:hAnsi="Verdana"/>
        </w:rPr>
        <w:t xml:space="preserve">, by which </w:t>
      </w:r>
      <w:r w:rsidRPr="00111C88" w:rsidR="00E03A66">
        <w:rPr>
          <w:rFonts w:ascii="Verdana" w:hAnsi="Verdana"/>
        </w:rPr>
        <w:t xml:space="preserve">traders declare if their own goods are “at risk” – and </w:t>
      </w:r>
      <w:r w:rsidRPr="00111C88" w:rsidR="00FA55B2">
        <w:rPr>
          <w:rFonts w:ascii="Verdana" w:hAnsi="Verdana"/>
        </w:rPr>
        <w:t xml:space="preserve">thereby </w:t>
      </w:r>
      <w:r w:rsidRPr="00111C88" w:rsidR="00E03A66">
        <w:rPr>
          <w:rFonts w:ascii="Verdana" w:hAnsi="Verdana"/>
        </w:rPr>
        <w:t>only apply customs processes to those goods declared to be destined for the EU.</w:t>
      </w:r>
      <w:r>
        <w:rPr>
          <w:rStyle w:val="FootnoteReference"/>
          <w:rFonts w:ascii="Verdana" w:hAnsi="Verdana"/>
        </w:rPr>
        <w:footnoteReference w:id="6"/>
      </w:r>
      <w:r w:rsidRPr="00111C88" w:rsidR="00E03A66">
        <w:rPr>
          <w:rFonts w:ascii="Verdana" w:hAnsi="Verdana"/>
        </w:rPr>
        <w:t xml:space="preserve"> </w:t>
      </w:r>
    </w:p>
    <w:p w:rsidR="00572200"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This proposal </w:t>
      </w:r>
      <w:r w:rsidRPr="00111C88" w:rsidR="00C176F4">
        <w:rPr>
          <w:rFonts w:ascii="Verdana" w:hAnsi="Verdana"/>
        </w:rPr>
        <w:t xml:space="preserve">requires </w:t>
      </w:r>
      <w:r w:rsidRPr="00111C88" w:rsidR="00FA55B2">
        <w:rPr>
          <w:rFonts w:ascii="Verdana" w:hAnsi="Verdana"/>
        </w:rPr>
        <w:t>a considerable measure of trust</w:t>
      </w:r>
      <w:r w:rsidRPr="00111C88" w:rsidR="00C176F4">
        <w:rPr>
          <w:rFonts w:ascii="Verdana" w:hAnsi="Verdana"/>
        </w:rPr>
        <w:t xml:space="preserve"> on the part of the EU, as it </w:t>
      </w:r>
      <w:r w:rsidRPr="00111C88" w:rsidR="002E1AA9">
        <w:rPr>
          <w:rFonts w:ascii="Verdana" w:hAnsi="Verdana"/>
        </w:rPr>
        <w:t>assumes that two things will happen</w:t>
      </w:r>
      <w:r w:rsidRPr="00111C88" w:rsidR="00C176F4">
        <w:rPr>
          <w:rFonts w:ascii="Verdana" w:hAnsi="Verdana"/>
        </w:rPr>
        <w:t xml:space="preserve">: first, that all producers will label their goods honestly; and second, that all producers </w:t>
      </w:r>
      <w:r w:rsidRPr="00111C88" w:rsidR="003F3DD7">
        <w:rPr>
          <w:rFonts w:ascii="Verdana" w:hAnsi="Verdana"/>
        </w:rPr>
        <w:t xml:space="preserve">and traders </w:t>
      </w:r>
      <w:r w:rsidRPr="00111C88" w:rsidR="00C176F4">
        <w:rPr>
          <w:rFonts w:ascii="Verdana" w:hAnsi="Verdana"/>
        </w:rPr>
        <w:t xml:space="preserve">will know the end destination of </w:t>
      </w:r>
      <w:r w:rsidRPr="00111C88" w:rsidR="003F3DD7">
        <w:rPr>
          <w:rFonts w:ascii="Verdana" w:hAnsi="Verdana"/>
        </w:rPr>
        <w:t>such good</w:t>
      </w:r>
      <w:r w:rsidRPr="00111C88" w:rsidR="00C176F4">
        <w:rPr>
          <w:rFonts w:ascii="Verdana" w:hAnsi="Verdana"/>
        </w:rPr>
        <w:t>s.</w:t>
      </w:r>
      <w:r w:rsidRPr="00111C88" w:rsidR="00D27893">
        <w:rPr>
          <w:rFonts w:ascii="Verdana" w:hAnsi="Verdana"/>
        </w:rPr>
        <w:t xml:space="preserve"> </w:t>
      </w:r>
      <w:r w:rsidRPr="00111C88" w:rsidR="00F018D8">
        <w:rPr>
          <w:rFonts w:ascii="Verdana" w:hAnsi="Verdana"/>
        </w:rPr>
        <w:t xml:space="preserve">The EU is already trusting the UK to manage these processes at this frontier of the Single Market. </w:t>
      </w:r>
      <w:r w:rsidRPr="00111C88" w:rsidR="00D27893">
        <w:rPr>
          <w:rFonts w:ascii="Verdana" w:hAnsi="Verdana"/>
        </w:rPr>
        <w:t>The suggested UK mitigation for this ‘</w:t>
      </w:r>
      <w:r w:rsidRPr="00111C88" w:rsidR="00EB0532">
        <w:rPr>
          <w:rFonts w:ascii="Verdana" w:hAnsi="Verdana"/>
        </w:rPr>
        <w:t>honour</w:t>
      </w:r>
      <w:r w:rsidRPr="00111C88" w:rsidR="00D27893">
        <w:rPr>
          <w:rFonts w:ascii="Verdana" w:hAnsi="Verdana"/>
        </w:rPr>
        <w:t xml:space="preserve">-based’ self-certification regime </w:t>
      </w:r>
      <w:r w:rsidRPr="00111C88" w:rsidR="004F5FD9">
        <w:rPr>
          <w:rFonts w:ascii="Verdana" w:hAnsi="Verdana"/>
        </w:rPr>
        <w:t>is “the requirement for all such traders to register in a light-touch scheme”</w:t>
      </w:r>
      <w:r w:rsidRPr="00111C88" w:rsidR="005E04F6">
        <w:rPr>
          <w:rFonts w:ascii="Verdana" w:hAnsi="Verdana"/>
        </w:rPr>
        <w:t xml:space="preserve"> </w:t>
      </w:r>
      <w:r w:rsidRPr="00111C88" w:rsidR="00EB0532">
        <w:rPr>
          <w:rFonts w:ascii="Verdana" w:hAnsi="Verdana"/>
        </w:rPr>
        <w:t>that involves transparency of supply chains</w:t>
      </w:r>
      <w:r w:rsidRPr="00111C88" w:rsidR="004F5FD9">
        <w:rPr>
          <w:rFonts w:ascii="Verdana" w:hAnsi="Verdana"/>
        </w:rPr>
        <w:t>,</w:t>
      </w:r>
      <w:r w:rsidRPr="00111C88" w:rsidR="00EB0532">
        <w:rPr>
          <w:rFonts w:ascii="Verdana" w:hAnsi="Verdana"/>
        </w:rPr>
        <w:t xml:space="preserve"> but</w:t>
      </w:r>
      <w:r w:rsidRPr="00111C88" w:rsidR="004F5FD9">
        <w:rPr>
          <w:rFonts w:ascii="Verdana" w:hAnsi="Verdana"/>
        </w:rPr>
        <w:t xml:space="preserve"> which is not </w:t>
      </w:r>
      <w:r w:rsidRPr="00111C88" w:rsidR="002A1EA8">
        <w:rPr>
          <w:rFonts w:ascii="Verdana" w:hAnsi="Verdana"/>
        </w:rPr>
        <w:t>further detailed</w:t>
      </w:r>
      <w:r w:rsidRPr="00111C88" w:rsidR="004F5FD9">
        <w:rPr>
          <w:rFonts w:ascii="Verdana" w:hAnsi="Verdana"/>
        </w:rPr>
        <w:t>.</w:t>
      </w:r>
      <w:r>
        <w:rPr>
          <w:rStyle w:val="FootnoteReference"/>
          <w:rFonts w:ascii="Verdana" w:hAnsi="Verdana"/>
        </w:rPr>
        <w:footnoteReference w:id="7"/>
      </w:r>
      <w:r w:rsidRPr="00111C88" w:rsidR="002E1AA9">
        <w:rPr>
          <w:rFonts w:ascii="Verdana" w:hAnsi="Verdana"/>
        </w:rPr>
        <w:t xml:space="preserve"> Without </w:t>
      </w:r>
      <w:r w:rsidRPr="00111C88" w:rsidR="002A1EA8">
        <w:rPr>
          <w:rFonts w:ascii="Verdana" w:hAnsi="Verdana"/>
        </w:rPr>
        <w:t>a compelling account of</w:t>
      </w:r>
      <w:r w:rsidRPr="00111C88" w:rsidR="002E1AA9">
        <w:rPr>
          <w:rFonts w:ascii="Verdana" w:hAnsi="Verdana"/>
        </w:rPr>
        <w:t xml:space="preserve"> how this </w:t>
      </w:r>
      <w:r w:rsidRPr="00111C88" w:rsidR="00F018D8">
        <w:rPr>
          <w:rFonts w:ascii="Verdana" w:hAnsi="Verdana"/>
        </w:rPr>
        <w:t xml:space="preserve">proposal </w:t>
      </w:r>
      <w:r w:rsidRPr="00111C88" w:rsidR="002E1AA9">
        <w:rPr>
          <w:rFonts w:ascii="Verdana" w:hAnsi="Verdana"/>
        </w:rPr>
        <w:t xml:space="preserve">would result in </w:t>
      </w:r>
      <w:r w:rsidRPr="00111C88" w:rsidR="008940A3">
        <w:rPr>
          <w:rFonts w:ascii="Verdana" w:hAnsi="Verdana"/>
        </w:rPr>
        <w:t xml:space="preserve">equivalent </w:t>
      </w:r>
      <w:r w:rsidRPr="00111C88" w:rsidR="002E1AA9">
        <w:rPr>
          <w:rFonts w:ascii="Verdana" w:hAnsi="Verdana"/>
        </w:rPr>
        <w:t>oversight and enforcement of the EU’s external border</w:t>
      </w:r>
      <w:r w:rsidRPr="00111C88" w:rsidR="008940A3">
        <w:rPr>
          <w:rFonts w:ascii="Verdana" w:hAnsi="Verdana"/>
        </w:rPr>
        <w:t xml:space="preserve"> </w:t>
      </w:r>
      <w:r w:rsidRPr="00111C88" w:rsidR="00F018D8">
        <w:rPr>
          <w:rFonts w:ascii="Verdana" w:hAnsi="Verdana"/>
        </w:rPr>
        <w:t>to the</w:t>
      </w:r>
      <w:r w:rsidRPr="00111C88" w:rsidR="008940A3">
        <w:rPr>
          <w:rFonts w:ascii="Verdana" w:hAnsi="Verdana"/>
        </w:rPr>
        <w:t xml:space="preserve"> current Protocol</w:t>
      </w:r>
      <w:r w:rsidRPr="00111C88" w:rsidR="002E1AA9">
        <w:rPr>
          <w:rFonts w:ascii="Verdana" w:hAnsi="Verdana"/>
        </w:rPr>
        <w:t xml:space="preserve">, </w:t>
      </w:r>
      <w:r w:rsidRPr="00111C88" w:rsidR="00F018D8">
        <w:rPr>
          <w:rFonts w:ascii="Verdana" w:hAnsi="Verdana"/>
        </w:rPr>
        <w:t>it will not be regarded by the EU as a</w:t>
      </w:r>
      <w:r w:rsidRPr="00111C88" w:rsidR="002E1AA9">
        <w:rPr>
          <w:rFonts w:ascii="Verdana" w:hAnsi="Verdana"/>
        </w:rPr>
        <w:t xml:space="preserve"> </w:t>
      </w:r>
      <w:r w:rsidRPr="00111C88" w:rsidR="001B4AA4">
        <w:rPr>
          <w:rFonts w:ascii="Verdana" w:hAnsi="Verdana"/>
        </w:rPr>
        <w:t xml:space="preserve">workable </w:t>
      </w:r>
      <w:r w:rsidRPr="00111C88" w:rsidR="00F018D8">
        <w:rPr>
          <w:rFonts w:ascii="Verdana" w:hAnsi="Verdana"/>
        </w:rPr>
        <w:t>alternative</w:t>
      </w:r>
      <w:r w:rsidRPr="00111C88" w:rsidR="002E1AA9">
        <w:rPr>
          <w:rFonts w:ascii="Verdana" w:hAnsi="Verdana"/>
        </w:rPr>
        <w:t>.</w:t>
      </w:r>
    </w:p>
    <w:p w:rsidR="00572200" w:rsidRPr="00111C88" w:rsidP="002A1EA8">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On </w:t>
      </w:r>
      <w:r w:rsidRPr="00111C88">
        <w:rPr>
          <w:rFonts w:ascii="Verdana" w:hAnsi="Verdana"/>
          <w:b/>
          <w:bCs/>
        </w:rPr>
        <w:t xml:space="preserve">SPS </w:t>
      </w:r>
      <w:r w:rsidRPr="00111C88">
        <w:rPr>
          <w:rFonts w:ascii="Verdana" w:hAnsi="Verdana"/>
        </w:rPr>
        <w:t>measure</w:t>
      </w:r>
      <w:r w:rsidRPr="00111C88" w:rsidR="000912C7">
        <w:rPr>
          <w:rFonts w:ascii="Verdana" w:hAnsi="Verdana"/>
        </w:rPr>
        <w:t>s</w:t>
      </w:r>
      <w:r w:rsidRPr="00111C88">
        <w:rPr>
          <w:rFonts w:ascii="Verdana" w:hAnsi="Verdana"/>
        </w:rPr>
        <w:t xml:space="preserve">, the Command </w:t>
      </w:r>
      <w:r w:rsidRPr="00111C88" w:rsidR="002A1EA8">
        <w:rPr>
          <w:rFonts w:ascii="Verdana" w:hAnsi="Verdana"/>
        </w:rPr>
        <w:t>P</w:t>
      </w:r>
      <w:r w:rsidRPr="00111C88">
        <w:rPr>
          <w:rFonts w:ascii="Verdana" w:hAnsi="Verdana"/>
        </w:rPr>
        <w:t>aper proposes a similar solution</w:t>
      </w:r>
      <w:r w:rsidRPr="00111C88" w:rsidR="00701084">
        <w:rPr>
          <w:rFonts w:ascii="Verdana" w:hAnsi="Verdana"/>
        </w:rPr>
        <w:t xml:space="preserve">: self-certification on the part of suppliers, with the full SPS regime only applying to goods going to Ireland, backed up by “risk-based and intelligence-led controls on consignments” – but negating “certificates and checks” for products that are not “intended” to leave </w:t>
      </w:r>
      <w:r w:rsidRPr="00111C88" w:rsidR="003D6D21">
        <w:rPr>
          <w:rFonts w:ascii="Verdana" w:hAnsi="Verdana"/>
        </w:rPr>
        <w:t xml:space="preserve">Northern </w:t>
      </w:r>
      <w:r w:rsidRPr="00111C88" w:rsidR="00701084">
        <w:rPr>
          <w:rFonts w:ascii="Verdana" w:hAnsi="Verdana"/>
        </w:rPr>
        <w:t>Ireland.</w:t>
      </w:r>
      <w:r>
        <w:rPr>
          <w:rStyle w:val="FootnoteReference"/>
          <w:rFonts w:ascii="Verdana" w:hAnsi="Verdana"/>
        </w:rPr>
        <w:footnoteReference w:id="8"/>
      </w:r>
      <w:r w:rsidRPr="00111C88" w:rsidR="002A1EA8">
        <w:rPr>
          <w:rFonts w:ascii="Verdana" w:hAnsi="Verdana"/>
        </w:rPr>
        <w:t xml:space="preserve"> </w:t>
      </w:r>
      <w:r w:rsidRPr="00111C88" w:rsidR="00701084">
        <w:rPr>
          <w:rFonts w:ascii="Verdana" w:hAnsi="Verdana"/>
        </w:rPr>
        <w:t xml:space="preserve">The key word there is “intended” </w:t>
      </w:r>
      <w:r w:rsidRPr="00111C88" w:rsidR="003D6D21">
        <w:rPr>
          <w:rFonts w:ascii="Verdana" w:hAnsi="Verdana"/>
        </w:rPr>
        <w:t xml:space="preserve">– this </w:t>
      </w:r>
      <w:r w:rsidRPr="00111C88" w:rsidR="00D77970">
        <w:rPr>
          <w:rFonts w:ascii="Verdana" w:hAnsi="Verdana"/>
        </w:rPr>
        <w:t>is unlikely to be</w:t>
      </w:r>
      <w:r w:rsidRPr="00111C88" w:rsidR="003D6D21">
        <w:rPr>
          <w:rFonts w:ascii="Verdana" w:hAnsi="Verdana"/>
        </w:rPr>
        <w:t xml:space="preserve"> enough assurance for the EU, which will want regulatory controls on all goods that </w:t>
      </w:r>
      <w:r w:rsidRPr="00111C88" w:rsidR="0043575C">
        <w:rPr>
          <w:rFonts w:ascii="Verdana" w:hAnsi="Verdana"/>
        </w:rPr>
        <w:t>are actually exported</w:t>
      </w:r>
      <w:r w:rsidRPr="00111C88" w:rsidR="003D6D21">
        <w:rPr>
          <w:rFonts w:ascii="Verdana" w:hAnsi="Verdana"/>
        </w:rPr>
        <w:t xml:space="preserve"> to Ireland, </w:t>
      </w:r>
      <w:r w:rsidRPr="00111C88" w:rsidR="0043575C">
        <w:rPr>
          <w:rFonts w:ascii="Verdana" w:hAnsi="Verdana"/>
        </w:rPr>
        <w:t>and not</w:t>
      </w:r>
      <w:r w:rsidRPr="00111C88" w:rsidR="003D6D21">
        <w:rPr>
          <w:rFonts w:ascii="Verdana" w:hAnsi="Verdana"/>
        </w:rPr>
        <w:t xml:space="preserve"> only on goods that </w:t>
      </w:r>
      <w:r w:rsidRPr="00111C88" w:rsidR="0043575C">
        <w:rPr>
          <w:rFonts w:ascii="Verdana" w:hAnsi="Verdana"/>
        </w:rPr>
        <w:t>have been</w:t>
      </w:r>
      <w:r w:rsidRPr="00111C88" w:rsidR="003D6D21">
        <w:rPr>
          <w:rFonts w:ascii="Verdana" w:hAnsi="Verdana"/>
        </w:rPr>
        <w:t xml:space="preserve"> self-declared as </w:t>
      </w:r>
      <w:r w:rsidRPr="00111C88" w:rsidR="0043575C">
        <w:rPr>
          <w:rFonts w:ascii="Verdana" w:hAnsi="Verdana"/>
        </w:rPr>
        <w:t>intended</w:t>
      </w:r>
      <w:r w:rsidRPr="00111C88" w:rsidR="003D6D21">
        <w:rPr>
          <w:rFonts w:ascii="Verdana" w:hAnsi="Verdana"/>
        </w:rPr>
        <w:t xml:space="preserve"> to go to Northern Ireland.</w:t>
      </w:r>
    </w:p>
    <w:p w:rsidR="00572200" w:rsidRPr="00111C88" w:rsidP="0043575C">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The </w:t>
      </w:r>
      <w:r w:rsidRPr="00111C88" w:rsidR="000912C7">
        <w:rPr>
          <w:rFonts w:ascii="Verdana" w:hAnsi="Verdana"/>
        </w:rPr>
        <w:t>Command Paper also specifically addresses the cross-border movement of live animals, and he</w:t>
      </w:r>
      <w:r w:rsidRPr="00111C88" w:rsidR="00D30747">
        <w:rPr>
          <w:rFonts w:ascii="Verdana" w:hAnsi="Verdana"/>
        </w:rPr>
        <w:t>re agrees that the pre-Brexit EU system was appropriate – but effectively asking for mutual recognition of the UK and EU SPS regulatory systems now that the UK has left the EU</w:t>
      </w:r>
      <w:r w:rsidRPr="00111C88" w:rsidR="00173765">
        <w:rPr>
          <w:rFonts w:ascii="Verdana" w:hAnsi="Verdana"/>
        </w:rPr>
        <w:t xml:space="preserve">, with product-specific exceptions to this </w:t>
      </w:r>
      <w:r w:rsidRPr="00111C88" w:rsidR="0043575C">
        <w:rPr>
          <w:rFonts w:ascii="Verdana" w:hAnsi="Verdana"/>
        </w:rPr>
        <w:t>arrangement</w:t>
      </w:r>
      <w:r w:rsidRPr="00111C88" w:rsidR="00173765">
        <w:rPr>
          <w:rFonts w:ascii="Verdana" w:hAnsi="Verdana"/>
        </w:rPr>
        <w:t xml:space="preserve"> for high-risk products</w:t>
      </w:r>
      <w:r w:rsidRPr="00111C88" w:rsidR="00D30747">
        <w:rPr>
          <w:rFonts w:ascii="Verdana" w:hAnsi="Verdana"/>
        </w:rPr>
        <w:t>.</w:t>
      </w:r>
      <w:r w:rsidRPr="00111C88" w:rsidR="001B795C">
        <w:rPr>
          <w:rFonts w:ascii="Verdana" w:hAnsi="Verdana"/>
        </w:rPr>
        <w:t xml:space="preserve"> This can be compared to the agreement the EU has with New Zealand on </w:t>
      </w:r>
      <w:r w:rsidRPr="00111C88" w:rsidR="00B40DDD">
        <w:rPr>
          <w:rFonts w:ascii="Verdana" w:hAnsi="Verdana"/>
        </w:rPr>
        <w:t>food safety standards.</w:t>
      </w:r>
      <w:r>
        <w:rPr>
          <w:rStyle w:val="FootnoteReference"/>
          <w:rFonts w:ascii="Verdana" w:hAnsi="Verdana"/>
        </w:rPr>
        <w:footnoteReference w:id="9"/>
      </w:r>
      <w:r w:rsidRPr="00111C88" w:rsidR="0043575C">
        <w:rPr>
          <w:rFonts w:ascii="Verdana" w:hAnsi="Verdana"/>
        </w:rPr>
        <w:t xml:space="preserve"> </w:t>
      </w:r>
      <w:r w:rsidRPr="00111C88" w:rsidR="00B40DDD">
        <w:rPr>
          <w:rFonts w:ascii="Verdana" w:hAnsi="Verdana"/>
        </w:rPr>
        <w:t xml:space="preserve">The issue with this New Zealand-style approach is that it does not actually reduce checks to the extent that the Command Paper proposes, as was confirmed by </w:t>
      </w:r>
      <w:r w:rsidRPr="00111C88" w:rsidR="00FF1CF9">
        <w:rPr>
          <w:rFonts w:ascii="Verdana" w:hAnsi="Verdana"/>
        </w:rPr>
        <w:t>Maro</w:t>
      </w:r>
      <w:r w:rsidRPr="00111C88" w:rsidR="00883F41">
        <w:rPr>
          <w:rFonts w:ascii="Verdana" w:hAnsi="Verdana"/>
        </w:rPr>
        <w:t>š</w:t>
      </w:r>
      <w:r w:rsidRPr="00111C88" w:rsidR="00FF1CF9">
        <w:rPr>
          <w:rFonts w:ascii="Verdana" w:hAnsi="Verdana"/>
        </w:rPr>
        <w:t xml:space="preserve"> </w:t>
      </w:r>
      <w:r w:rsidRPr="00111C88" w:rsidR="00474B69">
        <w:rPr>
          <w:rFonts w:ascii="Verdana" w:hAnsi="Verdana"/>
        </w:rPr>
        <w:t>Šefčovič</w:t>
      </w:r>
      <w:r w:rsidRPr="00111C88" w:rsidR="00FF1CF9">
        <w:rPr>
          <w:rFonts w:ascii="Verdana" w:hAnsi="Verdana"/>
        </w:rPr>
        <w:t xml:space="preserve"> when addressing </w:t>
      </w:r>
      <w:r w:rsidRPr="00111C88" w:rsidR="0043575C">
        <w:rPr>
          <w:rFonts w:ascii="Verdana" w:hAnsi="Verdana"/>
        </w:rPr>
        <w:t>the Northern Ireland Assembly</w:t>
      </w:r>
      <w:r w:rsidRPr="00111C88" w:rsidR="00FF1CF9">
        <w:rPr>
          <w:rFonts w:ascii="Verdana" w:hAnsi="Verdana"/>
        </w:rPr>
        <w:t xml:space="preserve"> in June 2021.</w:t>
      </w:r>
      <w:r w:rsidRPr="00111C88" w:rsidR="00F00958">
        <w:rPr>
          <w:rFonts w:ascii="Verdana" w:hAnsi="Verdana"/>
        </w:rPr>
        <w:t xml:space="preserve"> Instead, the EU proposed a Swiss-style SPS arrangement, which has Switzerland applying relevant EU </w:t>
      </w:r>
      <w:r w:rsidRPr="00111C88" w:rsidR="00BE7A05">
        <w:rPr>
          <w:rFonts w:ascii="Verdana" w:hAnsi="Verdana"/>
        </w:rPr>
        <w:t>regulations in a binding fashion.</w:t>
      </w:r>
      <w:r>
        <w:rPr>
          <w:rStyle w:val="FootnoteReference"/>
          <w:rFonts w:ascii="Verdana" w:hAnsi="Verdana"/>
        </w:rPr>
        <w:footnoteReference w:id="10"/>
      </w:r>
    </w:p>
    <w:p w:rsidR="00572200" w:rsidRPr="00111C88" w:rsidP="0043575C">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The final SPS propos</w:t>
      </w:r>
      <w:r w:rsidRPr="00111C88" w:rsidR="004A33DA">
        <w:rPr>
          <w:rFonts w:ascii="Verdana" w:hAnsi="Verdana"/>
        </w:rPr>
        <w:t>al is that pets</w:t>
      </w:r>
      <w:r w:rsidRPr="00111C88" w:rsidR="0072691A">
        <w:rPr>
          <w:rFonts w:ascii="Verdana" w:hAnsi="Verdana"/>
        </w:rPr>
        <w:t xml:space="preserve"> should be able to move freely between Great Britain and Northern Ireland </w:t>
      </w:r>
      <w:r w:rsidRPr="00111C88" w:rsidR="004A33DA">
        <w:rPr>
          <w:rFonts w:ascii="Verdana" w:hAnsi="Verdana"/>
        </w:rPr>
        <w:t>on the basis of</w:t>
      </w:r>
      <w:r w:rsidRPr="00111C88" w:rsidR="0072691A">
        <w:rPr>
          <w:rFonts w:ascii="Verdana" w:hAnsi="Verdana"/>
        </w:rPr>
        <w:t xml:space="preserve"> UK legal requirements. </w:t>
      </w:r>
      <w:r w:rsidRPr="00111C88" w:rsidR="00EC5903">
        <w:rPr>
          <w:rFonts w:ascii="Verdana" w:hAnsi="Verdana"/>
        </w:rPr>
        <w:t>This would obviate the need for EU-compliant certification and vaccinations.</w:t>
      </w:r>
      <w:r>
        <w:rPr>
          <w:rStyle w:val="FootnoteReference"/>
          <w:rFonts w:ascii="Verdana" w:hAnsi="Verdana"/>
        </w:rPr>
        <w:footnoteReference w:id="11"/>
      </w:r>
      <w:r w:rsidRPr="00111C88" w:rsidR="0043575C">
        <w:rPr>
          <w:rFonts w:ascii="Verdana" w:hAnsi="Verdana"/>
        </w:rPr>
        <w:t xml:space="preserve"> </w:t>
      </w:r>
      <w:r w:rsidRPr="00111C88" w:rsidR="0072691A">
        <w:rPr>
          <w:rFonts w:ascii="Verdana" w:hAnsi="Verdana"/>
        </w:rPr>
        <w:t>This</w:t>
      </w:r>
      <w:r w:rsidRPr="00111C88" w:rsidR="00EC5903">
        <w:rPr>
          <w:rFonts w:ascii="Verdana" w:hAnsi="Verdana"/>
        </w:rPr>
        <w:t xml:space="preserve"> proposal </w:t>
      </w:r>
      <w:r w:rsidRPr="00111C88" w:rsidR="00C836D9">
        <w:rPr>
          <w:rFonts w:ascii="Verdana" w:hAnsi="Verdana"/>
        </w:rPr>
        <w:t xml:space="preserve">might </w:t>
      </w:r>
      <w:r w:rsidRPr="00111C88" w:rsidR="004A33DA">
        <w:rPr>
          <w:rFonts w:ascii="Verdana" w:hAnsi="Verdana"/>
        </w:rPr>
        <w:t>appear</w:t>
      </w:r>
      <w:r w:rsidRPr="00111C88" w:rsidR="00C836D9">
        <w:rPr>
          <w:rFonts w:ascii="Verdana" w:hAnsi="Verdana"/>
        </w:rPr>
        <w:t xml:space="preserve"> attractive</w:t>
      </w:r>
      <w:r w:rsidRPr="00111C88" w:rsidR="004A33DA">
        <w:rPr>
          <w:rFonts w:ascii="Verdana" w:hAnsi="Verdana"/>
        </w:rPr>
        <w:t>;</w:t>
      </w:r>
      <w:r w:rsidRPr="00111C88" w:rsidR="00C836D9">
        <w:rPr>
          <w:rFonts w:ascii="Verdana" w:hAnsi="Verdana"/>
        </w:rPr>
        <w:t xml:space="preserve"> </w:t>
      </w:r>
      <w:r w:rsidRPr="00111C88" w:rsidR="00EC5903">
        <w:rPr>
          <w:rFonts w:ascii="Verdana" w:hAnsi="Verdana"/>
        </w:rPr>
        <w:t xml:space="preserve">it </w:t>
      </w:r>
      <w:r w:rsidRPr="00111C88" w:rsidR="004A33DA">
        <w:rPr>
          <w:rFonts w:ascii="Verdana" w:hAnsi="Verdana"/>
        </w:rPr>
        <w:t>should</w:t>
      </w:r>
      <w:r w:rsidRPr="00111C88" w:rsidR="00EC5903">
        <w:rPr>
          <w:rFonts w:ascii="Verdana" w:hAnsi="Verdana"/>
        </w:rPr>
        <w:t xml:space="preserve"> be easier to determine if a pet is </w:t>
      </w:r>
      <w:r w:rsidRPr="00111C88" w:rsidR="004A33DA">
        <w:rPr>
          <w:rFonts w:ascii="Verdana" w:hAnsi="Verdana"/>
        </w:rPr>
        <w:t xml:space="preserve">bound for </w:t>
      </w:r>
      <w:r w:rsidRPr="00111C88" w:rsidR="00EC5903">
        <w:rPr>
          <w:rFonts w:ascii="Verdana" w:hAnsi="Verdana"/>
        </w:rPr>
        <w:t xml:space="preserve">Ireland than a product for sale on the market. </w:t>
      </w:r>
      <w:r w:rsidRPr="00111C88" w:rsidR="00C836D9">
        <w:rPr>
          <w:rFonts w:ascii="Verdana" w:hAnsi="Verdana"/>
        </w:rPr>
        <w:t>Nonetheless</w:t>
      </w:r>
      <w:r w:rsidRPr="00111C88" w:rsidR="00EC5903">
        <w:rPr>
          <w:rFonts w:ascii="Verdana" w:hAnsi="Verdana"/>
        </w:rPr>
        <w:t>, given the Common Travel Area, Northern Ireland</w:t>
      </w:r>
      <w:r w:rsidRPr="00111C88" w:rsidR="00C836D9">
        <w:rPr>
          <w:rFonts w:ascii="Verdana" w:hAnsi="Verdana"/>
        </w:rPr>
        <w:t>’s pet owners</w:t>
      </w:r>
      <w:r w:rsidRPr="00111C88" w:rsidR="00EC5903">
        <w:rPr>
          <w:rFonts w:ascii="Verdana" w:hAnsi="Verdana"/>
        </w:rPr>
        <w:t xml:space="preserve"> can very easily </w:t>
      </w:r>
      <w:r w:rsidRPr="00111C88" w:rsidR="00C836D9">
        <w:rPr>
          <w:rFonts w:ascii="Verdana" w:hAnsi="Verdana"/>
        </w:rPr>
        <w:t>bring</w:t>
      </w:r>
      <w:r w:rsidRPr="00111C88" w:rsidR="00EC5903">
        <w:rPr>
          <w:rFonts w:ascii="Verdana" w:hAnsi="Verdana"/>
        </w:rPr>
        <w:t xml:space="preserve"> them into Ireland, and it is not clear how the vaccination status of their pets would be </w:t>
      </w:r>
      <w:r w:rsidRPr="00111C88" w:rsidR="003E1CF0">
        <w:rPr>
          <w:rFonts w:ascii="Verdana" w:hAnsi="Verdana"/>
        </w:rPr>
        <w:t>observed</w:t>
      </w:r>
      <w:r w:rsidRPr="00111C88" w:rsidR="004A33DA">
        <w:rPr>
          <w:rFonts w:ascii="Verdana" w:hAnsi="Verdana"/>
        </w:rPr>
        <w:t xml:space="preserve"> or</w:t>
      </w:r>
      <w:r w:rsidRPr="00111C88" w:rsidR="003E1CF0">
        <w:rPr>
          <w:rFonts w:ascii="Verdana" w:hAnsi="Verdana"/>
        </w:rPr>
        <w:t xml:space="preserve"> enforced. </w:t>
      </w:r>
      <w:r w:rsidRPr="00111C88" w:rsidR="00C836D9">
        <w:rPr>
          <w:rFonts w:ascii="Verdana" w:hAnsi="Verdana"/>
        </w:rPr>
        <w:t>T</w:t>
      </w:r>
      <w:r w:rsidRPr="00111C88" w:rsidR="003E1CF0">
        <w:rPr>
          <w:rFonts w:ascii="Verdana" w:hAnsi="Verdana"/>
        </w:rPr>
        <w:t xml:space="preserve">he EU </w:t>
      </w:r>
      <w:r w:rsidRPr="00111C88" w:rsidR="0043575C">
        <w:rPr>
          <w:rFonts w:ascii="Verdana" w:hAnsi="Verdana"/>
        </w:rPr>
        <w:t>has</w:t>
      </w:r>
      <w:r w:rsidRPr="00111C88" w:rsidR="00C836D9">
        <w:rPr>
          <w:rFonts w:ascii="Verdana" w:hAnsi="Verdana"/>
        </w:rPr>
        <w:t xml:space="preserve"> thus</w:t>
      </w:r>
      <w:r w:rsidRPr="00111C88" w:rsidR="0043575C">
        <w:rPr>
          <w:rFonts w:ascii="Verdana" w:hAnsi="Verdana"/>
        </w:rPr>
        <w:t xml:space="preserve"> remained un</w:t>
      </w:r>
      <w:r w:rsidRPr="00111C88" w:rsidR="003E1CF0">
        <w:rPr>
          <w:rFonts w:ascii="Verdana" w:hAnsi="Verdana"/>
        </w:rPr>
        <w:t xml:space="preserve">willing to </w:t>
      </w:r>
      <w:r w:rsidRPr="00111C88" w:rsidR="004A33DA">
        <w:rPr>
          <w:rFonts w:ascii="Verdana" w:hAnsi="Verdana"/>
        </w:rPr>
        <w:t>countenance</w:t>
      </w:r>
      <w:r w:rsidRPr="00111C88" w:rsidR="003E1CF0">
        <w:rPr>
          <w:rFonts w:ascii="Verdana" w:hAnsi="Verdana"/>
        </w:rPr>
        <w:t xml:space="preserve"> an exemption for pet</w:t>
      </w:r>
      <w:r w:rsidRPr="00111C88" w:rsidR="00C836D9">
        <w:rPr>
          <w:rFonts w:ascii="Verdana" w:hAnsi="Verdana"/>
        </w:rPr>
        <w:t xml:space="preserve"> movement</w:t>
      </w:r>
      <w:r w:rsidRPr="00111C88" w:rsidR="003E1CF0">
        <w:rPr>
          <w:rFonts w:ascii="Verdana" w:hAnsi="Verdana"/>
        </w:rPr>
        <w:t xml:space="preserve">s </w:t>
      </w:r>
      <w:r w:rsidRPr="00111C88" w:rsidR="00C836D9">
        <w:rPr>
          <w:rFonts w:ascii="Verdana" w:hAnsi="Verdana"/>
        </w:rPr>
        <w:t xml:space="preserve">unless </w:t>
      </w:r>
      <w:r w:rsidRPr="00111C88" w:rsidR="003E1CF0">
        <w:rPr>
          <w:rFonts w:ascii="Verdana" w:hAnsi="Verdana"/>
        </w:rPr>
        <w:t xml:space="preserve">UK pet-related legal requirements </w:t>
      </w:r>
      <w:r w:rsidRPr="00111C88" w:rsidR="00181BEA">
        <w:rPr>
          <w:rFonts w:ascii="Verdana" w:hAnsi="Verdana"/>
        </w:rPr>
        <w:t>align with</w:t>
      </w:r>
      <w:r w:rsidRPr="00111C88" w:rsidR="003E1CF0">
        <w:rPr>
          <w:rFonts w:ascii="Verdana" w:hAnsi="Verdana"/>
        </w:rPr>
        <w:t xml:space="preserve"> EU</w:t>
      </w:r>
      <w:r w:rsidRPr="00111C88" w:rsidR="00181BEA">
        <w:rPr>
          <w:rFonts w:ascii="Verdana" w:hAnsi="Verdana"/>
        </w:rPr>
        <w:t xml:space="preserve"> requirements</w:t>
      </w:r>
      <w:r w:rsidRPr="00111C88" w:rsidR="003E1CF0">
        <w:rPr>
          <w:rFonts w:ascii="Verdana" w:hAnsi="Verdana"/>
        </w:rPr>
        <w:t>.</w:t>
      </w:r>
      <w:r w:rsidRPr="00111C88" w:rsidR="0072691A">
        <w:rPr>
          <w:rFonts w:ascii="Verdana" w:hAnsi="Verdana"/>
        </w:rPr>
        <w:t xml:space="preserve"> </w:t>
      </w:r>
    </w:p>
    <w:p w:rsidR="00572200"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On </w:t>
      </w:r>
      <w:r w:rsidRPr="00111C88">
        <w:rPr>
          <w:rFonts w:ascii="Verdana" w:hAnsi="Verdana"/>
          <w:b/>
          <w:bCs/>
        </w:rPr>
        <w:t xml:space="preserve">VAT and excise, </w:t>
      </w:r>
      <w:r w:rsidRPr="00111C88" w:rsidR="00640AC6">
        <w:rPr>
          <w:rFonts w:ascii="Verdana" w:hAnsi="Verdana"/>
        </w:rPr>
        <w:t xml:space="preserve">the UK </w:t>
      </w:r>
      <w:r w:rsidRPr="00111C88" w:rsidR="00181BEA">
        <w:rPr>
          <w:rFonts w:ascii="Verdana" w:hAnsi="Verdana"/>
        </w:rPr>
        <w:t>seeks</w:t>
      </w:r>
      <w:r w:rsidRPr="00111C88" w:rsidR="00640AC6">
        <w:rPr>
          <w:rFonts w:ascii="Verdana" w:hAnsi="Verdana"/>
        </w:rPr>
        <w:t xml:space="preserve"> a more “flexible settlement” with “greater freedom to set VAT and excise rates and structures in Northern Ireland”, but “underpinned by clear safeguards” where this would cause distortions on the island of Ireland.</w:t>
      </w:r>
      <w:r>
        <w:rPr>
          <w:rStyle w:val="FootnoteReference"/>
          <w:rFonts w:ascii="Verdana" w:hAnsi="Verdana"/>
        </w:rPr>
        <w:footnoteReference w:id="12"/>
      </w:r>
      <w:r w:rsidRPr="00111C88" w:rsidR="00640AC6">
        <w:rPr>
          <w:rFonts w:ascii="Verdana" w:hAnsi="Verdana"/>
        </w:rPr>
        <w:t xml:space="preserve"> </w:t>
      </w:r>
      <w:r w:rsidRPr="00111C88" w:rsidR="00181BEA">
        <w:rPr>
          <w:rFonts w:ascii="Verdana" w:hAnsi="Verdana"/>
        </w:rPr>
        <w:t>These proposals, however, lack</w:t>
      </w:r>
      <w:r w:rsidRPr="00111C88" w:rsidR="00640AC6">
        <w:rPr>
          <w:rFonts w:ascii="Verdana" w:hAnsi="Verdana"/>
        </w:rPr>
        <w:t xml:space="preserve"> </w:t>
      </w:r>
      <w:r w:rsidRPr="00111C88" w:rsidR="00181BEA">
        <w:rPr>
          <w:rFonts w:ascii="Verdana" w:hAnsi="Verdana"/>
        </w:rPr>
        <w:t xml:space="preserve">necessary </w:t>
      </w:r>
      <w:r w:rsidRPr="00111C88" w:rsidR="00640AC6">
        <w:rPr>
          <w:rFonts w:ascii="Verdana" w:hAnsi="Verdana"/>
        </w:rPr>
        <w:t xml:space="preserve">detail on what a flexible settlement would look like, </w:t>
      </w:r>
      <w:r w:rsidRPr="00111C88" w:rsidR="00181BEA">
        <w:rPr>
          <w:rFonts w:ascii="Verdana" w:hAnsi="Verdana"/>
        </w:rPr>
        <w:t>and on</w:t>
      </w:r>
      <w:r w:rsidRPr="00111C88" w:rsidR="00640AC6">
        <w:rPr>
          <w:rFonts w:ascii="Verdana" w:hAnsi="Verdana"/>
        </w:rPr>
        <w:t xml:space="preserve"> what safeguards </w:t>
      </w:r>
      <w:r w:rsidRPr="00111C88" w:rsidR="00181BEA">
        <w:rPr>
          <w:rFonts w:ascii="Verdana" w:hAnsi="Verdana"/>
        </w:rPr>
        <w:t>would apply to such a regime</w:t>
      </w:r>
      <w:r w:rsidRPr="00111C88" w:rsidR="004C1F8D">
        <w:rPr>
          <w:rFonts w:ascii="Verdana" w:hAnsi="Verdana"/>
        </w:rPr>
        <w:t>.</w:t>
      </w:r>
    </w:p>
    <w:p w:rsidR="00572200"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The Command Paper next considers </w:t>
      </w:r>
      <w:r w:rsidRPr="00111C88">
        <w:rPr>
          <w:rFonts w:ascii="Verdana" w:hAnsi="Verdana"/>
          <w:b/>
          <w:bCs/>
        </w:rPr>
        <w:t xml:space="preserve">enforcement </w:t>
      </w:r>
      <w:r w:rsidRPr="00111C88">
        <w:rPr>
          <w:rFonts w:ascii="Verdana" w:hAnsi="Verdana"/>
        </w:rPr>
        <w:t xml:space="preserve">generally and stresses that </w:t>
      </w:r>
      <w:r w:rsidRPr="00111C88" w:rsidR="00B55A63">
        <w:rPr>
          <w:rFonts w:ascii="Verdana" w:hAnsi="Verdana"/>
        </w:rPr>
        <w:t>the changes proposed would require data sharing and law enforcement cooperation. The relaxed SPS measures would furthermore require “particularly strong oversight” and “visibility of supply chains”, as well as labelling requirements for UK-only goods and “increased market surveillance”.</w:t>
      </w:r>
      <w:r>
        <w:rPr>
          <w:rStyle w:val="FootnoteReference"/>
          <w:rFonts w:ascii="Verdana" w:hAnsi="Verdana"/>
        </w:rPr>
        <w:footnoteReference w:id="13"/>
      </w:r>
      <w:r w:rsidRPr="00111C88" w:rsidR="00F458AF">
        <w:rPr>
          <w:rFonts w:ascii="Verdana" w:hAnsi="Verdana"/>
        </w:rPr>
        <w:t xml:space="preserve"> </w:t>
      </w:r>
      <w:r w:rsidRPr="00111C88" w:rsidR="00BA6A33">
        <w:rPr>
          <w:rFonts w:ascii="Verdana" w:hAnsi="Verdana"/>
        </w:rPr>
        <w:t>T</w:t>
      </w:r>
      <w:r w:rsidRPr="00111C88" w:rsidR="00F458AF">
        <w:rPr>
          <w:rFonts w:ascii="Verdana" w:hAnsi="Verdana"/>
        </w:rPr>
        <w:t xml:space="preserve">he EU is likely to reject any move away from </w:t>
      </w:r>
      <w:r w:rsidRPr="00111C88" w:rsidR="00BB325A">
        <w:rPr>
          <w:rFonts w:ascii="Verdana" w:hAnsi="Verdana"/>
        </w:rPr>
        <w:t>the</w:t>
      </w:r>
      <w:r w:rsidRPr="00111C88" w:rsidR="00F458AF">
        <w:rPr>
          <w:rFonts w:ascii="Verdana" w:hAnsi="Verdana"/>
        </w:rPr>
        <w:t xml:space="preserve"> enforcement mechanisms set out in the Protocol</w:t>
      </w:r>
      <w:r w:rsidRPr="00111C88" w:rsidR="00BB325A">
        <w:rPr>
          <w:rFonts w:ascii="Verdana" w:hAnsi="Verdana"/>
        </w:rPr>
        <w:t xml:space="preserve">, particularly where they relate to the UK’s application of the EU laws pertaining to the EU’s external border, </w:t>
      </w:r>
      <w:r w:rsidRPr="00111C88" w:rsidR="00BA6A33">
        <w:rPr>
          <w:rFonts w:ascii="Verdana" w:hAnsi="Verdana"/>
        </w:rPr>
        <w:t>given that these Protocol terms are based upon EU Single Market rules for goods applying in Northern Ireland</w:t>
      </w:r>
      <w:r w:rsidRPr="00111C88" w:rsidR="00BB325A">
        <w:rPr>
          <w:rFonts w:ascii="Verdana" w:hAnsi="Verdana"/>
        </w:rPr>
        <w:t xml:space="preserve">. </w:t>
      </w:r>
    </w:p>
    <w:p w:rsidR="00A77E1D"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Finally, on the subject of </w:t>
      </w:r>
      <w:r w:rsidRPr="00111C88" w:rsidR="003101A4">
        <w:rPr>
          <w:rFonts w:ascii="Verdana" w:hAnsi="Verdana"/>
        </w:rPr>
        <w:t>“</w:t>
      </w:r>
      <w:r w:rsidRPr="00111C88">
        <w:rPr>
          <w:rFonts w:ascii="Verdana" w:hAnsi="Verdana"/>
        </w:rPr>
        <w:t>unfettered access</w:t>
      </w:r>
      <w:r w:rsidRPr="00111C88" w:rsidR="003101A4">
        <w:rPr>
          <w:rFonts w:ascii="Verdana" w:hAnsi="Verdana"/>
        </w:rPr>
        <w:t>”</w:t>
      </w:r>
      <w:r w:rsidRPr="00111C88">
        <w:rPr>
          <w:rFonts w:ascii="Verdana" w:hAnsi="Verdana"/>
        </w:rPr>
        <w:t xml:space="preserve"> from </w:t>
      </w:r>
      <w:r w:rsidRPr="00111C88" w:rsidR="006E0C59">
        <w:rPr>
          <w:rFonts w:ascii="Verdana" w:hAnsi="Verdana"/>
        </w:rPr>
        <w:t xml:space="preserve">Northern Ireland </w:t>
      </w:r>
      <w:r w:rsidRPr="00111C88">
        <w:rPr>
          <w:rFonts w:ascii="Verdana" w:hAnsi="Verdana"/>
        </w:rPr>
        <w:t xml:space="preserve">goods to the </w:t>
      </w:r>
      <w:r w:rsidRPr="00111C88" w:rsidR="006E0C59">
        <w:rPr>
          <w:rFonts w:ascii="Verdana" w:hAnsi="Verdana"/>
        </w:rPr>
        <w:t xml:space="preserve">Great Britain </w:t>
      </w:r>
      <w:r w:rsidRPr="00111C88">
        <w:rPr>
          <w:rFonts w:ascii="Verdana" w:hAnsi="Verdana"/>
        </w:rPr>
        <w:t xml:space="preserve">market, the UK proposes to </w:t>
      </w:r>
      <w:r w:rsidRPr="00111C88" w:rsidR="00B53F5C">
        <w:rPr>
          <w:rFonts w:ascii="Verdana" w:hAnsi="Verdana"/>
        </w:rPr>
        <w:t>cease information collection requirements that have replaced export declarations.</w:t>
      </w:r>
      <w:r>
        <w:rPr>
          <w:rStyle w:val="FootnoteReference"/>
          <w:rFonts w:ascii="Verdana" w:hAnsi="Verdana"/>
        </w:rPr>
        <w:footnoteReference w:id="14"/>
      </w:r>
      <w:r w:rsidRPr="00111C88" w:rsidR="00B53F5C">
        <w:rPr>
          <w:rFonts w:ascii="Verdana" w:hAnsi="Verdana"/>
        </w:rPr>
        <w:t xml:space="preserve"> The UK </w:t>
      </w:r>
      <w:r w:rsidRPr="00111C88" w:rsidR="00087F86">
        <w:rPr>
          <w:rFonts w:ascii="Verdana" w:hAnsi="Verdana"/>
        </w:rPr>
        <w:t>Government suggests</w:t>
      </w:r>
      <w:r w:rsidRPr="00111C88" w:rsidR="00B53F5C">
        <w:rPr>
          <w:rFonts w:ascii="Verdana" w:hAnsi="Verdana"/>
        </w:rPr>
        <w:t xml:space="preserve"> that there is no risk to doing away with these because whatever goods are moved from </w:t>
      </w:r>
      <w:r w:rsidRPr="00111C88" w:rsidR="006E0C59">
        <w:rPr>
          <w:rFonts w:ascii="Verdana" w:hAnsi="Verdana"/>
        </w:rPr>
        <w:t xml:space="preserve">Northern Ireland </w:t>
      </w:r>
      <w:r w:rsidRPr="00111C88" w:rsidR="00B53F5C">
        <w:rPr>
          <w:rFonts w:ascii="Verdana" w:hAnsi="Verdana"/>
        </w:rPr>
        <w:t xml:space="preserve">to </w:t>
      </w:r>
      <w:r w:rsidRPr="00111C88" w:rsidR="006E0C59">
        <w:rPr>
          <w:rFonts w:ascii="Verdana" w:hAnsi="Verdana"/>
        </w:rPr>
        <w:t>Great Britain</w:t>
      </w:r>
      <w:r w:rsidRPr="00111C88" w:rsidR="00B53F5C">
        <w:rPr>
          <w:rFonts w:ascii="Verdana" w:hAnsi="Verdana"/>
        </w:rPr>
        <w:t>, they will be either consumed or treated in the UK</w:t>
      </w:r>
      <w:r w:rsidRPr="00111C88">
        <w:rPr>
          <w:rFonts w:ascii="Verdana" w:hAnsi="Verdana"/>
        </w:rPr>
        <w:t xml:space="preserve">, rather than in the EU. This proposal, in our view, does not involve any </w:t>
      </w:r>
      <w:r w:rsidRPr="00111C88" w:rsidR="00474B69">
        <w:rPr>
          <w:rFonts w:ascii="Verdana" w:hAnsi="Verdana"/>
        </w:rPr>
        <w:t>substantial</w:t>
      </w:r>
      <w:r w:rsidRPr="00111C88">
        <w:rPr>
          <w:rFonts w:ascii="Verdana" w:hAnsi="Verdana"/>
        </w:rPr>
        <w:t xml:space="preserve"> risks</w:t>
      </w:r>
      <w:r w:rsidRPr="00111C88" w:rsidR="00474B69">
        <w:rPr>
          <w:rFonts w:ascii="Verdana" w:hAnsi="Verdana"/>
        </w:rPr>
        <w:t xml:space="preserve"> </w:t>
      </w:r>
      <w:r w:rsidRPr="00111C88" w:rsidR="003A4C45">
        <w:rPr>
          <w:rFonts w:ascii="Verdana" w:hAnsi="Verdana"/>
        </w:rPr>
        <w:t xml:space="preserve">for the EU’s management of its trade borders </w:t>
      </w:r>
      <w:r w:rsidRPr="00111C88">
        <w:rPr>
          <w:rFonts w:ascii="Verdana" w:hAnsi="Verdana"/>
        </w:rPr>
        <w:t xml:space="preserve">and if the EU were willing to show flexibility on how its Customs Code applies to the specific </w:t>
      </w:r>
      <w:r w:rsidRPr="00111C88" w:rsidR="003A4C45">
        <w:rPr>
          <w:rFonts w:ascii="Verdana" w:hAnsi="Verdana"/>
        </w:rPr>
        <w:t xml:space="preserve">circumstances of </w:t>
      </w:r>
      <w:r w:rsidRPr="00111C88">
        <w:rPr>
          <w:rFonts w:ascii="Verdana" w:hAnsi="Verdana"/>
        </w:rPr>
        <w:t xml:space="preserve">Northern Ireland, </w:t>
      </w:r>
      <w:r w:rsidRPr="00111C88" w:rsidR="003A4C45">
        <w:rPr>
          <w:rFonts w:ascii="Verdana" w:hAnsi="Verdana"/>
        </w:rPr>
        <w:t xml:space="preserve">these proposals provide </w:t>
      </w:r>
      <w:r w:rsidRPr="00111C88">
        <w:rPr>
          <w:rFonts w:ascii="Verdana" w:hAnsi="Verdana"/>
        </w:rPr>
        <w:t xml:space="preserve">a </w:t>
      </w:r>
      <w:r w:rsidRPr="00111C88" w:rsidR="00474B69">
        <w:rPr>
          <w:rFonts w:ascii="Verdana" w:hAnsi="Verdana"/>
        </w:rPr>
        <w:t>basis</w:t>
      </w:r>
      <w:r w:rsidRPr="00111C88">
        <w:rPr>
          <w:rFonts w:ascii="Verdana" w:hAnsi="Verdana"/>
        </w:rPr>
        <w:t xml:space="preserve"> for </w:t>
      </w:r>
      <w:r w:rsidRPr="00111C88" w:rsidR="003A4C45">
        <w:rPr>
          <w:rFonts w:ascii="Verdana" w:hAnsi="Verdana"/>
        </w:rPr>
        <w:t>negotiation</w:t>
      </w:r>
      <w:r w:rsidRPr="00111C88">
        <w:rPr>
          <w:rFonts w:ascii="Verdana" w:hAnsi="Verdana"/>
        </w:rPr>
        <w:t>.</w:t>
      </w:r>
    </w:p>
    <w:p w:rsidR="002025CB" w:rsidRPr="00111C88" w:rsidP="00745DA5">
      <w:pPr>
        <w:pStyle w:val="ListParagraph"/>
        <w:spacing w:before="120" w:after="120"/>
        <w:ind w:left="0" w:right="425"/>
        <w:contextualSpacing w:val="0"/>
        <w:jc w:val="both"/>
        <w:rPr>
          <w:rFonts w:ascii="Verdana" w:hAnsi="Verdana"/>
        </w:rPr>
      </w:pPr>
    </w:p>
    <w:p w:rsidR="000E211B" w:rsidRPr="00111C88" w:rsidP="00745DA5">
      <w:pPr>
        <w:spacing w:before="120" w:after="120"/>
        <w:ind w:right="425"/>
        <w:jc w:val="both"/>
        <w:rPr>
          <w:rFonts w:ascii="Verdana" w:hAnsi="Verdana"/>
          <w:b/>
          <w:bCs/>
        </w:rPr>
      </w:pPr>
      <w:r w:rsidRPr="00111C88">
        <w:rPr>
          <w:rFonts w:ascii="Verdana" w:hAnsi="Verdana"/>
          <w:b/>
          <w:bCs/>
        </w:rPr>
        <w:t>CI</w:t>
      </w:r>
      <w:r w:rsidRPr="00111C88">
        <w:rPr>
          <w:rFonts w:ascii="Verdana" w:hAnsi="Verdana"/>
          <w:b/>
          <w:bCs/>
        </w:rPr>
        <w:t xml:space="preserve">RCULATION OF GOODS </w:t>
      </w:r>
      <w:r w:rsidRPr="00111C88" w:rsidR="00087F86">
        <w:rPr>
          <w:rFonts w:ascii="Verdana" w:hAnsi="Verdana"/>
          <w:b/>
          <w:bCs/>
        </w:rPr>
        <w:t xml:space="preserve">FROM GREAT BRITAIN </w:t>
      </w:r>
      <w:r w:rsidRPr="00111C88">
        <w:rPr>
          <w:rFonts w:ascii="Verdana" w:hAnsi="Verdana"/>
          <w:b/>
          <w:bCs/>
        </w:rPr>
        <w:t>WITHIN NORTHERN IRELAND</w:t>
      </w:r>
    </w:p>
    <w:p w:rsidR="002025CB" w:rsidRPr="00111C88" w:rsidP="00745DA5">
      <w:pPr>
        <w:spacing w:before="120" w:after="120"/>
        <w:ind w:right="425"/>
        <w:jc w:val="both"/>
        <w:rPr>
          <w:rFonts w:ascii="Verdana" w:hAnsi="Verdana"/>
          <w:b/>
          <w:bCs/>
        </w:rPr>
      </w:pPr>
    </w:p>
    <w:p w:rsidR="00BE29AA" w:rsidRPr="00111C88" w:rsidP="00307B94">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Th</w:t>
      </w:r>
      <w:r w:rsidRPr="00111C88" w:rsidR="007E7B96">
        <w:rPr>
          <w:rFonts w:ascii="Verdana" w:hAnsi="Verdana"/>
        </w:rPr>
        <w:t>e</w:t>
      </w:r>
      <w:r w:rsidRPr="00111C88">
        <w:rPr>
          <w:rFonts w:ascii="Verdana" w:hAnsi="Verdana"/>
        </w:rPr>
        <w:t xml:space="preserve"> </w:t>
      </w:r>
      <w:r w:rsidRPr="00111C88" w:rsidR="003101A4">
        <w:rPr>
          <w:rFonts w:ascii="Verdana" w:hAnsi="Verdana"/>
        </w:rPr>
        <w:t xml:space="preserve">second element of the </w:t>
      </w:r>
      <w:r w:rsidRPr="00111C88">
        <w:rPr>
          <w:rFonts w:ascii="Verdana" w:hAnsi="Verdana"/>
        </w:rPr>
        <w:t>Command Paper</w:t>
      </w:r>
      <w:r w:rsidRPr="00111C88" w:rsidR="003101A4">
        <w:rPr>
          <w:rFonts w:ascii="Verdana" w:hAnsi="Verdana"/>
        </w:rPr>
        <w:t>’s “new balance”</w:t>
      </w:r>
      <w:r w:rsidRPr="00111C88">
        <w:rPr>
          <w:rFonts w:ascii="Verdana" w:hAnsi="Verdana"/>
        </w:rPr>
        <w:t xml:space="preserve"> </w:t>
      </w:r>
      <w:r w:rsidRPr="00111C88" w:rsidR="00BA6A33">
        <w:rPr>
          <w:rFonts w:ascii="Verdana" w:hAnsi="Verdana"/>
        </w:rPr>
        <w:t xml:space="preserve">proposes </w:t>
      </w:r>
      <w:r w:rsidRPr="00111C88">
        <w:rPr>
          <w:rFonts w:ascii="Verdana" w:hAnsi="Verdana"/>
        </w:rPr>
        <w:t xml:space="preserve">a </w:t>
      </w:r>
      <w:r w:rsidRPr="00111C88">
        <w:rPr>
          <w:rFonts w:ascii="Verdana" w:hAnsi="Verdana"/>
          <w:b/>
          <w:bCs/>
        </w:rPr>
        <w:t>dual regulatory system</w:t>
      </w:r>
      <w:r w:rsidRPr="00111C88">
        <w:rPr>
          <w:rFonts w:ascii="Verdana" w:hAnsi="Verdana"/>
        </w:rPr>
        <w:t xml:space="preserve"> for all goods, </w:t>
      </w:r>
      <w:r w:rsidRPr="00111C88" w:rsidR="007C76C3">
        <w:rPr>
          <w:rFonts w:ascii="Verdana" w:hAnsi="Verdana"/>
        </w:rPr>
        <w:t>to be policed by market surveillance and data gathering</w:t>
      </w:r>
      <w:r w:rsidRPr="00111C88" w:rsidR="00EE565C">
        <w:rPr>
          <w:rFonts w:ascii="Verdana" w:hAnsi="Verdana"/>
        </w:rPr>
        <w:t>, backed up by “clearer rules for product-labelling”</w:t>
      </w:r>
      <w:r w:rsidRPr="00111C88" w:rsidR="007C76C3">
        <w:rPr>
          <w:rFonts w:ascii="Verdana" w:hAnsi="Verdana"/>
        </w:rPr>
        <w:t xml:space="preserve">. </w:t>
      </w:r>
      <w:r w:rsidRPr="00111C88" w:rsidR="007E7B96">
        <w:rPr>
          <w:rFonts w:ascii="Verdana" w:hAnsi="Verdana"/>
        </w:rPr>
        <w:t>It</w:t>
      </w:r>
      <w:r w:rsidRPr="00111C88" w:rsidR="007C76C3">
        <w:rPr>
          <w:rFonts w:ascii="Verdana" w:hAnsi="Verdana"/>
        </w:rPr>
        <w:t xml:space="preserve"> acknowledge</w:t>
      </w:r>
      <w:r w:rsidRPr="00111C88" w:rsidR="007E7B96">
        <w:rPr>
          <w:rFonts w:ascii="Verdana" w:hAnsi="Verdana"/>
        </w:rPr>
        <w:t>s</w:t>
      </w:r>
      <w:r w:rsidRPr="00111C88" w:rsidR="007C76C3">
        <w:rPr>
          <w:rFonts w:ascii="Verdana" w:hAnsi="Verdana"/>
        </w:rPr>
        <w:t xml:space="preserve"> that separate solutions </w:t>
      </w:r>
      <w:r w:rsidRPr="00111C88" w:rsidR="00DD6565">
        <w:rPr>
          <w:rFonts w:ascii="Verdana" w:hAnsi="Verdana"/>
        </w:rPr>
        <w:t xml:space="preserve">for medicines </w:t>
      </w:r>
      <w:r w:rsidRPr="00111C88" w:rsidR="007C76C3">
        <w:rPr>
          <w:rFonts w:ascii="Verdana" w:hAnsi="Verdana"/>
        </w:rPr>
        <w:t xml:space="preserve">might be necessary, </w:t>
      </w:r>
      <w:r w:rsidRPr="00111C88" w:rsidR="004A7265">
        <w:rPr>
          <w:rFonts w:ascii="Verdana" w:hAnsi="Verdana"/>
        </w:rPr>
        <w:t xml:space="preserve">and </w:t>
      </w:r>
      <w:r w:rsidRPr="00111C88" w:rsidR="007E7B96">
        <w:rPr>
          <w:rFonts w:ascii="Verdana" w:hAnsi="Verdana"/>
        </w:rPr>
        <w:t>indeed</w:t>
      </w:r>
      <w:r w:rsidRPr="00111C88" w:rsidR="004A7265">
        <w:rPr>
          <w:rFonts w:ascii="Verdana" w:hAnsi="Verdana"/>
        </w:rPr>
        <w:t xml:space="preserve"> </w:t>
      </w:r>
      <w:r w:rsidRPr="00111C88" w:rsidR="00DD6565">
        <w:rPr>
          <w:rFonts w:ascii="Verdana" w:hAnsi="Verdana"/>
        </w:rPr>
        <w:t>suggests</w:t>
      </w:r>
      <w:r w:rsidRPr="00111C88" w:rsidR="004A7265">
        <w:rPr>
          <w:rFonts w:ascii="Verdana" w:hAnsi="Verdana"/>
        </w:rPr>
        <w:t xml:space="preserve"> that medicines might need to be removed from the Protocol altogether </w:t>
      </w:r>
      <w:r w:rsidRPr="00111C88" w:rsidR="007E7B96">
        <w:rPr>
          <w:rFonts w:ascii="Verdana" w:hAnsi="Verdana"/>
        </w:rPr>
        <w:t>on public health grounds</w:t>
      </w:r>
      <w:r w:rsidRPr="00111C88" w:rsidR="00EE565C">
        <w:rPr>
          <w:rFonts w:ascii="Verdana" w:hAnsi="Verdana"/>
        </w:rPr>
        <w:t>.</w:t>
      </w:r>
      <w:r>
        <w:rPr>
          <w:rStyle w:val="FootnoteReference"/>
          <w:rFonts w:ascii="Verdana" w:hAnsi="Verdana"/>
        </w:rPr>
        <w:footnoteReference w:id="15"/>
      </w:r>
    </w:p>
    <w:p w:rsidR="00BE29AA" w:rsidRPr="00111C88" w:rsidP="00087F86">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T</w:t>
      </w:r>
      <w:r w:rsidRPr="00111C88" w:rsidR="0070779F">
        <w:rPr>
          <w:rFonts w:ascii="Verdana" w:hAnsi="Verdana"/>
        </w:rPr>
        <w:t>his proposal</w:t>
      </w:r>
      <w:r w:rsidRPr="00111C88">
        <w:rPr>
          <w:rFonts w:ascii="Verdana" w:hAnsi="Verdana"/>
        </w:rPr>
        <w:t xml:space="preserve"> </w:t>
      </w:r>
      <w:r w:rsidRPr="00111C88" w:rsidR="0070779F">
        <w:rPr>
          <w:rFonts w:ascii="Verdana" w:hAnsi="Verdana"/>
        </w:rPr>
        <w:t xml:space="preserve">assumes that dual regulation </w:t>
      </w:r>
      <w:r w:rsidRPr="00111C88" w:rsidR="00137235">
        <w:rPr>
          <w:rFonts w:ascii="Verdana" w:hAnsi="Verdana"/>
        </w:rPr>
        <w:t xml:space="preserve">with minimal oversight </w:t>
      </w:r>
      <w:r w:rsidRPr="00111C88" w:rsidR="007E7B96">
        <w:rPr>
          <w:rFonts w:ascii="Verdana" w:hAnsi="Verdana"/>
        </w:rPr>
        <w:t xml:space="preserve">(which takes place away from the border) </w:t>
      </w:r>
      <w:r w:rsidRPr="00111C88" w:rsidR="00137235">
        <w:rPr>
          <w:rFonts w:ascii="Verdana" w:hAnsi="Verdana"/>
        </w:rPr>
        <w:t xml:space="preserve">is </w:t>
      </w:r>
      <w:r w:rsidRPr="00111C88" w:rsidR="007E7B96">
        <w:rPr>
          <w:rFonts w:ascii="Verdana" w:hAnsi="Verdana"/>
        </w:rPr>
        <w:t>viable</w:t>
      </w:r>
      <w:r w:rsidRPr="00111C88" w:rsidR="00137235">
        <w:rPr>
          <w:rFonts w:ascii="Verdana" w:hAnsi="Verdana"/>
        </w:rPr>
        <w:t xml:space="preserve">, </w:t>
      </w:r>
      <w:r w:rsidRPr="00111C88" w:rsidR="0070779F">
        <w:rPr>
          <w:rFonts w:ascii="Verdana" w:hAnsi="Verdana"/>
        </w:rPr>
        <w:t xml:space="preserve">even in the face of increasing divergence between product regulation standards between the UK and the EU. </w:t>
      </w:r>
      <w:r w:rsidRPr="00111C88" w:rsidR="003263D7">
        <w:rPr>
          <w:rFonts w:ascii="Verdana" w:hAnsi="Verdana"/>
        </w:rPr>
        <w:t xml:space="preserve">Goods meeting </w:t>
      </w:r>
      <w:r w:rsidRPr="00111C88" w:rsidR="007E7B96">
        <w:rPr>
          <w:rFonts w:ascii="Verdana" w:hAnsi="Verdana"/>
        </w:rPr>
        <w:t xml:space="preserve">both </w:t>
      </w:r>
      <w:r w:rsidRPr="00111C88" w:rsidR="003263D7">
        <w:rPr>
          <w:rFonts w:ascii="Verdana" w:hAnsi="Verdana"/>
        </w:rPr>
        <w:t>EU standards and UK standards would be in free circulation in Northern Ireland, with label</w:t>
      </w:r>
      <w:r w:rsidRPr="00111C88">
        <w:rPr>
          <w:rFonts w:ascii="Verdana" w:hAnsi="Verdana"/>
        </w:rPr>
        <w:t>ling</w:t>
      </w:r>
      <w:r w:rsidRPr="00111C88" w:rsidR="003263D7">
        <w:rPr>
          <w:rFonts w:ascii="Verdana" w:hAnsi="Verdana"/>
        </w:rPr>
        <w:t xml:space="preserve"> </w:t>
      </w:r>
      <w:r w:rsidRPr="00111C88">
        <w:rPr>
          <w:rFonts w:ascii="Verdana" w:hAnsi="Verdana"/>
        </w:rPr>
        <w:t xml:space="preserve">being the most obvious </w:t>
      </w:r>
      <w:r w:rsidRPr="00111C88" w:rsidR="003263D7">
        <w:rPr>
          <w:rFonts w:ascii="Verdana" w:hAnsi="Verdana"/>
        </w:rPr>
        <w:t xml:space="preserve">distinguishing factor. </w:t>
      </w:r>
      <w:r w:rsidRPr="00111C88">
        <w:rPr>
          <w:rFonts w:ascii="Verdana" w:hAnsi="Verdana"/>
        </w:rPr>
        <w:t>Beyond</w:t>
      </w:r>
      <w:r w:rsidRPr="00111C88" w:rsidR="003263D7">
        <w:rPr>
          <w:rFonts w:ascii="Verdana" w:hAnsi="Verdana"/>
        </w:rPr>
        <w:t xml:space="preserve"> risk-</w:t>
      </w:r>
      <w:r w:rsidRPr="00111C88">
        <w:rPr>
          <w:rFonts w:ascii="Verdana" w:hAnsi="Verdana"/>
        </w:rPr>
        <w:t>focused</w:t>
      </w:r>
      <w:r w:rsidRPr="00111C88" w:rsidR="003263D7">
        <w:rPr>
          <w:rFonts w:ascii="Verdana" w:hAnsi="Verdana"/>
        </w:rPr>
        <w:t xml:space="preserve"> spot checks </w:t>
      </w:r>
      <w:r w:rsidRPr="00111C88" w:rsidR="000D1A5E">
        <w:rPr>
          <w:rFonts w:ascii="Verdana" w:hAnsi="Verdana"/>
        </w:rPr>
        <w:t>resulting from</w:t>
      </w:r>
      <w:r w:rsidRPr="00111C88" w:rsidR="003263D7">
        <w:rPr>
          <w:rFonts w:ascii="Verdana" w:hAnsi="Verdana"/>
        </w:rPr>
        <w:t xml:space="preserve"> market surveillance there would be no </w:t>
      </w:r>
      <w:r w:rsidRPr="00111C88" w:rsidR="000D1A5E">
        <w:rPr>
          <w:rFonts w:ascii="Verdana" w:hAnsi="Verdana"/>
        </w:rPr>
        <w:t>safeguards to ensure</w:t>
      </w:r>
      <w:r w:rsidRPr="00111C88" w:rsidR="003263D7">
        <w:rPr>
          <w:rFonts w:ascii="Verdana" w:hAnsi="Verdana"/>
        </w:rPr>
        <w:t xml:space="preserve"> that products entering Northern Ireland</w:t>
      </w:r>
      <w:r w:rsidRPr="00111C88" w:rsidR="007D7488">
        <w:rPr>
          <w:rFonts w:ascii="Verdana" w:hAnsi="Verdana"/>
        </w:rPr>
        <w:t xml:space="preserve">, </w:t>
      </w:r>
      <w:r w:rsidRPr="00111C88" w:rsidR="003263D7">
        <w:rPr>
          <w:rFonts w:ascii="Verdana" w:hAnsi="Verdana"/>
        </w:rPr>
        <w:t xml:space="preserve">and thus free to </w:t>
      </w:r>
      <w:r w:rsidRPr="00111C88">
        <w:rPr>
          <w:rFonts w:ascii="Verdana" w:hAnsi="Verdana"/>
        </w:rPr>
        <w:t>circulate within</w:t>
      </w:r>
      <w:r w:rsidRPr="00111C88" w:rsidR="003263D7">
        <w:rPr>
          <w:rFonts w:ascii="Verdana" w:hAnsi="Verdana"/>
        </w:rPr>
        <w:t xml:space="preserve"> the Single Market</w:t>
      </w:r>
      <w:r w:rsidRPr="00111C88" w:rsidR="007D7488">
        <w:rPr>
          <w:rFonts w:ascii="Verdana" w:hAnsi="Verdana"/>
        </w:rPr>
        <w:t xml:space="preserve">, </w:t>
      </w:r>
      <w:r w:rsidRPr="00111C88" w:rsidR="003263D7">
        <w:rPr>
          <w:rFonts w:ascii="Verdana" w:hAnsi="Verdana"/>
        </w:rPr>
        <w:t xml:space="preserve">would meet EU standards. </w:t>
      </w:r>
      <w:r w:rsidRPr="00111C88">
        <w:rPr>
          <w:rFonts w:ascii="Verdana" w:hAnsi="Verdana"/>
        </w:rPr>
        <w:t>This proposal assumes</w:t>
      </w:r>
      <w:r w:rsidRPr="00111C88" w:rsidR="003263D7">
        <w:rPr>
          <w:rFonts w:ascii="Verdana" w:hAnsi="Verdana"/>
        </w:rPr>
        <w:t xml:space="preserve"> that traders would </w:t>
      </w:r>
      <w:r w:rsidRPr="00111C88" w:rsidR="000D1A5E">
        <w:rPr>
          <w:rFonts w:ascii="Verdana" w:hAnsi="Verdana"/>
        </w:rPr>
        <w:t xml:space="preserve">adopt </w:t>
      </w:r>
      <w:r w:rsidRPr="00111C88" w:rsidR="003263D7">
        <w:rPr>
          <w:rFonts w:ascii="Verdana" w:hAnsi="Verdana"/>
        </w:rPr>
        <w:t xml:space="preserve">the correct </w:t>
      </w:r>
      <w:r w:rsidRPr="00111C88" w:rsidR="000D1A5E">
        <w:rPr>
          <w:rFonts w:ascii="Verdana" w:hAnsi="Verdana"/>
        </w:rPr>
        <w:t xml:space="preserve">labelling for the </w:t>
      </w:r>
      <w:r w:rsidRPr="00111C88" w:rsidR="003263D7">
        <w:rPr>
          <w:rFonts w:ascii="Verdana" w:hAnsi="Verdana"/>
        </w:rPr>
        <w:t>“destination” marke</w:t>
      </w:r>
      <w:r w:rsidRPr="00111C88" w:rsidR="000D1A5E">
        <w:rPr>
          <w:rFonts w:ascii="Verdana" w:hAnsi="Verdana"/>
        </w:rPr>
        <w:t>t,</w:t>
      </w:r>
      <w:r w:rsidRPr="00111C88" w:rsidR="003263D7">
        <w:rPr>
          <w:rFonts w:ascii="Verdana" w:hAnsi="Verdana"/>
        </w:rPr>
        <w:t xml:space="preserve"> </w:t>
      </w:r>
      <w:r w:rsidRPr="00111C88" w:rsidR="00B41AB4">
        <w:rPr>
          <w:rFonts w:ascii="Verdana" w:hAnsi="Verdana"/>
        </w:rPr>
        <w:t xml:space="preserve">but </w:t>
      </w:r>
      <w:r w:rsidRPr="00111C88" w:rsidR="000D1A5E">
        <w:rPr>
          <w:rFonts w:ascii="Verdana" w:hAnsi="Verdana"/>
        </w:rPr>
        <w:t>says nothing about</w:t>
      </w:r>
      <w:r w:rsidRPr="00111C88" w:rsidR="00B41AB4">
        <w:rPr>
          <w:rFonts w:ascii="Verdana" w:hAnsi="Verdana"/>
        </w:rPr>
        <w:t xml:space="preserve"> situations </w:t>
      </w:r>
      <w:r w:rsidRPr="00111C88" w:rsidR="00B41AB4">
        <w:rPr>
          <w:rFonts w:ascii="Verdana" w:hAnsi="Verdana"/>
        </w:rPr>
        <w:t xml:space="preserve">where they, whether accidentally or intentionally, </w:t>
      </w:r>
      <w:r w:rsidRPr="00111C88">
        <w:rPr>
          <w:rFonts w:ascii="Verdana" w:hAnsi="Verdana"/>
        </w:rPr>
        <w:t>neglect</w:t>
      </w:r>
      <w:r w:rsidRPr="00111C88" w:rsidR="000D1A5E">
        <w:rPr>
          <w:rFonts w:ascii="Verdana" w:hAnsi="Verdana"/>
        </w:rPr>
        <w:t xml:space="preserve"> to</w:t>
      </w:r>
      <w:r w:rsidRPr="00111C88" w:rsidR="00B41AB4">
        <w:rPr>
          <w:rFonts w:ascii="Verdana" w:hAnsi="Verdana"/>
        </w:rPr>
        <w:t xml:space="preserve"> do so. </w:t>
      </w:r>
      <w:r w:rsidRPr="00111C88">
        <w:rPr>
          <w:rFonts w:ascii="Verdana" w:hAnsi="Verdana"/>
        </w:rPr>
        <w:t xml:space="preserve">It provides inadequate </w:t>
      </w:r>
      <w:r w:rsidRPr="00111C88" w:rsidR="000D1A5E">
        <w:rPr>
          <w:rFonts w:ascii="Verdana" w:hAnsi="Verdana"/>
        </w:rPr>
        <w:t xml:space="preserve">safeguards </w:t>
      </w:r>
      <w:r w:rsidRPr="00111C88" w:rsidR="008F007E">
        <w:rPr>
          <w:rFonts w:ascii="Verdana" w:hAnsi="Verdana"/>
        </w:rPr>
        <w:t>to make it workable for the EU</w:t>
      </w:r>
      <w:r w:rsidRPr="00111C88" w:rsidR="005D7ECC">
        <w:rPr>
          <w:rFonts w:ascii="Verdana" w:hAnsi="Verdana"/>
        </w:rPr>
        <w:t>.</w:t>
      </w:r>
    </w:p>
    <w:p w:rsidR="000C35D8"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Th</w:t>
      </w:r>
      <w:r w:rsidRPr="00111C88" w:rsidR="008F007E">
        <w:rPr>
          <w:rFonts w:ascii="Verdana" w:hAnsi="Verdana"/>
        </w:rPr>
        <w:t>is section of the</w:t>
      </w:r>
      <w:r w:rsidRPr="00111C88">
        <w:rPr>
          <w:rFonts w:ascii="Verdana" w:hAnsi="Verdana"/>
        </w:rPr>
        <w:t xml:space="preserve"> Command Paper also addresses </w:t>
      </w:r>
      <w:r w:rsidRPr="00111C88">
        <w:rPr>
          <w:rFonts w:ascii="Verdana" w:hAnsi="Verdana"/>
          <w:b/>
          <w:bCs/>
        </w:rPr>
        <w:t xml:space="preserve">subsidy control </w:t>
      </w:r>
      <w:r w:rsidRPr="00111C88">
        <w:rPr>
          <w:rFonts w:ascii="Verdana" w:hAnsi="Verdana"/>
        </w:rPr>
        <w:t xml:space="preserve">and </w:t>
      </w:r>
      <w:r w:rsidRPr="00111C88" w:rsidR="00BE26CC">
        <w:rPr>
          <w:rFonts w:ascii="Verdana" w:hAnsi="Verdana"/>
        </w:rPr>
        <w:t xml:space="preserve">notes that subsequent </w:t>
      </w:r>
      <w:r w:rsidRPr="00111C88" w:rsidR="003F3DD7">
        <w:rPr>
          <w:rFonts w:ascii="Verdana" w:hAnsi="Verdana"/>
        </w:rPr>
        <w:t xml:space="preserve">Trade and Cooperation Agreement </w:t>
      </w:r>
      <w:r w:rsidRPr="00111C88" w:rsidR="00BE26CC">
        <w:rPr>
          <w:rFonts w:ascii="Verdana" w:hAnsi="Verdana"/>
        </w:rPr>
        <w:t>arrangements obviate the need for Northern Ireland to be subjected to the EU’s subsidies rules.</w:t>
      </w:r>
      <w:r>
        <w:rPr>
          <w:rStyle w:val="FootnoteReference"/>
          <w:rFonts w:ascii="Verdana" w:hAnsi="Verdana"/>
        </w:rPr>
        <w:footnoteReference w:id="16"/>
      </w:r>
      <w:r w:rsidRPr="00111C88" w:rsidR="00BE26CC">
        <w:rPr>
          <w:rFonts w:ascii="Verdana" w:hAnsi="Verdana"/>
        </w:rPr>
        <w:t xml:space="preserve"> It suggests that </w:t>
      </w:r>
      <w:r w:rsidRPr="00111C88" w:rsidR="00E11433">
        <w:rPr>
          <w:rFonts w:ascii="Verdana" w:hAnsi="Verdana"/>
        </w:rPr>
        <w:t xml:space="preserve">enhanced consultation can mitigate any advantages Northern Ireland’s producers might have in comparison to Single Market operators in light of the UK’s separate subsidy regime. We believe these proposals to be reasonable and </w:t>
      </w:r>
      <w:r w:rsidRPr="00111C88" w:rsidR="003B2F30">
        <w:rPr>
          <w:rFonts w:ascii="Verdana" w:hAnsi="Verdana"/>
        </w:rPr>
        <w:t xml:space="preserve">that they highlight </w:t>
      </w:r>
      <w:r w:rsidRPr="00111C88" w:rsidR="00E11433">
        <w:rPr>
          <w:rFonts w:ascii="Verdana" w:hAnsi="Verdana"/>
        </w:rPr>
        <w:t xml:space="preserve">an area </w:t>
      </w:r>
      <w:r w:rsidRPr="00111C88" w:rsidR="003B2F30">
        <w:rPr>
          <w:rFonts w:ascii="Verdana" w:hAnsi="Verdana"/>
        </w:rPr>
        <w:t>in which</w:t>
      </w:r>
      <w:r w:rsidRPr="00111C88" w:rsidR="00E11433">
        <w:rPr>
          <w:rFonts w:ascii="Verdana" w:hAnsi="Verdana"/>
        </w:rPr>
        <w:t xml:space="preserve"> a</w:t>
      </w:r>
      <w:r w:rsidRPr="00111C88" w:rsidR="008F007E">
        <w:rPr>
          <w:rFonts w:ascii="Verdana" w:hAnsi="Verdana"/>
        </w:rPr>
        <w:t xml:space="preserve"> </w:t>
      </w:r>
      <w:r w:rsidRPr="00111C88" w:rsidR="00E11433">
        <w:rPr>
          <w:rFonts w:ascii="Verdana" w:hAnsi="Verdana"/>
        </w:rPr>
        <w:t xml:space="preserve">compromise can be found, in light of the </w:t>
      </w:r>
      <w:r w:rsidRPr="00111C88" w:rsidR="003F3DD7">
        <w:rPr>
          <w:rFonts w:ascii="Verdana" w:hAnsi="Verdana"/>
        </w:rPr>
        <w:t>Trade and Cooperation Agreement</w:t>
      </w:r>
      <w:r w:rsidRPr="00111C88" w:rsidR="00E11433">
        <w:rPr>
          <w:rFonts w:ascii="Verdana" w:hAnsi="Verdana"/>
        </w:rPr>
        <w:t xml:space="preserve">’s </w:t>
      </w:r>
      <w:r w:rsidRPr="00111C88" w:rsidR="003B2F30">
        <w:rPr>
          <w:rFonts w:ascii="Verdana" w:hAnsi="Verdana"/>
        </w:rPr>
        <w:t>terms</w:t>
      </w:r>
      <w:r w:rsidRPr="00111C88" w:rsidR="00E11433">
        <w:rPr>
          <w:rFonts w:ascii="Verdana" w:hAnsi="Verdana"/>
        </w:rPr>
        <w:t>.</w:t>
      </w:r>
    </w:p>
    <w:p w:rsidR="002025CB" w:rsidRPr="00111C88" w:rsidP="00745DA5">
      <w:pPr>
        <w:spacing w:before="120" w:after="120"/>
        <w:ind w:right="425"/>
        <w:jc w:val="both"/>
        <w:rPr>
          <w:rFonts w:ascii="Verdana" w:hAnsi="Verdana"/>
          <w:b/>
          <w:bCs/>
        </w:rPr>
      </w:pPr>
    </w:p>
    <w:p w:rsidR="00E11433" w:rsidRPr="00111C88" w:rsidP="00745DA5">
      <w:pPr>
        <w:spacing w:before="120" w:after="120"/>
        <w:ind w:right="425"/>
        <w:jc w:val="both"/>
        <w:rPr>
          <w:rFonts w:ascii="Verdana" w:hAnsi="Verdana"/>
          <w:b/>
          <w:bCs/>
        </w:rPr>
      </w:pPr>
      <w:r w:rsidRPr="00111C88">
        <w:rPr>
          <w:rFonts w:ascii="Verdana" w:hAnsi="Verdana"/>
          <w:b/>
          <w:bCs/>
        </w:rPr>
        <w:t>GOVERNANCE</w:t>
      </w:r>
    </w:p>
    <w:p w:rsidR="002025CB" w:rsidRPr="00111C88" w:rsidP="00745DA5">
      <w:pPr>
        <w:spacing w:before="120" w:after="120"/>
        <w:ind w:right="425"/>
        <w:jc w:val="both"/>
        <w:rPr>
          <w:rFonts w:ascii="Verdana" w:hAnsi="Verdana"/>
          <w:b/>
          <w:bCs/>
        </w:rPr>
      </w:pPr>
    </w:p>
    <w:p w:rsidR="00BE29AA"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The final set of proposals </w:t>
      </w:r>
      <w:r w:rsidRPr="00111C88" w:rsidR="008F007E">
        <w:rPr>
          <w:rFonts w:ascii="Verdana" w:hAnsi="Verdana"/>
        </w:rPr>
        <w:t>outlines</w:t>
      </w:r>
      <w:r w:rsidRPr="00111C88" w:rsidR="00584A45">
        <w:rPr>
          <w:rFonts w:ascii="Verdana" w:hAnsi="Verdana"/>
        </w:rPr>
        <w:t xml:space="preserve"> new institutional arrangements that effectively end the jurisdiction of the EU institutions, up to and including the CJEU, </w:t>
      </w:r>
      <w:r w:rsidRPr="00111C88" w:rsidR="008F007E">
        <w:rPr>
          <w:rFonts w:ascii="Verdana" w:hAnsi="Verdana"/>
        </w:rPr>
        <w:t>in the oversight of</w:t>
      </w:r>
      <w:r w:rsidRPr="00111C88" w:rsidR="00584A45">
        <w:rPr>
          <w:rFonts w:ascii="Verdana" w:hAnsi="Verdana"/>
        </w:rPr>
        <w:t xml:space="preserve"> the Protocol.</w:t>
      </w:r>
      <w:r w:rsidRPr="00111C88" w:rsidR="00943881">
        <w:rPr>
          <w:rFonts w:ascii="Verdana" w:hAnsi="Verdana"/>
        </w:rPr>
        <w:t xml:space="preserve"> </w:t>
      </w:r>
      <w:r w:rsidRPr="00111C88" w:rsidR="003B2F30">
        <w:rPr>
          <w:rFonts w:ascii="Verdana" w:hAnsi="Verdana"/>
        </w:rPr>
        <w:t>Notwithstanding</w:t>
      </w:r>
      <w:r w:rsidRPr="00111C88" w:rsidR="008F007E">
        <w:rPr>
          <w:rFonts w:ascii="Verdana" w:hAnsi="Verdana"/>
        </w:rPr>
        <w:t xml:space="preserve"> the recent focus on</w:t>
      </w:r>
      <w:r w:rsidRPr="00111C88" w:rsidR="00D2063A">
        <w:rPr>
          <w:rFonts w:ascii="Verdana" w:hAnsi="Verdana"/>
        </w:rPr>
        <w:t xml:space="preserve"> the</w:t>
      </w:r>
      <w:r w:rsidRPr="00111C88" w:rsidR="00943881">
        <w:rPr>
          <w:rFonts w:ascii="Verdana" w:hAnsi="Verdana"/>
        </w:rPr>
        <w:t xml:space="preserve"> CJEU</w:t>
      </w:r>
      <w:r w:rsidRPr="00111C88" w:rsidR="008F007E">
        <w:rPr>
          <w:rFonts w:ascii="Verdana" w:hAnsi="Verdana"/>
        </w:rPr>
        <w:t>,</w:t>
      </w:r>
      <w:r>
        <w:rPr>
          <w:rStyle w:val="FootnoteReference"/>
          <w:rFonts w:ascii="Verdana" w:hAnsi="Verdana"/>
        </w:rPr>
        <w:footnoteReference w:id="17"/>
      </w:r>
      <w:r w:rsidRPr="00111C88" w:rsidR="00943881">
        <w:rPr>
          <w:rFonts w:ascii="Verdana" w:hAnsi="Verdana"/>
        </w:rPr>
        <w:t xml:space="preserve"> the Command Paper </w:t>
      </w:r>
      <w:r w:rsidRPr="00111C88" w:rsidR="002A0D8A">
        <w:rPr>
          <w:rFonts w:ascii="Verdana" w:hAnsi="Verdana"/>
        </w:rPr>
        <w:t>regards</w:t>
      </w:r>
      <w:r w:rsidRPr="00111C88" w:rsidR="00943881">
        <w:rPr>
          <w:rFonts w:ascii="Verdana" w:hAnsi="Verdana"/>
        </w:rPr>
        <w:t xml:space="preserve"> the role of all </w:t>
      </w:r>
      <w:r w:rsidRPr="00111C88" w:rsidR="008F007E">
        <w:rPr>
          <w:rFonts w:ascii="Verdana" w:hAnsi="Verdana"/>
        </w:rPr>
        <w:t xml:space="preserve">EU </w:t>
      </w:r>
      <w:r w:rsidRPr="00111C88" w:rsidR="00943881">
        <w:rPr>
          <w:rFonts w:ascii="Verdana" w:hAnsi="Verdana"/>
        </w:rPr>
        <w:t xml:space="preserve">institutions </w:t>
      </w:r>
      <w:r w:rsidRPr="00111C88" w:rsidR="007E5696">
        <w:rPr>
          <w:rFonts w:ascii="Verdana" w:hAnsi="Verdana"/>
        </w:rPr>
        <w:t>under</w:t>
      </w:r>
      <w:r w:rsidRPr="00111C88" w:rsidR="00943881">
        <w:rPr>
          <w:rFonts w:ascii="Verdana" w:hAnsi="Verdana"/>
        </w:rPr>
        <w:t xml:space="preserve"> Article 12 of the Protocol </w:t>
      </w:r>
      <w:r w:rsidRPr="00111C88" w:rsidR="002A0D8A">
        <w:rPr>
          <w:rFonts w:ascii="Verdana" w:hAnsi="Verdana"/>
        </w:rPr>
        <w:t>a</w:t>
      </w:r>
      <w:r w:rsidRPr="00111C88" w:rsidR="00943881">
        <w:rPr>
          <w:rFonts w:ascii="Verdana" w:hAnsi="Verdana"/>
        </w:rPr>
        <w:t xml:space="preserve">s problematic. It wishes to replace the role played by the Commission and the CJEU in </w:t>
      </w:r>
      <w:r w:rsidRPr="00111C88" w:rsidR="003E4B36">
        <w:rPr>
          <w:rFonts w:ascii="Verdana" w:hAnsi="Verdana"/>
        </w:rPr>
        <w:t>enforcing parts of the Protocol with a dispute settlement</w:t>
      </w:r>
      <w:r w:rsidRPr="00111C88" w:rsidR="008F007E">
        <w:rPr>
          <w:rFonts w:ascii="Verdana" w:hAnsi="Verdana"/>
        </w:rPr>
        <w:t xml:space="preserve"> process comparable to the</w:t>
      </w:r>
      <w:r w:rsidRPr="00111C88" w:rsidR="003E4B36">
        <w:rPr>
          <w:rFonts w:ascii="Verdana" w:hAnsi="Verdana"/>
        </w:rPr>
        <w:t xml:space="preserve"> arbitration </w:t>
      </w:r>
      <w:r w:rsidRPr="00111C88" w:rsidR="008F007E">
        <w:rPr>
          <w:rFonts w:ascii="Verdana" w:hAnsi="Verdana"/>
        </w:rPr>
        <w:t xml:space="preserve">which is part of </w:t>
      </w:r>
      <w:r w:rsidRPr="00111C88" w:rsidR="003E4B36">
        <w:rPr>
          <w:rFonts w:ascii="Verdana" w:hAnsi="Verdana"/>
        </w:rPr>
        <w:t xml:space="preserve">the </w:t>
      </w:r>
      <w:r w:rsidRPr="00111C88" w:rsidR="00BA6A33">
        <w:rPr>
          <w:rFonts w:ascii="Verdana" w:hAnsi="Verdana"/>
        </w:rPr>
        <w:t>Trade and Cooperation Agreement</w:t>
      </w:r>
      <w:r w:rsidRPr="00111C88" w:rsidR="003E4B36">
        <w:rPr>
          <w:rFonts w:ascii="Verdana" w:hAnsi="Verdana"/>
        </w:rPr>
        <w:t xml:space="preserve">. The </w:t>
      </w:r>
      <w:r w:rsidRPr="00111C88" w:rsidR="002A0D8A">
        <w:rPr>
          <w:rFonts w:ascii="Verdana" w:hAnsi="Verdana"/>
        </w:rPr>
        <w:t xml:space="preserve">Command </w:t>
      </w:r>
      <w:r w:rsidRPr="00111C88" w:rsidR="008F007E">
        <w:rPr>
          <w:rFonts w:ascii="Verdana" w:hAnsi="Verdana"/>
        </w:rPr>
        <w:t>P</w:t>
      </w:r>
      <w:r w:rsidRPr="00111C88" w:rsidR="003E4B36">
        <w:rPr>
          <w:rFonts w:ascii="Verdana" w:hAnsi="Verdana"/>
        </w:rPr>
        <w:t>aper acknowledges this would require amending the Protocol.</w:t>
      </w:r>
      <w:r>
        <w:rPr>
          <w:rStyle w:val="FootnoteReference"/>
          <w:rFonts w:ascii="Verdana" w:hAnsi="Verdana"/>
        </w:rPr>
        <w:footnoteReference w:id="18"/>
      </w:r>
      <w:r w:rsidRPr="00111C88" w:rsidR="002A413D">
        <w:rPr>
          <w:rFonts w:ascii="Verdana" w:hAnsi="Verdana"/>
        </w:rPr>
        <w:t xml:space="preserve"> </w:t>
      </w:r>
      <w:r w:rsidRPr="00111C88" w:rsidR="005E695A">
        <w:rPr>
          <w:rFonts w:ascii="Verdana" w:hAnsi="Verdana"/>
        </w:rPr>
        <w:t>It should be noted that in singling out Articles 12(4) to 12(7), it appears that the UK is not protesting the Commission’s oversight role as set out in Articles 12(2) and 12(3).</w:t>
      </w:r>
    </w:p>
    <w:p w:rsidR="00BE29AA"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T</w:t>
      </w:r>
      <w:r w:rsidRPr="00111C88" w:rsidR="003E4B36">
        <w:rPr>
          <w:rFonts w:ascii="Verdana" w:hAnsi="Verdana"/>
        </w:rPr>
        <w:t xml:space="preserve">his </w:t>
      </w:r>
      <w:r w:rsidRPr="00111C88" w:rsidR="00A729C3">
        <w:rPr>
          <w:rFonts w:ascii="Verdana" w:hAnsi="Verdana"/>
        </w:rPr>
        <w:t xml:space="preserve">proposal </w:t>
      </w:r>
      <w:r w:rsidRPr="00111C88" w:rsidR="00CF64ED">
        <w:rPr>
          <w:rFonts w:ascii="Verdana" w:hAnsi="Verdana"/>
        </w:rPr>
        <w:t xml:space="preserve">disregards the </w:t>
      </w:r>
      <w:r w:rsidRPr="00111C88" w:rsidR="00022898">
        <w:rPr>
          <w:rFonts w:ascii="Verdana" w:hAnsi="Verdana"/>
        </w:rPr>
        <w:t xml:space="preserve">distinct </w:t>
      </w:r>
      <w:r w:rsidRPr="00111C88" w:rsidR="00CF64ED">
        <w:rPr>
          <w:rFonts w:ascii="Verdana" w:hAnsi="Verdana"/>
        </w:rPr>
        <w:t>nature</w:t>
      </w:r>
      <w:r w:rsidRPr="00111C88" w:rsidR="002A0D8A">
        <w:rPr>
          <w:rFonts w:ascii="Verdana" w:hAnsi="Verdana"/>
        </w:rPr>
        <w:t xml:space="preserve"> of the Protocol</w:t>
      </w:r>
      <w:r w:rsidRPr="00111C88" w:rsidR="003E4B36">
        <w:rPr>
          <w:rFonts w:ascii="Verdana" w:hAnsi="Verdana"/>
        </w:rPr>
        <w:t xml:space="preserve">. The EU outsourced its external </w:t>
      </w:r>
      <w:r w:rsidRPr="00111C88" w:rsidR="002A0D8A">
        <w:rPr>
          <w:rFonts w:ascii="Verdana" w:hAnsi="Verdana"/>
        </w:rPr>
        <w:t xml:space="preserve">trade </w:t>
      </w:r>
      <w:r w:rsidRPr="00111C88" w:rsidR="003E4B36">
        <w:rPr>
          <w:rFonts w:ascii="Verdana" w:hAnsi="Verdana"/>
        </w:rPr>
        <w:t xml:space="preserve">border’s workings to a non-Member State in agreeing to the Protocol, and permits the UK to run that EU border on the conditions that the UK applies the relevant EU law, and </w:t>
      </w:r>
      <w:r w:rsidRPr="00111C88" w:rsidR="00171FD5">
        <w:rPr>
          <w:rFonts w:ascii="Verdana" w:hAnsi="Verdana"/>
        </w:rPr>
        <w:t xml:space="preserve">that </w:t>
      </w:r>
      <w:r w:rsidRPr="00111C88" w:rsidR="003E4B36">
        <w:rPr>
          <w:rFonts w:ascii="Verdana" w:hAnsi="Verdana"/>
        </w:rPr>
        <w:t>the EU can itself exercise an oversight and, where necessary, secondary enforcement role</w:t>
      </w:r>
      <w:r w:rsidRPr="00111C88" w:rsidR="00A729C3">
        <w:rPr>
          <w:rFonts w:ascii="Verdana" w:hAnsi="Verdana"/>
        </w:rPr>
        <w:t xml:space="preserve"> over how the UK does this.</w:t>
      </w:r>
      <w:r w:rsidRPr="00111C88" w:rsidR="00171FD5">
        <w:rPr>
          <w:rFonts w:ascii="Verdana" w:hAnsi="Verdana"/>
        </w:rPr>
        <w:t xml:space="preserve"> This is not comparable to other trade agreements with enforcement mechanisms based upon arbitration.</w:t>
      </w:r>
    </w:p>
    <w:p w:rsidR="00BE29AA"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The CJEU has long established that where the EU concludes</w:t>
      </w:r>
      <w:r w:rsidRPr="00111C88" w:rsidR="00A729C3">
        <w:rPr>
          <w:rFonts w:ascii="Verdana" w:hAnsi="Verdana"/>
        </w:rPr>
        <w:t xml:space="preserve"> any international agreement </w:t>
      </w:r>
      <w:r w:rsidRPr="00111C88" w:rsidR="001115D2">
        <w:rPr>
          <w:rFonts w:ascii="Verdana" w:hAnsi="Verdana"/>
        </w:rPr>
        <w:t>which contains provisions of EU law, it is to be the sole interpreter of those provisions of EU law.</w:t>
      </w:r>
      <w:r>
        <w:rPr>
          <w:rStyle w:val="FootnoteReference"/>
          <w:rFonts w:ascii="Verdana" w:hAnsi="Verdana"/>
        </w:rPr>
        <w:footnoteReference w:id="19"/>
      </w:r>
      <w:r w:rsidRPr="00111C88" w:rsidR="001115D2">
        <w:rPr>
          <w:rFonts w:ascii="Verdana" w:hAnsi="Verdana"/>
        </w:rPr>
        <w:t xml:space="preserve"> Removing the role of the CJEU from the Protocol would result in the CJEU finding that the Protocol </w:t>
      </w:r>
      <w:r w:rsidRPr="00111C88" w:rsidR="00161629">
        <w:rPr>
          <w:rFonts w:ascii="Verdana" w:hAnsi="Verdana"/>
        </w:rPr>
        <w:t xml:space="preserve">is contrary to EU law. The only way to remove the role of the CJEU from the Protocol, then, is to </w:t>
      </w:r>
      <w:r w:rsidRPr="00111C88" w:rsidR="00C86726">
        <w:rPr>
          <w:rFonts w:ascii="Verdana" w:hAnsi="Verdana"/>
        </w:rPr>
        <w:t xml:space="preserve">also remove </w:t>
      </w:r>
      <w:r w:rsidRPr="00111C88" w:rsidR="002E729D">
        <w:rPr>
          <w:rFonts w:ascii="Verdana" w:hAnsi="Verdana"/>
        </w:rPr>
        <w:t>operative</w:t>
      </w:r>
      <w:r w:rsidRPr="00111C88" w:rsidR="00C86726">
        <w:rPr>
          <w:rFonts w:ascii="Verdana" w:hAnsi="Verdana"/>
        </w:rPr>
        <w:t xml:space="preserve"> EU law. However, </w:t>
      </w:r>
      <w:r w:rsidRPr="00111C88" w:rsidR="0027391A">
        <w:rPr>
          <w:rFonts w:ascii="Verdana" w:hAnsi="Verdana"/>
        </w:rPr>
        <w:t>that would mean that this specific portion of the EU’s external border is somehow not governed by EU law – but rather some ‘other’ law, that an independent arbitral tribunal is responsible for enforcing.</w:t>
      </w:r>
      <w:r w:rsidRPr="00111C88" w:rsidR="00E30470">
        <w:rPr>
          <w:rFonts w:ascii="Verdana" w:hAnsi="Verdana"/>
        </w:rPr>
        <w:t xml:space="preserve"> In our view, this is a</w:t>
      </w:r>
      <w:r w:rsidRPr="00111C88" w:rsidR="003B0D0A">
        <w:rPr>
          <w:rFonts w:ascii="Verdana" w:hAnsi="Verdana"/>
        </w:rPr>
        <w:t>n</w:t>
      </w:r>
      <w:r w:rsidRPr="00111C88" w:rsidR="00E30470">
        <w:rPr>
          <w:rFonts w:ascii="Verdana" w:hAnsi="Verdana"/>
        </w:rPr>
        <w:t xml:space="preserve"> un</w:t>
      </w:r>
      <w:r w:rsidRPr="00111C88" w:rsidR="003B0D0A">
        <w:rPr>
          <w:rFonts w:ascii="Verdana" w:hAnsi="Verdana"/>
        </w:rPr>
        <w:t>workable proposal</w:t>
      </w:r>
      <w:r w:rsidRPr="00111C88" w:rsidR="00E30470">
        <w:rPr>
          <w:rFonts w:ascii="Verdana" w:hAnsi="Verdana"/>
        </w:rPr>
        <w:t xml:space="preserve"> – and one that </w:t>
      </w:r>
      <w:r w:rsidRPr="00111C88" w:rsidR="002E729D">
        <w:rPr>
          <w:rFonts w:ascii="Verdana" w:hAnsi="Verdana"/>
        </w:rPr>
        <w:t>illustrates</w:t>
      </w:r>
      <w:r w:rsidRPr="00111C88" w:rsidR="00E30470">
        <w:rPr>
          <w:rFonts w:ascii="Verdana" w:hAnsi="Verdana"/>
        </w:rPr>
        <w:t xml:space="preserve"> that the UK wishes not so much to renegotiate dimensions of the Protocol, but rather the foundations of its operation.</w:t>
      </w:r>
    </w:p>
    <w:p w:rsidR="00A03FD4"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T</w:t>
      </w:r>
      <w:r w:rsidRPr="00111C88">
        <w:rPr>
          <w:rFonts w:ascii="Verdana" w:hAnsi="Verdana"/>
        </w:rPr>
        <w:t>he UK request to involve Northern Ireland more in EU consultations on proposed legislation that affects the Protocol is</w:t>
      </w:r>
      <w:r w:rsidRPr="00111C88">
        <w:rPr>
          <w:rFonts w:ascii="Verdana" w:hAnsi="Verdana"/>
        </w:rPr>
        <w:t>, by contrast,</w:t>
      </w:r>
      <w:r w:rsidRPr="00111C88">
        <w:rPr>
          <w:rFonts w:ascii="Verdana" w:hAnsi="Verdana"/>
        </w:rPr>
        <w:t xml:space="preserve"> </w:t>
      </w:r>
      <w:r w:rsidRPr="00111C88">
        <w:rPr>
          <w:rFonts w:ascii="Verdana" w:hAnsi="Verdana"/>
        </w:rPr>
        <w:t>reasonable</w:t>
      </w:r>
      <w:r w:rsidRPr="00111C88" w:rsidR="00FE210B">
        <w:rPr>
          <w:rFonts w:ascii="Verdana" w:hAnsi="Verdana"/>
        </w:rPr>
        <w:t xml:space="preserve">. The democratic deficit inherent in the application of such a large </w:t>
      </w:r>
      <w:r w:rsidRPr="00111C88" w:rsidR="002E729D">
        <w:rPr>
          <w:rFonts w:ascii="Verdana" w:hAnsi="Verdana"/>
        </w:rPr>
        <w:t>body of EU law in Northern Ireland without representation within EU institutions has</w:t>
      </w:r>
      <w:r w:rsidRPr="00111C88">
        <w:rPr>
          <w:rFonts w:ascii="Verdana" w:hAnsi="Verdana"/>
        </w:rPr>
        <w:t xml:space="preserve"> </w:t>
      </w:r>
      <w:r w:rsidRPr="00111C88" w:rsidR="002E729D">
        <w:rPr>
          <w:rFonts w:ascii="Verdana" w:hAnsi="Verdana"/>
        </w:rPr>
        <w:t xml:space="preserve">been addressed within the Protocol by the Article 18 “Stormont lock”, </w:t>
      </w:r>
      <w:r w:rsidRPr="00111C88" w:rsidR="00A15913">
        <w:rPr>
          <w:rFonts w:ascii="Verdana" w:hAnsi="Verdana"/>
        </w:rPr>
        <w:t>but Assembly votes on the overall operation of the Protocol are not the same as active involvement in law making</w:t>
      </w:r>
      <w:r w:rsidRPr="00111C88" w:rsidR="002E729D">
        <w:rPr>
          <w:rFonts w:ascii="Verdana" w:hAnsi="Verdana"/>
        </w:rPr>
        <w:t xml:space="preserve">. </w:t>
      </w:r>
      <w:r w:rsidRPr="00111C88" w:rsidR="00A15913">
        <w:rPr>
          <w:rFonts w:ascii="Verdana" w:hAnsi="Verdana"/>
        </w:rPr>
        <w:t xml:space="preserve">Mechanisms could be developed which align more closely </w:t>
      </w:r>
      <w:r w:rsidRPr="00111C88">
        <w:rPr>
          <w:rFonts w:ascii="Verdana" w:hAnsi="Verdana"/>
        </w:rPr>
        <w:t xml:space="preserve">with the arrangements the EU </w:t>
      </w:r>
      <w:r w:rsidRPr="00111C88">
        <w:rPr>
          <w:rFonts w:ascii="Verdana" w:hAnsi="Verdana"/>
        </w:rPr>
        <w:t>maintains</w:t>
      </w:r>
      <w:r w:rsidRPr="00111C88">
        <w:rPr>
          <w:rFonts w:ascii="Verdana" w:hAnsi="Verdana"/>
        </w:rPr>
        <w:t xml:space="preserve"> with EEA members like Norway.</w:t>
      </w:r>
      <w:r>
        <w:rPr>
          <w:rStyle w:val="FootnoteReference"/>
          <w:rFonts w:ascii="Verdana" w:hAnsi="Verdana"/>
        </w:rPr>
        <w:footnoteReference w:id="20"/>
      </w:r>
    </w:p>
    <w:p w:rsidR="008138E6" w:rsidRPr="00111C88" w:rsidP="00745DA5">
      <w:pPr>
        <w:spacing w:before="120" w:after="120"/>
        <w:ind w:right="425"/>
        <w:jc w:val="both"/>
        <w:rPr>
          <w:rFonts w:ascii="Verdana" w:hAnsi="Verdana"/>
        </w:rPr>
      </w:pPr>
    </w:p>
    <w:p w:rsidR="0002792A" w:rsidRPr="00111C88" w:rsidP="00745DA5">
      <w:pPr>
        <w:spacing w:before="120" w:after="120" w:line="240" w:lineRule="auto"/>
        <w:ind w:right="425"/>
        <w:jc w:val="both"/>
        <w:rPr>
          <w:rFonts w:ascii="Verdana" w:eastAsia="Times New Roman" w:hAnsi="Verdana" w:cs="Arial"/>
          <w:b/>
          <w:bCs/>
          <w:lang w:eastAsia="en-GB"/>
        </w:rPr>
      </w:pPr>
      <w:r w:rsidRPr="00111C88">
        <w:rPr>
          <w:rFonts w:ascii="Verdana" w:eastAsia="Times New Roman" w:hAnsi="Verdana" w:cs="Arial"/>
          <w:b/>
          <w:bCs/>
          <w:lang w:eastAsia="en-GB"/>
        </w:rPr>
        <w:t xml:space="preserve">MERITS AND DRAWBACKS OF THE </w:t>
      </w:r>
      <w:r w:rsidRPr="00111C88" w:rsidR="00D27893">
        <w:rPr>
          <w:rFonts w:ascii="Verdana" w:eastAsia="Times New Roman" w:hAnsi="Verdana" w:cs="Arial"/>
          <w:b/>
          <w:bCs/>
          <w:lang w:eastAsia="en-GB"/>
        </w:rPr>
        <w:t xml:space="preserve">EU’s </w:t>
      </w:r>
      <w:r w:rsidRPr="00111C88">
        <w:rPr>
          <w:rFonts w:ascii="Verdana" w:eastAsia="Times New Roman" w:hAnsi="Verdana" w:cs="Arial"/>
          <w:b/>
          <w:bCs/>
          <w:lang w:eastAsia="en-GB"/>
        </w:rPr>
        <w:t xml:space="preserve">OCTOBER 2021 </w:t>
      </w:r>
      <w:r w:rsidRPr="00111C88" w:rsidR="00025E83">
        <w:rPr>
          <w:rFonts w:ascii="Verdana" w:eastAsia="Times New Roman" w:hAnsi="Verdana" w:cs="Arial"/>
          <w:b/>
          <w:bCs/>
          <w:lang w:eastAsia="en-GB"/>
        </w:rPr>
        <w:t>PROPOSALS</w:t>
      </w:r>
    </w:p>
    <w:p w:rsidR="00E50EC7" w:rsidRPr="00111C88" w:rsidP="00745DA5">
      <w:pPr>
        <w:spacing w:before="120" w:after="120" w:line="240" w:lineRule="auto"/>
        <w:ind w:right="425"/>
        <w:jc w:val="both"/>
        <w:rPr>
          <w:rFonts w:ascii="Verdana" w:eastAsia="Times New Roman" w:hAnsi="Verdana" w:cs="Arial"/>
          <w:b/>
          <w:bCs/>
          <w:lang w:eastAsia="en-GB"/>
        </w:rPr>
      </w:pPr>
    </w:p>
    <w:p w:rsidR="00D00415"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The October 2021 EU </w:t>
      </w:r>
      <w:r w:rsidRPr="00111C88" w:rsidR="007202BA">
        <w:rPr>
          <w:rFonts w:ascii="Verdana" w:hAnsi="Verdana"/>
        </w:rPr>
        <w:t>p</w:t>
      </w:r>
      <w:r w:rsidRPr="00111C88">
        <w:rPr>
          <w:rFonts w:ascii="Verdana" w:hAnsi="Verdana"/>
        </w:rPr>
        <w:t xml:space="preserve">roposals come in four </w:t>
      </w:r>
      <w:r w:rsidRPr="00111C88" w:rsidR="00FE1BBC">
        <w:rPr>
          <w:rFonts w:ascii="Verdana" w:hAnsi="Verdana"/>
        </w:rPr>
        <w:t>non-papers</w:t>
      </w:r>
      <w:r w:rsidRPr="00111C88" w:rsidR="007B6124">
        <w:rPr>
          <w:rFonts w:ascii="Verdana" w:hAnsi="Verdana"/>
        </w:rPr>
        <w:t xml:space="preserve"> – on medicines, on SPS issues, on customs, and on </w:t>
      </w:r>
      <w:r w:rsidRPr="00111C88" w:rsidR="004C568A">
        <w:rPr>
          <w:rFonts w:ascii="Verdana" w:hAnsi="Verdana"/>
        </w:rPr>
        <w:t xml:space="preserve">engagement with </w:t>
      </w:r>
      <w:r w:rsidRPr="00111C88" w:rsidR="006E0C59">
        <w:rPr>
          <w:rFonts w:ascii="Verdana" w:hAnsi="Verdana"/>
        </w:rPr>
        <w:t xml:space="preserve">Northern Ireland </w:t>
      </w:r>
      <w:r w:rsidRPr="00111C88" w:rsidR="004C568A">
        <w:rPr>
          <w:rFonts w:ascii="Verdana" w:hAnsi="Verdana"/>
        </w:rPr>
        <w:t>stakeholders/authorities</w:t>
      </w:r>
      <w:r w:rsidRPr="00111C88" w:rsidR="007B6124">
        <w:rPr>
          <w:rFonts w:ascii="Verdana" w:hAnsi="Verdana"/>
        </w:rPr>
        <w:t xml:space="preserve"> – </w:t>
      </w:r>
      <w:r w:rsidRPr="00111C88">
        <w:rPr>
          <w:rFonts w:ascii="Verdana" w:hAnsi="Verdana"/>
        </w:rPr>
        <w:t>each</w:t>
      </w:r>
      <w:r w:rsidRPr="00111C88" w:rsidR="007B6124">
        <w:rPr>
          <w:rFonts w:ascii="Verdana" w:hAnsi="Verdana"/>
        </w:rPr>
        <w:t xml:space="preserve"> </w:t>
      </w:r>
      <w:r w:rsidRPr="00111C88">
        <w:rPr>
          <w:rFonts w:ascii="Verdana" w:hAnsi="Verdana"/>
        </w:rPr>
        <w:t>of which will be addressed in turn.</w:t>
      </w:r>
    </w:p>
    <w:p w:rsidR="00D00415" w:rsidRPr="00111C88" w:rsidP="007D7488">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On </w:t>
      </w:r>
      <w:r w:rsidRPr="00111C88">
        <w:rPr>
          <w:rFonts w:ascii="Verdana" w:hAnsi="Verdana"/>
          <w:b/>
          <w:bCs/>
        </w:rPr>
        <w:t>Medicines</w:t>
      </w:r>
      <w:r w:rsidRPr="00111C88">
        <w:rPr>
          <w:rFonts w:ascii="Verdana" w:hAnsi="Verdana"/>
        </w:rPr>
        <w:t xml:space="preserve">, the </w:t>
      </w:r>
      <w:r w:rsidRPr="00111C88" w:rsidR="00DB27A3">
        <w:rPr>
          <w:rFonts w:ascii="Verdana" w:hAnsi="Verdana"/>
        </w:rPr>
        <w:t xml:space="preserve">EU proposals </w:t>
      </w:r>
      <w:r w:rsidRPr="00111C88" w:rsidR="007202BA">
        <w:rPr>
          <w:rFonts w:ascii="Verdana" w:hAnsi="Verdana"/>
        </w:rPr>
        <w:t>provide</w:t>
      </w:r>
      <w:r w:rsidRPr="00111C88" w:rsidR="00DB27A3">
        <w:rPr>
          <w:rFonts w:ascii="Verdana" w:hAnsi="Verdana"/>
        </w:rPr>
        <w:t xml:space="preserve"> that </w:t>
      </w:r>
      <w:r w:rsidRPr="00111C88" w:rsidR="007202BA">
        <w:rPr>
          <w:rFonts w:ascii="Verdana" w:hAnsi="Verdana"/>
        </w:rPr>
        <w:t>many</w:t>
      </w:r>
      <w:r w:rsidRPr="00111C88" w:rsidR="00DB27A3">
        <w:rPr>
          <w:rFonts w:ascii="Verdana" w:hAnsi="Verdana"/>
        </w:rPr>
        <w:t xml:space="preserve"> of the product compliance checks with EU regulations could take place in </w:t>
      </w:r>
      <w:r w:rsidRPr="00111C88" w:rsidR="006E0C59">
        <w:rPr>
          <w:rFonts w:ascii="Verdana" w:hAnsi="Verdana"/>
        </w:rPr>
        <w:t>Great Britain</w:t>
      </w:r>
      <w:r w:rsidRPr="00111C88" w:rsidR="00DB27A3">
        <w:rPr>
          <w:rFonts w:ascii="Verdana" w:hAnsi="Verdana"/>
        </w:rPr>
        <w:t>, albeit following EU law. The trade-off for this leeway</w:t>
      </w:r>
      <w:r w:rsidRPr="00111C88" w:rsidR="007D7488">
        <w:rPr>
          <w:rFonts w:ascii="Verdana" w:hAnsi="Verdana"/>
        </w:rPr>
        <w:t xml:space="preserve"> – </w:t>
      </w:r>
      <w:r w:rsidRPr="00111C88" w:rsidR="00DB27A3">
        <w:rPr>
          <w:rFonts w:ascii="Verdana" w:hAnsi="Verdana"/>
        </w:rPr>
        <w:t xml:space="preserve">in that regulatory compliance checks normally have to take place </w:t>
      </w:r>
      <w:r w:rsidRPr="00111C88" w:rsidR="00DB27A3">
        <w:rPr>
          <w:rFonts w:ascii="Verdana" w:hAnsi="Verdana"/>
          <w:i/>
          <w:iCs/>
        </w:rPr>
        <w:t xml:space="preserve">within </w:t>
      </w:r>
      <w:r w:rsidRPr="00111C88" w:rsidR="00DB27A3">
        <w:rPr>
          <w:rFonts w:ascii="Verdana" w:hAnsi="Verdana"/>
        </w:rPr>
        <w:t>the EU</w:t>
      </w:r>
      <w:r w:rsidRPr="00111C88" w:rsidR="007D7488">
        <w:rPr>
          <w:rFonts w:ascii="Verdana" w:hAnsi="Verdana"/>
        </w:rPr>
        <w:t xml:space="preserve"> – </w:t>
      </w:r>
      <w:r w:rsidRPr="00111C88" w:rsidR="00852A1F">
        <w:rPr>
          <w:rFonts w:ascii="Verdana" w:hAnsi="Verdana"/>
        </w:rPr>
        <w:t xml:space="preserve">is that there would be limitations on where these ‘GB certified’ medicines could be sold (eg, not outside of the UK) and the EU would </w:t>
      </w:r>
      <w:r w:rsidRPr="00111C88" w:rsidR="00120264">
        <w:rPr>
          <w:rFonts w:ascii="Verdana" w:hAnsi="Verdana"/>
        </w:rPr>
        <w:t>seek</w:t>
      </w:r>
      <w:r w:rsidRPr="00111C88" w:rsidR="00852A1F">
        <w:rPr>
          <w:rFonts w:ascii="Verdana" w:hAnsi="Verdana"/>
        </w:rPr>
        <w:t xml:space="preserve"> enhanced oversight.</w:t>
      </w:r>
      <w:r>
        <w:rPr>
          <w:rStyle w:val="FootnoteReference"/>
          <w:rFonts w:ascii="Verdana" w:hAnsi="Verdana"/>
        </w:rPr>
        <w:footnoteReference w:id="21"/>
      </w:r>
      <w:r w:rsidRPr="00111C88" w:rsidR="007D7488">
        <w:rPr>
          <w:rFonts w:ascii="Verdana" w:hAnsi="Verdana"/>
        </w:rPr>
        <w:t xml:space="preserve"> </w:t>
      </w:r>
      <w:r w:rsidRPr="00111C88" w:rsidR="00F50612">
        <w:rPr>
          <w:rFonts w:ascii="Verdana" w:hAnsi="Verdana"/>
        </w:rPr>
        <w:t xml:space="preserve">These proposals </w:t>
      </w:r>
      <w:r w:rsidRPr="00111C88" w:rsidR="007D7488">
        <w:rPr>
          <w:rFonts w:ascii="Verdana" w:hAnsi="Verdana"/>
        </w:rPr>
        <w:t>provide</w:t>
      </w:r>
      <w:r w:rsidRPr="00111C88" w:rsidR="00F50612">
        <w:rPr>
          <w:rFonts w:ascii="Verdana" w:hAnsi="Verdana"/>
        </w:rPr>
        <w:t xml:space="preserve"> a reasonable </w:t>
      </w:r>
      <w:r w:rsidRPr="00111C88" w:rsidR="007D7488">
        <w:rPr>
          <w:rFonts w:ascii="Verdana" w:hAnsi="Verdana"/>
        </w:rPr>
        <w:t>outline by which to</w:t>
      </w:r>
      <w:r w:rsidRPr="00111C88" w:rsidR="00620EA8">
        <w:rPr>
          <w:rFonts w:ascii="Verdana" w:hAnsi="Verdana"/>
        </w:rPr>
        <w:t xml:space="preserve"> facilitate </w:t>
      </w:r>
      <w:r w:rsidRPr="00111C88" w:rsidR="00120264">
        <w:rPr>
          <w:rFonts w:ascii="Verdana" w:hAnsi="Verdana"/>
        </w:rPr>
        <w:t xml:space="preserve">producers in </w:t>
      </w:r>
      <w:r w:rsidRPr="00111C88" w:rsidR="006E0C59">
        <w:rPr>
          <w:rFonts w:ascii="Verdana" w:hAnsi="Verdana"/>
        </w:rPr>
        <w:t xml:space="preserve">Great Britain </w:t>
      </w:r>
      <w:r w:rsidRPr="00111C88" w:rsidR="00620EA8">
        <w:rPr>
          <w:rFonts w:ascii="Verdana" w:hAnsi="Verdana"/>
        </w:rPr>
        <w:t>bring</w:t>
      </w:r>
      <w:r w:rsidRPr="00111C88" w:rsidR="00120264">
        <w:rPr>
          <w:rFonts w:ascii="Verdana" w:hAnsi="Verdana"/>
        </w:rPr>
        <w:t>ing</w:t>
      </w:r>
      <w:r w:rsidRPr="00111C88" w:rsidR="00620EA8">
        <w:rPr>
          <w:rFonts w:ascii="Verdana" w:hAnsi="Verdana"/>
        </w:rPr>
        <w:t xml:space="preserve"> medicines onto the </w:t>
      </w:r>
      <w:r w:rsidRPr="00111C88" w:rsidR="006E0C59">
        <w:rPr>
          <w:rFonts w:ascii="Verdana" w:hAnsi="Verdana"/>
        </w:rPr>
        <w:t xml:space="preserve">Northern Ireland </w:t>
      </w:r>
      <w:r w:rsidRPr="00111C88" w:rsidR="00620EA8">
        <w:rPr>
          <w:rFonts w:ascii="Verdana" w:hAnsi="Verdana"/>
        </w:rPr>
        <w:t>market</w:t>
      </w:r>
      <w:r w:rsidRPr="00111C88" w:rsidR="001E14AB">
        <w:rPr>
          <w:rFonts w:ascii="Verdana" w:hAnsi="Verdana"/>
        </w:rPr>
        <w:t xml:space="preserve"> (and also Cyprus, Malta and Ireland)</w:t>
      </w:r>
      <w:r w:rsidRPr="00111C88" w:rsidR="00D72370">
        <w:rPr>
          <w:rFonts w:ascii="Verdana" w:hAnsi="Verdana"/>
        </w:rPr>
        <w:t xml:space="preserve">, but they are quite far removed from the UK request to exempt medicines from the Protocol altogether. </w:t>
      </w:r>
      <w:r w:rsidRPr="00111C88" w:rsidR="007D7488">
        <w:rPr>
          <w:rFonts w:ascii="Verdana" w:hAnsi="Verdana"/>
        </w:rPr>
        <w:t xml:space="preserve">The published proposals, moreover, </w:t>
      </w:r>
      <w:r w:rsidRPr="00111C88" w:rsidR="000554B7">
        <w:rPr>
          <w:rFonts w:ascii="Verdana" w:hAnsi="Verdana"/>
        </w:rPr>
        <w:t>leave open important questions</w:t>
      </w:r>
      <w:r w:rsidRPr="00111C88" w:rsidR="001E6E7B">
        <w:rPr>
          <w:rFonts w:ascii="Verdana" w:hAnsi="Verdana"/>
        </w:rPr>
        <w:t xml:space="preserve"> </w:t>
      </w:r>
      <w:r w:rsidRPr="00111C88" w:rsidR="001E14AB">
        <w:rPr>
          <w:rFonts w:ascii="Verdana" w:hAnsi="Verdana"/>
        </w:rPr>
        <w:t>over</w:t>
      </w:r>
      <w:r w:rsidRPr="00111C88" w:rsidR="001E6E7B">
        <w:rPr>
          <w:rFonts w:ascii="Verdana" w:hAnsi="Verdana"/>
        </w:rPr>
        <w:t xml:space="preserve"> how regulatory processes would be coordinated</w:t>
      </w:r>
      <w:r w:rsidRPr="00111C88" w:rsidR="000554B7">
        <w:rPr>
          <w:rFonts w:ascii="Verdana" w:hAnsi="Verdana"/>
        </w:rPr>
        <w:t xml:space="preserve"> (perhaps unsurprising in a negotiating document)</w:t>
      </w:r>
      <w:r w:rsidRPr="00111C88" w:rsidR="001E6E7B">
        <w:rPr>
          <w:rFonts w:ascii="Verdana" w:hAnsi="Verdana"/>
        </w:rPr>
        <w:t>.</w:t>
      </w:r>
    </w:p>
    <w:p w:rsidR="00D00415"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On </w:t>
      </w:r>
      <w:r w:rsidRPr="00111C88">
        <w:rPr>
          <w:rFonts w:ascii="Verdana" w:hAnsi="Verdana"/>
          <w:b/>
          <w:bCs/>
        </w:rPr>
        <w:t>SPS</w:t>
      </w:r>
      <w:r w:rsidRPr="00111C88" w:rsidR="00546148">
        <w:rPr>
          <w:rFonts w:ascii="Verdana" w:hAnsi="Verdana"/>
        </w:rPr>
        <w:t xml:space="preserve">, the EU proposals effectively simplify paperwork and reduce the volume of checks for retail goods that are moving into </w:t>
      </w:r>
      <w:r w:rsidRPr="00111C88" w:rsidR="006E0C59">
        <w:rPr>
          <w:rFonts w:ascii="Verdana" w:hAnsi="Verdana"/>
        </w:rPr>
        <w:t xml:space="preserve">Northern Ireland </w:t>
      </w:r>
      <w:r w:rsidRPr="00111C88" w:rsidR="00546148">
        <w:rPr>
          <w:rFonts w:ascii="Verdana" w:hAnsi="Verdana"/>
        </w:rPr>
        <w:t xml:space="preserve">from </w:t>
      </w:r>
      <w:r w:rsidRPr="00111C88" w:rsidR="006E0C59">
        <w:rPr>
          <w:rFonts w:ascii="Verdana" w:hAnsi="Verdana"/>
        </w:rPr>
        <w:t xml:space="preserve">Great Britain </w:t>
      </w:r>
      <w:r w:rsidRPr="00111C88" w:rsidR="00546148">
        <w:rPr>
          <w:rFonts w:ascii="Verdana" w:hAnsi="Verdana"/>
        </w:rPr>
        <w:t xml:space="preserve">and will clearly be sold in </w:t>
      </w:r>
      <w:r w:rsidRPr="00111C88" w:rsidR="00DD7539">
        <w:rPr>
          <w:rFonts w:ascii="Verdana" w:hAnsi="Verdana"/>
        </w:rPr>
        <w:t>Northern Ireland</w:t>
      </w:r>
      <w:r w:rsidRPr="00111C88" w:rsidR="00546148">
        <w:rPr>
          <w:rFonts w:ascii="Verdana" w:hAnsi="Verdana"/>
        </w:rPr>
        <w:t xml:space="preserve">. Any </w:t>
      </w:r>
      <w:r w:rsidRPr="00111C88" w:rsidR="00DD7539">
        <w:rPr>
          <w:rFonts w:ascii="Verdana" w:hAnsi="Verdana"/>
        </w:rPr>
        <w:t>mode of transport</w:t>
      </w:r>
      <w:r w:rsidRPr="00111C88" w:rsidR="00546148">
        <w:rPr>
          <w:rFonts w:ascii="Verdana" w:hAnsi="Verdana"/>
        </w:rPr>
        <w:t xml:space="preserve"> from </w:t>
      </w:r>
      <w:r w:rsidRPr="00111C88" w:rsidR="006E0C59">
        <w:rPr>
          <w:rFonts w:ascii="Verdana" w:hAnsi="Verdana"/>
        </w:rPr>
        <w:t xml:space="preserve">Great Britain </w:t>
      </w:r>
      <w:r w:rsidRPr="00111C88" w:rsidR="00546148">
        <w:rPr>
          <w:rFonts w:ascii="Verdana" w:hAnsi="Verdana"/>
        </w:rPr>
        <w:t xml:space="preserve">carrying </w:t>
      </w:r>
      <w:r w:rsidRPr="00111C88" w:rsidR="00DD7539">
        <w:rPr>
          <w:rFonts w:ascii="Verdana" w:hAnsi="Verdana"/>
        </w:rPr>
        <w:t>such</w:t>
      </w:r>
      <w:r w:rsidRPr="00111C88" w:rsidR="00546148">
        <w:rPr>
          <w:rFonts w:ascii="Verdana" w:hAnsi="Verdana"/>
        </w:rPr>
        <w:t xml:space="preserve"> retail goods</w:t>
      </w:r>
      <w:r w:rsidRPr="00111C88" w:rsidR="00DD7539">
        <w:rPr>
          <w:rFonts w:ascii="Verdana" w:hAnsi="Verdana"/>
        </w:rPr>
        <w:t>, such as a container,</w:t>
      </w:r>
      <w:r w:rsidRPr="00111C88" w:rsidR="00546148">
        <w:rPr>
          <w:rFonts w:ascii="Verdana" w:hAnsi="Verdana"/>
        </w:rPr>
        <w:t xml:space="preserve"> would only have to </w:t>
      </w:r>
      <w:r w:rsidRPr="00111C88" w:rsidR="00E61AF8">
        <w:rPr>
          <w:rFonts w:ascii="Verdana" w:hAnsi="Verdana"/>
        </w:rPr>
        <w:t>fill in a single Export Health Certificate</w:t>
      </w:r>
      <w:r w:rsidRPr="00111C88" w:rsidR="00DD7539">
        <w:rPr>
          <w:rFonts w:ascii="Verdana" w:hAnsi="Verdana"/>
        </w:rPr>
        <w:t>. D</w:t>
      </w:r>
      <w:r w:rsidRPr="00111C88" w:rsidR="00E61AF8">
        <w:rPr>
          <w:rFonts w:ascii="Verdana" w:hAnsi="Verdana"/>
        </w:rPr>
        <w:t xml:space="preserve">ocumentary checks would </w:t>
      </w:r>
      <w:r w:rsidRPr="00111C88" w:rsidR="00DD7539">
        <w:rPr>
          <w:rFonts w:ascii="Verdana" w:hAnsi="Verdana"/>
        </w:rPr>
        <w:t xml:space="preserve">also </w:t>
      </w:r>
      <w:r w:rsidRPr="00111C88" w:rsidR="00E61AF8">
        <w:rPr>
          <w:rFonts w:ascii="Verdana" w:hAnsi="Verdana"/>
        </w:rPr>
        <w:t>be digitised. Product</w:t>
      </w:r>
      <w:r w:rsidRPr="00111C88" w:rsidR="00DD7539">
        <w:rPr>
          <w:rFonts w:ascii="Verdana" w:hAnsi="Verdana"/>
        </w:rPr>
        <w:t xml:space="preserve"> movement</w:t>
      </w:r>
      <w:r w:rsidRPr="00111C88" w:rsidR="00E61AF8">
        <w:rPr>
          <w:rFonts w:ascii="Verdana" w:hAnsi="Verdana"/>
        </w:rPr>
        <w:t xml:space="preserve">s that are prohibited under EU law, such as sausages, could </w:t>
      </w:r>
      <w:r w:rsidRPr="00111C88" w:rsidR="00DD7539">
        <w:rPr>
          <w:rFonts w:ascii="Verdana" w:hAnsi="Verdana"/>
        </w:rPr>
        <w:t>continue</w:t>
      </w:r>
      <w:r w:rsidRPr="00111C88" w:rsidR="009A37D1">
        <w:rPr>
          <w:rFonts w:ascii="Verdana" w:hAnsi="Verdana"/>
        </w:rPr>
        <w:t xml:space="preserve">, but would need to satisfy EU production requirements and be accompanied by documentation. </w:t>
      </w:r>
      <w:r w:rsidRPr="00111C88" w:rsidR="00DD7539">
        <w:rPr>
          <w:rFonts w:ascii="Verdana" w:hAnsi="Verdana"/>
        </w:rPr>
        <w:t>T</w:t>
      </w:r>
      <w:r w:rsidRPr="00111C88" w:rsidR="009A37D1">
        <w:rPr>
          <w:rFonts w:ascii="Verdana" w:hAnsi="Verdana"/>
        </w:rPr>
        <w:t xml:space="preserve">hese </w:t>
      </w:r>
      <w:r w:rsidRPr="00111C88" w:rsidR="00DD7539">
        <w:rPr>
          <w:rFonts w:ascii="Verdana" w:hAnsi="Verdana"/>
        </w:rPr>
        <w:t>adjustments</w:t>
      </w:r>
      <w:r w:rsidRPr="00111C88" w:rsidR="009A37D1">
        <w:rPr>
          <w:rFonts w:ascii="Verdana" w:hAnsi="Verdana"/>
        </w:rPr>
        <w:t xml:space="preserve"> would be subject to greater labelling requirements and enhanced monitoring, as well as a safeguard clause if products were found to be crossing into Ireland.</w:t>
      </w:r>
      <w:r>
        <w:rPr>
          <w:rStyle w:val="FootnoteReference"/>
          <w:rFonts w:ascii="Verdana" w:hAnsi="Verdana"/>
        </w:rPr>
        <w:footnoteReference w:id="22"/>
      </w:r>
    </w:p>
    <w:p w:rsidR="00D00415"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This </w:t>
      </w:r>
      <w:r w:rsidRPr="00111C88" w:rsidR="00DD7539">
        <w:rPr>
          <w:rFonts w:ascii="Verdana" w:hAnsi="Verdana"/>
        </w:rPr>
        <w:t xml:space="preserve">package of proposals </w:t>
      </w:r>
      <w:r w:rsidRPr="00111C88">
        <w:rPr>
          <w:rFonts w:ascii="Verdana" w:hAnsi="Verdana"/>
        </w:rPr>
        <w:t xml:space="preserve">addresses supermarket </w:t>
      </w:r>
      <w:r w:rsidRPr="00111C88" w:rsidR="00DD7539">
        <w:rPr>
          <w:rFonts w:ascii="Verdana" w:hAnsi="Verdana"/>
        </w:rPr>
        <w:t>issues</w:t>
      </w:r>
      <w:r w:rsidRPr="00111C88">
        <w:rPr>
          <w:rFonts w:ascii="Verdana" w:hAnsi="Verdana"/>
        </w:rPr>
        <w:t>, but not the movement of goods generally</w:t>
      </w:r>
      <w:r w:rsidRPr="00111C88" w:rsidR="009A37D1">
        <w:rPr>
          <w:rFonts w:ascii="Verdana" w:hAnsi="Verdana"/>
        </w:rPr>
        <w:t xml:space="preserve">, and in many ways </w:t>
      </w:r>
      <w:r w:rsidRPr="00111C88" w:rsidR="00A12248">
        <w:rPr>
          <w:rFonts w:ascii="Verdana" w:hAnsi="Verdana"/>
        </w:rPr>
        <w:t xml:space="preserve">simply </w:t>
      </w:r>
      <w:r w:rsidRPr="00111C88" w:rsidR="00DD7539">
        <w:rPr>
          <w:rFonts w:ascii="Verdana" w:hAnsi="Verdana"/>
        </w:rPr>
        <w:t>provides</w:t>
      </w:r>
      <w:r w:rsidRPr="00111C88" w:rsidR="00A12248">
        <w:rPr>
          <w:rFonts w:ascii="Verdana" w:hAnsi="Verdana"/>
        </w:rPr>
        <w:t xml:space="preserve"> that if the UK proves more willing to continue to apply EU regulatory standards, the EU </w:t>
      </w:r>
      <w:r w:rsidRPr="00111C88" w:rsidR="005E3CC6">
        <w:rPr>
          <w:rFonts w:ascii="Verdana" w:hAnsi="Verdana"/>
        </w:rPr>
        <w:t>will be able to</w:t>
      </w:r>
      <w:r w:rsidRPr="00111C88" w:rsidR="00A12248">
        <w:rPr>
          <w:rFonts w:ascii="Verdana" w:hAnsi="Verdana"/>
        </w:rPr>
        <w:t xml:space="preserve"> ease </w:t>
      </w:r>
      <w:r w:rsidRPr="00111C88" w:rsidR="005E3CC6">
        <w:rPr>
          <w:rFonts w:ascii="Verdana" w:hAnsi="Verdana"/>
        </w:rPr>
        <w:t>some of</w:t>
      </w:r>
      <w:r w:rsidRPr="00111C88" w:rsidR="00A12248">
        <w:rPr>
          <w:rFonts w:ascii="Verdana" w:hAnsi="Verdana"/>
        </w:rPr>
        <w:t xml:space="preserve"> the checks it places on goods moving </w:t>
      </w:r>
      <w:r w:rsidRPr="00111C88" w:rsidR="005E3CC6">
        <w:rPr>
          <w:rFonts w:ascii="Verdana" w:hAnsi="Verdana"/>
        </w:rPr>
        <w:t xml:space="preserve">from Great Britain </w:t>
      </w:r>
      <w:r w:rsidRPr="00111C88" w:rsidR="00A12248">
        <w:rPr>
          <w:rFonts w:ascii="Verdana" w:hAnsi="Verdana"/>
        </w:rPr>
        <w:t xml:space="preserve">to </w:t>
      </w:r>
      <w:r w:rsidRPr="00111C88" w:rsidR="006E0C59">
        <w:rPr>
          <w:rFonts w:ascii="Verdana" w:hAnsi="Verdana"/>
        </w:rPr>
        <w:t>Northern Ireland</w:t>
      </w:r>
      <w:r w:rsidRPr="00111C88" w:rsidR="00A12248">
        <w:rPr>
          <w:rFonts w:ascii="Verdana" w:hAnsi="Verdana"/>
        </w:rPr>
        <w:t xml:space="preserve">.  </w:t>
      </w:r>
      <w:r w:rsidRPr="00111C88" w:rsidR="00D52A3B">
        <w:rPr>
          <w:rFonts w:ascii="Verdana" w:hAnsi="Verdana"/>
        </w:rPr>
        <w:t>The details of how and where checks would reduce are to be coordinated, and the EU presents this as more or less a ‘final offer’ on SPS issues</w:t>
      </w:r>
      <w:r w:rsidRPr="00111C88" w:rsidR="00B15ED3">
        <w:rPr>
          <w:rFonts w:ascii="Verdana" w:hAnsi="Verdana"/>
        </w:rPr>
        <w:t xml:space="preserve">. It does not </w:t>
      </w:r>
      <w:r w:rsidRPr="00111C88" w:rsidR="005E3CC6">
        <w:rPr>
          <w:rFonts w:ascii="Verdana" w:hAnsi="Verdana"/>
        </w:rPr>
        <w:t>contemplate</w:t>
      </w:r>
      <w:r w:rsidRPr="00111C88" w:rsidR="00B15ED3">
        <w:rPr>
          <w:rFonts w:ascii="Verdana" w:hAnsi="Verdana"/>
        </w:rPr>
        <w:t xml:space="preserve"> self-certification, but there is a willingness to at least reduce the volume of checks </w:t>
      </w:r>
      <w:r w:rsidRPr="00111C88" w:rsidR="00B15ED3">
        <w:rPr>
          <w:rFonts w:ascii="Verdana" w:hAnsi="Verdana"/>
        </w:rPr>
        <w:t xml:space="preserve">required, and to permit sausages and similar ‘consumer meats’ to enter Northern Ireland in spite of EU law’s general prohibition on </w:t>
      </w:r>
      <w:r w:rsidRPr="00111C88" w:rsidR="005E3CC6">
        <w:rPr>
          <w:rFonts w:ascii="Verdana" w:hAnsi="Verdana"/>
        </w:rPr>
        <w:t>such movements</w:t>
      </w:r>
      <w:r w:rsidRPr="00111C88" w:rsidR="00B15ED3">
        <w:rPr>
          <w:rFonts w:ascii="Verdana" w:hAnsi="Verdana"/>
        </w:rPr>
        <w:t>.</w:t>
      </w:r>
    </w:p>
    <w:p w:rsidR="00D00415"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On </w:t>
      </w:r>
      <w:r w:rsidRPr="00111C88">
        <w:rPr>
          <w:rFonts w:ascii="Verdana" w:hAnsi="Verdana"/>
          <w:b/>
          <w:bCs/>
        </w:rPr>
        <w:t>customs</w:t>
      </w:r>
      <w:r w:rsidRPr="00111C88">
        <w:rPr>
          <w:rFonts w:ascii="Verdana" w:hAnsi="Verdana"/>
        </w:rPr>
        <w:t xml:space="preserve">, the EU proposes revisiting the “at risk” of moving into the EU category of goods to </w:t>
      </w:r>
      <w:r w:rsidRPr="00111C88" w:rsidR="00CF5854">
        <w:rPr>
          <w:rFonts w:ascii="Verdana" w:hAnsi="Verdana"/>
        </w:rPr>
        <w:t>reduce its scope</w:t>
      </w:r>
      <w:r w:rsidRPr="00111C88">
        <w:rPr>
          <w:rFonts w:ascii="Verdana" w:hAnsi="Verdana"/>
        </w:rPr>
        <w:t>, and proposes reducing customs formalities for goods not</w:t>
      </w:r>
      <w:r w:rsidRPr="00111C88">
        <w:rPr>
          <w:rFonts w:ascii="Verdana" w:hAnsi="Verdana"/>
          <w:i/>
          <w:iCs/>
        </w:rPr>
        <w:t xml:space="preserve"> </w:t>
      </w:r>
      <w:r w:rsidRPr="00111C88">
        <w:rPr>
          <w:rFonts w:ascii="Verdana" w:hAnsi="Verdana"/>
        </w:rPr>
        <w:t>deemed to be at risk.</w:t>
      </w:r>
      <w:r>
        <w:rPr>
          <w:rStyle w:val="FootnoteReference"/>
          <w:rFonts w:ascii="Verdana" w:hAnsi="Verdana"/>
        </w:rPr>
        <w:footnoteReference w:id="23"/>
      </w:r>
      <w:r w:rsidRPr="00111C88">
        <w:rPr>
          <w:rFonts w:ascii="Verdana" w:hAnsi="Verdana"/>
        </w:rPr>
        <w:t xml:space="preserve"> </w:t>
      </w:r>
      <w:r w:rsidRPr="00111C88" w:rsidR="00137BA3">
        <w:rPr>
          <w:rFonts w:ascii="Verdana" w:hAnsi="Verdana"/>
        </w:rPr>
        <w:t xml:space="preserve">These proposals contain minimal detail and as such are hard to assess in terms of just how much of a documentary relief they would provide </w:t>
      </w:r>
      <w:r w:rsidRPr="00111C88" w:rsidR="006E0C59">
        <w:rPr>
          <w:rFonts w:ascii="Verdana" w:hAnsi="Verdana"/>
        </w:rPr>
        <w:t xml:space="preserve">Great Britain </w:t>
      </w:r>
      <w:r w:rsidRPr="00111C88" w:rsidR="00137BA3">
        <w:rPr>
          <w:rFonts w:ascii="Verdana" w:hAnsi="Verdana"/>
        </w:rPr>
        <w:t>producers</w:t>
      </w:r>
      <w:r w:rsidRPr="00111C88" w:rsidR="00CF5854">
        <w:rPr>
          <w:rFonts w:ascii="Verdana" w:hAnsi="Verdana"/>
        </w:rPr>
        <w:t>/traders</w:t>
      </w:r>
      <w:r w:rsidRPr="00111C88" w:rsidR="00137BA3">
        <w:rPr>
          <w:rFonts w:ascii="Verdana" w:hAnsi="Verdana"/>
        </w:rPr>
        <w:t xml:space="preserve"> – the EU proposals are </w:t>
      </w:r>
      <w:r w:rsidRPr="00111C88" w:rsidR="00CF5854">
        <w:rPr>
          <w:rFonts w:ascii="Verdana" w:hAnsi="Verdana"/>
        </w:rPr>
        <w:t xml:space="preserve">predicated upon further </w:t>
      </w:r>
      <w:r w:rsidRPr="00111C88" w:rsidR="00137BA3">
        <w:rPr>
          <w:rFonts w:ascii="Verdana" w:hAnsi="Verdana"/>
        </w:rPr>
        <w:t xml:space="preserve">negotiation. Again, self-certification of destination is not considered, but </w:t>
      </w:r>
      <w:r w:rsidRPr="00111C88" w:rsidR="00CF5854">
        <w:rPr>
          <w:rFonts w:ascii="Verdana" w:hAnsi="Verdana"/>
        </w:rPr>
        <w:t xml:space="preserve">the explicit goal is to reduce </w:t>
      </w:r>
      <w:r w:rsidRPr="00111C88" w:rsidR="00137BA3">
        <w:rPr>
          <w:rFonts w:ascii="Verdana" w:hAnsi="Verdana"/>
        </w:rPr>
        <w:t xml:space="preserve">customs </w:t>
      </w:r>
      <w:r w:rsidRPr="00111C88" w:rsidR="00CF5854">
        <w:rPr>
          <w:rFonts w:ascii="Verdana" w:hAnsi="Verdana"/>
        </w:rPr>
        <w:t xml:space="preserve">burdens </w:t>
      </w:r>
      <w:r w:rsidRPr="00111C88" w:rsidR="00137BA3">
        <w:rPr>
          <w:rFonts w:ascii="Verdana" w:hAnsi="Verdana"/>
        </w:rPr>
        <w:t xml:space="preserve">for products moving from </w:t>
      </w:r>
      <w:r w:rsidRPr="00111C88" w:rsidR="006E0C59">
        <w:rPr>
          <w:rFonts w:ascii="Verdana" w:hAnsi="Verdana"/>
        </w:rPr>
        <w:t xml:space="preserve">Great Britain </w:t>
      </w:r>
      <w:r w:rsidRPr="00111C88" w:rsidR="00137BA3">
        <w:rPr>
          <w:rFonts w:ascii="Verdana" w:hAnsi="Verdana"/>
        </w:rPr>
        <w:t xml:space="preserve">to </w:t>
      </w:r>
      <w:r w:rsidRPr="00111C88" w:rsidR="006E0C59">
        <w:rPr>
          <w:rFonts w:ascii="Verdana" w:hAnsi="Verdana"/>
        </w:rPr>
        <w:t>Northern Ireland</w:t>
      </w:r>
      <w:r w:rsidRPr="00111C88" w:rsidR="00137BA3">
        <w:rPr>
          <w:rFonts w:ascii="Verdana" w:hAnsi="Verdana"/>
        </w:rPr>
        <w:t>.</w:t>
      </w:r>
    </w:p>
    <w:p w:rsidR="00A842AE"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On </w:t>
      </w:r>
      <w:r w:rsidRPr="00111C88" w:rsidR="004C568A">
        <w:rPr>
          <w:rFonts w:ascii="Verdana" w:hAnsi="Verdana"/>
          <w:b/>
          <w:bCs/>
        </w:rPr>
        <w:t>engagement</w:t>
      </w:r>
      <w:r w:rsidRPr="00111C88">
        <w:rPr>
          <w:rFonts w:ascii="Verdana" w:hAnsi="Verdana"/>
        </w:rPr>
        <w:t>,</w:t>
      </w:r>
      <w:r w:rsidRPr="00111C88">
        <w:rPr>
          <w:rFonts w:ascii="Verdana" w:hAnsi="Verdana"/>
          <w:b/>
          <w:bCs/>
        </w:rPr>
        <w:t xml:space="preserve"> </w:t>
      </w:r>
      <w:r w:rsidRPr="00111C88" w:rsidR="00294B8E">
        <w:rPr>
          <w:rFonts w:ascii="Verdana" w:hAnsi="Verdana"/>
        </w:rPr>
        <w:t xml:space="preserve">the EU proposals are </w:t>
      </w:r>
      <w:r w:rsidRPr="00111C88" w:rsidR="00CF5854">
        <w:rPr>
          <w:rFonts w:ascii="Verdana" w:hAnsi="Verdana"/>
        </w:rPr>
        <w:t>limited</w:t>
      </w:r>
      <w:r w:rsidRPr="00111C88" w:rsidR="00294B8E">
        <w:rPr>
          <w:rFonts w:ascii="Verdana" w:hAnsi="Verdana"/>
        </w:rPr>
        <w:t xml:space="preserve">: they indicate that greater </w:t>
      </w:r>
      <w:r w:rsidRPr="00111C88" w:rsidR="00CF5854">
        <w:rPr>
          <w:rFonts w:ascii="Verdana" w:hAnsi="Verdana"/>
        </w:rPr>
        <w:t>deliberation is possible</w:t>
      </w:r>
      <w:r w:rsidRPr="00111C88" w:rsidR="00294B8E">
        <w:rPr>
          <w:rFonts w:ascii="Verdana" w:hAnsi="Verdana"/>
        </w:rPr>
        <w:t xml:space="preserve"> within the </w:t>
      </w:r>
      <w:r w:rsidRPr="00111C88" w:rsidR="00DD2986">
        <w:rPr>
          <w:rFonts w:ascii="Verdana" w:hAnsi="Verdana"/>
        </w:rPr>
        <w:t>Withdrawal Agreement’s structures</w:t>
      </w:r>
      <w:r w:rsidRPr="00111C88" w:rsidR="00294B8E">
        <w:rPr>
          <w:rFonts w:ascii="Verdana" w:hAnsi="Verdana"/>
        </w:rPr>
        <w:t xml:space="preserve">, but do not go so far as </w:t>
      </w:r>
      <w:r w:rsidRPr="00111C88" w:rsidR="00DD2986">
        <w:rPr>
          <w:rFonts w:ascii="Verdana" w:hAnsi="Verdana"/>
        </w:rPr>
        <w:t xml:space="preserve">to </w:t>
      </w:r>
      <w:r w:rsidRPr="00111C88" w:rsidR="00294B8E">
        <w:rPr>
          <w:rFonts w:ascii="Verdana" w:hAnsi="Verdana"/>
        </w:rPr>
        <w:t>offer pre-legislative consultation to Northern Ireland’s representatives</w:t>
      </w:r>
      <w:r w:rsidRPr="00111C88" w:rsidR="00DD2986">
        <w:rPr>
          <w:rFonts w:ascii="Verdana" w:hAnsi="Verdana"/>
        </w:rPr>
        <w:t>.</w:t>
      </w:r>
      <w:r>
        <w:rPr>
          <w:rStyle w:val="FootnoteReference"/>
          <w:rFonts w:ascii="Verdana" w:hAnsi="Verdana"/>
        </w:rPr>
        <w:footnoteReference w:id="24"/>
      </w:r>
      <w:r w:rsidRPr="00111C88" w:rsidR="00DD2986">
        <w:rPr>
          <w:rFonts w:ascii="Verdana" w:hAnsi="Verdana"/>
        </w:rPr>
        <w:t xml:space="preserve"> This </w:t>
      </w:r>
      <w:r w:rsidRPr="00111C88" w:rsidR="00294B8E">
        <w:rPr>
          <w:rFonts w:ascii="Verdana" w:hAnsi="Verdana"/>
        </w:rPr>
        <w:t>fall short</w:t>
      </w:r>
      <w:r w:rsidRPr="00111C88" w:rsidR="00DD2986">
        <w:rPr>
          <w:rFonts w:ascii="Verdana" w:hAnsi="Verdana"/>
        </w:rPr>
        <w:t>s</w:t>
      </w:r>
      <w:r w:rsidRPr="00111C88" w:rsidR="00294B8E">
        <w:rPr>
          <w:rFonts w:ascii="Verdana" w:hAnsi="Verdana"/>
        </w:rPr>
        <w:t xml:space="preserve"> of what is </w:t>
      </w:r>
      <w:r w:rsidRPr="00111C88" w:rsidR="00DD2986">
        <w:rPr>
          <w:rFonts w:ascii="Verdana" w:hAnsi="Verdana"/>
        </w:rPr>
        <w:t>provided</w:t>
      </w:r>
      <w:r w:rsidRPr="00111C88" w:rsidR="00294B8E">
        <w:rPr>
          <w:rFonts w:ascii="Verdana" w:hAnsi="Verdana"/>
        </w:rPr>
        <w:t xml:space="preserve"> to EEA member states</w:t>
      </w:r>
      <w:r w:rsidRPr="00111C88" w:rsidR="009D40DC">
        <w:rPr>
          <w:rFonts w:ascii="Verdana" w:hAnsi="Verdana"/>
        </w:rPr>
        <w:t>.</w:t>
      </w:r>
    </w:p>
    <w:p w:rsidR="00E50EC7" w:rsidRPr="00111C88" w:rsidP="00745DA5">
      <w:pPr>
        <w:spacing w:before="120" w:after="120" w:line="240" w:lineRule="auto"/>
        <w:ind w:right="425"/>
        <w:jc w:val="both"/>
        <w:rPr>
          <w:rFonts w:ascii="Verdana" w:hAnsi="Verdana"/>
        </w:rPr>
      </w:pPr>
    </w:p>
    <w:p w:rsidR="00A842AE" w:rsidRPr="00111C88" w:rsidP="00745DA5">
      <w:pPr>
        <w:spacing w:before="120" w:after="120" w:line="240" w:lineRule="auto"/>
        <w:ind w:right="425"/>
        <w:jc w:val="both"/>
        <w:rPr>
          <w:rFonts w:ascii="Verdana" w:eastAsia="Times New Roman" w:hAnsi="Verdana" w:cs="Arial"/>
          <w:b/>
          <w:bCs/>
          <w:lang w:eastAsia="en-GB"/>
        </w:rPr>
      </w:pPr>
      <w:r w:rsidRPr="00111C88">
        <w:rPr>
          <w:rFonts w:ascii="Verdana" w:eastAsia="Times New Roman" w:hAnsi="Verdana" w:cs="Arial"/>
          <w:b/>
          <w:bCs/>
          <w:lang w:eastAsia="en-GB"/>
        </w:rPr>
        <w:t>SCOPE</w:t>
      </w:r>
      <w:r w:rsidRPr="00111C88" w:rsidR="00025E83">
        <w:rPr>
          <w:rFonts w:ascii="Verdana" w:eastAsia="Times New Roman" w:hAnsi="Verdana" w:cs="Arial"/>
          <w:b/>
          <w:bCs/>
          <w:lang w:eastAsia="en-GB"/>
        </w:rPr>
        <w:t xml:space="preserve"> OF </w:t>
      </w:r>
      <w:r w:rsidRPr="00111C88">
        <w:rPr>
          <w:rFonts w:ascii="Verdana" w:eastAsia="Times New Roman" w:hAnsi="Verdana" w:cs="Arial"/>
          <w:b/>
          <w:bCs/>
          <w:lang w:eastAsia="en-GB"/>
        </w:rPr>
        <w:t xml:space="preserve">ONGOING </w:t>
      </w:r>
      <w:r w:rsidRPr="00111C88" w:rsidR="00025E83">
        <w:rPr>
          <w:rFonts w:ascii="Verdana" w:eastAsia="Times New Roman" w:hAnsi="Verdana" w:cs="Arial"/>
          <w:b/>
          <w:bCs/>
          <w:lang w:eastAsia="en-GB"/>
        </w:rPr>
        <w:t>DISAGREEMENT</w:t>
      </w:r>
    </w:p>
    <w:p w:rsidR="00A842AE" w:rsidRPr="00111C88" w:rsidP="00745DA5">
      <w:pPr>
        <w:spacing w:before="120" w:after="120" w:line="240" w:lineRule="auto"/>
        <w:ind w:right="425"/>
        <w:jc w:val="both"/>
        <w:rPr>
          <w:rFonts w:ascii="Verdana" w:eastAsia="Times New Roman" w:hAnsi="Verdana" w:cs="Arial"/>
          <w:b/>
          <w:bCs/>
          <w:lang w:eastAsia="en-GB"/>
        </w:rPr>
      </w:pPr>
    </w:p>
    <w:p w:rsidR="00D00415" w:rsidRPr="00111C88" w:rsidP="00745DA5">
      <w:pPr>
        <w:pStyle w:val="ListParagraph"/>
        <w:numPr>
          <w:ilvl w:val="0"/>
          <w:numId w:val="15"/>
        </w:numPr>
        <w:tabs>
          <w:tab w:val="left" w:pos="540"/>
        </w:tabs>
        <w:spacing w:before="120" w:after="120"/>
        <w:ind w:left="0" w:right="425" w:hanging="540"/>
        <w:contextualSpacing w:val="0"/>
        <w:jc w:val="both"/>
        <w:rPr>
          <w:rFonts w:ascii="Verdana" w:eastAsia="Times New Roman" w:hAnsi="Verdana" w:cs="Arial"/>
          <w:b/>
          <w:bCs/>
          <w:lang w:eastAsia="en-GB"/>
        </w:rPr>
      </w:pPr>
      <w:r w:rsidRPr="00111C88">
        <w:rPr>
          <w:rFonts w:ascii="Verdana" w:hAnsi="Verdana"/>
        </w:rPr>
        <w:t xml:space="preserve">Once the Protocol became operational, it was always the case that there was going to need to be some </w:t>
      </w:r>
      <w:r w:rsidRPr="00111C88" w:rsidR="00B569F5">
        <w:rPr>
          <w:rFonts w:ascii="Verdana" w:hAnsi="Verdana"/>
        </w:rPr>
        <w:t>reflection upon how its terms work in practice</w:t>
      </w:r>
      <w:r w:rsidRPr="00111C88">
        <w:rPr>
          <w:rFonts w:ascii="Verdana" w:hAnsi="Verdana"/>
        </w:rPr>
        <w:t xml:space="preserve">. </w:t>
      </w:r>
      <w:r w:rsidRPr="00111C88" w:rsidR="009D40DC">
        <w:rPr>
          <w:rFonts w:ascii="Verdana" w:hAnsi="Verdana"/>
        </w:rPr>
        <w:t xml:space="preserve">The points of disagreement </w:t>
      </w:r>
      <w:r w:rsidRPr="00111C88" w:rsidR="00B569F5">
        <w:rPr>
          <w:rFonts w:ascii="Verdana" w:hAnsi="Verdana"/>
        </w:rPr>
        <w:t xml:space="preserve">between the UK and the EU </w:t>
      </w:r>
      <w:r w:rsidRPr="00111C88" w:rsidR="00F445DC">
        <w:rPr>
          <w:rFonts w:ascii="Verdana" w:hAnsi="Verdana"/>
        </w:rPr>
        <w:t>nonetheless</w:t>
      </w:r>
      <w:r w:rsidRPr="00111C88" w:rsidR="001C291E">
        <w:rPr>
          <w:rFonts w:ascii="Verdana" w:hAnsi="Verdana"/>
        </w:rPr>
        <w:t xml:space="preserve"> </w:t>
      </w:r>
      <w:r w:rsidRPr="00111C88" w:rsidR="009D40DC">
        <w:rPr>
          <w:rFonts w:ascii="Verdana" w:hAnsi="Verdana"/>
        </w:rPr>
        <w:t>remain substantial</w:t>
      </w:r>
      <w:r w:rsidRPr="00111C88" w:rsidR="001C291E">
        <w:rPr>
          <w:rFonts w:ascii="Verdana" w:hAnsi="Verdana"/>
        </w:rPr>
        <w:t xml:space="preserve">, </w:t>
      </w:r>
      <w:r w:rsidRPr="00111C88" w:rsidR="00F445DC">
        <w:rPr>
          <w:rFonts w:ascii="Verdana" w:hAnsi="Verdana"/>
        </w:rPr>
        <w:t xml:space="preserve">in part </w:t>
      </w:r>
      <w:r w:rsidRPr="00111C88" w:rsidR="001C291E">
        <w:rPr>
          <w:rFonts w:ascii="Verdana" w:hAnsi="Verdana"/>
        </w:rPr>
        <w:t>because the UK Government and EU Commission proposals start from very different premises</w:t>
      </w:r>
      <w:r w:rsidRPr="00111C88" w:rsidR="009D40DC">
        <w:rPr>
          <w:rFonts w:ascii="Verdana" w:hAnsi="Verdana"/>
        </w:rPr>
        <w:t xml:space="preserve">. The EU proposals are aimed at making the existing Protocol </w:t>
      </w:r>
      <w:r w:rsidRPr="00111C88" w:rsidR="001C291E">
        <w:rPr>
          <w:rFonts w:ascii="Verdana" w:hAnsi="Verdana"/>
        </w:rPr>
        <w:t>operate</w:t>
      </w:r>
      <w:r w:rsidRPr="00111C88" w:rsidR="009D40DC">
        <w:rPr>
          <w:rFonts w:ascii="Verdana" w:hAnsi="Verdana"/>
        </w:rPr>
        <w:t xml:space="preserve"> more smoothly, and they stress the input from Northern Ireland’s business community in what they have proposed. The UK proposals, meanwhile, are unattainable unless the entire Protocol is reopened for negotiation.</w:t>
      </w:r>
      <w:r w:rsidRPr="00111C88" w:rsidR="001C291E">
        <w:rPr>
          <w:rFonts w:ascii="Verdana" w:hAnsi="Verdana"/>
        </w:rPr>
        <w:t xml:space="preserve"> </w:t>
      </w:r>
    </w:p>
    <w:p w:rsidR="00D00415" w:rsidRPr="00111C88" w:rsidP="00745DA5">
      <w:pPr>
        <w:pStyle w:val="ListParagraph"/>
        <w:numPr>
          <w:ilvl w:val="0"/>
          <w:numId w:val="15"/>
        </w:numPr>
        <w:tabs>
          <w:tab w:val="left" w:pos="540"/>
        </w:tabs>
        <w:spacing w:before="120" w:after="120"/>
        <w:ind w:left="0" w:right="425" w:hanging="540"/>
        <w:contextualSpacing w:val="0"/>
        <w:jc w:val="both"/>
        <w:rPr>
          <w:rFonts w:ascii="Verdana" w:eastAsia="Times New Roman" w:hAnsi="Verdana" w:cs="Arial"/>
          <w:b/>
          <w:bCs/>
          <w:lang w:eastAsia="en-GB"/>
        </w:rPr>
      </w:pPr>
      <w:r w:rsidRPr="00111C88">
        <w:rPr>
          <w:rFonts w:ascii="Verdana" w:hAnsi="Verdana"/>
        </w:rPr>
        <w:t>The EU has not produced proposals on</w:t>
      </w:r>
      <w:r w:rsidRPr="00111C88" w:rsidR="00A116C1">
        <w:rPr>
          <w:rFonts w:ascii="Verdana" w:hAnsi="Verdana"/>
        </w:rPr>
        <w:t xml:space="preserve"> </w:t>
      </w:r>
      <w:r w:rsidRPr="00111C88" w:rsidR="00A116C1">
        <w:rPr>
          <w:rFonts w:ascii="Verdana" w:hAnsi="Verdana"/>
          <w:b/>
          <w:bCs/>
        </w:rPr>
        <w:t>V</w:t>
      </w:r>
      <w:r w:rsidRPr="00111C88" w:rsidR="009430BE">
        <w:rPr>
          <w:rFonts w:ascii="Verdana" w:hAnsi="Verdana"/>
          <w:b/>
          <w:bCs/>
        </w:rPr>
        <w:t>AT</w:t>
      </w:r>
      <w:r w:rsidRPr="00111C88" w:rsidR="00A116C1">
        <w:rPr>
          <w:rFonts w:ascii="Verdana" w:hAnsi="Verdana"/>
          <w:b/>
          <w:bCs/>
        </w:rPr>
        <w:t xml:space="preserve"> and excise arrangements</w:t>
      </w:r>
      <w:r w:rsidRPr="00111C88" w:rsidR="00A116C1">
        <w:rPr>
          <w:rFonts w:ascii="Verdana" w:hAnsi="Verdana"/>
        </w:rPr>
        <w:t>,</w:t>
      </w:r>
      <w:r w:rsidRPr="00111C88" w:rsidR="009430BE">
        <w:rPr>
          <w:rFonts w:ascii="Verdana" w:hAnsi="Verdana"/>
        </w:rPr>
        <w:t xml:space="preserve"> on the proposed </w:t>
      </w:r>
      <w:r w:rsidRPr="00111C88" w:rsidR="009430BE">
        <w:rPr>
          <w:rFonts w:ascii="Verdana" w:hAnsi="Verdana"/>
          <w:b/>
          <w:bCs/>
        </w:rPr>
        <w:t xml:space="preserve">dual regulatory regime for goods circulating the </w:t>
      </w:r>
      <w:r w:rsidRPr="00111C88" w:rsidR="006E0C59">
        <w:rPr>
          <w:rFonts w:ascii="Verdana" w:hAnsi="Verdana"/>
          <w:b/>
          <w:bCs/>
        </w:rPr>
        <w:t xml:space="preserve">Northern Ireland </w:t>
      </w:r>
      <w:r w:rsidRPr="00111C88" w:rsidR="009430BE">
        <w:rPr>
          <w:rFonts w:ascii="Verdana" w:hAnsi="Verdana"/>
          <w:b/>
          <w:bCs/>
        </w:rPr>
        <w:t>market</w:t>
      </w:r>
      <w:r w:rsidRPr="00111C88" w:rsidR="00A116C1">
        <w:rPr>
          <w:rFonts w:ascii="Verdana" w:hAnsi="Verdana"/>
          <w:b/>
          <w:bCs/>
        </w:rPr>
        <w:t xml:space="preserve"> </w:t>
      </w:r>
      <w:r w:rsidRPr="00111C88" w:rsidR="00A116C1">
        <w:rPr>
          <w:rFonts w:ascii="Verdana" w:hAnsi="Verdana"/>
        </w:rPr>
        <w:t>on</w:t>
      </w:r>
      <w:r w:rsidRPr="00111C88">
        <w:rPr>
          <w:rFonts w:ascii="Verdana" w:hAnsi="Verdana"/>
        </w:rPr>
        <w:t xml:space="preserve"> </w:t>
      </w:r>
      <w:r w:rsidRPr="00111C88">
        <w:rPr>
          <w:rFonts w:ascii="Verdana" w:hAnsi="Verdana"/>
          <w:b/>
          <w:bCs/>
        </w:rPr>
        <w:t>CJEU oversight</w:t>
      </w:r>
      <w:r w:rsidRPr="00111C88" w:rsidR="00A116C1">
        <w:rPr>
          <w:rFonts w:ascii="Verdana" w:hAnsi="Verdana"/>
          <w:b/>
          <w:bCs/>
        </w:rPr>
        <w:t xml:space="preserve"> of the Protocol in Article 12</w:t>
      </w:r>
      <w:r w:rsidRPr="00111C88">
        <w:rPr>
          <w:rFonts w:ascii="Verdana" w:hAnsi="Verdana"/>
          <w:b/>
          <w:bCs/>
        </w:rPr>
        <w:t xml:space="preserve">, </w:t>
      </w:r>
      <w:r w:rsidRPr="00111C88">
        <w:rPr>
          <w:rFonts w:ascii="Verdana" w:hAnsi="Verdana"/>
        </w:rPr>
        <w:t xml:space="preserve">on </w:t>
      </w:r>
      <w:r w:rsidRPr="00111C88">
        <w:rPr>
          <w:rFonts w:ascii="Verdana" w:hAnsi="Verdana"/>
          <w:b/>
          <w:bCs/>
        </w:rPr>
        <w:t xml:space="preserve">Article 10 of the Protocol </w:t>
      </w:r>
      <w:r w:rsidRPr="00111C88">
        <w:rPr>
          <w:rFonts w:ascii="Verdana" w:hAnsi="Verdana"/>
        </w:rPr>
        <w:t xml:space="preserve">(regarding the application of the EU </w:t>
      </w:r>
      <w:r w:rsidRPr="00111C88" w:rsidR="00DE3468">
        <w:rPr>
          <w:rFonts w:ascii="Verdana" w:hAnsi="Verdana"/>
        </w:rPr>
        <w:t>state aid</w:t>
      </w:r>
      <w:r w:rsidRPr="00111C88">
        <w:rPr>
          <w:rFonts w:ascii="Verdana" w:hAnsi="Verdana"/>
        </w:rPr>
        <w:t xml:space="preserve"> rules to all UK subsidies that have an effect on trade between </w:t>
      </w:r>
      <w:r w:rsidRPr="00111C88" w:rsidR="006E0C59">
        <w:rPr>
          <w:rFonts w:ascii="Verdana" w:hAnsi="Verdana"/>
        </w:rPr>
        <w:t xml:space="preserve">Northern Ireland </w:t>
      </w:r>
      <w:r w:rsidRPr="00111C88">
        <w:rPr>
          <w:rFonts w:ascii="Verdana" w:hAnsi="Verdana"/>
        </w:rPr>
        <w:t xml:space="preserve">and the EU), or on </w:t>
      </w:r>
      <w:r w:rsidRPr="00111C88">
        <w:rPr>
          <w:rFonts w:ascii="Verdana" w:hAnsi="Verdana"/>
          <w:b/>
          <w:bCs/>
        </w:rPr>
        <w:t>pets</w:t>
      </w:r>
      <w:r w:rsidRPr="00111C88">
        <w:rPr>
          <w:rFonts w:ascii="Verdana" w:hAnsi="Verdana"/>
        </w:rPr>
        <w:t xml:space="preserve">. </w:t>
      </w:r>
      <w:r w:rsidRPr="00111C88" w:rsidR="00480D1C">
        <w:rPr>
          <w:rFonts w:ascii="Verdana" w:hAnsi="Verdana"/>
        </w:rPr>
        <w:t>Once again, the scope of the negotiati</w:t>
      </w:r>
      <w:r w:rsidRPr="00111C88" w:rsidR="00B569F5">
        <w:rPr>
          <w:rFonts w:ascii="Verdana" w:hAnsi="Verdana"/>
        </w:rPr>
        <w:t>ng positions</w:t>
      </w:r>
      <w:r w:rsidRPr="00111C88" w:rsidR="00480D1C">
        <w:rPr>
          <w:rFonts w:ascii="Verdana" w:hAnsi="Verdana"/>
        </w:rPr>
        <w:t xml:space="preserve"> reflects the priorities of the parties. The UK Government has proposed an ambitious range of reforms, in order to restrict the Protocol’s operation</w:t>
      </w:r>
      <w:r w:rsidRPr="00111C88" w:rsidR="00523540">
        <w:rPr>
          <w:rFonts w:ascii="Verdana" w:hAnsi="Verdana"/>
        </w:rPr>
        <w:t>.</w:t>
      </w:r>
      <w:r w:rsidRPr="00111C88" w:rsidR="00F445DC">
        <w:rPr>
          <w:rFonts w:ascii="Verdana" w:hAnsi="Verdana"/>
        </w:rPr>
        <w:t xml:space="preserve"> The EU’s priority has</w:t>
      </w:r>
      <w:r w:rsidRPr="00111C88" w:rsidR="00B569F5">
        <w:rPr>
          <w:rFonts w:ascii="Verdana" w:hAnsi="Verdana"/>
        </w:rPr>
        <w:t>, instead,</w:t>
      </w:r>
      <w:r w:rsidRPr="00111C88" w:rsidR="00F445DC">
        <w:rPr>
          <w:rFonts w:ascii="Verdana" w:hAnsi="Verdana"/>
        </w:rPr>
        <w:t xml:space="preserve"> been to demonstrate that it is engaged in practical adjustments which </w:t>
      </w:r>
      <w:r w:rsidRPr="00111C88" w:rsidR="00B569F5">
        <w:rPr>
          <w:rFonts w:ascii="Verdana" w:hAnsi="Verdana"/>
        </w:rPr>
        <w:t>address the concerns of businesses subject to the Protocol in Northern Ireland. Thus it has avoided making any up-front concessions on UK Government proposals which do not reflect prominent concerns in Northern Ireland.</w:t>
      </w:r>
    </w:p>
    <w:p w:rsidR="009D40DC" w:rsidRPr="00111C88" w:rsidP="00745DA5">
      <w:pPr>
        <w:pStyle w:val="ListParagraph"/>
        <w:numPr>
          <w:ilvl w:val="0"/>
          <w:numId w:val="15"/>
        </w:numPr>
        <w:tabs>
          <w:tab w:val="left" w:pos="540"/>
        </w:tabs>
        <w:spacing w:before="120" w:after="120"/>
        <w:ind w:left="0" w:right="425" w:hanging="540"/>
        <w:contextualSpacing w:val="0"/>
        <w:jc w:val="both"/>
        <w:rPr>
          <w:rFonts w:ascii="Verdana" w:eastAsia="Times New Roman" w:hAnsi="Verdana" w:cs="Arial"/>
          <w:b/>
          <w:bCs/>
          <w:lang w:eastAsia="en-GB"/>
        </w:rPr>
      </w:pPr>
      <w:r w:rsidRPr="00111C88">
        <w:rPr>
          <w:rFonts w:ascii="Verdana" w:hAnsi="Verdana"/>
        </w:rPr>
        <w:t xml:space="preserve">The EU’s </w:t>
      </w:r>
      <w:r w:rsidRPr="00111C88">
        <w:rPr>
          <w:rFonts w:ascii="Verdana" w:hAnsi="Verdana"/>
        </w:rPr>
        <w:t xml:space="preserve">proposals on </w:t>
      </w:r>
      <w:r w:rsidRPr="00111C88">
        <w:rPr>
          <w:rFonts w:ascii="Verdana" w:hAnsi="Verdana"/>
          <w:b/>
          <w:bCs/>
        </w:rPr>
        <w:t>customs, SPS</w:t>
      </w:r>
      <w:r w:rsidRPr="00111C88" w:rsidR="008F1390">
        <w:rPr>
          <w:rFonts w:ascii="Verdana" w:hAnsi="Verdana"/>
          <w:b/>
          <w:bCs/>
        </w:rPr>
        <w:t>,</w:t>
      </w:r>
      <w:r w:rsidRPr="00111C88" w:rsidR="009430BE">
        <w:rPr>
          <w:rFonts w:ascii="Verdana" w:hAnsi="Verdana"/>
        </w:rPr>
        <w:t xml:space="preserve"> </w:t>
      </w:r>
      <w:r w:rsidRPr="00111C88" w:rsidR="00944054">
        <w:rPr>
          <w:rFonts w:ascii="Verdana" w:hAnsi="Verdana"/>
          <w:b/>
          <w:bCs/>
        </w:rPr>
        <w:t>medicines</w:t>
      </w:r>
      <w:r w:rsidRPr="00111C88" w:rsidR="008F1390">
        <w:rPr>
          <w:rFonts w:ascii="Verdana" w:hAnsi="Verdana"/>
          <w:b/>
          <w:bCs/>
        </w:rPr>
        <w:t xml:space="preserve"> </w:t>
      </w:r>
      <w:r w:rsidRPr="00111C88" w:rsidR="008F1390">
        <w:rPr>
          <w:rFonts w:ascii="Verdana" w:hAnsi="Verdana"/>
        </w:rPr>
        <w:t xml:space="preserve">and </w:t>
      </w:r>
      <w:r w:rsidRPr="00111C88" w:rsidR="008F1390">
        <w:rPr>
          <w:rFonts w:ascii="Verdana" w:hAnsi="Verdana"/>
          <w:b/>
          <w:bCs/>
        </w:rPr>
        <w:t>governance</w:t>
      </w:r>
      <w:r w:rsidRPr="00111C88" w:rsidR="00944054">
        <w:rPr>
          <w:rFonts w:ascii="Verdana" w:hAnsi="Verdana"/>
          <w:b/>
          <w:bCs/>
        </w:rPr>
        <w:t xml:space="preserve"> </w:t>
      </w:r>
      <w:r w:rsidRPr="00111C88" w:rsidR="00944054">
        <w:rPr>
          <w:rFonts w:ascii="Verdana" w:hAnsi="Verdana"/>
        </w:rPr>
        <w:t xml:space="preserve">fall short </w:t>
      </w:r>
      <w:r w:rsidRPr="00111C88" w:rsidR="00B569F5">
        <w:rPr>
          <w:rFonts w:ascii="Verdana" w:hAnsi="Verdana"/>
        </w:rPr>
        <w:t>of what the UK Government has been seeking</w:t>
      </w:r>
      <w:r w:rsidRPr="00111C88" w:rsidR="00944054">
        <w:rPr>
          <w:rFonts w:ascii="Verdana" w:hAnsi="Verdana"/>
        </w:rPr>
        <w:t xml:space="preserve">. The greatest ‘gap’ regards </w:t>
      </w:r>
      <w:r w:rsidRPr="00111C88" w:rsidR="00C614A2">
        <w:rPr>
          <w:rFonts w:ascii="Verdana" w:hAnsi="Verdana"/>
        </w:rPr>
        <w:t>medicines, where the UK proposal</w:t>
      </w:r>
      <w:r w:rsidRPr="00111C88" w:rsidR="00B569F5">
        <w:rPr>
          <w:rFonts w:ascii="Verdana" w:hAnsi="Verdana"/>
        </w:rPr>
        <w:t xml:space="preserve">, </w:t>
      </w:r>
      <w:r w:rsidRPr="00111C88" w:rsidR="00C614A2">
        <w:rPr>
          <w:rFonts w:ascii="Verdana" w:hAnsi="Verdana"/>
        </w:rPr>
        <w:t>to exempt medicines from the Protocol</w:t>
      </w:r>
      <w:r w:rsidRPr="00111C88" w:rsidR="00B569F5">
        <w:rPr>
          <w:rFonts w:ascii="Verdana" w:hAnsi="Verdana"/>
        </w:rPr>
        <w:t xml:space="preserve">, </w:t>
      </w:r>
      <w:r w:rsidRPr="00111C88" w:rsidR="00C614A2">
        <w:rPr>
          <w:rFonts w:ascii="Verdana" w:hAnsi="Verdana"/>
        </w:rPr>
        <w:t>is far removed from the EU’s offer</w:t>
      </w:r>
      <w:r w:rsidRPr="00111C88" w:rsidR="00B569F5">
        <w:rPr>
          <w:rFonts w:ascii="Verdana" w:hAnsi="Verdana"/>
        </w:rPr>
        <w:t xml:space="preserve">, which is </w:t>
      </w:r>
      <w:r w:rsidRPr="00111C88" w:rsidR="00C614A2">
        <w:rPr>
          <w:rFonts w:ascii="Verdana" w:hAnsi="Verdana"/>
        </w:rPr>
        <w:t xml:space="preserve">to allow UK bodies to certify that the medicines meet EU standards. </w:t>
      </w:r>
      <w:r w:rsidRPr="00111C88" w:rsidR="009430BE">
        <w:rPr>
          <w:rFonts w:ascii="Verdana" w:hAnsi="Verdana"/>
        </w:rPr>
        <w:t xml:space="preserve"> </w:t>
      </w:r>
      <w:r w:rsidRPr="00111C88" w:rsidR="008F1390">
        <w:rPr>
          <w:rFonts w:ascii="Verdana" w:hAnsi="Verdana"/>
        </w:rPr>
        <w:t xml:space="preserve">On </w:t>
      </w:r>
      <w:r w:rsidRPr="00111C88" w:rsidR="008F1390">
        <w:rPr>
          <w:rFonts w:ascii="Verdana" w:hAnsi="Verdana"/>
          <w:b/>
          <w:bCs/>
        </w:rPr>
        <w:t xml:space="preserve">customs </w:t>
      </w:r>
      <w:r w:rsidRPr="00111C88" w:rsidR="008F1390">
        <w:rPr>
          <w:rFonts w:ascii="Verdana" w:hAnsi="Verdana"/>
        </w:rPr>
        <w:t xml:space="preserve">and </w:t>
      </w:r>
      <w:r w:rsidRPr="00111C88" w:rsidR="008F1390">
        <w:rPr>
          <w:rFonts w:ascii="Verdana" w:hAnsi="Verdana"/>
          <w:b/>
          <w:bCs/>
        </w:rPr>
        <w:t>SPS</w:t>
      </w:r>
      <w:r w:rsidRPr="00111C88" w:rsidR="008F1390">
        <w:rPr>
          <w:rFonts w:ascii="Verdana" w:hAnsi="Verdana"/>
        </w:rPr>
        <w:t>,</w:t>
      </w:r>
      <w:r w:rsidRPr="00111C88" w:rsidR="008F1390">
        <w:rPr>
          <w:rFonts w:ascii="Verdana" w:hAnsi="Verdana"/>
          <w:b/>
          <w:bCs/>
        </w:rPr>
        <w:t xml:space="preserve"> </w:t>
      </w:r>
      <w:r w:rsidRPr="00111C88" w:rsidR="008F1390">
        <w:rPr>
          <w:rFonts w:ascii="Verdana" w:hAnsi="Verdana"/>
        </w:rPr>
        <w:t>it is difficult to assess how far the parties are a</w:t>
      </w:r>
      <w:r w:rsidRPr="00111C88" w:rsidR="00883F41">
        <w:rPr>
          <w:rFonts w:ascii="Verdana" w:hAnsi="Verdana"/>
        </w:rPr>
        <w:t xml:space="preserve"> </w:t>
      </w:r>
      <w:r w:rsidRPr="00111C88" w:rsidR="008F1390">
        <w:rPr>
          <w:rFonts w:ascii="Verdana" w:hAnsi="Verdana"/>
        </w:rPr>
        <w:t xml:space="preserve">part, </w:t>
      </w:r>
      <w:r w:rsidRPr="00111C88" w:rsidR="00883F41">
        <w:rPr>
          <w:rFonts w:ascii="Verdana" w:hAnsi="Verdana"/>
        </w:rPr>
        <w:t>because</w:t>
      </w:r>
      <w:r w:rsidRPr="00111C88" w:rsidR="008F1390">
        <w:rPr>
          <w:rFonts w:ascii="Verdana" w:hAnsi="Verdana"/>
        </w:rPr>
        <w:t xml:space="preserve"> the EU proposals need to be worked out further before it is possible to assess what level of ‘burden reduction’ they offer for </w:t>
      </w:r>
      <w:r w:rsidRPr="00111C88" w:rsidR="006E0C59">
        <w:rPr>
          <w:rFonts w:ascii="Verdana" w:hAnsi="Verdana"/>
        </w:rPr>
        <w:t xml:space="preserve">Great Britain </w:t>
      </w:r>
      <w:r w:rsidRPr="00111C88" w:rsidR="008F1390">
        <w:rPr>
          <w:rFonts w:ascii="Verdana" w:hAnsi="Verdana"/>
        </w:rPr>
        <w:t>business</w:t>
      </w:r>
      <w:r w:rsidRPr="00111C88" w:rsidR="00883F41">
        <w:rPr>
          <w:rFonts w:ascii="Verdana" w:hAnsi="Verdana"/>
        </w:rPr>
        <w:t>. T</w:t>
      </w:r>
      <w:r w:rsidRPr="00111C88" w:rsidR="00772EB7">
        <w:rPr>
          <w:rFonts w:ascii="Verdana" w:hAnsi="Verdana"/>
        </w:rPr>
        <w:t>he EU has made an offer that appears to address some of the UK concerns</w:t>
      </w:r>
      <w:r w:rsidRPr="00111C88" w:rsidR="00883F41">
        <w:rPr>
          <w:rFonts w:ascii="Verdana" w:hAnsi="Verdana"/>
        </w:rPr>
        <w:t>, but the percentages of check reductions which have attracted headlines cannot be substantiated</w:t>
      </w:r>
      <w:r w:rsidRPr="00111C88" w:rsidR="00772EB7">
        <w:rPr>
          <w:rFonts w:ascii="Verdana" w:hAnsi="Verdana"/>
        </w:rPr>
        <w:t>.</w:t>
      </w:r>
      <w:r>
        <w:rPr>
          <w:rStyle w:val="FootnoteReference"/>
          <w:rFonts w:ascii="Verdana" w:hAnsi="Verdana"/>
        </w:rPr>
        <w:footnoteReference w:id="25"/>
      </w:r>
      <w:r w:rsidRPr="00111C88" w:rsidR="00772EB7">
        <w:rPr>
          <w:rFonts w:ascii="Verdana" w:hAnsi="Verdana"/>
        </w:rPr>
        <w:t xml:space="preserve"> On </w:t>
      </w:r>
      <w:r w:rsidRPr="00111C88" w:rsidR="00772EB7">
        <w:rPr>
          <w:rFonts w:ascii="Verdana" w:hAnsi="Verdana"/>
          <w:b/>
          <w:bCs/>
        </w:rPr>
        <w:t>governance</w:t>
      </w:r>
      <w:r w:rsidRPr="00111C88" w:rsidR="00772EB7">
        <w:rPr>
          <w:rFonts w:ascii="Verdana" w:hAnsi="Verdana"/>
        </w:rPr>
        <w:t>,</w:t>
      </w:r>
      <w:r w:rsidRPr="00111C88" w:rsidR="00772EB7">
        <w:rPr>
          <w:rFonts w:ascii="Verdana" w:hAnsi="Verdana"/>
          <w:b/>
          <w:bCs/>
        </w:rPr>
        <w:t xml:space="preserve"> </w:t>
      </w:r>
      <w:r w:rsidRPr="00111C88" w:rsidR="00772EB7">
        <w:rPr>
          <w:rFonts w:ascii="Verdana" w:hAnsi="Verdana"/>
        </w:rPr>
        <w:t xml:space="preserve">the </w:t>
      </w:r>
      <w:r w:rsidRPr="00111C88" w:rsidR="004479DD">
        <w:rPr>
          <w:rFonts w:ascii="Verdana" w:hAnsi="Verdana"/>
        </w:rPr>
        <w:t xml:space="preserve">parties agree that greater consultation with Northern Ireland’s political </w:t>
      </w:r>
      <w:r w:rsidRPr="00111C88" w:rsidR="00D77AED">
        <w:rPr>
          <w:rFonts w:ascii="Verdana" w:hAnsi="Verdana"/>
        </w:rPr>
        <w:t xml:space="preserve">and civil society/business </w:t>
      </w:r>
      <w:r w:rsidRPr="00111C88" w:rsidR="004479DD">
        <w:rPr>
          <w:rFonts w:ascii="Verdana" w:hAnsi="Verdana"/>
        </w:rPr>
        <w:t>representatives is desirable, but the EU’s offer does not address UK concerns about Northern Ireland’s ability to provide pre-legislative input into EU legislative proposals. This</w:t>
      </w:r>
      <w:r w:rsidRPr="00111C88" w:rsidR="00D77AED">
        <w:rPr>
          <w:rFonts w:ascii="Verdana" w:hAnsi="Verdana"/>
        </w:rPr>
        <w:t xml:space="preserve"> is</w:t>
      </w:r>
      <w:r w:rsidRPr="00111C88" w:rsidR="004479DD">
        <w:rPr>
          <w:rFonts w:ascii="Verdana" w:hAnsi="Verdana"/>
        </w:rPr>
        <w:t xml:space="preserve"> a disagreement </w:t>
      </w:r>
      <w:r w:rsidRPr="00111C88" w:rsidR="00D77AED">
        <w:rPr>
          <w:rFonts w:ascii="Verdana" w:hAnsi="Verdana"/>
        </w:rPr>
        <w:t>which require</w:t>
      </w:r>
      <w:r w:rsidRPr="00111C88" w:rsidR="00BB69F9">
        <w:rPr>
          <w:rFonts w:ascii="Verdana" w:hAnsi="Verdana"/>
        </w:rPr>
        <w:t>s urgent attention</w:t>
      </w:r>
      <w:r w:rsidRPr="00111C88" w:rsidR="004479DD">
        <w:rPr>
          <w:rFonts w:ascii="Verdana" w:hAnsi="Verdana"/>
        </w:rPr>
        <w:t>.</w:t>
      </w:r>
    </w:p>
    <w:p w:rsidR="002025CB" w:rsidRPr="00111C88" w:rsidP="00745DA5">
      <w:pPr>
        <w:spacing w:before="120" w:after="120" w:line="240" w:lineRule="auto"/>
        <w:ind w:right="425"/>
        <w:jc w:val="both"/>
        <w:rPr>
          <w:rFonts w:ascii="Verdana" w:eastAsia="Times New Roman" w:hAnsi="Verdana" w:cs="Arial"/>
          <w:b/>
          <w:bCs/>
          <w:lang w:eastAsia="en-GB"/>
        </w:rPr>
      </w:pPr>
    </w:p>
    <w:p w:rsidR="006101B9" w:rsidRPr="00111C88" w:rsidP="00745DA5">
      <w:pPr>
        <w:spacing w:before="120" w:after="120" w:line="240" w:lineRule="auto"/>
        <w:ind w:right="425"/>
        <w:jc w:val="both"/>
        <w:rPr>
          <w:rFonts w:ascii="Verdana" w:eastAsia="Times New Roman" w:hAnsi="Verdana" w:cs="Arial"/>
          <w:b/>
          <w:bCs/>
          <w:lang w:eastAsia="en-GB"/>
        </w:rPr>
      </w:pPr>
      <w:r w:rsidRPr="00111C88">
        <w:rPr>
          <w:rFonts w:ascii="Verdana" w:eastAsia="Times New Roman" w:hAnsi="Verdana" w:cs="Arial"/>
          <w:b/>
          <w:bCs/>
          <w:lang w:eastAsia="en-GB"/>
        </w:rPr>
        <w:t>IF AGREEMENT CANNOT BE REACHED</w:t>
      </w:r>
    </w:p>
    <w:p w:rsidR="0080123A" w:rsidRPr="00111C88" w:rsidP="00745DA5">
      <w:pPr>
        <w:spacing w:before="120" w:after="120" w:line="240" w:lineRule="auto"/>
        <w:ind w:right="425"/>
        <w:jc w:val="both"/>
        <w:rPr>
          <w:rFonts w:ascii="Verdana" w:eastAsia="Times New Roman" w:hAnsi="Verdana" w:cs="Arial"/>
          <w:b/>
          <w:bCs/>
          <w:lang w:eastAsia="en-GB"/>
        </w:rPr>
      </w:pPr>
    </w:p>
    <w:p w:rsidR="00E9255B"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The UK’s July 2021 Command Paper </w:t>
      </w:r>
      <w:r w:rsidRPr="00111C88" w:rsidR="00E157FE">
        <w:rPr>
          <w:rFonts w:ascii="Verdana" w:hAnsi="Verdana"/>
        </w:rPr>
        <w:t>asserts that</w:t>
      </w:r>
      <w:r w:rsidRPr="00111C88">
        <w:rPr>
          <w:rFonts w:ascii="Verdana" w:hAnsi="Verdana"/>
        </w:rPr>
        <w:t xml:space="preserve"> the grounds </w:t>
      </w:r>
      <w:r w:rsidRPr="00111C88" w:rsidR="00E157FE">
        <w:rPr>
          <w:rFonts w:ascii="Verdana" w:hAnsi="Verdana"/>
        </w:rPr>
        <w:t xml:space="preserve">already exist </w:t>
      </w:r>
      <w:r w:rsidRPr="00111C88">
        <w:rPr>
          <w:rFonts w:ascii="Verdana" w:hAnsi="Verdana"/>
        </w:rPr>
        <w:t xml:space="preserve">to </w:t>
      </w:r>
      <w:r w:rsidRPr="00111C88" w:rsidR="00696E2D">
        <w:rPr>
          <w:rFonts w:ascii="Verdana" w:hAnsi="Verdana"/>
        </w:rPr>
        <w:t xml:space="preserve">start safeguard procedures under Article 16 of the Protocol, which enables either party to take “appropriate safeguard measures” </w:t>
      </w:r>
      <w:r w:rsidRPr="00111C88" w:rsidR="006450A3">
        <w:rPr>
          <w:rFonts w:ascii="Verdana" w:hAnsi="Verdana"/>
        </w:rPr>
        <w:t xml:space="preserve">if “the Application of the protocol leads to </w:t>
      </w:r>
      <w:r w:rsidRPr="00111C88" w:rsidR="008C5890">
        <w:rPr>
          <w:rFonts w:ascii="Verdana" w:hAnsi="Verdana"/>
        </w:rPr>
        <w:t xml:space="preserve">serious economic, societal or environmental difficulties that are liable to persist, or to </w:t>
      </w:r>
      <w:r w:rsidRPr="00111C88" w:rsidR="006450A3">
        <w:rPr>
          <w:rFonts w:ascii="Verdana" w:hAnsi="Verdana"/>
        </w:rPr>
        <w:t>diversion of trade”.</w:t>
      </w:r>
      <w:r>
        <w:rPr>
          <w:rStyle w:val="FootnoteReference"/>
          <w:rFonts w:ascii="Verdana" w:hAnsi="Verdana"/>
        </w:rPr>
        <w:footnoteReference w:id="26"/>
      </w:r>
      <w:r w:rsidRPr="00111C88" w:rsidR="006450A3">
        <w:rPr>
          <w:rFonts w:ascii="Verdana" w:hAnsi="Verdana"/>
        </w:rPr>
        <w:t xml:space="preserve"> The UK </w:t>
      </w:r>
      <w:r w:rsidRPr="00111C88" w:rsidR="00E157FE">
        <w:rPr>
          <w:rFonts w:ascii="Verdana" w:hAnsi="Verdana"/>
        </w:rPr>
        <w:t xml:space="preserve">Government </w:t>
      </w:r>
      <w:r w:rsidRPr="00111C88" w:rsidR="006450A3">
        <w:rPr>
          <w:rFonts w:ascii="Verdana" w:hAnsi="Verdana"/>
        </w:rPr>
        <w:t xml:space="preserve">argument is that trade diversion is happening, as the application of the Protocol means that </w:t>
      </w:r>
      <w:r w:rsidRPr="00111C88" w:rsidR="006E0C59">
        <w:rPr>
          <w:rFonts w:ascii="Verdana" w:hAnsi="Verdana"/>
        </w:rPr>
        <w:t>Great Britain to Northern Ireland</w:t>
      </w:r>
      <w:r w:rsidRPr="00111C88" w:rsidR="006450A3">
        <w:rPr>
          <w:rFonts w:ascii="Verdana" w:hAnsi="Verdana"/>
        </w:rPr>
        <w:t xml:space="preserve"> trade is diminishing and </w:t>
      </w:r>
      <w:r w:rsidRPr="00111C88" w:rsidR="00E157FE">
        <w:rPr>
          <w:rFonts w:ascii="Verdana" w:hAnsi="Verdana"/>
        </w:rPr>
        <w:t xml:space="preserve">trade between </w:t>
      </w:r>
      <w:r w:rsidRPr="00111C88" w:rsidR="006E0C59">
        <w:rPr>
          <w:rFonts w:ascii="Verdana" w:hAnsi="Verdana"/>
        </w:rPr>
        <w:t xml:space="preserve">Northern Ireland </w:t>
      </w:r>
      <w:r w:rsidRPr="00111C88" w:rsidR="00E157FE">
        <w:rPr>
          <w:rFonts w:ascii="Verdana" w:hAnsi="Verdana"/>
        </w:rPr>
        <w:t>and</w:t>
      </w:r>
      <w:r w:rsidRPr="00111C88" w:rsidR="006E0C59">
        <w:rPr>
          <w:rFonts w:ascii="Verdana" w:hAnsi="Verdana"/>
        </w:rPr>
        <w:t xml:space="preserve"> Ireland </w:t>
      </w:r>
      <w:r w:rsidRPr="00111C88" w:rsidR="006450A3">
        <w:rPr>
          <w:rFonts w:ascii="Verdana" w:hAnsi="Verdana"/>
        </w:rPr>
        <w:t>is increasing.</w:t>
      </w:r>
      <w:r w:rsidRPr="00111C88" w:rsidR="00B50461">
        <w:rPr>
          <w:rFonts w:ascii="Verdana" w:hAnsi="Verdana"/>
        </w:rPr>
        <w:t xml:space="preserve"> </w:t>
      </w:r>
    </w:p>
    <w:p w:rsidR="00D00415" w:rsidRPr="00111C88" w:rsidP="00745DA5">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It is, in our view, not </w:t>
      </w:r>
      <w:r w:rsidRPr="00111C88" w:rsidR="00E157FE">
        <w:rPr>
          <w:rFonts w:ascii="Verdana" w:hAnsi="Verdana"/>
        </w:rPr>
        <w:t xml:space="preserve">at all </w:t>
      </w:r>
      <w:r w:rsidRPr="00111C88">
        <w:rPr>
          <w:rFonts w:ascii="Verdana" w:hAnsi="Verdana"/>
        </w:rPr>
        <w:t xml:space="preserve">clear that Article 16 is designed to address </w:t>
      </w:r>
      <w:r w:rsidRPr="00111C88" w:rsidR="00230A71">
        <w:rPr>
          <w:rFonts w:ascii="Verdana" w:hAnsi="Verdana"/>
        </w:rPr>
        <w:t xml:space="preserve">trade diversions </w:t>
      </w:r>
      <w:r w:rsidRPr="00111C88">
        <w:rPr>
          <w:rFonts w:ascii="Verdana" w:hAnsi="Verdana"/>
        </w:rPr>
        <w:t>internal</w:t>
      </w:r>
      <w:r w:rsidRPr="00111C88" w:rsidR="00230A71">
        <w:rPr>
          <w:rFonts w:ascii="Verdana" w:hAnsi="Verdana"/>
        </w:rPr>
        <w:t xml:space="preserve"> to the UK</w:t>
      </w:r>
      <w:r w:rsidRPr="00111C88">
        <w:rPr>
          <w:rFonts w:ascii="Verdana" w:hAnsi="Verdana"/>
        </w:rPr>
        <w:t>, nor that it is intended to address foreseen diversion</w:t>
      </w:r>
      <w:r w:rsidRPr="00111C88" w:rsidR="00230A71">
        <w:rPr>
          <w:rFonts w:ascii="Verdana" w:hAnsi="Verdana"/>
        </w:rPr>
        <w:t>s</w:t>
      </w:r>
      <w:r w:rsidRPr="00111C88" w:rsidR="00E9255B">
        <w:rPr>
          <w:rFonts w:ascii="Verdana" w:hAnsi="Verdana"/>
        </w:rPr>
        <w:t>. T</w:t>
      </w:r>
      <w:r w:rsidRPr="00111C88">
        <w:rPr>
          <w:rFonts w:ascii="Verdana" w:hAnsi="Verdana"/>
        </w:rPr>
        <w:t>he Protocol</w:t>
      </w:r>
      <w:r w:rsidRPr="00111C88" w:rsidR="00E9255B">
        <w:rPr>
          <w:rFonts w:ascii="Verdana" w:hAnsi="Verdana"/>
        </w:rPr>
        <w:t>’s operation</w:t>
      </w:r>
      <w:r w:rsidRPr="00111C88">
        <w:rPr>
          <w:rFonts w:ascii="Verdana" w:hAnsi="Verdana"/>
        </w:rPr>
        <w:t xml:space="preserve"> </w:t>
      </w:r>
      <w:r w:rsidRPr="00111C88" w:rsidR="00230A71">
        <w:rPr>
          <w:rFonts w:ascii="Verdana" w:hAnsi="Verdana"/>
        </w:rPr>
        <w:t>involved</w:t>
      </w:r>
      <w:r w:rsidRPr="00111C88">
        <w:rPr>
          <w:rFonts w:ascii="Verdana" w:hAnsi="Verdana"/>
        </w:rPr>
        <w:t xml:space="preserve"> </w:t>
      </w:r>
      <w:r w:rsidRPr="00111C88" w:rsidR="00230A71">
        <w:rPr>
          <w:rFonts w:ascii="Verdana" w:hAnsi="Verdana"/>
        </w:rPr>
        <w:t>the creation</w:t>
      </w:r>
      <w:r w:rsidRPr="00111C88">
        <w:rPr>
          <w:rFonts w:ascii="Verdana" w:hAnsi="Verdana"/>
        </w:rPr>
        <w:t xml:space="preserve"> </w:t>
      </w:r>
      <w:r w:rsidRPr="00111C88" w:rsidR="00230A71">
        <w:rPr>
          <w:rFonts w:ascii="Verdana" w:hAnsi="Verdana"/>
        </w:rPr>
        <w:t xml:space="preserve">of barriers </w:t>
      </w:r>
      <w:r w:rsidRPr="00111C88">
        <w:rPr>
          <w:rFonts w:ascii="Verdana" w:hAnsi="Verdana"/>
        </w:rPr>
        <w:t xml:space="preserve">in the Irish Sea, </w:t>
      </w:r>
      <w:r w:rsidRPr="00111C88" w:rsidR="00230A71">
        <w:rPr>
          <w:rFonts w:ascii="Verdana" w:hAnsi="Verdana"/>
        </w:rPr>
        <w:t xml:space="preserve">which have </w:t>
      </w:r>
      <w:r w:rsidRPr="00111C88" w:rsidR="00981921">
        <w:rPr>
          <w:rFonts w:ascii="Verdana" w:hAnsi="Verdana"/>
        </w:rPr>
        <w:t>produced foreseeable supply chain shifts</w:t>
      </w:r>
      <w:r w:rsidRPr="00111C88">
        <w:rPr>
          <w:rFonts w:ascii="Verdana" w:hAnsi="Verdana"/>
        </w:rPr>
        <w:t>.</w:t>
      </w:r>
      <w:r w:rsidRPr="00111C88" w:rsidR="001A4B8C">
        <w:rPr>
          <w:rFonts w:ascii="Verdana" w:hAnsi="Verdana"/>
        </w:rPr>
        <w:t xml:space="preserve"> </w:t>
      </w:r>
      <w:r w:rsidRPr="00111C88" w:rsidR="00981921">
        <w:rPr>
          <w:rFonts w:ascii="Verdana" w:hAnsi="Verdana"/>
        </w:rPr>
        <w:t>Some of these have been mitigated by grace periods, but these periods were always intended to give suppliers an opportunity to adapt, they were never an alternative to adaptation.</w:t>
      </w:r>
      <w:r w:rsidRPr="00111C88" w:rsidR="001A4B8C">
        <w:rPr>
          <w:rFonts w:ascii="Verdana" w:hAnsi="Verdana"/>
        </w:rPr>
        <w:t xml:space="preserve"> A </w:t>
      </w:r>
      <w:r w:rsidRPr="00111C88" w:rsidR="00981921">
        <w:rPr>
          <w:rFonts w:ascii="Verdana" w:hAnsi="Verdana"/>
        </w:rPr>
        <w:t>particular problem</w:t>
      </w:r>
      <w:r w:rsidRPr="00111C88" w:rsidR="001A4B8C">
        <w:rPr>
          <w:rFonts w:ascii="Verdana" w:hAnsi="Verdana"/>
        </w:rPr>
        <w:t xml:space="preserve"> for the UK is that the CJEU has to date not actually exercised any of its role under Article 12, so it is unclear how its role in the Protocol is </w:t>
      </w:r>
      <w:r w:rsidRPr="00111C88" w:rsidR="008C5890">
        <w:rPr>
          <w:rFonts w:ascii="Verdana" w:hAnsi="Verdana"/>
        </w:rPr>
        <w:t>leading to any serious difficulties or a diversion of trade.</w:t>
      </w:r>
      <w:r w:rsidRPr="00111C88">
        <w:rPr>
          <w:rFonts w:ascii="Verdana" w:hAnsi="Verdana"/>
        </w:rPr>
        <w:t xml:space="preserve"> </w:t>
      </w:r>
      <w:r w:rsidRPr="00111C88" w:rsidR="005C2E3F">
        <w:rPr>
          <w:rFonts w:ascii="Verdana" w:hAnsi="Verdana"/>
        </w:rPr>
        <w:t>A further problem is that</w:t>
      </w:r>
      <w:r w:rsidRPr="00111C88" w:rsidR="00285E43">
        <w:rPr>
          <w:rFonts w:ascii="Verdana" w:hAnsi="Verdana"/>
        </w:rPr>
        <w:t xml:space="preserve"> it is difficult for the UK to demonstrate the necessity of invoking Article 16 without first attempting to operate the Commission’s proposed mitigations.</w:t>
      </w:r>
    </w:p>
    <w:p w:rsidR="00905574" w:rsidRPr="00111C88" w:rsidP="00981921">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 xml:space="preserve">Article 16 is a mechanism for taking specific safeguard measures proportionate to specific and evidenced problems. It is not an instrument for unilaterally rewriting the Protocol. </w:t>
      </w:r>
      <w:r w:rsidRPr="00111C88" w:rsidR="00981921">
        <w:rPr>
          <w:rFonts w:ascii="Verdana" w:hAnsi="Verdana"/>
        </w:rPr>
        <w:t>If the</w:t>
      </w:r>
      <w:r w:rsidRPr="00111C88" w:rsidR="00297A08">
        <w:rPr>
          <w:rFonts w:ascii="Verdana" w:hAnsi="Verdana"/>
        </w:rPr>
        <w:t xml:space="preserve"> UK </w:t>
      </w:r>
      <w:r w:rsidRPr="00111C88" w:rsidR="00981921">
        <w:rPr>
          <w:rFonts w:ascii="Verdana" w:hAnsi="Verdana"/>
        </w:rPr>
        <w:t>takes steps under Article 16 to</w:t>
      </w:r>
      <w:r w:rsidRPr="00111C88" w:rsidR="00297A08">
        <w:rPr>
          <w:rFonts w:ascii="Verdana" w:hAnsi="Verdana"/>
        </w:rPr>
        <w:t xml:space="preserve"> implement its </w:t>
      </w:r>
      <w:r w:rsidRPr="00111C88" w:rsidR="00297A08">
        <w:rPr>
          <w:rFonts w:ascii="Verdana" w:hAnsi="Verdana"/>
          <w:b/>
          <w:bCs/>
        </w:rPr>
        <w:t xml:space="preserve">dual regulatory regime </w:t>
      </w:r>
      <w:r w:rsidRPr="00111C88" w:rsidR="00C370A6">
        <w:rPr>
          <w:rFonts w:ascii="Verdana" w:hAnsi="Verdana"/>
        </w:rPr>
        <w:t xml:space="preserve">based on </w:t>
      </w:r>
      <w:r w:rsidRPr="00111C88" w:rsidR="00C370A6">
        <w:rPr>
          <w:rFonts w:ascii="Verdana" w:hAnsi="Verdana"/>
          <w:b/>
          <w:bCs/>
        </w:rPr>
        <w:t>self-certification</w:t>
      </w:r>
      <w:r w:rsidRPr="00111C88" w:rsidR="004B1C56">
        <w:rPr>
          <w:rFonts w:ascii="Verdana" w:hAnsi="Verdana"/>
        </w:rPr>
        <w:t>, th</w:t>
      </w:r>
      <w:r w:rsidRPr="00111C88" w:rsidR="00C370A6">
        <w:rPr>
          <w:rFonts w:ascii="Verdana" w:hAnsi="Verdana"/>
        </w:rPr>
        <w:t>e EU is likely to view this as a breach of the Protocol’s provisions</w:t>
      </w:r>
      <w:r w:rsidRPr="00111C88" w:rsidR="004B1C56">
        <w:rPr>
          <w:rFonts w:ascii="Verdana" w:hAnsi="Verdana"/>
        </w:rPr>
        <w:t>. This will</w:t>
      </w:r>
      <w:r w:rsidRPr="00111C88">
        <w:rPr>
          <w:rFonts w:ascii="Verdana" w:hAnsi="Verdana"/>
        </w:rPr>
        <w:t>, at least,</w:t>
      </w:r>
      <w:r w:rsidRPr="00111C88" w:rsidR="004B1C56">
        <w:rPr>
          <w:rFonts w:ascii="Verdana" w:hAnsi="Verdana"/>
        </w:rPr>
        <w:t xml:space="preserve"> lead to arbitration under </w:t>
      </w:r>
      <w:r w:rsidRPr="00111C88">
        <w:rPr>
          <w:rFonts w:ascii="Verdana" w:hAnsi="Verdana"/>
        </w:rPr>
        <w:t>Annex 7 of the Protocol</w:t>
      </w:r>
      <w:r w:rsidRPr="00111C88" w:rsidR="00C370A6">
        <w:rPr>
          <w:rFonts w:ascii="Verdana" w:hAnsi="Verdana"/>
        </w:rPr>
        <w:t xml:space="preserve"> </w:t>
      </w:r>
      <w:r w:rsidRPr="00111C88" w:rsidR="004B1C56">
        <w:rPr>
          <w:rFonts w:ascii="Verdana" w:hAnsi="Verdana"/>
        </w:rPr>
        <w:t xml:space="preserve">and </w:t>
      </w:r>
      <w:r w:rsidRPr="00111C88" w:rsidR="00C370A6">
        <w:rPr>
          <w:rFonts w:ascii="Verdana" w:hAnsi="Verdana"/>
        </w:rPr>
        <w:t>simultaneous counteract</w:t>
      </w:r>
      <w:r w:rsidRPr="00111C88" w:rsidR="004B1C56">
        <w:rPr>
          <w:rFonts w:ascii="Verdana" w:hAnsi="Verdana"/>
        </w:rPr>
        <w:t>ion</w:t>
      </w:r>
      <w:r w:rsidRPr="00111C88" w:rsidR="00C370A6">
        <w:rPr>
          <w:rFonts w:ascii="Verdana" w:hAnsi="Verdana"/>
        </w:rPr>
        <w:t xml:space="preserve"> </w:t>
      </w:r>
      <w:r w:rsidRPr="00111C88" w:rsidR="004B1C56">
        <w:rPr>
          <w:rFonts w:ascii="Verdana" w:hAnsi="Verdana"/>
        </w:rPr>
        <w:t>through</w:t>
      </w:r>
      <w:r w:rsidRPr="00111C88" w:rsidR="00C370A6">
        <w:rPr>
          <w:rFonts w:ascii="Verdana" w:hAnsi="Verdana"/>
        </w:rPr>
        <w:t xml:space="preserve"> </w:t>
      </w:r>
      <w:r w:rsidRPr="00111C88" w:rsidR="00482062">
        <w:rPr>
          <w:rFonts w:ascii="Verdana" w:hAnsi="Verdana"/>
        </w:rPr>
        <w:t xml:space="preserve">“proportionate rebalancing measures” under Article 16(2) of the Protocol. </w:t>
      </w:r>
      <w:r w:rsidRPr="00111C88" w:rsidR="004B1C56">
        <w:rPr>
          <w:rFonts w:ascii="Verdana" w:hAnsi="Verdana"/>
        </w:rPr>
        <w:t xml:space="preserve">The scope of </w:t>
      </w:r>
      <w:r w:rsidRPr="00111C88">
        <w:rPr>
          <w:rFonts w:ascii="Verdana" w:hAnsi="Verdana"/>
        </w:rPr>
        <w:t>any</w:t>
      </w:r>
      <w:r w:rsidRPr="00111C88" w:rsidR="004B1C56">
        <w:rPr>
          <w:rFonts w:ascii="Verdana" w:hAnsi="Verdana"/>
        </w:rPr>
        <w:t xml:space="preserve"> triggering of Article 16 is therefore all important; </w:t>
      </w:r>
      <w:r w:rsidRPr="00111C88">
        <w:rPr>
          <w:rFonts w:ascii="Verdana" w:hAnsi="Verdana"/>
        </w:rPr>
        <w:t xml:space="preserve">disputes over </w:t>
      </w:r>
      <w:r w:rsidRPr="00111C88" w:rsidR="004B1C56">
        <w:rPr>
          <w:rFonts w:ascii="Verdana" w:hAnsi="Verdana"/>
        </w:rPr>
        <w:t>targeted interventions</w:t>
      </w:r>
      <w:r w:rsidRPr="00111C88">
        <w:rPr>
          <w:rFonts w:ascii="Verdana" w:hAnsi="Verdana"/>
        </w:rPr>
        <w:t xml:space="preserve"> and counter-measures</w:t>
      </w:r>
      <w:r w:rsidRPr="00111C88" w:rsidR="004B1C56">
        <w:rPr>
          <w:rFonts w:ascii="Verdana" w:hAnsi="Verdana"/>
        </w:rPr>
        <w:t xml:space="preserve"> are likely to be addressed through the Article 16 processes</w:t>
      </w:r>
      <w:r w:rsidRPr="00111C88" w:rsidR="00285E43">
        <w:rPr>
          <w:rFonts w:ascii="Verdana" w:hAnsi="Verdana"/>
        </w:rPr>
        <w:t xml:space="preserve">, </w:t>
      </w:r>
      <w:r w:rsidRPr="00111C88">
        <w:rPr>
          <w:rFonts w:ascii="Verdana" w:hAnsi="Verdana"/>
        </w:rPr>
        <w:t>whereas any effort to fundamentally alter the Protocol could precipitate responses such as the suspension or termination of the Trade and Cooperation Agreement which is consequent to the Withdrawal Agreement</w:t>
      </w:r>
      <w:r w:rsidRPr="00111C88" w:rsidR="004B1C56">
        <w:rPr>
          <w:rFonts w:ascii="Verdana" w:hAnsi="Verdana"/>
        </w:rPr>
        <w:t>.</w:t>
      </w:r>
    </w:p>
    <w:p w:rsidR="00A83A2A" w:rsidRPr="00111C88" w:rsidP="00981921">
      <w:pPr>
        <w:pStyle w:val="ListParagraph"/>
        <w:numPr>
          <w:ilvl w:val="0"/>
          <w:numId w:val="15"/>
        </w:numPr>
        <w:spacing w:before="120" w:after="120"/>
        <w:ind w:left="0" w:right="425" w:hanging="540"/>
        <w:contextualSpacing w:val="0"/>
        <w:jc w:val="both"/>
        <w:rPr>
          <w:rFonts w:ascii="Verdana" w:hAnsi="Verdana"/>
        </w:rPr>
      </w:pPr>
      <w:r w:rsidRPr="00111C88">
        <w:rPr>
          <w:rFonts w:ascii="Verdana" w:hAnsi="Verdana"/>
        </w:rPr>
        <w:t>On the conclusion of the Protocol, Northern Ireland was promised the “best of both worlds” in terms of access to the UK Internal Market and EU Single Market, and that this unique status would attract foreign direct investment.</w:t>
      </w:r>
      <w:r w:rsidRPr="00111C88" w:rsidR="004B1C56">
        <w:rPr>
          <w:rFonts w:ascii="Verdana" w:hAnsi="Verdana"/>
        </w:rPr>
        <w:t xml:space="preserve"> </w:t>
      </w:r>
      <w:r w:rsidRPr="00111C88">
        <w:rPr>
          <w:rFonts w:ascii="Verdana" w:hAnsi="Verdana"/>
        </w:rPr>
        <w:t xml:space="preserve">These benefits will not flow for as long as the Protocol is </w:t>
      </w:r>
      <w:r w:rsidRPr="00111C88" w:rsidR="00804E94">
        <w:rPr>
          <w:rFonts w:ascii="Verdana" w:hAnsi="Verdana"/>
        </w:rPr>
        <w:t>beset by instability. However much UK-EU relations are strained, Northern Ireland’s stability depends on their constructive engagement on points of dispute.</w:t>
      </w:r>
      <w:r w:rsidRPr="00111C88" w:rsidR="004B1C56">
        <w:rPr>
          <w:rFonts w:ascii="Verdana" w:hAnsi="Verdana"/>
        </w:rPr>
        <w:t xml:space="preserve"> </w:t>
      </w:r>
    </w:p>
    <w:p w:rsidR="002025CB" w:rsidRPr="00111C88" w:rsidP="00745DA5">
      <w:pPr>
        <w:spacing w:before="120" w:after="120"/>
        <w:ind w:right="425"/>
        <w:rPr>
          <w:rFonts w:ascii="Verdana" w:hAnsi="Verdana"/>
          <w:i/>
        </w:rPr>
      </w:pPr>
    </w:p>
    <w:p w:rsidR="00525C07" w:rsidRPr="00FC4C4C" w:rsidP="00FC4C4C">
      <w:pPr>
        <w:spacing w:before="120" w:after="120"/>
        <w:ind w:right="425"/>
        <w:rPr>
          <w:rFonts w:ascii="Verdana" w:hAnsi="Verdana"/>
          <w:b/>
          <w:bCs/>
        </w:rPr>
      </w:pPr>
      <w:r w:rsidRPr="00FC4C4C">
        <w:rPr>
          <w:rFonts w:ascii="Verdana" w:hAnsi="Verdana"/>
          <w:b/>
          <w:bCs/>
          <w:i/>
        </w:rPr>
        <w:t xml:space="preserve">5 </w:t>
      </w:r>
      <w:r w:rsidRPr="00FC4C4C" w:rsidR="00324059">
        <w:rPr>
          <w:rFonts w:ascii="Verdana" w:hAnsi="Verdana"/>
          <w:b/>
          <w:bCs/>
          <w:i/>
        </w:rPr>
        <w:t>November 2021</w:t>
      </w:r>
    </w:p>
    <w:sectPr w:rsidSect="000D0341">
      <w:headerReference w:type="default" r:id="rId6"/>
      <w:footerReference w:type="default" r:id="rId7"/>
      <w:footerReference w:type="first" r:id="rId8"/>
      <w:pgSz w:w="11906" w:h="16838"/>
      <w:pgMar w:top="587" w:right="685" w:bottom="1440" w:left="1440"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13675721"/>
      <w:docPartObj>
        <w:docPartGallery w:val="Page Numbers (Bottom of Page)"/>
        <w:docPartUnique/>
      </w:docPartObj>
    </w:sdtPr>
    <w:sdtEndPr>
      <w:rPr>
        <w:noProof/>
      </w:rPr>
    </w:sdtEndPr>
    <w:sdtContent>
      <w:p w:rsidR="002C3BFE">
        <w:pPr>
          <w:pStyle w:val="Footer"/>
          <w:jc w:val="center"/>
        </w:pPr>
        <w:r>
          <w:fldChar w:fldCharType="begin"/>
        </w:r>
        <w:r>
          <w:instrText xml:space="preserve"> PAGE   \* MERGEFORMAT </w:instrText>
        </w:r>
        <w:r>
          <w:fldChar w:fldCharType="separate"/>
        </w:r>
        <w:r w:rsidR="0023006E">
          <w:rPr>
            <w:noProof/>
          </w:rPr>
          <w:t>4</w:t>
        </w:r>
        <w:r>
          <w:rPr>
            <w:noProof/>
          </w:rPr>
          <w:fldChar w:fldCharType="end"/>
        </w:r>
      </w:p>
    </w:sdtContent>
  </w:sdt>
  <w:p w:rsidR="002C3B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0341" w:rsidP="000D0341">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A3AAF" w:rsidP="00847FD8">
      <w:pPr>
        <w:spacing w:after="0" w:line="240" w:lineRule="auto"/>
      </w:pPr>
      <w:r>
        <w:separator/>
      </w:r>
    </w:p>
  </w:footnote>
  <w:footnote w:type="continuationSeparator" w:id="1">
    <w:p w:rsidR="00FA3AAF" w:rsidP="00847FD8">
      <w:pPr>
        <w:spacing w:after="0" w:line="240" w:lineRule="auto"/>
      </w:pPr>
      <w:r>
        <w:continuationSeparator/>
      </w:r>
    </w:p>
  </w:footnote>
  <w:footnote w:id="2">
    <w:p w:rsidR="002A2865" w:rsidRPr="00D21262">
      <w:pPr>
        <w:pStyle w:val="FootnoteText"/>
        <w:rPr>
          <w:rFonts w:ascii="Verdana" w:hAnsi="Verdana"/>
          <w:sz w:val="18"/>
          <w:szCs w:val="18"/>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sidR="00AA3032">
        <w:rPr>
          <w:rFonts w:ascii="Verdana" w:hAnsi="Verdana"/>
          <w:sz w:val="18"/>
          <w:szCs w:val="18"/>
        </w:rPr>
        <w:t>See the discussions in paragraph 10</w:t>
      </w:r>
      <w:r w:rsidRPr="00D21262" w:rsidR="00745DA5">
        <w:rPr>
          <w:rFonts w:ascii="Verdana" w:hAnsi="Verdana"/>
          <w:sz w:val="18"/>
          <w:szCs w:val="18"/>
        </w:rPr>
        <w:t xml:space="preserve">, </w:t>
      </w:r>
      <w:r w:rsidRPr="00D21262" w:rsidR="00AD5D86">
        <w:rPr>
          <w:rFonts w:ascii="Verdana" w:hAnsi="Verdana"/>
          <w:sz w:val="18"/>
          <w:szCs w:val="18"/>
        </w:rPr>
        <w:t>the conclusion in paragraph 27 that “</w:t>
      </w:r>
      <w:r w:rsidRPr="00D21262" w:rsidR="00D55D0B">
        <w:rPr>
          <w:rFonts w:ascii="Verdana" w:hAnsi="Verdana"/>
          <w:sz w:val="18"/>
          <w:szCs w:val="18"/>
        </w:rPr>
        <w:t>[t]</w:t>
      </w:r>
      <w:r w:rsidRPr="00D21262" w:rsidR="00AD5D86">
        <w:rPr>
          <w:rFonts w:ascii="Verdana" w:hAnsi="Verdana"/>
          <w:sz w:val="18"/>
          <w:szCs w:val="18"/>
        </w:rPr>
        <w:t>he way the Protocol is working needs to change”</w:t>
      </w:r>
      <w:r w:rsidRPr="00D21262" w:rsidR="00745DA5">
        <w:rPr>
          <w:rFonts w:ascii="Verdana" w:hAnsi="Verdana"/>
          <w:sz w:val="18"/>
          <w:szCs w:val="18"/>
        </w:rPr>
        <w:t>, and Lord Frost, ‘Observations on the present state of the nation</w:t>
      </w:r>
      <w:r w:rsidRPr="00D21262" w:rsidR="006765F7">
        <w:rPr>
          <w:rFonts w:ascii="Verdana" w:hAnsi="Verdana"/>
          <w:sz w:val="18"/>
          <w:szCs w:val="18"/>
        </w:rPr>
        <w:t xml:space="preserve">’ (Lisbon, </w:t>
      </w:r>
      <w:r w:rsidRPr="00D21262" w:rsidR="00745DA5">
        <w:rPr>
          <w:rFonts w:ascii="Verdana" w:hAnsi="Verdana"/>
          <w:sz w:val="18"/>
          <w:szCs w:val="18"/>
        </w:rPr>
        <w:t>12 October 2021</w:t>
      </w:r>
      <w:r w:rsidRPr="00D21262" w:rsidR="006765F7">
        <w:rPr>
          <w:rFonts w:ascii="Verdana" w:hAnsi="Verdana"/>
          <w:sz w:val="18"/>
          <w:szCs w:val="18"/>
        </w:rPr>
        <w:t xml:space="preserve">) </w:t>
      </w:r>
      <w:r>
        <w:fldChar w:fldCharType="begin"/>
      </w:r>
      <w:r>
        <w:instrText xml:space="preserve"> HYPERLINK "https://www.gov.uk/government/speeches/lord-frost-speech-observations-on-the-present-state-of-the-nation-12-october-2021" </w:instrText>
      </w:r>
      <w:r>
        <w:fldChar w:fldCharType="separate"/>
      </w:r>
      <w:r w:rsidRPr="00D21262" w:rsidR="006765F7">
        <w:rPr>
          <w:rStyle w:val="Hyperlink"/>
          <w:rFonts w:ascii="Verdana" w:hAnsi="Verdana"/>
          <w:sz w:val="18"/>
          <w:szCs w:val="18"/>
        </w:rPr>
        <w:t>https://www.gov.uk/government/speeches/lord-frost-speech-observations-on-the-present-state-of-the-nation-12-october-2021</w:t>
      </w:r>
      <w:r>
        <w:fldChar w:fldCharType="end"/>
      </w:r>
      <w:r w:rsidRPr="00D21262" w:rsidR="006765F7">
        <w:rPr>
          <w:rFonts w:ascii="Verdana" w:hAnsi="Verdana"/>
          <w:sz w:val="18"/>
          <w:szCs w:val="18"/>
        </w:rPr>
        <w:t>.</w:t>
      </w:r>
    </w:p>
  </w:footnote>
  <w:footnote w:id="3">
    <w:p w:rsidR="00114B4F" w:rsidRPr="00D21262">
      <w:pPr>
        <w:pStyle w:val="FootnoteText"/>
        <w:rPr>
          <w:rFonts w:ascii="Verdana" w:hAnsi="Verdana"/>
          <w:sz w:val="18"/>
          <w:szCs w:val="18"/>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Paragraph 39.</w:t>
      </w:r>
    </w:p>
  </w:footnote>
  <w:footnote w:id="4">
    <w:p w:rsidR="00114B4F" w:rsidRPr="00D21262">
      <w:pPr>
        <w:pStyle w:val="FootnoteText"/>
        <w:rPr>
          <w:rFonts w:ascii="Verdana" w:hAnsi="Verdana"/>
          <w:sz w:val="18"/>
          <w:szCs w:val="18"/>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Paragraph 40.</w:t>
      </w:r>
    </w:p>
  </w:footnote>
  <w:footnote w:id="5">
    <w:p w:rsidR="00114B4F" w:rsidRPr="00114B4F">
      <w:pPr>
        <w:pStyle w:val="FootnoteText"/>
        <w:rPr>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Paragraph 41.</w:t>
      </w:r>
    </w:p>
  </w:footnote>
  <w:footnote w:id="6">
    <w:p w:rsidR="00114B4F" w:rsidRPr="00D21262">
      <w:pPr>
        <w:pStyle w:val="FootnoteText"/>
        <w:rPr>
          <w:rFonts w:ascii="Verdana" w:hAnsi="Verdana"/>
          <w:sz w:val="18"/>
          <w:szCs w:val="18"/>
          <w:lang w:val="en-US"/>
        </w:rPr>
      </w:pPr>
      <w:r>
        <w:rPr>
          <w:rStyle w:val="FootnoteReference"/>
        </w:rPr>
        <w:footnoteRef/>
      </w:r>
      <w:r>
        <w:t xml:space="preserve"> </w:t>
      </w:r>
      <w:r w:rsidRPr="00D21262">
        <w:rPr>
          <w:rFonts w:ascii="Verdana" w:hAnsi="Verdana"/>
          <w:sz w:val="18"/>
          <w:szCs w:val="18"/>
          <w:lang w:val="en-US"/>
        </w:rPr>
        <w:t>Paragraph 48.</w:t>
      </w:r>
    </w:p>
  </w:footnote>
  <w:footnote w:id="7">
    <w:p w:rsidR="008D04FC" w:rsidRPr="00D21262">
      <w:pPr>
        <w:pStyle w:val="FootnoteText"/>
        <w:rPr>
          <w:rFonts w:ascii="Verdana" w:hAnsi="Verdana"/>
          <w:sz w:val="18"/>
          <w:szCs w:val="18"/>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Paragraph 48.</w:t>
      </w:r>
    </w:p>
  </w:footnote>
  <w:footnote w:id="8">
    <w:p w:rsidR="00646D11" w:rsidRPr="00D21262">
      <w:pPr>
        <w:pStyle w:val="FootnoteText"/>
        <w:rPr>
          <w:rFonts w:ascii="Verdana" w:hAnsi="Verdana"/>
          <w:sz w:val="18"/>
          <w:szCs w:val="18"/>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Paragraph</w:t>
      </w:r>
      <w:r w:rsidRPr="00D21262" w:rsidR="00583C75">
        <w:rPr>
          <w:rFonts w:ascii="Verdana" w:hAnsi="Verdana"/>
          <w:sz w:val="18"/>
          <w:szCs w:val="18"/>
          <w:lang w:val="en-US"/>
        </w:rPr>
        <w:t xml:space="preserve"> 50.</w:t>
      </w:r>
    </w:p>
  </w:footnote>
  <w:footnote w:id="9">
    <w:p w:rsidR="00583C75" w:rsidRPr="00D21262">
      <w:pPr>
        <w:pStyle w:val="FootnoteText"/>
        <w:rPr>
          <w:rFonts w:ascii="Verdana" w:hAnsi="Verdana"/>
          <w:sz w:val="18"/>
          <w:szCs w:val="18"/>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Paragraphs 51-52.</w:t>
      </w:r>
    </w:p>
  </w:footnote>
  <w:footnote w:id="10">
    <w:p w:rsidR="00BE7A05" w:rsidRPr="00D21262">
      <w:pPr>
        <w:pStyle w:val="FootnoteText"/>
        <w:rPr>
          <w:rFonts w:ascii="Verdana" w:hAnsi="Verdana"/>
          <w:sz w:val="18"/>
          <w:szCs w:val="18"/>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 xml:space="preserve">As reported here: </w:t>
      </w:r>
      <w:r>
        <w:fldChar w:fldCharType="begin"/>
      </w:r>
      <w:r>
        <w:instrText xml:space="preserve"> HYPERLINK "https://www.rte.ie/news/brexit/2021/0628/1231742-sefcovic-protocol-stormont/" </w:instrText>
      </w:r>
      <w:r>
        <w:fldChar w:fldCharType="separate"/>
      </w:r>
      <w:r w:rsidRPr="00D21262">
        <w:rPr>
          <w:rStyle w:val="Hyperlink"/>
          <w:rFonts w:ascii="Verdana" w:hAnsi="Verdana"/>
          <w:sz w:val="18"/>
          <w:szCs w:val="18"/>
          <w:lang w:val="en-US"/>
        </w:rPr>
        <w:t>https://www.rte.ie/news/brexit/2021/0628/1231742-sefcovic-protocol-stormont/</w:t>
      </w:r>
      <w:r>
        <w:fldChar w:fldCharType="end"/>
      </w:r>
      <w:r w:rsidRPr="00D21262" w:rsidR="00120264">
        <w:rPr>
          <w:rFonts w:ascii="Verdana" w:hAnsi="Verdana"/>
          <w:sz w:val="18"/>
          <w:szCs w:val="18"/>
          <w:lang w:val="en-US"/>
        </w:rPr>
        <w:t>.</w:t>
      </w:r>
    </w:p>
  </w:footnote>
  <w:footnote w:id="11">
    <w:p w:rsidR="00583C75" w:rsidRPr="00583C75">
      <w:pPr>
        <w:pStyle w:val="FootnoteText"/>
        <w:rPr>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Paragraph 53.</w:t>
      </w:r>
    </w:p>
  </w:footnote>
  <w:footnote w:id="12">
    <w:p w:rsidR="00583C75" w:rsidRPr="00D21262">
      <w:pPr>
        <w:pStyle w:val="FootnoteText"/>
        <w:rPr>
          <w:rFonts w:ascii="Verdana" w:hAnsi="Verdana"/>
          <w:sz w:val="18"/>
          <w:szCs w:val="18"/>
          <w:lang w:val="en-US"/>
        </w:rPr>
      </w:pPr>
      <w:r>
        <w:rPr>
          <w:rStyle w:val="FootnoteReference"/>
        </w:rPr>
        <w:footnoteRef/>
      </w:r>
      <w:r>
        <w:t xml:space="preserve"> </w:t>
      </w:r>
      <w:r w:rsidRPr="00D21262">
        <w:rPr>
          <w:rFonts w:ascii="Verdana" w:hAnsi="Verdana"/>
          <w:sz w:val="18"/>
          <w:szCs w:val="18"/>
          <w:lang w:val="en-US"/>
        </w:rPr>
        <w:t>Paragraph 54.</w:t>
      </w:r>
    </w:p>
  </w:footnote>
  <w:footnote w:id="13">
    <w:p w:rsidR="00583C75" w:rsidRPr="00D21262">
      <w:pPr>
        <w:pStyle w:val="FootnoteText"/>
        <w:rPr>
          <w:rFonts w:ascii="Verdana" w:hAnsi="Verdana"/>
          <w:sz w:val="18"/>
          <w:szCs w:val="18"/>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Paragraph 55.</w:t>
      </w:r>
    </w:p>
  </w:footnote>
  <w:footnote w:id="14">
    <w:p w:rsidR="00583C75" w:rsidRPr="00D21262">
      <w:pPr>
        <w:pStyle w:val="FootnoteText"/>
        <w:rPr>
          <w:rFonts w:ascii="Verdana" w:hAnsi="Verdana"/>
          <w:sz w:val="18"/>
          <w:szCs w:val="18"/>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Pr>
          <w:rFonts w:ascii="Verdana" w:hAnsi="Verdana"/>
          <w:sz w:val="18"/>
          <w:szCs w:val="18"/>
          <w:lang w:val="en-US"/>
        </w:rPr>
        <w:t>Paragraphs 56-57.</w:t>
      </w:r>
    </w:p>
  </w:footnote>
  <w:footnote w:id="15">
    <w:p w:rsidR="00526DD7" w:rsidRPr="00526DD7">
      <w:pPr>
        <w:pStyle w:val="FootnoteText"/>
        <w:rPr>
          <w:lang w:val="en-US"/>
        </w:rPr>
      </w:pPr>
      <w:r w:rsidRPr="00D21262">
        <w:rPr>
          <w:rStyle w:val="FootnoteReference"/>
          <w:rFonts w:ascii="Verdana" w:hAnsi="Verdana"/>
          <w:sz w:val="18"/>
          <w:szCs w:val="18"/>
        </w:rPr>
        <w:footnoteRef/>
      </w:r>
      <w:r w:rsidRPr="00D21262">
        <w:rPr>
          <w:rFonts w:ascii="Verdana" w:hAnsi="Verdana"/>
          <w:sz w:val="18"/>
          <w:szCs w:val="18"/>
        </w:rPr>
        <w:t xml:space="preserve"> </w:t>
      </w:r>
      <w:r w:rsidRPr="00D21262" w:rsidR="00583C75">
        <w:rPr>
          <w:rFonts w:ascii="Verdana" w:hAnsi="Verdana"/>
          <w:sz w:val="18"/>
          <w:szCs w:val="18"/>
        </w:rPr>
        <w:t>Paragraphs 58-61.</w:t>
      </w:r>
    </w:p>
  </w:footnote>
  <w:footnote w:id="16">
    <w:p w:rsidR="00583C75" w:rsidRPr="00FC4C4C">
      <w:pPr>
        <w:pStyle w:val="FootnoteText"/>
        <w:rPr>
          <w:sz w:val="18"/>
          <w:szCs w:val="18"/>
          <w:lang w:val="en-US"/>
        </w:rPr>
      </w:pPr>
      <w:r w:rsidRPr="00FC4C4C">
        <w:rPr>
          <w:rStyle w:val="FootnoteReference"/>
          <w:sz w:val="18"/>
          <w:szCs w:val="18"/>
        </w:rPr>
        <w:footnoteRef/>
      </w:r>
      <w:r w:rsidRPr="00FC4C4C">
        <w:rPr>
          <w:sz w:val="18"/>
          <w:szCs w:val="18"/>
        </w:rPr>
        <w:t xml:space="preserve"> </w:t>
      </w:r>
      <w:r w:rsidRPr="00FC4C4C">
        <w:rPr>
          <w:sz w:val="18"/>
          <w:szCs w:val="18"/>
          <w:lang w:val="en-US"/>
        </w:rPr>
        <w:t>Paragraphs 63-65.</w:t>
      </w:r>
    </w:p>
  </w:footnote>
  <w:footnote w:id="17">
    <w:p w:rsidR="00D2063A" w:rsidRPr="00FC4C4C">
      <w:pPr>
        <w:pStyle w:val="FootnoteText"/>
        <w:rPr>
          <w:sz w:val="18"/>
          <w:szCs w:val="18"/>
          <w:lang w:val="en-US"/>
        </w:rPr>
      </w:pPr>
      <w:r w:rsidRPr="00FC4C4C">
        <w:rPr>
          <w:rStyle w:val="FootnoteReference"/>
          <w:sz w:val="18"/>
          <w:szCs w:val="18"/>
        </w:rPr>
        <w:footnoteRef/>
      </w:r>
      <w:r w:rsidRPr="00FC4C4C">
        <w:rPr>
          <w:sz w:val="18"/>
          <w:szCs w:val="18"/>
        </w:rPr>
        <w:t xml:space="preserve"> </w:t>
      </w:r>
      <w:r w:rsidRPr="00FC4C4C" w:rsidR="007A2F9B">
        <w:rPr>
          <w:sz w:val="18"/>
          <w:szCs w:val="18"/>
          <w:lang w:val="en-US"/>
        </w:rPr>
        <w:t xml:space="preserve">See, for example, </w:t>
      </w:r>
      <w:r>
        <w:fldChar w:fldCharType="begin"/>
      </w:r>
      <w:r>
        <w:instrText xml:space="preserve"> HYPERLINK "https://www.bbc.co.uk/news/uk-northern-ireland-58856544" </w:instrText>
      </w:r>
      <w:r>
        <w:fldChar w:fldCharType="separate"/>
      </w:r>
      <w:r w:rsidRPr="00FC4C4C" w:rsidR="002A413D">
        <w:rPr>
          <w:rStyle w:val="Hyperlink"/>
          <w:sz w:val="18"/>
          <w:szCs w:val="18"/>
          <w:lang w:val="en-US"/>
        </w:rPr>
        <w:t>https://www.bbc.co.uk/news/uk-northern-ireland-58856544</w:t>
      </w:r>
      <w:r>
        <w:fldChar w:fldCharType="end"/>
      </w:r>
      <w:r w:rsidRPr="00FC4C4C" w:rsidR="00120264">
        <w:rPr>
          <w:sz w:val="18"/>
          <w:szCs w:val="18"/>
          <w:lang w:val="en-US"/>
        </w:rPr>
        <w:t>.</w:t>
      </w:r>
    </w:p>
  </w:footnote>
  <w:footnote w:id="18">
    <w:p w:rsidR="005E695A" w:rsidRPr="00FC4C4C">
      <w:pPr>
        <w:pStyle w:val="FootnoteText"/>
        <w:rPr>
          <w:sz w:val="18"/>
          <w:szCs w:val="18"/>
          <w:lang w:val="en-US"/>
        </w:rPr>
      </w:pPr>
      <w:r w:rsidRPr="00FC4C4C">
        <w:rPr>
          <w:rStyle w:val="FootnoteReference"/>
          <w:sz w:val="18"/>
          <w:szCs w:val="18"/>
        </w:rPr>
        <w:footnoteRef/>
      </w:r>
      <w:r w:rsidRPr="00FC4C4C">
        <w:rPr>
          <w:sz w:val="18"/>
          <w:szCs w:val="18"/>
        </w:rPr>
        <w:t xml:space="preserve"> </w:t>
      </w:r>
      <w:r w:rsidRPr="00FC4C4C">
        <w:rPr>
          <w:sz w:val="18"/>
          <w:szCs w:val="18"/>
          <w:lang w:val="en-US"/>
        </w:rPr>
        <w:t>Paragraphs 66-70.</w:t>
      </w:r>
    </w:p>
  </w:footnote>
  <w:footnote w:id="19">
    <w:p w:rsidR="00D77AE7" w:rsidRPr="00D77AE7">
      <w:pPr>
        <w:pStyle w:val="FootnoteText"/>
        <w:rPr>
          <w:lang w:val="en-US"/>
        </w:rPr>
      </w:pPr>
      <w:r w:rsidRPr="00FC4C4C">
        <w:rPr>
          <w:rStyle w:val="FootnoteReference"/>
          <w:sz w:val="18"/>
          <w:szCs w:val="18"/>
        </w:rPr>
        <w:footnoteRef/>
      </w:r>
      <w:r w:rsidRPr="00FC4C4C">
        <w:rPr>
          <w:sz w:val="18"/>
          <w:szCs w:val="18"/>
        </w:rPr>
        <w:t xml:space="preserve"> </w:t>
      </w:r>
      <w:r w:rsidRPr="00FC4C4C">
        <w:rPr>
          <w:sz w:val="18"/>
          <w:szCs w:val="18"/>
          <w:lang w:val="en-US"/>
        </w:rPr>
        <w:t>See the CJEU’s case law on the autonomy of EU law, and in particular, Opinion 1/91</w:t>
      </w:r>
      <w:r w:rsidRPr="00FC4C4C" w:rsidR="00C84DFD">
        <w:rPr>
          <w:sz w:val="18"/>
          <w:szCs w:val="18"/>
          <w:lang w:val="en-US"/>
        </w:rPr>
        <w:t xml:space="preserve"> ECLI:EU:C:1991:490</w:t>
      </w:r>
      <w:r w:rsidRPr="00FC4C4C">
        <w:rPr>
          <w:sz w:val="18"/>
          <w:szCs w:val="18"/>
          <w:lang w:val="en-US"/>
        </w:rPr>
        <w:t>, Opinion 2/13</w:t>
      </w:r>
      <w:r w:rsidRPr="00FC4C4C" w:rsidR="00F57215">
        <w:rPr>
          <w:sz w:val="18"/>
          <w:szCs w:val="18"/>
          <w:lang w:val="en-US"/>
        </w:rPr>
        <w:t xml:space="preserve"> ECLI:EU:C:2014:2454</w:t>
      </w:r>
      <w:r w:rsidRPr="00FC4C4C">
        <w:rPr>
          <w:sz w:val="18"/>
          <w:szCs w:val="18"/>
          <w:lang w:val="en-US"/>
        </w:rPr>
        <w:t xml:space="preserve">, and </w:t>
      </w:r>
      <w:r w:rsidRPr="00FC4C4C">
        <w:rPr>
          <w:i/>
          <w:iCs/>
          <w:sz w:val="18"/>
          <w:szCs w:val="18"/>
          <w:lang w:val="en-US"/>
        </w:rPr>
        <w:t>Achmea</w:t>
      </w:r>
      <w:r w:rsidRPr="00FC4C4C" w:rsidR="00002BCA">
        <w:rPr>
          <w:i/>
          <w:iCs/>
          <w:sz w:val="18"/>
          <w:szCs w:val="18"/>
          <w:lang w:val="en-US"/>
        </w:rPr>
        <w:t xml:space="preserve"> </w:t>
      </w:r>
      <w:r w:rsidRPr="00FC4C4C" w:rsidR="00002BCA">
        <w:rPr>
          <w:sz w:val="18"/>
          <w:szCs w:val="18"/>
          <w:lang w:val="en-US"/>
        </w:rPr>
        <w:t>ECLI:EU:C:2018:158</w:t>
      </w:r>
      <w:r w:rsidRPr="00FC4C4C">
        <w:rPr>
          <w:sz w:val="18"/>
          <w:szCs w:val="18"/>
          <w:lang w:val="en-US"/>
        </w:rPr>
        <w:t>.</w:t>
      </w:r>
    </w:p>
  </w:footnote>
  <w:footnote w:id="20">
    <w:p w:rsidR="00A03FD4" w:rsidRPr="00FC4C4C">
      <w:pPr>
        <w:pStyle w:val="FootnoteText"/>
        <w:rPr>
          <w:rFonts w:ascii="Verdana" w:hAnsi="Verdana"/>
          <w:sz w:val="18"/>
          <w:szCs w:val="18"/>
          <w:lang w:val="en-US"/>
        </w:rPr>
      </w:pPr>
      <w:r w:rsidRPr="00FC4C4C">
        <w:rPr>
          <w:rStyle w:val="FootnoteReference"/>
          <w:rFonts w:ascii="Verdana" w:hAnsi="Verdana"/>
          <w:sz w:val="18"/>
          <w:szCs w:val="18"/>
        </w:rPr>
        <w:footnoteRef/>
      </w:r>
      <w:r w:rsidRPr="00FC4C4C">
        <w:rPr>
          <w:rFonts w:ascii="Verdana" w:hAnsi="Verdana"/>
          <w:sz w:val="18"/>
          <w:szCs w:val="18"/>
        </w:rPr>
        <w:t xml:space="preserve"> </w:t>
      </w:r>
      <w:r w:rsidRPr="00FC4C4C">
        <w:rPr>
          <w:rFonts w:ascii="Verdana" w:hAnsi="Verdana"/>
          <w:sz w:val="18"/>
          <w:szCs w:val="18"/>
          <w:lang w:val="en-US"/>
        </w:rPr>
        <w:t>Paragraph 71.</w:t>
      </w:r>
    </w:p>
  </w:footnote>
  <w:footnote w:id="21">
    <w:p w:rsidR="00526DD7" w:rsidRPr="00FC4C4C">
      <w:pPr>
        <w:pStyle w:val="FootnoteText"/>
        <w:rPr>
          <w:rFonts w:ascii="Verdana" w:hAnsi="Verdana"/>
          <w:sz w:val="18"/>
          <w:szCs w:val="18"/>
          <w:lang w:val="en-US"/>
        </w:rPr>
      </w:pPr>
      <w:r w:rsidRPr="00FC4C4C">
        <w:rPr>
          <w:rStyle w:val="FootnoteReference"/>
          <w:rFonts w:ascii="Verdana" w:hAnsi="Verdana"/>
          <w:sz w:val="18"/>
          <w:szCs w:val="18"/>
        </w:rPr>
        <w:footnoteRef/>
      </w:r>
      <w:r w:rsidRPr="00FC4C4C">
        <w:rPr>
          <w:rFonts w:ascii="Verdana" w:hAnsi="Verdana"/>
          <w:sz w:val="18"/>
          <w:szCs w:val="18"/>
        </w:rPr>
        <w:t xml:space="preserve"> </w:t>
      </w:r>
      <w:r>
        <w:fldChar w:fldCharType="begin"/>
      </w:r>
      <w:r>
        <w:instrText xml:space="preserve"> HYPERLINK "https://ec.europa.eu/info/files/protocol-ireland-and-nothern-ireland-non-paper-medicines_en" </w:instrText>
      </w:r>
      <w:r>
        <w:fldChar w:fldCharType="separate"/>
      </w:r>
      <w:r w:rsidRPr="00FC4C4C" w:rsidR="00D50804">
        <w:rPr>
          <w:rStyle w:val="Hyperlink"/>
          <w:rFonts w:ascii="Verdana" w:hAnsi="Verdana"/>
          <w:sz w:val="18"/>
          <w:szCs w:val="18"/>
        </w:rPr>
        <w:t>https://ec.europa.eu/info/files/protocol-ireland-and-nothern-ireland-non-paper-medicines_en</w:t>
      </w:r>
      <w:r>
        <w:fldChar w:fldCharType="end"/>
      </w:r>
      <w:r w:rsidRPr="00FC4C4C" w:rsidR="00D50804">
        <w:rPr>
          <w:rFonts w:ascii="Verdana" w:hAnsi="Verdana"/>
          <w:sz w:val="18"/>
          <w:szCs w:val="18"/>
        </w:rPr>
        <w:t xml:space="preserve"> (Paragraphs 9-</w:t>
      </w:r>
      <w:r w:rsidRPr="00FC4C4C" w:rsidR="006A237C">
        <w:rPr>
          <w:rFonts w:ascii="Verdana" w:hAnsi="Verdana"/>
          <w:sz w:val="18"/>
          <w:szCs w:val="18"/>
        </w:rPr>
        <w:t>25</w:t>
      </w:r>
      <w:r w:rsidRPr="00FC4C4C" w:rsidR="00D50804">
        <w:rPr>
          <w:rFonts w:ascii="Verdana" w:hAnsi="Verdana"/>
          <w:sz w:val="18"/>
          <w:szCs w:val="18"/>
        </w:rPr>
        <w:t>)</w:t>
      </w:r>
      <w:r w:rsidRPr="00FC4C4C" w:rsidR="00120264">
        <w:rPr>
          <w:rFonts w:ascii="Verdana" w:hAnsi="Verdana"/>
          <w:sz w:val="18"/>
          <w:szCs w:val="18"/>
        </w:rPr>
        <w:t>.</w:t>
      </w:r>
    </w:p>
  </w:footnote>
  <w:footnote w:id="22">
    <w:p w:rsidR="006A237C" w:rsidRPr="006A237C">
      <w:pPr>
        <w:pStyle w:val="FootnoteText"/>
        <w:rPr>
          <w:lang w:val="en-US"/>
        </w:rPr>
      </w:pPr>
      <w:r w:rsidRPr="00FC4C4C">
        <w:rPr>
          <w:rStyle w:val="FootnoteReference"/>
          <w:rFonts w:ascii="Verdana" w:hAnsi="Verdana"/>
          <w:sz w:val="18"/>
          <w:szCs w:val="18"/>
        </w:rPr>
        <w:footnoteRef/>
      </w:r>
      <w:r w:rsidRPr="00FC4C4C">
        <w:rPr>
          <w:rFonts w:ascii="Verdana" w:hAnsi="Verdana"/>
          <w:sz w:val="18"/>
          <w:szCs w:val="18"/>
        </w:rPr>
        <w:t xml:space="preserve"> </w:t>
      </w:r>
      <w:r>
        <w:fldChar w:fldCharType="begin"/>
      </w:r>
      <w:r>
        <w:instrText xml:space="preserve"> HYPERLINK "https://ec.europa.eu/info/files/protocol-ireland-and-nothern-ireland-non-paper-sanitary-and-phytosanitary-sps-issues_en" </w:instrText>
      </w:r>
      <w:r>
        <w:fldChar w:fldCharType="separate"/>
      </w:r>
      <w:r w:rsidRPr="00FC4C4C" w:rsidR="00D66BC1">
        <w:rPr>
          <w:rStyle w:val="Hyperlink"/>
          <w:rFonts w:ascii="Verdana" w:hAnsi="Verdana"/>
          <w:sz w:val="18"/>
          <w:szCs w:val="18"/>
        </w:rPr>
        <w:t>https://ec.europa.eu/info/files/protocol-ireland-and-nothern-ireland-non-paper-sanitary-and-phytosanitary-sps-issues_en</w:t>
      </w:r>
      <w:r>
        <w:fldChar w:fldCharType="end"/>
      </w:r>
      <w:r w:rsidRPr="00FC4C4C" w:rsidR="00D66BC1">
        <w:rPr>
          <w:rFonts w:ascii="Verdana" w:hAnsi="Verdana"/>
          <w:sz w:val="18"/>
          <w:szCs w:val="18"/>
        </w:rPr>
        <w:t xml:space="preserve"> (Paragraphs 8-13)</w:t>
      </w:r>
    </w:p>
  </w:footnote>
  <w:footnote w:id="23">
    <w:p w:rsidR="00D66BC1" w:rsidRPr="00FC4C4C">
      <w:pPr>
        <w:pStyle w:val="FootnoteText"/>
        <w:rPr>
          <w:rFonts w:ascii="Verdana" w:hAnsi="Verdana"/>
          <w:sz w:val="18"/>
          <w:szCs w:val="18"/>
          <w:lang w:val="en-US"/>
        </w:rPr>
      </w:pPr>
      <w:r w:rsidRPr="00FC4C4C">
        <w:rPr>
          <w:rStyle w:val="FootnoteReference"/>
          <w:rFonts w:ascii="Verdana" w:hAnsi="Verdana"/>
          <w:sz w:val="18"/>
          <w:szCs w:val="18"/>
        </w:rPr>
        <w:footnoteRef/>
      </w:r>
      <w:r w:rsidRPr="00FC4C4C">
        <w:rPr>
          <w:rFonts w:ascii="Verdana" w:hAnsi="Verdana"/>
          <w:sz w:val="18"/>
          <w:szCs w:val="18"/>
        </w:rPr>
        <w:t xml:space="preserve"> </w:t>
      </w:r>
      <w:r>
        <w:fldChar w:fldCharType="begin"/>
      </w:r>
      <w:r>
        <w:instrText xml:space="preserve"> HYPERLINK "https://ec.europa.eu/info/files/protocol-ireland-and-nothern-ireland-non-paper-customs_en" </w:instrText>
      </w:r>
      <w:r>
        <w:fldChar w:fldCharType="separate"/>
      </w:r>
      <w:r w:rsidRPr="00FC4C4C" w:rsidR="006155A3">
        <w:rPr>
          <w:rStyle w:val="Hyperlink"/>
          <w:rFonts w:ascii="Verdana" w:hAnsi="Verdana"/>
          <w:sz w:val="18"/>
          <w:szCs w:val="18"/>
        </w:rPr>
        <w:t>https://ec.europa.eu/info/files/protocol-ireland-and-nothern-ireland-non-paper-customs_en</w:t>
      </w:r>
      <w:r>
        <w:fldChar w:fldCharType="end"/>
      </w:r>
      <w:r w:rsidRPr="00FC4C4C" w:rsidR="006155A3">
        <w:rPr>
          <w:rFonts w:ascii="Verdana" w:hAnsi="Verdana"/>
          <w:sz w:val="18"/>
          <w:szCs w:val="18"/>
        </w:rPr>
        <w:t xml:space="preserve"> (</w:t>
      </w:r>
      <w:r w:rsidRPr="00FC4C4C" w:rsidR="00324059">
        <w:rPr>
          <w:rFonts w:ascii="Verdana" w:hAnsi="Verdana"/>
          <w:sz w:val="18"/>
          <w:szCs w:val="18"/>
        </w:rPr>
        <w:t>Paragraphs 21-26)</w:t>
      </w:r>
    </w:p>
  </w:footnote>
  <w:footnote w:id="24">
    <w:p w:rsidR="00DD2986" w:rsidRPr="004C568A" w:rsidP="00DD2986">
      <w:pPr>
        <w:pStyle w:val="FootnoteText"/>
        <w:rPr>
          <w:lang w:val="en-US"/>
        </w:rPr>
      </w:pPr>
      <w:r w:rsidRPr="00FC4C4C">
        <w:rPr>
          <w:rStyle w:val="FootnoteReference"/>
          <w:rFonts w:ascii="Verdana" w:hAnsi="Verdana"/>
          <w:sz w:val="18"/>
          <w:szCs w:val="18"/>
        </w:rPr>
        <w:footnoteRef/>
      </w:r>
      <w:r w:rsidRPr="00FC4C4C">
        <w:rPr>
          <w:rFonts w:ascii="Verdana" w:hAnsi="Verdana"/>
          <w:sz w:val="18"/>
          <w:szCs w:val="18"/>
        </w:rPr>
        <w:t xml:space="preserve"> </w:t>
      </w:r>
      <w:r>
        <w:fldChar w:fldCharType="begin"/>
      </w:r>
      <w:r>
        <w:instrText xml:space="preserve"> HYPERLINK "https://ec.europa.eu/info/files/protocol-ireland-and-nothern-ireland-non-paper-engagement-northern-ireland-stakeholders-and-authorities_en" </w:instrText>
      </w:r>
      <w:r>
        <w:fldChar w:fldCharType="separate"/>
      </w:r>
      <w:r w:rsidRPr="00FC4C4C">
        <w:rPr>
          <w:rStyle w:val="Hyperlink"/>
          <w:rFonts w:ascii="Verdana" w:hAnsi="Verdana"/>
          <w:sz w:val="18"/>
          <w:szCs w:val="18"/>
        </w:rPr>
        <w:t>https://ec.europa.eu/info/files/protocol-ireland-and-nothern-ireland-non-paper-engagement-northern-ireland-stakeholders-and-authorities_en</w:t>
      </w:r>
      <w:r>
        <w:fldChar w:fldCharType="end"/>
      </w:r>
      <w:r w:rsidRPr="00FC4C4C">
        <w:rPr>
          <w:rFonts w:ascii="Verdana" w:hAnsi="Verdana"/>
          <w:sz w:val="18"/>
          <w:szCs w:val="18"/>
        </w:rPr>
        <w:t xml:space="preserve"> (Paragraphs 9-23)</w:t>
      </w:r>
    </w:p>
  </w:footnote>
  <w:footnote w:id="25">
    <w:p w:rsidR="00883F41" w:rsidRPr="00FC4C4C">
      <w:pPr>
        <w:pStyle w:val="FootnoteText"/>
        <w:rPr>
          <w:rFonts w:ascii="Verdana" w:hAnsi="Verdana"/>
          <w:sz w:val="18"/>
          <w:szCs w:val="18"/>
          <w:lang w:val="en-US"/>
        </w:rPr>
      </w:pPr>
      <w:r w:rsidRPr="00FC4C4C">
        <w:rPr>
          <w:rStyle w:val="FootnoteReference"/>
          <w:rFonts w:ascii="Verdana" w:hAnsi="Verdana"/>
          <w:sz w:val="18"/>
          <w:szCs w:val="18"/>
        </w:rPr>
        <w:footnoteRef/>
      </w:r>
      <w:r w:rsidRPr="00FC4C4C">
        <w:rPr>
          <w:rFonts w:ascii="Verdana" w:hAnsi="Verdana"/>
          <w:sz w:val="18"/>
          <w:szCs w:val="18"/>
        </w:rPr>
        <w:t xml:space="preserve"> See </w:t>
      </w:r>
      <w:r>
        <w:fldChar w:fldCharType="begin"/>
      </w:r>
      <w:r>
        <w:instrText xml:space="preserve"> HYPERLINK "https://ec.europa.eu/commission/presscorner/detail/en/speech_21_5844" </w:instrText>
      </w:r>
      <w:r>
        <w:fldChar w:fldCharType="separate"/>
      </w:r>
      <w:r w:rsidRPr="00FC4C4C">
        <w:rPr>
          <w:rStyle w:val="Hyperlink"/>
          <w:rFonts w:ascii="Verdana" w:hAnsi="Verdana"/>
          <w:sz w:val="18"/>
          <w:szCs w:val="18"/>
        </w:rPr>
        <w:t>https://ec.europa.eu/commission/presscorner/detail/en/speech_21_5844</w:t>
      </w:r>
      <w:r>
        <w:fldChar w:fldCharType="end"/>
      </w:r>
      <w:r w:rsidRPr="00FC4C4C">
        <w:rPr>
          <w:rFonts w:ascii="Verdana" w:hAnsi="Verdana"/>
          <w:sz w:val="18"/>
          <w:szCs w:val="18"/>
        </w:rPr>
        <w:t>.</w:t>
      </w:r>
    </w:p>
  </w:footnote>
  <w:footnote w:id="26">
    <w:p w:rsidR="00E9255B" w:rsidRPr="00E9255B">
      <w:pPr>
        <w:pStyle w:val="FootnoteText"/>
        <w:rPr>
          <w:lang w:val="en-US"/>
        </w:rPr>
      </w:pPr>
      <w:r w:rsidRPr="00FC4C4C">
        <w:rPr>
          <w:rStyle w:val="FootnoteReference"/>
          <w:rFonts w:ascii="Verdana" w:hAnsi="Verdana"/>
          <w:sz w:val="18"/>
          <w:szCs w:val="18"/>
        </w:rPr>
        <w:footnoteRef/>
      </w:r>
      <w:r w:rsidRPr="00FC4C4C">
        <w:rPr>
          <w:rFonts w:ascii="Verdana" w:hAnsi="Verdana"/>
          <w:sz w:val="18"/>
          <w:szCs w:val="18"/>
        </w:rPr>
        <w:t xml:space="preserve"> </w:t>
      </w:r>
      <w:r w:rsidRPr="00FC4C4C">
        <w:rPr>
          <w:rFonts w:ascii="Verdana" w:hAnsi="Verdana"/>
          <w:sz w:val="18"/>
          <w:szCs w:val="18"/>
          <w:lang w:val="en-US"/>
        </w:rPr>
        <w:t xml:space="preserve">Paragraph </w:t>
      </w:r>
      <w:r w:rsidRPr="00FC4C4C" w:rsidR="00285E43">
        <w:rPr>
          <w:rFonts w:ascii="Verdana" w:hAnsi="Verdana"/>
          <w:sz w:val="18"/>
          <w:szCs w:val="18"/>
          <w:lang w:val="en-US"/>
        </w:rPr>
        <w:t>29</w:t>
      </w:r>
      <w:r w:rsidRPr="00FC4C4C">
        <w:rPr>
          <w:rFonts w:ascii="Verdana" w:hAnsi="Verdana"/>
          <w:sz w:val="18"/>
          <w:szCs w:val="18"/>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D0341" w:rsidP="000D0341">
    <w:pPr>
      <w:pStyle w:val="Header"/>
      <w:ind w:left="-42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0F8212E"/>
    <w:multiLevelType w:val="hybridMultilevel"/>
    <w:tmpl w:val="501A56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8FE0A0E"/>
    <w:multiLevelType w:val="hybridMultilevel"/>
    <w:tmpl w:val="4FC0F94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208131B7"/>
    <w:multiLevelType w:val="hybridMultilevel"/>
    <w:tmpl w:val="79F668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44A5EB6"/>
    <w:multiLevelType w:val="hybridMultilevel"/>
    <w:tmpl w:val="77E2AE1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52C4F45"/>
    <w:multiLevelType w:val="hybridMultilevel"/>
    <w:tmpl w:val="9FCA8162"/>
    <w:lvl w:ilvl="0">
      <w:start w:val="1"/>
      <w:numFmt w:val="decimal"/>
      <w:lvlText w:val="[%1]"/>
      <w:lvlJc w:val="left"/>
      <w:pPr>
        <w:ind w:left="720" w:hanging="360"/>
      </w:pPr>
      <w:rPr>
        <w:rFonts w:asciiTheme="minorHAnsi" w:hAnsiTheme="minorHAnsi" w:cstheme="minorHAnsi"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6670466"/>
    <w:multiLevelType w:val="hybridMultilevel"/>
    <w:tmpl w:val="246811DE"/>
    <w:lvl w:ilvl="0">
      <w:start w:val="1"/>
      <w:numFmt w:val="decimal"/>
      <w:lvlText w:val="[%1]"/>
      <w:lvlJc w:val="left"/>
      <w:pPr>
        <w:ind w:left="360" w:hanging="360"/>
      </w:pPr>
      <w:rPr>
        <w:rFonts w:asciiTheme="minorHAnsi" w:hAnsiTheme="minorHAnsi" w:cstheme="minorHAnsi" w:hint="default"/>
        <w:b w:val="0"/>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2D943E98"/>
    <w:multiLevelType w:val="hybridMultilevel"/>
    <w:tmpl w:val="FC76E012"/>
    <w:lvl w:ilvl="0">
      <w:start w:val="2"/>
      <w:numFmt w:val="decimal"/>
      <w:lvlText w:val="[%1]"/>
      <w:lvlJc w:val="left"/>
      <w:pPr>
        <w:ind w:left="360" w:hanging="360"/>
      </w:pPr>
      <w:rPr>
        <w:rFonts w:hint="default"/>
      </w:rPr>
    </w:lvl>
    <w:lvl w:ilvl="1">
      <w:start w:val="1"/>
      <w:numFmt w:val="lowerLetter"/>
      <w:lvlText w:val="%2."/>
      <w:lvlJc w:val="left"/>
      <w:pPr>
        <w:ind w:left="-720" w:hanging="360"/>
      </w:pPr>
    </w:lvl>
    <w:lvl w:ilvl="2" w:tentative="1">
      <w:start w:val="1"/>
      <w:numFmt w:val="lowerRoman"/>
      <w:lvlText w:val="%3."/>
      <w:lvlJc w:val="right"/>
      <w:pPr>
        <w:ind w:left="0" w:hanging="180"/>
      </w:pPr>
    </w:lvl>
    <w:lvl w:ilvl="3" w:tentative="1">
      <w:start w:val="1"/>
      <w:numFmt w:val="decimal"/>
      <w:lvlText w:val="%4."/>
      <w:lvlJc w:val="left"/>
      <w:pPr>
        <w:ind w:left="720" w:hanging="360"/>
      </w:pPr>
    </w:lvl>
    <w:lvl w:ilvl="4" w:tentative="1">
      <w:start w:val="1"/>
      <w:numFmt w:val="lowerLetter"/>
      <w:lvlText w:val="%5."/>
      <w:lvlJc w:val="left"/>
      <w:pPr>
        <w:ind w:left="1440" w:hanging="360"/>
      </w:pPr>
    </w:lvl>
    <w:lvl w:ilvl="5" w:tentative="1">
      <w:start w:val="1"/>
      <w:numFmt w:val="lowerRoman"/>
      <w:lvlText w:val="%6."/>
      <w:lvlJc w:val="right"/>
      <w:pPr>
        <w:ind w:left="2160" w:hanging="180"/>
      </w:pPr>
    </w:lvl>
    <w:lvl w:ilvl="6" w:tentative="1">
      <w:start w:val="1"/>
      <w:numFmt w:val="decimal"/>
      <w:lvlText w:val="%7."/>
      <w:lvlJc w:val="left"/>
      <w:pPr>
        <w:ind w:left="2880" w:hanging="360"/>
      </w:pPr>
    </w:lvl>
    <w:lvl w:ilvl="7" w:tentative="1">
      <w:start w:val="1"/>
      <w:numFmt w:val="lowerLetter"/>
      <w:lvlText w:val="%8."/>
      <w:lvlJc w:val="left"/>
      <w:pPr>
        <w:ind w:left="3600" w:hanging="360"/>
      </w:pPr>
    </w:lvl>
    <w:lvl w:ilvl="8" w:tentative="1">
      <w:start w:val="1"/>
      <w:numFmt w:val="lowerRoman"/>
      <w:lvlText w:val="%9."/>
      <w:lvlJc w:val="right"/>
      <w:pPr>
        <w:ind w:left="4320" w:hanging="180"/>
      </w:pPr>
    </w:lvl>
  </w:abstractNum>
  <w:abstractNum w:abstractNumId="7">
    <w:nsid w:val="2E356296"/>
    <w:multiLevelType w:val="hybridMultilevel"/>
    <w:tmpl w:val="E36C5038"/>
    <w:lvl w:ilvl="0">
      <w:start w:val="1"/>
      <w:numFmt w:val="decimal"/>
      <w:lvlText w:val="[%1]"/>
      <w:lvlJc w:val="left"/>
      <w:pPr>
        <w:ind w:left="720" w:hanging="360"/>
      </w:pPr>
      <w:rPr>
        <w:rFonts w:asciiTheme="minorHAnsi" w:hAnsiTheme="minorHAnsi" w:cstheme="minorHAnsi" w:hint="default"/>
        <w:b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31289A"/>
    <w:multiLevelType w:val="hybridMultilevel"/>
    <w:tmpl w:val="1F56B2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04C068E"/>
    <w:multiLevelType w:val="hybridMultilevel"/>
    <w:tmpl w:val="F8B04218"/>
    <w:lvl w:ilvl="0">
      <w:start w:val="2"/>
      <w:numFmt w:val="decimal"/>
      <w:lvlText w:val="[%1]"/>
      <w:lvlJc w:val="left"/>
      <w:pPr>
        <w:ind w:left="360" w:hanging="360"/>
      </w:pPr>
      <w:rPr>
        <w:rFonts w:hint="default"/>
      </w:rPr>
    </w:lvl>
    <w:lvl w:ilvl="1">
      <w:start w:val="1"/>
      <w:numFmt w:val="lowerLetter"/>
      <w:lvlText w:val="%2."/>
      <w:lvlJc w:val="left"/>
      <w:pPr>
        <w:ind w:left="-720" w:hanging="360"/>
      </w:pPr>
    </w:lvl>
    <w:lvl w:ilvl="2" w:tentative="1">
      <w:start w:val="1"/>
      <w:numFmt w:val="lowerRoman"/>
      <w:lvlText w:val="%3."/>
      <w:lvlJc w:val="right"/>
      <w:pPr>
        <w:ind w:left="0" w:hanging="180"/>
      </w:pPr>
    </w:lvl>
    <w:lvl w:ilvl="3" w:tentative="1">
      <w:start w:val="1"/>
      <w:numFmt w:val="decimal"/>
      <w:lvlText w:val="%4."/>
      <w:lvlJc w:val="left"/>
      <w:pPr>
        <w:ind w:left="720" w:hanging="360"/>
      </w:pPr>
    </w:lvl>
    <w:lvl w:ilvl="4" w:tentative="1">
      <w:start w:val="1"/>
      <w:numFmt w:val="lowerLetter"/>
      <w:lvlText w:val="%5."/>
      <w:lvlJc w:val="left"/>
      <w:pPr>
        <w:ind w:left="1440" w:hanging="360"/>
      </w:pPr>
    </w:lvl>
    <w:lvl w:ilvl="5" w:tentative="1">
      <w:start w:val="1"/>
      <w:numFmt w:val="lowerRoman"/>
      <w:lvlText w:val="%6."/>
      <w:lvlJc w:val="right"/>
      <w:pPr>
        <w:ind w:left="2160" w:hanging="180"/>
      </w:pPr>
    </w:lvl>
    <w:lvl w:ilvl="6" w:tentative="1">
      <w:start w:val="1"/>
      <w:numFmt w:val="decimal"/>
      <w:lvlText w:val="%7."/>
      <w:lvlJc w:val="left"/>
      <w:pPr>
        <w:ind w:left="2880" w:hanging="360"/>
      </w:pPr>
    </w:lvl>
    <w:lvl w:ilvl="7" w:tentative="1">
      <w:start w:val="1"/>
      <w:numFmt w:val="lowerLetter"/>
      <w:lvlText w:val="%8."/>
      <w:lvlJc w:val="left"/>
      <w:pPr>
        <w:ind w:left="3600" w:hanging="360"/>
      </w:pPr>
    </w:lvl>
    <w:lvl w:ilvl="8" w:tentative="1">
      <w:start w:val="1"/>
      <w:numFmt w:val="lowerRoman"/>
      <w:lvlText w:val="%9."/>
      <w:lvlJc w:val="right"/>
      <w:pPr>
        <w:ind w:left="4320" w:hanging="180"/>
      </w:pPr>
    </w:lvl>
  </w:abstractNum>
  <w:abstractNum w:abstractNumId="10">
    <w:nsid w:val="35803718"/>
    <w:multiLevelType w:val="hybridMultilevel"/>
    <w:tmpl w:val="005C2A9A"/>
    <w:lvl w:ilvl="0">
      <w:start w:val="1"/>
      <w:numFmt w:val="upperLetter"/>
      <w:lvlText w:val="%1."/>
      <w:lvlJc w:val="left"/>
      <w:pPr>
        <w:ind w:left="2520" w:hanging="360"/>
      </w:pPr>
      <w:rPr>
        <w:b/>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1">
    <w:nsid w:val="360818F1"/>
    <w:multiLevelType w:val="hybridMultilevel"/>
    <w:tmpl w:val="7076C83A"/>
    <w:lvl w:ilvl="0">
      <w:start w:val="2"/>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right"/>
      <w:pPr>
        <w:ind w:left="0" w:hanging="180"/>
      </w:pPr>
    </w:lvl>
    <w:lvl w:ilvl="3">
      <w:start w:val="1"/>
      <w:numFmt w:val="decimal"/>
      <w:lvlText w:val="%4."/>
      <w:lvlJc w:val="left"/>
      <w:pPr>
        <w:ind w:left="720" w:hanging="360"/>
      </w:pPr>
    </w:lvl>
    <w:lvl w:ilvl="4">
      <w:start w:val="1"/>
      <w:numFmt w:val="lowerLetter"/>
      <w:lvlText w:val="%5."/>
      <w:lvlJc w:val="left"/>
      <w:pPr>
        <w:ind w:left="1440" w:hanging="360"/>
      </w:pPr>
    </w:lvl>
    <w:lvl w:ilvl="5">
      <w:start w:val="1"/>
      <w:numFmt w:val="lowerRoman"/>
      <w:lvlText w:val="%6."/>
      <w:lvlJc w:val="right"/>
      <w:pPr>
        <w:ind w:left="2160" w:hanging="180"/>
      </w:pPr>
    </w:lvl>
    <w:lvl w:ilvl="6" w:tentative="1">
      <w:start w:val="1"/>
      <w:numFmt w:val="decimal"/>
      <w:lvlText w:val="%7."/>
      <w:lvlJc w:val="left"/>
      <w:pPr>
        <w:ind w:left="2880" w:hanging="360"/>
      </w:pPr>
    </w:lvl>
    <w:lvl w:ilvl="7" w:tentative="1">
      <w:start w:val="1"/>
      <w:numFmt w:val="lowerLetter"/>
      <w:lvlText w:val="%8."/>
      <w:lvlJc w:val="left"/>
      <w:pPr>
        <w:ind w:left="3600" w:hanging="360"/>
      </w:pPr>
    </w:lvl>
    <w:lvl w:ilvl="8" w:tentative="1">
      <w:start w:val="1"/>
      <w:numFmt w:val="lowerRoman"/>
      <w:lvlText w:val="%9."/>
      <w:lvlJc w:val="right"/>
      <w:pPr>
        <w:ind w:left="4320" w:hanging="180"/>
      </w:pPr>
    </w:lvl>
  </w:abstractNum>
  <w:abstractNum w:abstractNumId="12">
    <w:nsid w:val="3BA6149A"/>
    <w:multiLevelType w:val="hybridMultilevel"/>
    <w:tmpl w:val="3514ABA2"/>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2A9007C"/>
    <w:multiLevelType w:val="hybridMultilevel"/>
    <w:tmpl w:val="6BBC80EC"/>
    <w:lvl w:ilvl="0">
      <w:start w:val="1"/>
      <w:numFmt w:val="decimal"/>
      <w:lvlText w:val="[%1]"/>
      <w:lvlJc w:val="left"/>
      <w:pPr>
        <w:ind w:left="765" w:hanging="360"/>
      </w:pPr>
      <w:rPr>
        <w:rFonts w:hint="default"/>
      </w:rPr>
    </w:lvl>
    <w:lvl w:ilvl="1" w:tentative="1">
      <w:start w:val="1"/>
      <w:numFmt w:val="lowerLetter"/>
      <w:lvlText w:val="%2."/>
      <w:lvlJc w:val="left"/>
      <w:pPr>
        <w:ind w:left="1485" w:hanging="360"/>
      </w:pPr>
    </w:lvl>
    <w:lvl w:ilvl="2" w:tentative="1">
      <w:start w:val="1"/>
      <w:numFmt w:val="lowerRoman"/>
      <w:lvlText w:val="%3."/>
      <w:lvlJc w:val="right"/>
      <w:pPr>
        <w:ind w:left="2205" w:hanging="180"/>
      </w:pPr>
    </w:lvl>
    <w:lvl w:ilvl="3" w:tentative="1">
      <w:start w:val="1"/>
      <w:numFmt w:val="decimal"/>
      <w:lvlText w:val="%4."/>
      <w:lvlJc w:val="left"/>
      <w:pPr>
        <w:ind w:left="2925" w:hanging="360"/>
      </w:pPr>
    </w:lvl>
    <w:lvl w:ilvl="4" w:tentative="1">
      <w:start w:val="1"/>
      <w:numFmt w:val="lowerLetter"/>
      <w:lvlText w:val="%5."/>
      <w:lvlJc w:val="left"/>
      <w:pPr>
        <w:ind w:left="3645" w:hanging="360"/>
      </w:pPr>
    </w:lvl>
    <w:lvl w:ilvl="5" w:tentative="1">
      <w:start w:val="1"/>
      <w:numFmt w:val="lowerRoman"/>
      <w:lvlText w:val="%6."/>
      <w:lvlJc w:val="right"/>
      <w:pPr>
        <w:ind w:left="4365" w:hanging="180"/>
      </w:pPr>
    </w:lvl>
    <w:lvl w:ilvl="6" w:tentative="1">
      <w:start w:val="1"/>
      <w:numFmt w:val="decimal"/>
      <w:lvlText w:val="%7."/>
      <w:lvlJc w:val="left"/>
      <w:pPr>
        <w:ind w:left="5085" w:hanging="360"/>
      </w:pPr>
    </w:lvl>
    <w:lvl w:ilvl="7" w:tentative="1">
      <w:start w:val="1"/>
      <w:numFmt w:val="lowerLetter"/>
      <w:lvlText w:val="%8."/>
      <w:lvlJc w:val="left"/>
      <w:pPr>
        <w:ind w:left="5805" w:hanging="360"/>
      </w:pPr>
    </w:lvl>
    <w:lvl w:ilvl="8" w:tentative="1">
      <w:start w:val="1"/>
      <w:numFmt w:val="lowerRoman"/>
      <w:lvlText w:val="%9."/>
      <w:lvlJc w:val="right"/>
      <w:pPr>
        <w:ind w:left="6525" w:hanging="180"/>
      </w:pPr>
    </w:lvl>
  </w:abstractNum>
  <w:abstractNum w:abstractNumId="14">
    <w:nsid w:val="4BB060A4"/>
    <w:multiLevelType w:val="hybridMultilevel"/>
    <w:tmpl w:val="D1DA29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2B64D15"/>
    <w:multiLevelType w:val="hybridMultilevel"/>
    <w:tmpl w:val="DA708D0C"/>
    <w:lvl w:ilvl="0">
      <w:start w:val="2"/>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6220BC5"/>
    <w:multiLevelType w:val="hybridMultilevel"/>
    <w:tmpl w:val="5372BA9A"/>
    <w:lvl w:ilvl="0">
      <w:start w:val="1"/>
      <w:numFmt w:val="decimal"/>
      <w:lvlText w:val="[%1]"/>
      <w:lvlJc w:val="left"/>
      <w:pPr>
        <w:ind w:left="-131" w:hanging="360"/>
      </w:pPr>
      <w:rPr>
        <w:rFonts w:hint="default"/>
      </w:rPr>
    </w:lvl>
    <w:lvl w:ilvl="1" w:tentative="1">
      <w:start w:val="1"/>
      <w:numFmt w:val="lowerLetter"/>
      <w:lvlText w:val="%2."/>
      <w:lvlJc w:val="left"/>
      <w:pPr>
        <w:ind w:left="589" w:hanging="360"/>
      </w:pPr>
    </w:lvl>
    <w:lvl w:ilvl="2" w:tentative="1">
      <w:start w:val="1"/>
      <w:numFmt w:val="lowerRoman"/>
      <w:lvlText w:val="%3."/>
      <w:lvlJc w:val="right"/>
      <w:pPr>
        <w:ind w:left="1309" w:hanging="180"/>
      </w:pPr>
    </w:lvl>
    <w:lvl w:ilvl="3" w:tentative="1">
      <w:start w:val="1"/>
      <w:numFmt w:val="decimal"/>
      <w:lvlText w:val="%4."/>
      <w:lvlJc w:val="left"/>
      <w:pPr>
        <w:ind w:left="2029" w:hanging="360"/>
      </w:pPr>
    </w:lvl>
    <w:lvl w:ilvl="4" w:tentative="1">
      <w:start w:val="1"/>
      <w:numFmt w:val="lowerLetter"/>
      <w:lvlText w:val="%5."/>
      <w:lvlJc w:val="left"/>
      <w:pPr>
        <w:ind w:left="2749" w:hanging="360"/>
      </w:pPr>
    </w:lvl>
    <w:lvl w:ilvl="5" w:tentative="1">
      <w:start w:val="1"/>
      <w:numFmt w:val="lowerRoman"/>
      <w:lvlText w:val="%6."/>
      <w:lvlJc w:val="right"/>
      <w:pPr>
        <w:ind w:left="3469" w:hanging="180"/>
      </w:pPr>
    </w:lvl>
    <w:lvl w:ilvl="6" w:tentative="1">
      <w:start w:val="1"/>
      <w:numFmt w:val="decimal"/>
      <w:lvlText w:val="%7."/>
      <w:lvlJc w:val="left"/>
      <w:pPr>
        <w:ind w:left="4189" w:hanging="360"/>
      </w:pPr>
    </w:lvl>
    <w:lvl w:ilvl="7" w:tentative="1">
      <w:start w:val="1"/>
      <w:numFmt w:val="lowerLetter"/>
      <w:lvlText w:val="%8."/>
      <w:lvlJc w:val="left"/>
      <w:pPr>
        <w:ind w:left="4909" w:hanging="360"/>
      </w:pPr>
    </w:lvl>
    <w:lvl w:ilvl="8" w:tentative="1">
      <w:start w:val="1"/>
      <w:numFmt w:val="lowerRoman"/>
      <w:lvlText w:val="%9."/>
      <w:lvlJc w:val="right"/>
      <w:pPr>
        <w:ind w:left="5629" w:hanging="180"/>
      </w:pPr>
    </w:lvl>
  </w:abstractNum>
  <w:abstractNum w:abstractNumId="17">
    <w:nsid w:val="57953A24"/>
    <w:multiLevelType w:val="hybridMultilevel"/>
    <w:tmpl w:val="0D82930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AFD73D9"/>
    <w:multiLevelType w:val="hybridMultilevel"/>
    <w:tmpl w:val="497ECC72"/>
    <w:lvl w:ilvl="0">
      <w:start w:val="9"/>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
    <w:nsid w:val="613F04C3"/>
    <w:multiLevelType w:val="hybridMultilevel"/>
    <w:tmpl w:val="C5562A0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4205D64"/>
    <w:multiLevelType w:val="hybridMultilevel"/>
    <w:tmpl w:val="26A6164C"/>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65D73E8A"/>
    <w:multiLevelType w:val="hybridMultilevel"/>
    <w:tmpl w:val="D4EC172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2">
    <w:nsid w:val="65FD7541"/>
    <w:multiLevelType w:val="hybridMultilevel"/>
    <w:tmpl w:val="3ABEE392"/>
    <w:lvl w:ilvl="0">
      <w:start w:val="2"/>
      <w:numFmt w:val="decimal"/>
      <w:lvlText w:val="[%1]"/>
      <w:lvlJc w:val="left"/>
      <w:pPr>
        <w:ind w:left="360" w:hanging="360"/>
      </w:pPr>
      <w:rPr>
        <w:rFonts w:hint="default"/>
      </w:rPr>
    </w:lvl>
    <w:lvl w:ilvl="1">
      <w:start w:val="1"/>
      <w:numFmt w:val="lowerLetter"/>
      <w:lvlText w:val="%2."/>
      <w:lvlJc w:val="left"/>
      <w:pPr>
        <w:ind w:left="-720" w:hanging="360"/>
      </w:pPr>
    </w:lvl>
    <w:lvl w:ilvl="2" w:tentative="1">
      <w:start w:val="1"/>
      <w:numFmt w:val="lowerRoman"/>
      <w:lvlText w:val="%3."/>
      <w:lvlJc w:val="right"/>
      <w:pPr>
        <w:ind w:left="0" w:hanging="180"/>
      </w:pPr>
    </w:lvl>
    <w:lvl w:ilvl="3" w:tentative="1">
      <w:start w:val="1"/>
      <w:numFmt w:val="decimal"/>
      <w:lvlText w:val="%4."/>
      <w:lvlJc w:val="left"/>
      <w:pPr>
        <w:ind w:left="720" w:hanging="360"/>
      </w:pPr>
    </w:lvl>
    <w:lvl w:ilvl="4" w:tentative="1">
      <w:start w:val="1"/>
      <w:numFmt w:val="lowerLetter"/>
      <w:lvlText w:val="%5."/>
      <w:lvlJc w:val="left"/>
      <w:pPr>
        <w:ind w:left="1440" w:hanging="360"/>
      </w:pPr>
    </w:lvl>
    <w:lvl w:ilvl="5" w:tentative="1">
      <w:start w:val="1"/>
      <w:numFmt w:val="lowerRoman"/>
      <w:lvlText w:val="%6."/>
      <w:lvlJc w:val="right"/>
      <w:pPr>
        <w:ind w:left="2160" w:hanging="180"/>
      </w:pPr>
    </w:lvl>
    <w:lvl w:ilvl="6" w:tentative="1">
      <w:start w:val="1"/>
      <w:numFmt w:val="decimal"/>
      <w:lvlText w:val="%7."/>
      <w:lvlJc w:val="left"/>
      <w:pPr>
        <w:ind w:left="2880" w:hanging="360"/>
      </w:pPr>
    </w:lvl>
    <w:lvl w:ilvl="7" w:tentative="1">
      <w:start w:val="1"/>
      <w:numFmt w:val="lowerLetter"/>
      <w:lvlText w:val="%8."/>
      <w:lvlJc w:val="left"/>
      <w:pPr>
        <w:ind w:left="3600" w:hanging="360"/>
      </w:pPr>
    </w:lvl>
    <w:lvl w:ilvl="8" w:tentative="1">
      <w:start w:val="1"/>
      <w:numFmt w:val="lowerRoman"/>
      <w:lvlText w:val="%9."/>
      <w:lvlJc w:val="right"/>
      <w:pPr>
        <w:ind w:left="4320" w:hanging="180"/>
      </w:pPr>
    </w:lvl>
  </w:abstractNum>
  <w:abstractNum w:abstractNumId="23">
    <w:nsid w:val="674C23CC"/>
    <w:multiLevelType w:val="hybridMultilevel"/>
    <w:tmpl w:val="EBB88440"/>
    <w:lvl w:ilvl="0">
      <w:start w:val="1"/>
      <w:numFmt w:val="decimal"/>
      <w:lvlText w:val="[%1]"/>
      <w:lvlJc w:val="left"/>
      <w:pPr>
        <w:ind w:left="-131" w:hanging="360"/>
      </w:pPr>
      <w:rPr>
        <w:rFonts w:hint="default"/>
      </w:rPr>
    </w:lvl>
    <w:lvl w:ilvl="1" w:tentative="1">
      <w:start w:val="1"/>
      <w:numFmt w:val="lowerLetter"/>
      <w:lvlText w:val="%2."/>
      <w:lvlJc w:val="left"/>
      <w:pPr>
        <w:ind w:left="589" w:hanging="360"/>
      </w:pPr>
    </w:lvl>
    <w:lvl w:ilvl="2" w:tentative="1">
      <w:start w:val="1"/>
      <w:numFmt w:val="lowerRoman"/>
      <w:lvlText w:val="%3."/>
      <w:lvlJc w:val="right"/>
      <w:pPr>
        <w:ind w:left="1309" w:hanging="180"/>
      </w:pPr>
    </w:lvl>
    <w:lvl w:ilvl="3" w:tentative="1">
      <w:start w:val="1"/>
      <w:numFmt w:val="decimal"/>
      <w:lvlText w:val="%4."/>
      <w:lvlJc w:val="left"/>
      <w:pPr>
        <w:ind w:left="2029" w:hanging="360"/>
      </w:pPr>
    </w:lvl>
    <w:lvl w:ilvl="4" w:tentative="1">
      <w:start w:val="1"/>
      <w:numFmt w:val="lowerLetter"/>
      <w:lvlText w:val="%5."/>
      <w:lvlJc w:val="left"/>
      <w:pPr>
        <w:ind w:left="2749" w:hanging="360"/>
      </w:pPr>
    </w:lvl>
    <w:lvl w:ilvl="5" w:tentative="1">
      <w:start w:val="1"/>
      <w:numFmt w:val="lowerRoman"/>
      <w:lvlText w:val="%6."/>
      <w:lvlJc w:val="right"/>
      <w:pPr>
        <w:ind w:left="3469" w:hanging="180"/>
      </w:pPr>
    </w:lvl>
    <w:lvl w:ilvl="6" w:tentative="1">
      <w:start w:val="1"/>
      <w:numFmt w:val="decimal"/>
      <w:lvlText w:val="%7."/>
      <w:lvlJc w:val="left"/>
      <w:pPr>
        <w:ind w:left="4189" w:hanging="360"/>
      </w:pPr>
    </w:lvl>
    <w:lvl w:ilvl="7" w:tentative="1">
      <w:start w:val="1"/>
      <w:numFmt w:val="lowerLetter"/>
      <w:lvlText w:val="%8."/>
      <w:lvlJc w:val="left"/>
      <w:pPr>
        <w:ind w:left="4909" w:hanging="360"/>
      </w:pPr>
    </w:lvl>
    <w:lvl w:ilvl="8" w:tentative="1">
      <w:start w:val="1"/>
      <w:numFmt w:val="lowerRoman"/>
      <w:lvlText w:val="%9."/>
      <w:lvlJc w:val="right"/>
      <w:pPr>
        <w:ind w:left="5629" w:hanging="180"/>
      </w:pPr>
    </w:lvl>
  </w:abstractNum>
  <w:abstractNum w:abstractNumId="24">
    <w:nsid w:val="68543732"/>
    <w:multiLevelType w:val="hybridMultilevel"/>
    <w:tmpl w:val="78CE14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6FF9612C"/>
    <w:multiLevelType w:val="hybridMultilevel"/>
    <w:tmpl w:val="468A9190"/>
    <w:lvl w:ilvl="0">
      <w:start w:val="1"/>
      <w:numFmt w:val="decimal"/>
      <w:lvlText w:val="[%1]"/>
      <w:lvlJc w:val="left"/>
      <w:pPr>
        <w:ind w:left="-131" w:hanging="360"/>
      </w:pPr>
      <w:rPr>
        <w:rFonts w:hint="default"/>
      </w:rPr>
    </w:lvl>
    <w:lvl w:ilvl="1" w:tentative="1">
      <w:start w:val="1"/>
      <w:numFmt w:val="lowerLetter"/>
      <w:lvlText w:val="%2."/>
      <w:lvlJc w:val="left"/>
      <w:pPr>
        <w:ind w:left="589" w:hanging="360"/>
      </w:pPr>
    </w:lvl>
    <w:lvl w:ilvl="2" w:tentative="1">
      <w:start w:val="1"/>
      <w:numFmt w:val="lowerRoman"/>
      <w:lvlText w:val="%3."/>
      <w:lvlJc w:val="right"/>
      <w:pPr>
        <w:ind w:left="1309" w:hanging="180"/>
      </w:pPr>
    </w:lvl>
    <w:lvl w:ilvl="3" w:tentative="1">
      <w:start w:val="1"/>
      <w:numFmt w:val="decimal"/>
      <w:lvlText w:val="%4."/>
      <w:lvlJc w:val="left"/>
      <w:pPr>
        <w:ind w:left="2029" w:hanging="360"/>
      </w:pPr>
    </w:lvl>
    <w:lvl w:ilvl="4" w:tentative="1">
      <w:start w:val="1"/>
      <w:numFmt w:val="lowerLetter"/>
      <w:lvlText w:val="%5."/>
      <w:lvlJc w:val="left"/>
      <w:pPr>
        <w:ind w:left="2749" w:hanging="360"/>
      </w:pPr>
    </w:lvl>
    <w:lvl w:ilvl="5" w:tentative="1">
      <w:start w:val="1"/>
      <w:numFmt w:val="lowerRoman"/>
      <w:lvlText w:val="%6."/>
      <w:lvlJc w:val="right"/>
      <w:pPr>
        <w:ind w:left="3469" w:hanging="180"/>
      </w:pPr>
    </w:lvl>
    <w:lvl w:ilvl="6" w:tentative="1">
      <w:start w:val="1"/>
      <w:numFmt w:val="decimal"/>
      <w:lvlText w:val="%7."/>
      <w:lvlJc w:val="left"/>
      <w:pPr>
        <w:ind w:left="4189" w:hanging="360"/>
      </w:pPr>
    </w:lvl>
    <w:lvl w:ilvl="7" w:tentative="1">
      <w:start w:val="1"/>
      <w:numFmt w:val="lowerLetter"/>
      <w:lvlText w:val="%8."/>
      <w:lvlJc w:val="left"/>
      <w:pPr>
        <w:ind w:left="4909" w:hanging="360"/>
      </w:pPr>
    </w:lvl>
    <w:lvl w:ilvl="8" w:tentative="1">
      <w:start w:val="1"/>
      <w:numFmt w:val="lowerRoman"/>
      <w:lvlText w:val="%9."/>
      <w:lvlJc w:val="right"/>
      <w:pPr>
        <w:ind w:left="5629" w:hanging="180"/>
      </w:pPr>
    </w:lvl>
  </w:abstractNum>
  <w:abstractNum w:abstractNumId="26">
    <w:nsid w:val="75B56A2F"/>
    <w:multiLevelType w:val="hybridMultilevel"/>
    <w:tmpl w:val="398E779A"/>
    <w:lvl w:ilvl="0">
      <w:start w:val="2"/>
      <w:numFmt w:val="decimal"/>
      <w:lvlText w:val="[%1]"/>
      <w:lvlJc w:val="left"/>
      <w:pPr>
        <w:ind w:left="360" w:hanging="360"/>
      </w:pPr>
      <w:rPr>
        <w:rFonts w:hint="default"/>
      </w:rPr>
    </w:lvl>
    <w:lvl w:ilvl="1">
      <w:start w:val="1"/>
      <w:numFmt w:val="lowerLetter"/>
      <w:lvlText w:val="%2."/>
      <w:lvlJc w:val="left"/>
      <w:pPr>
        <w:ind w:left="-720" w:hanging="360"/>
      </w:pPr>
    </w:lvl>
    <w:lvl w:ilvl="2" w:tentative="1">
      <w:start w:val="1"/>
      <w:numFmt w:val="lowerRoman"/>
      <w:lvlText w:val="%3."/>
      <w:lvlJc w:val="right"/>
      <w:pPr>
        <w:ind w:left="0" w:hanging="180"/>
      </w:pPr>
    </w:lvl>
    <w:lvl w:ilvl="3" w:tentative="1">
      <w:start w:val="1"/>
      <w:numFmt w:val="decimal"/>
      <w:lvlText w:val="%4."/>
      <w:lvlJc w:val="left"/>
      <w:pPr>
        <w:ind w:left="720" w:hanging="360"/>
      </w:pPr>
    </w:lvl>
    <w:lvl w:ilvl="4" w:tentative="1">
      <w:start w:val="1"/>
      <w:numFmt w:val="lowerLetter"/>
      <w:lvlText w:val="%5."/>
      <w:lvlJc w:val="left"/>
      <w:pPr>
        <w:ind w:left="1440" w:hanging="360"/>
      </w:pPr>
    </w:lvl>
    <w:lvl w:ilvl="5" w:tentative="1">
      <w:start w:val="1"/>
      <w:numFmt w:val="lowerRoman"/>
      <w:lvlText w:val="%6."/>
      <w:lvlJc w:val="right"/>
      <w:pPr>
        <w:ind w:left="2160" w:hanging="180"/>
      </w:pPr>
    </w:lvl>
    <w:lvl w:ilvl="6" w:tentative="1">
      <w:start w:val="1"/>
      <w:numFmt w:val="decimal"/>
      <w:lvlText w:val="%7."/>
      <w:lvlJc w:val="left"/>
      <w:pPr>
        <w:ind w:left="2880" w:hanging="360"/>
      </w:pPr>
    </w:lvl>
    <w:lvl w:ilvl="7" w:tentative="1">
      <w:start w:val="1"/>
      <w:numFmt w:val="lowerLetter"/>
      <w:lvlText w:val="%8."/>
      <w:lvlJc w:val="left"/>
      <w:pPr>
        <w:ind w:left="3600" w:hanging="360"/>
      </w:pPr>
    </w:lvl>
    <w:lvl w:ilvl="8" w:tentative="1">
      <w:start w:val="1"/>
      <w:numFmt w:val="lowerRoman"/>
      <w:lvlText w:val="%9."/>
      <w:lvlJc w:val="right"/>
      <w:pPr>
        <w:ind w:left="4320" w:hanging="180"/>
      </w:pPr>
    </w:lvl>
  </w:abstractNum>
  <w:abstractNum w:abstractNumId="27">
    <w:nsid w:val="7B3B5C5D"/>
    <w:multiLevelType w:val="hybridMultilevel"/>
    <w:tmpl w:val="66346C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FBE6428"/>
    <w:multiLevelType w:val="hybridMultilevel"/>
    <w:tmpl w:val="1F56B21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8"/>
  </w:num>
  <w:num w:numId="2">
    <w:abstractNumId w:val="8"/>
  </w:num>
  <w:num w:numId="3">
    <w:abstractNumId w:val="0"/>
  </w:num>
  <w:num w:numId="4">
    <w:abstractNumId w:val="3"/>
  </w:num>
  <w:num w:numId="5">
    <w:abstractNumId w:val="14"/>
  </w:num>
  <w:num w:numId="6">
    <w:abstractNumId w:val="23"/>
  </w:num>
  <w:num w:numId="7">
    <w:abstractNumId w:val="13"/>
  </w:num>
  <w:num w:numId="8">
    <w:abstractNumId w:val="24"/>
  </w:num>
  <w:num w:numId="9">
    <w:abstractNumId w:val="2"/>
  </w:num>
  <w:num w:numId="10">
    <w:abstractNumId w:val="16"/>
  </w:num>
  <w:num w:numId="11">
    <w:abstractNumId w:val="27"/>
  </w:num>
  <w:num w:numId="12">
    <w:abstractNumId w:val="10"/>
  </w:num>
  <w:num w:numId="13">
    <w:abstractNumId w:val="17"/>
  </w:num>
  <w:num w:numId="14">
    <w:abstractNumId w:val="25"/>
  </w:num>
  <w:num w:numId="15">
    <w:abstractNumId w:val="5"/>
  </w:num>
  <w:num w:numId="16">
    <w:abstractNumId w:val="21"/>
  </w:num>
  <w:num w:numId="17">
    <w:abstractNumId w:val="11"/>
  </w:num>
  <w:num w:numId="18">
    <w:abstractNumId w:val="19"/>
  </w:num>
  <w:num w:numId="19">
    <w:abstractNumId w:val="12"/>
  </w:num>
  <w:num w:numId="20">
    <w:abstractNumId w:val="22"/>
  </w:num>
  <w:num w:numId="21">
    <w:abstractNumId w:val="6"/>
  </w:num>
  <w:num w:numId="22">
    <w:abstractNumId w:val="26"/>
  </w:num>
  <w:num w:numId="23">
    <w:abstractNumId w:val="15"/>
  </w:num>
  <w:num w:numId="24">
    <w:abstractNumId w:val="9"/>
  </w:num>
  <w:num w:numId="25">
    <w:abstractNumId w:val="1"/>
  </w:num>
  <w:num w:numId="26">
    <w:abstractNumId w:val="18"/>
  </w:num>
  <w:num w:numId="27">
    <w:abstractNumId w:val="7"/>
  </w:num>
  <w:num w:numId="28">
    <w:abstractNumId w:val="4"/>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47FD8"/>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47FD8"/>
    <w:rPr>
      <w:rFonts w:ascii="Times New Roman" w:hAnsi="Times New Roman" w:cs="Times New Roman"/>
      <w:sz w:val="18"/>
      <w:szCs w:val="18"/>
    </w:rPr>
  </w:style>
  <w:style w:type="character" w:styleId="Hyperlink">
    <w:name w:val="Hyperlink"/>
    <w:basedOn w:val="DefaultParagraphFont"/>
    <w:uiPriority w:val="99"/>
    <w:unhideWhenUsed/>
    <w:rsid w:val="00847FD8"/>
    <w:rPr>
      <w:color w:val="0563C1" w:themeColor="hyperlink"/>
      <w:u w:val="single"/>
    </w:rPr>
  </w:style>
  <w:style w:type="paragraph" w:styleId="Header">
    <w:name w:val="header"/>
    <w:basedOn w:val="Normal"/>
    <w:link w:val="HeaderChar"/>
    <w:uiPriority w:val="99"/>
    <w:unhideWhenUsed/>
    <w:rsid w:val="00847F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7FD8"/>
  </w:style>
  <w:style w:type="paragraph" w:styleId="Footer">
    <w:name w:val="footer"/>
    <w:basedOn w:val="Normal"/>
    <w:link w:val="FooterChar"/>
    <w:uiPriority w:val="99"/>
    <w:unhideWhenUsed/>
    <w:rsid w:val="00847F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7FD8"/>
  </w:style>
  <w:style w:type="paragraph" w:styleId="BodyText">
    <w:name w:val="Body Text"/>
    <w:basedOn w:val="Normal"/>
    <w:link w:val="BodyTextChar"/>
    <w:rsid w:val="00847FD8"/>
    <w:pPr>
      <w:spacing w:after="0" w:line="480" w:lineRule="auto"/>
      <w:ind w:firstLine="540"/>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847FD8"/>
    <w:rPr>
      <w:rFonts w:ascii="Times New Roman" w:eastAsia="Times New Roman" w:hAnsi="Times New Roman" w:cs="Times New Roman"/>
      <w:sz w:val="24"/>
      <w:szCs w:val="20"/>
      <w:lang w:val="en-US"/>
    </w:rPr>
  </w:style>
  <w:style w:type="character" w:customStyle="1" w:styleId="UnresolvedMention1">
    <w:name w:val="Unresolved Mention1"/>
    <w:basedOn w:val="DefaultParagraphFont"/>
    <w:uiPriority w:val="99"/>
    <w:semiHidden/>
    <w:unhideWhenUsed/>
    <w:rsid w:val="00847FD8"/>
    <w:rPr>
      <w:color w:val="605E5C"/>
      <w:shd w:val="clear" w:color="auto" w:fill="E1DFDD"/>
    </w:rPr>
  </w:style>
  <w:style w:type="paragraph" w:styleId="Caption">
    <w:name w:val="caption"/>
    <w:basedOn w:val="Normal"/>
    <w:next w:val="Normal"/>
    <w:uiPriority w:val="35"/>
    <w:unhideWhenUsed/>
    <w:qFormat/>
    <w:rsid w:val="00847FD8"/>
    <w:pPr>
      <w:spacing w:after="200" w:line="240" w:lineRule="auto"/>
    </w:pPr>
    <w:rPr>
      <w:i/>
      <w:iCs/>
      <w:color w:val="44546A" w:themeColor="text2"/>
      <w:sz w:val="18"/>
      <w:szCs w:val="18"/>
    </w:rPr>
  </w:style>
  <w:style w:type="paragraph" w:styleId="CommentSubject">
    <w:name w:val="annotation subject"/>
    <w:basedOn w:val="CommentText"/>
    <w:next w:val="CommentText"/>
    <w:link w:val="CommentSubjectChar"/>
    <w:uiPriority w:val="99"/>
    <w:semiHidden/>
    <w:unhideWhenUsed/>
    <w:rsid w:val="005A46D4"/>
    <w:rPr>
      <w:b/>
      <w:bCs/>
    </w:rPr>
  </w:style>
  <w:style w:type="character" w:customStyle="1" w:styleId="CommentSubjectChar">
    <w:name w:val="Comment Subject Char"/>
    <w:basedOn w:val="CommentTextChar"/>
    <w:link w:val="CommentSubject"/>
    <w:uiPriority w:val="99"/>
    <w:semiHidden/>
    <w:rsid w:val="005A46D4"/>
    <w:rPr>
      <w:b/>
      <w:bCs/>
      <w:sz w:val="20"/>
      <w:szCs w:val="20"/>
    </w:rPr>
  </w:style>
  <w:style w:type="character" w:styleId="FollowedHyperlink">
    <w:name w:val="FollowedHyperlink"/>
    <w:basedOn w:val="DefaultParagraphFont"/>
    <w:uiPriority w:val="99"/>
    <w:semiHidden/>
    <w:unhideWhenUsed/>
    <w:rsid w:val="00503659"/>
    <w:rPr>
      <w:color w:val="954F72" w:themeColor="followedHyperlink"/>
      <w:u w:val="single"/>
    </w:rPr>
  </w:style>
  <w:style w:type="character" w:customStyle="1" w:styleId="UnresolvedMention2">
    <w:name w:val="Unresolved Mention2"/>
    <w:basedOn w:val="DefaultParagraphFont"/>
    <w:uiPriority w:val="99"/>
    <w:semiHidden/>
    <w:unhideWhenUsed/>
    <w:rsid w:val="002C251F"/>
    <w:rPr>
      <w:color w:val="605E5C"/>
      <w:shd w:val="clear" w:color="auto" w:fill="E1DFDD"/>
    </w:rPr>
  </w:style>
  <w:style w:type="paragraph" w:styleId="ListParagraph">
    <w:name w:val="List Paragraph"/>
    <w:basedOn w:val="Normal"/>
    <w:uiPriority w:val="34"/>
    <w:qFormat/>
    <w:rsid w:val="00525C07"/>
    <w:pPr>
      <w:ind w:left="720"/>
      <w:contextualSpacing/>
    </w:pPr>
  </w:style>
  <w:style w:type="paragraph" w:styleId="FootnoteText">
    <w:name w:val="footnote text"/>
    <w:basedOn w:val="Normal"/>
    <w:link w:val="FootnoteTextChar"/>
    <w:uiPriority w:val="99"/>
    <w:semiHidden/>
    <w:unhideWhenUsed/>
    <w:rsid w:val="000C5B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5B0B"/>
    <w:rPr>
      <w:sz w:val="20"/>
      <w:szCs w:val="20"/>
    </w:rPr>
  </w:style>
  <w:style w:type="character" w:styleId="FootnoteReference">
    <w:name w:val="footnote reference"/>
    <w:basedOn w:val="DefaultParagraphFont"/>
    <w:uiPriority w:val="99"/>
    <w:semiHidden/>
    <w:unhideWhenUsed/>
    <w:rsid w:val="000C5B0B"/>
    <w:rPr>
      <w:vertAlign w:val="superscript"/>
    </w:rPr>
  </w:style>
  <w:style w:type="character" w:customStyle="1" w:styleId="UnresolvedMention">
    <w:name w:val="Unresolved Mention"/>
    <w:basedOn w:val="DefaultParagraphFont"/>
    <w:uiPriority w:val="99"/>
    <w:semiHidden/>
    <w:unhideWhenUsed/>
    <w:rsid w:val="00A47C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6A1AF-1282-B248-A89C-F4AA221A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