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166DC4" w:rsidRPr="00ED3984" w:rsidP="00216492">
      <w:pPr>
        <w:bidi w:val="0"/>
        <w:spacing w:after="0"/>
        <w:ind w:left="-567"/>
        <w:rPr>
          <w:rFonts w:ascii="Verdana" w:hAnsi="Verdana"/>
          <w:b/>
          <w:bCs/>
          <w:sz w:val="28"/>
          <w:szCs w:val="28"/>
          <w:lang w:val="en-GB"/>
        </w:rPr>
      </w:pPr>
      <w:r w:rsidRPr="00ED3984">
        <w:rPr>
          <w:rFonts w:ascii="Verdana" w:hAnsi="Verdana"/>
          <w:b/>
          <w:bCs/>
          <w:sz w:val="28"/>
          <w:szCs w:val="28"/>
          <w:lang w:val="en-GB"/>
        </w:rPr>
        <w:t>Teva UK</w:t>
      </w:r>
      <w:r w:rsidR="008B1AC6">
        <w:rPr>
          <w:rFonts w:ascii="Verdana" w:hAnsi="Verdana"/>
          <w:b/>
          <w:bCs/>
          <w:sz w:val="28"/>
          <w:szCs w:val="28"/>
          <w:lang w:val="en-GB"/>
        </w:rPr>
        <w:t xml:space="preserve"> </w:t>
      </w:r>
      <w:r w:rsidR="001D22B5">
        <w:rPr>
          <w:rFonts w:ascii="Verdana" w:hAnsi="Verdana"/>
          <w:b/>
          <w:bCs/>
          <w:sz w:val="28"/>
          <w:szCs w:val="28"/>
          <w:lang w:val="en-GB"/>
        </w:rPr>
        <w:t>–</w:t>
      </w:r>
      <w:r w:rsidRPr="00ED3984">
        <w:rPr>
          <w:rFonts w:ascii="Verdana" w:hAnsi="Verdana"/>
          <w:b/>
          <w:bCs/>
          <w:sz w:val="28"/>
          <w:szCs w:val="28"/>
          <w:lang w:val="en-GB"/>
        </w:rPr>
        <w:t xml:space="preserve"> </w:t>
      </w:r>
      <w:r w:rsidR="001D22B5">
        <w:rPr>
          <w:rFonts w:ascii="Verdana" w:hAnsi="Verdana"/>
          <w:b/>
          <w:bCs/>
          <w:sz w:val="28"/>
          <w:szCs w:val="28"/>
          <w:lang w:val="en-GB"/>
        </w:rPr>
        <w:t>Further s</w:t>
      </w:r>
      <w:r w:rsidRPr="00ED3984">
        <w:rPr>
          <w:rFonts w:ascii="Verdana" w:hAnsi="Verdana"/>
          <w:b/>
          <w:bCs/>
          <w:sz w:val="28"/>
          <w:szCs w:val="28"/>
          <w:lang w:val="en-GB"/>
        </w:rPr>
        <w:t xml:space="preserve">upplementary written </w:t>
      </w:r>
      <w:r w:rsidR="00862D08">
        <w:rPr>
          <w:rFonts w:ascii="Verdana" w:hAnsi="Verdana"/>
          <w:b/>
          <w:bCs/>
          <w:sz w:val="28"/>
          <w:szCs w:val="28"/>
          <w:lang w:val="en-GB"/>
        </w:rPr>
        <w:t>evidence</w:t>
      </w:r>
      <w:r w:rsidRPr="00ED3984">
        <w:rPr>
          <w:rFonts w:ascii="Verdana" w:hAnsi="Verdana"/>
          <w:b/>
          <w:bCs/>
          <w:sz w:val="28"/>
          <w:szCs w:val="28"/>
          <w:lang w:val="en-GB"/>
        </w:rPr>
        <w:t xml:space="preserve"> </w:t>
      </w:r>
    </w:p>
    <w:p w:rsidR="00025C3D" w:rsidRPr="00ED3984" w:rsidP="00025C3D">
      <w:pPr>
        <w:bidi w:val="0"/>
        <w:spacing w:after="0"/>
        <w:ind w:left="-851"/>
        <w:rPr>
          <w:rFonts w:ascii="Verdana" w:hAnsi="Verdana"/>
          <w:lang w:val="en-GB"/>
        </w:rPr>
      </w:pPr>
    </w:p>
    <w:p w:rsidR="00025C3D" w:rsidRPr="00ED3984" w:rsidP="00025C3D">
      <w:pPr>
        <w:bidi w:val="0"/>
        <w:spacing w:after="0"/>
        <w:ind w:left="-851"/>
        <w:rPr>
          <w:rFonts w:ascii="Verdana" w:hAnsi="Verdana"/>
          <w:lang w:val="en-GB"/>
        </w:rPr>
      </w:pPr>
    </w:p>
    <w:p w:rsidR="00166DC4" w:rsidRPr="00ED3984" w:rsidP="0028113E">
      <w:pPr>
        <w:bidi w:val="0"/>
        <w:spacing w:after="0"/>
        <w:ind w:left="-567"/>
        <w:rPr>
          <w:rFonts w:ascii="Verdana" w:hAnsi="Verdana"/>
          <w:lang w:val="en-GB"/>
        </w:rPr>
      </w:pPr>
      <w:r w:rsidRPr="00ED3984">
        <w:rPr>
          <w:rFonts w:ascii="Verdana" w:hAnsi="Verdana"/>
          <w:lang w:val="en-GB"/>
        </w:rPr>
        <w:t>Firstly, I would like to thank you once again for giving us the opportunity to provide oral evidence to your committee last week.  I cannot stress enough that for us at Teva, maintaining access to medicines for patients is not just a business issue, but something we see as our fundamental duty of care to those we serve. We very much hope that the UK and EU can work together to mutually agree a way forward so that patients in Northern Ireland are not placed at disadvantage with regards to access to both new and existing medicines.</w:t>
      </w:r>
    </w:p>
    <w:p w:rsidR="00166DC4" w:rsidRPr="00ED3984" w:rsidP="002A6CE1">
      <w:pPr>
        <w:bidi w:val="0"/>
        <w:spacing w:after="0"/>
        <w:ind w:left="-851"/>
        <w:rPr>
          <w:rFonts w:ascii="Verdana" w:hAnsi="Verdana"/>
          <w:lang w:val="en-GB"/>
        </w:rPr>
      </w:pPr>
    </w:p>
    <w:p w:rsidR="00166DC4" w:rsidRPr="00ED3984" w:rsidP="0028113E">
      <w:pPr>
        <w:bidi w:val="0"/>
        <w:spacing w:after="0"/>
        <w:ind w:left="-567"/>
        <w:rPr>
          <w:rFonts w:ascii="Verdana" w:hAnsi="Verdana"/>
          <w:lang w:val="en-GB"/>
        </w:rPr>
      </w:pPr>
      <w:r w:rsidRPr="00ED3984">
        <w:rPr>
          <w:rFonts w:ascii="Verdana" w:hAnsi="Verdana"/>
          <w:lang w:val="en-GB"/>
        </w:rPr>
        <w:t xml:space="preserve">During the evidence session, I committed to sharing additional information with you, which I have set out below. </w:t>
      </w:r>
    </w:p>
    <w:p w:rsidR="00166DC4" w:rsidRPr="00ED3984" w:rsidP="002A6CE1">
      <w:pPr>
        <w:bidi w:val="0"/>
        <w:spacing w:after="0"/>
        <w:ind w:left="-851"/>
        <w:rPr>
          <w:rFonts w:ascii="Verdana" w:hAnsi="Verdana"/>
          <w:lang w:val="en-GB"/>
        </w:rPr>
      </w:pPr>
    </w:p>
    <w:p w:rsidR="00166DC4" w:rsidRPr="00ED3984" w:rsidP="0028113E">
      <w:pPr>
        <w:bidi w:val="0"/>
        <w:spacing w:after="0"/>
        <w:ind w:left="-567"/>
        <w:rPr>
          <w:rFonts w:ascii="Verdana" w:hAnsi="Verdana"/>
          <w:b/>
          <w:bCs/>
          <w:lang w:val="en-GB"/>
        </w:rPr>
      </w:pPr>
      <w:r w:rsidRPr="00ED3984">
        <w:rPr>
          <w:rFonts w:ascii="Verdana" w:hAnsi="Verdana"/>
          <w:b/>
          <w:bCs/>
          <w:lang w:val="en-GB"/>
        </w:rPr>
        <w:t>Cost of additional licences</w:t>
      </w:r>
    </w:p>
    <w:p w:rsidR="0028113E" w:rsidRPr="00ED3984" w:rsidP="0028113E">
      <w:pPr>
        <w:bidi w:val="0"/>
        <w:spacing w:after="0"/>
        <w:ind w:left="-567"/>
        <w:rPr>
          <w:rFonts w:ascii="Verdana" w:hAnsi="Verdana"/>
          <w:b/>
          <w:bCs/>
          <w:lang w:val="en-GB"/>
        </w:rPr>
      </w:pPr>
    </w:p>
    <w:p w:rsidR="00166DC4" w:rsidRPr="00ED3984" w:rsidP="0028113E">
      <w:pPr>
        <w:bidi w:val="0"/>
        <w:spacing w:after="0"/>
        <w:ind w:left="-567"/>
        <w:rPr>
          <w:rFonts w:ascii="Verdana" w:hAnsi="Verdana"/>
          <w:lang w:val="en-GB"/>
        </w:rPr>
      </w:pPr>
      <w:r w:rsidRPr="00ED3984">
        <w:rPr>
          <w:rFonts w:ascii="Verdana" w:hAnsi="Verdana"/>
          <w:lang w:val="en-GB"/>
        </w:rPr>
        <w:t xml:space="preserve">You asked us to confirm data on how much it costs to apply for and maintain an additional licence, as would be required under the original NI </w:t>
      </w:r>
      <w:r w:rsidRPr="00ED3984">
        <w:rPr>
          <w:rFonts w:ascii="Verdana" w:hAnsi="Verdana"/>
          <w:lang w:val="en-GB"/>
        </w:rPr>
        <w:t>Protocol</w:t>
      </w:r>
      <w:r w:rsidRPr="00ED3984">
        <w:rPr>
          <w:rFonts w:ascii="Verdana" w:hAnsi="Verdana"/>
          <w:lang w:val="en-GB"/>
        </w:rPr>
        <w:t xml:space="preserve"> and would still be needed under our interpretation of the EU Non-Paper’s requirements for new treatments.</w:t>
      </w:r>
    </w:p>
    <w:p w:rsidR="00166DC4" w:rsidRPr="00ED3984" w:rsidP="002A6CE1">
      <w:pPr>
        <w:bidi w:val="0"/>
        <w:spacing w:after="0"/>
        <w:ind w:left="-851"/>
        <w:rPr>
          <w:rFonts w:ascii="Verdana" w:hAnsi="Verdana"/>
          <w:lang w:val="en-GB"/>
        </w:rPr>
      </w:pPr>
    </w:p>
    <w:p w:rsidR="00166DC4" w:rsidRPr="00ED3984" w:rsidP="0028113E">
      <w:pPr>
        <w:bidi w:val="0"/>
        <w:spacing w:after="0"/>
        <w:ind w:left="-567"/>
        <w:rPr>
          <w:rFonts w:ascii="Verdana" w:hAnsi="Verdana"/>
          <w:lang w:val="en-GB"/>
        </w:rPr>
      </w:pPr>
      <w:r w:rsidRPr="00ED3984">
        <w:rPr>
          <w:rFonts w:ascii="Verdana" w:hAnsi="Verdana"/>
          <w:lang w:val="en-GB"/>
        </w:rPr>
        <w:t xml:space="preserve">The fees for a new generic application for a separate Northern Ireland Marketing Authorisation (MA) would be approximately £17,330 (first strength) and £6,350 for each subsequent strength. </w:t>
      </w:r>
      <w:r w:rsidRPr="00ED3984">
        <w:rPr>
          <w:rFonts w:ascii="Verdana" w:hAnsi="Verdana"/>
          <w:lang w:val="en-GB"/>
        </w:rPr>
        <w:t>So</w:t>
      </w:r>
      <w:r w:rsidRPr="00ED3984">
        <w:rPr>
          <w:rFonts w:ascii="Verdana" w:hAnsi="Verdana"/>
          <w:lang w:val="en-GB"/>
        </w:rPr>
        <w:t xml:space="preserve"> for a product with three strengths, the initial fees will be in the region of £30,000. In addition, routine maintenance and annual fees will also be required between £2,428 and £9,710 for the first strength. This does not include our own administrative cost</w:t>
      </w:r>
      <w:r w:rsidRPr="00ED3984" w:rsidR="00034F81">
        <w:rPr>
          <w:rFonts w:ascii="Verdana" w:hAnsi="Verdana"/>
          <w:lang w:val="en-GB"/>
        </w:rPr>
        <w:t xml:space="preserve"> of staff to make</w:t>
      </w:r>
      <w:r w:rsidRPr="00ED3984">
        <w:rPr>
          <w:rFonts w:ascii="Verdana" w:hAnsi="Verdana"/>
          <w:lang w:val="en-GB"/>
        </w:rPr>
        <w:t xml:space="preserve"> extra applications and </w:t>
      </w:r>
      <w:r w:rsidRPr="00ED3984" w:rsidR="00BA700C">
        <w:rPr>
          <w:rFonts w:ascii="Verdana" w:hAnsi="Verdana"/>
          <w:lang w:val="en-GB"/>
        </w:rPr>
        <w:t xml:space="preserve">for </w:t>
      </w:r>
      <w:r w:rsidRPr="00ED3984">
        <w:rPr>
          <w:rFonts w:ascii="Verdana" w:hAnsi="Verdana"/>
          <w:lang w:val="en-GB"/>
        </w:rPr>
        <w:t xml:space="preserve">file maintenance, such as applying for variations to an MA. Unless we can have one MA which covers both GB and NI, it may not be commercially viable to submit a separate application for Northern Ireland. To give an example using an existing treatment, we currently supply a generic medicine across the UK that is used to treat depression, migraine and to help manage pain. In 2020, we supplied about 120,000 packs </w:t>
      </w:r>
      <w:r w:rsidRPr="00ED3984" w:rsidR="00BA700C">
        <w:rPr>
          <w:rFonts w:ascii="Verdana" w:hAnsi="Verdana"/>
          <w:lang w:val="en-GB"/>
        </w:rPr>
        <w:t xml:space="preserve">of that product </w:t>
      </w:r>
      <w:r w:rsidRPr="00ED3984">
        <w:rPr>
          <w:rFonts w:ascii="Verdana" w:hAnsi="Verdana"/>
          <w:lang w:val="en-GB"/>
        </w:rPr>
        <w:t>to Northern Ireland and the Gross Margin received was less than £5,000.</w:t>
      </w:r>
    </w:p>
    <w:p w:rsidR="00166DC4" w:rsidRPr="00ED3984" w:rsidP="002A6CE1">
      <w:pPr>
        <w:bidi w:val="0"/>
        <w:spacing w:after="0"/>
        <w:ind w:left="-851"/>
        <w:rPr>
          <w:rFonts w:ascii="Verdana" w:hAnsi="Verdana"/>
          <w:lang w:val="en-GB"/>
        </w:rPr>
      </w:pPr>
    </w:p>
    <w:p w:rsidR="0028113E" w:rsidRPr="00ED3984" w:rsidP="0028113E">
      <w:pPr>
        <w:bidi w:val="0"/>
        <w:spacing w:after="0"/>
        <w:ind w:left="-567"/>
        <w:rPr>
          <w:rFonts w:ascii="Verdana" w:hAnsi="Verdana"/>
          <w:b/>
          <w:bCs/>
          <w:lang w:val="en-GB"/>
        </w:rPr>
      </w:pPr>
      <w:r w:rsidRPr="00ED3984">
        <w:rPr>
          <w:rFonts w:ascii="Verdana" w:hAnsi="Verdana"/>
          <w:b/>
          <w:bCs/>
          <w:lang w:val="en-GB"/>
        </w:rPr>
        <w:t>Therapy areas impacted by potential product discontinuations</w:t>
      </w:r>
    </w:p>
    <w:p w:rsidR="0028113E" w:rsidRPr="00ED3984" w:rsidP="0028113E">
      <w:pPr>
        <w:bidi w:val="0"/>
        <w:spacing w:after="0"/>
        <w:ind w:left="-567"/>
        <w:rPr>
          <w:rFonts w:ascii="Verdana" w:hAnsi="Verdana"/>
          <w:b/>
          <w:bCs/>
          <w:lang w:val="en-GB"/>
        </w:rPr>
      </w:pPr>
    </w:p>
    <w:p w:rsidR="00166DC4" w:rsidRPr="00ED3984" w:rsidP="0028113E">
      <w:pPr>
        <w:bidi w:val="0"/>
        <w:spacing w:after="0"/>
        <w:ind w:left="-567"/>
        <w:rPr>
          <w:rFonts w:ascii="Verdana" w:hAnsi="Verdana"/>
          <w:b/>
          <w:bCs/>
          <w:lang w:val="en-GB"/>
        </w:rPr>
      </w:pPr>
      <w:r w:rsidRPr="00ED3984">
        <w:rPr>
          <w:rFonts w:ascii="Verdana" w:hAnsi="Verdana"/>
          <w:lang w:val="en-GB"/>
        </w:rPr>
        <w:t xml:space="preserve">You asked me to be specific on the diseases and conditions that could potentially be impacted if Teva found it necessary to discontinue over 250 products due to unsustainability. It is difficult to be definitive, as medicines are often used to treat two, three or even more different conditions: but a summary of the main conditions and diseases that could be impacted is below. Once again, I wish to make it very clear that discontinuation is the very last resort and is only under consideration to maintain our overall viability so we can continue to serve all our </w:t>
      </w:r>
      <w:r w:rsidRPr="00ED3984">
        <w:rPr>
          <w:rFonts w:ascii="Verdana" w:hAnsi="Verdana"/>
          <w:lang w:val="en-GB"/>
        </w:rPr>
        <w:t xml:space="preserve">patients.  Please be assured that we only considered products for discontinuation where there is at least one other easily available supplier and there are no patient safety concerns in switching from one version of a generic medicine to another. </w:t>
      </w:r>
    </w:p>
    <w:p w:rsidR="00166DC4" w:rsidRPr="00ED3984" w:rsidP="002A6CE1">
      <w:pPr>
        <w:bidi w:val="0"/>
        <w:spacing w:after="0"/>
        <w:ind w:left="-851"/>
        <w:rPr>
          <w:rFonts w:ascii="Verdana" w:hAnsi="Verdana"/>
          <w:lang w:val="en-GB"/>
        </w:rPr>
      </w:pPr>
    </w:p>
    <w:p w:rsidR="00166DC4" w:rsidRPr="00ED3984" w:rsidP="002A6CE1">
      <w:pPr>
        <w:bidi w:val="0"/>
        <w:spacing w:after="0"/>
        <w:ind w:left="-851"/>
        <w:rPr>
          <w:rFonts w:ascii="Verdana" w:hAnsi="Verdana"/>
          <w:lang w:val="en-GB"/>
        </w:rPr>
      </w:pPr>
      <w:r w:rsidRPr="00ED3984">
        <w:rPr>
          <w:rFonts w:ascii="Verdana" w:hAnsi="Verdana"/>
          <w:lang w:val="en-GB"/>
        </w:rPr>
        <w:t xml:space="preserve"> </w:t>
      </w:r>
    </w:p>
    <w:p w:rsidR="00166DC4" w:rsidRPr="00ED3984" w:rsidP="002A6CE1">
      <w:pPr>
        <w:pStyle w:val="ListParagraph"/>
        <w:numPr>
          <w:ilvl w:val="0"/>
          <w:numId w:val="2"/>
        </w:numPr>
        <w:bidi w:val="0"/>
        <w:spacing w:after="0"/>
        <w:rPr>
          <w:rFonts w:ascii="Verdana" w:hAnsi="Verdana"/>
          <w:lang w:val="en-GB"/>
        </w:rPr>
        <w:sectPr w:rsidSect="002A6CE1">
          <w:footerReference w:type="default" r:id="rId9"/>
          <w:pgSz w:w="11906" w:h="16838"/>
          <w:pgMar w:top="1560" w:right="1558" w:bottom="2410" w:left="1800" w:header="708" w:footer="1984" w:gutter="0"/>
          <w:cols w:space="708"/>
          <w:bidi/>
          <w:rtlGutter/>
          <w:docGrid w:linePitch="360"/>
        </w:sectPr>
      </w:pPr>
    </w:p>
    <w:p w:rsidR="00166DC4" w:rsidRPr="00ED3984" w:rsidP="002A6CE1">
      <w:pPr>
        <w:pStyle w:val="ListParagraph"/>
        <w:numPr>
          <w:ilvl w:val="0"/>
          <w:numId w:val="2"/>
        </w:numPr>
        <w:bidi w:val="0"/>
        <w:spacing w:after="0"/>
        <w:ind w:right="255"/>
        <w:rPr>
          <w:rFonts w:ascii="Verdana" w:hAnsi="Verdana"/>
          <w:lang w:val="en-GB"/>
        </w:rPr>
      </w:pPr>
      <w:r w:rsidRPr="00ED3984">
        <w:rPr>
          <w:rFonts w:ascii="Verdana" w:hAnsi="Verdana"/>
          <w:lang w:val="en-GB"/>
        </w:rPr>
        <w:t>Hay fever/allergy</w:t>
      </w:r>
    </w:p>
    <w:p w:rsidR="00166DC4" w:rsidRPr="00ED3984" w:rsidP="002A6CE1">
      <w:pPr>
        <w:pStyle w:val="ListParagraph"/>
        <w:numPr>
          <w:ilvl w:val="0"/>
          <w:numId w:val="2"/>
        </w:numPr>
        <w:bidi w:val="0"/>
        <w:spacing w:after="0"/>
        <w:ind w:right="255"/>
        <w:rPr>
          <w:rFonts w:ascii="Verdana" w:hAnsi="Verdana"/>
          <w:lang w:val="en-GB"/>
        </w:rPr>
      </w:pPr>
      <w:r w:rsidRPr="00ED3984">
        <w:rPr>
          <w:rFonts w:ascii="Verdana" w:hAnsi="Verdana"/>
          <w:lang w:val="en-GB"/>
        </w:rPr>
        <w:t>Cholesterol</w:t>
      </w:r>
    </w:p>
    <w:p w:rsidR="00166DC4" w:rsidRPr="00ED3984" w:rsidP="002A6CE1">
      <w:pPr>
        <w:pStyle w:val="ListParagraph"/>
        <w:numPr>
          <w:ilvl w:val="0"/>
          <w:numId w:val="2"/>
        </w:numPr>
        <w:bidi w:val="0"/>
        <w:spacing w:after="0"/>
        <w:ind w:right="255"/>
        <w:rPr>
          <w:rFonts w:ascii="Verdana" w:hAnsi="Verdana"/>
          <w:lang w:val="en-GB"/>
        </w:rPr>
      </w:pPr>
      <w:r w:rsidRPr="00ED3984">
        <w:rPr>
          <w:rFonts w:ascii="Verdana" w:hAnsi="Verdana"/>
          <w:lang w:val="en-GB"/>
        </w:rPr>
        <w:t>Migraine</w:t>
      </w:r>
    </w:p>
    <w:p w:rsidR="00166DC4" w:rsidRPr="00ED3984" w:rsidP="002A6CE1">
      <w:pPr>
        <w:pStyle w:val="ListParagraph"/>
        <w:numPr>
          <w:ilvl w:val="0"/>
          <w:numId w:val="2"/>
        </w:numPr>
        <w:bidi w:val="0"/>
        <w:spacing w:after="0"/>
        <w:ind w:right="255"/>
        <w:rPr>
          <w:rFonts w:ascii="Verdana" w:hAnsi="Verdana"/>
          <w:lang w:val="en-GB"/>
        </w:rPr>
      </w:pPr>
      <w:r w:rsidRPr="00ED3984">
        <w:rPr>
          <w:rFonts w:ascii="Verdana" w:hAnsi="Verdana"/>
          <w:lang w:val="en-GB"/>
        </w:rPr>
        <w:t>Cardio-vascular (heart conditions)</w:t>
      </w:r>
    </w:p>
    <w:p w:rsidR="00166DC4" w:rsidRPr="00ED3984" w:rsidP="002A6CE1">
      <w:pPr>
        <w:pStyle w:val="ListParagraph"/>
        <w:numPr>
          <w:ilvl w:val="0"/>
          <w:numId w:val="2"/>
        </w:numPr>
        <w:bidi w:val="0"/>
        <w:spacing w:after="0"/>
        <w:ind w:right="255"/>
        <w:rPr>
          <w:rFonts w:ascii="Verdana" w:hAnsi="Verdana"/>
          <w:lang w:val="en-GB"/>
        </w:rPr>
      </w:pPr>
      <w:r w:rsidRPr="00ED3984">
        <w:rPr>
          <w:rFonts w:ascii="Verdana" w:hAnsi="Verdana"/>
          <w:lang w:val="en-GB"/>
        </w:rPr>
        <w:t>Blood pressure management</w:t>
      </w:r>
    </w:p>
    <w:p w:rsidR="00166DC4" w:rsidRPr="00ED3984" w:rsidP="002A6CE1">
      <w:pPr>
        <w:pStyle w:val="ListParagraph"/>
        <w:numPr>
          <w:ilvl w:val="0"/>
          <w:numId w:val="2"/>
        </w:numPr>
        <w:bidi w:val="0"/>
        <w:spacing w:after="0"/>
        <w:ind w:right="255"/>
        <w:rPr>
          <w:rFonts w:ascii="Verdana" w:hAnsi="Verdana"/>
          <w:lang w:val="en-GB"/>
        </w:rPr>
      </w:pPr>
      <w:r w:rsidRPr="00ED3984">
        <w:rPr>
          <w:rFonts w:ascii="Verdana" w:hAnsi="Verdana"/>
          <w:lang w:val="en-GB"/>
        </w:rPr>
        <w:t>Pain management</w:t>
      </w:r>
    </w:p>
    <w:p w:rsidR="00166DC4" w:rsidRPr="00ED3984" w:rsidP="002A6CE1">
      <w:pPr>
        <w:pStyle w:val="ListParagraph"/>
        <w:numPr>
          <w:ilvl w:val="0"/>
          <w:numId w:val="2"/>
        </w:numPr>
        <w:bidi w:val="0"/>
        <w:spacing w:after="0"/>
        <w:ind w:right="255"/>
        <w:rPr>
          <w:rFonts w:ascii="Verdana" w:hAnsi="Verdana"/>
          <w:lang w:val="en-GB"/>
        </w:rPr>
      </w:pPr>
      <w:r w:rsidRPr="00ED3984">
        <w:rPr>
          <w:rFonts w:ascii="Verdana" w:hAnsi="Verdana"/>
          <w:lang w:val="en-GB"/>
        </w:rPr>
        <w:t>Antibiotic</w:t>
      </w:r>
    </w:p>
    <w:p w:rsidR="00166DC4" w:rsidRPr="00ED3984" w:rsidP="002A6CE1">
      <w:pPr>
        <w:pStyle w:val="ListParagraph"/>
        <w:numPr>
          <w:ilvl w:val="0"/>
          <w:numId w:val="2"/>
        </w:numPr>
        <w:bidi w:val="0"/>
        <w:spacing w:after="0"/>
        <w:ind w:right="255"/>
        <w:rPr>
          <w:rFonts w:ascii="Verdana" w:hAnsi="Verdana"/>
          <w:lang w:val="en-GB"/>
        </w:rPr>
      </w:pPr>
      <w:r w:rsidRPr="00ED3984">
        <w:rPr>
          <w:rFonts w:ascii="Verdana" w:hAnsi="Verdana"/>
          <w:lang w:val="en-GB"/>
        </w:rPr>
        <w:t>Travel sickness</w:t>
      </w:r>
    </w:p>
    <w:p w:rsidR="00166DC4" w:rsidRPr="00ED3984" w:rsidP="002A6CE1">
      <w:pPr>
        <w:pStyle w:val="ListParagraph"/>
        <w:numPr>
          <w:ilvl w:val="0"/>
          <w:numId w:val="2"/>
        </w:numPr>
        <w:bidi w:val="0"/>
        <w:spacing w:after="0"/>
        <w:ind w:right="255"/>
        <w:rPr>
          <w:rFonts w:ascii="Verdana" w:hAnsi="Verdana"/>
          <w:lang w:val="en-GB"/>
        </w:rPr>
      </w:pPr>
      <w:r w:rsidRPr="00ED3984">
        <w:rPr>
          <w:rFonts w:ascii="Verdana" w:hAnsi="Verdana"/>
          <w:lang w:val="en-GB"/>
        </w:rPr>
        <w:t>Depression and anxiety</w:t>
      </w:r>
    </w:p>
    <w:p w:rsidR="00166DC4" w:rsidRPr="00ED3984" w:rsidP="002A6CE1">
      <w:pPr>
        <w:pStyle w:val="ListParagraph"/>
        <w:numPr>
          <w:ilvl w:val="0"/>
          <w:numId w:val="2"/>
        </w:numPr>
        <w:bidi w:val="0"/>
        <w:spacing w:after="0"/>
        <w:ind w:right="255"/>
        <w:rPr>
          <w:rFonts w:ascii="Verdana" w:hAnsi="Verdana"/>
          <w:lang w:val="en-GB"/>
        </w:rPr>
      </w:pPr>
      <w:r w:rsidRPr="00ED3984">
        <w:rPr>
          <w:rFonts w:ascii="Verdana" w:hAnsi="Verdana"/>
          <w:lang w:val="en-GB"/>
        </w:rPr>
        <w:t>Skincare</w:t>
      </w:r>
    </w:p>
    <w:p w:rsidR="00166DC4" w:rsidRPr="00ED3984" w:rsidP="002A6CE1">
      <w:pPr>
        <w:pStyle w:val="ListParagraph"/>
        <w:numPr>
          <w:ilvl w:val="0"/>
          <w:numId w:val="2"/>
        </w:numPr>
        <w:bidi w:val="0"/>
        <w:spacing w:after="0"/>
        <w:ind w:right="255"/>
        <w:rPr>
          <w:rFonts w:ascii="Verdana" w:hAnsi="Verdana"/>
          <w:lang w:val="en-GB"/>
        </w:rPr>
      </w:pPr>
      <w:r w:rsidRPr="00ED3984">
        <w:rPr>
          <w:rFonts w:ascii="Verdana" w:hAnsi="Verdana"/>
          <w:lang w:val="en-GB"/>
        </w:rPr>
        <w:t>COVID-19</w:t>
      </w:r>
    </w:p>
    <w:p w:rsidR="00166DC4" w:rsidRPr="00ED3984" w:rsidP="002A6CE1">
      <w:pPr>
        <w:pStyle w:val="ListParagraph"/>
        <w:numPr>
          <w:ilvl w:val="0"/>
          <w:numId w:val="2"/>
        </w:numPr>
        <w:bidi w:val="0"/>
        <w:spacing w:after="0"/>
        <w:ind w:right="255"/>
        <w:rPr>
          <w:rFonts w:ascii="Verdana" w:hAnsi="Verdana"/>
          <w:lang w:val="en-GB"/>
        </w:rPr>
      </w:pPr>
      <w:r w:rsidRPr="00ED3984">
        <w:rPr>
          <w:rFonts w:ascii="Verdana" w:hAnsi="Verdana"/>
          <w:lang w:val="en-GB"/>
        </w:rPr>
        <w:t>Anti-inflammatory</w:t>
      </w:r>
    </w:p>
    <w:p w:rsidR="00166DC4" w:rsidRPr="00ED3984" w:rsidP="002A6CE1">
      <w:pPr>
        <w:pStyle w:val="ListParagraph"/>
        <w:numPr>
          <w:ilvl w:val="0"/>
          <w:numId w:val="2"/>
        </w:numPr>
        <w:bidi w:val="0"/>
        <w:spacing w:after="0"/>
        <w:ind w:right="255"/>
        <w:rPr>
          <w:rFonts w:ascii="Verdana" w:hAnsi="Verdana"/>
          <w:lang w:val="en-GB"/>
        </w:rPr>
      </w:pPr>
      <w:r w:rsidRPr="00ED3984">
        <w:rPr>
          <w:rFonts w:ascii="Verdana" w:hAnsi="Verdana"/>
          <w:lang w:val="en-GB"/>
        </w:rPr>
        <w:t>Gastro-intestinal</w:t>
      </w:r>
    </w:p>
    <w:p w:rsidR="00166DC4" w:rsidRPr="00ED3984" w:rsidP="002A6CE1">
      <w:pPr>
        <w:pStyle w:val="ListParagraph"/>
        <w:numPr>
          <w:ilvl w:val="0"/>
          <w:numId w:val="2"/>
        </w:numPr>
        <w:bidi w:val="0"/>
        <w:spacing w:after="0"/>
        <w:ind w:right="255"/>
        <w:rPr>
          <w:rFonts w:ascii="Verdana" w:hAnsi="Verdana"/>
          <w:lang w:val="en-GB"/>
        </w:rPr>
      </w:pPr>
      <w:r w:rsidRPr="00ED3984">
        <w:rPr>
          <w:rFonts w:ascii="Verdana" w:hAnsi="Verdana"/>
          <w:lang w:val="en-GB"/>
        </w:rPr>
        <w:t>Alzheimer’s disease</w:t>
      </w:r>
    </w:p>
    <w:p w:rsidR="00166DC4" w:rsidRPr="00ED3984" w:rsidP="002A6CE1">
      <w:pPr>
        <w:pStyle w:val="ListParagraph"/>
        <w:numPr>
          <w:ilvl w:val="0"/>
          <w:numId w:val="2"/>
        </w:numPr>
        <w:bidi w:val="0"/>
        <w:spacing w:after="0"/>
        <w:ind w:right="255"/>
        <w:rPr>
          <w:rFonts w:ascii="Verdana" w:hAnsi="Verdana"/>
          <w:lang w:val="en-GB"/>
        </w:rPr>
      </w:pPr>
      <w:r w:rsidRPr="00ED3984">
        <w:rPr>
          <w:rFonts w:ascii="Verdana" w:hAnsi="Verdana"/>
          <w:lang w:val="en-GB"/>
        </w:rPr>
        <w:t>Parkinson’s disease</w:t>
      </w:r>
    </w:p>
    <w:p w:rsidR="00166DC4" w:rsidRPr="00ED3984" w:rsidP="002A6CE1">
      <w:pPr>
        <w:pStyle w:val="ListParagraph"/>
        <w:numPr>
          <w:ilvl w:val="0"/>
          <w:numId w:val="2"/>
        </w:numPr>
        <w:bidi w:val="0"/>
        <w:spacing w:after="0"/>
        <w:ind w:right="255"/>
        <w:rPr>
          <w:rFonts w:ascii="Verdana" w:hAnsi="Verdana"/>
          <w:lang w:val="en-GB"/>
        </w:rPr>
      </w:pPr>
      <w:r w:rsidRPr="00ED3984">
        <w:rPr>
          <w:rFonts w:ascii="Verdana" w:hAnsi="Verdana"/>
          <w:lang w:val="en-GB"/>
        </w:rPr>
        <w:t>Type 2 diabetes</w:t>
      </w:r>
    </w:p>
    <w:p w:rsidR="00166DC4" w:rsidRPr="00ED3984" w:rsidP="002A6CE1">
      <w:pPr>
        <w:pStyle w:val="ListParagraph"/>
        <w:numPr>
          <w:ilvl w:val="0"/>
          <w:numId w:val="2"/>
        </w:numPr>
        <w:bidi w:val="0"/>
        <w:spacing w:after="0"/>
        <w:ind w:right="255"/>
        <w:rPr>
          <w:rFonts w:ascii="Verdana" w:hAnsi="Verdana"/>
          <w:lang w:val="en-GB"/>
        </w:rPr>
      </w:pPr>
      <w:r w:rsidRPr="00ED3984">
        <w:rPr>
          <w:rFonts w:ascii="Verdana" w:hAnsi="Verdana"/>
          <w:lang w:val="en-GB"/>
        </w:rPr>
        <w:t>Diuretic</w:t>
      </w:r>
    </w:p>
    <w:p w:rsidR="00166DC4" w:rsidRPr="00ED3984" w:rsidP="002A6CE1">
      <w:pPr>
        <w:pStyle w:val="ListParagraph"/>
        <w:numPr>
          <w:ilvl w:val="0"/>
          <w:numId w:val="2"/>
        </w:numPr>
        <w:bidi w:val="0"/>
        <w:spacing w:after="0"/>
        <w:ind w:right="255"/>
        <w:rPr>
          <w:rFonts w:ascii="Verdana" w:hAnsi="Verdana"/>
          <w:lang w:val="en-GB"/>
        </w:rPr>
      </w:pPr>
      <w:r w:rsidRPr="00ED3984">
        <w:rPr>
          <w:rFonts w:ascii="Verdana" w:hAnsi="Verdana"/>
          <w:lang w:val="en-GB"/>
        </w:rPr>
        <w:t>Asthma and Chronic Obstructive Pulmonary Disease (COPD)</w:t>
      </w:r>
    </w:p>
    <w:p w:rsidR="00166DC4" w:rsidRPr="00ED3984" w:rsidP="002A6CE1">
      <w:pPr>
        <w:pStyle w:val="ListParagraph"/>
        <w:numPr>
          <w:ilvl w:val="0"/>
          <w:numId w:val="2"/>
        </w:numPr>
        <w:bidi w:val="0"/>
        <w:spacing w:after="0"/>
        <w:ind w:right="255"/>
        <w:rPr>
          <w:rFonts w:ascii="Verdana" w:hAnsi="Verdana"/>
          <w:lang w:val="en-GB"/>
        </w:rPr>
      </w:pPr>
      <w:r w:rsidRPr="00ED3984">
        <w:rPr>
          <w:rFonts w:ascii="Verdana" w:hAnsi="Verdana"/>
          <w:lang w:val="en-GB"/>
        </w:rPr>
        <w:t>Gastric reflux</w:t>
      </w:r>
    </w:p>
    <w:p w:rsidR="00166DC4" w:rsidRPr="00ED3984" w:rsidP="002A6CE1">
      <w:pPr>
        <w:pStyle w:val="ListParagraph"/>
        <w:numPr>
          <w:ilvl w:val="0"/>
          <w:numId w:val="2"/>
        </w:numPr>
        <w:bidi w:val="0"/>
        <w:spacing w:after="0"/>
        <w:ind w:right="255"/>
        <w:rPr>
          <w:rFonts w:ascii="Verdana" w:hAnsi="Verdana"/>
          <w:lang w:val="en-GB"/>
        </w:rPr>
      </w:pPr>
      <w:r w:rsidRPr="00ED3984">
        <w:rPr>
          <w:rFonts w:ascii="Verdana" w:hAnsi="Verdana"/>
          <w:lang w:val="en-GB"/>
        </w:rPr>
        <w:t>Erectile disfunction</w:t>
      </w:r>
    </w:p>
    <w:p w:rsidR="00166DC4" w:rsidRPr="00ED3984" w:rsidP="002A6CE1">
      <w:pPr>
        <w:pStyle w:val="ListParagraph"/>
        <w:numPr>
          <w:ilvl w:val="0"/>
          <w:numId w:val="2"/>
        </w:numPr>
        <w:bidi w:val="0"/>
        <w:spacing w:after="0"/>
        <w:ind w:right="255"/>
        <w:rPr>
          <w:rFonts w:ascii="Verdana" w:hAnsi="Verdana"/>
          <w:lang w:val="en-GB"/>
        </w:rPr>
      </w:pPr>
      <w:r w:rsidRPr="00ED3984">
        <w:rPr>
          <w:rFonts w:ascii="Verdana" w:hAnsi="Verdana"/>
          <w:lang w:val="en-GB"/>
        </w:rPr>
        <w:t>Rheumatoid arthritis and osteoporosis</w:t>
      </w:r>
    </w:p>
    <w:p w:rsidR="00166DC4" w:rsidRPr="00ED3984" w:rsidP="002A6CE1">
      <w:pPr>
        <w:pStyle w:val="ListParagraph"/>
        <w:numPr>
          <w:ilvl w:val="0"/>
          <w:numId w:val="2"/>
        </w:numPr>
        <w:bidi w:val="0"/>
        <w:spacing w:after="0"/>
        <w:ind w:right="255"/>
        <w:rPr>
          <w:rFonts w:ascii="Verdana" w:hAnsi="Verdana"/>
          <w:lang w:val="en-GB"/>
        </w:rPr>
      </w:pPr>
      <w:r w:rsidRPr="00ED3984">
        <w:rPr>
          <w:rFonts w:ascii="Verdana" w:hAnsi="Verdana"/>
          <w:lang w:val="en-GB"/>
        </w:rPr>
        <w:t>Sleep disorders</w:t>
      </w:r>
    </w:p>
    <w:p w:rsidR="00166DC4" w:rsidRPr="00ED3984" w:rsidP="002A6CE1">
      <w:pPr>
        <w:pStyle w:val="ListParagraph"/>
        <w:numPr>
          <w:ilvl w:val="0"/>
          <w:numId w:val="2"/>
        </w:numPr>
        <w:bidi w:val="0"/>
        <w:spacing w:after="0"/>
        <w:ind w:right="255"/>
        <w:rPr>
          <w:rFonts w:ascii="Verdana" w:hAnsi="Verdana"/>
          <w:lang w:val="en-GB"/>
        </w:rPr>
      </w:pPr>
      <w:r w:rsidRPr="00ED3984">
        <w:rPr>
          <w:rFonts w:ascii="Verdana" w:hAnsi="Verdana"/>
          <w:lang w:val="en-GB"/>
        </w:rPr>
        <w:t>Anti-nausea in chemotherapy</w:t>
      </w:r>
    </w:p>
    <w:p w:rsidR="00166DC4" w:rsidRPr="00ED3984" w:rsidP="002A6CE1">
      <w:pPr>
        <w:pStyle w:val="ListParagraph"/>
        <w:numPr>
          <w:ilvl w:val="0"/>
          <w:numId w:val="2"/>
        </w:numPr>
        <w:bidi w:val="0"/>
        <w:spacing w:after="0"/>
        <w:ind w:right="255"/>
        <w:rPr>
          <w:rFonts w:ascii="Verdana" w:hAnsi="Verdana"/>
          <w:lang w:val="en-GB"/>
        </w:rPr>
      </w:pPr>
      <w:r w:rsidRPr="00ED3984">
        <w:rPr>
          <w:rFonts w:ascii="Verdana" w:hAnsi="Verdana"/>
          <w:lang w:val="en-GB"/>
        </w:rPr>
        <w:t>Obesity</w:t>
      </w:r>
    </w:p>
    <w:p w:rsidR="00166DC4" w:rsidRPr="00ED3984" w:rsidP="002A6CE1">
      <w:pPr>
        <w:pStyle w:val="ListParagraph"/>
        <w:numPr>
          <w:ilvl w:val="0"/>
          <w:numId w:val="2"/>
        </w:numPr>
        <w:bidi w:val="0"/>
        <w:spacing w:after="0"/>
        <w:ind w:right="255"/>
        <w:rPr>
          <w:rFonts w:ascii="Verdana" w:hAnsi="Verdana"/>
          <w:lang w:val="en-GB"/>
        </w:rPr>
      </w:pPr>
      <w:r w:rsidRPr="00ED3984">
        <w:rPr>
          <w:rFonts w:ascii="Verdana" w:hAnsi="Verdana"/>
          <w:lang w:val="en-GB"/>
        </w:rPr>
        <w:t>Prostate gland enlargement</w:t>
      </w:r>
    </w:p>
    <w:p w:rsidR="00166DC4" w:rsidRPr="00ED3984" w:rsidP="002A6CE1">
      <w:pPr>
        <w:bidi w:val="0"/>
        <w:spacing w:after="0"/>
        <w:ind w:left="-851"/>
        <w:rPr>
          <w:rFonts w:ascii="Verdana" w:hAnsi="Verdana"/>
          <w:lang w:val="en-GB"/>
        </w:rPr>
        <w:sectPr w:rsidSect="002A6CE1">
          <w:type w:val="continuous"/>
          <w:pgSz w:w="11906" w:h="16838"/>
          <w:pgMar w:top="1560" w:right="1558" w:bottom="2410" w:left="1800" w:header="708" w:footer="1984" w:gutter="0"/>
          <w:cols w:num="2" w:space="1702"/>
          <w:bidi/>
          <w:rtlGutter/>
          <w:docGrid w:linePitch="360"/>
        </w:sectPr>
      </w:pPr>
    </w:p>
    <w:p w:rsidR="00166DC4" w:rsidRPr="00ED3984" w:rsidP="002A6CE1">
      <w:pPr>
        <w:bidi w:val="0"/>
        <w:spacing w:after="0"/>
        <w:ind w:left="-851"/>
        <w:rPr>
          <w:rFonts w:ascii="Verdana" w:hAnsi="Verdana"/>
          <w:lang w:val="en-GB"/>
        </w:rPr>
      </w:pPr>
      <w:r w:rsidRPr="00ED3984">
        <w:rPr>
          <w:rFonts w:ascii="Verdana" w:hAnsi="Verdana"/>
          <w:lang w:val="en-GB"/>
        </w:rPr>
        <w:t xml:space="preserve"> </w:t>
      </w:r>
    </w:p>
    <w:p w:rsidR="00DC453F" w:rsidRPr="00ED3984" w:rsidP="0028113E">
      <w:pPr>
        <w:bidi w:val="0"/>
        <w:spacing w:after="0"/>
        <w:rPr>
          <w:rFonts w:ascii="Verdana" w:hAnsi="Verdana"/>
          <w:lang w:val="en-GB"/>
        </w:rPr>
      </w:pPr>
    </w:p>
    <w:p w:rsidR="00166DC4" w:rsidRPr="00ED3984" w:rsidP="00DC453F">
      <w:pPr>
        <w:bidi w:val="0"/>
        <w:spacing w:after="0"/>
        <w:ind w:left="-567"/>
        <w:rPr>
          <w:rFonts w:ascii="Verdana" w:hAnsi="Verdana"/>
          <w:b/>
          <w:bCs/>
          <w:lang w:val="en-GB"/>
        </w:rPr>
      </w:pPr>
      <w:r w:rsidRPr="00ED3984">
        <w:rPr>
          <w:rFonts w:ascii="Verdana" w:hAnsi="Verdana"/>
          <w:b/>
          <w:bCs/>
          <w:lang w:val="en-GB"/>
        </w:rPr>
        <w:t>Introduction of new treatments to Northern Ireland</w:t>
      </w:r>
    </w:p>
    <w:p w:rsidR="00DC453F" w:rsidRPr="00ED3984" w:rsidP="00DC453F">
      <w:pPr>
        <w:bidi w:val="0"/>
        <w:spacing w:after="0"/>
        <w:ind w:left="-567"/>
        <w:rPr>
          <w:rFonts w:ascii="Verdana" w:hAnsi="Verdana"/>
          <w:b/>
          <w:bCs/>
          <w:lang w:val="en-GB"/>
        </w:rPr>
      </w:pPr>
    </w:p>
    <w:p w:rsidR="00166DC4" w:rsidRPr="00ED3984" w:rsidP="0028113E">
      <w:pPr>
        <w:bidi w:val="0"/>
        <w:spacing w:after="0"/>
        <w:ind w:left="-567"/>
        <w:rPr>
          <w:rFonts w:ascii="Verdana" w:hAnsi="Verdana"/>
          <w:lang w:val="en-GB"/>
        </w:rPr>
      </w:pPr>
      <w:r w:rsidRPr="00ED3984">
        <w:rPr>
          <w:rFonts w:ascii="Verdana" w:hAnsi="Verdana"/>
          <w:lang w:val="en-GB"/>
        </w:rPr>
        <w:t xml:space="preserve">DCP is the procedure for authorising medicines in more than one European Union Member State in parallel; it results in a mutually recognised product (MRP). This means that it would not be possible to submit UK-wide national licence applications for new medicines given that Northern Ireland is regarded for medicines purposes as part of the EU. Instead, Teva would have to submit a national market authorisation application for GB; and include Northern Ireland in European DCP applications. The requirement to use the DCP route </w:t>
      </w:r>
      <w:r w:rsidRPr="00ED3984" w:rsidR="00BA700C">
        <w:rPr>
          <w:rFonts w:ascii="Verdana" w:hAnsi="Verdana"/>
          <w:lang w:val="en-GB"/>
        </w:rPr>
        <w:t xml:space="preserve">for Northern Ireland </w:t>
      </w:r>
      <w:r w:rsidRPr="00ED3984">
        <w:rPr>
          <w:rFonts w:ascii="Verdana" w:hAnsi="Verdana"/>
          <w:lang w:val="en-GB"/>
        </w:rPr>
        <w:t xml:space="preserve">would therefore have a significant additional impact on fees and resources and, in many cases, it could make it unsustainable to apply for separate Northern Irish licences. This is particularly the case for most generic products where, in general, margins are low. During the evidence session I highlighted that it also </w:t>
      </w:r>
      <w:r w:rsidRPr="00ED3984">
        <w:rPr>
          <w:rFonts w:ascii="Verdana" w:hAnsi="Verdana"/>
          <w:lang w:val="en-GB"/>
        </w:rPr>
        <w:t>opens up</w:t>
      </w:r>
      <w:r w:rsidRPr="00ED3984">
        <w:rPr>
          <w:rFonts w:ascii="Verdana" w:hAnsi="Verdana"/>
          <w:lang w:val="en-GB"/>
        </w:rPr>
        <w:t xml:space="preserve"> the possibility of non-alignment between GB and NI versions of the same medicine, for example where the EU requires different safety information to GB.</w:t>
      </w:r>
    </w:p>
    <w:p w:rsidR="00166DC4" w:rsidRPr="00ED3984" w:rsidP="002A6CE1">
      <w:pPr>
        <w:bidi w:val="0"/>
        <w:spacing w:after="0"/>
        <w:ind w:left="-851"/>
        <w:rPr>
          <w:rFonts w:ascii="Verdana" w:hAnsi="Verdana"/>
          <w:lang w:val="en-GB"/>
        </w:rPr>
      </w:pPr>
    </w:p>
    <w:p w:rsidR="00166DC4" w:rsidRPr="00ED3984" w:rsidP="0028113E">
      <w:pPr>
        <w:bidi w:val="0"/>
        <w:spacing w:after="0"/>
        <w:ind w:left="-567"/>
        <w:rPr>
          <w:rFonts w:ascii="Verdana" w:hAnsi="Verdana"/>
          <w:b/>
          <w:bCs/>
          <w:lang w:val="en-GB"/>
        </w:rPr>
      </w:pPr>
      <w:r w:rsidRPr="00ED3984">
        <w:rPr>
          <w:rFonts w:ascii="Verdana" w:hAnsi="Verdana"/>
          <w:b/>
          <w:bCs/>
          <w:lang w:val="en-GB"/>
        </w:rPr>
        <w:t>Mutual recognition of batch testing</w:t>
      </w:r>
    </w:p>
    <w:p w:rsidR="00DC453F" w:rsidRPr="00ED3984" w:rsidP="00DC453F">
      <w:pPr>
        <w:bidi w:val="0"/>
        <w:spacing w:after="0"/>
        <w:ind w:left="-567"/>
        <w:rPr>
          <w:rFonts w:ascii="Verdana" w:hAnsi="Verdana"/>
          <w:b/>
          <w:bCs/>
          <w:lang w:val="en-GB"/>
        </w:rPr>
      </w:pPr>
    </w:p>
    <w:p w:rsidR="00166DC4" w:rsidRPr="00ED3984" w:rsidP="0028113E">
      <w:pPr>
        <w:bidi w:val="0"/>
        <w:spacing w:after="0"/>
        <w:ind w:left="-567"/>
        <w:rPr>
          <w:rFonts w:ascii="Verdana" w:hAnsi="Verdana"/>
          <w:lang w:val="en-GB"/>
        </w:rPr>
      </w:pPr>
      <w:r w:rsidRPr="00ED3984">
        <w:rPr>
          <w:rFonts w:ascii="Verdana" w:hAnsi="Verdana"/>
          <w:lang w:val="en-GB"/>
        </w:rPr>
        <w:t xml:space="preserve">During the evidence session, I said that we have urged the UK government to conclude a Mutual Recognition Agreement (MRA) with the EU on batch testing. We highlighted this as an example where unilateral withdrawal of medicines from </w:t>
      </w:r>
      <w:r w:rsidRPr="00ED3984">
        <w:rPr>
          <w:rFonts w:ascii="Verdana" w:hAnsi="Verdana"/>
          <w:lang w:val="en-GB"/>
        </w:rPr>
        <w:t xml:space="preserve">the Protocol might result in a response from the EU that could be unhelpful to the UK’s interests. I said in the session that the topic is very important but rather technical and I undertook to include a briefing paper to the Committee. This briefing paper, which sets out the detail behind why an MRA is needed, is enclosed with this letter: suffice it to say here that getting this wrong could threaten medicine supply to the whole of the UK, not just Northern Ireland. </w:t>
      </w:r>
    </w:p>
    <w:p w:rsidR="00166DC4" w:rsidRPr="00ED3984" w:rsidP="002A6CE1">
      <w:pPr>
        <w:bidi w:val="0"/>
        <w:spacing w:after="0"/>
        <w:ind w:left="-851"/>
        <w:rPr>
          <w:rFonts w:ascii="Verdana" w:hAnsi="Verdana"/>
          <w:lang w:val="en-GB"/>
        </w:rPr>
      </w:pPr>
    </w:p>
    <w:p w:rsidR="00166DC4" w:rsidRPr="00ED3984" w:rsidP="0028113E">
      <w:pPr>
        <w:bidi w:val="0"/>
        <w:spacing w:after="0"/>
        <w:ind w:left="-567"/>
        <w:rPr>
          <w:rFonts w:ascii="Verdana" w:hAnsi="Verdana"/>
          <w:b/>
          <w:bCs/>
          <w:lang w:val="en-GB"/>
        </w:rPr>
      </w:pPr>
      <w:r w:rsidRPr="00ED3984">
        <w:rPr>
          <w:rFonts w:ascii="Verdana" w:hAnsi="Verdana"/>
          <w:b/>
          <w:bCs/>
          <w:lang w:val="en-GB"/>
        </w:rPr>
        <w:t>Dual-approval regime</w:t>
      </w:r>
    </w:p>
    <w:p w:rsidR="00DC453F" w:rsidRPr="00ED3984" w:rsidP="00DC453F">
      <w:pPr>
        <w:bidi w:val="0"/>
        <w:spacing w:after="0"/>
        <w:ind w:left="-567"/>
        <w:rPr>
          <w:rFonts w:ascii="Verdana" w:hAnsi="Verdana"/>
          <w:b/>
          <w:bCs/>
          <w:lang w:val="en-GB"/>
        </w:rPr>
      </w:pPr>
    </w:p>
    <w:p w:rsidR="00166DC4" w:rsidRPr="00ED3984" w:rsidP="0028113E">
      <w:pPr>
        <w:bidi w:val="0"/>
        <w:spacing w:after="0"/>
        <w:ind w:left="-567"/>
        <w:rPr>
          <w:rFonts w:ascii="Verdana" w:hAnsi="Verdana"/>
          <w:lang w:val="en-GB"/>
        </w:rPr>
      </w:pPr>
      <w:r w:rsidRPr="00ED3984">
        <w:rPr>
          <w:rFonts w:ascii="Verdana" w:hAnsi="Verdana"/>
          <w:lang w:val="en-GB"/>
        </w:rPr>
        <w:t>Finally, in response to the questions from Lord Hannan, we committed to providing further explanation of why having both an EU and nationally approved pack in NI would not work, with some clear examples of this.  The obstacles are analogous to asking for Northern Ireland to be subject to two sets of laws and practices at the same time. The rules in the UK and Ireland are different in terms of pricing, pharmacy reimbursement and safety: we do not see how a medicine could be subject to both sets of legal and regulatory frameworks at the same time.</w:t>
      </w:r>
    </w:p>
    <w:p w:rsidR="00166DC4" w:rsidRPr="00ED3984" w:rsidP="002A6CE1">
      <w:pPr>
        <w:bidi w:val="0"/>
        <w:spacing w:after="0"/>
        <w:ind w:left="-851"/>
        <w:rPr>
          <w:rFonts w:ascii="Verdana" w:hAnsi="Verdana"/>
          <w:lang w:val="en-GB"/>
        </w:rPr>
      </w:pPr>
    </w:p>
    <w:p w:rsidR="00166DC4" w:rsidRPr="00ED3984" w:rsidP="0028113E">
      <w:pPr>
        <w:bidi w:val="0"/>
        <w:spacing w:after="0"/>
        <w:ind w:left="-567"/>
        <w:rPr>
          <w:rFonts w:ascii="Verdana" w:hAnsi="Verdana"/>
          <w:lang w:val="en-GB"/>
        </w:rPr>
      </w:pPr>
      <w:r w:rsidRPr="00ED3984">
        <w:rPr>
          <w:rFonts w:ascii="Verdana" w:hAnsi="Verdana"/>
          <w:lang w:val="en-GB"/>
        </w:rPr>
        <w:t xml:space="preserve">The EU Non-Paper on medicines outlines that it “stands ready to continue discussing” how to ensure that the UK national authorisation procedures for Great Britain (governed by UK domestic law) and for Northern Ireland (governed by EU law) are operated to facilitate the continued use of a single medicine pack and patient information leaflet.  This is vital; not only to avoid costs which may make a product commercially unviable, but also in terms of patient safety. </w:t>
      </w:r>
    </w:p>
    <w:p w:rsidR="00166DC4" w:rsidRPr="00ED3984" w:rsidP="002A6CE1">
      <w:pPr>
        <w:bidi w:val="0"/>
        <w:spacing w:after="0"/>
        <w:ind w:left="-851"/>
        <w:rPr>
          <w:rFonts w:ascii="Verdana" w:hAnsi="Verdana"/>
          <w:lang w:val="en-GB"/>
        </w:rPr>
      </w:pPr>
    </w:p>
    <w:p w:rsidR="00166DC4" w:rsidP="0028113E">
      <w:pPr>
        <w:bidi w:val="0"/>
        <w:spacing w:after="0"/>
        <w:ind w:left="-567"/>
        <w:rPr>
          <w:rFonts w:ascii="Verdana" w:hAnsi="Verdana"/>
          <w:lang w:val="en-GB"/>
        </w:rPr>
      </w:pPr>
      <w:r w:rsidRPr="00ED3984">
        <w:rPr>
          <w:rFonts w:ascii="Verdana" w:hAnsi="Verdana"/>
          <w:lang w:val="en-GB"/>
        </w:rPr>
        <w:t>If a solution is not found, GB Marketing Authorisations would be assessed by the MHRA, whilst the Northern Ireland authorisation would need to be granted on the consensus of all the other EU countries involved in the same assessment procedure. This means there is a risk that if there any differences at all between the Northern Ireland and GB licences, there cannot be a single pack. This could lead to confusing variations in access, the patient information leaflet or safety</w:t>
      </w:r>
      <w:r w:rsidR="00ED3984">
        <w:rPr>
          <w:rFonts w:ascii="Verdana" w:hAnsi="Verdana"/>
          <w:lang w:val="en-GB"/>
        </w:rPr>
        <w:t xml:space="preserve"> </w:t>
      </w:r>
      <w:r w:rsidR="00C61983">
        <w:rPr>
          <w:rFonts w:ascii="Verdana" w:hAnsi="Verdana"/>
          <w:lang w:val="en-GB"/>
        </w:rPr>
        <w:t>a</w:t>
      </w:r>
      <w:r w:rsidRPr="00ED3984">
        <w:rPr>
          <w:rFonts w:ascii="Verdana" w:hAnsi="Verdana"/>
          <w:lang w:val="en-GB"/>
        </w:rPr>
        <w:t xml:space="preserve">dvice for the same product. We have a few examples of where this happened that we can share with you.  </w:t>
      </w:r>
    </w:p>
    <w:p w:rsidR="00E10BAB" w:rsidP="00E10BAB">
      <w:pPr>
        <w:bidi w:val="0"/>
        <w:spacing w:after="0"/>
        <w:ind w:left="-567"/>
        <w:rPr>
          <w:rFonts w:ascii="Verdana" w:hAnsi="Verdana"/>
          <w:lang w:val="en-GB"/>
        </w:rPr>
      </w:pPr>
    </w:p>
    <w:p w:rsidR="00511CB7" w:rsidRPr="00ED3984" w:rsidP="00511CB7">
      <w:pPr>
        <w:bidi w:val="0"/>
        <w:spacing w:after="0"/>
        <w:rPr>
          <w:rFonts w:ascii="Verdana" w:hAnsi="Verdana"/>
          <w:i/>
          <w:iCs/>
          <w:lang w:val="en-GB"/>
        </w:rPr>
      </w:pPr>
      <w:r w:rsidRPr="009F5482">
        <w:rPr>
          <w:rFonts w:ascii="Verdana" w:hAnsi="Verdana"/>
          <w:b/>
          <w:bCs/>
          <w:i/>
          <w:iCs/>
          <w:lang w:val="en-GB"/>
        </w:rPr>
        <w:t>Example One: Emollients (creams and ointments): information about risk of severe and fatal burns with paraffin-containing and paraffin-free emollients</w:t>
      </w:r>
    </w:p>
    <w:p w:rsidR="00511CB7" w:rsidP="00511CB7">
      <w:pPr>
        <w:bidi w:val="0"/>
        <w:rPr>
          <w:rFonts w:ascii="Verdana" w:hAnsi="Verdana"/>
          <w:lang w:val="en-GB"/>
        </w:rPr>
      </w:pPr>
      <w:r w:rsidRPr="00ED3984">
        <w:rPr>
          <w:rFonts w:ascii="Verdana" w:hAnsi="Verdana"/>
          <w:lang w:val="en-GB"/>
        </w:rPr>
        <w:t>The MHRA requested warnings about the risk of severe and fatal burns to be added to all paraffin-based emollients. The warning was to advise users not to smoke or go near naked flames, and caution against the easy ignition of clothing, bedding, dressings, and other fabrics that have dried residue of an emollient product on them. However, these warnings were not accepted by the EU national competition authorities and so only UK products approved by the national route carry this important information.</w:t>
      </w:r>
    </w:p>
    <w:p w:rsidR="00511CB7" w:rsidP="00511CB7">
      <w:pPr>
        <w:bidi w:val="0"/>
        <w:rPr>
          <w:rFonts w:ascii="Verdana" w:hAnsi="Verdana"/>
          <w:lang w:val="en-GB"/>
        </w:rPr>
      </w:pPr>
    </w:p>
    <w:p w:rsidR="00511CB7" w:rsidRPr="009F5482" w:rsidP="00511CB7">
      <w:pPr>
        <w:bidi w:val="0"/>
        <w:spacing w:after="0"/>
        <w:rPr>
          <w:rFonts w:ascii="Verdana" w:hAnsi="Verdana"/>
          <w:b/>
          <w:bCs/>
          <w:i/>
          <w:iCs/>
          <w:lang w:val="en-GB"/>
        </w:rPr>
      </w:pPr>
      <w:r w:rsidRPr="009F5482">
        <w:rPr>
          <w:rFonts w:ascii="Verdana" w:hAnsi="Verdana"/>
          <w:b/>
          <w:bCs/>
          <w:i/>
          <w:iCs/>
          <w:lang w:val="en-GB"/>
        </w:rPr>
        <w:t>Example Two: Opioids</w:t>
      </w:r>
    </w:p>
    <w:p w:rsidR="00511CB7" w:rsidRPr="00ED3984" w:rsidP="00511CB7">
      <w:pPr>
        <w:bidi w:val="0"/>
        <w:spacing w:after="0"/>
        <w:rPr>
          <w:rFonts w:ascii="Verdana" w:hAnsi="Verdana"/>
          <w:lang w:val="en-GB"/>
        </w:rPr>
      </w:pPr>
      <w:r w:rsidRPr="00ED3984">
        <w:rPr>
          <w:rFonts w:ascii="Verdana" w:hAnsi="Verdana"/>
          <w:lang w:val="en-GB"/>
        </w:rPr>
        <w:t>The UK Commission on Human Medicines advised that the Summary of Product Characteristics (SmPC) and Patient Information Leaflet (PIL) for all opioids available on prescription should contain harmonised warnings on the risks of dependence and addiction. The MHRA said that for products authorised through the Mutual Recognition and Decentralised Procedures, they had asked the main reference Member States to incorporate these changes.</w:t>
      </w:r>
    </w:p>
    <w:p w:rsidR="00511CB7" w:rsidRPr="00ED3984" w:rsidP="00511CB7">
      <w:pPr>
        <w:bidi w:val="0"/>
        <w:spacing w:after="0"/>
        <w:rPr>
          <w:rFonts w:ascii="Verdana" w:hAnsi="Verdana"/>
          <w:lang w:val="en-GB"/>
        </w:rPr>
      </w:pPr>
    </w:p>
    <w:p w:rsidR="00511CB7" w:rsidRPr="00ED3984" w:rsidP="00511CB7">
      <w:pPr>
        <w:bidi w:val="0"/>
        <w:spacing w:after="0"/>
        <w:rPr>
          <w:rFonts w:ascii="Verdana" w:hAnsi="Verdana"/>
        </w:rPr>
      </w:pPr>
      <w:r w:rsidRPr="00ED3984">
        <w:rPr>
          <w:rFonts w:ascii="Verdana" w:hAnsi="Verdana"/>
          <w:lang w:val="en-GB"/>
        </w:rPr>
        <w:t>The matter was then discussed at a meeting of the European Co-ordination Group for Mutual Recognition and Decentralised Procedures – Human (</w:t>
      </w:r>
      <w:r w:rsidRPr="00ED3984">
        <w:rPr>
          <w:rFonts w:ascii="Verdana" w:hAnsi="Verdana"/>
          <w:lang w:val="en-GB"/>
        </w:rPr>
        <w:t>CMDh</w:t>
      </w:r>
      <w:r w:rsidRPr="00ED3984">
        <w:rPr>
          <w:rFonts w:ascii="Verdana" w:hAnsi="Verdana"/>
          <w:lang w:val="en-GB"/>
        </w:rPr>
        <w:t xml:space="preserve">).  The group agreed to bring the topic to the attention of the Opioids Task Force to discuss the proposals and agree on a harmonised implementation, if applicable. However, </w:t>
      </w:r>
      <w:r w:rsidRPr="00ED3984">
        <w:rPr>
          <w:rFonts w:ascii="Verdana" w:hAnsi="Verdana"/>
          <w:lang w:val="en-GB"/>
        </w:rPr>
        <w:t>as long as</w:t>
      </w:r>
      <w:r w:rsidRPr="00ED3984">
        <w:rPr>
          <w:rFonts w:ascii="Verdana" w:hAnsi="Verdana"/>
          <w:lang w:val="en-GB"/>
        </w:rPr>
        <w:t xml:space="preserve"> there continues to be no EU-wide agreement on the implementation of the UK’s suggested measures, they can only be requested on a national level. </w:t>
      </w:r>
    </w:p>
    <w:p w:rsidR="00511CB7" w:rsidP="00511CB7">
      <w:pPr>
        <w:bidi w:val="0"/>
        <w:rPr>
          <w:rFonts w:ascii="Verdana" w:hAnsi="Verdana"/>
        </w:rPr>
      </w:pPr>
    </w:p>
    <w:p w:rsidR="00511CB7" w:rsidRPr="009F5482" w:rsidP="00511CB7">
      <w:pPr>
        <w:bidi w:val="0"/>
        <w:spacing w:after="0"/>
        <w:rPr>
          <w:rFonts w:ascii="Verdana" w:hAnsi="Verdana"/>
          <w:b/>
          <w:bCs/>
          <w:i/>
          <w:iCs/>
          <w:lang w:val="en-GB"/>
        </w:rPr>
      </w:pPr>
      <w:r w:rsidRPr="009F5482">
        <w:rPr>
          <w:rFonts w:ascii="Verdana" w:hAnsi="Verdana"/>
          <w:b/>
          <w:bCs/>
          <w:i/>
          <w:iCs/>
          <w:lang w:val="en-GB"/>
        </w:rPr>
        <w:t>Example Three: Sildenafil P status</w:t>
      </w:r>
    </w:p>
    <w:p w:rsidR="00511CB7" w:rsidRPr="00ED3984" w:rsidP="00511CB7">
      <w:pPr>
        <w:bidi w:val="0"/>
        <w:spacing w:after="0"/>
        <w:rPr>
          <w:rFonts w:ascii="Verdana" w:hAnsi="Verdana"/>
          <w:lang w:val="en-GB"/>
        </w:rPr>
      </w:pPr>
      <w:r w:rsidRPr="00ED3984">
        <w:rPr>
          <w:rFonts w:ascii="Verdana" w:hAnsi="Verdana"/>
          <w:lang w:val="en-GB"/>
        </w:rPr>
        <w:t>Pfizer applied to the European Medicines Agency (EMA) to change the classification of its Viagra (sildenafil) medicine from being a prescription-only product to one that can be bought in a pharmacy under the supervision of a pharmacist. However, this application was withdrawn as the EU Committee for Medicinal Products for Human Use (CHMP) was concerned that Viagra 50 mg did not fulfil the criteria for switching from prescription to non-prescription status and that the patient information leaflet was too complex, which could lead to patients using the medicine incorrectly; and that the medicine could be used outside of its approved indication, such as for recreational purposes. However, the same application to switch the status in the UK was later assessed and approved by the MHRA.  It is therefore now possible to buy sildenafil 50mg over the counter in Northern Ireland, but not in Ireland.</w:t>
      </w:r>
    </w:p>
    <w:p w:rsidR="00ED3984" w:rsidRPr="00ED3984" w:rsidP="00ED3984">
      <w:pPr>
        <w:bidi w:val="0"/>
        <w:spacing w:after="0"/>
        <w:ind w:left="-851"/>
        <w:rPr>
          <w:rFonts w:ascii="Verdana" w:hAnsi="Verdana"/>
          <w:lang w:val="en-GB"/>
        </w:rPr>
      </w:pPr>
    </w:p>
    <w:p w:rsidR="00511CB7" w:rsidP="00511CB7">
      <w:pPr>
        <w:bidi w:val="0"/>
        <w:spacing w:after="0"/>
        <w:ind w:left="-851"/>
        <w:rPr>
          <w:rFonts w:ascii="Verdana" w:hAnsi="Verdana"/>
          <w:lang w:val="en-GB"/>
        </w:rPr>
      </w:pPr>
      <w:r w:rsidRPr="00ED3984">
        <w:rPr>
          <w:rFonts w:ascii="Verdana" w:hAnsi="Verdana"/>
          <w:lang w:val="en-GB"/>
        </w:rPr>
        <w:t xml:space="preserve">I do hope that this information is helpful to this very important inquiry and please do not hesitate to contact me if you require anything further from us at this stage. We recognise some of this subject matter is very technical, so would be happy to arrange a call with any of our subject experts, if that would be useful. We thank you for taking the time to </w:t>
      </w:r>
      <w:r w:rsidRPr="00ED3984">
        <w:rPr>
          <w:rFonts w:ascii="Verdana" w:hAnsi="Verdana"/>
          <w:lang w:val="en-GB"/>
        </w:rPr>
        <w:t>look into</w:t>
      </w:r>
      <w:r w:rsidRPr="00ED3984">
        <w:rPr>
          <w:rFonts w:ascii="Verdana" w:hAnsi="Verdana"/>
          <w:lang w:val="en-GB"/>
        </w:rPr>
        <w:t xml:space="preserve"> this issue and we will continue to do what we can to ensure that the voice of patients in Northern Ireland is heard on both sides of the negotiations. </w:t>
      </w:r>
    </w:p>
    <w:p w:rsidR="00511CB7" w:rsidP="00511CB7">
      <w:pPr>
        <w:bidi w:val="0"/>
        <w:spacing w:after="0"/>
        <w:ind w:left="-851"/>
        <w:rPr>
          <w:rFonts w:ascii="Verdana" w:hAnsi="Verdana"/>
          <w:lang w:val="en-GB"/>
        </w:rPr>
      </w:pPr>
    </w:p>
    <w:p w:rsidR="00166DC4" w:rsidRPr="00ED3984" w:rsidP="00511CB7">
      <w:pPr>
        <w:bidi w:val="0"/>
        <w:spacing w:after="0" w:line="240" w:lineRule="auto"/>
        <w:ind w:left="-851"/>
        <w:rPr>
          <w:rFonts w:ascii="Verdana" w:hAnsi="Verdana"/>
          <w:lang w:val="en-GB"/>
        </w:rPr>
      </w:pPr>
      <w:r w:rsidRPr="00ED3984">
        <w:rPr>
          <w:rFonts w:ascii="Verdana" w:hAnsi="Verdana"/>
          <w:lang w:val="en-GB"/>
        </w:rPr>
        <w:t xml:space="preserve">Paul Williams </w:t>
      </w:r>
    </w:p>
    <w:p w:rsidR="00420FD9" w:rsidP="00420FD9">
      <w:pPr>
        <w:bidi w:val="0"/>
        <w:spacing w:after="0" w:line="240" w:lineRule="auto"/>
        <w:ind w:left="-851"/>
        <w:rPr>
          <w:rFonts w:ascii="Verdana" w:hAnsi="Verdana"/>
          <w:lang w:val="en-GB"/>
        </w:rPr>
      </w:pPr>
      <w:r w:rsidRPr="00ED3984">
        <w:rPr>
          <w:rFonts w:ascii="Verdana" w:hAnsi="Verdana"/>
          <w:lang w:val="en-GB"/>
        </w:rPr>
        <w:t>Senior Director Corporate Affair</w:t>
      </w:r>
      <w:r>
        <w:rPr>
          <w:rFonts w:ascii="Verdana" w:hAnsi="Verdana"/>
          <w:lang w:val="en-GB"/>
        </w:rPr>
        <w:t>s</w:t>
      </w:r>
    </w:p>
    <w:p w:rsidR="00673D56" w:rsidRPr="00420FD9" w:rsidP="00420FD9">
      <w:pPr>
        <w:bidi w:val="0"/>
        <w:spacing w:after="0" w:line="240" w:lineRule="auto"/>
        <w:ind w:left="-851"/>
        <w:rPr>
          <w:rFonts w:ascii="Verdana" w:hAnsi="Verdana"/>
          <w:lang w:val="en-GB"/>
        </w:rPr>
      </w:pPr>
      <w:r w:rsidRPr="00ED3984">
        <w:rPr>
          <w:rFonts w:ascii="Verdana" w:hAnsi="Verdana"/>
          <w:b/>
          <w:bCs/>
          <w:u w:val="single"/>
          <w:lang w:val="en-GB"/>
        </w:rPr>
        <w:t>Appendix</w:t>
      </w:r>
    </w:p>
    <w:p w:rsidR="00673D56" w:rsidRPr="00ED3984" w:rsidP="002A6CE1">
      <w:pPr>
        <w:bidi w:val="0"/>
        <w:spacing w:after="0"/>
        <w:ind w:left="-851"/>
        <w:rPr>
          <w:rFonts w:ascii="Verdana" w:hAnsi="Verdana" w:cstheme="minorHAnsi"/>
          <w:b/>
          <w:bCs/>
          <w:lang w:val="en-GB"/>
        </w:rPr>
      </w:pPr>
      <w:r w:rsidRPr="00ED3984">
        <w:rPr>
          <w:rFonts w:ascii="Verdana" w:hAnsi="Verdana" w:cstheme="minorHAnsi"/>
          <w:b/>
          <w:bCs/>
          <w:lang w:val="en-GB"/>
        </w:rPr>
        <w:t>Mutual recognition on batch testing and release – the potential cliff edge</w:t>
      </w:r>
    </w:p>
    <w:p w:rsidR="00673D56" w:rsidRPr="00ED3984" w:rsidP="002A6CE1">
      <w:pPr>
        <w:bidi w:val="0"/>
        <w:spacing w:after="0"/>
        <w:ind w:left="-851"/>
        <w:rPr>
          <w:rFonts w:ascii="Verdana" w:hAnsi="Verdana" w:cstheme="minorHAnsi"/>
          <w:lang w:val="en-GB"/>
        </w:rPr>
      </w:pPr>
    </w:p>
    <w:p w:rsidR="00673D56" w:rsidRPr="00ED3984" w:rsidP="002A6CE1">
      <w:pPr>
        <w:bidi w:val="0"/>
        <w:spacing w:after="0"/>
        <w:ind w:left="-851"/>
        <w:rPr>
          <w:rFonts w:ascii="Verdana" w:hAnsi="Verdana" w:cstheme="minorHAnsi"/>
          <w:lang w:val="en-GB"/>
        </w:rPr>
      </w:pPr>
    </w:p>
    <w:p w:rsidR="00673D56" w:rsidRPr="00ED3984" w:rsidP="002A6CE1">
      <w:pPr>
        <w:bidi w:val="0"/>
        <w:spacing w:after="0"/>
        <w:ind w:left="-851"/>
        <w:rPr>
          <w:rFonts w:ascii="Verdana" w:hAnsi="Verdana" w:cstheme="minorHAnsi"/>
          <w:u w:val="single"/>
          <w:lang w:val="en-GB"/>
        </w:rPr>
      </w:pPr>
      <w:r w:rsidRPr="00ED3984">
        <w:rPr>
          <w:rFonts w:ascii="Verdana" w:hAnsi="Verdana" w:cstheme="minorHAnsi"/>
          <w:u w:val="single"/>
          <w:lang w:val="en-GB"/>
        </w:rPr>
        <w:t>Background</w:t>
      </w:r>
    </w:p>
    <w:p w:rsidR="00673D56" w:rsidRPr="00ED3984" w:rsidP="002A6CE1">
      <w:pPr>
        <w:bidi w:val="0"/>
        <w:spacing w:after="0"/>
        <w:ind w:left="-851"/>
        <w:rPr>
          <w:rFonts w:ascii="Verdana" w:hAnsi="Verdana" w:cstheme="minorHAnsi"/>
          <w:lang w:val="en-GB"/>
        </w:rPr>
      </w:pPr>
      <w:r w:rsidRPr="00ED3984">
        <w:rPr>
          <w:rFonts w:ascii="Verdana" w:hAnsi="Verdana" w:cstheme="minorHAnsi"/>
          <w:lang w:val="en-GB"/>
        </w:rPr>
        <w:t xml:space="preserve">When a pharmaceutical product is made, it is not created in a continuous process but in a batch. Each batch is tested to ensure that it passes all quality tests that are appropriate in that country, and if so a Qualified Person (QP) certifies that </w:t>
      </w:r>
      <w:r w:rsidRPr="00ED3984">
        <w:rPr>
          <w:rFonts w:ascii="Verdana" w:hAnsi="Verdana" w:cstheme="minorHAnsi"/>
          <w:lang w:val="en-GB"/>
        </w:rPr>
        <w:t>batch</w:t>
      </w:r>
      <w:r w:rsidRPr="00ED3984">
        <w:rPr>
          <w:rFonts w:ascii="Verdana" w:hAnsi="Verdana" w:cstheme="minorHAnsi"/>
          <w:lang w:val="en-GB"/>
        </w:rPr>
        <w:t xml:space="preserve"> and the product is released to the market. The batch cannot be sold if that process has not taken place.</w:t>
      </w:r>
    </w:p>
    <w:p w:rsidR="00673D56" w:rsidRPr="00ED3984" w:rsidP="002A6CE1">
      <w:pPr>
        <w:bidi w:val="0"/>
        <w:spacing w:after="0"/>
        <w:ind w:left="-851"/>
        <w:rPr>
          <w:rFonts w:ascii="Verdana" w:hAnsi="Verdana" w:cstheme="minorHAnsi"/>
          <w:lang w:val="en-GB"/>
        </w:rPr>
      </w:pPr>
    </w:p>
    <w:p w:rsidR="00673D56" w:rsidRPr="00ED3984" w:rsidP="002A6CE1">
      <w:pPr>
        <w:bidi w:val="0"/>
        <w:spacing w:after="0"/>
        <w:ind w:left="-851"/>
        <w:rPr>
          <w:rFonts w:ascii="Verdana" w:hAnsi="Verdana" w:cstheme="minorHAnsi"/>
          <w:lang w:val="en-GB"/>
        </w:rPr>
      </w:pPr>
      <w:r w:rsidRPr="00ED3984">
        <w:rPr>
          <w:rFonts w:ascii="Verdana" w:hAnsi="Verdana" w:cstheme="minorHAnsi"/>
          <w:lang w:val="en-GB"/>
        </w:rPr>
        <w:t>A system has evolved under which countries accepting product from the factories where it is made ‘recognise’ the batch testing that was undertaken at the factory. This is dependent on regulations in the originating country being robust enough that the receiving country can be confident that the receiving QP is really satisfied that the product has passed all tests.</w:t>
      </w:r>
    </w:p>
    <w:p w:rsidR="00673D56" w:rsidRPr="00ED3984" w:rsidP="002A6CE1">
      <w:pPr>
        <w:bidi w:val="0"/>
        <w:spacing w:after="0"/>
        <w:ind w:left="-851"/>
        <w:rPr>
          <w:rFonts w:ascii="Verdana" w:hAnsi="Verdana" w:cstheme="minorHAnsi"/>
          <w:lang w:val="en-GB"/>
        </w:rPr>
      </w:pPr>
    </w:p>
    <w:p w:rsidR="00673D56" w:rsidRPr="00ED3984" w:rsidP="002A6CE1">
      <w:pPr>
        <w:bidi w:val="0"/>
        <w:spacing w:after="0"/>
        <w:ind w:left="-851"/>
        <w:rPr>
          <w:rFonts w:ascii="Verdana" w:hAnsi="Verdana" w:cstheme="minorHAnsi"/>
          <w:lang w:val="en-GB"/>
        </w:rPr>
      </w:pPr>
      <w:r w:rsidRPr="00ED3984">
        <w:rPr>
          <w:rFonts w:ascii="Verdana" w:hAnsi="Verdana" w:cstheme="minorHAnsi"/>
          <w:lang w:val="en-GB"/>
        </w:rPr>
        <w:t>This means that, as an example, Israel recognises batch quality tests carried out in the UK as adequate; and the UK recognises tests carried out in Israel. This is known as a Mutual Recognition Agreement (MRA) and it saves product that arrives in the UK from Israel having to be tested again, saving cost and time.</w:t>
      </w:r>
    </w:p>
    <w:p w:rsidR="00673D56" w:rsidRPr="00ED3984" w:rsidP="002A6CE1">
      <w:pPr>
        <w:bidi w:val="0"/>
        <w:spacing w:after="0"/>
        <w:ind w:left="-851"/>
        <w:rPr>
          <w:rFonts w:ascii="Verdana" w:hAnsi="Verdana" w:cstheme="minorHAnsi"/>
          <w:lang w:val="en-GB"/>
        </w:rPr>
      </w:pPr>
    </w:p>
    <w:p w:rsidR="00673D56" w:rsidRPr="00ED3984" w:rsidP="002A6CE1">
      <w:pPr>
        <w:bidi w:val="0"/>
        <w:spacing w:after="0"/>
        <w:ind w:left="-851"/>
        <w:rPr>
          <w:rFonts w:ascii="Verdana" w:hAnsi="Verdana" w:cstheme="minorHAnsi"/>
          <w:lang w:val="en-GB"/>
        </w:rPr>
      </w:pPr>
      <w:r w:rsidRPr="00ED3984">
        <w:rPr>
          <w:rFonts w:ascii="Verdana" w:hAnsi="Verdana" w:cstheme="minorHAnsi"/>
          <w:lang w:val="en-GB"/>
        </w:rPr>
        <w:t>The EU developed this system so that countries can rely on each other's Good Manufacturing Practice (GMP) inspection system, share information on inspections and quality defects and waive batch testing of products on import into their territories.</w:t>
      </w:r>
    </w:p>
    <w:p w:rsidR="00673D56" w:rsidRPr="00ED3984" w:rsidP="002A6CE1">
      <w:pPr>
        <w:bidi w:val="0"/>
        <w:spacing w:after="0"/>
        <w:ind w:left="-851"/>
        <w:rPr>
          <w:rFonts w:ascii="Verdana" w:hAnsi="Verdana" w:cstheme="minorHAnsi"/>
          <w:lang w:val="en-GB"/>
        </w:rPr>
      </w:pPr>
    </w:p>
    <w:p w:rsidR="00673D56" w:rsidRPr="00ED3984" w:rsidP="002A6CE1">
      <w:pPr>
        <w:bidi w:val="0"/>
        <w:spacing w:after="0"/>
        <w:ind w:left="-851"/>
        <w:rPr>
          <w:rFonts w:ascii="Verdana" w:hAnsi="Verdana" w:cstheme="minorHAnsi"/>
          <w:lang w:val="en-GB"/>
        </w:rPr>
      </w:pPr>
      <w:r w:rsidRPr="00ED3984">
        <w:rPr>
          <w:rFonts w:ascii="Verdana" w:hAnsi="Verdana" w:cstheme="minorHAnsi"/>
          <w:lang w:val="en-GB"/>
        </w:rPr>
        <w:t xml:space="preserve">At Brexit, the system no longer included the UK. The EU ceased to automatically recognise UK batch testing, even though the UK has high standards and has MRAs in place with many other countries. </w:t>
      </w:r>
    </w:p>
    <w:p w:rsidR="00DD0FFA" w:rsidRPr="00ED3984" w:rsidP="00DD0FFA">
      <w:pPr>
        <w:bidi w:val="0"/>
        <w:spacing w:after="0"/>
        <w:ind w:left="-851"/>
        <w:rPr>
          <w:rFonts w:ascii="Verdana" w:hAnsi="Verdana" w:cstheme="minorHAnsi"/>
          <w:lang w:val="en-GB"/>
        </w:rPr>
      </w:pPr>
    </w:p>
    <w:p w:rsidR="00673D56" w:rsidRPr="00ED3984" w:rsidP="002A6CE1">
      <w:pPr>
        <w:bidi w:val="0"/>
        <w:spacing w:after="0"/>
        <w:ind w:left="-851"/>
        <w:rPr>
          <w:rFonts w:ascii="Verdana" w:hAnsi="Verdana" w:cstheme="minorHAnsi"/>
          <w:lang w:val="en-GB"/>
        </w:rPr>
      </w:pPr>
      <w:r w:rsidRPr="00ED3984">
        <w:rPr>
          <w:rFonts w:ascii="Verdana" w:hAnsi="Verdana" w:cstheme="minorHAnsi"/>
          <w:lang w:val="en-GB"/>
        </w:rPr>
        <w:t>However, no doubt for pragmatic reasons to maintain continuity of supply, the UK decided that – initially until the end of 2022 – it would unilaterally recognise EU batch testing. More recently the MHRA has said that it will review the issue in December 2022 and give industry two years’ notice of a change, pushing the deadline to at least December 2024</w:t>
      </w:r>
      <w:r w:rsidRPr="00ED3984">
        <w:rPr>
          <w:rFonts w:ascii="Verdana" w:hAnsi="Verdana" w:cstheme="minorHAnsi"/>
          <w:vertAlign w:val="superscript"/>
          <w:lang w:val="en-GB"/>
        </w:rPr>
        <w:t>1</w:t>
      </w:r>
      <w:r w:rsidRPr="00ED3984">
        <w:rPr>
          <w:rFonts w:ascii="Verdana" w:hAnsi="Verdana" w:cstheme="minorHAnsi"/>
          <w:lang w:val="en-GB"/>
        </w:rPr>
        <w:t xml:space="preserve">. </w:t>
      </w:r>
      <w:r w:rsidRPr="00ED3984">
        <w:rPr>
          <w:rFonts w:ascii="Verdana" w:hAnsi="Verdana" w:cstheme="minorHAnsi"/>
          <w:lang w:val="en-GB"/>
        </w:rPr>
        <w:t>However</w:t>
      </w:r>
      <w:r w:rsidRPr="00ED3984">
        <w:rPr>
          <w:rFonts w:ascii="Verdana" w:hAnsi="Verdana" w:cstheme="minorHAnsi"/>
          <w:lang w:val="en-GB"/>
        </w:rPr>
        <w:t xml:space="preserve"> in industry terms this is still short term and the uncertainty is a concern.</w:t>
      </w:r>
    </w:p>
    <w:p w:rsidR="00673D56" w:rsidRPr="00ED3984" w:rsidP="002A6CE1">
      <w:pPr>
        <w:bidi w:val="0"/>
        <w:spacing w:after="0"/>
        <w:ind w:left="-851"/>
        <w:rPr>
          <w:rFonts w:ascii="Verdana" w:hAnsi="Verdana" w:cstheme="minorHAnsi"/>
          <w:lang w:val="en-GB"/>
        </w:rPr>
      </w:pPr>
    </w:p>
    <w:p w:rsidR="00673D56" w:rsidRPr="00ED3984" w:rsidP="002A6CE1">
      <w:pPr>
        <w:bidi w:val="0"/>
        <w:spacing w:after="0"/>
        <w:ind w:left="-851"/>
        <w:rPr>
          <w:rFonts w:ascii="Verdana" w:hAnsi="Verdana" w:cstheme="minorHAnsi"/>
          <w:lang w:val="en-GB"/>
        </w:rPr>
      </w:pPr>
      <w:r w:rsidRPr="00ED3984">
        <w:rPr>
          <w:rFonts w:ascii="Verdana" w:hAnsi="Verdana" w:cstheme="minorHAnsi"/>
          <w:lang w:val="en-GB"/>
        </w:rPr>
        <w:t xml:space="preserve">What this means in practice is that if a product is made in the EU, then it is tested there and can be sent to the UK with no further testing. </w:t>
      </w:r>
      <w:r w:rsidRPr="00ED3984">
        <w:rPr>
          <w:rFonts w:ascii="Verdana" w:hAnsi="Verdana" w:cstheme="minorHAnsi"/>
          <w:lang w:val="en-GB"/>
        </w:rPr>
        <w:t>However</w:t>
      </w:r>
      <w:r w:rsidRPr="00ED3984">
        <w:rPr>
          <w:rFonts w:ascii="Verdana" w:hAnsi="Verdana" w:cstheme="minorHAnsi"/>
          <w:lang w:val="en-GB"/>
        </w:rPr>
        <w:t xml:space="preserve"> if a product is made at a UK factory and sent to the EU, it must be tested again on arrival in Europe, costing time and money and so making it less competitive.</w:t>
      </w:r>
    </w:p>
    <w:p w:rsidR="00673D56" w:rsidRPr="00ED3984" w:rsidP="002A6CE1">
      <w:pPr>
        <w:bidi w:val="0"/>
        <w:spacing w:after="0"/>
        <w:ind w:left="-851"/>
        <w:rPr>
          <w:rFonts w:ascii="Verdana" w:hAnsi="Verdana" w:cstheme="minorHAnsi"/>
          <w:lang w:val="en-GB"/>
        </w:rPr>
      </w:pPr>
    </w:p>
    <w:p w:rsidR="00673D56" w:rsidRPr="00ED3984" w:rsidP="002A6CE1">
      <w:pPr>
        <w:bidi w:val="0"/>
        <w:spacing w:after="0"/>
        <w:ind w:left="-851"/>
        <w:rPr>
          <w:rFonts w:ascii="Verdana" w:hAnsi="Verdana" w:cstheme="minorHAnsi"/>
          <w:lang w:val="en-GB"/>
        </w:rPr>
      </w:pPr>
    </w:p>
    <w:p w:rsidR="00673D56" w:rsidRPr="00ED3984" w:rsidP="002A6CE1">
      <w:pPr>
        <w:bidi w:val="0"/>
        <w:spacing w:after="0"/>
        <w:ind w:left="-851"/>
        <w:rPr>
          <w:rFonts w:ascii="Verdana" w:hAnsi="Verdana" w:cstheme="minorHAnsi"/>
          <w:u w:val="single"/>
          <w:lang w:val="en-GB"/>
        </w:rPr>
      </w:pPr>
      <w:r w:rsidRPr="00ED3984">
        <w:rPr>
          <w:rFonts w:ascii="Verdana" w:hAnsi="Verdana" w:cstheme="minorHAnsi"/>
          <w:u w:val="single"/>
          <w:lang w:val="en-GB"/>
        </w:rPr>
        <w:t>Current situation</w:t>
      </w:r>
    </w:p>
    <w:p w:rsidR="00673D56" w:rsidRPr="00ED3984" w:rsidP="002A6CE1">
      <w:pPr>
        <w:bidi w:val="0"/>
        <w:spacing w:after="0"/>
        <w:ind w:left="-851"/>
        <w:rPr>
          <w:rFonts w:ascii="Verdana" w:hAnsi="Verdana" w:cstheme="minorHAnsi"/>
          <w:lang w:val="en-GB"/>
        </w:rPr>
      </w:pPr>
      <w:r w:rsidRPr="00ED3984">
        <w:rPr>
          <w:rFonts w:ascii="Verdana" w:hAnsi="Verdana" w:cstheme="minorHAnsi"/>
          <w:lang w:val="en-GB"/>
        </w:rPr>
        <w:t>As things stand, the UK has said it would like to reach an MRA with the EU. The fact that the EU will not accept UK batch testing means that any medicines made in the UK and sent to Europe must be tested in the UK; sent to Europe; tested again; and only then released in the EU. This adds cost and time for any product made in the UK for the EU, even though UK quality standards are regarded as very high. It is a strong disincentive for the pharma industry to invest in the UK.</w:t>
      </w:r>
    </w:p>
    <w:p w:rsidR="00673D56" w:rsidRPr="00ED3984" w:rsidP="002A6CE1">
      <w:pPr>
        <w:bidi w:val="0"/>
        <w:spacing w:after="0"/>
        <w:ind w:left="-851"/>
        <w:rPr>
          <w:rFonts w:ascii="Verdana" w:hAnsi="Verdana" w:cstheme="minorHAnsi"/>
          <w:lang w:val="en-GB"/>
        </w:rPr>
      </w:pPr>
    </w:p>
    <w:p w:rsidR="00673D56" w:rsidRPr="00ED3984" w:rsidP="002A6CE1">
      <w:pPr>
        <w:bidi w:val="0"/>
        <w:spacing w:after="0"/>
        <w:ind w:left="-851"/>
        <w:rPr>
          <w:rFonts w:ascii="Verdana" w:hAnsi="Verdana" w:cstheme="minorHAnsi"/>
          <w:lang w:val="en-GB"/>
        </w:rPr>
      </w:pPr>
      <w:r w:rsidRPr="00ED3984">
        <w:rPr>
          <w:rFonts w:ascii="Verdana" w:hAnsi="Verdana" w:cstheme="minorHAnsi"/>
          <w:lang w:val="en-GB"/>
        </w:rPr>
        <w:t>However, the EU has said that it is not willing at this time to reach a MRA with the UK.</w:t>
      </w:r>
    </w:p>
    <w:p w:rsidR="00673D56" w:rsidRPr="00ED3984" w:rsidP="002A6CE1">
      <w:pPr>
        <w:bidi w:val="0"/>
        <w:spacing w:after="0"/>
        <w:ind w:left="-851"/>
        <w:rPr>
          <w:rFonts w:ascii="Verdana" w:hAnsi="Verdana" w:cstheme="minorHAnsi"/>
          <w:lang w:val="en-GB"/>
        </w:rPr>
      </w:pPr>
    </w:p>
    <w:p w:rsidR="00673D56" w:rsidRPr="00ED3984" w:rsidP="002A6CE1">
      <w:pPr>
        <w:bidi w:val="0"/>
        <w:spacing w:after="0"/>
        <w:ind w:left="-851"/>
        <w:rPr>
          <w:rFonts w:ascii="Verdana" w:hAnsi="Verdana" w:cstheme="minorHAnsi"/>
          <w:lang w:val="en-GB"/>
        </w:rPr>
      </w:pPr>
    </w:p>
    <w:p w:rsidR="00673D56" w:rsidRPr="00ED3984" w:rsidP="002A6CE1">
      <w:pPr>
        <w:bidi w:val="0"/>
        <w:spacing w:after="0"/>
        <w:ind w:left="-851"/>
        <w:rPr>
          <w:rFonts w:ascii="Verdana" w:hAnsi="Verdana" w:cstheme="minorHAnsi"/>
          <w:u w:val="single"/>
          <w:lang w:val="en-GB"/>
        </w:rPr>
      </w:pPr>
      <w:r w:rsidRPr="00ED3984">
        <w:rPr>
          <w:rFonts w:ascii="Verdana" w:hAnsi="Verdana" w:cstheme="minorHAnsi"/>
          <w:u w:val="single"/>
          <w:lang w:val="en-GB"/>
        </w:rPr>
        <w:t>What happens next</w:t>
      </w:r>
    </w:p>
    <w:p w:rsidR="00673D56" w:rsidRPr="00ED3984" w:rsidP="002A6CE1">
      <w:pPr>
        <w:bidi w:val="0"/>
        <w:spacing w:after="0"/>
        <w:ind w:left="-851"/>
        <w:rPr>
          <w:rFonts w:ascii="Verdana" w:hAnsi="Verdana" w:cstheme="minorHAnsi"/>
          <w:lang w:val="en-GB"/>
        </w:rPr>
      </w:pPr>
      <w:r w:rsidRPr="00ED3984">
        <w:rPr>
          <w:rFonts w:ascii="Verdana" w:hAnsi="Verdana" w:cstheme="minorHAnsi"/>
          <w:lang w:val="en-GB"/>
        </w:rPr>
        <w:t>As we approach December 2022, the UK will be thinking about what to do as part of that review.</w:t>
      </w:r>
    </w:p>
    <w:p w:rsidR="00673D56" w:rsidRPr="00ED3984" w:rsidP="002A6CE1">
      <w:pPr>
        <w:bidi w:val="0"/>
        <w:spacing w:after="0"/>
        <w:ind w:left="-851"/>
        <w:rPr>
          <w:rFonts w:ascii="Verdana" w:hAnsi="Verdana" w:cstheme="minorHAnsi"/>
          <w:lang w:val="en-GB"/>
        </w:rPr>
      </w:pPr>
    </w:p>
    <w:p w:rsidR="00673D56" w:rsidRPr="00ED3984" w:rsidP="002A6CE1">
      <w:pPr>
        <w:bidi w:val="0"/>
        <w:spacing w:after="0"/>
        <w:ind w:left="-851"/>
        <w:rPr>
          <w:rFonts w:ascii="Verdana" w:hAnsi="Verdana" w:cstheme="minorHAnsi"/>
          <w:lang w:val="en-GB"/>
        </w:rPr>
      </w:pPr>
      <w:r w:rsidRPr="00ED3984">
        <w:rPr>
          <w:rFonts w:ascii="Verdana" w:hAnsi="Verdana" w:cstheme="minorHAnsi"/>
          <w:lang w:val="en-GB"/>
        </w:rPr>
        <w:t>The UK government will have three choices:</w:t>
      </w:r>
    </w:p>
    <w:p w:rsidR="00673D56" w:rsidRPr="00ED3984" w:rsidP="002A6CE1">
      <w:pPr>
        <w:bidi w:val="0"/>
        <w:spacing w:after="0"/>
        <w:ind w:left="-851"/>
        <w:rPr>
          <w:rFonts w:ascii="Verdana" w:hAnsi="Verdana" w:cstheme="minorHAnsi"/>
          <w:lang w:val="en-GB"/>
        </w:rPr>
      </w:pPr>
    </w:p>
    <w:p w:rsidR="00673D56" w:rsidRPr="00ED3984" w:rsidP="002A6CE1">
      <w:pPr>
        <w:pStyle w:val="ListParagraph"/>
        <w:numPr>
          <w:ilvl w:val="0"/>
          <w:numId w:val="3"/>
        </w:numPr>
        <w:bidi w:val="0"/>
        <w:spacing w:after="0"/>
        <w:ind w:left="0"/>
        <w:rPr>
          <w:rFonts w:ascii="Verdana" w:hAnsi="Verdana" w:cstheme="minorHAnsi"/>
          <w:lang w:val="en-GB"/>
        </w:rPr>
      </w:pPr>
      <w:r w:rsidRPr="00ED3984">
        <w:rPr>
          <w:rFonts w:ascii="Verdana" w:hAnsi="Verdana" w:cstheme="minorHAnsi"/>
          <w:lang w:val="en-GB"/>
        </w:rPr>
        <w:t xml:space="preserve">It can try again to </w:t>
      </w:r>
      <w:r w:rsidRPr="00ED3984">
        <w:rPr>
          <w:rFonts w:ascii="Verdana" w:hAnsi="Verdana" w:cstheme="minorHAnsi"/>
          <w:b/>
          <w:bCs/>
          <w:lang w:val="en-GB"/>
        </w:rPr>
        <w:t>obtain an MRA with the EU</w:t>
      </w:r>
      <w:r w:rsidRPr="00ED3984">
        <w:rPr>
          <w:rFonts w:ascii="Verdana" w:hAnsi="Verdana" w:cstheme="minorHAnsi"/>
          <w:lang w:val="en-GB"/>
        </w:rPr>
        <w:t>. But the lapsing of the MRA at Brexit has not significantly damaged EU interests so far, so the EU has little incentive to negotiate.</w:t>
      </w:r>
    </w:p>
    <w:p w:rsidR="00673D56" w:rsidRPr="00ED3984" w:rsidP="002A6CE1">
      <w:pPr>
        <w:pStyle w:val="ListParagraph"/>
        <w:numPr>
          <w:ilvl w:val="0"/>
          <w:numId w:val="3"/>
        </w:numPr>
        <w:bidi w:val="0"/>
        <w:spacing w:after="0"/>
        <w:ind w:left="0"/>
        <w:rPr>
          <w:rFonts w:ascii="Verdana" w:hAnsi="Verdana" w:cstheme="minorHAnsi"/>
          <w:lang w:val="en-GB"/>
        </w:rPr>
      </w:pPr>
      <w:r w:rsidRPr="00ED3984">
        <w:rPr>
          <w:rFonts w:ascii="Verdana" w:hAnsi="Verdana" w:cstheme="minorHAnsi"/>
          <w:lang w:val="en-GB"/>
        </w:rPr>
        <w:t xml:space="preserve">It can </w:t>
      </w:r>
      <w:r w:rsidRPr="00ED3984">
        <w:rPr>
          <w:rFonts w:ascii="Verdana" w:hAnsi="Verdana" w:cstheme="minorHAnsi"/>
          <w:b/>
          <w:bCs/>
          <w:lang w:val="en-GB"/>
        </w:rPr>
        <w:t>continue unilateral recognition of EU batch testing</w:t>
      </w:r>
      <w:r w:rsidRPr="00ED3984">
        <w:rPr>
          <w:rFonts w:ascii="Verdana" w:hAnsi="Verdana" w:cstheme="minorHAnsi"/>
          <w:lang w:val="en-GB"/>
        </w:rPr>
        <w:t>. This postpones the problem, but the basic issue for the UK government remains that it damages UK exports to the EU while EU product can flow to the UK without barriers.</w:t>
      </w:r>
    </w:p>
    <w:p w:rsidR="00673D56" w:rsidRPr="00ED3984" w:rsidP="002A6CE1">
      <w:pPr>
        <w:pStyle w:val="ListParagraph"/>
        <w:numPr>
          <w:ilvl w:val="0"/>
          <w:numId w:val="3"/>
        </w:numPr>
        <w:bidi w:val="0"/>
        <w:spacing w:after="0"/>
        <w:ind w:left="0"/>
        <w:rPr>
          <w:rFonts w:ascii="Verdana" w:hAnsi="Verdana" w:cstheme="minorHAnsi"/>
          <w:lang w:val="en-GB"/>
        </w:rPr>
      </w:pPr>
      <w:r w:rsidRPr="00ED3984">
        <w:rPr>
          <w:rFonts w:ascii="Verdana" w:hAnsi="Verdana" w:cstheme="minorHAnsi"/>
          <w:lang w:val="en-GB"/>
        </w:rPr>
        <w:t xml:space="preserve">It can threaten to </w:t>
      </w:r>
      <w:r w:rsidRPr="00ED3984">
        <w:rPr>
          <w:rFonts w:ascii="Verdana" w:hAnsi="Verdana" w:cstheme="minorHAnsi"/>
          <w:b/>
          <w:bCs/>
          <w:lang w:val="en-GB"/>
        </w:rPr>
        <w:t>cease recognising EU testing</w:t>
      </w:r>
      <w:r w:rsidRPr="00ED3984">
        <w:rPr>
          <w:rFonts w:ascii="Verdana" w:hAnsi="Verdana" w:cstheme="minorHAnsi"/>
          <w:lang w:val="en-GB"/>
        </w:rPr>
        <w:t xml:space="preserve">, either </w:t>
      </w:r>
      <w:r w:rsidRPr="00ED3984">
        <w:rPr>
          <w:rFonts w:ascii="Verdana" w:hAnsi="Verdana" w:cstheme="minorHAnsi"/>
          <w:lang w:val="en-GB"/>
        </w:rPr>
        <w:t>as a way to</w:t>
      </w:r>
      <w:r w:rsidRPr="00ED3984">
        <w:rPr>
          <w:rFonts w:ascii="Verdana" w:hAnsi="Verdana" w:cstheme="minorHAnsi"/>
          <w:lang w:val="en-GB"/>
        </w:rPr>
        <w:t xml:space="preserve"> bring the EU to the table to reach an MRA; or in the hope that pharma companies will create an infrastructure for batch testing in the UK for imports from the EU.</w:t>
      </w:r>
    </w:p>
    <w:p w:rsidR="00673D56" w:rsidRPr="00ED3984" w:rsidP="002A6CE1">
      <w:pPr>
        <w:bidi w:val="0"/>
        <w:spacing w:after="0"/>
        <w:ind w:left="-851"/>
        <w:rPr>
          <w:rFonts w:ascii="Verdana" w:hAnsi="Verdana" w:cstheme="minorHAnsi"/>
          <w:lang w:val="en-GB"/>
        </w:rPr>
      </w:pPr>
    </w:p>
    <w:p w:rsidR="00673D56" w:rsidRPr="00ED3984" w:rsidP="002A6CE1">
      <w:pPr>
        <w:bidi w:val="0"/>
        <w:spacing w:after="0"/>
        <w:ind w:left="-851"/>
        <w:rPr>
          <w:rFonts w:ascii="Verdana" w:hAnsi="Verdana" w:cstheme="minorHAnsi"/>
          <w:lang w:val="en-GB"/>
        </w:rPr>
      </w:pPr>
    </w:p>
    <w:p w:rsidR="00673D56" w:rsidRPr="00ED3984" w:rsidP="002A6CE1">
      <w:pPr>
        <w:bidi w:val="0"/>
        <w:spacing w:after="0"/>
        <w:ind w:left="-851"/>
        <w:rPr>
          <w:rFonts w:ascii="Verdana" w:hAnsi="Verdana" w:cstheme="minorHAnsi"/>
          <w:u w:val="single"/>
          <w:lang w:val="en-GB"/>
        </w:rPr>
      </w:pPr>
      <w:r w:rsidRPr="00ED3984">
        <w:rPr>
          <w:rFonts w:ascii="Verdana" w:hAnsi="Verdana" w:cstheme="minorHAnsi"/>
          <w:u w:val="single"/>
          <w:lang w:val="en-GB"/>
        </w:rPr>
        <w:t>The consequences of each option</w:t>
      </w:r>
    </w:p>
    <w:p w:rsidR="00673D56" w:rsidRPr="00ED3984" w:rsidP="002A6CE1">
      <w:pPr>
        <w:pStyle w:val="ListParagraph"/>
        <w:numPr>
          <w:ilvl w:val="0"/>
          <w:numId w:val="4"/>
        </w:numPr>
        <w:bidi w:val="0"/>
        <w:spacing w:after="0"/>
        <w:ind w:left="0"/>
        <w:rPr>
          <w:rFonts w:ascii="Verdana" w:hAnsi="Verdana" w:cstheme="minorHAnsi"/>
          <w:lang w:val="en-GB"/>
        </w:rPr>
      </w:pPr>
      <w:r w:rsidRPr="00ED3984">
        <w:rPr>
          <w:rFonts w:ascii="Verdana" w:hAnsi="Verdana" w:cstheme="minorHAnsi"/>
          <w:lang w:val="en-GB"/>
        </w:rPr>
        <w:t>Obtaining an MRA is the best option for the industry and for patients. It maximises patient access to medicine and reduces overall cost for medicines.</w:t>
      </w:r>
    </w:p>
    <w:p w:rsidR="00673D56" w:rsidRPr="00ED3984" w:rsidP="002A6CE1">
      <w:pPr>
        <w:pStyle w:val="ListParagraph"/>
        <w:numPr>
          <w:ilvl w:val="0"/>
          <w:numId w:val="4"/>
        </w:numPr>
        <w:bidi w:val="0"/>
        <w:spacing w:after="0"/>
        <w:ind w:left="0"/>
        <w:rPr>
          <w:rFonts w:ascii="Verdana" w:hAnsi="Verdana" w:cstheme="minorHAnsi"/>
          <w:lang w:val="en-GB"/>
        </w:rPr>
      </w:pPr>
      <w:r w:rsidRPr="00ED3984">
        <w:rPr>
          <w:rFonts w:ascii="Verdana" w:hAnsi="Verdana" w:cstheme="minorHAnsi"/>
          <w:lang w:val="en-GB"/>
        </w:rPr>
        <w:t xml:space="preserve">If the UK continues to unilaterally recognise EU batch testing, it maintains the current status quo and makes it easier for medicines to move from the EU to the UK. However, the UK government </w:t>
      </w:r>
      <w:r w:rsidRPr="00ED3984">
        <w:rPr>
          <w:rFonts w:ascii="Verdana" w:hAnsi="Verdana" w:cstheme="minorHAnsi"/>
          <w:lang w:val="en-GB"/>
        </w:rPr>
        <w:t>is well aware that</w:t>
      </w:r>
      <w:r w:rsidRPr="00ED3984">
        <w:rPr>
          <w:rFonts w:ascii="Verdana" w:hAnsi="Verdana" w:cstheme="minorHAnsi"/>
          <w:lang w:val="en-GB"/>
        </w:rPr>
        <w:t xml:space="preserve"> this imbalance is an incentive over the long term for pharma jobs to migrate from the UK to the EU and may find this politically unacceptable.</w:t>
      </w:r>
    </w:p>
    <w:p w:rsidR="00673D56" w:rsidRPr="00ED3984" w:rsidP="002A6CE1">
      <w:pPr>
        <w:pStyle w:val="ListParagraph"/>
        <w:numPr>
          <w:ilvl w:val="0"/>
          <w:numId w:val="4"/>
        </w:numPr>
        <w:bidi w:val="0"/>
        <w:spacing w:after="0"/>
        <w:ind w:left="0"/>
        <w:rPr>
          <w:rFonts w:ascii="Verdana" w:hAnsi="Verdana" w:cstheme="minorHAnsi"/>
          <w:lang w:val="en-GB"/>
        </w:rPr>
      </w:pPr>
      <w:r w:rsidRPr="00ED3984">
        <w:rPr>
          <w:rFonts w:ascii="Verdana" w:hAnsi="Verdana" w:cstheme="minorHAnsi"/>
          <w:lang w:val="en-GB"/>
        </w:rPr>
        <w:t xml:space="preserve">If the UK chooses to </w:t>
      </w:r>
      <w:r w:rsidRPr="00ED3984" w:rsidR="00237540">
        <w:rPr>
          <w:rFonts w:ascii="Verdana" w:hAnsi="Verdana" w:cstheme="minorHAnsi"/>
          <w:lang w:val="en-GB"/>
        </w:rPr>
        <w:t>cease</w:t>
      </w:r>
      <w:r w:rsidRPr="00ED3984">
        <w:rPr>
          <w:rFonts w:ascii="Verdana" w:hAnsi="Verdana" w:cstheme="minorHAnsi"/>
          <w:lang w:val="en-GB"/>
        </w:rPr>
        <w:t xml:space="preserve"> its unilateral recognition, then any medicine exported from the EU to the UK will need to be retested on arrival. The pharma industry will then have its own </w:t>
      </w:r>
      <w:r w:rsidRPr="00ED3984" w:rsidR="00237540">
        <w:rPr>
          <w:rFonts w:ascii="Verdana" w:hAnsi="Verdana" w:cstheme="minorHAnsi"/>
          <w:lang w:val="en-GB"/>
        </w:rPr>
        <w:t>choices</w:t>
      </w:r>
      <w:r w:rsidRPr="00ED3984">
        <w:rPr>
          <w:rFonts w:ascii="Verdana" w:hAnsi="Verdana" w:cstheme="minorHAnsi"/>
          <w:lang w:val="en-GB"/>
        </w:rPr>
        <w:t>. Each company may decide to…</w:t>
      </w:r>
    </w:p>
    <w:p w:rsidR="00673D56" w:rsidRPr="00ED3984" w:rsidP="002A6CE1">
      <w:pPr>
        <w:pStyle w:val="ListParagraph"/>
        <w:numPr>
          <w:ilvl w:val="1"/>
          <w:numId w:val="4"/>
        </w:numPr>
        <w:bidi w:val="0"/>
        <w:spacing w:after="0"/>
        <w:ind w:left="426"/>
        <w:rPr>
          <w:rFonts w:ascii="Verdana" w:hAnsi="Verdana" w:cstheme="minorHAnsi"/>
          <w:lang w:val="en-GB"/>
        </w:rPr>
      </w:pPr>
      <w:r w:rsidRPr="00ED3984">
        <w:rPr>
          <w:rFonts w:ascii="Verdana" w:hAnsi="Verdana" w:cstheme="minorHAnsi"/>
          <w:lang w:val="en-GB"/>
        </w:rPr>
        <w:t>Set up a testing laboratory and have a QP test and release medicines imported into the UK from the EU. This is expensive and adds time to the supply chain but may be viable for a relatively small number of high-cost drugs where the UK is a significant market.</w:t>
      </w:r>
    </w:p>
    <w:p w:rsidR="00673D56" w:rsidRPr="00ED3984" w:rsidP="002A6CE1">
      <w:pPr>
        <w:pStyle w:val="ListParagraph"/>
        <w:numPr>
          <w:ilvl w:val="1"/>
          <w:numId w:val="4"/>
        </w:numPr>
        <w:bidi w:val="0"/>
        <w:spacing w:after="0"/>
        <w:ind w:left="426"/>
        <w:rPr>
          <w:rFonts w:ascii="Verdana" w:hAnsi="Verdana" w:cstheme="minorHAnsi"/>
          <w:lang w:val="en-GB"/>
        </w:rPr>
      </w:pPr>
      <w:r w:rsidRPr="00ED3984">
        <w:rPr>
          <w:rFonts w:ascii="Verdana" w:hAnsi="Verdana" w:cstheme="minorHAnsi"/>
          <w:lang w:val="en-GB"/>
        </w:rPr>
        <w:t>Shift production from the EU to countries that do have an MRA with the UK. But given that most medicine production plants produce medicines in a specialist expertise (injectables, asthma devices etc) for global distribution, it’s unlikely that companies will move a global manufacturing hub just to make it easier to get product into the UK.</w:t>
      </w:r>
    </w:p>
    <w:p w:rsidR="00673D56" w:rsidRPr="00ED3984" w:rsidP="002A6CE1">
      <w:pPr>
        <w:pStyle w:val="ListParagraph"/>
        <w:numPr>
          <w:ilvl w:val="1"/>
          <w:numId w:val="4"/>
        </w:numPr>
        <w:bidi w:val="0"/>
        <w:spacing w:after="0"/>
        <w:ind w:left="426"/>
        <w:rPr>
          <w:rFonts w:ascii="Verdana" w:hAnsi="Verdana" w:cstheme="minorHAnsi"/>
          <w:lang w:val="en-GB"/>
        </w:rPr>
      </w:pPr>
      <w:r w:rsidRPr="00ED3984">
        <w:rPr>
          <w:rFonts w:ascii="Verdana" w:hAnsi="Verdana" w:cstheme="minorHAnsi"/>
          <w:lang w:val="en-GB"/>
        </w:rPr>
        <w:t>Withdraw affected products from the UK market.</w:t>
      </w:r>
    </w:p>
    <w:p w:rsidR="00673D56" w:rsidRPr="00ED3984" w:rsidP="002A6CE1">
      <w:pPr>
        <w:bidi w:val="0"/>
        <w:spacing w:after="0"/>
        <w:ind w:left="-851"/>
        <w:rPr>
          <w:rFonts w:ascii="Verdana" w:hAnsi="Verdana" w:cstheme="minorHAnsi"/>
          <w:lang w:val="en-GB"/>
        </w:rPr>
      </w:pPr>
    </w:p>
    <w:p w:rsidR="00673D56" w:rsidRPr="00ED3984" w:rsidP="002A6CE1">
      <w:pPr>
        <w:bidi w:val="0"/>
        <w:spacing w:after="0"/>
        <w:ind w:left="-851"/>
        <w:rPr>
          <w:rFonts w:ascii="Verdana" w:hAnsi="Verdana" w:cstheme="minorHAnsi"/>
          <w:lang w:val="en-GB"/>
        </w:rPr>
      </w:pPr>
    </w:p>
    <w:p w:rsidR="00673D56" w:rsidRPr="00ED3984" w:rsidP="002A6CE1">
      <w:pPr>
        <w:bidi w:val="0"/>
        <w:spacing w:after="0"/>
        <w:ind w:left="-851"/>
        <w:rPr>
          <w:rFonts w:ascii="Verdana" w:hAnsi="Verdana" w:cstheme="minorHAnsi"/>
          <w:u w:val="single"/>
          <w:lang w:val="en-GB"/>
        </w:rPr>
      </w:pPr>
      <w:r w:rsidRPr="00ED3984">
        <w:rPr>
          <w:rFonts w:ascii="Verdana" w:hAnsi="Verdana" w:cstheme="minorHAnsi"/>
          <w:u w:val="single"/>
          <w:lang w:val="en-GB"/>
        </w:rPr>
        <w:t>What should happen</w:t>
      </w:r>
    </w:p>
    <w:p w:rsidR="00707CAF" w:rsidP="00707CAF">
      <w:pPr>
        <w:bidi w:val="0"/>
        <w:spacing w:after="0"/>
        <w:ind w:left="-851"/>
        <w:rPr>
          <w:rFonts w:ascii="Verdana" w:hAnsi="Verdana" w:cstheme="minorHAnsi"/>
          <w:lang w:val="en-GB"/>
        </w:rPr>
      </w:pPr>
      <w:r w:rsidRPr="00ED3984">
        <w:rPr>
          <w:rFonts w:ascii="Verdana" w:hAnsi="Verdana" w:cstheme="minorHAnsi"/>
          <w:lang w:val="en-GB"/>
        </w:rPr>
        <w:t>The solution that affords the most benefits for patients; and makes medicines easier and cheaper to access; is for the EU and the UK to conclude a Mutual Recognition Agreement. We call upon both sides to work together constructively to achieve this aim and protect the best interests of patients.</w:t>
      </w:r>
    </w:p>
    <w:p w:rsidR="00707CAF" w:rsidP="00707CAF">
      <w:pPr>
        <w:bidi w:val="0"/>
        <w:spacing w:after="0"/>
        <w:ind w:left="-851"/>
        <w:rPr>
          <w:rFonts w:ascii="Verdana" w:hAnsi="Verdana" w:cstheme="minorHAnsi"/>
          <w:lang w:val="en-GB"/>
        </w:rPr>
      </w:pPr>
    </w:p>
    <w:p w:rsidR="00237540" w:rsidRPr="00707CAF" w:rsidP="00707CAF">
      <w:pPr>
        <w:bidi w:val="0"/>
        <w:spacing w:after="0"/>
        <w:ind w:left="-851"/>
        <w:rPr>
          <w:rFonts w:ascii="Verdana" w:hAnsi="Verdana" w:cstheme="minorHAnsi"/>
          <w:b/>
          <w:bCs/>
          <w:lang w:val="en-GB"/>
        </w:rPr>
      </w:pPr>
      <w:r w:rsidRPr="00707CAF">
        <w:rPr>
          <w:rFonts w:ascii="Verdana" w:hAnsi="Verdana" w:cstheme="minorHAnsi"/>
          <w:b/>
          <w:bCs/>
          <w:lang w:val="en-GB"/>
        </w:rPr>
        <w:t>Teva UK Limited</w:t>
      </w:r>
    </w:p>
    <w:p w:rsidR="00707CAF" w:rsidRPr="00ED3984" w:rsidP="00707CAF">
      <w:pPr>
        <w:bidi w:val="0"/>
        <w:spacing w:after="0"/>
        <w:ind w:left="-851"/>
        <w:rPr>
          <w:rFonts w:ascii="Verdana" w:hAnsi="Verdana" w:cstheme="minorHAnsi"/>
          <w:lang w:val="en-GB"/>
        </w:rPr>
      </w:pPr>
    </w:p>
    <w:p w:rsidR="00237540" w:rsidRPr="00707CAF" w:rsidP="00237540">
      <w:pPr>
        <w:bidi w:val="0"/>
        <w:spacing w:after="0"/>
        <w:ind w:left="-851"/>
        <w:rPr>
          <w:rFonts w:ascii="Verdana" w:hAnsi="Verdana" w:cstheme="minorHAnsi"/>
          <w:b/>
          <w:bCs/>
          <w:lang w:val="en-GB"/>
        </w:rPr>
      </w:pPr>
      <w:r w:rsidRPr="00707CAF">
        <w:rPr>
          <w:rFonts w:ascii="Verdana" w:hAnsi="Verdana" w:cstheme="minorHAnsi"/>
          <w:b/>
          <w:bCs/>
          <w:lang w:val="en-GB"/>
        </w:rPr>
        <w:t xml:space="preserve">1 </w:t>
      </w:r>
      <w:r w:rsidRPr="00707CAF">
        <w:rPr>
          <w:rFonts w:ascii="Verdana" w:hAnsi="Verdana" w:cstheme="minorHAnsi"/>
          <w:b/>
          <w:bCs/>
          <w:lang w:val="en-GB"/>
        </w:rPr>
        <w:t>November 2021</w:t>
      </w:r>
    </w:p>
    <w:sectPr w:rsidSect="002A6CE1">
      <w:type w:val="continuous"/>
      <w:pgSz w:w="11906" w:h="16838"/>
      <w:pgMar w:top="1560" w:right="1558" w:bottom="2410" w:left="1800" w:header="708" w:footer="1984"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tl/>
      </w:rPr>
      <w:id w:val="365960038"/>
      <w:docPartObj>
        <w:docPartGallery w:val="Page Numbers (Bottom of Page)"/>
        <w:docPartUnique/>
      </w:docPartObj>
    </w:sdtPr>
    <w:sdtEndPr>
      <w:rPr>
        <w:noProof/>
      </w:rPr>
    </w:sdtEndPr>
    <w:sdtContent>
      <w:p w:rsidR="008B1AC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8B1AC6">
    <w:pPr>
      <w:pStyle w:val="Foo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70B2C48"/>
    <w:multiLevelType w:val="hybridMultilevel"/>
    <w:tmpl w:val="DDEA1776"/>
    <w:lvl w:ilvl="0">
      <w:start w:val="0"/>
      <w:numFmt w:val="bullet"/>
      <w:lvlText w:val="•"/>
      <w:lvlJc w:val="left"/>
      <w:pPr>
        <w:ind w:left="-491" w:hanging="360"/>
      </w:pPr>
      <w:rPr>
        <w:rFonts w:ascii="Times New Roman" w:eastAsia="Times New Roman" w:hAnsi="Times New Roman" w:cs="Times New Roman" w:hint="default"/>
      </w:rPr>
    </w:lvl>
    <w:lvl w:ilvl="1" w:tentative="1">
      <w:start w:val="1"/>
      <w:numFmt w:val="bullet"/>
      <w:lvlText w:val="o"/>
      <w:lvlJc w:val="left"/>
      <w:pPr>
        <w:ind w:left="229" w:hanging="360"/>
      </w:pPr>
      <w:rPr>
        <w:rFonts w:ascii="Courier New" w:hAnsi="Courier New" w:cs="Courier New" w:hint="default"/>
      </w:rPr>
    </w:lvl>
    <w:lvl w:ilvl="2" w:tentative="1">
      <w:start w:val="1"/>
      <w:numFmt w:val="bullet"/>
      <w:lvlText w:val=""/>
      <w:lvlJc w:val="left"/>
      <w:pPr>
        <w:ind w:left="949" w:hanging="360"/>
      </w:pPr>
      <w:rPr>
        <w:rFonts w:ascii="Wingdings" w:hAnsi="Wingdings" w:hint="default"/>
      </w:rPr>
    </w:lvl>
    <w:lvl w:ilvl="3" w:tentative="1">
      <w:start w:val="1"/>
      <w:numFmt w:val="bullet"/>
      <w:lvlText w:val=""/>
      <w:lvlJc w:val="left"/>
      <w:pPr>
        <w:ind w:left="1669" w:hanging="360"/>
      </w:pPr>
      <w:rPr>
        <w:rFonts w:ascii="Symbol" w:hAnsi="Symbol" w:hint="default"/>
      </w:rPr>
    </w:lvl>
    <w:lvl w:ilvl="4" w:tentative="1">
      <w:start w:val="1"/>
      <w:numFmt w:val="bullet"/>
      <w:lvlText w:val="o"/>
      <w:lvlJc w:val="left"/>
      <w:pPr>
        <w:ind w:left="2389" w:hanging="360"/>
      </w:pPr>
      <w:rPr>
        <w:rFonts w:ascii="Courier New" w:hAnsi="Courier New" w:cs="Courier New" w:hint="default"/>
      </w:rPr>
    </w:lvl>
    <w:lvl w:ilvl="5" w:tentative="1">
      <w:start w:val="1"/>
      <w:numFmt w:val="bullet"/>
      <w:lvlText w:val=""/>
      <w:lvlJc w:val="left"/>
      <w:pPr>
        <w:ind w:left="3109" w:hanging="360"/>
      </w:pPr>
      <w:rPr>
        <w:rFonts w:ascii="Wingdings" w:hAnsi="Wingdings" w:hint="default"/>
      </w:rPr>
    </w:lvl>
    <w:lvl w:ilvl="6" w:tentative="1">
      <w:start w:val="1"/>
      <w:numFmt w:val="bullet"/>
      <w:lvlText w:val=""/>
      <w:lvlJc w:val="left"/>
      <w:pPr>
        <w:ind w:left="3829" w:hanging="360"/>
      </w:pPr>
      <w:rPr>
        <w:rFonts w:ascii="Symbol" w:hAnsi="Symbol" w:hint="default"/>
      </w:rPr>
    </w:lvl>
    <w:lvl w:ilvl="7" w:tentative="1">
      <w:start w:val="1"/>
      <w:numFmt w:val="bullet"/>
      <w:lvlText w:val="o"/>
      <w:lvlJc w:val="left"/>
      <w:pPr>
        <w:ind w:left="4549" w:hanging="360"/>
      </w:pPr>
      <w:rPr>
        <w:rFonts w:ascii="Courier New" w:hAnsi="Courier New" w:cs="Courier New" w:hint="default"/>
      </w:rPr>
    </w:lvl>
    <w:lvl w:ilvl="8" w:tentative="1">
      <w:start w:val="1"/>
      <w:numFmt w:val="bullet"/>
      <w:lvlText w:val=""/>
      <w:lvlJc w:val="left"/>
      <w:pPr>
        <w:ind w:left="5269" w:hanging="360"/>
      </w:pPr>
      <w:rPr>
        <w:rFonts w:ascii="Wingdings" w:hAnsi="Wingdings" w:hint="default"/>
      </w:rPr>
    </w:lvl>
  </w:abstractNum>
  <w:abstractNum w:abstractNumId="1">
    <w:nsid w:val="47606FB3"/>
    <w:multiLevelType w:val="hybridMultilevel"/>
    <w:tmpl w:val="0E961156"/>
    <w:lvl w:ilvl="0">
      <w:start w:val="1"/>
      <w:numFmt w:val="bullet"/>
      <w:lvlText w:val=""/>
      <w:lvlJc w:val="left"/>
      <w:pPr>
        <w:ind w:left="-131" w:hanging="360"/>
      </w:pPr>
      <w:rPr>
        <w:rFonts w:ascii="Symbol" w:hAnsi="Symbol" w:hint="default"/>
      </w:rPr>
    </w:lvl>
    <w:lvl w:ilvl="1" w:tentative="1">
      <w:start w:val="1"/>
      <w:numFmt w:val="bullet"/>
      <w:lvlText w:val="o"/>
      <w:lvlJc w:val="left"/>
      <w:pPr>
        <w:ind w:left="589" w:hanging="360"/>
      </w:pPr>
      <w:rPr>
        <w:rFonts w:ascii="Courier New" w:hAnsi="Courier New" w:cs="Courier New" w:hint="default"/>
      </w:rPr>
    </w:lvl>
    <w:lvl w:ilvl="2" w:tentative="1">
      <w:start w:val="1"/>
      <w:numFmt w:val="bullet"/>
      <w:lvlText w:val=""/>
      <w:lvlJc w:val="left"/>
      <w:pPr>
        <w:ind w:left="1309" w:hanging="360"/>
      </w:pPr>
      <w:rPr>
        <w:rFonts w:ascii="Wingdings" w:hAnsi="Wingdings" w:hint="default"/>
      </w:rPr>
    </w:lvl>
    <w:lvl w:ilvl="3" w:tentative="1">
      <w:start w:val="1"/>
      <w:numFmt w:val="bullet"/>
      <w:lvlText w:val=""/>
      <w:lvlJc w:val="left"/>
      <w:pPr>
        <w:ind w:left="2029" w:hanging="360"/>
      </w:pPr>
      <w:rPr>
        <w:rFonts w:ascii="Symbol" w:hAnsi="Symbol" w:hint="default"/>
      </w:rPr>
    </w:lvl>
    <w:lvl w:ilvl="4" w:tentative="1">
      <w:start w:val="1"/>
      <w:numFmt w:val="bullet"/>
      <w:lvlText w:val="o"/>
      <w:lvlJc w:val="left"/>
      <w:pPr>
        <w:ind w:left="2749" w:hanging="360"/>
      </w:pPr>
      <w:rPr>
        <w:rFonts w:ascii="Courier New" w:hAnsi="Courier New" w:cs="Courier New" w:hint="default"/>
      </w:rPr>
    </w:lvl>
    <w:lvl w:ilvl="5" w:tentative="1">
      <w:start w:val="1"/>
      <w:numFmt w:val="bullet"/>
      <w:lvlText w:val=""/>
      <w:lvlJc w:val="left"/>
      <w:pPr>
        <w:ind w:left="3469" w:hanging="360"/>
      </w:pPr>
      <w:rPr>
        <w:rFonts w:ascii="Wingdings" w:hAnsi="Wingdings" w:hint="default"/>
      </w:rPr>
    </w:lvl>
    <w:lvl w:ilvl="6" w:tentative="1">
      <w:start w:val="1"/>
      <w:numFmt w:val="bullet"/>
      <w:lvlText w:val=""/>
      <w:lvlJc w:val="left"/>
      <w:pPr>
        <w:ind w:left="4189" w:hanging="360"/>
      </w:pPr>
      <w:rPr>
        <w:rFonts w:ascii="Symbol" w:hAnsi="Symbol" w:hint="default"/>
      </w:rPr>
    </w:lvl>
    <w:lvl w:ilvl="7" w:tentative="1">
      <w:start w:val="1"/>
      <w:numFmt w:val="bullet"/>
      <w:lvlText w:val="o"/>
      <w:lvlJc w:val="left"/>
      <w:pPr>
        <w:ind w:left="4909" w:hanging="360"/>
      </w:pPr>
      <w:rPr>
        <w:rFonts w:ascii="Courier New" w:hAnsi="Courier New" w:cs="Courier New" w:hint="default"/>
      </w:rPr>
    </w:lvl>
    <w:lvl w:ilvl="8" w:tentative="1">
      <w:start w:val="1"/>
      <w:numFmt w:val="bullet"/>
      <w:lvlText w:val=""/>
      <w:lvlJc w:val="left"/>
      <w:pPr>
        <w:ind w:left="5629" w:hanging="360"/>
      </w:pPr>
      <w:rPr>
        <w:rFonts w:ascii="Wingdings" w:hAnsi="Wingdings" w:hint="default"/>
      </w:rPr>
    </w:lvl>
  </w:abstractNum>
  <w:abstractNum w:abstractNumId="2">
    <w:nsid w:val="4B5844C6"/>
    <w:multiLevelType w:val="hybridMultilevel"/>
    <w:tmpl w:val="7BF6F49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5584756F"/>
    <w:multiLevelType w:val="hybridMultilevel"/>
    <w:tmpl w:val="4214521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US" w:eastAsia="en-US" w:bidi="he-I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eastAsia="Times New Roman" w:hAnsi="Times New Roman" w:asciiTheme="minorHAnsi" w:cs="Times New Roman"/>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2423E"/>
    <w:pPr>
      <w:tabs>
        <w:tab w:val="center" w:pos="4320"/>
        <w:tab w:val="right" w:pos="8640"/>
      </w:tabs>
      <w:spacing w:after="0" w:line="240" w:lineRule="auto"/>
    </w:pPr>
  </w:style>
  <w:style w:type="character" w:customStyle="1" w:styleId="HeaderChar">
    <w:name w:val="Header Char"/>
    <w:basedOn w:val="DefaultParagraphFont"/>
    <w:link w:val="Header"/>
    <w:uiPriority w:val="99"/>
    <w:rsid w:val="00D2423E"/>
  </w:style>
  <w:style w:type="paragraph" w:styleId="Footer">
    <w:name w:val="footer"/>
    <w:basedOn w:val="Normal"/>
    <w:link w:val="FooterChar"/>
    <w:uiPriority w:val="99"/>
    <w:unhideWhenUsed/>
    <w:rsid w:val="00D2423E"/>
    <w:pPr>
      <w:tabs>
        <w:tab w:val="center" w:pos="4320"/>
        <w:tab w:val="right" w:pos="8640"/>
      </w:tabs>
      <w:spacing w:after="0" w:line="240" w:lineRule="auto"/>
    </w:pPr>
  </w:style>
  <w:style w:type="character" w:customStyle="1" w:styleId="FooterChar">
    <w:name w:val="Footer Char"/>
    <w:basedOn w:val="DefaultParagraphFont"/>
    <w:link w:val="Footer"/>
    <w:uiPriority w:val="99"/>
    <w:rsid w:val="00D2423E"/>
  </w:style>
  <w:style w:type="character" w:styleId="Hyperlink">
    <w:name w:val="Hyperlink"/>
    <w:basedOn w:val="DefaultParagraphFont"/>
    <w:uiPriority w:val="99"/>
    <w:unhideWhenUsed/>
    <w:rsid w:val="00CF079E"/>
    <w:rPr>
      <w:color w:val="204E77" w:themeColor="hyperlink"/>
      <w:u w:val="single"/>
    </w:rPr>
  </w:style>
  <w:style w:type="paragraph" w:styleId="ListParagraph">
    <w:name w:val="List Paragraph"/>
    <w:basedOn w:val="Normal"/>
    <w:uiPriority w:val="34"/>
    <w:qFormat/>
    <w:rsid w:val="00166D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Teva Swoosh">
      <a:dk1>
        <a:srgbClr val="424242"/>
      </a:dk1>
      <a:lt1>
        <a:sysClr val="window" lastClr="FFFFFF"/>
      </a:lt1>
      <a:dk2>
        <a:srgbClr val="35786E"/>
      </a:dk2>
      <a:lt2>
        <a:srgbClr val="FFFFFF"/>
      </a:lt2>
      <a:accent1>
        <a:srgbClr val="69B93D"/>
      </a:accent1>
      <a:accent2>
        <a:srgbClr val="9FD142"/>
      </a:accent2>
      <a:accent3>
        <a:srgbClr val="35786E"/>
      </a:accent3>
      <a:accent4>
        <a:srgbClr val="204E77"/>
      </a:accent4>
      <a:accent5>
        <a:srgbClr val="AA198D"/>
      </a:accent5>
      <a:accent6>
        <a:srgbClr val="FB3449"/>
      </a:accent6>
      <a:hlink>
        <a:srgbClr val="204E77"/>
      </a:hlink>
      <a:folHlink>
        <a:srgbClr val="9FD14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Nintex conditional workflow start</Name>
    <Synchronization>Synchronous</Synchronization>
    <Type>10001</Type>
    <SequenceNumber>50000</SequenceNumber>
    <Assembly>Nintex.Workflow, Version=1.0.0.0, Culture=neutral, PublicKeyToken=913f6bae0ca5ae12</Assembly>
    <Class>Nintex.Workflow.ConditionalWorkflowStartReceiver</Class>
    <Data>7/7/2013 10:58:23 AM</Data>
    <Filter/>
  </Receiver>
  <Receiver>
    <Name>Nintex conditional workflow start</Name>
    <Synchronization>Synchronous</Synchronization>
    <Type>10002</Type>
    <SequenceNumber>50000</SequenceNumber>
    <Assembly>Nintex.Workflow, Version=1.0.0.0, Culture=neutral, PublicKeyToken=913f6bae0ca5ae12</Assembly>
    <Class>Nintex.Workflow.ConditionalWorkflowStartReceiver</Class>
    <Data>7/7/2013 10:58:23 AM</Data>
    <Filter/>
  </Receiver>
  <Receiver>
    <Name>Nintex conditional workflow start</Name>
    <Synchronization>Synchronous</Synchronization>
    <Type>2</Type>
    <SequenceNumber>50000</SequenceNumber>
    <Assembly>Nintex.Workflow, Version=1.0.0.0, Culture=neutral, PublicKeyToken=913f6bae0ca5ae12</Assembly>
    <Class>Nintex.Workflow.ConditionalWorkflowStartReceiver</Class>
    <Data>7/7/2013 10:58:23 AM</Data>
    <Filter/>
  </Receiver>
  <Receiver>
    <Name>Nintex conditional workflow start</Name>
    <Synchronization>Synchronous</Synchronization>
    <Type>10004</Type>
    <SequenceNumber>50000</SequenceNumber>
    <Assembly>Nintex.Workflow, Version=1.0.0.0, Culture=neutral, PublicKeyToken=913f6bae0ca5ae12</Assembly>
    <Class>Nintex.Workflow.ConditionalWorkflowStartReceiver</Class>
    <Data>7/7/2013 10:58:23 AM</Data>
    <Filter/>
  </Receiver>
  <Receiver>
    <Name>Nintex conditional workflow start</Name>
    <Synchronization>Synchronous</Synchronization>
    <Type>10001</Type>
    <SequenceNumber>50000</SequenceNumber>
    <Assembly>Nintex.Workflow, Version=1.0.0.0, Culture=neutral, PublicKeyToken=913f6bae0ca5ae12</Assembly>
    <Class>Nintex.Workflow.ConditionalWorkflowStartReceiver</Class>
    <Data>4/17/2013 11:52:01 AM</Data>
    <Filter/>
  </Receiver>
  <Receiver>
    <Name>Nintex conditional workflow start</Name>
    <Synchronization>Synchronous</Synchronization>
    <Type>10002</Type>
    <SequenceNumber>50000</SequenceNumber>
    <Assembly>Nintex.Workflow, Version=1.0.0.0, Culture=neutral, PublicKeyToken=913f6bae0ca5ae12</Assembly>
    <Class>Nintex.Workflow.ConditionalWorkflowStartReceiver</Class>
    <Data>4/17/2013 11:52:01 AM</Data>
    <Filter/>
  </Receiver>
  <Receiver>
    <Name>Nintex conditional workflow start</Name>
    <Synchronization>Synchronous</Synchronization>
    <Type>2</Type>
    <SequenceNumber>50000</SequenceNumber>
    <Assembly>Nintex.Workflow, Version=1.0.0.0, Culture=neutral, PublicKeyToken=913f6bae0ca5ae12</Assembly>
    <Class>Nintex.Workflow.ConditionalWorkflowStartReceiver</Class>
    <Data>4/17/2013 11:52:01 AM</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TevaBusinessUnitTaxHTField0 xmlns="fbd958e5-b2bc-429f-8ffe-540b7d01ba41">
      <Terms xmlns="http://schemas.microsoft.com/office/infopath/2007/PartnerControls"/>
    </TevaBusinessUnitTaxHTField0>
    <TevaCountry_0 xmlns="fbd958e5-b2bc-429f-8ffe-540b7d01ba41">
      <Terms xmlns="http://schemas.microsoft.com/office/infopath/2007/PartnerControls"/>
    </TevaCountry_0>
  </documentManagement>
</p:properties>
</file>

<file path=customXml/item4.xml><?xml version="1.0" encoding="utf-8"?>
<ct:contentTypeSchema xmlns:ct="http://schemas.microsoft.com/office/2006/metadata/contentType" xmlns:ma="http://schemas.microsoft.com/office/2006/metadata/properties/metaAttributes" ct:_="" ma:_="" ma:contentTypeName="TevaTemplates" ma:contentTypeID="0x0101007AC4294C752F4FA8B90B2DB51A274718004C7B650874AEC842BF8F46A87AFA1192" ma:contentTypeVersion="26" ma:contentTypeDescription="TevaTemplates Content Type" ma:contentTypeScope="" ma:versionID="a0ee14381cc53c0bdb6f4cb312e0ad07">
  <xsd:schema xmlns:xsd="http://www.w3.org/2001/XMLSchema" xmlns:xs="http://www.w3.org/2001/XMLSchema" xmlns:p="http://schemas.microsoft.com/office/2006/metadata/properties" xmlns:ns2="fbd958e5-b2bc-429f-8ffe-540b7d01ba41" targetNamespace="http://schemas.microsoft.com/office/2006/metadata/properties" ma:root="true" ma:fieldsID="9a9a9d0293d06268adba062eddafa9da" ns2:_="">
    <xsd:import namespace="fbd958e5-b2bc-429f-8ffe-540b7d01ba41"/>
    <xsd:element name="properties">
      <xsd:complexType>
        <xsd:sequence>
          <xsd:element name="documentManagement">
            <xsd:complexType>
              <xsd:all>
                <xsd:element ref="ns2:TevaCountry_0" minOccurs="0"/>
                <xsd:element ref="ns2:TevaBusinessUnitTaxHTField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d958e5-b2bc-429f-8ffe-540b7d01ba41" elementFormDefault="qualified">
    <xsd:import namespace="http://schemas.microsoft.com/office/2006/documentManagement/types"/>
    <xsd:import namespace="http://schemas.microsoft.com/office/infopath/2007/PartnerControls"/>
    <xsd:element name="TevaCountry_0" ma:index="8" nillable="true" ma:taxonomy="true" ma:internalName="TevaCountry_0" ma:taxonomyFieldName="TevaCountry" ma:displayName="TevaCountry" ma:default="" ma:fieldId="{a41dc562-3c24-452f-b74f-c89fa9559409}" ma:sspId="4ae92791-f7a8-4abc-94b3-a02e2b1b2fc4" ma:termSetId="4e5c87a2-dbe1-4621-8541-95ba6320444a" ma:anchorId="00000000-0000-0000-0000-000000000000" ma:open="false" ma:isKeyword="false">
      <xsd:complexType>
        <xsd:sequence>
          <xsd:element ref="pc:Terms" minOccurs="0" maxOccurs="1"/>
        </xsd:sequence>
      </xsd:complexType>
    </xsd:element>
    <xsd:element name="TevaBusinessUnitTaxHTField0" ma:index="10" nillable="true" ma:taxonomy="true" ma:internalName="TevaBusinessUnitTaxHTField0" ma:taxonomyFieldName="TevaBusinessUnit" ma:displayName="TevaBusinessUnit" ma:default="" ma:fieldId="{963b11f3-f086-4bb2-a2e9-d3113c694506}" ma:sspId="4ae92791-f7a8-4abc-94b3-a02e2b1b2fc4" ma:termSetId="5d417114-b8d9-447f-9bdd-a5a706dda905"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48BF4A-CA43-46C0-B8B2-2BC75DB01091}">
  <ds:schemaRefs>
    <ds:schemaRef ds:uri="http://schemas.microsoft.com/sharepoint/v3/contenttype/forms"/>
  </ds:schemaRefs>
</ds:datastoreItem>
</file>

<file path=customXml/itemProps2.xml><?xml version="1.0" encoding="utf-8"?>
<ds:datastoreItem xmlns:ds="http://schemas.openxmlformats.org/officeDocument/2006/customXml" ds:itemID="{50B44C8D-3675-47B9-8555-CD77B7616461}">
  <ds:schemaRefs>
    <ds:schemaRef ds:uri="http://schemas.microsoft.com/sharepoint/events"/>
  </ds:schemaRefs>
</ds:datastoreItem>
</file>

<file path=customXml/itemProps3.xml><?xml version="1.0" encoding="utf-8"?>
<ds:datastoreItem xmlns:ds="http://schemas.openxmlformats.org/officeDocument/2006/customXml" ds:itemID="{A1E5637A-B217-4461-BC8A-B41A84CD7ADD}">
  <ds:schemaRefs>
    <ds:schemaRef ds:uri="http://schemas.microsoft.com/office/2006/metadata/properties"/>
    <ds:schemaRef ds:uri="http://schemas.microsoft.com/office/infopath/2007/PartnerControls"/>
    <ds:schemaRef ds:uri="fbd958e5-b2bc-429f-8ffe-540b7d01ba41"/>
  </ds:schemaRefs>
</ds:datastoreItem>
</file>

<file path=customXml/itemProps4.xml><?xml version="1.0" encoding="utf-8"?>
<ds:datastoreItem xmlns:ds="http://schemas.openxmlformats.org/officeDocument/2006/customXml" ds:itemID="{3B3D6BFE-2EEC-4D16-A9A0-AEFC31B3E8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d958e5-b2bc-429f-8ffe-540b7d01ba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3D1391A0-33DD-4C95-BCA2-CF77746D2D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