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2376E" w:rsidRPr="00433FBE" w:rsidP="00DD57FD">
      <w:pPr>
        <w:pStyle w:val="Heading2"/>
        <w:rPr>
          <w:rFonts w:ascii="Verdana" w:hAnsi="Verdana"/>
          <w:sz w:val="28"/>
          <w:szCs w:val="28"/>
        </w:rPr>
      </w:pPr>
      <w:r w:rsidRPr="00433FBE">
        <w:rPr>
          <w:rFonts w:ascii="Verdana" w:hAnsi="Verdana"/>
          <w:sz w:val="28"/>
          <w:szCs w:val="28"/>
        </w:rPr>
        <w:t>PAGB</w:t>
      </w:r>
      <w:r w:rsidRPr="00433FBE" w:rsidR="00584D12">
        <w:rPr>
          <w:rFonts w:ascii="Verdana" w:hAnsi="Verdana"/>
          <w:sz w:val="28"/>
          <w:szCs w:val="28"/>
        </w:rPr>
        <w:t xml:space="preserve"> </w:t>
      </w:r>
      <w:r w:rsidRPr="00433FBE" w:rsidR="007F0FFA">
        <w:rPr>
          <w:rFonts w:ascii="Verdana" w:hAnsi="Verdana"/>
          <w:sz w:val="28"/>
          <w:szCs w:val="28"/>
        </w:rPr>
        <w:t>–</w:t>
      </w:r>
      <w:r w:rsidR="0053089A">
        <w:rPr>
          <w:rFonts w:ascii="Verdana" w:hAnsi="Verdana"/>
          <w:sz w:val="28"/>
          <w:szCs w:val="28"/>
        </w:rPr>
        <w:t xml:space="preserve"> </w:t>
      </w:r>
      <w:r w:rsidRPr="00433FBE" w:rsidR="007F0FFA">
        <w:rPr>
          <w:rFonts w:ascii="Verdana" w:hAnsi="Verdana"/>
          <w:sz w:val="28"/>
          <w:szCs w:val="28"/>
        </w:rPr>
        <w:t xml:space="preserve">Supplementary written </w:t>
      </w:r>
      <w:r w:rsidR="006D282B">
        <w:rPr>
          <w:rFonts w:ascii="Verdana" w:hAnsi="Verdana"/>
          <w:sz w:val="28"/>
          <w:szCs w:val="28"/>
        </w:rPr>
        <w:t>evidence</w:t>
      </w:r>
    </w:p>
    <w:p w:rsidR="004F7151" w:rsidRPr="00433FBE" w:rsidP="004D4A6F">
      <w:pPr>
        <w:jc w:val="center"/>
        <w:rPr>
          <w:rFonts w:ascii="Verdana" w:hAnsi="Verdana"/>
          <w:b/>
          <w:bCs/>
        </w:rPr>
      </w:pPr>
    </w:p>
    <w:p w:rsidR="004D4A6F" w:rsidRPr="00433FBE" w:rsidP="00354857">
      <w:pPr>
        <w:rPr>
          <w:rFonts w:ascii="Verdana" w:hAnsi="Verdana"/>
          <w:b/>
          <w:bCs/>
        </w:rPr>
      </w:pPr>
      <w:r w:rsidRPr="00433FBE">
        <w:rPr>
          <w:rFonts w:ascii="Verdana" w:hAnsi="Verdana"/>
          <w:b/>
          <w:bCs/>
        </w:rPr>
        <w:t>European Affairs Sub-Committee on the Protocol on Ireland/Northern Ireland</w:t>
      </w:r>
    </w:p>
    <w:p w:rsidR="004D4A6F" w:rsidRPr="00433FBE" w:rsidP="00354857">
      <w:pPr>
        <w:rPr>
          <w:rFonts w:ascii="Verdana" w:hAnsi="Verdana"/>
        </w:rPr>
      </w:pPr>
    </w:p>
    <w:p w:rsidR="004D4A6F" w:rsidRPr="00433FBE" w:rsidP="00354857">
      <w:pPr>
        <w:rPr>
          <w:rFonts w:ascii="Verdana" w:hAnsi="Verdana"/>
          <w:b/>
          <w:bCs/>
        </w:rPr>
      </w:pPr>
      <w:r w:rsidRPr="00433FBE">
        <w:rPr>
          <w:rFonts w:ascii="Verdana" w:hAnsi="Verdana"/>
          <w:b/>
          <w:bCs/>
        </w:rPr>
        <w:t>The current situation in Northern Ireland as it relates to the Protocol</w:t>
      </w:r>
    </w:p>
    <w:p w:rsidR="004D4A6F" w:rsidRPr="00433FBE" w:rsidP="00354857">
      <w:pPr>
        <w:rPr>
          <w:rFonts w:ascii="Verdana" w:hAnsi="Verdana"/>
        </w:rPr>
      </w:pPr>
    </w:p>
    <w:p w:rsidR="004D4A6F" w:rsidRPr="00433FBE" w:rsidP="00354857">
      <w:pPr>
        <w:rPr>
          <w:rFonts w:ascii="Verdana" w:hAnsi="Verdana"/>
        </w:rPr>
      </w:pPr>
      <w:r w:rsidRPr="00433FBE">
        <w:rPr>
          <w:rFonts w:ascii="Verdana" w:hAnsi="Verdana"/>
        </w:rPr>
        <w:t>Submission from PAGB, the consumer healthcare association</w:t>
      </w:r>
    </w:p>
    <w:p w:rsidR="00EE0D3E" w:rsidRPr="00433FBE" w:rsidP="004D4A6F">
      <w:pPr>
        <w:rPr>
          <w:rFonts w:ascii="Verdana" w:hAnsi="Verdana"/>
        </w:rPr>
      </w:pPr>
    </w:p>
    <w:p w:rsidR="00364FF8" w:rsidRPr="00433FBE" w:rsidP="004D4A6F">
      <w:pPr>
        <w:rPr>
          <w:rFonts w:ascii="Verdana" w:hAnsi="Verdana"/>
        </w:rPr>
      </w:pPr>
    </w:p>
    <w:p w:rsidR="004D4A6F" w:rsidRPr="00433FBE" w:rsidP="004D4A6F">
      <w:pPr>
        <w:rPr>
          <w:rFonts w:ascii="Verdana" w:hAnsi="Verdana"/>
        </w:rPr>
      </w:pPr>
      <w:r w:rsidRPr="00433FBE">
        <w:rPr>
          <w:rFonts w:ascii="Verdana" w:hAnsi="Verdana"/>
        </w:rPr>
        <w:t>15 October 2021</w:t>
      </w:r>
    </w:p>
    <w:p w:rsidR="004D4A6F" w:rsidRPr="00433FBE" w:rsidP="004D4A6F">
      <w:pPr>
        <w:rPr>
          <w:rFonts w:ascii="Verdana" w:hAnsi="Verdana"/>
        </w:rPr>
      </w:pPr>
    </w:p>
    <w:p w:rsidR="004D4A6F" w:rsidRPr="00433FBE" w:rsidP="004D4A6F">
      <w:pPr>
        <w:rPr>
          <w:rFonts w:ascii="Verdana" w:hAnsi="Verdana"/>
        </w:rPr>
      </w:pPr>
      <w:r w:rsidRPr="00433FBE">
        <w:rPr>
          <w:rFonts w:ascii="Verdana" w:hAnsi="Verdana"/>
        </w:rPr>
        <w:t xml:space="preserve">PAGB, the consumer healthcare association, welcomes the opportunity to provide </w:t>
      </w:r>
      <w:r w:rsidRPr="00433FBE" w:rsidR="003F2C01">
        <w:rPr>
          <w:rFonts w:ascii="Verdana" w:hAnsi="Verdana"/>
        </w:rPr>
        <w:t>this follow up evidence to the European Affairs Sub-Committee on the Protocol on Ireland/Northern Ireland, to update the written evidence we submitted to the Committee on 11 June 2021.</w:t>
      </w:r>
    </w:p>
    <w:p w:rsidR="004D4A6F" w:rsidRPr="00433FBE" w:rsidP="004D4A6F">
      <w:pPr>
        <w:tabs>
          <w:tab w:val="left" w:pos="0"/>
          <w:tab w:val="right" w:pos="9072"/>
        </w:tabs>
        <w:rPr>
          <w:rFonts w:ascii="Verdana" w:hAnsi="Verdana"/>
        </w:rPr>
      </w:pPr>
    </w:p>
    <w:p w:rsidR="004D4A6F" w:rsidRPr="00433FBE" w:rsidP="004D4A6F">
      <w:pPr>
        <w:tabs>
          <w:tab w:val="left" w:pos="0"/>
          <w:tab w:val="right" w:pos="9072"/>
        </w:tabs>
        <w:rPr>
          <w:rFonts w:ascii="Verdana" w:hAnsi="Verdana"/>
        </w:rPr>
      </w:pPr>
      <w:r w:rsidRPr="00433FBE">
        <w:rPr>
          <w:rFonts w:ascii="Verdana" w:hAnsi="Verdana"/>
        </w:rPr>
        <w:t xml:space="preserve">PAGB is the UK trade association representing the manufacturers of branded </w:t>
      </w:r>
      <w:r w:rsidRPr="00433FBE">
        <w:rPr>
          <w:rFonts w:ascii="Verdana" w:hAnsi="Verdana"/>
        </w:rPr>
        <w:t>over-the-counter</w:t>
      </w:r>
      <w:r w:rsidRPr="00433FBE">
        <w:rPr>
          <w:rFonts w:ascii="Verdana" w:hAnsi="Verdana"/>
        </w:rPr>
        <w:t xml:space="preserve"> (OTC) medicines, self care medical devices and food supplements. These products can be bought from a pharmacy or other retail outlets without a prescription and help people to stay healthy and self care for self-treatable conditions which do not require consultation with a medical professional.</w:t>
      </w:r>
    </w:p>
    <w:p w:rsidR="00364FF8" w:rsidRPr="00433FBE" w:rsidP="004D4A6F">
      <w:pPr>
        <w:tabs>
          <w:tab w:val="left" w:pos="0"/>
          <w:tab w:val="right" w:pos="9072"/>
        </w:tabs>
        <w:rPr>
          <w:rFonts w:ascii="Verdana" w:hAnsi="Verdana"/>
        </w:rPr>
      </w:pPr>
    </w:p>
    <w:p w:rsidR="004D4A6F" w:rsidRPr="00433FBE" w:rsidP="004D4A6F">
      <w:pPr>
        <w:rPr>
          <w:rFonts w:ascii="Verdana" w:hAnsi="Verdana"/>
          <w:b/>
        </w:rPr>
      </w:pPr>
      <w:r w:rsidRPr="00433FBE">
        <w:rPr>
          <w:rFonts w:ascii="Verdana" w:hAnsi="Verdana"/>
          <w:b/>
        </w:rPr>
        <w:t>Summary of key points</w:t>
      </w:r>
    </w:p>
    <w:p w:rsidR="004D4A6F" w:rsidRPr="00433FBE" w:rsidP="004D4A6F">
      <w:pPr>
        <w:rPr>
          <w:rFonts w:ascii="Verdana" w:hAnsi="Verdana"/>
        </w:rPr>
      </w:pPr>
    </w:p>
    <w:p w:rsidR="004D4A6F" w:rsidRPr="00433FBE" w:rsidP="004D4A6F">
      <w:pPr>
        <w:pStyle w:val="ListParagraph"/>
        <w:numPr>
          <w:ilvl w:val="1"/>
          <w:numId w:val="11"/>
        </w:numPr>
        <w:ind w:left="709" w:hanging="567"/>
        <w:rPr>
          <w:rFonts w:ascii="Verdana" w:hAnsi="Verdana"/>
        </w:rPr>
      </w:pPr>
      <w:r w:rsidRPr="00433FBE">
        <w:rPr>
          <w:rFonts w:ascii="Verdana" w:hAnsi="Verdana"/>
        </w:rPr>
        <w:t xml:space="preserve">Questions remain about the long-term supply of medicines to Northern Ireland </w:t>
      </w:r>
      <w:r w:rsidRPr="00433FBE" w:rsidR="00C349EB">
        <w:rPr>
          <w:rFonts w:ascii="Verdana" w:hAnsi="Verdana"/>
        </w:rPr>
        <w:t>under the Northern Ireland Protocol</w:t>
      </w:r>
      <w:r w:rsidRPr="00433FBE">
        <w:rPr>
          <w:rFonts w:ascii="Verdana" w:hAnsi="Verdana"/>
        </w:rPr>
        <w:t>.</w:t>
      </w:r>
    </w:p>
    <w:p w:rsidR="004D4A6F" w:rsidRPr="00433FBE" w:rsidP="004D4A6F">
      <w:pPr>
        <w:pStyle w:val="ListParagraph"/>
        <w:ind w:left="709" w:hanging="567"/>
        <w:rPr>
          <w:rFonts w:ascii="Verdana" w:hAnsi="Verdana"/>
        </w:rPr>
      </w:pPr>
      <w:r w:rsidRPr="00433FBE">
        <w:rPr>
          <w:rFonts w:ascii="Verdana" w:hAnsi="Verdana"/>
        </w:rPr>
        <w:t xml:space="preserve"> </w:t>
      </w:r>
    </w:p>
    <w:p w:rsidR="00C349EB" w:rsidRPr="00433FBE" w:rsidP="00E43AF6">
      <w:pPr>
        <w:pStyle w:val="ListParagraph"/>
        <w:numPr>
          <w:ilvl w:val="1"/>
          <w:numId w:val="11"/>
        </w:numPr>
        <w:ind w:left="709" w:hanging="567"/>
        <w:rPr>
          <w:rFonts w:ascii="Verdana" w:hAnsi="Verdana"/>
        </w:rPr>
      </w:pPr>
      <w:r w:rsidRPr="00433FBE">
        <w:rPr>
          <w:rFonts w:ascii="Verdana" w:hAnsi="Verdana"/>
        </w:rPr>
        <w:t xml:space="preserve">While the announcement of the continuation of the standstill period is welcome because it removes the upcoming cliff edge, </w:t>
      </w:r>
      <w:r w:rsidRPr="00433FBE">
        <w:rPr>
          <w:rFonts w:ascii="Verdana" w:hAnsi="Verdana"/>
        </w:rPr>
        <w:t>a number of</w:t>
      </w:r>
      <w:r w:rsidRPr="00433FBE">
        <w:rPr>
          <w:rFonts w:ascii="Verdana" w:hAnsi="Verdana"/>
        </w:rPr>
        <w:t xml:space="preserve"> questions remain as to how it will work in practice and there is concern that it may cause more uncertainty as 1</w:t>
      </w:r>
      <w:r w:rsidRPr="00433FBE" w:rsidR="004339B5">
        <w:rPr>
          <w:rFonts w:ascii="Verdana" w:hAnsi="Verdana"/>
        </w:rPr>
        <w:t> </w:t>
      </w:r>
      <w:r w:rsidRPr="00433FBE">
        <w:rPr>
          <w:rFonts w:ascii="Verdana" w:hAnsi="Verdana"/>
        </w:rPr>
        <w:t>January 202</w:t>
      </w:r>
      <w:r w:rsidRPr="00433FBE" w:rsidR="00AB44D3">
        <w:rPr>
          <w:rFonts w:ascii="Verdana" w:hAnsi="Verdana"/>
        </w:rPr>
        <w:t>2</w:t>
      </w:r>
      <w:r w:rsidRPr="00433FBE">
        <w:rPr>
          <w:rFonts w:ascii="Verdana" w:hAnsi="Verdana"/>
        </w:rPr>
        <w:t xml:space="preserve"> approaches</w:t>
      </w:r>
      <w:r w:rsidRPr="00433FBE" w:rsidR="00AB44D3">
        <w:rPr>
          <w:rFonts w:ascii="Verdana" w:hAnsi="Verdana"/>
        </w:rPr>
        <w:t>.</w:t>
      </w:r>
    </w:p>
    <w:p w:rsidR="00C349EB" w:rsidRPr="00433FBE" w:rsidP="00C349EB">
      <w:pPr>
        <w:ind w:left="142"/>
        <w:rPr>
          <w:rFonts w:ascii="Verdana" w:hAnsi="Verdana"/>
        </w:rPr>
      </w:pPr>
    </w:p>
    <w:p w:rsidR="00E43AF6" w:rsidRPr="00433FBE" w:rsidP="00E43AF6">
      <w:pPr>
        <w:pStyle w:val="ListParagraph"/>
        <w:numPr>
          <w:ilvl w:val="1"/>
          <w:numId w:val="11"/>
        </w:numPr>
        <w:ind w:left="709" w:hanging="567"/>
        <w:rPr>
          <w:rFonts w:ascii="Verdana" w:hAnsi="Verdana"/>
        </w:rPr>
      </w:pPr>
      <w:r w:rsidRPr="00433FBE">
        <w:rPr>
          <w:rFonts w:ascii="Verdana" w:hAnsi="Verdana"/>
        </w:rPr>
        <w:t xml:space="preserve">The UK Government and EU Commission have each put forward different proposals to resolve the outstanding challenges. While both proposals would remove the remaining barriers to the supply of over-the-counter medicines to Northern Ireland, </w:t>
      </w:r>
      <w:r w:rsidRPr="00433FBE">
        <w:rPr>
          <w:rFonts w:ascii="Verdana" w:hAnsi="Verdana"/>
        </w:rPr>
        <w:t>a negotiated solution, agreed by both parties, is</w:t>
      </w:r>
      <w:r w:rsidRPr="00433FBE" w:rsidR="004339B5">
        <w:rPr>
          <w:rFonts w:ascii="Verdana" w:hAnsi="Verdana"/>
        </w:rPr>
        <w:t xml:space="preserve"> vastly</w:t>
      </w:r>
      <w:r w:rsidRPr="00433FBE">
        <w:rPr>
          <w:rFonts w:ascii="Verdana" w:hAnsi="Verdana"/>
        </w:rPr>
        <w:t xml:space="preserve"> preferable to unilateral action from either side.</w:t>
      </w:r>
    </w:p>
    <w:p w:rsidR="004D4A6F" w:rsidRPr="00433FBE" w:rsidP="004D4A6F">
      <w:pPr>
        <w:tabs>
          <w:tab w:val="left" w:pos="0"/>
          <w:tab w:val="right" w:pos="9072"/>
        </w:tabs>
        <w:rPr>
          <w:rFonts w:ascii="Verdana" w:hAnsi="Verdana"/>
        </w:rPr>
      </w:pPr>
    </w:p>
    <w:p w:rsidR="004D4A6F" w:rsidRPr="00433FBE" w:rsidP="004D4A6F">
      <w:pPr>
        <w:numPr>
          <w:ilvl w:val="0"/>
          <w:numId w:val="10"/>
        </w:numPr>
        <w:tabs>
          <w:tab w:val="right" w:pos="9072"/>
        </w:tabs>
        <w:ind w:left="709" w:hanging="709"/>
        <w:rPr>
          <w:rFonts w:ascii="Verdana" w:hAnsi="Verdana"/>
          <w:b/>
        </w:rPr>
      </w:pPr>
      <w:r w:rsidRPr="00433FBE">
        <w:rPr>
          <w:rFonts w:ascii="Verdana" w:hAnsi="Verdana"/>
          <w:b/>
        </w:rPr>
        <w:t>The current situation</w:t>
      </w:r>
    </w:p>
    <w:p w:rsidR="004D4A6F" w:rsidRPr="00433FBE" w:rsidP="004D4A6F">
      <w:pPr>
        <w:tabs>
          <w:tab w:val="left" w:pos="0"/>
          <w:tab w:val="right" w:pos="9072"/>
        </w:tabs>
        <w:rPr>
          <w:rFonts w:ascii="Verdana" w:hAnsi="Verdana"/>
        </w:rPr>
      </w:pPr>
    </w:p>
    <w:p w:rsidR="00F3003A" w:rsidRPr="00433FBE" w:rsidP="004D4A6F">
      <w:pPr>
        <w:numPr>
          <w:ilvl w:val="1"/>
          <w:numId w:val="10"/>
        </w:numPr>
        <w:tabs>
          <w:tab w:val="left" w:pos="0"/>
          <w:tab w:val="right" w:pos="9072"/>
        </w:tabs>
        <w:rPr>
          <w:rFonts w:ascii="Verdana" w:hAnsi="Verdana"/>
        </w:rPr>
      </w:pPr>
      <w:r w:rsidRPr="00433FBE">
        <w:rPr>
          <w:rFonts w:ascii="Verdana" w:hAnsi="Verdana"/>
        </w:rPr>
        <w:t>The Northern Ireland Protocol (NIP) provides the framework that governs how the products can be supplied into Northern Ireland from Great Britain.</w:t>
      </w:r>
    </w:p>
    <w:p w:rsidR="00F3003A" w:rsidRPr="00433FBE" w:rsidP="00F3003A">
      <w:pPr>
        <w:tabs>
          <w:tab w:val="left" w:pos="0"/>
          <w:tab w:val="right" w:pos="9072"/>
        </w:tabs>
        <w:ind w:left="720"/>
        <w:rPr>
          <w:rFonts w:ascii="Verdana" w:hAnsi="Verdana"/>
        </w:rPr>
      </w:pPr>
    </w:p>
    <w:p w:rsidR="004D4A6F" w:rsidRPr="00433FBE" w:rsidP="004D4A6F">
      <w:pPr>
        <w:numPr>
          <w:ilvl w:val="1"/>
          <w:numId w:val="10"/>
        </w:numPr>
        <w:tabs>
          <w:tab w:val="left" w:pos="0"/>
          <w:tab w:val="right" w:pos="9072"/>
        </w:tabs>
        <w:rPr>
          <w:rFonts w:ascii="Verdana" w:hAnsi="Verdana"/>
        </w:rPr>
      </w:pPr>
      <w:r w:rsidRPr="00433FBE">
        <w:rPr>
          <w:rFonts w:ascii="Verdana" w:hAnsi="Verdana"/>
        </w:rPr>
        <w:t xml:space="preserve">With regards the supply of over-the-counter medicines, the full impact remains to be felt in Northern Ireland. Under an agreement reached between the UK and the EU on 8 December 2020, a </w:t>
      </w:r>
      <w:r w:rsidRPr="00433FBE" w:rsidR="00F3003A">
        <w:rPr>
          <w:rFonts w:ascii="Verdana" w:hAnsi="Verdana"/>
        </w:rPr>
        <w:t xml:space="preserve">standstill or </w:t>
      </w:r>
      <w:r w:rsidRPr="00433FBE">
        <w:rPr>
          <w:rFonts w:ascii="Verdana" w:hAnsi="Verdana"/>
        </w:rPr>
        <w:t xml:space="preserve">grace period </w:t>
      </w:r>
      <w:r w:rsidRPr="00433FBE" w:rsidR="00C349EB">
        <w:rPr>
          <w:rFonts w:ascii="Verdana" w:hAnsi="Verdana"/>
        </w:rPr>
        <w:t>was put</w:t>
      </w:r>
      <w:r w:rsidRPr="00433FBE">
        <w:rPr>
          <w:rFonts w:ascii="Verdana" w:hAnsi="Verdana"/>
        </w:rPr>
        <w:t xml:space="preserve"> in place until 31 December 2021. During this period:</w:t>
      </w:r>
    </w:p>
    <w:p w:rsidR="004D4A6F" w:rsidRPr="00433FBE" w:rsidP="004D4A6F">
      <w:pPr>
        <w:pStyle w:val="ListParagraph"/>
        <w:numPr>
          <w:ilvl w:val="0"/>
          <w:numId w:val="12"/>
        </w:numPr>
        <w:tabs>
          <w:tab w:val="left" w:pos="0"/>
          <w:tab w:val="right" w:pos="9072"/>
        </w:tabs>
        <w:rPr>
          <w:rFonts w:ascii="Verdana" w:hAnsi="Verdana"/>
        </w:rPr>
      </w:pPr>
      <w:r w:rsidRPr="00433FBE">
        <w:rPr>
          <w:rFonts w:ascii="Verdana" w:hAnsi="Verdana"/>
        </w:rPr>
        <w:t>‘Quality Control (QC’) testing in Great Britain continues to be valid in Northern Ireland</w:t>
      </w:r>
    </w:p>
    <w:p w:rsidR="004D4A6F" w:rsidRPr="00433FBE" w:rsidP="004D4A6F">
      <w:pPr>
        <w:pStyle w:val="ListParagraph"/>
        <w:numPr>
          <w:ilvl w:val="0"/>
          <w:numId w:val="12"/>
        </w:numPr>
        <w:tabs>
          <w:tab w:val="left" w:pos="0"/>
          <w:tab w:val="right" w:pos="9072"/>
        </w:tabs>
        <w:rPr>
          <w:rFonts w:ascii="Verdana" w:hAnsi="Verdana"/>
        </w:rPr>
      </w:pPr>
      <w:r w:rsidRPr="00433FBE">
        <w:rPr>
          <w:rFonts w:ascii="Verdana" w:hAnsi="Verdana"/>
        </w:rPr>
        <w:t xml:space="preserve">‘Qualified Person (QP)’ certification in Great Britain continues to be valid in Northern Ireland </w:t>
      </w:r>
    </w:p>
    <w:p w:rsidR="004D4A6F" w:rsidRPr="00433FBE" w:rsidP="004D4A6F">
      <w:pPr>
        <w:pStyle w:val="ListParagraph"/>
        <w:numPr>
          <w:ilvl w:val="0"/>
          <w:numId w:val="12"/>
        </w:numPr>
        <w:tabs>
          <w:tab w:val="left" w:pos="0"/>
          <w:tab w:val="right" w:pos="9072"/>
        </w:tabs>
        <w:rPr>
          <w:rFonts w:ascii="Verdana" w:hAnsi="Verdana"/>
        </w:rPr>
      </w:pPr>
      <w:r w:rsidRPr="00433FBE">
        <w:rPr>
          <w:rFonts w:ascii="Verdana" w:hAnsi="Verdana"/>
        </w:rPr>
        <w:t>A pragmatic approach to EU importation requirements, and requirements to apply unique identifiers (FMD) to packs of medicines, is being applied</w:t>
      </w:r>
    </w:p>
    <w:p w:rsidR="004D4A6F" w:rsidRPr="00433FBE" w:rsidP="004D4A6F">
      <w:pPr>
        <w:tabs>
          <w:tab w:val="left" w:pos="0"/>
          <w:tab w:val="right" w:pos="9072"/>
        </w:tabs>
        <w:ind w:left="720"/>
        <w:rPr>
          <w:rFonts w:ascii="Verdana" w:hAnsi="Verdana"/>
        </w:rPr>
      </w:pPr>
    </w:p>
    <w:p w:rsidR="004D4A6F" w:rsidRPr="00433FBE" w:rsidP="004D4A6F">
      <w:pPr>
        <w:numPr>
          <w:ilvl w:val="1"/>
          <w:numId w:val="10"/>
        </w:numPr>
        <w:tabs>
          <w:tab w:val="left" w:pos="0"/>
          <w:tab w:val="right" w:pos="9072"/>
        </w:tabs>
        <w:rPr>
          <w:rFonts w:ascii="Verdana" w:hAnsi="Verdana"/>
        </w:rPr>
      </w:pPr>
      <w:r w:rsidRPr="00433FBE">
        <w:rPr>
          <w:rFonts w:ascii="Verdana" w:hAnsi="Verdana"/>
        </w:rPr>
        <w:t xml:space="preserve">In September 2021, the UK Government announced that this standstill period would be continued </w:t>
      </w:r>
      <w:r w:rsidRPr="00433FBE" w:rsidR="00AB44D3">
        <w:rPr>
          <w:rFonts w:ascii="Verdana" w:hAnsi="Verdana"/>
        </w:rPr>
        <w:t>indefinitely</w:t>
      </w:r>
      <w:r w:rsidRPr="00433FBE">
        <w:rPr>
          <w:rFonts w:ascii="Verdana" w:hAnsi="Verdana"/>
        </w:rPr>
        <w:t xml:space="preserve"> (see point 4 below).</w:t>
      </w:r>
      <w:r w:rsidRPr="00433FBE" w:rsidR="00AB44D3">
        <w:rPr>
          <w:rFonts w:ascii="Verdana" w:hAnsi="Verdana"/>
        </w:rPr>
        <w:t xml:space="preserve"> While this is welcomed, u</w:t>
      </w:r>
      <w:r w:rsidRPr="00433FBE" w:rsidR="00F3003A">
        <w:rPr>
          <w:rFonts w:ascii="Verdana" w:hAnsi="Verdana"/>
        </w:rPr>
        <w:t>ncertainty remains as to what rules will be in place governing the supply of medicines to Northern Ireland when these</w:t>
      </w:r>
      <w:r w:rsidRPr="00433FBE">
        <w:rPr>
          <w:rFonts w:ascii="Verdana" w:hAnsi="Verdana"/>
        </w:rPr>
        <w:t xml:space="preserve"> standstill</w:t>
      </w:r>
      <w:r w:rsidRPr="00433FBE" w:rsidR="00F3003A">
        <w:rPr>
          <w:rFonts w:ascii="Verdana" w:hAnsi="Verdana"/>
        </w:rPr>
        <w:t xml:space="preserve"> flexibilities cease.</w:t>
      </w:r>
    </w:p>
    <w:p w:rsidR="004D4A6F" w:rsidRPr="00433FBE" w:rsidP="004D4A6F">
      <w:pPr>
        <w:tabs>
          <w:tab w:val="left" w:pos="0"/>
          <w:tab w:val="right" w:pos="9072"/>
        </w:tabs>
        <w:rPr>
          <w:rFonts w:ascii="Verdana" w:hAnsi="Verdana"/>
        </w:rPr>
      </w:pPr>
    </w:p>
    <w:p w:rsidR="004D4A6F" w:rsidRPr="00433FBE" w:rsidP="004D4A6F">
      <w:pPr>
        <w:numPr>
          <w:ilvl w:val="1"/>
          <w:numId w:val="10"/>
        </w:numPr>
        <w:tabs>
          <w:tab w:val="left" w:pos="0"/>
          <w:tab w:val="right" w:pos="9072"/>
        </w:tabs>
        <w:rPr>
          <w:rFonts w:ascii="Verdana" w:hAnsi="Verdana"/>
        </w:rPr>
      </w:pPr>
      <w:r w:rsidRPr="00433FBE">
        <w:rPr>
          <w:rFonts w:ascii="Verdana" w:hAnsi="Verdana"/>
        </w:rPr>
        <w:t>During discussions in 2021 and following PAGB member companies’ analysis of requirements needed to supply Northern Ireland, it has become clear that the proposed framework for supply set out in the Northern Ireland Protocol is not logistically viable and this will result in a large discontinuation of medicines in Northern Ireland. Data from PAGB companies in 2021, estimated that this could amount to a 75% - 98% discontinuation of over-the-counter medicines currently available in Northern Ireland (measured in stock keeping units/SKUs).</w:t>
      </w:r>
    </w:p>
    <w:p w:rsidR="004D4A6F" w:rsidRPr="00433FBE" w:rsidP="004D4A6F">
      <w:pPr>
        <w:tabs>
          <w:tab w:val="left" w:pos="0"/>
          <w:tab w:val="right" w:pos="9072"/>
        </w:tabs>
        <w:rPr>
          <w:rFonts w:ascii="Verdana" w:hAnsi="Verdana"/>
        </w:rPr>
      </w:pPr>
    </w:p>
    <w:p w:rsidR="00611DE6" w:rsidRPr="00433FBE" w:rsidP="00364FF8">
      <w:pPr>
        <w:tabs>
          <w:tab w:val="left" w:pos="709"/>
          <w:tab w:val="right" w:pos="9072"/>
        </w:tabs>
        <w:ind w:left="709" w:hanging="709"/>
        <w:rPr>
          <w:rFonts w:ascii="Verdana" w:hAnsi="Verdana"/>
        </w:rPr>
      </w:pPr>
      <w:r w:rsidRPr="00433FBE">
        <w:rPr>
          <w:rFonts w:ascii="Verdana" w:hAnsi="Verdana"/>
        </w:rPr>
        <w:t>1.</w:t>
      </w:r>
      <w:r w:rsidRPr="00433FBE" w:rsidR="00C457C1">
        <w:rPr>
          <w:rFonts w:ascii="Verdana" w:hAnsi="Verdana"/>
        </w:rPr>
        <w:t>5</w:t>
      </w:r>
      <w:r w:rsidRPr="00433FBE">
        <w:rPr>
          <w:rFonts w:ascii="Verdana" w:hAnsi="Verdana"/>
        </w:rPr>
        <w:t xml:space="preserve">     </w:t>
      </w:r>
      <w:r w:rsidRPr="00433FBE" w:rsidR="00C457C1">
        <w:rPr>
          <w:rFonts w:ascii="Verdana" w:hAnsi="Verdana"/>
        </w:rPr>
        <w:tab/>
        <w:t xml:space="preserve">From a UK perspective there has been ongoing dialogue between industry and the UK Government via the Department of Health and Social Care (DHSC) and the Medicines and Healthcare products Regulatory Agency (MHRA) to highlight concerns and barriers to supplying Northern Ireland.  From an EU perspective, European </w:t>
      </w:r>
      <w:r w:rsidRPr="00433FBE" w:rsidR="00364FF8">
        <w:rPr>
          <w:rFonts w:ascii="Verdana" w:hAnsi="Verdana"/>
        </w:rPr>
        <w:t>t</w:t>
      </w:r>
      <w:r w:rsidRPr="00433FBE" w:rsidR="00C457C1">
        <w:rPr>
          <w:rFonts w:ascii="Verdana" w:hAnsi="Verdana"/>
        </w:rPr>
        <w:t xml:space="preserve">rade </w:t>
      </w:r>
      <w:r w:rsidRPr="00433FBE" w:rsidR="00364FF8">
        <w:rPr>
          <w:rFonts w:ascii="Verdana" w:hAnsi="Verdana"/>
        </w:rPr>
        <w:t>a</w:t>
      </w:r>
      <w:r w:rsidRPr="00433FBE" w:rsidR="00C457C1">
        <w:rPr>
          <w:rFonts w:ascii="Verdana" w:hAnsi="Verdana"/>
        </w:rPr>
        <w:t xml:space="preserve">ssociations and global companies have met with the EU </w:t>
      </w:r>
      <w:r w:rsidRPr="00433FBE" w:rsidR="00364FF8">
        <w:rPr>
          <w:rFonts w:ascii="Verdana" w:hAnsi="Verdana"/>
        </w:rPr>
        <w:t>C</w:t>
      </w:r>
      <w:r w:rsidRPr="00433FBE" w:rsidR="00C457C1">
        <w:rPr>
          <w:rFonts w:ascii="Verdana" w:hAnsi="Verdana"/>
        </w:rPr>
        <w:t xml:space="preserve">ommission to raise concerns </w:t>
      </w:r>
      <w:r w:rsidRPr="00433FBE" w:rsidR="00C457C1">
        <w:rPr>
          <w:rFonts w:ascii="Verdana" w:hAnsi="Verdana"/>
        </w:rPr>
        <w:t>with regard to</w:t>
      </w:r>
      <w:r w:rsidRPr="00433FBE" w:rsidR="00C457C1">
        <w:rPr>
          <w:rFonts w:ascii="Verdana" w:hAnsi="Verdana"/>
        </w:rPr>
        <w:t xml:space="preserve"> the continued supply of medicines to Northern Ireland once the </w:t>
      </w:r>
      <w:r w:rsidRPr="00433FBE" w:rsidR="00364FF8">
        <w:rPr>
          <w:rFonts w:ascii="Verdana" w:hAnsi="Verdana"/>
        </w:rPr>
        <w:t>standstill</w:t>
      </w:r>
      <w:r w:rsidRPr="00433FBE" w:rsidR="00C457C1">
        <w:rPr>
          <w:rFonts w:ascii="Verdana" w:hAnsi="Verdana"/>
        </w:rPr>
        <w:t xml:space="preserve"> period finishes.</w:t>
      </w:r>
    </w:p>
    <w:p w:rsidR="002D0AB0" w:rsidRPr="00433FBE" w:rsidP="004F7151">
      <w:pPr>
        <w:tabs>
          <w:tab w:val="left" w:pos="709"/>
          <w:tab w:val="right" w:pos="9072"/>
        </w:tabs>
        <w:rPr>
          <w:rFonts w:ascii="Verdana" w:hAnsi="Verdana"/>
        </w:rPr>
      </w:pPr>
    </w:p>
    <w:p w:rsidR="002D0AB0" w:rsidRPr="00433FBE" w:rsidP="002D0AB0">
      <w:pPr>
        <w:numPr>
          <w:ilvl w:val="0"/>
          <w:numId w:val="10"/>
        </w:numPr>
        <w:tabs>
          <w:tab w:val="right" w:pos="9072"/>
        </w:tabs>
        <w:ind w:left="709" w:hanging="709"/>
        <w:rPr>
          <w:rFonts w:ascii="Verdana" w:hAnsi="Verdana"/>
          <w:b/>
          <w:bCs/>
        </w:rPr>
      </w:pPr>
      <w:r w:rsidRPr="00433FBE">
        <w:rPr>
          <w:rFonts w:ascii="Verdana" w:hAnsi="Verdana"/>
          <w:b/>
          <w:bCs/>
        </w:rPr>
        <w:t>Continuation of standstill/grace period</w:t>
      </w:r>
    </w:p>
    <w:p w:rsidR="002D0AB0" w:rsidRPr="00433FBE" w:rsidP="002D0AB0">
      <w:pPr>
        <w:tabs>
          <w:tab w:val="left" w:pos="0"/>
          <w:tab w:val="right" w:pos="9072"/>
        </w:tabs>
        <w:rPr>
          <w:rFonts w:ascii="Verdana" w:hAnsi="Verdana"/>
        </w:rPr>
      </w:pPr>
    </w:p>
    <w:p w:rsidR="002D0AB0" w:rsidRPr="00433FBE" w:rsidP="002D0AB0">
      <w:pPr>
        <w:numPr>
          <w:ilvl w:val="1"/>
          <w:numId w:val="10"/>
        </w:numPr>
        <w:tabs>
          <w:tab w:val="left" w:pos="0"/>
          <w:tab w:val="right" w:pos="9072"/>
        </w:tabs>
        <w:rPr>
          <w:rFonts w:ascii="Verdana" w:hAnsi="Verdana"/>
        </w:rPr>
      </w:pPr>
      <w:r w:rsidRPr="00433FBE">
        <w:rPr>
          <w:rFonts w:ascii="Verdana" w:hAnsi="Verdana"/>
        </w:rPr>
        <w:t>On 6 September 2021, The Rt Hon Lord Frost, Minister of State for the Cabinet Office, confirmed in a Written Ministerial Statement to Parliament that the UK Government has unilaterally extended the standstill or grace period. This extension covered all industries and related easements, including those for medicines.</w:t>
      </w:r>
    </w:p>
    <w:p w:rsidR="002D0AB0" w:rsidRPr="00433FBE" w:rsidP="002D0AB0">
      <w:pPr>
        <w:tabs>
          <w:tab w:val="left" w:pos="0"/>
          <w:tab w:val="right" w:pos="9072"/>
        </w:tabs>
        <w:rPr>
          <w:rFonts w:ascii="Verdana" w:hAnsi="Verdana"/>
        </w:rPr>
      </w:pPr>
    </w:p>
    <w:p w:rsidR="002D0AB0" w:rsidRPr="00433FBE" w:rsidP="002D0AB0">
      <w:pPr>
        <w:numPr>
          <w:ilvl w:val="1"/>
          <w:numId w:val="10"/>
        </w:numPr>
        <w:tabs>
          <w:tab w:val="left" w:pos="0"/>
          <w:tab w:val="right" w:pos="9072"/>
        </w:tabs>
        <w:rPr>
          <w:rFonts w:ascii="Verdana" w:hAnsi="Verdana"/>
        </w:rPr>
      </w:pPr>
      <w:r w:rsidRPr="00433FBE">
        <w:rPr>
          <w:rFonts w:ascii="Verdana" w:hAnsi="Verdana"/>
        </w:rPr>
        <w:t>This means that the 31 December 2021 cliff edge, which would have seen all medicines having to revert to full UK-EU trading requirements, as outlined in the Northern Ireland Protocol, has been postponed indefinitely with the assurance that industry would be given an “adequate notice period” before any change is introduced.</w:t>
      </w:r>
    </w:p>
    <w:p w:rsidR="002D0AB0" w:rsidRPr="00433FBE" w:rsidP="002D0AB0">
      <w:pPr>
        <w:tabs>
          <w:tab w:val="left" w:pos="0"/>
          <w:tab w:val="right" w:pos="9072"/>
        </w:tabs>
        <w:rPr>
          <w:rFonts w:ascii="Verdana" w:hAnsi="Verdana"/>
        </w:rPr>
      </w:pPr>
    </w:p>
    <w:p w:rsidR="002D0AB0" w:rsidRPr="00433FBE" w:rsidP="002D0AB0">
      <w:pPr>
        <w:numPr>
          <w:ilvl w:val="1"/>
          <w:numId w:val="10"/>
        </w:numPr>
        <w:tabs>
          <w:tab w:val="left" w:pos="0"/>
          <w:tab w:val="right" w:pos="9072"/>
        </w:tabs>
        <w:rPr>
          <w:rFonts w:ascii="Verdana" w:hAnsi="Verdana"/>
        </w:rPr>
      </w:pPr>
      <w:r w:rsidRPr="00433FBE">
        <w:rPr>
          <w:rFonts w:ascii="Verdana" w:hAnsi="Verdana"/>
        </w:rPr>
        <w:t>The EU has not agreed to the extension but has said it does not intend to take legal action at this point.  Reference to the grace period ending is made in the updated non-paper issued on 13 October 2021, and one point of clarification requested from the EU commission is for confirmation that the grace period can be extended should negotiations or legal text changes (following a negotiation) not be completed by the end of 2021.</w:t>
      </w:r>
    </w:p>
    <w:p w:rsidR="002D0AB0" w:rsidRPr="00433FBE" w:rsidP="002D0AB0">
      <w:pPr>
        <w:tabs>
          <w:tab w:val="left" w:pos="0"/>
          <w:tab w:val="right" w:pos="9072"/>
        </w:tabs>
        <w:rPr>
          <w:rFonts w:ascii="Verdana" w:hAnsi="Verdana"/>
        </w:rPr>
      </w:pPr>
    </w:p>
    <w:p w:rsidR="002D0AB0" w:rsidRPr="00433FBE" w:rsidP="002D0AB0">
      <w:pPr>
        <w:numPr>
          <w:ilvl w:val="1"/>
          <w:numId w:val="10"/>
        </w:numPr>
        <w:tabs>
          <w:tab w:val="left" w:pos="0"/>
          <w:tab w:val="right" w:pos="9072"/>
        </w:tabs>
        <w:rPr>
          <w:rFonts w:ascii="Verdana" w:hAnsi="Verdana"/>
        </w:rPr>
      </w:pPr>
      <w:r w:rsidRPr="00433FBE">
        <w:rPr>
          <w:rFonts w:ascii="Verdana" w:hAnsi="Verdana"/>
        </w:rPr>
        <w:t xml:space="preserve">Because this step has been taken unilaterally and without agreement from the EU, </w:t>
      </w:r>
      <w:r w:rsidRPr="00433FBE">
        <w:rPr>
          <w:rFonts w:ascii="Verdana" w:hAnsi="Verdana"/>
        </w:rPr>
        <w:t>a number of</w:t>
      </w:r>
      <w:r w:rsidRPr="00433FBE">
        <w:rPr>
          <w:rFonts w:ascii="Verdana" w:hAnsi="Verdana"/>
        </w:rPr>
        <w:t xml:space="preserve"> outstanding questions remain to be answered on the approach to be taken and the practicalities of how this will work. As such, while the continuation avoids the cliff edge at the end of this year, there </w:t>
      </w:r>
      <w:r w:rsidRPr="00433FBE">
        <w:rPr>
          <w:rFonts w:ascii="Verdana" w:hAnsi="Verdana"/>
        </w:rPr>
        <w:t>may be further regulatory issues at the UK and EU level after 1 January 2022.</w:t>
      </w:r>
    </w:p>
    <w:p w:rsidR="002D0AB0" w:rsidRPr="00433FBE" w:rsidP="002D0AB0">
      <w:pPr>
        <w:tabs>
          <w:tab w:val="left" w:pos="0"/>
          <w:tab w:val="right" w:pos="9072"/>
        </w:tabs>
        <w:rPr>
          <w:rFonts w:ascii="Verdana" w:hAnsi="Verdana"/>
        </w:rPr>
      </w:pPr>
    </w:p>
    <w:p w:rsidR="004F7151" w:rsidP="0053089A">
      <w:pPr>
        <w:numPr>
          <w:ilvl w:val="1"/>
          <w:numId w:val="10"/>
        </w:numPr>
        <w:tabs>
          <w:tab w:val="left" w:pos="0"/>
          <w:tab w:val="right" w:pos="9072"/>
        </w:tabs>
        <w:rPr>
          <w:rFonts w:ascii="Verdana" w:hAnsi="Verdana"/>
        </w:rPr>
      </w:pPr>
      <w:r w:rsidRPr="0053089A">
        <w:rPr>
          <w:rFonts w:ascii="Verdana" w:hAnsi="Verdana"/>
        </w:rPr>
        <w:t>However, in the short-term, it has meant that PAGB member companies have been able to put on hold or delay some of the discontinuations planned for 1 January 2022, while the EU Commission and UK Government continue to negotiate.</w:t>
      </w:r>
    </w:p>
    <w:p w:rsidR="0053089A" w:rsidP="0053089A">
      <w:pPr>
        <w:pStyle w:val="ListParagraph"/>
        <w:rPr>
          <w:rFonts w:ascii="Verdana" w:hAnsi="Verdana"/>
        </w:rPr>
      </w:pPr>
    </w:p>
    <w:p w:rsidR="0053089A" w:rsidRPr="0053089A" w:rsidP="0053089A">
      <w:pPr>
        <w:tabs>
          <w:tab w:val="left" w:pos="0"/>
          <w:tab w:val="right" w:pos="9072"/>
        </w:tabs>
        <w:ind w:left="720"/>
        <w:rPr>
          <w:rFonts w:ascii="Verdana" w:hAnsi="Verdana"/>
        </w:rPr>
      </w:pPr>
    </w:p>
    <w:p w:rsidR="004D4A6F" w:rsidRPr="00433FBE" w:rsidP="004D4A6F">
      <w:pPr>
        <w:numPr>
          <w:ilvl w:val="0"/>
          <w:numId w:val="10"/>
        </w:numPr>
        <w:tabs>
          <w:tab w:val="right" w:pos="9072"/>
        </w:tabs>
        <w:ind w:left="709" w:hanging="709"/>
        <w:rPr>
          <w:rFonts w:ascii="Verdana" w:hAnsi="Verdana"/>
          <w:b/>
          <w:bCs/>
        </w:rPr>
      </w:pPr>
      <w:r w:rsidRPr="00433FBE">
        <w:rPr>
          <w:rFonts w:ascii="Verdana" w:hAnsi="Verdana"/>
          <w:b/>
          <w:bCs/>
        </w:rPr>
        <w:t>UK Government Command Paper</w:t>
      </w:r>
    </w:p>
    <w:p w:rsidR="00A15ED6" w:rsidRPr="00433FBE" w:rsidP="00A15ED6">
      <w:pPr>
        <w:rPr>
          <w:rFonts w:ascii="Verdana" w:hAnsi="Verdana"/>
        </w:rPr>
      </w:pPr>
    </w:p>
    <w:p w:rsidR="00306FEE" w:rsidRPr="00433FBE" w:rsidP="00A15ED6">
      <w:pPr>
        <w:numPr>
          <w:ilvl w:val="1"/>
          <w:numId w:val="10"/>
        </w:numPr>
        <w:tabs>
          <w:tab w:val="left" w:pos="0"/>
          <w:tab w:val="right" w:pos="9072"/>
        </w:tabs>
        <w:rPr>
          <w:rFonts w:ascii="Verdana" w:hAnsi="Verdana"/>
        </w:rPr>
      </w:pPr>
      <w:r w:rsidRPr="00433FBE">
        <w:rPr>
          <w:rFonts w:ascii="Verdana" w:hAnsi="Verdana"/>
        </w:rPr>
        <w:t>The UK Government published its Command Paper on 21 July 2021.</w:t>
      </w:r>
    </w:p>
    <w:p w:rsidR="00306FEE" w:rsidRPr="00433FBE" w:rsidP="00306FEE">
      <w:pPr>
        <w:tabs>
          <w:tab w:val="left" w:pos="0"/>
          <w:tab w:val="right" w:pos="9072"/>
        </w:tabs>
        <w:rPr>
          <w:rFonts w:ascii="Verdana" w:hAnsi="Verdana"/>
        </w:rPr>
      </w:pPr>
    </w:p>
    <w:p w:rsidR="004D4A6F" w:rsidRPr="00433FBE" w:rsidP="00A15ED6">
      <w:pPr>
        <w:numPr>
          <w:ilvl w:val="1"/>
          <w:numId w:val="10"/>
        </w:numPr>
        <w:tabs>
          <w:tab w:val="left" w:pos="0"/>
          <w:tab w:val="right" w:pos="9072"/>
        </w:tabs>
        <w:rPr>
          <w:rFonts w:ascii="Verdana" w:hAnsi="Verdana"/>
        </w:rPr>
      </w:pPr>
      <w:r w:rsidRPr="00433FBE">
        <w:rPr>
          <w:rFonts w:ascii="Verdana" w:hAnsi="Verdana"/>
        </w:rPr>
        <w:t>This document proposed removing medicines from the remit of the Northern Ireland Protocol, which would thereby allow the continued supply of medicines under the current regime, with the oversight of MHRA as the regulator.</w:t>
      </w:r>
    </w:p>
    <w:p w:rsidR="004D4A6F" w:rsidRPr="00433FBE" w:rsidP="004D4A6F">
      <w:pPr>
        <w:tabs>
          <w:tab w:val="left" w:pos="0"/>
          <w:tab w:val="right" w:pos="9072"/>
        </w:tabs>
        <w:rPr>
          <w:rFonts w:ascii="Verdana" w:hAnsi="Verdana"/>
        </w:rPr>
      </w:pPr>
    </w:p>
    <w:p w:rsidR="004D4A6F" w:rsidRPr="00433FBE" w:rsidP="00F3003A">
      <w:pPr>
        <w:numPr>
          <w:ilvl w:val="1"/>
          <w:numId w:val="10"/>
        </w:numPr>
        <w:tabs>
          <w:tab w:val="left" w:pos="0"/>
          <w:tab w:val="right" w:pos="9072"/>
        </w:tabs>
        <w:rPr>
          <w:rFonts w:ascii="Verdana" w:hAnsi="Verdana"/>
        </w:rPr>
      </w:pPr>
      <w:r w:rsidRPr="00433FBE">
        <w:rPr>
          <w:rFonts w:ascii="Verdana" w:hAnsi="Verdana"/>
        </w:rPr>
        <w:t xml:space="preserve">At the time of writing, no further information or detailed legislative proposals have been put forward by the UK Government, however, in principle this proposal </w:t>
      </w:r>
      <w:r w:rsidRPr="00433FBE" w:rsidR="00152D11">
        <w:rPr>
          <w:rFonts w:ascii="Verdana" w:hAnsi="Verdana"/>
        </w:rPr>
        <w:t xml:space="preserve">could </w:t>
      </w:r>
      <w:r w:rsidRPr="00433FBE" w:rsidR="00306FEE">
        <w:rPr>
          <w:rFonts w:ascii="Verdana" w:hAnsi="Verdana"/>
        </w:rPr>
        <w:t>remove the outstanding barriers and enable continued supply to Northern Ireland</w:t>
      </w:r>
      <w:r w:rsidRPr="00433FBE" w:rsidR="00152D11">
        <w:rPr>
          <w:rFonts w:ascii="Verdana" w:hAnsi="Verdana"/>
        </w:rPr>
        <w:t xml:space="preserve"> </w:t>
      </w:r>
    </w:p>
    <w:p w:rsidR="00152D11" w:rsidRPr="00433FBE" w:rsidP="009B6C02">
      <w:pPr>
        <w:pStyle w:val="ListParagraph"/>
        <w:rPr>
          <w:rFonts w:ascii="Verdana" w:hAnsi="Verdana"/>
        </w:rPr>
      </w:pPr>
    </w:p>
    <w:p w:rsidR="00152D11" w:rsidRPr="00433FBE" w:rsidP="00F3003A">
      <w:pPr>
        <w:numPr>
          <w:ilvl w:val="1"/>
          <w:numId w:val="10"/>
        </w:numPr>
        <w:tabs>
          <w:tab w:val="left" w:pos="0"/>
          <w:tab w:val="right" w:pos="9072"/>
        </w:tabs>
        <w:rPr>
          <w:rFonts w:ascii="Verdana" w:hAnsi="Verdana"/>
        </w:rPr>
      </w:pPr>
      <w:r w:rsidRPr="00433FBE">
        <w:rPr>
          <w:rFonts w:ascii="Verdana" w:hAnsi="Verdana"/>
        </w:rPr>
        <w:t xml:space="preserve">PAGB would welcome further discussion and detail relating to the proposed legislative changes </w:t>
      </w:r>
      <w:r w:rsidRPr="00433FBE" w:rsidR="002D0AB0">
        <w:rPr>
          <w:rFonts w:ascii="Verdana" w:hAnsi="Verdana"/>
        </w:rPr>
        <w:t xml:space="preserve">enable </w:t>
      </w:r>
      <w:r w:rsidRPr="00433FBE">
        <w:rPr>
          <w:rFonts w:ascii="Verdana" w:hAnsi="Verdana"/>
        </w:rPr>
        <w:t xml:space="preserve">industry to assess the viability that </w:t>
      </w:r>
      <w:r w:rsidRPr="00433FBE" w:rsidR="002D0AB0">
        <w:rPr>
          <w:rFonts w:ascii="Verdana" w:hAnsi="Verdana"/>
        </w:rPr>
        <w:t>these changes would be sufficient to</w:t>
      </w:r>
      <w:r w:rsidRPr="00433FBE">
        <w:rPr>
          <w:rFonts w:ascii="Verdana" w:hAnsi="Verdana"/>
        </w:rPr>
        <w:t xml:space="preserve"> continue</w:t>
      </w:r>
      <w:r w:rsidRPr="00433FBE" w:rsidR="002D0AB0">
        <w:rPr>
          <w:rFonts w:ascii="Verdana" w:hAnsi="Verdana"/>
        </w:rPr>
        <w:t xml:space="preserve"> medicines</w:t>
      </w:r>
      <w:r w:rsidRPr="00433FBE">
        <w:rPr>
          <w:rFonts w:ascii="Verdana" w:hAnsi="Verdana"/>
        </w:rPr>
        <w:t xml:space="preserve"> supply </w:t>
      </w:r>
      <w:r w:rsidRPr="00433FBE" w:rsidR="002D0AB0">
        <w:rPr>
          <w:rFonts w:ascii="Verdana" w:hAnsi="Verdana"/>
        </w:rPr>
        <w:t xml:space="preserve">to </w:t>
      </w:r>
      <w:r w:rsidRPr="00433FBE" w:rsidR="007564F7">
        <w:rPr>
          <w:rFonts w:ascii="Verdana" w:hAnsi="Verdana"/>
        </w:rPr>
        <w:t>N</w:t>
      </w:r>
      <w:r w:rsidRPr="00433FBE">
        <w:rPr>
          <w:rFonts w:ascii="Verdana" w:hAnsi="Verdana"/>
        </w:rPr>
        <w:t xml:space="preserve">orthern Ireland in a logistically, </w:t>
      </w:r>
      <w:r w:rsidRPr="00433FBE">
        <w:rPr>
          <w:rFonts w:ascii="Verdana" w:hAnsi="Verdana"/>
        </w:rPr>
        <w:t>compliant</w:t>
      </w:r>
      <w:r w:rsidRPr="00433FBE">
        <w:rPr>
          <w:rFonts w:ascii="Verdana" w:hAnsi="Verdana"/>
        </w:rPr>
        <w:t xml:space="preserve"> and economically sustainable manner.</w:t>
      </w:r>
    </w:p>
    <w:p w:rsidR="004D4A6F" w:rsidRPr="00433FBE" w:rsidP="004D4A6F">
      <w:pPr>
        <w:tabs>
          <w:tab w:val="left" w:pos="0"/>
          <w:tab w:val="right" w:pos="9072"/>
        </w:tabs>
        <w:rPr>
          <w:rFonts w:ascii="Verdana" w:hAnsi="Verdana"/>
        </w:rPr>
      </w:pPr>
      <w:r w:rsidRPr="00433FBE">
        <w:rPr>
          <w:rFonts w:ascii="Verdana" w:hAnsi="Verdana"/>
        </w:rPr>
        <w:t xml:space="preserve"> </w:t>
      </w:r>
    </w:p>
    <w:p w:rsidR="004D4A6F" w:rsidRPr="00433FBE" w:rsidP="004D4A6F">
      <w:pPr>
        <w:numPr>
          <w:ilvl w:val="0"/>
          <w:numId w:val="10"/>
        </w:numPr>
        <w:tabs>
          <w:tab w:val="right" w:pos="9072"/>
        </w:tabs>
        <w:ind w:left="709" w:hanging="709"/>
        <w:rPr>
          <w:rFonts w:ascii="Verdana" w:hAnsi="Verdana"/>
          <w:b/>
          <w:bCs/>
        </w:rPr>
      </w:pPr>
      <w:r w:rsidRPr="00433FBE">
        <w:rPr>
          <w:rFonts w:ascii="Verdana" w:hAnsi="Verdana"/>
          <w:b/>
          <w:bCs/>
        </w:rPr>
        <w:t>EU Commission ‘non-paper’</w:t>
      </w:r>
    </w:p>
    <w:p w:rsidR="004D4A6F" w:rsidRPr="00433FBE" w:rsidP="004D4A6F">
      <w:pPr>
        <w:tabs>
          <w:tab w:val="left" w:pos="0"/>
          <w:tab w:val="right" w:pos="9072"/>
        </w:tabs>
        <w:rPr>
          <w:rFonts w:ascii="Verdana" w:hAnsi="Verdana"/>
        </w:rPr>
      </w:pPr>
    </w:p>
    <w:p w:rsidR="00306FEE" w:rsidRPr="00433FBE" w:rsidP="00306FEE">
      <w:pPr>
        <w:numPr>
          <w:ilvl w:val="1"/>
          <w:numId w:val="10"/>
        </w:numPr>
        <w:tabs>
          <w:tab w:val="left" w:pos="0"/>
          <w:tab w:val="right" w:pos="9072"/>
        </w:tabs>
        <w:rPr>
          <w:rFonts w:ascii="Verdana" w:hAnsi="Verdana"/>
        </w:rPr>
      </w:pPr>
      <w:r w:rsidRPr="00433FBE">
        <w:rPr>
          <w:rFonts w:ascii="Verdana" w:hAnsi="Verdana"/>
        </w:rPr>
        <w:t>The EU Commission</w:t>
      </w:r>
      <w:r w:rsidRPr="00433FBE" w:rsidR="002D0AB0">
        <w:rPr>
          <w:rFonts w:ascii="Verdana" w:hAnsi="Verdana"/>
        </w:rPr>
        <w:t xml:space="preserve"> first</w:t>
      </w:r>
      <w:r w:rsidRPr="00433FBE">
        <w:rPr>
          <w:rFonts w:ascii="Verdana" w:hAnsi="Verdana"/>
        </w:rPr>
        <w:t xml:space="preserve"> published the “</w:t>
      </w:r>
      <w:r w:rsidRPr="00433FBE">
        <w:rPr>
          <w:rFonts w:ascii="Verdana" w:hAnsi="Verdana"/>
          <w:i/>
          <w:iCs/>
        </w:rPr>
        <w:t>Non</w:t>
      </w:r>
      <w:r w:rsidRPr="00433FBE" w:rsidR="00364FF8">
        <w:rPr>
          <w:rFonts w:ascii="Verdana" w:hAnsi="Verdana"/>
          <w:i/>
          <w:iCs/>
        </w:rPr>
        <w:t>-</w:t>
      </w:r>
      <w:r w:rsidRPr="00433FBE">
        <w:rPr>
          <w:rFonts w:ascii="Verdana" w:hAnsi="Verdana"/>
          <w:i/>
          <w:iCs/>
        </w:rPr>
        <w:t>paper – Medicines and the implementation of the protocol on Ireland and Northern Ireland</w:t>
      </w:r>
      <w:r w:rsidRPr="00433FBE">
        <w:rPr>
          <w:rFonts w:ascii="Verdana" w:hAnsi="Verdana"/>
        </w:rPr>
        <w:t>” on 26 July 2021</w:t>
      </w:r>
      <w:r w:rsidRPr="00433FBE" w:rsidR="002D0AB0">
        <w:rPr>
          <w:rFonts w:ascii="Verdana" w:hAnsi="Verdana"/>
        </w:rPr>
        <w:t xml:space="preserve">, and subsequently issued an updated version </w:t>
      </w:r>
      <w:r w:rsidRPr="00433FBE" w:rsidR="00152D11">
        <w:rPr>
          <w:rFonts w:ascii="Verdana" w:hAnsi="Verdana"/>
        </w:rPr>
        <w:t>on 13 October 2021.</w:t>
      </w:r>
    </w:p>
    <w:p w:rsidR="00306FEE" w:rsidRPr="00433FBE" w:rsidP="00306FEE">
      <w:pPr>
        <w:tabs>
          <w:tab w:val="left" w:pos="0"/>
          <w:tab w:val="right" w:pos="9072"/>
        </w:tabs>
        <w:rPr>
          <w:rFonts w:ascii="Verdana" w:hAnsi="Verdana"/>
        </w:rPr>
      </w:pPr>
    </w:p>
    <w:p w:rsidR="00306FEE" w:rsidRPr="00433FBE" w:rsidP="00306FEE">
      <w:pPr>
        <w:numPr>
          <w:ilvl w:val="1"/>
          <w:numId w:val="10"/>
        </w:numPr>
        <w:tabs>
          <w:tab w:val="left" w:pos="0"/>
          <w:tab w:val="right" w:pos="9072"/>
        </w:tabs>
        <w:rPr>
          <w:rFonts w:ascii="Verdana" w:hAnsi="Verdana"/>
        </w:rPr>
      </w:pPr>
      <w:r w:rsidRPr="00433FBE">
        <w:rPr>
          <w:rFonts w:ascii="Verdana" w:hAnsi="Verdana"/>
        </w:rPr>
        <w:t xml:space="preserve">The </w:t>
      </w:r>
      <w:r w:rsidRPr="00433FBE" w:rsidR="00152D11">
        <w:rPr>
          <w:rFonts w:ascii="Verdana" w:hAnsi="Verdana"/>
        </w:rPr>
        <w:t xml:space="preserve">updated </w:t>
      </w:r>
      <w:r w:rsidRPr="00433FBE">
        <w:rPr>
          <w:rFonts w:ascii="Verdana" w:hAnsi="Verdana"/>
        </w:rPr>
        <w:t xml:space="preserve">non-paper </w:t>
      </w:r>
      <w:r w:rsidRPr="00433FBE" w:rsidR="00152D11">
        <w:rPr>
          <w:rFonts w:ascii="Verdana" w:hAnsi="Verdana"/>
        </w:rPr>
        <w:t xml:space="preserve">built on the original </w:t>
      </w:r>
      <w:r w:rsidRPr="00433FBE">
        <w:rPr>
          <w:rFonts w:ascii="Verdana" w:hAnsi="Verdana"/>
        </w:rPr>
        <w:t>propos</w:t>
      </w:r>
      <w:r w:rsidRPr="00433FBE" w:rsidR="00152D11">
        <w:rPr>
          <w:rFonts w:ascii="Verdana" w:hAnsi="Verdana"/>
        </w:rPr>
        <w:t xml:space="preserve">als </w:t>
      </w:r>
      <w:r w:rsidRPr="00433FBE" w:rsidR="002D0AB0">
        <w:rPr>
          <w:rFonts w:ascii="Verdana" w:hAnsi="Verdana"/>
        </w:rPr>
        <w:t>and outlined</w:t>
      </w:r>
      <w:r w:rsidRPr="00433FBE">
        <w:rPr>
          <w:rFonts w:ascii="Verdana" w:hAnsi="Verdana"/>
        </w:rPr>
        <w:t xml:space="preserve"> </w:t>
      </w:r>
      <w:r w:rsidRPr="00433FBE">
        <w:rPr>
          <w:rFonts w:ascii="Verdana" w:hAnsi="Verdana"/>
        </w:rPr>
        <w:t>a number of</w:t>
      </w:r>
      <w:r w:rsidRPr="00433FBE">
        <w:rPr>
          <w:rFonts w:ascii="Verdana" w:hAnsi="Verdana"/>
        </w:rPr>
        <w:t xml:space="preserve"> changes to EU legislation that would aim to remove the barriers to continuing to supply Northern Ireland. These included areas such as:</w:t>
      </w:r>
    </w:p>
    <w:p w:rsidR="00306FEE" w:rsidRPr="00433FBE" w:rsidP="00306FEE">
      <w:pPr>
        <w:pStyle w:val="ListParagraph"/>
        <w:numPr>
          <w:ilvl w:val="0"/>
          <w:numId w:val="17"/>
        </w:numPr>
        <w:ind w:left="1134"/>
        <w:rPr>
          <w:rFonts w:ascii="Verdana" w:hAnsi="Verdana"/>
        </w:rPr>
      </w:pPr>
      <w:r w:rsidRPr="00433FBE">
        <w:rPr>
          <w:rFonts w:ascii="Verdana" w:hAnsi="Verdana"/>
        </w:rPr>
        <w:t>Removal of importation requirements from GB to NI</w:t>
      </w:r>
    </w:p>
    <w:p w:rsidR="00306FEE" w:rsidRPr="00433FBE" w:rsidP="00306FEE">
      <w:pPr>
        <w:pStyle w:val="ListParagraph"/>
        <w:numPr>
          <w:ilvl w:val="0"/>
          <w:numId w:val="17"/>
        </w:numPr>
        <w:ind w:left="1134"/>
        <w:rPr>
          <w:rFonts w:ascii="Verdana" w:hAnsi="Verdana"/>
        </w:rPr>
      </w:pPr>
      <w:r w:rsidRPr="00433FBE">
        <w:rPr>
          <w:rFonts w:ascii="Verdana" w:hAnsi="Verdana"/>
        </w:rPr>
        <w:t>Utilisation of compliance functions in GB to support NI</w:t>
      </w:r>
    </w:p>
    <w:p w:rsidR="004D4A6F" w:rsidRPr="00433FBE" w:rsidP="00306FEE">
      <w:pPr>
        <w:pStyle w:val="ListParagraph"/>
        <w:numPr>
          <w:ilvl w:val="0"/>
          <w:numId w:val="17"/>
        </w:numPr>
        <w:ind w:left="1134"/>
        <w:rPr>
          <w:rFonts w:ascii="Verdana" w:hAnsi="Verdana"/>
        </w:rPr>
      </w:pPr>
      <w:r w:rsidRPr="00433FBE">
        <w:rPr>
          <w:rFonts w:ascii="Verdana" w:hAnsi="Verdana"/>
        </w:rPr>
        <w:t>Allowing compliance functions in GB to be included in EU MR</w:t>
      </w:r>
      <w:r w:rsidRPr="00433FBE" w:rsidR="00CC7D0E">
        <w:rPr>
          <w:rFonts w:ascii="Verdana" w:hAnsi="Verdana"/>
        </w:rPr>
        <w:t>P</w:t>
      </w:r>
      <w:r w:rsidRPr="00433FBE">
        <w:rPr>
          <w:rFonts w:ascii="Verdana" w:hAnsi="Verdana"/>
        </w:rPr>
        <w:t xml:space="preserve"> (mutual recognition procedure) </w:t>
      </w:r>
      <w:r w:rsidRPr="00433FBE" w:rsidR="00CC7D0E">
        <w:rPr>
          <w:rFonts w:ascii="Verdana" w:hAnsi="Verdana"/>
        </w:rPr>
        <w:t>and</w:t>
      </w:r>
      <w:r w:rsidRPr="00433FBE">
        <w:rPr>
          <w:rFonts w:ascii="Verdana" w:hAnsi="Verdana"/>
        </w:rPr>
        <w:t xml:space="preserve"> DCP (decentralised procedure) licensing procedures</w:t>
      </w:r>
    </w:p>
    <w:p w:rsidR="004D4A6F" w:rsidRPr="00433FBE" w:rsidP="00306FEE">
      <w:pPr>
        <w:tabs>
          <w:tab w:val="left" w:pos="0"/>
          <w:tab w:val="right" w:pos="9072"/>
        </w:tabs>
        <w:rPr>
          <w:rFonts w:ascii="Verdana" w:hAnsi="Verdana"/>
        </w:rPr>
      </w:pPr>
    </w:p>
    <w:p w:rsidR="004D4A6F" w:rsidRPr="00433FBE" w:rsidP="00306FEE">
      <w:pPr>
        <w:numPr>
          <w:ilvl w:val="1"/>
          <w:numId w:val="10"/>
        </w:numPr>
        <w:tabs>
          <w:tab w:val="left" w:pos="0"/>
          <w:tab w:val="right" w:pos="9072"/>
        </w:tabs>
        <w:rPr>
          <w:rFonts w:ascii="Verdana" w:hAnsi="Verdana"/>
        </w:rPr>
      </w:pPr>
      <w:r w:rsidRPr="00433FBE">
        <w:rPr>
          <w:rFonts w:ascii="Verdana" w:hAnsi="Verdana"/>
        </w:rPr>
        <w:t>Following</w:t>
      </w:r>
      <w:r w:rsidRPr="00433FBE" w:rsidR="00CC7D0E">
        <w:rPr>
          <w:rFonts w:ascii="Verdana" w:hAnsi="Verdana"/>
        </w:rPr>
        <w:t xml:space="preserve"> initial review of the </w:t>
      </w:r>
      <w:r w:rsidRPr="00433FBE">
        <w:rPr>
          <w:rFonts w:ascii="Verdana" w:hAnsi="Verdana"/>
        </w:rPr>
        <w:t xml:space="preserve">26 July </w:t>
      </w:r>
      <w:r w:rsidRPr="00433FBE" w:rsidR="00CC7D0E">
        <w:rPr>
          <w:rFonts w:ascii="Verdana" w:hAnsi="Verdana"/>
        </w:rPr>
        <w:t>non-paper</w:t>
      </w:r>
      <w:r w:rsidRPr="00433FBE">
        <w:rPr>
          <w:rFonts w:ascii="Verdana" w:hAnsi="Verdana"/>
        </w:rPr>
        <w:t>,</w:t>
      </w:r>
      <w:r w:rsidRPr="00433FBE" w:rsidR="00CC7D0E">
        <w:rPr>
          <w:rFonts w:ascii="Verdana" w:hAnsi="Verdana"/>
        </w:rPr>
        <w:t xml:space="preserve"> </w:t>
      </w:r>
      <w:r w:rsidRPr="00433FBE" w:rsidR="00CC7D0E">
        <w:rPr>
          <w:rFonts w:ascii="Verdana" w:hAnsi="Verdana"/>
        </w:rPr>
        <w:t>a number of</w:t>
      </w:r>
      <w:r w:rsidRPr="00433FBE" w:rsidR="00CC7D0E">
        <w:rPr>
          <w:rFonts w:ascii="Verdana" w:hAnsi="Verdana"/>
        </w:rPr>
        <w:t xml:space="preserve"> clarifications were </w:t>
      </w:r>
      <w:r w:rsidRPr="00433FBE" w:rsidR="00364FF8">
        <w:rPr>
          <w:rFonts w:ascii="Verdana" w:hAnsi="Verdana"/>
        </w:rPr>
        <w:t>sought</w:t>
      </w:r>
      <w:r w:rsidRPr="00433FBE" w:rsidR="00CC7D0E">
        <w:rPr>
          <w:rFonts w:ascii="Verdana" w:hAnsi="Verdana"/>
        </w:rPr>
        <w:t xml:space="preserve"> as to the detail and requirements behind the proposals. These questions were clarified verbally in a meeting between the EU Commission and EU trade associations on 13</w:t>
      </w:r>
      <w:r w:rsidRPr="00433FBE" w:rsidR="00364FF8">
        <w:rPr>
          <w:rFonts w:ascii="Verdana" w:hAnsi="Verdana"/>
        </w:rPr>
        <w:t> </w:t>
      </w:r>
      <w:r w:rsidRPr="00433FBE" w:rsidR="00CC7D0E">
        <w:rPr>
          <w:rFonts w:ascii="Verdana" w:hAnsi="Verdana"/>
        </w:rPr>
        <w:t>September 2021.</w:t>
      </w:r>
      <w:r w:rsidRPr="00433FBE" w:rsidR="00152D11">
        <w:rPr>
          <w:rFonts w:ascii="Verdana" w:hAnsi="Verdana"/>
        </w:rPr>
        <w:t xml:space="preserve"> </w:t>
      </w:r>
      <w:r w:rsidRPr="00433FBE">
        <w:rPr>
          <w:rFonts w:ascii="Verdana" w:hAnsi="Verdana"/>
        </w:rPr>
        <w:t>These clarifications provided</w:t>
      </w:r>
      <w:r w:rsidRPr="00433FBE" w:rsidR="00CC7D0E">
        <w:rPr>
          <w:rFonts w:ascii="Verdana" w:hAnsi="Verdana"/>
        </w:rPr>
        <w:t xml:space="preserve"> reassurance that</w:t>
      </w:r>
      <w:r w:rsidRPr="00433FBE">
        <w:rPr>
          <w:rFonts w:ascii="Verdana" w:hAnsi="Verdana"/>
        </w:rPr>
        <w:t xml:space="preserve"> in principle,</w:t>
      </w:r>
      <w:r w:rsidRPr="00433FBE" w:rsidR="00CC7D0E">
        <w:rPr>
          <w:rFonts w:ascii="Verdana" w:hAnsi="Verdana"/>
        </w:rPr>
        <w:t xml:space="preserve"> for OTC medicines, </w:t>
      </w:r>
      <w:r w:rsidRPr="00433FBE">
        <w:rPr>
          <w:rFonts w:ascii="Verdana" w:hAnsi="Verdana"/>
        </w:rPr>
        <w:t>the EU Commission</w:t>
      </w:r>
      <w:r w:rsidRPr="00433FBE" w:rsidR="00CC7D0E">
        <w:rPr>
          <w:rFonts w:ascii="Verdana" w:hAnsi="Verdana"/>
        </w:rPr>
        <w:t xml:space="preserve"> proposal would also remove the outstanding barriers and enable continued supply</w:t>
      </w:r>
      <w:r w:rsidRPr="00433FBE">
        <w:rPr>
          <w:rFonts w:ascii="Verdana" w:hAnsi="Verdana"/>
        </w:rPr>
        <w:t xml:space="preserve"> of medicines</w:t>
      </w:r>
      <w:r w:rsidRPr="00433FBE" w:rsidR="00CC7D0E">
        <w:rPr>
          <w:rFonts w:ascii="Verdana" w:hAnsi="Verdana"/>
        </w:rPr>
        <w:t xml:space="preserve"> to Northern Ireland.</w:t>
      </w:r>
      <w:r w:rsidRPr="00433FBE" w:rsidR="00152D11">
        <w:rPr>
          <w:rFonts w:ascii="Verdana" w:hAnsi="Verdana"/>
        </w:rPr>
        <w:t xml:space="preserve"> </w:t>
      </w:r>
    </w:p>
    <w:p w:rsidR="008F2622" w:rsidRPr="00433FBE" w:rsidP="009B6C02">
      <w:pPr>
        <w:tabs>
          <w:tab w:val="left" w:pos="0"/>
          <w:tab w:val="right" w:pos="9072"/>
        </w:tabs>
        <w:ind w:left="720"/>
        <w:rPr>
          <w:rFonts w:ascii="Verdana" w:hAnsi="Verdana"/>
        </w:rPr>
      </w:pPr>
    </w:p>
    <w:p w:rsidR="008F2622" w:rsidRPr="00433FBE" w:rsidP="00306FEE">
      <w:pPr>
        <w:numPr>
          <w:ilvl w:val="1"/>
          <w:numId w:val="10"/>
        </w:numPr>
        <w:tabs>
          <w:tab w:val="left" w:pos="0"/>
          <w:tab w:val="right" w:pos="9072"/>
        </w:tabs>
        <w:rPr>
          <w:rFonts w:ascii="Verdana" w:hAnsi="Verdana"/>
        </w:rPr>
      </w:pPr>
      <w:r w:rsidRPr="00433FBE">
        <w:rPr>
          <w:rFonts w:ascii="Verdana" w:hAnsi="Verdana"/>
        </w:rPr>
        <w:t>The updated non-paper issued on 13 October provides further details on the EU proposals and associated requirements.</w:t>
      </w:r>
      <w:r w:rsidRPr="00433FBE" w:rsidR="00055DE2">
        <w:rPr>
          <w:rFonts w:ascii="Verdana" w:hAnsi="Verdana"/>
        </w:rPr>
        <w:t xml:space="preserve"> </w:t>
      </w:r>
      <w:r w:rsidRPr="00433FBE" w:rsidR="00F131F0">
        <w:rPr>
          <w:rFonts w:ascii="Verdana" w:hAnsi="Verdana"/>
        </w:rPr>
        <w:t xml:space="preserve">In </w:t>
      </w:r>
      <w:r w:rsidRPr="00433FBE" w:rsidR="003D2863">
        <w:rPr>
          <w:rFonts w:ascii="Verdana" w:hAnsi="Verdana"/>
        </w:rPr>
        <w:t>general,</w:t>
      </w:r>
      <w:r w:rsidRPr="00433FBE" w:rsidR="00055DE2">
        <w:rPr>
          <w:rFonts w:ascii="Verdana" w:hAnsi="Verdana"/>
        </w:rPr>
        <w:t xml:space="preserve"> we are still of the view that the EU proposal would resolve the outstanding issues to enable continued supply to Northern Ireland, h</w:t>
      </w:r>
      <w:r w:rsidRPr="00433FBE">
        <w:rPr>
          <w:rFonts w:ascii="Verdana" w:hAnsi="Verdana"/>
        </w:rPr>
        <w:t>owever there are several areas in the new text where further clarifications are needed</w:t>
      </w:r>
      <w:r w:rsidRPr="00433FBE" w:rsidR="00055DE2">
        <w:rPr>
          <w:rFonts w:ascii="Verdana" w:hAnsi="Verdana"/>
        </w:rPr>
        <w:t xml:space="preserve"> to be fully confident of this</w:t>
      </w:r>
      <w:r w:rsidRPr="00433FBE">
        <w:rPr>
          <w:rFonts w:ascii="Verdana" w:hAnsi="Verdana"/>
        </w:rPr>
        <w:t>.</w:t>
      </w:r>
    </w:p>
    <w:p w:rsidR="004339B5" w:rsidRPr="00433FBE" w:rsidP="004D4A6F">
      <w:pPr>
        <w:tabs>
          <w:tab w:val="left" w:pos="0"/>
          <w:tab w:val="right" w:pos="9072"/>
        </w:tabs>
        <w:rPr>
          <w:rFonts w:ascii="Verdana" w:hAnsi="Verdana"/>
        </w:rPr>
      </w:pPr>
    </w:p>
    <w:p w:rsidR="004D4A6F" w:rsidRPr="00433FBE" w:rsidP="004D4A6F">
      <w:pPr>
        <w:numPr>
          <w:ilvl w:val="0"/>
          <w:numId w:val="10"/>
        </w:numPr>
        <w:tabs>
          <w:tab w:val="right" w:pos="9072"/>
        </w:tabs>
        <w:ind w:left="709" w:hanging="709"/>
        <w:rPr>
          <w:rFonts w:ascii="Verdana" w:hAnsi="Verdana"/>
          <w:b/>
          <w:bCs/>
        </w:rPr>
      </w:pPr>
      <w:r w:rsidRPr="00433FBE">
        <w:rPr>
          <w:rFonts w:ascii="Verdana" w:hAnsi="Verdana"/>
          <w:b/>
          <w:bCs/>
        </w:rPr>
        <w:t>The need for a negotiated agreement between the UK and EU</w:t>
      </w:r>
    </w:p>
    <w:p w:rsidR="004D4A6F" w:rsidRPr="00433FBE" w:rsidP="004D4A6F">
      <w:pPr>
        <w:tabs>
          <w:tab w:val="left" w:pos="0"/>
          <w:tab w:val="right" w:pos="9072"/>
        </w:tabs>
        <w:rPr>
          <w:rFonts w:ascii="Verdana" w:hAnsi="Verdana"/>
          <w:b/>
          <w:bCs/>
        </w:rPr>
      </w:pPr>
    </w:p>
    <w:p w:rsidR="00EE0D3E" w:rsidRPr="00433FBE" w:rsidP="00EE0D3E">
      <w:pPr>
        <w:numPr>
          <w:ilvl w:val="1"/>
          <w:numId w:val="10"/>
        </w:numPr>
        <w:tabs>
          <w:tab w:val="left" w:pos="0"/>
          <w:tab w:val="right" w:pos="9072"/>
        </w:tabs>
        <w:rPr>
          <w:rFonts w:ascii="Verdana" w:hAnsi="Verdana"/>
        </w:rPr>
      </w:pPr>
      <w:r w:rsidRPr="00433FBE">
        <w:rPr>
          <w:rFonts w:ascii="Verdana" w:hAnsi="Verdana"/>
        </w:rPr>
        <w:t>PAGB and its member companies want to see a mutually agreed long</w:t>
      </w:r>
      <w:r w:rsidRPr="00433FBE" w:rsidR="00C349EB">
        <w:rPr>
          <w:rFonts w:ascii="Verdana" w:hAnsi="Verdana"/>
        </w:rPr>
        <w:t>-</w:t>
      </w:r>
      <w:r w:rsidRPr="00433FBE">
        <w:rPr>
          <w:rFonts w:ascii="Verdana" w:hAnsi="Verdana"/>
        </w:rPr>
        <w:t>term solution</w:t>
      </w:r>
      <w:r w:rsidRPr="00433FBE" w:rsidR="00C349EB">
        <w:rPr>
          <w:rFonts w:ascii="Verdana" w:hAnsi="Verdana"/>
        </w:rPr>
        <w:t xml:space="preserve"> negotiated</w:t>
      </w:r>
      <w:r w:rsidRPr="00433FBE">
        <w:rPr>
          <w:rFonts w:ascii="Verdana" w:hAnsi="Verdana"/>
        </w:rPr>
        <w:t xml:space="preserve"> between the EU and UK</w:t>
      </w:r>
      <w:r w:rsidRPr="00433FBE" w:rsidR="00C349EB">
        <w:rPr>
          <w:rFonts w:ascii="Verdana" w:hAnsi="Verdana"/>
        </w:rPr>
        <w:t>.</w:t>
      </w:r>
    </w:p>
    <w:p w:rsidR="00E43AF6" w:rsidRPr="00433FBE" w:rsidP="00E43AF6">
      <w:pPr>
        <w:tabs>
          <w:tab w:val="left" w:pos="0"/>
          <w:tab w:val="right" w:pos="9072"/>
        </w:tabs>
        <w:rPr>
          <w:rFonts w:ascii="Verdana" w:hAnsi="Verdana"/>
        </w:rPr>
      </w:pPr>
    </w:p>
    <w:p w:rsidR="00E43AF6" w:rsidRPr="00433FBE" w:rsidP="00EE0D3E">
      <w:pPr>
        <w:numPr>
          <w:ilvl w:val="1"/>
          <w:numId w:val="10"/>
        </w:numPr>
        <w:tabs>
          <w:tab w:val="left" w:pos="0"/>
          <w:tab w:val="right" w:pos="9072"/>
        </w:tabs>
        <w:rPr>
          <w:rFonts w:ascii="Verdana" w:hAnsi="Verdana"/>
        </w:rPr>
      </w:pPr>
      <w:r w:rsidRPr="00433FBE">
        <w:rPr>
          <w:rFonts w:ascii="Verdana" w:hAnsi="Verdana"/>
        </w:rPr>
        <w:t xml:space="preserve">While a unilateral solution from either side </w:t>
      </w:r>
      <w:r w:rsidRPr="00433FBE" w:rsidR="00055DE2">
        <w:rPr>
          <w:rFonts w:ascii="Verdana" w:hAnsi="Verdana"/>
        </w:rPr>
        <w:t xml:space="preserve">could </w:t>
      </w:r>
      <w:r w:rsidRPr="00433FBE">
        <w:rPr>
          <w:rFonts w:ascii="Verdana" w:hAnsi="Verdana"/>
        </w:rPr>
        <w:t>resolve the current barriers in the short term, it carries a high level of risk of potential future divergent expectations or disagreements between the UK and EU regulators, which will not provide medicines manufacturers with the certainty or confidence to make long term business decisions.</w:t>
      </w:r>
    </w:p>
    <w:p w:rsidR="00C349EB" w:rsidRPr="00433FBE" w:rsidP="00C349EB">
      <w:pPr>
        <w:tabs>
          <w:tab w:val="left" w:pos="0"/>
          <w:tab w:val="right" w:pos="9072"/>
        </w:tabs>
        <w:rPr>
          <w:rFonts w:ascii="Verdana" w:hAnsi="Verdana"/>
        </w:rPr>
      </w:pPr>
    </w:p>
    <w:p w:rsidR="00C349EB" w:rsidRPr="00433FBE" w:rsidP="00EE0D3E">
      <w:pPr>
        <w:numPr>
          <w:ilvl w:val="1"/>
          <w:numId w:val="10"/>
        </w:numPr>
        <w:tabs>
          <w:tab w:val="left" w:pos="0"/>
          <w:tab w:val="right" w:pos="9072"/>
        </w:tabs>
        <w:rPr>
          <w:rFonts w:ascii="Verdana" w:hAnsi="Verdana"/>
        </w:rPr>
      </w:pPr>
      <w:r w:rsidRPr="00433FBE">
        <w:rPr>
          <w:rFonts w:ascii="Verdana" w:hAnsi="Verdana"/>
        </w:rPr>
        <w:t xml:space="preserve">PAGB is calling on the UK Government and EU Commission to continue their discussions with the utmost urgency to </w:t>
      </w:r>
      <w:r w:rsidRPr="00433FBE" w:rsidR="00364FF8">
        <w:rPr>
          <w:rFonts w:ascii="Verdana" w:hAnsi="Verdana"/>
        </w:rPr>
        <w:t>agree</w:t>
      </w:r>
      <w:r w:rsidRPr="00433FBE">
        <w:rPr>
          <w:rFonts w:ascii="Verdana" w:hAnsi="Verdana"/>
        </w:rPr>
        <w:t xml:space="preserve"> a </w:t>
      </w:r>
      <w:r w:rsidRPr="00433FBE" w:rsidR="00364FF8">
        <w:rPr>
          <w:rFonts w:ascii="Verdana" w:hAnsi="Verdana"/>
        </w:rPr>
        <w:t>joint and shared</w:t>
      </w:r>
      <w:r w:rsidRPr="00433FBE">
        <w:rPr>
          <w:rFonts w:ascii="Verdana" w:hAnsi="Verdana"/>
        </w:rPr>
        <w:t xml:space="preserve"> solution which allows patients and consumers in Northern Ireland continued to access to medicines and treatments which enable them to continue to manage their health and wellbeing.</w:t>
      </w:r>
    </w:p>
    <w:p w:rsidR="004339B5" w:rsidRPr="00433FBE" w:rsidP="00EE0D3E">
      <w:pPr>
        <w:tabs>
          <w:tab w:val="left" w:pos="0"/>
          <w:tab w:val="right" w:pos="9072"/>
        </w:tabs>
        <w:rPr>
          <w:rFonts w:ascii="Verdana" w:hAnsi="Verdana"/>
        </w:rPr>
      </w:pPr>
    </w:p>
    <w:p w:rsidR="004D4A6F" w:rsidRPr="00433FBE" w:rsidP="004D4A6F">
      <w:pPr>
        <w:tabs>
          <w:tab w:val="left" w:pos="0"/>
          <w:tab w:val="right" w:pos="9072"/>
        </w:tabs>
        <w:rPr>
          <w:rFonts w:ascii="Verdana" w:hAnsi="Verdana"/>
        </w:rPr>
      </w:pPr>
    </w:p>
    <w:p w:rsidR="004D4A6F" w:rsidRPr="00433FBE" w:rsidP="004D4A6F">
      <w:pPr>
        <w:tabs>
          <w:tab w:val="left" w:pos="0"/>
          <w:tab w:val="right" w:pos="9072"/>
        </w:tabs>
        <w:rPr>
          <w:rFonts w:ascii="Verdana" w:hAnsi="Verdana"/>
        </w:rPr>
      </w:pPr>
      <w:r w:rsidRPr="00433FBE">
        <w:rPr>
          <w:rFonts w:ascii="Verdana" w:hAnsi="Verdana"/>
        </w:rPr>
        <w:t>Michelle Riddalls</w:t>
      </w:r>
    </w:p>
    <w:p w:rsidR="004D4A6F" w:rsidRPr="00433FBE" w:rsidP="004D4A6F">
      <w:pPr>
        <w:tabs>
          <w:tab w:val="left" w:pos="0"/>
          <w:tab w:val="right" w:pos="9072"/>
        </w:tabs>
        <w:rPr>
          <w:rFonts w:ascii="Verdana" w:hAnsi="Verdana"/>
        </w:rPr>
      </w:pPr>
      <w:r w:rsidRPr="00433FBE">
        <w:rPr>
          <w:rFonts w:ascii="Verdana" w:hAnsi="Verdana"/>
        </w:rPr>
        <w:t>Chief Executive</w:t>
      </w:r>
      <w:r w:rsidRPr="00433FBE" w:rsidR="003D2863">
        <w:rPr>
          <w:rFonts w:ascii="Verdana" w:hAnsi="Verdana"/>
        </w:rPr>
        <w:t xml:space="preserve"> Officer</w:t>
      </w:r>
    </w:p>
    <w:p w:rsidR="004D4A6F" w:rsidRPr="006D282B" w:rsidP="004D4A6F">
      <w:pPr>
        <w:tabs>
          <w:tab w:val="left" w:pos="0"/>
          <w:tab w:val="right" w:pos="9072"/>
        </w:tabs>
        <w:rPr>
          <w:rFonts w:ascii="Verdana" w:hAnsi="Verdana"/>
          <w:b/>
          <w:bCs/>
        </w:rPr>
      </w:pPr>
    </w:p>
    <w:p w:rsidR="00433FBE" w:rsidRPr="006D282B" w:rsidP="004D4A6F">
      <w:pPr>
        <w:tabs>
          <w:tab w:val="left" w:pos="0"/>
          <w:tab w:val="right" w:pos="9072"/>
        </w:tabs>
        <w:rPr>
          <w:rFonts w:ascii="Verdana" w:hAnsi="Verdana"/>
          <w:b/>
          <w:bCs/>
        </w:rPr>
      </w:pPr>
      <w:r w:rsidRPr="006D282B">
        <w:rPr>
          <w:rFonts w:ascii="Verdana" w:hAnsi="Verdana"/>
          <w:b/>
          <w:bCs/>
        </w:rPr>
        <w:t>15 October 2021</w:t>
      </w:r>
    </w:p>
    <w:sectPr w:rsidSect="00CD6950">
      <w:type w:val="continuous"/>
      <w:pgSz w:w="11916" w:h="16800" w:code="9"/>
      <w:pgMar w:top="1843" w:right="1440" w:bottom="709" w:left="1440" w:header="568" w:footer="686"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92ECCE1A"/>
    <w:lvl w:ilvl="0">
      <w:start w:val="1"/>
      <w:numFmt w:val="decimal"/>
      <w:pStyle w:val="ListNumber"/>
      <w:lvlText w:val="%1."/>
      <w:lvlJc w:val="left"/>
      <w:pPr>
        <w:tabs>
          <w:tab w:val="num" w:pos="360"/>
        </w:tabs>
        <w:ind w:left="360" w:hanging="360"/>
      </w:pPr>
    </w:lvl>
  </w:abstractNum>
  <w:abstractNum w:abstractNumId="1">
    <w:nsid w:val="005279B2"/>
    <w:multiLevelType w:val="hybridMultilevel"/>
    <w:tmpl w:val="37AC379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A034234"/>
    <w:multiLevelType w:val="hybridMultilevel"/>
    <w:tmpl w:val="1752EF7C"/>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0CA11FD9"/>
    <w:multiLevelType w:val="hybridMultilevel"/>
    <w:tmpl w:val="F59015D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29046AE"/>
    <w:multiLevelType w:val="hybridMultilevel"/>
    <w:tmpl w:val="A9EC63C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1F1820ED"/>
    <w:multiLevelType w:val="hybridMultilevel"/>
    <w:tmpl w:val="B21C85C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8B29A9"/>
    <w:multiLevelType w:val="hybridMultilevel"/>
    <w:tmpl w:val="E90AE07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30403192"/>
    <w:multiLevelType w:val="hybridMultilevel"/>
    <w:tmpl w:val="EED88FD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1234402"/>
    <w:multiLevelType w:val="hybridMultilevel"/>
    <w:tmpl w:val="6B365E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2F63D4B"/>
    <w:multiLevelType w:val="multilevel"/>
    <w:tmpl w:val="E68058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A370365"/>
    <w:multiLevelType w:val="hybridMultilevel"/>
    <w:tmpl w:val="E2F0A87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C8B5112"/>
    <w:multiLevelType w:val="hybridMultilevel"/>
    <w:tmpl w:val="B046EA6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60D71AD"/>
    <w:multiLevelType w:val="hybridMultilevel"/>
    <w:tmpl w:val="F160A87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77725BF"/>
    <w:multiLevelType w:val="hybridMultilevel"/>
    <w:tmpl w:val="B6183A3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DEF7197"/>
    <w:multiLevelType w:val="hybridMultilevel"/>
    <w:tmpl w:val="115A0D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F7F62D4"/>
    <w:multiLevelType w:val="hybridMultilevel"/>
    <w:tmpl w:val="72048A7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68501A53"/>
    <w:multiLevelType w:val="hybridMultilevel"/>
    <w:tmpl w:val="31F26A0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7F813CDD"/>
    <w:multiLevelType w:val="multilevel"/>
    <w:tmpl w:val="602ABE7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bCs w:val="0"/>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6"/>
  </w:num>
  <w:num w:numId="3">
    <w:abstractNumId w:val="5"/>
  </w:num>
  <w:num w:numId="4">
    <w:abstractNumId w:val="1"/>
  </w:num>
  <w:num w:numId="5">
    <w:abstractNumId w:val="14"/>
  </w:num>
  <w:num w:numId="6">
    <w:abstractNumId w:val="0"/>
  </w:num>
  <w:num w:numId="7">
    <w:abstractNumId w:val="10"/>
  </w:num>
  <w:num w:numId="8">
    <w:abstractNumId w:val="4"/>
  </w:num>
  <w:num w:numId="9">
    <w:abstractNumId w:val="9"/>
  </w:num>
  <w:num w:numId="10">
    <w:abstractNumId w:val="1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5"/>
  </w:num>
  <w:num w:numId="14">
    <w:abstractNumId w:val="7"/>
  </w:num>
  <w:num w:numId="15">
    <w:abstractNumId w:val="11"/>
  </w:num>
  <w:num w:numId="16">
    <w:abstractNumId w:val="16"/>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attachedTemplate r:id="rId1"/>
  <w:linkStyles/>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2"/>
        <w:szCs w:val="22"/>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D2863"/>
  </w:style>
  <w:style w:type="paragraph" w:styleId="Heading1">
    <w:name w:val="heading 1"/>
    <w:basedOn w:val="Normal"/>
    <w:next w:val="Normal"/>
    <w:link w:val="Heading1Char"/>
    <w:qFormat/>
    <w:rsid w:val="003D2863"/>
    <w:pPr>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qFormat/>
    <w:rsid w:val="003D2863"/>
    <w:pPr>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qFormat/>
    <w:rsid w:val="003D2863"/>
    <w:pPr>
      <w:outlineLvl w:val="2"/>
    </w:pPr>
    <w:rPr>
      <w:rFonts w:asciiTheme="majorHAnsi" w:eastAsiaTheme="majorEastAsia" w:hAnsiTheme="majorHAnsi" w:cstheme="majorBidi"/>
      <w:b/>
      <w:color w:val="005FAA" w:themeColor="text2"/>
      <w:sz w:val="24"/>
      <w:szCs w:val="24"/>
    </w:rPr>
  </w:style>
  <w:style w:type="paragraph" w:styleId="Heading4">
    <w:name w:val="heading 4"/>
    <w:basedOn w:val="Normal"/>
    <w:next w:val="Normal"/>
    <w:link w:val="Heading4Char"/>
    <w:qFormat/>
    <w:rsid w:val="003D2863"/>
    <w:pPr>
      <w:outlineLvl w:val="3"/>
    </w:pPr>
    <w:rPr>
      <w:rFonts w:asciiTheme="majorHAnsi" w:eastAsiaTheme="majorEastAsia" w:hAnsiTheme="majorHAnsi" w:cstheme="majorBidi"/>
      <w:b/>
      <w:iCs/>
    </w:rPr>
  </w:style>
  <w:style w:type="paragraph" w:styleId="Heading5">
    <w:name w:val="heading 5"/>
    <w:basedOn w:val="Normal"/>
    <w:next w:val="Normal"/>
    <w:link w:val="Heading5Char"/>
    <w:autoRedefine/>
    <w:semiHidden/>
    <w:qFormat/>
    <w:rsid w:val="003D2863"/>
    <w:pPr>
      <w:keepNext/>
      <w:keepLines/>
      <w:spacing w:before="40"/>
      <w:outlineLvl w:val="4"/>
    </w:pPr>
    <w:rPr>
      <w:rFonts w:asciiTheme="majorHAnsi" w:eastAsiaTheme="majorEastAsia" w:hAnsiTheme="majorHAnsi" w:cstheme="majorBidi"/>
      <w:b/>
      <w:color w:val="005FAA" w:themeColor="accent1"/>
    </w:rPr>
  </w:style>
  <w:style w:type="paragraph" w:styleId="Heading6">
    <w:name w:val="heading 6"/>
    <w:basedOn w:val="Normal"/>
    <w:next w:val="Normal"/>
    <w:link w:val="Heading6Char"/>
    <w:semiHidden/>
    <w:rsid w:val="003D2863"/>
    <w:pPr>
      <w:keepNext/>
      <w:keepLines/>
      <w:spacing w:before="40"/>
      <w:outlineLvl w:val="5"/>
    </w:pPr>
    <w:rPr>
      <w:rFonts w:asciiTheme="majorHAnsi" w:eastAsiaTheme="majorEastAsia" w:hAnsiTheme="majorHAnsi" w:cstheme="majorBidi"/>
      <w:color w:val="002F5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Brp0">
    <w:name w:val="TxBr_p0"/>
    <w:basedOn w:val="Normal"/>
    <w:semiHidden/>
    <w:rsid w:val="003D2863"/>
    <w:pPr>
      <w:tabs>
        <w:tab w:val="left" w:pos="204"/>
      </w:tabs>
      <w:spacing w:line="240" w:lineRule="atLeast"/>
      <w:jc w:val="both"/>
    </w:pPr>
  </w:style>
  <w:style w:type="paragraph" w:customStyle="1" w:styleId="TxBrc1">
    <w:name w:val="TxBr_c1"/>
    <w:basedOn w:val="Normal"/>
    <w:semiHidden/>
    <w:rsid w:val="003D2863"/>
    <w:pPr>
      <w:spacing w:line="240" w:lineRule="atLeast"/>
      <w:jc w:val="center"/>
    </w:pPr>
  </w:style>
  <w:style w:type="paragraph" w:customStyle="1" w:styleId="TxBrc2">
    <w:name w:val="TxBr_c2"/>
    <w:basedOn w:val="Normal"/>
    <w:semiHidden/>
    <w:rsid w:val="003D2863"/>
    <w:pPr>
      <w:spacing w:line="240" w:lineRule="atLeast"/>
      <w:jc w:val="center"/>
    </w:pPr>
  </w:style>
  <w:style w:type="paragraph" w:customStyle="1" w:styleId="TxBrp3">
    <w:name w:val="TxBr_p3"/>
    <w:basedOn w:val="Normal"/>
    <w:semiHidden/>
    <w:rsid w:val="003D2863"/>
    <w:pPr>
      <w:tabs>
        <w:tab w:val="left" w:pos="374"/>
      </w:tabs>
      <w:spacing w:line="283" w:lineRule="atLeast"/>
      <w:ind w:left="198" w:hanging="374"/>
    </w:pPr>
  </w:style>
  <w:style w:type="paragraph" w:styleId="Header">
    <w:name w:val="header"/>
    <w:basedOn w:val="Normal"/>
    <w:next w:val="Normal"/>
    <w:link w:val="HeaderChar"/>
    <w:qFormat/>
    <w:rsid w:val="003D2863"/>
    <w:pPr>
      <w:tabs>
        <w:tab w:val="center" w:pos="4153"/>
        <w:tab w:val="right" w:pos="8306"/>
      </w:tabs>
      <w:jc w:val="center"/>
    </w:pPr>
    <w:rPr>
      <w:b/>
      <w:sz w:val="32"/>
    </w:rPr>
  </w:style>
  <w:style w:type="paragraph" w:styleId="Footer">
    <w:name w:val="footer"/>
    <w:basedOn w:val="Normal"/>
    <w:link w:val="FooterChar"/>
    <w:uiPriority w:val="99"/>
    <w:qFormat/>
    <w:rsid w:val="003D2863"/>
    <w:pPr>
      <w:keepNext/>
      <w:keepLines/>
    </w:pPr>
    <w:rPr>
      <w:sz w:val="18"/>
    </w:rPr>
  </w:style>
  <w:style w:type="character" w:styleId="Hyperlink">
    <w:name w:val="Hyperlink"/>
    <w:uiPriority w:val="99"/>
    <w:qFormat/>
    <w:rsid w:val="003D2863"/>
    <w:rPr>
      <w:rFonts w:ascii="Arial" w:hAnsi="Arial"/>
      <w:color w:val="005FAA" w:themeColor="accent1"/>
      <w:sz w:val="22"/>
      <w:u w:val="single"/>
    </w:rPr>
  </w:style>
  <w:style w:type="paragraph" w:styleId="Salutation">
    <w:name w:val="Salutation"/>
    <w:basedOn w:val="Normal"/>
    <w:next w:val="Normal"/>
    <w:semiHidden/>
    <w:rsid w:val="003D2863"/>
    <w:pPr>
      <w:spacing w:before="220" w:after="220" w:line="220" w:lineRule="atLeast"/>
    </w:pPr>
    <w:rPr>
      <w:snapToGrid w:val="0"/>
      <w:spacing w:val="-5"/>
      <w:sz w:val="20"/>
    </w:rPr>
  </w:style>
  <w:style w:type="paragraph" w:styleId="BodyText">
    <w:name w:val="Body Text"/>
    <w:basedOn w:val="Normal"/>
    <w:semiHidden/>
    <w:rsid w:val="003D2863"/>
    <w:pPr>
      <w:spacing w:after="220" w:line="220" w:lineRule="atLeast"/>
      <w:jc w:val="both"/>
    </w:pPr>
    <w:rPr>
      <w:snapToGrid w:val="0"/>
      <w:spacing w:val="-5"/>
      <w:sz w:val="20"/>
    </w:rPr>
  </w:style>
  <w:style w:type="paragraph" w:styleId="Closing">
    <w:name w:val="Closing"/>
    <w:basedOn w:val="Normal"/>
    <w:next w:val="Signature"/>
    <w:semiHidden/>
    <w:rsid w:val="003D2863"/>
    <w:pPr>
      <w:keepNext/>
      <w:spacing w:after="60" w:line="220" w:lineRule="atLeast"/>
      <w:jc w:val="both"/>
    </w:pPr>
    <w:rPr>
      <w:snapToGrid w:val="0"/>
      <w:spacing w:val="-5"/>
      <w:sz w:val="20"/>
    </w:rPr>
  </w:style>
  <w:style w:type="paragraph" w:styleId="Date">
    <w:name w:val="Date"/>
    <w:basedOn w:val="Normal"/>
    <w:next w:val="InsideAddressName"/>
    <w:semiHidden/>
    <w:rsid w:val="003D2863"/>
    <w:pPr>
      <w:spacing w:line="220" w:lineRule="atLeast"/>
    </w:pPr>
    <w:rPr>
      <w:snapToGrid w:val="0"/>
      <w:spacing w:val="-5"/>
      <w:sz w:val="20"/>
    </w:rPr>
  </w:style>
  <w:style w:type="paragraph" w:customStyle="1" w:styleId="InsideAddressName">
    <w:name w:val="Inside Address Name"/>
    <w:basedOn w:val="Normal"/>
    <w:next w:val="Normal"/>
    <w:semiHidden/>
    <w:rsid w:val="003D2863"/>
    <w:pPr>
      <w:spacing w:before="220" w:line="220" w:lineRule="atLeast"/>
      <w:jc w:val="both"/>
    </w:pPr>
    <w:rPr>
      <w:snapToGrid w:val="0"/>
      <w:spacing w:val="-5"/>
      <w:sz w:val="20"/>
    </w:rPr>
  </w:style>
  <w:style w:type="paragraph" w:customStyle="1" w:styleId="SignatureJobTitle">
    <w:name w:val="Signature Job Title"/>
    <w:basedOn w:val="Signature"/>
    <w:next w:val="Normal"/>
    <w:semiHidden/>
    <w:rsid w:val="003D2863"/>
    <w:pPr>
      <w:keepNext/>
      <w:spacing w:line="220" w:lineRule="atLeast"/>
      <w:ind w:left="0"/>
    </w:pPr>
    <w:rPr>
      <w:snapToGrid w:val="0"/>
      <w:spacing w:val="-5"/>
      <w:sz w:val="20"/>
    </w:rPr>
  </w:style>
  <w:style w:type="paragraph" w:styleId="Signature">
    <w:name w:val="Signature"/>
    <w:basedOn w:val="Normal"/>
    <w:semiHidden/>
    <w:rsid w:val="003D2863"/>
    <w:pPr>
      <w:ind w:left="4252"/>
    </w:pPr>
  </w:style>
  <w:style w:type="paragraph" w:styleId="BalloonText">
    <w:name w:val="Balloon Text"/>
    <w:basedOn w:val="Normal"/>
    <w:link w:val="BalloonTextChar"/>
    <w:semiHidden/>
    <w:rsid w:val="003D2863"/>
    <w:rPr>
      <w:rFonts w:ascii="Tahoma" w:hAnsi="Tahoma" w:cs="Tahoma"/>
      <w:sz w:val="16"/>
      <w:szCs w:val="16"/>
    </w:rPr>
  </w:style>
  <w:style w:type="character" w:customStyle="1" w:styleId="BalloonTextChar">
    <w:name w:val="Balloon Text Char"/>
    <w:link w:val="BalloonText"/>
    <w:semiHidden/>
    <w:rsid w:val="003D2863"/>
    <w:rPr>
      <w:rFonts w:ascii="Tahoma" w:hAnsi="Tahoma" w:cs="Tahoma"/>
      <w:sz w:val="16"/>
      <w:szCs w:val="16"/>
    </w:rPr>
  </w:style>
  <w:style w:type="character" w:customStyle="1" w:styleId="FooterChar">
    <w:name w:val="Footer Char"/>
    <w:link w:val="Footer"/>
    <w:uiPriority w:val="99"/>
    <w:rsid w:val="003D2863"/>
    <w:rPr>
      <w:sz w:val="18"/>
    </w:rPr>
  </w:style>
  <w:style w:type="paragraph" w:styleId="ListParagraph">
    <w:name w:val="List Paragraph"/>
    <w:basedOn w:val="Normal"/>
    <w:uiPriority w:val="34"/>
    <w:rsid w:val="003D2863"/>
    <w:pPr>
      <w:ind w:left="720"/>
      <w:contextualSpacing/>
    </w:pPr>
  </w:style>
  <w:style w:type="character" w:styleId="Emphasis">
    <w:name w:val="Emphasis"/>
    <w:basedOn w:val="DefaultParagraphFont"/>
    <w:uiPriority w:val="1"/>
    <w:qFormat/>
    <w:rsid w:val="003D2863"/>
    <w:rPr>
      <w:rFonts w:ascii="Arial" w:hAnsi="Arial"/>
      <w:b w:val="0"/>
      <w:i/>
      <w:iCs/>
      <w:caps w:val="0"/>
      <w:smallCaps w:val="0"/>
      <w:strike w:val="0"/>
      <w:dstrike w:val="0"/>
      <w:vanish w:val="0"/>
      <w:spacing w:val="0"/>
      <w:w w:val="100"/>
      <w:kern w:val="0"/>
      <w:position w:val="0"/>
      <w:sz w:val="22"/>
      <w:vertAlign w:val="baseline"/>
    </w:rPr>
  </w:style>
  <w:style w:type="character" w:styleId="Strong">
    <w:name w:val="Strong"/>
    <w:basedOn w:val="DefaultParagraphFont"/>
    <w:qFormat/>
    <w:rsid w:val="003D2863"/>
    <w:rPr>
      <w:rFonts w:ascii="Arial" w:hAnsi="Arial"/>
      <w:b/>
      <w:bCs/>
      <w:sz w:val="22"/>
    </w:rPr>
  </w:style>
  <w:style w:type="paragraph" w:styleId="Subtitle">
    <w:name w:val="Subtitle"/>
    <w:basedOn w:val="Normal"/>
    <w:next w:val="Normal"/>
    <w:link w:val="SubtitleChar"/>
    <w:semiHidden/>
    <w:rsid w:val="003D2863"/>
    <w:pPr>
      <w:numPr>
        <w:ilvl w:val="1"/>
      </w:numPr>
      <w:spacing w:after="160"/>
      <w:ind w:left="357" w:hanging="357"/>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semiHidden/>
    <w:rsid w:val="003D2863"/>
    <w:rPr>
      <w:rFonts w:asciiTheme="minorHAnsi" w:eastAsiaTheme="minorEastAsia" w:hAnsiTheme="minorHAnsi" w:cstheme="minorBidi"/>
      <w:color w:val="5A5A5A" w:themeColor="text1" w:themeTint="A5"/>
      <w:spacing w:val="15"/>
    </w:rPr>
  </w:style>
  <w:style w:type="paragraph" w:styleId="NoSpacing">
    <w:name w:val="No Spacing"/>
    <w:uiPriority w:val="1"/>
    <w:rsid w:val="003D2863"/>
  </w:style>
  <w:style w:type="character" w:styleId="SubtleEmphasis">
    <w:name w:val="Subtle Emphasis"/>
    <w:basedOn w:val="DefaultParagraphFont"/>
    <w:uiPriority w:val="19"/>
    <w:semiHidden/>
    <w:rsid w:val="003D2863"/>
    <w:rPr>
      <w:i/>
      <w:iCs/>
      <w:color w:val="404040" w:themeColor="text1" w:themeTint="BF"/>
    </w:rPr>
  </w:style>
  <w:style w:type="character" w:styleId="IntenseEmphasis">
    <w:name w:val="Intense Emphasis"/>
    <w:basedOn w:val="DefaultParagraphFont"/>
    <w:uiPriority w:val="21"/>
    <w:semiHidden/>
    <w:rsid w:val="003D2863"/>
    <w:rPr>
      <w:i/>
      <w:iCs/>
      <w:color w:val="005FAA" w:themeColor="accent1"/>
    </w:rPr>
  </w:style>
  <w:style w:type="paragraph" w:styleId="Quote">
    <w:name w:val="Quote"/>
    <w:basedOn w:val="Normal"/>
    <w:next w:val="Normal"/>
    <w:link w:val="QuoteChar"/>
    <w:uiPriority w:val="29"/>
    <w:semiHidden/>
    <w:rsid w:val="003D286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3D2863"/>
    <w:rPr>
      <w:i/>
      <w:iCs/>
      <w:color w:val="404040" w:themeColor="text1" w:themeTint="BF"/>
    </w:rPr>
  </w:style>
  <w:style w:type="paragraph" w:styleId="IntenseQuote">
    <w:name w:val="Intense Quote"/>
    <w:basedOn w:val="Normal"/>
    <w:next w:val="Normal"/>
    <w:link w:val="IntenseQuoteChar"/>
    <w:uiPriority w:val="30"/>
    <w:semiHidden/>
    <w:rsid w:val="003D2863"/>
    <w:pPr>
      <w:pBdr>
        <w:top w:val="single" w:sz="4" w:space="10" w:color="005FAA" w:themeColor="accent1"/>
        <w:bottom w:val="single" w:sz="4" w:space="10" w:color="005FAA" w:themeColor="accent1"/>
      </w:pBdr>
      <w:spacing w:before="360" w:after="360"/>
      <w:ind w:left="864" w:right="864"/>
      <w:jc w:val="center"/>
    </w:pPr>
    <w:rPr>
      <w:i/>
      <w:iCs/>
      <w:color w:val="005FAA" w:themeColor="accent1"/>
    </w:rPr>
  </w:style>
  <w:style w:type="character" w:customStyle="1" w:styleId="IntenseQuoteChar">
    <w:name w:val="Intense Quote Char"/>
    <w:basedOn w:val="DefaultParagraphFont"/>
    <w:link w:val="IntenseQuote"/>
    <w:uiPriority w:val="30"/>
    <w:semiHidden/>
    <w:rsid w:val="003D2863"/>
    <w:rPr>
      <w:i/>
      <w:iCs/>
      <w:color w:val="005FAA" w:themeColor="accent1"/>
    </w:rPr>
  </w:style>
  <w:style w:type="character" w:styleId="SubtleReference">
    <w:name w:val="Subtle Reference"/>
    <w:basedOn w:val="DefaultParagraphFont"/>
    <w:uiPriority w:val="31"/>
    <w:semiHidden/>
    <w:rsid w:val="003D2863"/>
    <w:rPr>
      <w:smallCaps/>
      <w:color w:val="5A5A5A" w:themeColor="text1" w:themeTint="A5"/>
    </w:rPr>
  </w:style>
  <w:style w:type="character" w:styleId="IntenseReference">
    <w:name w:val="Intense Reference"/>
    <w:basedOn w:val="DefaultParagraphFont"/>
    <w:uiPriority w:val="32"/>
    <w:semiHidden/>
    <w:rsid w:val="003D2863"/>
    <w:rPr>
      <w:b/>
      <w:bCs/>
      <w:smallCaps/>
      <w:color w:val="005FAA" w:themeColor="accent1"/>
      <w:spacing w:val="5"/>
    </w:rPr>
  </w:style>
  <w:style w:type="character" w:styleId="BookTitle">
    <w:name w:val="Book Title"/>
    <w:basedOn w:val="DefaultParagraphFont"/>
    <w:uiPriority w:val="33"/>
    <w:semiHidden/>
    <w:rsid w:val="003D2863"/>
    <w:rPr>
      <w:b/>
      <w:bCs/>
      <w:i/>
      <w:iCs/>
      <w:spacing w:val="5"/>
    </w:rPr>
  </w:style>
  <w:style w:type="character" w:customStyle="1" w:styleId="Heading1Char">
    <w:name w:val="Heading 1 Char"/>
    <w:basedOn w:val="DefaultParagraphFont"/>
    <w:link w:val="Heading1"/>
    <w:rsid w:val="003D2863"/>
    <w:rPr>
      <w:rFonts w:asciiTheme="majorHAnsi" w:eastAsiaTheme="majorEastAsia" w:hAnsiTheme="majorHAnsi" w:cstheme="majorBidi"/>
      <w:b/>
      <w:sz w:val="28"/>
      <w:szCs w:val="32"/>
    </w:rPr>
  </w:style>
  <w:style w:type="character" w:customStyle="1" w:styleId="Heading2Char">
    <w:name w:val="Heading 2 Char"/>
    <w:basedOn w:val="DefaultParagraphFont"/>
    <w:link w:val="Heading2"/>
    <w:rsid w:val="003D2863"/>
    <w:rPr>
      <w:rFonts w:asciiTheme="majorHAnsi" w:eastAsiaTheme="majorEastAsia" w:hAnsiTheme="majorHAnsi" w:cstheme="majorBidi"/>
      <w:b/>
      <w:sz w:val="24"/>
      <w:szCs w:val="26"/>
    </w:rPr>
  </w:style>
  <w:style w:type="character" w:customStyle="1" w:styleId="Heading3Char">
    <w:name w:val="Heading 3 Char"/>
    <w:basedOn w:val="DefaultParagraphFont"/>
    <w:link w:val="Heading3"/>
    <w:rsid w:val="003D2863"/>
    <w:rPr>
      <w:rFonts w:asciiTheme="majorHAnsi" w:eastAsiaTheme="majorEastAsia" w:hAnsiTheme="majorHAnsi" w:cstheme="majorBidi"/>
      <w:b/>
      <w:color w:val="005FAA" w:themeColor="text2"/>
      <w:sz w:val="24"/>
      <w:szCs w:val="24"/>
    </w:rPr>
  </w:style>
  <w:style w:type="paragraph" w:styleId="Title">
    <w:name w:val="Title"/>
    <w:basedOn w:val="Normal"/>
    <w:next w:val="Normal"/>
    <w:link w:val="TitleChar"/>
    <w:autoRedefine/>
    <w:semiHidden/>
    <w:qFormat/>
    <w:rsid w:val="003D2863"/>
    <w:pPr>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semiHidden/>
    <w:rsid w:val="003D2863"/>
    <w:rPr>
      <w:rFonts w:asciiTheme="majorHAnsi" w:eastAsiaTheme="majorEastAsia" w:hAnsiTheme="majorHAnsi" w:cstheme="majorBidi"/>
      <w:b/>
      <w:spacing w:val="-10"/>
      <w:kern w:val="28"/>
      <w:sz w:val="56"/>
      <w:szCs w:val="56"/>
    </w:rPr>
  </w:style>
  <w:style w:type="character" w:customStyle="1" w:styleId="Heading4Char">
    <w:name w:val="Heading 4 Char"/>
    <w:basedOn w:val="DefaultParagraphFont"/>
    <w:link w:val="Heading4"/>
    <w:rsid w:val="003D2863"/>
    <w:rPr>
      <w:rFonts w:asciiTheme="majorHAnsi" w:eastAsiaTheme="majorEastAsia" w:hAnsiTheme="majorHAnsi" w:cstheme="majorBidi"/>
      <w:b/>
      <w:iCs/>
    </w:rPr>
  </w:style>
  <w:style w:type="character" w:customStyle="1" w:styleId="Heading5Char">
    <w:name w:val="Heading 5 Char"/>
    <w:basedOn w:val="DefaultParagraphFont"/>
    <w:link w:val="Heading5"/>
    <w:semiHidden/>
    <w:rsid w:val="003D2863"/>
    <w:rPr>
      <w:rFonts w:asciiTheme="majorHAnsi" w:eastAsiaTheme="majorEastAsia" w:hAnsiTheme="majorHAnsi" w:cstheme="majorBidi"/>
      <w:b/>
      <w:color w:val="005FAA" w:themeColor="accent1"/>
    </w:rPr>
  </w:style>
  <w:style w:type="character" w:customStyle="1" w:styleId="Heading6Char">
    <w:name w:val="Heading 6 Char"/>
    <w:basedOn w:val="DefaultParagraphFont"/>
    <w:link w:val="Heading6"/>
    <w:semiHidden/>
    <w:rsid w:val="003D2863"/>
    <w:rPr>
      <w:rFonts w:asciiTheme="majorHAnsi" w:eastAsiaTheme="majorEastAsia" w:hAnsiTheme="majorHAnsi" w:cstheme="majorBidi"/>
      <w:color w:val="002F54" w:themeColor="accent1" w:themeShade="7F"/>
    </w:rPr>
  </w:style>
  <w:style w:type="table" w:styleId="TableGrid">
    <w:name w:val="Table Grid"/>
    <w:basedOn w:val="TableNormal"/>
    <w:rsid w:val="003D2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rsid w:val="003D2863"/>
    <w:pPr>
      <w:spacing w:after="100"/>
      <w:ind w:left="220"/>
    </w:pPr>
  </w:style>
  <w:style w:type="paragraph" w:styleId="TOC3">
    <w:name w:val="toc 3"/>
    <w:basedOn w:val="Normal"/>
    <w:next w:val="Normal"/>
    <w:autoRedefine/>
    <w:uiPriority w:val="39"/>
    <w:semiHidden/>
    <w:rsid w:val="003D2863"/>
    <w:pPr>
      <w:spacing w:after="100"/>
      <w:ind w:left="440"/>
    </w:pPr>
  </w:style>
  <w:style w:type="paragraph" w:styleId="TOC4">
    <w:name w:val="toc 4"/>
    <w:basedOn w:val="Normal"/>
    <w:next w:val="Normal"/>
    <w:autoRedefine/>
    <w:uiPriority w:val="39"/>
    <w:semiHidden/>
    <w:rsid w:val="003D2863"/>
    <w:pPr>
      <w:spacing w:after="100"/>
      <w:ind w:left="660"/>
    </w:pPr>
  </w:style>
  <w:style w:type="paragraph" w:styleId="TOC5">
    <w:name w:val="toc 5"/>
    <w:basedOn w:val="Normal"/>
    <w:next w:val="Normal"/>
    <w:autoRedefine/>
    <w:uiPriority w:val="39"/>
    <w:semiHidden/>
    <w:rsid w:val="003D2863"/>
    <w:pPr>
      <w:spacing w:after="100"/>
      <w:ind w:left="880"/>
    </w:pPr>
  </w:style>
  <w:style w:type="paragraph" w:styleId="TOC1">
    <w:name w:val="toc 1"/>
    <w:basedOn w:val="Normal"/>
    <w:next w:val="Normal"/>
    <w:autoRedefine/>
    <w:uiPriority w:val="39"/>
    <w:semiHidden/>
    <w:rsid w:val="003D2863"/>
    <w:pPr>
      <w:spacing w:after="100"/>
    </w:pPr>
  </w:style>
  <w:style w:type="character" w:customStyle="1" w:styleId="HeaderChar">
    <w:name w:val="Header Char"/>
    <w:basedOn w:val="DefaultParagraphFont"/>
    <w:link w:val="Header"/>
    <w:rsid w:val="003D2863"/>
    <w:rPr>
      <w:b/>
      <w:sz w:val="32"/>
    </w:rPr>
  </w:style>
  <w:style w:type="paragraph" w:styleId="ListNumber">
    <w:name w:val="List Number"/>
    <w:basedOn w:val="Normal"/>
    <w:rsid w:val="003D2863"/>
    <w:pPr>
      <w:numPr>
        <w:numId w:val="6"/>
      </w:numPr>
      <w:ind w:left="357" w:hanging="357"/>
      <w:contextualSpacing/>
    </w:pPr>
  </w:style>
  <w:style w:type="character" w:styleId="CommentReference">
    <w:name w:val="annotation reference"/>
    <w:basedOn w:val="DefaultParagraphFont"/>
    <w:semiHidden/>
    <w:unhideWhenUsed/>
    <w:rsid w:val="006D1982"/>
    <w:rPr>
      <w:sz w:val="16"/>
      <w:szCs w:val="16"/>
    </w:rPr>
  </w:style>
  <w:style w:type="paragraph" w:styleId="CommentText">
    <w:name w:val="annotation text"/>
    <w:basedOn w:val="Normal"/>
    <w:link w:val="CommentTextChar"/>
    <w:semiHidden/>
    <w:unhideWhenUsed/>
    <w:rsid w:val="006D1982"/>
    <w:rPr>
      <w:sz w:val="20"/>
      <w:szCs w:val="20"/>
    </w:rPr>
  </w:style>
  <w:style w:type="character" w:customStyle="1" w:styleId="CommentTextChar">
    <w:name w:val="Comment Text Char"/>
    <w:basedOn w:val="DefaultParagraphFont"/>
    <w:link w:val="CommentText"/>
    <w:semiHidden/>
    <w:rsid w:val="006D1982"/>
    <w:rPr>
      <w:sz w:val="20"/>
      <w:szCs w:val="20"/>
    </w:rPr>
  </w:style>
  <w:style w:type="paragraph" w:styleId="CommentSubject">
    <w:name w:val="annotation subject"/>
    <w:basedOn w:val="CommentText"/>
    <w:next w:val="CommentText"/>
    <w:link w:val="CommentSubjectChar"/>
    <w:semiHidden/>
    <w:unhideWhenUsed/>
    <w:rsid w:val="006D1982"/>
    <w:rPr>
      <w:b/>
      <w:bCs/>
    </w:rPr>
  </w:style>
  <w:style w:type="character" w:customStyle="1" w:styleId="CommentSubjectChar">
    <w:name w:val="Comment Subject Char"/>
    <w:basedOn w:val="CommentTextChar"/>
    <w:link w:val="CommentSubject"/>
    <w:semiHidden/>
    <w:rsid w:val="006D19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P:\PAGB\Admin\Templates\PAGB%20word,%20power%20point%20and%20excel%20templates\Word%20templates\PAGB2020_template_consultation_v1-1.dotx" TargetMode="External" /></Relationships>
</file>

<file path=word/theme/theme1.xml><?xml version="1.0" encoding="utf-8"?>
<a:theme xmlns:a="http://schemas.openxmlformats.org/drawingml/2006/main" name="PAGB Theme">
  <a:themeElements>
    <a:clrScheme name="PAGB colour scheme">
      <a:dk1>
        <a:sysClr val="windowText" lastClr="000000"/>
      </a:dk1>
      <a:lt1>
        <a:srgbClr val="FFFFFF"/>
      </a:lt1>
      <a:dk2>
        <a:srgbClr val="005FAA"/>
      </a:dk2>
      <a:lt2>
        <a:srgbClr val="FFFFFF"/>
      </a:lt2>
      <a:accent1>
        <a:srgbClr val="005FAA"/>
      </a:accent1>
      <a:accent2>
        <a:srgbClr val="E50E63"/>
      </a:accent2>
      <a:accent3>
        <a:srgbClr val="54B948"/>
      </a:accent3>
      <a:accent4>
        <a:srgbClr val="00B1B0"/>
      </a:accent4>
      <a:accent5>
        <a:srgbClr val="F58426"/>
      </a:accent5>
      <a:accent6>
        <a:srgbClr val="FFDD00"/>
      </a:accent6>
      <a:hlink>
        <a:srgbClr val="005FAA"/>
      </a:hlink>
      <a:folHlink>
        <a:srgbClr val="00B1B0"/>
      </a:folHlink>
    </a:clrScheme>
    <a:fontScheme name="PAGB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6AE99FFF07C24D8C5AE49E7FF0A1AC" ma:contentTypeVersion="13" ma:contentTypeDescription="Create a new document." ma:contentTypeScope="" ma:versionID="d928b721048b744c317d01d3b8d96a17">
  <xsd:schema xmlns:xsd="http://www.w3.org/2001/XMLSchema" xmlns:xs="http://www.w3.org/2001/XMLSchema" xmlns:p="http://schemas.microsoft.com/office/2006/metadata/properties" xmlns:ns3="4ddd5930-18c7-41f2-85b3-1f240bce7033" xmlns:ns4="06842b10-4f81-4875-b3fd-b5a2f16dc6fb" targetNamespace="http://schemas.microsoft.com/office/2006/metadata/properties" ma:root="true" ma:fieldsID="9038c81ae04500aea02b9bd2f9aeae0b" ns3:_="" ns4:_="">
    <xsd:import namespace="4ddd5930-18c7-41f2-85b3-1f240bce7033"/>
    <xsd:import namespace="06842b10-4f81-4875-b3fd-b5a2f16dc6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d5930-18c7-41f2-85b3-1f240bce70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842b10-4f81-4875-b3fd-b5a2f16dc6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48DB0-6314-44C6-85F2-360417EC11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CB5C3-32B2-44B5-93C7-C67A17822294}">
  <ds:schemaRefs>
    <ds:schemaRef ds:uri="http://schemas.microsoft.com/sharepoint/v3/contenttype/forms"/>
  </ds:schemaRefs>
</ds:datastoreItem>
</file>

<file path=customXml/itemProps3.xml><?xml version="1.0" encoding="utf-8"?>
<ds:datastoreItem xmlns:ds="http://schemas.openxmlformats.org/officeDocument/2006/customXml" ds:itemID="{29BEE8A3-B0ED-4AE9-9067-FB45C9C81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d5930-18c7-41f2-85b3-1f240bce7033"/>
    <ds:schemaRef ds:uri="06842b10-4f81-4875-b3fd-b5a2f16dc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AE5AE7-9675-4CDD-BEC1-EDADDF9B1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