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0C5975" w:rsidP="007C5CB3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432560" cy="1160309"/>
            <wp:effectExtent l="0" t="0" r="0" b="1905"/>
            <wp:docPr id="1200548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160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CB3" w:rsidP="007C5CB3">
      <w:pPr>
        <w:jc w:val="center"/>
      </w:pPr>
    </w:p>
    <w:p w:rsidR="007C5CB3" w:rsidP="007C5CB3">
      <w:pPr>
        <w:jc w:val="center"/>
      </w:pPr>
    </w:p>
    <w:p w:rsidR="007C5CB3" w:rsidP="00E23AE3"/>
    <w:p w:rsidR="00CC5852" w:rsidRPr="00486D79" w:rsidP="00CC5852">
      <w:pPr>
        <w:rPr>
          <w:rFonts w:ascii="Arial" w:hAnsi="Arial" w:cs="Arial"/>
          <w:b/>
          <w:bCs/>
          <w:sz w:val="44"/>
          <w:szCs w:val="28"/>
        </w:rPr>
      </w:pPr>
      <w:r w:rsidRPr="00486D79">
        <w:rPr>
          <w:rFonts w:ascii="Arial" w:hAnsi="Arial" w:cs="Arial"/>
          <w:b/>
          <w:bCs/>
          <w:sz w:val="44"/>
          <w:szCs w:val="28"/>
        </w:rPr>
        <w:t>Government Response to the European Union Committee’s Fifth Report of Session 2019-21:</w:t>
      </w:r>
    </w:p>
    <w:p w:rsidR="00CC5852" w:rsidRPr="00486D79" w:rsidP="00CC5852">
      <w:pPr>
        <w:rPr>
          <w:b/>
          <w:bCs/>
          <w:sz w:val="20"/>
          <w:szCs w:val="28"/>
        </w:rPr>
      </w:pPr>
      <w:r w:rsidRPr="00486D79">
        <w:rPr>
          <w:rFonts w:ascii="Arial" w:hAnsi="Arial" w:cs="Arial"/>
          <w:b/>
          <w:bCs/>
          <w:sz w:val="44"/>
          <w:szCs w:val="28"/>
        </w:rPr>
        <w:t>Clock changes: is it time for change?</w:t>
      </w:r>
    </w:p>
    <w:p w:rsidR="00C6721D" w:rsidP="00975CC7">
      <w:pPr>
        <w:rPr>
          <w:rFonts w:ascii="Arial" w:hAnsi="Arial" w:cs="Arial"/>
          <w:b/>
          <w:bCs/>
          <w:sz w:val="32"/>
          <w:szCs w:val="32"/>
        </w:rPr>
      </w:pPr>
    </w:p>
    <w:p w:rsidR="0096177F" w:rsidP="00975CC7">
      <w:pPr>
        <w:rPr>
          <w:rFonts w:ascii="Arial" w:hAnsi="Arial" w:cs="Arial"/>
          <w:b/>
          <w:bCs/>
          <w:sz w:val="32"/>
          <w:szCs w:val="32"/>
        </w:rPr>
      </w:pPr>
    </w:p>
    <w:p w:rsidR="00520B5F" w:rsidRPr="002E300D" w:rsidP="00975CC7">
      <w:pPr>
        <w:rPr>
          <w:rFonts w:ascii="Arial" w:hAnsi="Arial" w:cs="Arial"/>
          <w:b/>
          <w:bCs/>
          <w:sz w:val="32"/>
          <w:szCs w:val="32"/>
        </w:rPr>
      </w:pPr>
      <w:r w:rsidRPr="002E300D">
        <w:rPr>
          <w:rFonts w:ascii="Arial" w:hAnsi="Arial" w:cs="Arial"/>
          <w:b/>
          <w:bCs/>
          <w:sz w:val="32"/>
          <w:szCs w:val="32"/>
        </w:rPr>
        <w:t>Introduction</w:t>
      </w:r>
    </w:p>
    <w:p w:rsidR="001119B0" w:rsidP="00975CC7">
      <w:pPr>
        <w:rPr>
          <w:rFonts w:ascii="Arial" w:hAnsi="Arial" w:cs="Arial"/>
          <w:b/>
          <w:bCs/>
        </w:rPr>
      </w:pPr>
    </w:p>
    <w:p w:rsidR="001119B0" w:rsidP="00975CC7">
      <w:pPr>
        <w:rPr>
          <w:rFonts w:ascii="Arial" w:hAnsi="Arial" w:cs="Arial"/>
          <w:b/>
          <w:bCs/>
        </w:rPr>
      </w:pPr>
    </w:p>
    <w:p w:rsidR="001119B0" w:rsidRPr="009A101A" w:rsidP="009A101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A101A">
        <w:rPr>
          <w:rFonts w:ascii="Arial" w:hAnsi="Arial" w:cs="Arial"/>
        </w:rPr>
        <w:t xml:space="preserve">This government response addresses recommendations made to </w:t>
      </w:r>
      <w:r w:rsidR="005036F3">
        <w:rPr>
          <w:rFonts w:ascii="Arial" w:hAnsi="Arial" w:cs="Arial"/>
        </w:rPr>
        <w:t>Her Majesty’s Government</w:t>
      </w:r>
      <w:r w:rsidRPr="009A101A">
        <w:rPr>
          <w:rFonts w:ascii="Arial" w:hAnsi="Arial" w:cs="Arial"/>
        </w:rPr>
        <w:t xml:space="preserve"> by the House of Lords European Union Committee</w:t>
      </w:r>
      <w:r w:rsidRPr="009A101A" w:rsidR="006608DA">
        <w:rPr>
          <w:rFonts w:ascii="Arial" w:hAnsi="Arial" w:cs="Arial"/>
        </w:rPr>
        <w:t xml:space="preserve">’s report on </w:t>
      </w:r>
      <w:r w:rsidRPr="009A101A" w:rsidR="006608DA">
        <w:rPr>
          <w:rFonts w:ascii="Arial" w:hAnsi="Arial" w:cs="Arial"/>
          <w:i/>
          <w:iCs/>
        </w:rPr>
        <w:t>Clock changes: is it time for change?</w:t>
      </w:r>
      <w:r w:rsidRPr="009A101A" w:rsidR="009A101A">
        <w:rPr>
          <w:rFonts w:ascii="Arial" w:hAnsi="Arial" w:cs="Arial"/>
          <w:i/>
          <w:iCs/>
        </w:rPr>
        <w:t xml:space="preserve"> </w:t>
      </w:r>
    </w:p>
    <w:p w:rsidR="009A101A" w:rsidRPr="009A101A" w:rsidP="009A101A">
      <w:pPr>
        <w:pStyle w:val="ListParagraph"/>
        <w:rPr>
          <w:rFonts w:ascii="Arial" w:hAnsi="Arial" w:cs="Arial"/>
        </w:rPr>
      </w:pPr>
    </w:p>
    <w:p w:rsidR="00E33BEC" w:rsidRPr="00B627BF" w:rsidP="00B627B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C7837">
        <w:rPr>
          <w:rFonts w:ascii="Arial" w:hAnsi="Arial" w:cs="Arial"/>
        </w:rPr>
        <w:t xml:space="preserve">The Department for Business, Energy and Industrial Strategy </w:t>
      </w:r>
      <w:r w:rsidRPr="007C7837" w:rsidR="00DF2EE0">
        <w:rPr>
          <w:rFonts w:ascii="Arial" w:hAnsi="Arial" w:cs="Arial"/>
        </w:rPr>
        <w:t>continues to take</w:t>
      </w:r>
      <w:r w:rsidRPr="007C7837" w:rsidR="00B30ED3">
        <w:rPr>
          <w:rFonts w:ascii="Arial" w:hAnsi="Arial" w:cs="Arial"/>
        </w:rPr>
        <w:t xml:space="preserve"> </w:t>
      </w:r>
      <w:r w:rsidRPr="007C7837" w:rsidR="00FA13BF">
        <w:rPr>
          <w:rFonts w:ascii="Arial" w:hAnsi="Arial" w:cs="Arial"/>
        </w:rPr>
        <w:t xml:space="preserve">an interest in the proposal by the </w:t>
      </w:r>
      <w:r w:rsidRPr="007C7837" w:rsidR="00C70737">
        <w:rPr>
          <w:rFonts w:ascii="Arial" w:hAnsi="Arial" w:cs="Arial"/>
        </w:rPr>
        <w:t xml:space="preserve">European </w:t>
      </w:r>
      <w:r w:rsidRPr="007C7837" w:rsidR="00B70989">
        <w:rPr>
          <w:rFonts w:ascii="Arial" w:hAnsi="Arial" w:cs="Arial"/>
        </w:rPr>
        <w:t>Commission to discontinue clock chang</w:t>
      </w:r>
      <w:r w:rsidRPr="007C7837" w:rsidR="001540B3">
        <w:rPr>
          <w:rFonts w:ascii="Arial" w:hAnsi="Arial" w:cs="Arial"/>
        </w:rPr>
        <w:t>e</w:t>
      </w:r>
      <w:r w:rsidR="009C2072">
        <w:rPr>
          <w:rFonts w:ascii="Arial" w:hAnsi="Arial" w:cs="Arial"/>
        </w:rPr>
        <w:t>s. T</w:t>
      </w:r>
      <w:r w:rsidRPr="007C7837" w:rsidR="00307457">
        <w:rPr>
          <w:rFonts w:ascii="Arial" w:hAnsi="Arial" w:cs="Arial"/>
        </w:rPr>
        <w:t xml:space="preserve">he </w:t>
      </w:r>
      <w:r w:rsidR="00782564">
        <w:rPr>
          <w:rFonts w:ascii="Arial" w:hAnsi="Arial" w:cs="Arial"/>
        </w:rPr>
        <w:t>G</w:t>
      </w:r>
      <w:r w:rsidRPr="007C7837" w:rsidR="00307457">
        <w:rPr>
          <w:rFonts w:ascii="Arial" w:hAnsi="Arial" w:cs="Arial"/>
        </w:rPr>
        <w:t xml:space="preserve">overnment’s position is that </w:t>
      </w:r>
      <w:r w:rsidR="00782564">
        <w:rPr>
          <w:rFonts w:ascii="Arial" w:hAnsi="Arial" w:cs="Arial"/>
        </w:rPr>
        <w:t>the current system should be maintained as the UK is leaving the European Union and</w:t>
      </w:r>
      <w:r w:rsidRPr="007C7837" w:rsidR="00307457">
        <w:rPr>
          <w:rFonts w:ascii="Arial" w:hAnsi="Arial" w:cs="Arial"/>
        </w:rPr>
        <w:t xml:space="preserve"> the</w:t>
      </w:r>
      <w:r w:rsidR="007C7837">
        <w:rPr>
          <w:rFonts w:ascii="Arial" w:hAnsi="Arial" w:cs="Arial"/>
        </w:rPr>
        <w:t xml:space="preserve">re is a lack of evidence to suggest that </w:t>
      </w:r>
      <w:r w:rsidR="00DC4A71">
        <w:rPr>
          <w:rFonts w:ascii="Arial" w:hAnsi="Arial" w:cs="Arial"/>
        </w:rPr>
        <w:t>the UK</w:t>
      </w:r>
      <w:r w:rsidR="007C7837">
        <w:rPr>
          <w:rFonts w:ascii="Arial" w:hAnsi="Arial" w:cs="Arial"/>
        </w:rPr>
        <w:t xml:space="preserve"> should </w:t>
      </w:r>
      <w:r w:rsidR="00DC4A71">
        <w:rPr>
          <w:rFonts w:ascii="Arial" w:hAnsi="Arial" w:cs="Arial"/>
        </w:rPr>
        <w:t>discontinue clock changes</w:t>
      </w:r>
      <w:r w:rsidR="007C7837">
        <w:rPr>
          <w:rFonts w:ascii="Arial" w:hAnsi="Arial" w:cs="Arial"/>
        </w:rPr>
        <w:t>.</w:t>
      </w:r>
      <w:r w:rsidR="00B627BF">
        <w:rPr>
          <w:rFonts w:ascii="Arial" w:hAnsi="Arial" w:cs="Arial"/>
        </w:rPr>
        <w:t xml:space="preserve"> </w:t>
      </w:r>
      <w:r w:rsidRPr="00B627BF" w:rsidR="00AA1FC4">
        <w:rPr>
          <w:rFonts w:ascii="Arial" w:hAnsi="Arial" w:cs="Arial"/>
        </w:rPr>
        <w:t xml:space="preserve">This position </w:t>
      </w:r>
      <w:r w:rsidRPr="00B627BF" w:rsidR="00A9629A">
        <w:rPr>
          <w:rFonts w:ascii="Arial" w:hAnsi="Arial" w:cs="Arial"/>
        </w:rPr>
        <w:t xml:space="preserve">was taken after </w:t>
      </w:r>
      <w:r w:rsidR="006E165E">
        <w:rPr>
          <w:rFonts w:ascii="Arial" w:hAnsi="Arial" w:cs="Arial"/>
        </w:rPr>
        <w:t>reviewing the Commission’s impact assessment which the Government, along with some EU member states, have concluded i</w:t>
      </w:r>
      <w:r w:rsidR="008B3EDE">
        <w:rPr>
          <w:rFonts w:ascii="Arial" w:hAnsi="Arial" w:cs="Arial"/>
        </w:rPr>
        <w:t>s</w:t>
      </w:r>
      <w:r w:rsidR="006E165E">
        <w:rPr>
          <w:rFonts w:ascii="Arial" w:hAnsi="Arial" w:cs="Arial"/>
        </w:rPr>
        <w:t xml:space="preserve"> inadequate. The Government has also </w:t>
      </w:r>
      <w:r w:rsidRPr="00B627BF" w:rsidR="00801EB7">
        <w:rPr>
          <w:rFonts w:ascii="Arial" w:hAnsi="Arial" w:cs="Arial"/>
        </w:rPr>
        <w:t>engag</w:t>
      </w:r>
      <w:r w:rsidR="006E165E">
        <w:rPr>
          <w:rFonts w:ascii="Arial" w:hAnsi="Arial" w:cs="Arial"/>
        </w:rPr>
        <w:t>ed</w:t>
      </w:r>
      <w:r w:rsidRPr="00B627BF" w:rsidR="00801EB7">
        <w:rPr>
          <w:rFonts w:ascii="Arial" w:hAnsi="Arial" w:cs="Arial"/>
        </w:rPr>
        <w:t xml:space="preserve"> with devolved authorities </w:t>
      </w:r>
      <w:r w:rsidRPr="00B627BF" w:rsidR="00834B9E">
        <w:rPr>
          <w:rFonts w:ascii="Arial" w:hAnsi="Arial" w:cs="Arial"/>
        </w:rPr>
        <w:t xml:space="preserve">to better understand </w:t>
      </w:r>
      <w:r w:rsidR="003025F4">
        <w:rPr>
          <w:rFonts w:ascii="Arial" w:hAnsi="Arial" w:cs="Arial"/>
        </w:rPr>
        <w:t>specific national</w:t>
      </w:r>
      <w:r w:rsidRPr="00B627BF" w:rsidR="00834B9E">
        <w:rPr>
          <w:rFonts w:ascii="Arial" w:hAnsi="Arial" w:cs="Arial"/>
        </w:rPr>
        <w:t xml:space="preserve"> issues.</w:t>
      </w:r>
    </w:p>
    <w:p w:rsidR="00E33BEC" w:rsidP="00E33BEC">
      <w:pPr>
        <w:pStyle w:val="ListParagraph"/>
        <w:ind w:left="360"/>
        <w:rPr>
          <w:rFonts w:ascii="Arial" w:hAnsi="Arial" w:cs="Arial"/>
        </w:rPr>
      </w:pPr>
    </w:p>
    <w:p w:rsidR="00776B03" w:rsidP="009A101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We welcome the Committee’s further review of the existing evidenc</w:t>
      </w:r>
      <w:r w:rsidR="00E33BEC">
        <w:rPr>
          <w:rFonts w:ascii="Arial" w:hAnsi="Arial" w:cs="Arial"/>
        </w:rPr>
        <w:t>e</w:t>
      </w:r>
      <w:r w:rsidR="007662A1">
        <w:rPr>
          <w:rFonts w:ascii="Arial" w:hAnsi="Arial" w:cs="Arial"/>
        </w:rPr>
        <w:t xml:space="preserve"> in this report</w:t>
      </w:r>
      <w:r w:rsidR="00834B9E">
        <w:rPr>
          <w:rFonts w:ascii="Arial" w:hAnsi="Arial" w:cs="Arial"/>
        </w:rPr>
        <w:t xml:space="preserve"> </w:t>
      </w:r>
      <w:r w:rsidR="00E33BEC">
        <w:rPr>
          <w:rFonts w:ascii="Arial" w:hAnsi="Arial" w:cs="Arial"/>
        </w:rPr>
        <w:t xml:space="preserve">and </w:t>
      </w:r>
      <w:r w:rsidR="000E78C2">
        <w:rPr>
          <w:rFonts w:ascii="Arial" w:hAnsi="Arial" w:cs="Arial"/>
        </w:rPr>
        <w:t xml:space="preserve">their analysis of </w:t>
      </w:r>
      <w:r w:rsidR="00960E3A">
        <w:rPr>
          <w:rFonts w:ascii="Arial" w:hAnsi="Arial" w:cs="Arial"/>
        </w:rPr>
        <w:t>the implications of discont</w:t>
      </w:r>
      <w:r w:rsidR="007662A1">
        <w:rPr>
          <w:rFonts w:ascii="Arial" w:hAnsi="Arial" w:cs="Arial"/>
        </w:rPr>
        <w:t xml:space="preserve">inuing clock changes that are </w:t>
      </w:r>
      <w:r w:rsidR="000E78C2">
        <w:rPr>
          <w:rFonts w:ascii="Arial" w:hAnsi="Arial" w:cs="Arial"/>
        </w:rPr>
        <w:t>most pertinent t</w:t>
      </w:r>
      <w:r w:rsidR="007662A1">
        <w:rPr>
          <w:rFonts w:ascii="Arial" w:hAnsi="Arial" w:cs="Arial"/>
        </w:rPr>
        <w:t>o UK citizens and businesses.</w:t>
      </w:r>
      <w:r w:rsidR="004B7862">
        <w:rPr>
          <w:rFonts w:ascii="Arial" w:hAnsi="Arial" w:cs="Arial"/>
        </w:rPr>
        <w:t xml:space="preserve"> </w:t>
      </w:r>
      <w:r w:rsidR="00004CF3">
        <w:rPr>
          <w:rFonts w:ascii="Arial" w:hAnsi="Arial" w:cs="Arial"/>
        </w:rPr>
        <w:t xml:space="preserve">The </w:t>
      </w:r>
      <w:r w:rsidR="00923EE7">
        <w:rPr>
          <w:rFonts w:ascii="Arial" w:hAnsi="Arial" w:cs="Arial"/>
        </w:rPr>
        <w:t>evidence</w:t>
      </w:r>
      <w:r w:rsidR="00004CF3">
        <w:rPr>
          <w:rFonts w:ascii="Arial" w:hAnsi="Arial" w:cs="Arial"/>
        </w:rPr>
        <w:t xml:space="preserve"> and analysis presented in the Committee’s report is particularly important since there is no indication that the European Union intends to conduct a</w:t>
      </w:r>
      <w:r w:rsidR="00DF3B8D">
        <w:rPr>
          <w:rFonts w:ascii="Arial" w:hAnsi="Arial" w:cs="Arial"/>
        </w:rPr>
        <w:t xml:space="preserve"> full</w:t>
      </w:r>
      <w:r w:rsidR="00004CF3">
        <w:rPr>
          <w:rFonts w:ascii="Arial" w:hAnsi="Arial" w:cs="Arial"/>
        </w:rPr>
        <w:t xml:space="preserve"> impact assessment of discontinuing clock changes.</w:t>
      </w:r>
      <w:r w:rsidR="00B36008">
        <w:rPr>
          <w:rFonts w:ascii="Arial" w:hAnsi="Arial" w:cs="Arial"/>
        </w:rPr>
        <w:t xml:space="preserve"> </w:t>
      </w:r>
      <w:r w:rsidR="000941EE">
        <w:rPr>
          <w:rFonts w:ascii="Arial" w:hAnsi="Arial" w:cs="Arial"/>
        </w:rPr>
        <w:t xml:space="preserve">The Government will continue to engage with </w:t>
      </w:r>
      <w:r w:rsidR="00F254F0">
        <w:rPr>
          <w:rFonts w:ascii="Arial" w:hAnsi="Arial" w:cs="Arial"/>
        </w:rPr>
        <w:t xml:space="preserve">the Devolved Administrations to </w:t>
      </w:r>
      <w:r w:rsidR="0034691A">
        <w:rPr>
          <w:rFonts w:ascii="Arial" w:hAnsi="Arial" w:cs="Arial"/>
        </w:rPr>
        <w:t xml:space="preserve">continue building up evidence and analysis of the proposal and its implications. </w:t>
      </w:r>
    </w:p>
    <w:p w:rsidR="00776B03" w:rsidP="00776B03">
      <w:pPr>
        <w:rPr>
          <w:rFonts w:ascii="Arial" w:hAnsi="Arial" w:cs="Arial"/>
        </w:rPr>
      </w:pPr>
    </w:p>
    <w:p w:rsidR="00776B03" w:rsidP="00776B03">
      <w:pPr>
        <w:rPr>
          <w:rFonts w:ascii="Arial" w:hAnsi="Arial" w:cs="Arial"/>
        </w:rPr>
      </w:pPr>
    </w:p>
    <w:p w:rsidR="00776B03" w:rsidP="00776B03">
      <w:pPr>
        <w:rPr>
          <w:rFonts w:ascii="Arial" w:hAnsi="Arial" w:cs="Arial"/>
        </w:rPr>
      </w:pPr>
    </w:p>
    <w:p w:rsidR="00E23AE3" w:rsidP="00975CC7">
      <w:pPr>
        <w:rPr>
          <w:rFonts w:ascii="Arial" w:hAnsi="Arial" w:cs="Arial"/>
        </w:rPr>
      </w:pPr>
    </w:p>
    <w:p w:rsidR="00520B5F" w:rsidRPr="00E23AE3" w:rsidP="00975CC7">
      <w:pPr>
        <w:rPr>
          <w:rFonts w:ascii="Arial" w:hAnsi="Arial" w:cs="Arial"/>
        </w:rPr>
      </w:pPr>
      <w:r w:rsidRPr="00C7468D">
        <w:rPr>
          <w:rFonts w:ascii="Arial" w:hAnsi="Arial" w:cs="Arial"/>
          <w:b/>
          <w:bCs/>
          <w:sz w:val="32"/>
          <w:szCs w:val="32"/>
        </w:rPr>
        <w:t xml:space="preserve">European Union </w:t>
      </w:r>
      <w:r w:rsidRPr="00C7468D" w:rsidR="009A1430">
        <w:rPr>
          <w:rFonts w:ascii="Arial" w:hAnsi="Arial" w:cs="Arial"/>
          <w:b/>
          <w:bCs/>
          <w:sz w:val="32"/>
          <w:szCs w:val="32"/>
        </w:rPr>
        <w:t>Committee Recommendations</w:t>
      </w:r>
      <w:r w:rsidR="00E23AE3">
        <w:rPr>
          <w:rFonts w:ascii="Arial" w:hAnsi="Arial" w:cs="Arial"/>
          <w:b/>
          <w:bCs/>
          <w:sz w:val="32"/>
          <w:szCs w:val="32"/>
        </w:rPr>
        <w:t xml:space="preserve"> and Government Response</w:t>
      </w:r>
    </w:p>
    <w:p w:rsidR="009A1430" w:rsidP="00975CC7">
      <w:pPr>
        <w:rPr>
          <w:rFonts w:ascii="Arial" w:hAnsi="Arial" w:cs="Arial"/>
          <w:b/>
          <w:bCs/>
          <w:sz w:val="32"/>
          <w:szCs w:val="32"/>
        </w:rPr>
      </w:pPr>
    </w:p>
    <w:p w:rsidR="00E36537" w:rsidP="00E3653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Further to their review of the existing evidence</w:t>
      </w:r>
      <w:r w:rsidR="00C7468D">
        <w:rPr>
          <w:rFonts w:ascii="Arial" w:hAnsi="Arial" w:cs="Arial"/>
        </w:rPr>
        <w:t xml:space="preserve"> as set out in the report</w:t>
      </w:r>
      <w:r>
        <w:rPr>
          <w:rFonts w:ascii="Arial" w:hAnsi="Arial" w:cs="Arial"/>
        </w:rPr>
        <w:t xml:space="preserve">, the Committee </w:t>
      </w:r>
      <w:r>
        <w:rPr>
          <w:rFonts w:ascii="Arial" w:hAnsi="Arial" w:cs="Arial"/>
        </w:rPr>
        <w:t>made the following recommendations to</w:t>
      </w:r>
      <w:r>
        <w:rPr>
          <w:rFonts w:ascii="Arial" w:hAnsi="Arial" w:cs="Arial"/>
        </w:rPr>
        <w:t xml:space="preserve"> </w:t>
      </w:r>
      <w:r w:rsidR="00C7468D">
        <w:rPr>
          <w:rFonts w:ascii="Arial" w:hAnsi="Arial" w:cs="Arial"/>
        </w:rPr>
        <w:t>the government</w:t>
      </w:r>
      <w:r>
        <w:rPr>
          <w:rFonts w:ascii="Arial" w:hAnsi="Arial" w:cs="Arial"/>
        </w:rPr>
        <w:t>:</w:t>
      </w:r>
    </w:p>
    <w:p w:rsidR="00E36537" w:rsidP="00E36537">
      <w:pPr>
        <w:pStyle w:val="ListParagraph"/>
        <w:ind w:left="360"/>
        <w:rPr>
          <w:rFonts w:ascii="Arial" w:hAnsi="Arial" w:cs="Arial"/>
        </w:rPr>
      </w:pPr>
    </w:p>
    <w:p w:rsidR="00177B1A" w:rsidRPr="00177B1A" w:rsidP="00177B1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D7345">
        <w:rPr>
          <w:rFonts w:ascii="Arial" w:hAnsi="Arial" w:cs="Arial"/>
          <w:b/>
          <w:bCs/>
          <w:i/>
          <w:iCs/>
        </w:rPr>
        <w:t xml:space="preserve">Recommendation: </w:t>
      </w:r>
      <w:r w:rsidRPr="00177B1A">
        <w:rPr>
          <w:rFonts w:ascii="Arial" w:hAnsi="Arial" w:cs="Arial"/>
          <w:i/>
          <w:iCs/>
        </w:rPr>
        <w:t>The Government should f</w:t>
      </w:r>
      <w:r w:rsidRPr="00177B1A" w:rsidR="00E442CC">
        <w:rPr>
          <w:rFonts w:ascii="Arial" w:hAnsi="Arial" w:cs="Arial"/>
          <w:i/>
          <w:iCs/>
        </w:rPr>
        <w:t>urther review the research landscape on the possible implications for UK citizens and business of discontinuing clock changes.</w:t>
      </w:r>
    </w:p>
    <w:p w:rsidR="00177B1A" w:rsidP="00177B1A">
      <w:pPr>
        <w:pStyle w:val="ListParagraph"/>
        <w:ind w:left="360"/>
        <w:rPr>
          <w:rFonts w:ascii="Arial" w:hAnsi="Arial" w:cs="Arial"/>
          <w:i/>
          <w:iCs/>
        </w:rPr>
      </w:pPr>
    </w:p>
    <w:p w:rsidR="001D7345" w:rsidRPr="001D7345" w:rsidP="00177B1A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 xml:space="preserve">Response: </w:t>
      </w:r>
      <w:r w:rsidRPr="00177B1A" w:rsidR="00C7468D">
        <w:rPr>
          <w:rFonts w:ascii="Arial" w:hAnsi="Arial" w:cs="Arial"/>
        </w:rPr>
        <w:t xml:space="preserve">The </w:t>
      </w:r>
      <w:r w:rsidR="0034691A">
        <w:rPr>
          <w:rFonts w:ascii="Arial" w:hAnsi="Arial" w:cs="Arial"/>
        </w:rPr>
        <w:t>G</w:t>
      </w:r>
      <w:r w:rsidRPr="00177B1A" w:rsidR="00C7468D">
        <w:rPr>
          <w:rFonts w:ascii="Arial" w:hAnsi="Arial" w:cs="Arial"/>
        </w:rPr>
        <w:t>overnment</w:t>
      </w:r>
      <w:r w:rsidRPr="00177B1A" w:rsidR="009D6E86">
        <w:rPr>
          <w:rFonts w:ascii="Arial" w:hAnsi="Arial" w:cs="Arial"/>
        </w:rPr>
        <w:t xml:space="preserve">, like the Committee, found that there is little conclusive evidence </w:t>
      </w:r>
      <w:r w:rsidRPr="00177B1A" w:rsidR="00362F74">
        <w:rPr>
          <w:rFonts w:ascii="Arial" w:hAnsi="Arial" w:cs="Arial"/>
        </w:rPr>
        <w:t xml:space="preserve">to suggest </w:t>
      </w:r>
      <w:r w:rsidR="003A687F">
        <w:rPr>
          <w:rFonts w:ascii="Arial" w:hAnsi="Arial" w:cs="Arial"/>
        </w:rPr>
        <w:t>the extent of the</w:t>
      </w:r>
      <w:r w:rsidRPr="00177B1A" w:rsidR="00362F74">
        <w:rPr>
          <w:rFonts w:ascii="Arial" w:hAnsi="Arial" w:cs="Arial"/>
        </w:rPr>
        <w:t xml:space="preserve"> implications that discontinuing clock changes might </w:t>
      </w:r>
      <w:r w:rsidRPr="00177B1A" w:rsidR="006D682A">
        <w:rPr>
          <w:rFonts w:ascii="Arial" w:hAnsi="Arial" w:cs="Arial"/>
        </w:rPr>
        <w:t>have</w:t>
      </w:r>
      <w:r w:rsidRPr="00177B1A" w:rsidR="00362F74">
        <w:rPr>
          <w:rFonts w:ascii="Arial" w:hAnsi="Arial" w:cs="Arial"/>
        </w:rPr>
        <w:t xml:space="preserve"> for UK citizens and business. </w:t>
      </w:r>
      <w:r w:rsidR="00D859C3">
        <w:rPr>
          <w:rFonts w:ascii="Arial" w:hAnsi="Arial" w:cs="Arial"/>
        </w:rPr>
        <w:t>However</w:t>
      </w:r>
      <w:r w:rsidR="00C36BAF">
        <w:rPr>
          <w:rFonts w:ascii="Arial" w:hAnsi="Arial" w:cs="Arial"/>
        </w:rPr>
        <w:t>,</w:t>
      </w:r>
      <w:r w:rsidR="0078618D">
        <w:rPr>
          <w:rFonts w:ascii="Arial" w:hAnsi="Arial" w:cs="Arial"/>
        </w:rPr>
        <w:t xml:space="preserve"> t</w:t>
      </w:r>
      <w:r w:rsidRPr="00177B1A" w:rsidR="00EE0FB6">
        <w:rPr>
          <w:rFonts w:ascii="Arial" w:hAnsi="Arial" w:cs="Arial"/>
        </w:rPr>
        <w:t xml:space="preserve">he </w:t>
      </w:r>
      <w:r w:rsidR="0034691A">
        <w:rPr>
          <w:rFonts w:ascii="Arial" w:hAnsi="Arial" w:cs="Arial"/>
        </w:rPr>
        <w:t>G</w:t>
      </w:r>
      <w:r w:rsidRPr="00177B1A" w:rsidR="00EE0FB6">
        <w:rPr>
          <w:rFonts w:ascii="Arial" w:hAnsi="Arial" w:cs="Arial"/>
        </w:rPr>
        <w:t>overnment note</w:t>
      </w:r>
      <w:r w:rsidR="00C36BAF">
        <w:rPr>
          <w:rFonts w:ascii="Arial" w:hAnsi="Arial" w:cs="Arial"/>
        </w:rPr>
        <w:t>s</w:t>
      </w:r>
      <w:r w:rsidRPr="00177B1A" w:rsidR="00EE0FB6">
        <w:rPr>
          <w:rFonts w:ascii="Arial" w:hAnsi="Arial" w:cs="Arial"/>
        </w:rPr>
        <w:t xml:space="preserve"> that </w:t>
      </w:r>
      <w:r w:rsidRPr="00177B1A" w:rsidR="00661C69">
        <w:rPr>
          <w:rFonts w:ascii="Arial" w:hAnsi="Arial" w:cs="Arial"/>
        </w:rPr>
        <w:t xml:space="preserve">particular sectors such as aviation, </w:t>
      </w:r>
      <w:r w:rsidRPr="00177B1A" w:rsidR="00EA165D">
        <w:rPr>
          <w:rFonts w:ascii="Arial" w:hAnsi="Arial" w:cs="Arial"/>
        </w:rPr>
        <w:t>gas and electricity markets and farming w</w:t>
      </w:r>
      <w:r w:rsidRPr="00177B1A" w:rsidR="00477A6B">
        <w:rPr>
          <w:rFonts w:ascii="Arial" w:hAnsi="Arial" w:cs="Arial"/>
        </w:rPr>
        <w:t>ould</w:t>
      </w:r>
      <w:r w:rsidRPr="00177B1A" w:rsidR="00EA165D">
        <w:rPr>
          <w:rFonts w:ascii="Arial" w:hAnsi="Arial" w:cs="Arial"/>
        </w:rPr>
        <w:t xml:space="preserve"> </w:t>
      </w:r>
      <w:r w:rsidRPr="00177B1A" w:rsidR="00C764AD">
        <w:rPr>
          <w:rFonts w:ascii="Arial" w:hAnsi="Arial" w:cs="Arial"/>
        </w:rPr>
        <w:t xml:space="preserve">face </w:t>
      </w:r>
      <w:r w:rsidRPr="00177B1A" w:rsidR="00492161">
        <w:rPr>
          <w:rFonts w:ascii="Arial" w:hAnsi="Arial" w:cs="Arial"/>
        </w:rPr>
        <w:t>disruption</w:t>
      </w:r>
      <w:r w:rsidRPr="00177B1A" w:rsidR="00477A6B">
        <w:rPr>
          <w:rFonts w:ascii="Arial" w:hAnsi="Arial" w:cs="Arial"/>
        </w:rPr>
        <w:t xml:space="preserve"> and transition costs</w:t>
      </w:r>
      <w:r w:rsidRPr="00177B1A" w:rsidR="00492161">
        <w:rPr>
          <w:rFonts w:ascii="Arial" w:hAnsi="Arial" w:cs="Arial"/>
        </w:rPr>
        <w:t xml:space="preserve"> from discontinuing clock changes. </w:t>
      </w:r>
      <w:r w:rsidRPr="00177B1A" w:rsidR="00235477">
        <w:rPr>
          <w:rFonts w:ascii="Arial" w:hAnsi="Arial" w:cs="Arial"/>
        </w:rPr>
        <w:t xml:space="preserve">The </w:t>
      </w:r>
      <w:r w:rsidR="00235477">
        <w:rPr>
          <w:rFonts w:ascii="Arial" w:hAnsi="Arial" w:cs="Arial"/>
        </w:rPr>
        <w:t>G</w:t>
      </w:r>
      <w:r w:rsidRPr="00177B1A" w:rsidR="00235477">
        <w:rPr>
          <w:rFonts w:ascii="Arial" w:hAnsi="Arial" w:cs="Arial"/>
        </w:rPr>
        <w:t>overnment thanks the Committee for suggesting particular research areas where a further review can be carried out</w:t>
      </w:r>
      <w:r w:rsidR="00235477">
        <w:rPr>
          <w:rFonts w:ascii="Arial" w:hAnsi="Arial" w:cs="Arial"/>
        </w:rPr>
        <w:t xml:space="preserve">, such as studies relating to countries in a similar geographic position as the UK. </w:t>
      </w:r>
      <w:r w:rsidRPr="00177B1A" w:rsidR="00C874DD">
        <w:rPr>
          <w:rFonts w:ascii="Arial" w:hAnsi="Arial" w:cs="Arial"/>
        </w:rPr>
        <w:t>The</w:t>
      </w:r>
      <w:r w:rsidRPr="00177B1A" w:rsidR="00385A04">
        <w:rPr>
          <w:rFonts w:ascii="Arial" w:hAnsi="Arial" w:cs="Arial"/>
        </w:rPr>
        <w:t xml:space="preserve"> </w:t>
      </w:r>
      <w:r w:rsidR="0034691A">
        <w:rPr>
          <w:rFonts w:ascii="Arial" w:hAnsi="Arial" w:cs="Arial"/>
        </w:rPr>
        <w:t>G</w:t>
      </w:r>
      <w:r w:rsidRPr="00177B1A" w:rsidR="00385A04">
        <w:rPr>
          <w:rFonts w:ascii="Arial" w:hAnsi="Arial" w:cs="Arial"/>
        </w:rPr>
        <w:t xml:space="preserve">overnment will continue to review the </w:t>
      </w:r>
      <w:r w:rsidR="00F86FC6">
        <w:rPr>
          <w:rFonts w:ascii="Arial" w:hAnsi="Arial" w:cs="Arial"/>
        </w:rPr>
        <w:t>evidence</w:t>
      </w:r>
      <w:r w:rsidRPr="00177B1A" w:rsidR="00385A04">
        <w:rPr>
          <w:rFonts w:ascii="Arial" w:hAnsi="Arial" w:cs="Arial"/>
        </w:rPr>
        <w:t xml:space="preserve"> on the possible implications for UK citizens and business of discontinuing clock changes.</w:t>
      </w:r>
      <w:r w:rsidRPr="00177B1A" w:rsidR="004D752B">
        <w:rPr>
          <w:rFonts w:ascii="Arial" w:hAnsi="Arial" w:cs="Arial"/>
        </w:rPr>
        <w:t xml:space="preserve"> </w:t>
      </w:r>
    </w:p>
    <w:p w:rsidR="001D7345" w:rsidRPr="001D7345" w:rsidP="001D7345">
      <w:pPr>
        <w:pStyle w:val="ListParagraph"/>
        <w:ind w:left="360"/>
        <w:rPr>
          <w:rFonts w:ascii="Arial" w:hAnsi="Arial" w:cs="Arial"/>
          <w:i/>
          <w:iCs/>
        </w:rPr>
      </w:pPr>
    </w:p>
    <w:p w:rsidR="001D7345" w:rsidP="001D7345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Recommendation: </w:t>
      </w:r>
      <w:r w:rsidR="009A08ED">
        <w:rPr>
          <w:rFonts w:ascii="Arial" w:hAnsi="Arial" w:cs="Arial"/>
          <w:i/>
          <w:iCs/>
        </w:rPr>
        <w:t>The Government should c</w:t>
      </w:r>
      <w:r w:rsidRPr="001D7345" w:rsidR="007C1D86">
        <w:rPr>
          <w:rFonts w:ascii="Arial" w:hAnsi="Arial" w:cs="Arial"/>
          <w:i/>
          <w:iCs/>
        </w:rPr>
        <w:t>onsider the implications for business of non-alignment on clock changes with EU member states or within the UK.</w:t>
      </w:r>
    </w:p>
    <w:p w:rsidR="001D7345" w:rsidP="001D7345">
      <w:pPr>
        <w:pStyle w:val="ListParagraph"/>
        <w:ind w:left="360"/>
        <w:rPr>
          <w:rFonts w:ascii="Arial" w:hAnsi="Arial" w:cs="Arial"/>
          <w:i/>
          <w:iCs/>
        </w:rPr>
      </w:pPr>
    </w:p>
    <w:p w:rsidR="001D7345" w:rsidRPr="001D7345" w:rsidP="001D7345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 xml:space="preserve">Response: </w:t>
      </w:r>
      <w:r w:rsidRPr="001D7345" w:rsidR="00CC43BD">
        <w:rPr>
          <w:rFonts w:ascii="Arial" w:hAnsi="Arial" w:cs="Arial"/>
        </w:rPr>
        <w:t xml:space="preserve">The </w:t>
      </w:r>
      <w:r w:rsidR="0034691A">
        <w:rPr>
          <w:rFonts w:ascii="Arial" w:hAnsi="Arial" w:cs="Arial"/>
        </w:rPr>
        <w:t>G</w:t>
      </w:r>
      <w:r w:rsidRPr="001D7345" w:rsidR="00CC43BD">
        <w:rPr>
          <w:rFonts w:ascii="Arial" w:hAnsi="Arial" w:cs="Arial"/>
        </w:rPr>
        <w:t>overnment recognise</w:t>
      </w:r>
      <w:r w:rsidR="00037B01">
        <w:rPr>
          <w:rFonts w:ascii="Arial" w:hAnsi="Arial" w:cs="Arial"/>
        </w:rPr>
        <w:t>s</w:t>
      </w:r>
      <w:r w:rsidRPr="001D7345" w:rsidR="00CC43BD">
        <w:rPr>
          <w:rFonts w:ascii="Arial" w:hAnsi="Arial" w:cs="Arial"/>
        </w:rPr>
        <w:t xml:space="preserve"> that </w:t>
      </w:r>
      <w:r w:rsidRPr="001D7345" w:rsidR="0071523E">
        <w:rPr>
          <w:rFonts w:ascii="Arial" w:hAnsi="Arial" w:cs="Arial"/>
        </w:rPr>
        <w:t xml:space="preserve">the implications of </w:t>
      </w:r>
      <w:r w:rsidRPr="001D7345" w:rsidR="00ED4CBE">
        <w:rPr>
          <w:rFonts w:ascii="Arial" w:hAnsi="Arial" w:cs="Arial"/>
        </w:rPr>
        <w:t xml:space="preserve">non-alignment on clock changes </w:t>
      </w:r>
      <w:r w:rsidRPr="001D7345" w:rsidR="0071523E">
        <w:rPr>
          <w:rFonts w:ascii="Arial" w:hAnsi="Arial" w:cs="Arial"/>
        </w:rPr>
        <w:t xml:space="preserve">are inconclusive, although it is noted that </w:t>
      </w:r>
      <w:r w:rsidRPr="001D7345" w:rsidR="00F543E5">
        <w:rPr>
          <w:rFonts w:ascii="Arial" w:hAnsi="Arial" w:cs="Arial"/>
        </w:rPr>
        <w:t xml:space="preserve">non-alignment would add complexity and cause </w:t>
      </w:r>
      <w:r w:rsidRPr="001D7345" w:rsidR="00E5717D">
        <w:rPr>
          <w:rFonts w:ascii="Arial" w:hAnsi="Arial" w:cs="Arial"/>
        </w:rPr>
        <w:t>greater disruption for UK business than discontinuing clock changes would alone</w:t>
      </w:r>
      <w:r w:rsidR="00222EF6">
        <w:rPr>
          <w:rFonts w:ascii="Arial" w:hAnsi="Arial" w:cs="Arial"/>
        </w:rPr>
        <w:t>. The Committee recommends</w:t>
      </w:r>
      <w:r w:rsidR="008B4A51">
        <w:rPr>
          <w:rFonts w:ascii="Arial" w:hAnsi="Arial" w:cs="Arial"/>
        </w:rPr>
        <w:t xml:space="preserve"> reviewing evidence from the pre-1996 period, when the timing of the autumn clock change was not fully harmonised. </w:t>
      </w:r>
      <w:r w:rsidR="00222EF6">
        <w:rPr>
          <w:rFonts w:ascii="Arial" w:hAnsi="Arial" w:cs="Arial"/>
        </w:rPr>
        <w:t xml:space="preserve">However, it is unclear if evidence from this time period would </w:t>
      </w:r>
      <w:r w:rsidR="00161873">
        <w:rPr>
          <w:rFonts w:ascii="Arial" w:hAnsi="Arial" w:cs="Arial"/>
        </w:rPr>
        <w:t xml:space="preserve">be </w:t>
      </w:r>
      <w:r w:rsidR="008A3BBB">
        <w:rPr>
          <w:rFonts w:ascii="Arial" w:hAnsi="Arial" w:cs="Arial"/>
        </w:rPr>
        <w:t>indicative of what the</w:t>
      </w:r>
      <w:r w:rsidR="00117033">
        <w:rPr>
          <w:rFonts w:ascii="Arial" w:hAnsi="Arial" w:cs="Arial"/>
        </w:rPr>
        <w:t xml:space="preserve"> </w:t>
      </w:r>
      <w:r w:rsidR="00161873">
        <w:rPr>
          <w:rFonts w:ascii="Arial" w:hAnsi="Arial" w:cs="Arial"/>
        </w:rPr>
        <w:t>effects of non-alignment in the present day</w:t>
      </w:r>
      <w:r w:rsidR="00117033">
        <w:rPr>
          <w:rFonts w:ascii="Arial" w:hAnsi="Arial" w:cs="Arial"/>
        </w:rPr>
        <w:t xml:space="preserve"> might be</w:t>
      </w:r>
      <w:r w:rsidR="009346BF">
        <w:rPr>
          <w:rFonts w:ascii="Arial" w:hAnsi="Arial" w:cs="Arial"/>
        </w:rPr>
        <w:t xml:space="preserve">. </w:t>
      </w:r>
      <w:r w:rsidR="00B06B50">
        <w:rPr>
          <w:rFonts w:ascii="Arial" w:hAnsi="Arial" w:cs="Arial"/>
        </w:rPr>
        <w:t xml:space="preserve">The Government will further consider the implications </w:t>
      </w:r>
      <w:r w:rsidR="00D17B9F">
        <w:rPr>
          <w:rFonts w:ascii="Arial" w:hAnsi="Arial" w:cs="Arial"/>
        </w:rPr>
        <w:t xml:space="preserve">of non-alignment for businesses. However, due the inconclusive evidence and the possibility of divergence on the Island of Ireland, </w:t>
      </w:r>
      <w:r w:rsidR="00B06B50">
        <w:rPr>
          <w:rFonts w:ascii="Arial" w:hAnsi="Arial" w:cs="Arial"/>
        </w:rPr>
        <w:t>b</w:t>
      </w:r>
      <w:r w:rsidRPr="0049188F" w:rsidR="0049188F">
        <w:rPr>
          <w:rFonts w:ascii="Arial" w:hAnsi="Arial" w:cs="Arial"/>
        </w:rPr>
        <w:t>oth the UK and Irish Governments are completely opposed to any difference in daylight saving or time zone between Northern Ireland and Ireland</w:t>
      </w:r>
      <w:r w:rsidR="00B06B50">
        <w:rPr>
          <w:rFonts w:ascii="Arial" w:hAnsi="Arial" w:cs="Arial"/>
        </w:rPr>
        <w:t>.</w:t>
      </w:r>
      <w:r w:rsidR="00D530B5">
        <w:rPr>
          <w:rFonts w:ascii="Arial" w:hAnsi="Arial" w:cs="Arial"/>
        </w:rPr>
        <w:t xml:space="preserve"> </w:t>
      </w:r>
    </w:p>
    <w:p w:rsidR="001D7345" w:rsidRPr="001D7345" w:rsidP="001D7345">
      <w:pPr>
        <w:pStyle w:val="ListParagraph"/>
        <w:ind w:left="360"/>
        <w:rPr>
          <w:rFonts w:ascii="Arial" w:hAnsi="Arial" w:cs="Arial"/>
          <w:i/>
          <w:iCs/>
        </w:rPr>
      </w:pPr>
    </w:p>
    <w:p w:rsidR="00CC14D5" w:rsidP="00CC14D5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 w:rsidRPr="001D7345">
        <w:rPr>
          <w:rFonts w:ascii="Arial" w:hAnsi="Arial" w:cs="Arial"/>
          <w:b/>
          <w:bCs/>
          <w:i/>
          <w:iCs/>
        </w:rPr>
        <w:t>Recommendation:</w:t>
      </w:r>
      <w:r>
        <w:rPr>
          <w:rFonts w:ascii="Arial" w:hAnsi="Arial" w:cs="Arial"/>
          <w:b/>
          <w:bCs/>
        </w:rPr>
        <w:t xml:space="preserve"> </w:t>
      </w:r>
      <w:r w:rsidR="009A08ED">
        <w:rPr>
          <w:rFonts w:ascii="Arial" w:hAnsi="Arial" w:cs="Arial"/>
          <w:i/>
          <w:iCs/>
        </w:rPr>
        <w:t>The Government should c</w:t>
      </w:r>
      <w:r w:rsidRPr="001D7345" w:rsidR="003A5651">
        <w:rPr>
          <w:rFonts w:ascii="Arial" w:hAnsi="Arial" w:cs="Arial"/>
          <w:i/>
          <w:iCs/>
        </w:rPr>
        <w:t>ontinue to work with devolve</w:t>
      </w:r>
      <w:r w:rsidR="00CA083A">
        <w:rPr>
          <w:rFonts w:ascii="Arial" w:hAnsi="Arial" w:cs="Arial"/>
          <w:i/>
          <w:iCs/>
        </w:rPr>
        <w:t>d</w:t>
      </w:r>
      <w:r w:rsidRPr="001D7345" w:rsidR="003A5651">
        <w:rPr>
          <w:rFonts w:ascii="Arial" w:hAnsi="Arial" w:cs="Arial"/>
          <w:i/>
          <w:iCs/>
        </w:rPr>
        <w:t xml:space="preserve"> authorities to better map and understand regional issues.</w:t>
      </w:r>
    </w:p>
    <w:p w:rsidR="00CC14D5" w:rsidP="00CC14D5">
      <w:pPr>
        <w:pStyle w:val="ListParagraph"/>
        <w:ind w:left="360"/>
        <w:rPr>
          <w:rFonts w:ascii="Arial" w:hAnsi="Arial" w:cs="Arial"/>
          <w:i/>
          <w:iCs/>
        </w:rPr>
      </w:pPr>
    </w:p>
    <w:p w:rsidR="006E568A" w:rsidRPr="00CC14D5" w:rsidP="00CC14D5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 w:rsidRPr="00CC14D5">
        <w:rPr>
          <w:rFonts w:ascii="Arial" w:hAnsi="Arial" w:cs="Arial"/>
          <w:b/>
          <w:bCs/>
        </w:rPr>
        <w:t xml:space="preserve">Response: </w:t>
      </w:r>
      <w:r w:rsidRPr="00CC14D5" w:rsidR="000E5F71">
        <w:rPr>
          <w:rFonts w:ascii="Arial" w:hAnsi="Arial" w:cs="Arial"/>
        </w:rPr>
        <w:t xml:space="preserve">The </w:t>
      </w:r>
      <w:r w:rsidRPr="00CC14D5" w:rsidR="0034691A">
        <w:rPr>
          <w:rFonts w:ascii="Arial" w:hAnsi="Arial" w:cs="Arial"/>
        </w:rPr>
        <w:t>G</w:t>
      </w:r>
      <w:r w:rsidRPr="00CC14D5" w:rsidR="000E5F71">
        <w:rPr>
          <w:rFonts w:ascii="Arial" w:hAnsi="Arial" w:cs="Arial"/>
        </w:rPr>
        <w:t>overnment acknowledge</w:t>
      </w:r>
      <w:r w:rsidRPr="00CC14D5" w:rsidR="00E152AF">
        <w:rPr>
          <w:rFonts w:ascii="Arial" w:hAnsi="Arial" w:cs="Arial"/>
        </w:rPr>
        <w:t>s</w:t>
      </w:r>
      <w:r w:rsidRPr="00CC14D5" w:rsidR="000E5F71">
        <w:rPr>
          <w:rFonts w:ascii="Arial" w:hAnsi="Arial" w:cs="Arial"/>
        </w:rPr>
        <w:t xml:space="preserve"> that </w:t>
      </w:r>
      <w:r w:rsidRPr="00CC14D5" w:rsidR="0077181B">
        <w:rPr>
          <w:rFonts w:ascii="Arial" w:hAnsi="Arial" w:cs="Arial"/>
        </w:rPr>
        <w:t>discontinuing clock changes is as much a</w:t>
      </w:r>
      <w:r w:rsidR="00F93D61">
        <w:rPr>
          <w:rFonts w:ascii="Arial" w:hAnsi="Arial" w:cs="Arial"/>
        </w:rPr>
        <w:t>n</w:t>
      </w:r>
      <w:r w:rsidRPr="00CC14D5" w:rsidR="0077181B">
        <w:rPr>
          <w:rFonts w:ascii="Arial" w:hAnsi="Arial" w:cs="Arial"/>
        </w:rPr>
        <w:t xml:space="preserve"> issue</w:t>
      </w:r>
      <w:r w:rsidR="00F93D61">
        <w:rPr>
          <w:rFonts w:ascii="Arial" w:hAnsi="Arial" w:cs="Arial"/>
        </w:rPr>
        <w:t xml:space="preserve"> for each of the nations in the UK</w:t>
      </w:r>
      <w:r w:rsidRPr="00CC14D5" w:rsidR="0077181B">
        <w:rPr>
          <w:rFonts w:ascii="Arial" w:hAnsi="Arial" w:cs="Arial"/>
        </w:rPr>
        <w:t xml:space="preserve"> as it is </w:t>
      </w:r>
      <w:r w:rsidR="00F93D61">
        <w:rPr>
          <w:rFonts w:ascii="Arial" w:hAnsi="Arial" w:cs="Arial"/>
        </w:rPr>
        <w:t>for the UK as a whole</w:t>
      </w:r>
      <w:r w:rsidR="006E78F2">
        <w:rPr>
          <w:rFonts w:ascii="Arial" w:hAnsi="Arial" w:cs="Arial"/>
        </w:rPr>
        <w:t xml:space="preserve">. We have already been working closely with </w:t>
      </w:r>
      <w:r w:rsidR="00DD45DF">
        <w:rPr>
          <w:rFonts w:ascii="Arial" w:hAnsi="Arial" w:cs="Arial"/>
        </w:rPr>
        <w:t>the devolved administrations</w:t>
      </w:r>
      <w:r w:rsidRPr="00CC14D5" w:rsidR="00477A6B">
        <w:rPr>
          <w:rFonts w:ascii="Arial" w:hAnsi="Arial" w:cs="Arial"/>
        </w:rPr>
        <w:t xml:space="preserve"> and</w:t>
      </w:r>
      <w:r w:rsidRPr="00CC14D5" w:rsidR="0077181B">
        <w:rPr>
          <w:rFonts w:ascii="Arial" w:hAnsi="Arial" w:cs="Arial"/>
        </w:rPr>
        <w:t xml:space="preserve"> will continue to </w:t>
      </w:r>
      <w:r w:rsidR="00DD45DF">
        <w:rPr>
          <w:rFonts w:ascii="Arial" w:hAnsi="Arial" w:cs="Arial"/>
        </w:rPr>
        <w:t>do so</w:t>
      </w:r>
      <w:r w:rsidRPr="00CC14D5" w:rsidR="003A1EC0">
        <w:rPr>
          <w:rFonts w:ascii="Arial" w:hAnsi="Arial" w:cs="Arial"/>
        </w:rPr>
        <w:t xml:space="preserve"> to </w:t>
      </w:r>
      <w:r w:rsidRPr="00CC14D5" w:rsidR="009B2CD6">
        <w:rPr>
          <w:rFonts w:ascii="Arial" w:hAnsi="Arial" w:cs="Arial"/>
        </w:rPr>
        <w:t xml:space="preserve">better understand </w:t>
      </w:r>
      <w:r w:rsidR="00DD45DF">
        <w:rPr>
          <w:rFonts w:ascii="Arial" w:hAnsi="Arial" w:cs="Arial"/>
        </w:rPr>
        <w:t>specific</w:t>
      </w:r>
      <w:r w:rsidRPr="00CC14D5" w:rsidR="009B2CD6">
        <w:rPr>
          <w:rFonts w:ascii="Arial" w:hAnsi="Arial" w:cs="Arial"/>
        </w:rPr>
        <w:t xml:space="preserve"> issues</w:t>
      </w:r>
      <w:r w:rsidR="00DD45DF">
        <w:rPr>
          <w:rFonts w:ascii="Arial" w:hAnsi="Arial" w:cs="Arial"/>
        </w:rPr>
        <w:t xml:space="preserve"> in each nation</w:t>
      </w:r>
      <w:r w:rsidRPr="00CC14D5" w:rsidR="009B2CD6">
        <w:rPr>
          <w:rFonts w:ascii="Arial" w:hAnsi="Arial" w:cs="Arial"/>
        </w:rPr>
        <w:t>.</w:t>
      </w:r>
      <w:r w:rsidRPr="00CC14D5" w:rsidR="00985628">
        <w:rPr>
          <w:rFonts w:ascii="Arial" w:hAnsi="Arial" w:cs="Arial"/>
        </w:rPr>
        <w:t xml:space="preserve"> </w:t>
      </w:r>
      <w:r w:rsidRPr="00CC14D5" w:rsidR="00523057">
        <w:rPr>
          <w:rFonts w:ascii="Arial" w:hAnsi="Arial" w:cs="Arial"/>
        </w:rPr>
        <w:t xml:space="preserve">We recognise that different </w:t>
      </w:r>
      <w:r w:rsidR="00A701EA">
        <w:rPr>
          <w:rFonts w:ascii="Arial" w:hAnsi="Arial" w:cs="Arial"/>
        </w:rPr>
        <w:t>nations and regions within the UK</w:t>
      </w:r>
      <w:r w:rsidRPr="00CC14D5" w:rsidR="00523057">
        <w:rPr>
          <w:rFonts w:ascii="Arial" w:hAnsi="Arial" w:cs="Arial"/>
        </w:rPr>
        <w:t xml:space="preserve"> may be affected differently so we are working together to establish a full evidence base. </w:t>
      </w:r>
      <w:r w:rsidRPr="00CC14D5" w:rsidR="1E3162DD">
        <w:rPr>
          <w:rFonts w:ascii="Arial" w:hAnsi="Arial" w:cs="Arial"/>
        </w:rPr>
        <w:t xml:space="preserve">The Government </w:t>
      </w:r>
      <w:r w:rsidRPr="00CC14D5" w:rsidR="1E3162DD">
        <w:rPr>
          <w:rFonts w:ascii="Arial" w:hAnsi="Arial" w:cs="Arial"/>
        </w:rPr>
        <w:t>will  work</w:t>
      </w:r>
      <w:r w:rsidRPr="00CC14D5" w:rsidR="1E3162DD">
        <w:rPr>
          <w:rFonts w:ascii="Arial" w:hAnsi="Arial" w:cs="Arial"/>
        </w:rPr>
        <w:t xml:space="preserve"> closely with </w:t>
      </w:r>
      <w:r w:rsidR="00012F45">
        <w:rPr>
          <w:rFonts w:ascii="Arial" w:hAnsi="Arial" w:cs="Arial"/>
        </w:rPr>
        <w:t xml:space="preserve">the </w:t>
      </w:r>
      <w:r w:rsidR="00822CDB">
        <w:rPr>
          <w:rFonts w:ascii="Arial" w:hAnsi="Arial" w:cs="Arial"/>
        </w:rPr>
        <w:t>Governments</w:t>
      </w:r>
      <w:r w:rsidR="00012F45">
        <w:rPr>
          <w:rFonts w:ascii="Arial" w:hAnsi="Arial" w:cs="Arial"/>
        </w:rPr>
        <w:t xml:space="preserve"> in </w:t>
      </w:r>
      <w:r w:rsidRPr="00CC14D5" w:rsidR="1E3162DD">
        <w:rPr>
          <w:rFonts w:ascii="Arial" w:hAnsi="Arial" w:cs="Arial"/>
        </w:rPr>
        <w:t xml:space="preserve">Scotland and Wales to </w:t>
      </w:r>
      <w:r w:rsidRPr="00CC14D5" w:rsidR="1E3162DD">
        <w:rPr>
          <w:rFonts w:ascii="Arial" w:hAnsi="Arial" w:cs="Arial"/>
        </w:rPr>
        <w:t xml:space="preserve">build a shared understanding of the economic and social implications of discontinuing clock changes. </w:t>
      </w:r>
    </w:p>
    <w:p w:rsidR="00CC14D5" w:rsidRPr="00CC14D5" w:rsidP="00CC14D5">
      <w:pPr>
        <w:pStyle w:val="ListParagraph"/>
        <w:ind w:left="360"/>
        <w:rPr>
          <w:rFonts w:ascii="Arial" w:hAnsi="Arial" w:cs="Arial"/>
          <w:i/>
          <w:iCs/>
        </w:rPr>
      </w:pPr>
    </w:p>
    <w:p w:rsidR="006E568A" w:rsidP="006E568A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Recommendation: </w:t>
      </w:r>
      <w:r w:rsidR="009A08ED">
        <w:rPr>
          <w:rFonts w:ascii="Arial" w:hAnsi="Arial" w:cs="Arial"/>
          <w:i/>
          <w:iCs/>
        </w:rPr>
        <w:t xml:space="preserve">The Government should </w:t>
      </w:r>
      <w:r w:rsidR="00723F4D">
        <w:rPr>
          <w:rFonts w:ascii="Arial" w:hAnsi="Arial" w:cs="Arial"/>
          <w:i/>
          <w:iCs/>
        </w:rPr>
        <w:t>i</w:t>
      </w:r>
      <w:r w:rsidRPr="006E568A" w:rsidR="003A5651">
        <w:rPr>
          <w:rFonts w:ascii="Arial" w:hAnsi="Arial" w:cs="Arial"/>
          <w:i/>
          <w:iCs/>
        </w:rPr>
        <w:t>nitiate consideration of how a future consultation exercise might be designed.</w:t>
      </w:r>
    </w:p>
    <w:p w:rsidR="005D5A68" w:rsidRPr="006E568A" w:rsidP="005D5A68">
      <w:pPr>
        <w:pStyle w:val="ListParagraph"/>
        <w:ind w:left="360"/>
        <w:rPr>
          <w:rFonts w:ascii="Arial" w:hAnsi="Arial" w:cs="Arial"/>
          <w:i/>
          <w:iCs/>
        </w:rPr>
      </w:pPr>
    </w:p>
    <w:p w:rsidR="006E568A" w:rsidRPr="006E568A" w:rsidP="006E568A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Recommendation: </w:t>
      </w:r>
      <w:r w:rsidR="009A08ED">
        <w:rPr>
          <w:rFonts w:ascii="Arial" w:hAnsi="Arial" w:cs="Arial"/>
          <w:i/>
          <w:iCs/>
        </w:rPr>
        <w:t>The Government should c</w:t>
      </w:r>
      <w:r w:rsidRPr="006E568A" w:rsidR="002B0394">
        <w:rPr>
          <w:rFonts w:ascii="Arial" w:hAnsi="Arial" w:cs="Arial"/>
          <w:i/>
          <w:iCs/>
        </w:rPr>
        <w:t>arry out a future impact assessment and/or consultation.</w:t>
      </w:r>
    </w:p>
    <w:p w:rsidR="006E568A" w:rsidRPr="006E568A" w:rsidP="006E568A">
      <w:pPr>
        <w:pStyle w:val="ListParagraph"/>
        <w:ind w:left="360"/>
        <w:rPr>
          <w:rFonts w:ascii="Arial" w:hAnsi="Arial" w:cs="Arial"/>
          <w:i/>
          <w:iCs/>
        </w:rPr>
      </w:pPr>
    </w:p>
    <w:p w:rsidR="002B0394" w:rsidRPr="00CD044C" w:rsidP="00B627BF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 xml:space="preserve">Response: </w:t>
      </w:r>
      <w:r w:rsidRPr="00CD044C" w:rsidR="00A91FF9">
        <w:rPr>
          <w:rFonts w:ascii="Arial" w:hAnsi="Arial" w:cs="Arial"/>
        </w:rPr>
        <w:t xml:space="preserve">The Government </w:t>
      </w:r>
      <w:r w:rsidR="00E33FD2">
        <w:rPr>
          <w:rFonts w:ascii="Arial" w:hAnsi="Arial" w:cs="Arial"/>
        </w:rPr>
        <w:t>continues to believe that</w:t>
      </w:r>
      <w:r w:rsidR="00A91FF9">
        <w:rPr>
          <w:rFonts w:ascii="Arial" w:hAnsi="Arial" w:cs="Arial"/>
        </w:rPr>
        <w:t xml:space="preserve"> the </w:t>
      </w:r>
      <w:r w:rsidRPr="00CD044C" w:rsidR="00A91FF9">
        <w:rPr>
          <w:rFonts w:ascii="Arial" w:hAnsi="Arial" w:cs="Arial"/>
        </w:rPr>
        <w:t>Commission has</w:t>
      </w:r>
      <w:r w:rsidR="00A91FF9">
        <w:rPr>
          <w:rFonts w:ascii="Arial" w:hAnsi="Arial" w:cs="Arial"/>
        </w:rPr>
        <w:t xml:space="preserve"> not produced a strong enough evidence base and more widely</w:t>
      </w:r>
      <w:r w:rsidRPr="2CD0BD29">
        <w:rPr>
          <w:rFonts w:ascii="Arial" w:hAnsi="Arial" w:cs="Arial"/>
        </w:rPr>
        <w:t xml:space="preserve"> there is a lack of evidence to suggest that we should implement a policy of abolishing clock changes</w:t>
      </w:r>
      <w:r w:rsidR="0005448F">
        <w:rPr>
          <w:rFonts w:ascii="Arial" w:hAnsi="Arial" w:cs="Arial"/>
        </w:rPr>
        <w:t xml:space="preserve">. </w:t>
      </w:r>
      <w:r w:rsidR="00500C03">
        <w:rPr>
          <w:rFonts w:ascii="Arial" w:hAnsi="Arial" w:cs="Arial"/>
        </w:rPr>
        <w:t xml:space="preserve">We </w:t>
      </w:r>
      <w:r w:rsidR="00FB3AE9">
        <w:rPr>
          <w:rFonts w:ascii="Arial" w:hAnsi="Arial" w:cs="Arial"/>
        </w:rPr>
        <w:t xml:space="preserve">have consistently stated that we </w:t>
      </w:r>
      <w:r w:rsidR="007C0545">
        <w:rPr>
          <w:rFonts w:ascii="Arial" w:hAnsi="Arial" w:cs="Arial"/>
        </w:rPr>
        <w:t xml:space="preserve">therefore have no intention of </w:t>
      </w:r>
      <w:r w:rsidR="00A26E7E">
        <w:rPr>
          <w:rFonts w:ascii="Arial" w:hAnsi="Arial" w:cs="Arial"/>
        </w:rPr>
        <w:t>changing the current system.</w:t>
      </w:r>
      <w:r w:rsidR="00500C03">
        <w:rPr>
          <w:rFonts w:ascii="Arial" w:hAnsi="Arial" w:cs="Arial"/>
        </w:rPr>
        <w:t xml:space="preserve"> </w:t>
      </w:r>
      <w:r w:rsidR="0005448F">
        <w:rPr>
          <w:rFonts w:ascii="Arial" w:hAnsi="Arial" w:cs="Arial"/>
        </w:rPr>
        <w:t>O</w:t>
      </w:r>
      <w:r w:rsidRPr="2CD0BD29">
        <w:rPr>
          <w:rFonts w:ascii="Arial" w:hAnsi="Arial" w:cs="Arial"/>
        </w:rPr>
        <w:t>n th</w:t>
      </w:r>
      <w:r w:rsidR="0005448F">
        <w:rPr>
          <w:rFonts w:ascii="Arial" w:hAnsi="Arial" w:cs="Arial"/>
        </w:rPr>
        <w:t>is</w:t>
      </w:r>
      <w:r w:rsidRPr="2CD0BD29">
        <w:rPr>
          <w:rFonts w:ascii="Arial" w:hAnsi="Arial" w:cs="Arial"/>
        </w:rPr>
        <w:t xml:space="preserve"> basis, </w:t>
      </w:r>
      <w:r w:rsidR="007D7BF9">
        <w:rPr>
          <w:rFonts w:ascii="Arial" w:hAnsi="Arial" w:cs="Arial"/>
        </w:rPr>
        <w:t>the Government</w:t>
      </w:r>
      <w:r w:rsidRPr="2CD0BD29">
        <w:rPr>
          <w:rFonts w:ascii="Arial" w:hAnsi="Arial" w:cs="Arial"/>
        </w:rPr>
        <w:t xml:space="preserve"> </w:t>
      </w:r>
      <w:r w:rsidR="003D6ACB">
        <w:rPr>
          <w:rFonts w:ascii="Arial" w:hAnsi="Arial" w:cs="Arial"/>
        </w:rPr>
        <w:t>is</w:t>
      </w:r>
      <w:r w:rsidRPr="2CD0BD29" w:rsidR="003D6ACB">
        <w:rPr>
          <w:rFonts w:ascii="Arial" w:hAnsi="Arial" w:cs="Arial"/>
        </w:rPr>
        <w:t xml:space="preserve"> </w:t>
      </w:r>
      <w:r w:rsidRPr="2CD0BD29">
        <w:rPr>
          <w:rFonts w:ascii="Arial" w:hAnsi="Arial" w:cs="Arial"/>
        </w:rPr>
        <w:t xml:space="preserve">not </w:t>
      </w:r>
      <w:r w:rsidR="003D6ACB">
        <w:rPr>
          <w:rFonts w:ascii="Arial" w:hAnsi="Arial" w:cs="Arial"/>
        </w:rPr>
        <w:t xml:space="preserve">considering and will not </w:t>
      </w:r>
      <w:r w:rsidRPr="2CD0BD29">
        <w:rPr>
          <w:rFonts w:ascii="Arial" w:hAnsi="Arial" w:cs="Arial"/>
        </w:rPr>
        <w:t>be conducting a</w:t>
      </w:r>
      <w:r w:rsidR="00A26E7E">
        <w:rPr>
          <w:rFonts w:ascii="Arial" w:hAnsi="Arial" w:cs="Arial"/>
        </w:rPr>
        <w:t xml:space="preserve">n </w:t>
      </w:r>
      <w:r w:rsidRPr="2CD0BD29">
        <w:rPr>
          <w:rFonts w:ascii="Arial" w:hAnsi="Arial" w:cs="Arial"/>
        </w:rPr>
        <w:t>impact assessment or consultation.</w:t>
      </w:r>
    </w:p>
    <w:p w:rsidR="00A91FF9" w:rsidRPr="00A91FF9" w:rsidP="00CC14D5">
      <w:pPr>
        <w:rPr>
          <w:rFonts w:ascii="Arial" w:hAnsi="Arial" w:cs="Arial"/>
          <w:i/>
          <w:iCs/>
        </w:rPr>
      </w:pPr>
    </w:p>
    <w:p w:rsidR="1E3162DD" w:rsidRPr="00CC14D5" w:rsidP="1E3162DD">
      <w:pPr>
        <w:rPr>
          <w:rFonts w:ascii="Arial" w:hAnsi="Arial" w:cs="Arial"/>
        </w:rPr>
      </w:pPr>
    </w:p>
    <w:p w:rsidR="00CD044C" w:rsidRPr="008E60CB" w:rsidP="1E3162DD">
      <w:pPr>
        <w:rPr>
          <w:rFonts w:ascii="Arial" w:hAnsi="Arial" w:cs="Arial"/>
          <w:i/>
        </w:rPr>
      </w:pPr>
    </w:p>
    <w:sectPr w:rsidSect="007C5CB3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07E58EF"/>
    <w:multiLevelType w:val="hybridMultilevel"/>
    <w:tmpl w:val="47DAE37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703F8"/>
    <w:multiLevelType w:val="hybridMultilevel"/>
    <w:tmpl w:val="6558368C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  <w:strike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5BD0DD2"/>
    <w:multiLevelType w:val="hybridMultilevel"/>
    <w:tmpl w:val="B448B5B2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3C59DD"/>
    <w:multiLevelType w:val="hybridMultilevel"/>
    <w:tmpl w:val="E59C5630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2BE2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B82BE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B82B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B82B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ULQDefPara">
    <w:name w:val="EULQ Def Para"/>
    <w:basedOn w:val="Normal"/>
    <w:qFormat/>
    <w:rsid w:val="00B82BE2"/>
    <w:pPr>
      <w:spacing w:before="80" w:line="220" w:lineRule="atLeast"/>
      <w:ind w:left="907"/>
      <w:jc w:val="both"/>
    </w:pPr>
    <w:rPr>
      <w:sz w:val="21"/>
      <w:szCs w:val="20"/>
      <w:lang w:eastAsia="en-US"/>
    </w:rPr>
  </w:style>
  <w:style w:type="paragraph" w:customStyle="1" w:styleId="EULQArrHead">
    <w:name w:val="EULQArrHead"/>
    <w:basedOn w:val="Normal"/>
    <w:next w:val="EULQTOC1"/>
    <w:qFormat/>
    <w:rsid w:val="00B82BE2"/>
    <w:pPr>
      <w:keepNext/>
      <w:tabs>
        <w:tab w:val="right" w:pos="8200"/>
      </w:tabs>
      <w:spacing w:before="480" w:after="120" w:line="220" w:lineRule="atLeast"/>
      <w:ind w:left="567"/>
      <w:jc w:val="center"/>
    </w:pPr>
    <w:rPr>
      <w:sz w:val="28"/>
      <w:szCs w:val="20"/>
      <w:lang w:eastAsia="en-US"/>
    </w:rPr>
  </w:style>
  <w:style w:type="paragraph" w:customStyle="1" w:styleId="EULQDisplayItem">
    <w:name w:val="EULQDisplayItem"/>
    <w:basedOn w:val="Normal"/>
    <w:qFormat/>
    <w:rsid w:val="00B82BE2"/>
    <w:pPr>
      <w:spacing w:before="120" w:after="120"/>
      <w:ind w:left="567"/>
      <w:jc w:val="center"/>
    </w:pPr>
    <w:rPr>
      <w:sz w:val="20"/>
      <w:szCs w:val="20"/>
      <w:lang w:eastAsia="en-US"/>
    </w:rPr>
  </w:style>
  <w:style w:type="paragraph" w:customStyle="1" w:styleId="EULQH1">
    <w:name w:val="EULQH1"/>
    <w:basedOn w:val="Normal"/>
    <w:next w:val="EULQN1"/>
    <w:qFormat/>
    <w:rsid w:val="00B82BE2"/>
    <w:pPr>
      <w:keepNext/>
      <w:spacing w:before="320" w:line="220" w:lineRule="atLeast"/>
      <w:ind w:left="567"/>
      <w:jc w:val="both"/>
    </w:pPr>
    <w:rPr>
      <w:b/>
      <w:sz w:val="21"/>
      <w:szCs w:val="20"/>
      <w:lang w:eastAsia="en-US"/>
    </w:rPr>
  </w:style>
  <w:style w:type="paragraph" w:customStyle="1" w:styleId="EULQH2">
    <w:name w:val="EULQH2"/>
    <w:basedOn w:val="Normal"/>
    <w:next w:val="EULQN2"/>
    <w:qFormat/>
    <w:rsid w:val="00B82BE2"/>
    <w:pPr>
      <w:keepNext/>
      <w:spacing w:before="80" w:line="220" w:lineRule="atLeast"/>
      <w:ind w:left="737"/>
      <w:jc w:val="both"/>
    </w:pPr>
    <w:rPr>
      <w:i/>
      <w:sz w:val="21"/>
      <w:szCs w:val="20"/>
      <w:lang w:eastAsia="en-US"/>
    </w:rPr>
  </w:style>
  <w:style w:type="paragraph" w:customStyle="1" w:styleId="EULQH3">
    <w:name w:val="EULQH3"/>
    <w:basedOn w:val="Normal"/>
    <w:next w:val="EULQN3"/>
    <w:qFormat/>
    <w:rsid w:val="00B82BE2"/>
    <w:pPr>
      <w:keepNext/>
      <w:spacing w:before="80" w:line="220" w:lineRule="atLeast"/>
      <w:ind w:left="907"/>
      <w:jc w:val="both"/>
    </w:pPr>
    <w:rPr>
      <w:i/>
      <w:sz w:val="21"/>
      <w:szCs w:val="20"/>
      <w:lang w:eastAsia="en-US"/>
    </w:rPr>
  </w:style>
  <w:style w:type="paragraph" w:customStyle="1" w:styleId="EULQList1">
    <w:name w:val="EULQList1"/>
    <w:basedOn w:val="Normal"/>
    <w:qFormat/>
    <w:rsid w:val="00B82BE2"/>
    <w:pPr>
      <w:spacing w:before="80" w:line="220" w:lineRule="atLeast"/>
      <w:ind w:left="964" w:hanging="397"/>
      <w:jc w:val="both"/>
    </w:pPr>
    <w:rPr>
      <w:sz w:val="21"/>
      <w:szCs w:val="20"/>
      <w:lang w:eastAsia="en-US"/>
    </w:rPr>
  </w:style>
  <w:style w:type="paragraph" w:customStyle="1" w:styleId="EULQList1Cont">
    <w:name w:val="EULQList1 Cont"/>
    <w:basedOn w:val="Normal"/>
    <w:qFormat/>
    <w:rsid w:val="00B82BE2"/>
    <w:pPr>
      <w:spacing w:before="80" w:line="220" w:lineRule="atLeast"/>
      <w:ind w:left="964"/>
      <w:jc w:val="both"/>
    </w:pPr>
    <w:rPr>
      <w:sz w:val="21"/>
      <w:szCs w:val="20"/>
      <w:lang w:eastAsia="en-US"/>
    </w:rPr>
  </w:style>
  <w:style w:type="paragraph" w:customStyle="1" w:styleId="EULQN1">
    <w:name w:val="EULQN1"/>
    <w:basedOn w:val="Normal"/>
    <w:qFormat/>
    <w:rsid w:val="00B82BE2"/>
    <w:pPr>
      <w:tabs>
        <w:tab w:val="left" w:pos="1134"/>
      </w:tabs>
      <w:spacing w:before="160" w:line="220" w:lineRule="atLeast"/>
      <w:ind w:left="567"/>
      <w:jc w:val="both"/>
    </w:pPr>
    <w:rPr>
      <w:sz w:val="21"/>
      <w:szCs w:val="20"/>
      <w:lang w:eastAsia="en-US"/>
    </w:rPr>
  </w:style>
  <w:style w:type="paragraph" w:customStyle="1" w:styleId="EULQN2">
    <w:name w:val="EULQN2"/>
    <w:basedOn w:val="Normal"/>
    <w:qFormat/>
    <w:rsid w:val="00B82BE2"/>
    <w:pPr>
      <w:spacing w:before="80" w:line="220" w:lineRule="atLeast"/>
      <w:ind w:left="567" w:firstLine="170"/>
      <w:jc w:val="both"/>
    </w:pPr>
    <w:rPr>
      <w:sz w:val="21"/>
      <w:szCs w:val="20"/>
      <w:lang w:eastAsia="en-US"/>
    </w:rPr>
  </w:style>
  <w:style w:type="paragraph" w:customStyle="1" w:styleId="EULQN3">
    <w:name w:val="EULQN3"/>
    <w:basedOn w:val="Normal"/>
    <w:qFormat/>
    <w:rsid w:val="00B82BE2"/>
    <w:pPr>
      <w:tabs>
        <w:tab w:val="left" w:pos="964"/>
      </w:tabs>
      <w:spacing w:before="80" w:line="220" w:lineRule="atLeast"/>
      <w:ind w:left="964" w:hanging="397"/>
      <w:jc w:val="both"/>
    </w:pPr>
    <w:rPr>
      <w:sz w:val="21"/>
      <w:szCs w:val="20"/>
      <w:lang w:eastAsia="en-US"/>
    </w:rPr>
  </w:style>
  <w:style w:type="paragraph" w:customStyle="1" w:styleId="EULQN3-N4">
    <w:name w:val="EULQN3-N4"/>
    <w:basedOn w:val="Normal"/>
    <w:next w:val="EULQN4"/>
    <w:qFormat/>
    <w:rsid w:val="00B82BE2"/>
    <w:pPr>
      <w:tabs>
        <w:tab w:val="right" w:pos="1588"/>
        <w:tab w:val="left" w:pos="1701"/>
      </w:tabs>
      <w:spacing w:before="80" w:line="220" w:lineRule="atLeast"/>
      <w:ind w:left="1701" w:hanging="794"/>
      <w:jc w:val="both"/>
    </w:pPr>
    <w:rPr>
      <w:sz w:val="21"/>
      <w:szCs w:val="20"/>
      <w:lang w:eastAsia="en-US"/>
    </w:rPr>
  </w:style>
  <w:style w:type="paragraph" w:customStyle="1" w:styleId="EULQN4">
    <w:name w:val="EULQN4"/>
    <w:basedOn w:val="Normal"/>
    <w:qFormat/>
    <w:rsid w:val="00B82BE2"/>
    <w:pPr>
      <w:tabs>
        <w:tab w:val="left" w:pos="964"/>
        <w:tab w:val="left" w:pos="1077"/>
      </w:tabs>
      <w:spacing w:before="80" w:line="220" w:lineRule="atLeast"/>
      <w:ind w:left="1361" w:hanging="1361"/>
      <w:jc w:val="both"/>
    </w:pPr>
    <w:rPr>
      <w:sz w:val="21"/>
      <w:szCs w:val="20"/>
      <w:lang w:eastAsia="en-US"/>
    </w:rPr>
  </w:style>
  <w:style w:type="paragraph" w:customStyle="1" w:styleId="EULQN4-N5">
    <w:name w:val="EULQN4-N5"/>
    <w:basedOn w:val="Normal"/>
    <w:next w:val="EULQN5"/>
    <w:qFormat/>
    <w:rsid w:val="00B82BE2"/>
    <w:pPr>
      <w:tabs>
        <w:tab w:val="right" w:pos="1588"/>
        <w:tab w:val="left" w:pos="1701"/>
        <w:tab w:val="left" w:pos="2268"/>
      </w:tabs>
      <w:spacing w:before="80" w:line="220" w:lineRule="atLeast"/>
      <w:ind w:left="2268" w:hanging="2268"/>
      <w:jc w:val="both"/>
    </w:pPr>
    <w:rPr>
      <w:sz w:val="21"/>
      <w:szCs w:val="20"/>
      <w:lang w:eastAsia="en-US"/>
    </w:rPr>
  </w:style>
  <w:style w:type="paragraph" w:customStyle="1" w:styleId="EULQN5">
    <w:name w:val="EULQN5"/>
    <w:basedOn w:val="Normal"/>
    <w:qFormat/>
    <w:rsid w:val="00B82BE2"/>
    <w:pPr>
      <w:tabs>
        <w:tab w:val="left" w:pos="2268"/>
      </w:tabs>
      <w:spacing w:before="80" w:line="220" w:lineRule="atLeast"/>
      <w:ind w:left="2268" w:hanging="567"/>
      <w:jc w:val="both"/>
    </w:pPr>
    <w:rPr>
      <w:sz w:val="21"/>
      <w:szCs w:val="20"/>
      <w:lang w:eastAsia="en-US"/>
    </w:rPr>
  </w:style>
  <w:style w:type="paragraph" w:customStyle="1" w:styleId="EULQpart">
    <w:name w:val="EULQpart"/>
    <w:basedOn w:val="Normal"/>
    <w:next w:val="EULQpartHead"/>
    <w:qFormat/>
    <w:rsid w:val="00B82BE2"/>
    <w:pPr>
      <w:keepNext/>
      <w:tabs>
        <w:tab w:val="center" w:pos="4451"/>
        <w:tab w:val="right" w:pos="8335"/>
      </w:tabs>
      <w:spacing w:before="480"/>
      <w:ind w:left="567"/>
      <w:jc w:val="center"/>
    </w:pPr>
    <w:rPr>
      <w:sz w:val="28"/>
      <w:szCs w:val="20"/>
      <w:lang w:eastAsia="en-US"/>
    </w:rPr>
  </w:style>
  <w:style w:type="paragraph" w:customStyle="1" w:styleId="EULQpartHead">
    <w:name w:val="EULQpartHead"/>
    <w:basedOn w:val="Normal"/>
    <w:next w:val="EULQT1"/>
    <w:qFormat/>
    <w:rsid w:val="00B82BE2"/>
    <w:pPr>
      <w:keepNext/>
      <w:tabs>
        <w:tab w:val="center" w:pos="4167"/>
        <w:tab w:val="right" w:pos="8335"/>
      </w:tabs>
      <w:spacing w:before="120"/>
      <w:ind w:left="567"/>
      <w:jc w:val="center"/>
    </w:pPr>
    <w:rPr>
      <w:szCs w:val="20"/>
      <w:lang w:eastAsia="en-US"/>
    </w:rPr>
  </w:style>
  <w:style w:type="paragraph" w:customStyle="1" w:styleId="EULQschedule">
    <w:name w:val="EULQschedule"/>
    <w:basedOn w:val="Normal"/>
    <w:next w:val="EULQscheduleHead"/>
    <w:qFormat/>
    <w:rsid w:val="00B82BE2"/>
    <w:pPr>
      <w:keepNext/>
      <w:tabs>
        <w:tab w:val="center" w:pos="4451"/>
        <w:tab w:val="right" w:pos="8335"/>
      </w:tabs>
      <w:spacing w:before="480" w:after="120"/>
      <w:ind w:left="567"/>
      <w:jc w:val="center"/>
    </w:pPr>
    <w:rPr>
      <w:sz w:val="30"/>
      <w:szCs w:val="20"/>
      <w:lang w:eastAsia="en-US"/>
    </w:rPr>
  </w:style>
  <w:style w:type="paragraph" w:customStyle="1" w:styleId="EULQscheduleHead">
    <w:name w:val="EULQscheduleHead"/>
    <w:basedOn w:val="Normal"/>
    <w:next w:val="EULQT1"/>
    <w:qFormat/>
    <w:rsid w:val="00B82BE2"/>
    <w:pPr>
      <w:keepNext/>
      <w:tabs>
        <w:tab w:val="center" w:pos="4167"/>
        <w:tab w:val="right" w:pos="8335"/>
      </w:tabs>
      <w:spacing w:before="120" w:after="100"/>
      <w:ind w:left="567"/>
      <w:jc w:val="center"/>
    </w:pPr>
    <w:rPr>
      <w:sz w:val="28"/>
      <w:szCs w:val="20"/>
      <w:lang w:eastAsia="en-US"/>
    </w:rPr>
  </w:style>
  <w:style w:type="paragraph" w:customStyle="1" w:styleId="EULQschedules">
    <w:name w:val="EULQschedules"/>
    <w:basedOn w:val="Normal"/>
    <w:qFormat/>
    <w:rsid w:val="00B82BE2"/>
    <w:pPr>
      <w:keepNext/>
      <w:spacing w:before="480" w:after="480"/>
      <w:ind w:left="567"/>
      <w:jc w:val="center"/>
    </w:pPr>
    <w:rPr>
      <w:sz w:val="30"/>
      <w:szCs w:val="20"/>
      <w:lang w:eastAsia="en-US"/>
    </w:rPr>
  </w:style>
  <w:style w:type="paragraph" w:customStyle="1" w:styleId="EULQsection">
    <w:name w:val="EULQsection"/>
    <w:basedOn w:val="Normal"/>
    <w:next w:val="EULQsectionHead"/>
    <w:qFormat/>
    <w:rsid w:val="00B82BE2"/>
    <w:pPr>
      <w:keepNext/>
      <w:tabs>
        <w:tab w:val="center" w:pos="4451"/>
        <w:tab w:val="right" w:pos="8335"/>
      </w:tabs>
      <w:spacing w:before="80" w:line="220" w:lineRule="atLeast"/>
      <w:ind w:left="567"/>
      <w:jc w:val="center"/>
    </w:pPr>
    <w:rPr>
      <w:i/>
      <w:sz w:val="21"/>
      <w:szCs w:val="20"/>
      <w:lang w:eastAsia="en-US"/>
    </w:rPr>
  </w:style>
  <w:style w:type="paragraph" w:customStyle="1" w:styleId="EULQsectionHead">
    <w:name w:val="EULQsectionHead"/>
    <w:basedOn w:val="Normal"/>
    <w:next w:val="EULQT1"/>
    <w:qFormat/>
    <w:rsid w:val="00B82BE2"/>
    <w:pPr>
      <w:keepNext/>
      <w:spacing w:before="80" w:line="220" w:lineRule="atLeast"/>
      <w:ind w:left="567"/>
      <w:jc w:val="center"/>
    </w:pPr>
    <w:rPr>
      <w:b/>
      <w:sz w:val="21"/>
      <w:szCs w:val="20"/>
      <w:lang w:eastAsia="en-US"/>
    </w:rPr>
  </w:style>
  <w:style w:type="paragraph" w:customStyle="1" w:styleId="EULQSublist1">
    <w:name w:val="EULQSublist1"/>
    <w:basedOn w:val="Normal"/>
    <w:qFormat/>
    <w:rsid w:val="00B82BE2"/>
    <w:pPr>
      <w:spacing w:before="80" w:line="220" w:lineRule="atLeast"/>
      <w:ind w:left="1361" w:hanging="397"/>
      <w:jc w:val="both"/>
    </w:pPr>
    <w:rPr>
      <w:sz w:val="21"/>
      <w:szCs w:val="20"/>
      <w:lang w:eastAsia="en-US"/>
    </w:rPr>
  </w:style>
  <w:style w:type="paragraph" w:customStyle="1" w:styleId="EULQSublist1Cont">
    <w:name w:val="EULQSublist1 Cont"/>
    <w:basedOn w:val="Normal"/>
    <w:qFormat/>
    <w:rsid w:val="00B82BE2"/>
    <w:pPr>
      <w:spacing w:before="80" w:line="220" w:lineRule="atLeast"/>
      <w:ind w:left="1361"/>
      <w:jc w:val="both"/>
    </w:pPr>
    <w:rPr>
      <w:sz w:val="21"/>
      <w:szCs w:val="20"/>
      <w:lang w:eastAsia="en-US"/>
    </w:rPr>
  </w:style>
  <w:style w:type="paragraph" w:customStyle="1" w:styleId="EULQsubPart">
    <w:name w:val="EULQsubPart"/>
    <w:basedOn w:val="Normal"/>
    <w:next w:val="EULQSubPartHead"/>
    <w:qFormat/>
    <w:rsid w:val="00B82BE2"/>
    <w:pPr>
      <w:keepNext/>
      <w:tabs>
        <w:tab w:val="center" w:pos="4451"/>
        <w:tab w:val="right" w:pos="8335"/>
      </w:tabs>
      <w:spacing w:before="120"/>
      <w:ind w:left="567"/>
      <w:jc w:val="center"/>
    </w:pPr>
    <w:rPr>
      <w:sz w:val="22"/>
      <w:szCs w:val="20"/>
      <w:lang w:eastAsia="en-US"/>
    </w:rPr>
  </w:style>
  <w:style w:type="paragraph" w:customStyle="1" w:styleId="EULQsubSection">
    <w:name w:val="EULQsubSection"/>
    <w:basedOn w:val="Normal"/>
    <w:next w:val="EULQsubSectionHead"/>
    <w:qFormat/>
    <w:rsid w:val="00B82BE2"/>
    <w:pPr>
      <w:keepNext/>
      <w:tabs>
        <w:tab w:val="center" w:pos="4451"/>
        <w:tab w:val="right" w:pos="8335"/>
      </w:tabs>
      <w:spacing w:before="80"/>
      <w:ind w:left="567"/>
      <w:jc w:val="center"/>
    </w:pPr>
    <w:rPr>
      <w:sz w:val="18"/>
      <w:szCs w:val="20"/>
      <w:lang w:eastAsia="en-US"/>
    </w:rPr>
  </w:style>
  <w:style w:type="paragraph" w:customStyle="1" w:styleId="EULQsubSectionHead">
    <w:name w:val="EULQsubSectionHead"/>
    <w:basedOn w:val="Normal"/>
    <w:next w:val="EULQT1"/>
    <w:qFormat/>
    <w:rsid w:val="00B82BE2"/>
    <w:pPr>
      <w:keepNext/>
      <w:spacing w:before="40" w:line="220" w:lineRule="atLeast"/>
      <w:ind w:left="567"/>
      <w:jc w:val="center"/>
    </w:pPr>
    <w:rPr>
      <w:i/>
      <w:sz w:val="20"/>
      <w:szCs w:val="20"/>
      <w:lang w:eastAsia="en-US"/>
    </w:rPr>
  </w:style>
  <w:style w:type="paragraph" w:customStyle="1" w:styleId="EULQT1">
    <w:name w:val="EULQT1"/>
    <w:basedOn w:val="Normal"/>
    <w:qFormat/>
    <w:rsid w:val="00B82BE2"/>
    <w:pPr>
      <w:spacing w:before="160" w:line="220" w:lineRule="atLeast"/>
      <w:ind w:left="567"/>
      <w:jc w:val="both"/>
    </w:pPr>
    <w:rPr>
      <w:sz w:val="21"/>
      <w:szCs w:val="20"/>
      <w:lang w:eastAsia="en-US"/>
    </w:rPr>
  </w:style>
  <w:style w:type="paragraph" w:customStyle="1" w:styleId="EULQT1Indent">
    <w:name w:val="EULQT1 Indent"/>
    <w:basedOn w:val="Normal"/>
    <w:qFormat/>
    <w:rsid w:val="00B82BE2"/>
    <w:pPr>
      <w:spacing w:before="160" w:line="220" w:lineRule="atLeast"/>
      <w:ind w:left="567" w:firstLine="170"/>
      <w:jc w:val="both"/>
    </w:pPr>
    <w:rPr>
      <w:sz w:val="21"/>
      <w:szCs w:val="20"/>
      <w:lang w:eastAsia="en-US"/>
    </w:rPr>
  </w:style>
  <w:style w:type="paragraph" w:customStyle="1" w:styleId="EULQT2">
    <w:name w:val="EULQT2"/>
    <w:basedOn w:val="Normal"/>
    <w:qFormat/>
    <w:rsid w:val="00B82BE2"/>
    <w:pPr>
      <w:spacing w:before="80" w:line="220" w:lineRule="atLeast"/>
      <w:ind w:left="567"/>
      <w:jc w:val="both"/>
    </w:pPr>
    <w:rPr>
      <w:sz w:val="21"/>
      <w:szCs w:val="20"/>
      <w:lang w:eastAsia="en-US"/>
    </w:rPr>
  </w:style>
  <w:style w:type="paragraph" w:customStyle="1" w:styleId="EULQT3">
    <w:name w:val="EULQT3"/>
    <w:basedOn w:val="Normal"/>
    <w:qFormat/>
    <w:rsid w:val="00B82BE2"/>
    <w:pPr>
      <w:spacing w:before="80" w:line="220" w:lineRule="atLeast"/>
      <w:ind w:left="964"/>
      <w:jc w:val="both"/>
    </w:pPr>
    <w:rPr>
      <w:sz w:val="21"/>
      <w:szCs w:val="20"/>
      <w:lang w:eastAsia="en-US"/>
    </w:rPr>
  </w:style>
  <w:style w:type="paragraph" w:customStyle="1" w:styleId="EULQT4">
    <w:name w:val="EULQT4"/>
    <w:basedOn w:val="Normal"/>
    <w:qFormat/>
    <w:rsid w:val="00B82BE2"/>
    <w:pPr>
      <w:spacing w:before="80" w:line="220" w:lineRule="atLeast"/>
      <w:ind w:left="1361"/>
      <w:jc w:val="both"/>
    </w:pPr>
    <w:rPr>
      <w:sz w:val="21"/>
      <w:szCs w:val="20"/>
      <w:lang w:eastAsia="en-US"/>
    </w:rPr>
  </w:style>
  <w:style w:type="paragraph" w:customStyle="1" w:styleId="EULQT5">
    <w:name w:val="EULQT5"/>
    <w:basedOn w:val="Normal"/>
    <w:qFormat/>
    <w:rsid w:val="00B82BE2"/>
    <w:pPr>
      <w:spacing w:before="80" w:line="220" w:lineRule="atLeast"/>
      <w:ind w:left="2268"/>
      <w:jc w:val="both"/>
    </w:pPr>
    <w:rPr>
      <w:sz w:val="21"/>
      <w:szCs w:val="20"/>
      <w:lang w:eastAsia="en-US"/>
    </w:rPr>
  </w:style>
  <w:style w:type="paragraph" w:customStyle="1" w:styleId="EULQTableCaption">
    <w:name w:val="EULQTableCaption"/>
    <w:basedOn w:val="Normal"/>
    <w:next w:val="EULQTableTopText"/>
    <w:qFormat/>
    <w:rsid w:val="00B82BE2"/>
    <w:pPr>
      <w:spacing w:after="120" w:line="220" w:lineRule="atLeast"/>
      <w:ind w:left="567"/>
    </w:pPr>
    <w:rPr>
      <w:b/>
      <w:sz w:val="21"/>
      <w:szCs w:val="20"/>
      <w:lang w:eastAsia="en-US"/>
    </w:rPr>
  </w:style>
  <w:style w:type="paragraph" w:customStyle="1" w:styleId="EULQTableFoot">
    <w:name w:val="EULQTableFoot"/>
    <w:basedOn w:val="Normal"/>
    <w:qFormat/>
    <w:rsid w:val="00B82BE2"/>
    <w:pPr>
      <w:spacing w:before="40" w:line="220" w:lineRule="atLeast"/>
      <w:ind w:left="567"/>
      <w:jc w:val="both"/>
    </w:pPr>
    <w:rPr>
      <w:sz w:val="20"/>
      <w:szCs w:val="20"/>
      <w:lang w:eastAsia="en-US"/>
    </w:rPr>
  </w:style>
  <w:style w:type="paragraph" w:customStyle="1" w:styleId="EULQTableNumber">
    <w:name w:val="EULQTableNumber"/>
    <w:basedOn w:val="Normal"/>
    <w:next w:val="EULQTableCaption"/>
    <w:qFormat/>
    <w:rsid w:val="00B82BE2"/>
    <w:pPr>
      <w:spacing w:before="120" w:after="120" w:line="220" w:lineRule="atLeast"/>
      <w:ind w:left="567"/>
    </w:pPr>
    <w:rPr>
      <w:b/>
      <w:sz w:val="21"/>
      <w:szCs w:val="20"/>
      <w:lang w:eastAsia="en-US"/>
    </w:rPr>
  </w:style>
  <w:style w:type="paragraph" w:customStyle="1" w:styleId="EULQTableTopText">
    <w:name w:val="EULQTableTopText"/>
    <w:basedOn w:val="Normal"/>
    <w:qFormat/>
    <w:rsid w:val="00B82BE2"/>
    <w:pPr>
      <w:spacing w:after="80" w:line="220" w:lineRule="atLeast"/>
      <w:ind w:left="567"/>
      <w:jc w:val="both"/>
    </w:pPr>
    <w:rPr>
      <w:sz w:val="21"/>
      <w:szCs w:val="20"/>
      <w:lang w:eastAsia="en-US"/>
    </w:rPr>
  </w:style>
  <w:style w:type="paragraph" w:customStyle="1" w:styleId="EULQTOC1">
    <w:name w:val="EULQTOC 1"/>
    <w:basedOn w:val="Normal"/>
    <w:next w:val="EULQTOC2"/>
    <w:qFormat/>
    <w:rsid w:val="00B82BE2"/>
    <w:pPr>
      <w:keepNext/>
      <w:tabs>
        <w:tab w:val="right" w:pos="7938"/>
      </w:tabs>
      <w:spacing w:after="40" w:line="220" w:lineRule="atLeast"/>
      <w:ind w:left="567"/>
      <w:jc w:val="center"/>
    </w:pPr>
    <w:rPr>
      <w:noProof/>
      <w:szCs w:val="20"/>
      <w:lang w:eastAsia="en-US"/>
    </w:rPr>
  </w:style>
  <w:style w:type="paragraph" w:customStyle="1" w:styleId="EULQTOC10">
    <w:name w:val="EULQTOC 10"/>
    <w:basedOn w:val="Normal"/>
    <w:qFormat/>
    <w:rsid w:val="00B82BE2"/>
    <w:pPr>
      <w:keepLines/>
      <w:tabs>
        <w:tab w:val="right" w:pos="1680"/>
        <w:tab w:val="left" w:pos="1800"/>
        <w:tab w:val="left" w:pos="2120"/>
        <w:tab w:val="left" w:pos="2245"/>
        <w:tab w:val="right" w:pos="2364"/>
        <w:tab w:val="left" w:pos="2688"/>
        <w:tab w:val="right" w:pos="8280"/>
      </w:tabs>
      <w:spacing w:after="40"/>
      <w:ind w:left="3255" w:right="720" w:hanging="2688"/>
    </w:pPr>
    <w:rPr>
      <w:sz w:val="21"/>
      <w:szCs w:val="20"/>
      <w:lang w:eastAsia="en-US"/>
    </w:rPr>
  </w:style>
  <w:style w:type="paragraph" w:customStyle="1" w:styleId="EULQTOC11">
    <w:name w:val="EULQTOC 11"/>
    <w:basedOn w:val="Normal"/>
    <w:qFormat/>
    <w:rsid w:val="00B82BE2"/>
    <w:pPr>
      <w:keepLines/>
      <w:tabs>
        <w:tab w:val="right" w:pos="1680"/>
        <w:tab w:val="left" w:pos="1800"/>
        <w:tab w:val="left" w:pos="2120"/>
        <w:tab w:val="right" w:pos="2245"/>
        <w:tab w:val="left" w:pos="2364"/>
        <w:tab w:val="right" w:pos="8280"/>
      </w:tabs>
      <w:spacing w:after="40"/>
      <w:ind w:left="2120" w:right="720" w:hanging="2120"/>
    </w:pPr>
    <w:rPr>
      <w:sz w:val="21"/>
      <w:szCs w:val="20"/>
      <w:lang w:eastAsia="en-US"/>
    </w:rPr>
  </w:style>
  <w:style w:type="paragraph" w:customStyle="1" w:styleId="EULQTOC12">
    <w:name w:val="EULQTOC 12"/>
    <w:basedOn w:val="Normal"/>
    <w:qFormat/>
    <w:rsid w:val="00B82BE2"/>
    <w:pPr>
      <w:keepNext/>
      <w:spacing w:after="240"/>
      <w:ind w:left="567"/>
      <w:jc w:val="center"/>
    </w:pPr>
    <w:rPr>
      <w:szCs w:val="20"/>
      <w:lang w:eastAsia="en-US"/>
    </w:rPr>
  </w:style>
  <w:style w:type="paragraph" w:customStyle="1" w:styleId="EULQTOC2">
    <w:name w:val="EULQTOC 2"/>
    <w:basedOn w:val="Normal"/>
    <w:next w:val="EULQTOC3"/>
    <w:qFormat/>
    <w:rsid w:val="00B82BE2"/>
    <w:pPr>
      <w:keepNext/>
      <w:tabs>
        <w:tab w:val="right" w:pos="7938"/>
      </w:tabs>
      <w:spacing w:after="40" w:line="220" w:lineRule="atLeast"/>
      <w:ind w:left="567"/>
      <w:jc w:val="center"/>
    </w:pPr>
    <w:rPr>
      <w:noProof/>
      <w:sz w:val="22"/>
      <w:szCs w:val="20"/>
      <w:lang w:eastAsia="en-US"/>
    </w:rPr>
  </w:style>
  <w:style w:type="paragraph" w:customStyle="1" w:styleId="EULQTOC3">
    <w:name w:val="EULQTOC 3"/>
    <w:basedOn w:val="Normal"/>
    <w:next w:val="EULQTOC4"/>
    <w:qFormat/>
    <w:rsid w:val="00B82BE2"/>
    <w:pPr>
      <w:keepNext/>
      <w:tabs>
        <w:tab w:val="right" w:pos="7938"/>
      </w:tabs>
      <w:spacing w:after="40" w:line="220" w:lineRule="atLeast"/>
      <w:ind w:left="567"/>
      <w:jc w:val="center"/>
    </w:pPr>
    <w:rPr>
      <w:noProof/>
      <w:sz w:val="20"/>
      <w:szCs w:val="20"/>
      <w:lang w:eastAsia="en-US"/>
    </w:rPr>
  </w:style>
  <w:style w:type="paragraph" w:customStyle="1" w:styleId="EULQTOC4">
    <w:name w:val="EULQTOC 4"/>
    <w:basedOn w:val="Normal"/>
    <w:next w:val="EULQTOC5"/>
    <w:qFormat/>
    <w:rsid w:val="00B82BE2"/>
    <w:pPr>
      <w:keepNext/>
      <w:tabs>
        <w:tab w:val="right" w:pos="7938"/>
      </w:tabs>
      <w:spacing w:after="40" w:line="220" w:lineRule="atLeast"/>
      <w:ind w:left="567"/>
      <w:jc w:val="center"/>
    </w:pPr>
    <w:rPr>
      <w:noProof/>
      <w:sz w:val="18"/>
      <w:szCs w:val="20"/>
      <w:lang w:eastAsia="en-US"/>
    </w:rPr>
  </w:style>
  <w:style w:type="paragraph" w:customStyle="1" w:styleId="EULQTOC5">
    <w:name w:val="EULQTOC 5"/>
    <w:basedOn w:val="Normal"/>
    <w:next w:val="EULQTOC6"/>
    <w:qFormat/>
    <w:rsid w:val="00B82BE2"/>
    <w:pPr>
      <w:keepNext/>
      <w:tabs>
        <w:tab w:val="right" w:pos="7938"/>
      </w:tabs>
      <w:spacing w:after="40" w:line="220" w:lineRule="atLeast"/>
      <w:ind w:left="567"/>
      <w:jc w:val="center"/>
    </w:pPr>
    <w:rPr>
      <w:noProof/>
      <w:sz w:val="18"/>
      <w:szCs w:val="20"/>
      <w:lang w:eastAsia="en-US"/>
    </w:rPr>
  </w:style>
  <w:style w:type="paragraph" w:customStyle="1" w:styleId="EULQTOC6">
    <w:name w:val="EULQTOC 6"/>
    <w:basedOn w:val="Normal"/>
    <w:next w:val="EULQTOC9"/>
    <w:qFormat/>
    <w:rsid w:val="00B82BE2"/>
    <w:pPr>
      <w:keepNext/>
      <w:tabs>
        <w:tab w:val="right" w:pos="7938"/>
      </w:tabs>
      <w:spacing w:after="40" w:line="220" w:lineRule="atLeast"/>
      <w:ind w:left="567"/>
      <w:jc w:val="center"/>
    </w:pPr>
    <w:rPr>
      <w:noProof/>
      <w:sz w:val="20"/>
      <w:szCs w:val="20"/>
      <w:lang w:eastAsia="en-US"/>
    </w:rPr>
  </w:style>
  <w:style w:type="paragraph" w:customStyle="1" w:styleId="EULQTOC9">
    <w:name w:val="EULQTOC 9"/>
    <w:basedOn w:val="Normal"/>
    <w:qFormat/>
    <w:rsid w:val="00B82BE2"/>
    <w:pPr>
      <w:keepLines/>
      <w:tabs>
        <w:tab w:val="left" w:pos="576"/>
        <w:tab w:val="left" w:pos="1145"/>
        <w:tab w:val="right" w:pos="8280"/>
      </w:tabs>
      <w:spacing w:after="40"/>
      <w:ind w:left="1145" w:right="720" w:hanging="578"/>
      <w:jc w:val="both"/>
    </w:pPr>
    <w:rPr>
      <w:sz w:val="21"/>
      <w:szCs w:val="20"/>
      <w:lang w:eastAsia="en-US"/>
    </w:rPr>
  </w:style>
  <w:style w:type="paragraph" w:customStyle="1" w:styleId="EULQTOC9Indent">
    <w:name w:val="EULQTOC 9 Indent"/>
    <w:basedOn w:val="Normal"/>
    <w:qFormat/>
    <w:rsid w:val="00B82BE2"/>
    <w:pPr>
      <w:keepLines/>
      <w:tabs>
        <w:tab w:val="left" w:pos="1559"/>
        <w:tab w:val="right" w:pos="8277"/>
      </w:tabs>
      <w:spacing w:after="40"/>
      <w:ind w:left="1559" w:right="720" w:hanging="992"/>
      <w:jc w:val="both"/>
    </w:pPr>
    <w:rPr>
      <w:sz w:val="21"/>
      <w:szCs w:val="20"/>
      <w:lang w:eastAsia="en-US"/>
    </w:rPr>
  </w:style>
  <w:style w:type="paragraph" w:customStyle="1" w:styleId="EUNLQDefPara">
    <w:name w:val="EUNLQ Def Para"/>
    <w:basedOn w:val="Normal"/>
    <w:next w:val="EULQDefPara"/>
    <w:qFormat/>
    <w:rsid w:val="00B82BE2"/>
    <w:pPr>
      <w:spacing w:before="80" w:line="220" w:lineRule="atLeast"/>
      <w:ind w:left="1474"/>
      <w:jc w:val="both"/>
    </w:pPr>
    <w:rPr>
      <w:sz w:val="21"/>
      <w:szCs w:val="20"/>
      <w:lang w:eastAsia="en-US"/>
    </w:rPr>
  </w:style>
  <w:style w:type="paragraph" w:customStyle="1" w:styleId="EUNLQDisplayItem">
    <w:name w:val="EUNLQDisplayItem"/>
    <w:basedOn w:val="Normal"/>
    <w:next w:val="EULQDisplayItem"/>
    <w:qFormat/>
    <w:rsid w:val="00B82BE2"/>
    <w:pPr>
      <w:spacing w:before="120" w:after="120"/>
      <w:ind w:left="1134"/>
      <w:jc w:val="center"/>
    </w:pPr>
    <w:rPr>
      <w:sz w:val="20"/>
      <w:szCs w:val="20"/>
      <w:lang w:eastAsia="en-US"/>
    </w:rPr>
  </w:style>
  <w:style w:type="paragraph" w:customStyle="1" w:styleId="EUNLQH1">
    <w:name w:val="EUNLQH1"/>
    <w:basedOn w:val="Normal"/>
    <w:next w:val="EUNLQN1"/>
    <w:qFormat/>
    <w:rsid w:val="00B82BE2"/>
    <w:pPr>
      <w:keepNext/>
      <w:spacing w:before="320" w:line="220" w:lineRule="atLeast"/>
      <w:ind w:left="1134"/>
      <w:jc w:val="both"/>
    </w:pPr>
    <w:rPr>
      <w:b/>
      <w:sz w:val="21"/>
      <w:szCs w:val="20"/>
      <w:lang w:eastAsia="en-US"/>
    </w:rPr>
  </w:style>
  <w:style w:type="paragraph" w:customStyle="1" w:styleId="EUNLQH2">
    <w:name w:val="EUNLQH2"/>
    <w:basedOn w:val="Normal"/>
    <w:next w:val="EUNLQN2"/>
    <w:qFormat/>
    <w:rsid w:val="00B82BE2"/>
    <w:pPr>
      <w:keepNext/>
      <w:spacing w:before="80" w:line="220" w:lineRule="atLeast"/>
      <w:ind w:left="1304"/>
      <w:jc w:val="both"/>
    </w:pPr>
    <w:rPr>
      <w:i/>
      <w:sz w:val="21"/>
      <w:szCs w:val="20"/>
      <w:lang w:eastAsia="en-US"/>
    </w:rPr>
  </w:style>
  <w:style w:type="paragraph" w:customStyle="1" w:styleId="EUNLQH3">
    <w:name w:val="EUNLQH3"/>
    <w:basedOn w:val="Normal"/>
    <w:next w:val="EUNLQN3"/>
    <w:qFormat/>
    <w:rsid w:val="00B82BE2"/>
    <w:pPr>
      <w:keepNext/>
      <w:spacing w:before="80" w:line="220" w:lineRule="atLeast"/>
      <w:ind w:left="1474"/>
      <w:jc w:val="both"/>
    </w:pPr>
    <w:rPr>
      <w:i/>
      <w:sz w:val="21"/>
      <w:szCs w:val="20"/>
      <w:lang w:eastAsia="en-US"/>
    </w:rPr>
  </w:style>
  <w:style w:type="paragraph" w:customStyle="1" w:styleId="EUNLQList1">
    <w:name w:val="EUNLQList1"/>
    <w:basedOn w:val="Normal"/>
    <w:qFormat/>
    <w:rsid w:val="00B82BE2"/>
    <w:pPr>
      <w:spacing w:before="80" w:line="220" w:lineRule="atLeast"/>
      <w:ind w:left="1531" w:hanging="397"/>
      <w:jc w:val="both"/>
    </w:pPr>
    <w:rPr>
      <w:sz w:val="21"/>
      <w:szCs w:val="20"/>
      <w:lang w:eastAsia="en-US"/>
    </w:rPr>
  </w:style>
  <w:style w:type="paragraph" w:customStyle="1" w:styleId="EUNLQList1Cont">
    <w:name w:val="EUNLQList1 Cont"/>
    <w:basedOn w:val="Normal"/>
    <w:qFormat/>
    <w:rsid w:val="00B82BE2"/>
    <w:pPr>
      <w:spacing w:before="80" w:line="220" w:lineRule="atLeast"/>
      <w:ind w:left="1531"/>
      <w:jc w:val="both"/>
    </w:pPr>
    <w:rPr>
      <w:sz w:val="21"/>
      <w:szCs w:val="20"/>
      <w:lang w:eastAsia="en-US"/>
    </w:rPr>
  </w:style>
  <w:style w:type="paragraph" w:customStyle="1" w:styleId="EUNLQN1">
    <w:name w:val="EUNLQN1"/>
    <w:basedOn w:val="Normal"/>
    <w:qFormat/>
    <w:rsid w:val="00B82BE2"/>
    <w:pPr>
      <w:tabs>
        <w:tab w:val="left" w:pos="1701"/>
      </w:tabs>
      <w:spacing w:before="160" w:line="220" w:lineRule="atLeast"/>
      <w:ind w:left="1134"/>
      <w:jc w:val="both"/>
    </w:pPr>
    <w:rPr>
      <w:sz w:val="21"/>
      <w:szCs w:val="20"/>
      <w:lang w:eastAsia="en-US"/>
    </w:rPr>
  </w:style>
  <w:style w:type="paragraph" w:customStyle="1" w:styleId="EUNLQN2">
    <w:name w:val="EUNLQN2"/>
    <w:basedOn w:val="Normal"/>
    <w:qFormat/>
    <w:rsid w:val="00B82BE2"/>
    <w:pPr>
      <w:spacing w:before="80" w:line="220" w:lineRule="atLeast"/>
      <w:ind w:left="1134" w:firstLine="170"/>
      <w:jc w:val="both"/>
    </w:pPr>
    <w:rPr>
      <w:sz w:val="21"/>
      <w:szCs w:val="20"/>
      <w:lang w:eastAsia="en-US"/>
    </w:rPr>
  </w:style>
  <w:style w:type="paragraph" w:customStyle="1" w:styleId="EUNLQN3">
    <w:name w:val="EUNLQN3"/>
    <w:basedOn w:val="Normal"/>
    <w:qFormat/>
    <w:rsid w:val="00B82BE2"/>
    <w:pPr>
      <w:tabs>
        <w:tab w:val="left" w:pos="964"/>
      </w:tabs>
      <w:spacing w:before="80" w:line="220" w:lineRule="atLeast"/>
      <w:ind w:left="1531" w:hanging="397"/>
      <w:jc w:val="both"/>
    </w:pPr>
    <w:rPr>
      <w:sz w:val="21"/>
      <w:szCs w:val="20"/>
      <w:lang w:eastAsia="en-US"/>
    </w:rPr>
  </w:style>
  <w:style w:type="paragraph" w:customStyle="1" w:styleId="EUNLQN3-N4">
    <w:name w:val="EUNLQN3-N4"/>
    <w:basedOn w:val="Normal"/>
    <w:next w:val="EUNLQN4"/>
    <w:qFormat/>
    <w:rsid w:val="00B82BE2"/>
    <w:pPr>
      <w:tabs>
        <w:tab w:val="right" w:pos="2155"/>
        <w:tab w:val="left" w:pos="2268"/>
      </w:tabs>
      <w:spacing w:before="80" w:line="220" w:lineRule="atLeast"/>
      <w:ind w:left="2268" w:hanging="794"/>
      <w:jc w:val="both"/>
    </w:pPr>
    <w:rPr>
      <w:sz w:val="21"/>
      <w:szCs w:val="20"/>
      <w:lang w:eastAsia="en-US"/>
    </w:rPr>
  </w:style>
  <w:style w:type="paragraph" w:customStyle="1" w:styleId="EUNLQN4">
    <w:name w:val="EUNLQN4"/>
    <w:basedOn w:val="Normal"/>
    <w:qFormat/>
    <w:rsid w:val="00B82BE2"/>
    <w:pPr>
      <w:tabs>
        <w:tab w:val="left" w:pos="1588"/>
      </w:tabs>
      <w:spacing w:before="80" w:line="220" w:lineRule="atLeast"/>
      <w:ind w:left="1928" w:hanging="1361"/>
      <w:jc w:val="both"/>
    </w:pPr>
    <w:rPr>
      <w:sz w:val="21"/>
      <w:szCs w:val="20"/>
      <w:lang w:eastAsia="en-US"/>
    </w:rPr>
  </w:style>
  <w:style w:type="paragraph" w:customStyle="1" w:styleId="EUNLQN4-N5">
    <w:name w:val="EUNLQN4-N5"/>
    <w:basedOn w:val="Normal"/>
    <w:next w:val="EUNLQN5"/>
    <w:qFormat/>
    <w:rsid w:val="00B82BE2"/>
    <w:pPr>
      <w:tabs>
        <w:tab w:val="right" w:pos="2155"/>
        <w:tab w:val="left" w:pos="2268"/>
        <w:tab w:val="left" w:pos="2835"/>
      </w:tabs>
      <w:spacing w:before="80" w:line="220" w:lineRule="atLeast"/>
      <w:ind w:left="2835" w:hanging="2835"/>
      <w:jc w:val="both"/>
    </w:pPr>
    <w:rPr>
      <w:sz w:val="21"/>
      <w:szCs w:val="20"/>
      <w:lang w:eastAsia="en-US"/>
    </w:rPr>
  </w:style>
  <w:style w:type="paragraph" w:customStyle="1" w:styleId="EUNLQN5">
    <w:name w:val="EUNLQN5"/>
    <w:basedOn w:val="Normal"/>
    <w:qFormat/>
    <w:rsid w:val="00B82BE2"/>
    <w:pPr>
      <w:tabs>
        <w:tab w:val="left" w:pos="2268"/>
      </w:tabs>
      <w:spacing w:before="80" w:line="220" w:lineRule="atLeast"/>
      <w:ind w:left="2835" w:hanging="567"/>
      <w:jc w:val="both"/>
    </w:pPr>
    <w:rPr>
      <w:sz w:val="21"/>
      <w:szCs w:val="20"/>
      <w:lang w:eastAsia="en-US"/>
    </w:rPr>
  </w:style>
  <w:style w:type="paragraph" w:customStyle="1" w:styleId="EUNLQpart">
    <w:name w:val="EUNLQpart"/>
    <w:basedOn w:val="Normal"/>
    <w:next w:val="EUNLQpartHead"/>
    <w:qFormat/>
    <w:rsid w:val="00B82BE2"/>
    <w:pPr>
      <w:keepNext/>
      <w:tabs>
        <w:tab w:val="center" w:pos="4734"/>
        <w:tab w:val="right" w:pos="8335"/>
      </w:tabs>
      <w:spacing w:before="480"/>
      <w:ind w:left="1134"/>
      <w:jc w:val="center"/>
    </w:pPr>
    <w:rPr>
      <w:sz w:val="28"/>
      <w:szCs w:val="20"/>
      <w:lang w:eastAsia="en-US"/>
    </w:rPr>
  </w:style>
  <w:style w:type="paragraph" w:customStyle="1" w:styleId="EUNLQpartHead">
    <w:name w:val="EUNLQpartHead"/>
    <w:basedOn w:val="Normal"/>
    <w:next w:val="EUNLQT1"/>
    <w:qFormat/>
    <w:rsid w:val="00B82BE2"/>
    <w:pPr>
      <w:keepNext/>
      <w:tabs>
        <w:tab w:val="center" w:pos="4167"/>
        <w:tab w:val="right" w:pos="8335"/>
      </w:tabs>
      <w:spacing w:before="120"/>
      <w:ind w:left="1134"/>
      <w:jc w:val="center"/>
    </w:pPr>
    <w:rPr>
      <w:szCs w:val="20"/>
      <w:lang w:eastAsia="en-US"/>
    </w:rPr>
  </w:style>
  <w:style w:type="paragraph" w:customStyle="1" w:styleId="EUNLQschedule">
    <w:name w:val="EUNLQschedule"/>
    <w:basedOn w:val="Normal"/>
    <w:next w:val="EUNLQscheduleHead"/>
    <w:qFormat/>
    <w:rsid w:val="00B82BE2"/>
    <w:pPr>
      <w:keepNext/>
      <w:tabs>
        <w:tab w:val="center" w:pos="4734"/>
        <w:tab w:val="right" w:pos="8335"/>
      </w:tabs>
      <w:spacing w:before="480" w:after="120"/>
      <w:ind w:left="1134"/>
      <w:jc w:val="center"/>
    </w:pPr>
    <w:rPr>
      <w:sz w:val="30"/>
      <w:szCs w:val="20"/>
      <w:lang w:eastAsia="en-US"/>
    </w:rPr>
  </w:style>
  <w:style w:type="paragraph" w:customStyle="1" w:styleId="EUNLQscheduleHead">
    <w:name w:val="EUNLQscheduleHead"/>
    <w:basedOn w:val="Normal"/>
    <w:next w:val="EUNLQT1"/>
    <w:qFormat/>
    <w:rsid w:val="00B82BE2"/>
    <w:pPr>
      <w:keepNext/>
      <w:tabs>
        <w:tab w:val="center" w:pos="4167"/>
        <w:tab w:val="right" w:pos="8335"/>
      </w:tabs>
      <w:spacing w:before="120" w:after="100"/>
      <w:ind w:left="1134"/>
      <w:jc w:val="center"/>
    </w:pPr>
    <w:rPr>
      <w:sz w:val="28"/>
      <w:szCs w:val="20"/>
      <w:lang w:eastAsia="en-US"/>
    </w:rPr>
  </w:style>
  <w:style w:type="paragraph" w:customStyle="1" w:styleId="EUNLQschedules">
    <w:name w:val="EUNLQschedules"/>
    <w:basedOn w:val="Normal"/>
    <w:qFormat/>
    <w:rsid w:val="00B82BE2"/>
    <w:pPr>
      <w:keepNext/>
      <w:spacing w:before="480" w:after="480"/>
      <w:ind w:left="1134"/>
      <w:jc w:val="center"/>
    </w:pPr>
    <w:rPr>
      <w:sz w:val="30"/>
      <w:szCs w:val="20"/>
      <w:lang w:eastAsia="en-US"/>
    </w:rPr>
  </w:style>
  <w:style w:type="paragraph" w:customStyle="1" w:styleId="EUNLQsection">
    <w:name w:val="EUNLQsection"/>
    <w:basedOn w:val="Normal"/>
    <w:next w:val="EUNLQsectionHead"/>
    <w:qFormat/>
    <w:rsid w:val="00B82BE2"/>
    <w:pPr>
      <w:keepNext/>
      <w:tabs>
        <w:tab w:val="center" w:pos="4734"/>
        <w:tab w:val="right" w:pos="8335"/>
      </w:tabs>
      <w:spacing w:before="80" w:line="220" w:lineRule="atLeast"/>
      <w:ind w:left="1134"/>
      <w:jc w:val="center"/>
    </w:pPr>
    <w:rPr>
      <w:i/>
      <w:sz w:val="21"/>
      <w:szCs w:val="20"/>
      <w:lang w:eastAsia="en-US"/>
    </w:rPr>
  </w:style>
  <w:style w:type="paragraph" w:customStyle="1" w:styleId="EUNLQsectionHead">
    <w:name w:val="EUNLQsectionHead"/>
    <w:basedOn w:val="Normal"/>
    <w:next w:val="EUNLQT1"/>
    <w:qFormat/>
    <w:rsid w:val="00B82BE2"/>
    <w:pPr>
      <w:keepNext/>
      <w:spacing w:before="80" w:line="220" w:lineRule="atLeast"/>
      <w:ind w:left="1134"/>
      <w:jc w:val="center"/>
    </w:pPr>
    <w:rPr>
      <w:b/>
      <w:sz w:val="21"/>
      <w:szCs w:val="20"/>
      <w:lang w:eastAsia="en-US"/>
    </w:rPr>
  </w:style>
  <w:style w:type="paragraph" w:customStyle="1" w:styleId="EUNLQSublist1">
    <w:name w:val="EUNLQSublist1"/>
    <w:basedOn w:val="Normal"/>
    <w:next w:val="EULQSublist1"/>
    <w:qFormat/>
    <w:rsid w:val="00B82BE2"/>
    <w:pPr>
      <w:spacing w:before="80" w:line="220" w:lineRule="atLeast"/>
      <w:ind w:left="1968" w:hanging="397"/>
      <w:jc w:val="both"/>
    </w:pPr>
    <w:rPr>
      <w:sz w:val="21"/>
      <w:szCs w:val="20"/>
      <w:lang w:eastAsia="en-US"/>
    </w:rPr>
  </w:style>
  <w:style w:type="paragraph" w:customStyle="1" w:styleId="EUNLQSublist1Cont">
    <w:name w:val="EUNLQSublist1 Cont"/>
    <w:basedOn w:val="Normal"/>
    <w:qFormat/>
    <w:rsid w:val="00B82BE2"/>
    <w:pPr>
      <w:spacing w:before="80" w:line="220" w:lineRule="atLeast"/>
      <w:ind w:left="1928"/>
      <w:jc w:val="both"/>
    </w:pPr>
    <w:rPr>
      <w:sz w:val="21"/>
      <w:szCs w:val="20"/>
      <w:lang w:eastAsia="en-US"/>
    </w:rPr>
  </w:style>
  <w:style w:type="paragraph" w:customStyle="1" w:styleId="EUNLQsubPart">
    <w:name w:val="EUNLQsubPart"/>
    <w:basedOn w:val="Normal"/>
    <w:next w:val="EUNLQsubPartHead"/>
    <w:qFormat/>
    <w:rsid w:val="00B82BE2"/>
    <w:pPr>
      <w:keepNext/>
      <w:tabs>
        <w:tab w:val="center" w:pos="4734"/>
        <w:tab w:val="right" w:pos="8335"/>
      </w:tabs>
      <w:spacing w:before="120"/>
      <w:ind w:left="1134"/>
      <w:jc w:val="center"/>
    </w:pPr>
    <w:rPr>
      <w:sz w:val="22"/>
      <w:szCs w:val="20"/>
      <w:lang w:eastAsia="en-US"/>
    </w:rPr>
  </w:style>
  <w:style w:type="paragraph" w:customStyle="1" w:styleId="EULQSubPartHead">
    <w:name w:val="EULQSubPartHead"/>
    <w:basedOn w:val="Normal"/>
    <w:next w:val="EULQT1"/>
    <w:qFormat/>
    <w:rsid w:val="00B82BE2"/>
    <w:pPr>
      <w:keepNext/>
      <w:tabs>
        <w:tab w:val="center" w:pos="4167"/>
        <w:tab w:val="right" w:pos="8335"/>
      </w:tabs>
      <w:spacing w:before="120"/>
      <w:ind w:left="567"/>
      <w:jc w:val="center"/>
    </w:pPr>
    <w:rPr>
      <w:sz w:val="21"/>
      <w:szCs w:val="20"/>
      <w:lang w:eastAsia="en-US"/>
    </w:rPr>
  </w:style>
  <w:style w:type="paragraph" w:customStyle="1" w:styleId="EUNLQsubPartHead">
    <w:name w:val="EUNLQsubPartHead"/>
    <w:basedOn w:val="Normal"/>
    <w:next w:val="EUNLQT1"/>
    <w:qFormat/>
    <w:rsid w:val="00B82BE2"/>
    <w:pPr>
      <w:keepNext/>
      <w:tabs>
        <w:tab w:val="center" w:pos="4167"/>
        <w:tab w:val="right" w:pos="8335"/>
      </w:tabs>
      <w:spacing w:before="120"/>
      <w:ind w:left="1134"/>
      <w:jc w:val="center"/>
    </w:pPr>
    <w:rPr>
      <w:sz w:val="21"/>
      <w:szCs w:val="20"/>
      <w:lang w:eastAsia="en-US"/>
    </w:rPr>
  </w:style>
  <w:style w:type="paragraph" w:customStyle="1" w:styleId="EUNLQsubSection">
    <w:name w:val="EUNLQsubSection"/>
    <w:basedOn w:val="Normal"/>
    <w:next w:val="EUNLQsubSectionHead"/>
    <w:qFormat/>
    <w:rsid w:val="00B82BE2"/>
    <w:pPr>
      <w:keepNext/>
      <w:tabs>
        <w:tab w:val="center" w:pos="4734"/>
        <w:tab w:val="right" w:pos="8335"/>
      </w:tabs>
      <w:spacing w:before="80"/>
      <w:ind w:left="1134"/>
      <w:jc w:val="center"/>
    </w:pPr>
    <w:rPr>
      <w:sz w:val="18"/>
      <w:szCs w:val="20"/>
      <w:lang w:eastAsia="en-US"/>
    </w:rPr>
  </w:style>
  <w:style w:type="paragraph" w:customStyle="1" w:styleId="EUNLQsubSectionHead">
    <w:name w:val="EUNLQsubSectionHead"/>
    <w:basedOn w:val="Normal"/>
    <w:next w:val="EUNLQT1"/>
    <w:qFormat/>
    <w:rsid w:val="00B82BE2"/>
    <w:pPr>
      <w:keepNext/>
      <w:spacing w:before="40" w:line="220" w:lineRule="atLeast"/>
      <w:ind w:left="1134"/>
      <w:jc w:val="center"/>
    </w:pPr>
    <w:rPr>
      <w:i/>
      <w:sz w:val="20"/>
      <w:szCs w:val="20"/>
      <w:lang w:eastAsia="en-US"/>
    </w:rPr>
  </w:style>
  <w:style w:type="paragraph" w:customStyle="1" w:styleId="EUNLQT1">
    <w:name w:val="EUNLQT1"/>
    <w:basedOn w:val="Normal"/>
    <w:qFormat/>
    <w:rsid w:val="00B82BE2"/>
    <w:pPr>
      <w:spacing w:before="160" w:line="220" w:lineRule="atLeast"/>
      <w:ind w:left="1134"/>
      <w:jc w:val="both"/>
    </w:pPr>
    <w:rPr>
      <w:sz w:val="21"/>
      <w:szCs w:val="20"/>
      <w:lang w:eastAsia="en-US"/>
    </w:rPr>
  </w:style>
  <w:style w:type="paragraph" w:customStyle="1" w:styleId="EUNLQT1Indent">
    <w:name w:val="EUNLQT1 Indent"/>
    <w:basedOn w:val="Normal"/>
    <w:qFormat/>
    <w:rsid w:val="00B82BE2"/>
    <w:pPr>
      <w:spacing w:before="160" w:line="220" w:lineRule="atLeast"/>
      <w:ind w:left="1134" w:firstLine="170"/>
      <w:jc w:val="both"/>
    </w:pPr>
    <w:rPr>
      <w:sz w:val="21"/>
      <w:szCs w:val="20"/>
      <w:lang w:eastAsia="en-US"/>
    </w:rPr>
  </w:style>
  <w:style w:type="paragraph" w:customStyle="1" w:styleId="EUNLQT2">
    <w:name w:val="EUNLQT2"/>
    <w:basedOn w:val="Normal"/>
    <w:qFormat/>
    <w:rsid w:val="00B82BE2"/>
    <w:pPr>
      <w:spacing w:before="80" w:line="220" w:lineRule="atLeast"/>
      <w:ind w:left="1134"/>
      <w:jc w:val="both"/>
    </w:pPr>
    <w:rPr>
      <w:sz w:val="21"/>
      <w:szCs w:val="20"/>
      <w:lang w:eastAsia="en-US"/>
    </w:rPr>
  </w:style>
  <w:style w:type="paragraph" w:customStyle="1" w:styleId="EUNLQT3">
    <w:name w:val="EUNLQT3"/>
    <w:basedOn w:val="Normal"/>
    <w:qFormat/>
    <w:rsid w:val="00B82BE2"/>
    <w:pPr>
      <w:spacing w:before="80" w:line="220" w:lineRule="atLeast"/>
      <w:ind w:left="1531"/>
      <w:jc w:val="both"/>
    </w:pPr>
    <w:rPr>
      <w:sz w:val="21"/>
      <w:szCs w:val="20"/>
      <w:lang w:eastAsia="en-US"/>
    </w:rPr>
  </w:style>
  <w:style w:type="paragraph" w:customStyle="1" w:styleId="EUNLQT4">
    <w:name w:val="EUNLQT4"/>
    <w:basedOn w:val="Normal"/>
    <w:qFormat/>
    <w:rsid w:val="00B82BE2"/>
    <w:pPr>
      <w:spacing w:before="80" w:line="220" w:lineRule="atLeast"/>
      <w:ind w:left="1928"/>
      <w:jc w:val="both"/>
    </w:pPr>
    <w:rPr>
      <w:sz w:val="21"/>
      <w:szCs w:val="20"/>
      <w:lang w:eastAsia="en-US"/>
    </w:rPr>
  </w:style>
  <w:style w:type="paragraph" w:customStyle="1" w:styleId="EUNLQT5">
    <w:name w:val="EUNLQT5"/>
    <w:basedOn w:val="Normal"/>
    <w:qFormat/>
    <w:rsid w:val="00B82BE2"/>
    <w:pPr>
      <w:spacing w:before="80" w:line="220" w:lineRule="atLeast"/>
      <w:ind w:left="2835"/>
      <w:jc w:val="both"/>
    </w:pPr>
    <w:rPr>
      <w:sz w:val="21"/>
      <w:szCs w:val="20"/>
      <w:lang w:eastAsia="en-US"/>
    </w:rPr>
  </w:style>
  <w:style w:type="paragraph" w:customStyle="1" w:styleId="EUNLQTableCaption">
    <w:name w:val="EUNLQTableCaption"/>
    <w:basedOn w:val="Normal"/>
    <w:next w:val="EUNLQTableTopText"/>
    <w:qFormat/>
    <w:rsid w:val="00B82BE2"/>
    <w:pPr>
      <w:spacing w:after="120" w:line="220" w:lineRule="atLeast"/>
      <w:ind w:left="1134"/>
    </w:pPr>
    <w:rPr>
      <w:b/>
      <w:sz w:val="21"/>
      <w:szCs w:val="20"/>
      <w:lang w:eastAsia="en-US"/>
    </w:rPr>
  </w:style>
  <w:style w:type="paragraph" w:customStyle="1" w:styleId="EUNLQTableFoot">
    <w:name w:val="EUNLQTableFoot"/>
    <w:basedOn w:val="Normal"/>
    <w:qFormat/>
    <w:rsid w:val="00B82BE2"/>
    <w:pPr>
      <w:spacing w:before="40" w:line="220" w:lineRule="atLeast"/>
      <w:ind w:left="1134"/>
      <w:jc w:val="both"/>
    </w:pPr>
    <w:rPr>
      <w:sz w:val="20"/>
      <w:szCs w:val="20"/>
      <w:lang w:eastAsia="en-US"/>
    </w:rPr>
  </w:style>
  <w:style w:type="paragraph" w:customStyle="1" w:styleId="EUNLQTableNumber">
    <w:name w:val="EUNLQTableNumber"/>
    <w:basedOn w:val="Normal"/>
    <w:qFormat/>
    <w:rsid w:val="00B82BE2"/>
    <w:pPr>
      <w:spacing w:before="120" w:after="120" w:line="220" w:lineRule="atLeast"/>
      <w:ind w:left="1134"/>
    </w:pPr>
    <w:rPr>
      <w:b/>
      <w:sz w:val="21"/>
      <w:szCs w:val="20"/>
      <w:lang w:eastAsia="en-US"/>
    </w:rPr>
  </w:style>
  <w:style w:type="paragraph" w:customStyle="1" w:styleId="EUNLQTableTopText">
    <w:name w:val="EUNLQTableTopText"/>
    <w:basedOn w:val="Normal"/>
    <w:qFormat/>
    <w:rsid w:val="00B82BE2"/>
    <w:pPr>
      <w:spacing w:after="80" w:line="220" w:lineRule="atLeast"/>
      <w:ind w:left="1134"/>
      <w:jc w:val="both"/>
    </w:pPr>
    <w:rPr>
      <w:sz w:val="21"/>
      <w:szCs w:val="20"/>
      <w:lang w:eastAsia="en-US"/>
    </w:rPr>
  </w:style>
  <w:style w:type="paragraph" w:customStyle="1" w:styleId="Sifted">
    <w:name w:val="Sifted"/>
    <w:basedOn w:val="Normal"/>
    <w:next w:val="Normal"/>
    <w:qFormat/>
    <w:rsid w:val="00B82BE2"/>
    <w:pPr>
      <w:tabs>
        <w:tab w:val="left" w:pos="2438"/>
        <w:tab w:val="left" w:pos="2835"/>
        <w:tab w:val="left" w:pos="3232"/>
        <w:tab w:val="left" w:pos="3629"/>
        <w:tab w:val="right" w:pos="6804"/>
      </w:tabs>
      <w:spacing w:after="160" w:line="220" w:lineRule="atLeast"/>
      <w:ind w:left="1541" w:right="1541"/>
      <w:jc w:val="both"/>
    </w:pPr>
    <w:rPr>
      <w:i/>
      <w:sz w:val="21"/>
      <w:szCs w:val="20"/>
      <w:lang w:eastAsia="en-US"/>
    </w:rPr>
  </w:style>
  <w:style w:type="character" w:customStyle="1" w:styleId="Heading1Char">
    <w:name w:val="Heading 1 Char"/>
    <w:link w:val="Heading1"/>
    <w:rsid w:val="00B82BE2"/>
    <w:rPr>
      <w:rFonts w:ascii="Calibri Light" w:hAnsi="Calibri Light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B82BE2"/>
    <w:rPr>
      <w:rFonts w:ascii="Arial" w:hAnsi="Arial" w:cs="Arial"/>
      <w:b/>
      <w:bCs/>
      <w:i/>
      <w:iCs/>
      <w:sz w:val="28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B82BE2"/>
    <w:rPr>
      <w:rFonts w:ascii="Arial" w:hAnsi="Arial" w:cs="Arial"/>
      <w:b/>
      <w:bCs/>
      <w:sz w:val="26"/>
      <w:szCs w:val="26"/>
      <w:lang w:eastAsia="en-GB"/>
    </w:rPr>
  </w:style>
  <w:style w:type="paragraph" w:styleId="Caption">
    <w:name w:val="caption"/>
    <w:basedOn w:val="Normal"/>
    <w:next w:val="Normal"/>
    <w:qFormat/>
    <w:rsid w:val="00B82BE2"/>
    <w:pPr>
      <w:spacing w:before="120" w:after="120" w:line="220" w:lineRule="atLeast"/>
      <w:jc w:val="both"/>
    </w:pPr>
    <w:rPr>
      <w:b/>
      <w:sz w:val="21"/>
      <w:szCs w:val="20"/>
      <w:lang w:eastAsia="en-US"/>
    </w:rPr>
  </w:style>
  <w:style w:type="paragraph" w:styleId="Title">
    <w:name w:val="Title"/>
    <w:basedOn w:val="Normal"/>
    <w:link w:val="TitleChar"/>
    <w:qFormat/>
    <w:rsid w:val="00B82BE2"/>
    <w:pPr>
      <w:spacing w:after="600"/>
      <w:jc w:val="center"/>
    </w:pPr>
    <w:rPr>
      <w:kern w:val="28"/>
      <w:sz w:val="32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82BE2"/>
    <w:rPr>
      <w:kern w:val="28"/>
      <w:sz w:val="32"/>
    </w:rPr>
  </w:style>
  <w:style w:type="character" w:styleId="Emphasis">
    <w:name w:val="Emphasis"/>
    <w:qFormat/>
    <w:rsid w:val="00B82BE2"/>
    <w:rPr>
      <w:i/>
      <w:iCs/>
    </w:rPr>
  </w:style>
  <w:style w:type="character" w:styleId="Hyperlink">
    <w:name w:val="Hyperlink"/>
    <w:uiPriority w:val="99"/>
    <w:unhideWhenUsed/>
    <w:rsid w:val="00975CC7"/>
    <w:rPr>
      <w:color w:val="0000FF"/>
      <w:u w:val="single"/>
    </w:rPr>
  </w:style>
  <w:style w:type="character" w:styleId="Strong">
    <w:name w:val="Strong"/>
    <w:uiPriority w:val="22"/>
    <w:qFormat/>
    <w:rsid w:val="00975CC7"/>
    <w:rPr>
      <w:b/>
      <w:bCs/>
    </w:rPr>
  </w:style>
  <w:style w:type="character" w:customStyle="1" w:styleId="apple-converted-space">
    <w:name w:val="apple-converted-space"/>
    <w:rsid w:val="00975CC7"/>
  </w:style>
  <w:style w:type="paragraph" w:styleId="NoSpacing">
    <w:name w:val="No Spacing"/>
    <w:uiPriority w:val="1"/>
    <w:qFormat/>
    <w:rsid w:val="00975CC7"/>
    <w:rPr>
      <w:rFonts w:ascii="Calibri" w:eastAsia="Calibri" w:hAnsi="Calibri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AE2DDE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AE2DDE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E2DDE"/>
    <w:pPr>
      <w:spacing w:after="100" w:line="259" w:lineRule="auto"/>
    </w:pPr>
    <w:rPr>
      <w:rFonts w:asciiTheme="minorHAnsi" w:eastAsiaTheme="minorEastAsia" w:hAnsiTheme="minorHAnsi"/>
      <w:sz w:val="22"/>
      <w:szCs w:val="22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AE2DDE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A10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857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57C6"/>
    <w:rPr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D857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57C6"/>
    <w:rPr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1A9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A9A"/>
    <w:rPr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A79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79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792F"/>
    <w:rPr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79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792F"/>
    <w:rPr>
      <w:b/>
      <w:bCs/>
      <w:lang w:eastAsia="en-GB"/>
    </w:rPr>
  </w:style>
  <w:style w:type="character" w:customStyle="1" w:styleId="normaltextrun">
    <w:name w:val="normaltextrun"/>
    <w:basedOn w:val="DefaultParagraphFont"/>
    <w:rsid w:val="00086C25"/>
  </w:style>
  <w:style w:type="character" w:customStyle="1" w:styleId="eop">
    <w:name w:val="eop"/>
    <w:basedOn w:val="DefaultParagraphFont"/>
    <w:rsid w:val="00086C25"/>
  </w:style>
  <w:style w:type="paragraph" w:styleId="Revision">
    <w:name w:val="Revision"/>
    <w:hidden/>
    <w:uiPriority w:val="99"/>
    <w:semiHidden/>
    <w:rsid w:val="00A340CE"/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E7933648A7BF4CB53483EB86FE7F72" ma:contentTypeVersion="13" ma:contentTypeDescription="Create a new document." ma:contentTypeScope="" ma:versionID="0f4388240bfbbb137d3dcc918934dfa5">
  <xsd:schema xmlns:xsd="http://www.w3.org/2001/XMLSchema" xmlns:xs="http://www.w3.org/2001/XMLSchema" xmlns:p="http://schemas.microsoft.com/office/2006/metadata/properties" xmlns:ns2="b67a7830-db79-4a49-bf27-2aff92a2201a" xmlns:ns3="b413c3fd-5a3b-4239-b985-69032e371c04" xmlns:ns4="0063f72e-ace3-48fb-9c1f-5b513408b31f" xmlns:ns5="a8f60570-4bd3-4f2b-950b-a996de8ab151" xmlns:ns6="a172083e-e40c-4314-b43a-827352a1ed2c" xmlns:ns7="c963a4c1-1bb4-49f2-a011-9c776a7eed2a" xmlns:ns8="c51e830d-1b7f-4c7c-9921-930647d8ffe6" targetNamespace="http://schemas.microsoft.com/office/2006/metadata/properties" ma:root="true" ma:fieldsID="dd23510e60bb54a4e278826f657679d0" ns2:_="" ns3:_="" ns4:_="" ns5:_="" ns6:_="" ns7:_="" ns8:_="">
    <xsd:import namespace="b67a7830-db79-4a49-bf27-2aff92a2201a"/>
    <xsd:import namespace="b413c3fd-5a3b-4239-b985-69032e371c04"/>
    <xsd:import namespace="0063f72e-ace3-48fb-9c1f-5b513408b31f"/>
    <xsd:import namespace="a8f60570-4bd3-4f2b-950b-a996de8ab151"/>
    <xsd:import namespace="a172083e-e40c-4314-b43a-827352a1ed2c"/>
    <xsd:import namespace="c963a4c1-1bb4-49f2-a011-9c776a7eed2a"/>
    <xsd:import namespace="c51e830d-1b7f-4c7c-9921-930647d8ffe6"/>
    <xsd:element name="properties">
      <xsd:complexType>
        <xsd:sequence>
          <xsd:element name="documentManagement">
            <xsd:complexType>
              <xsd:all>
                <xsd:element ref="ns2:ExternallyShared" minOccurs="0"/>
                <xsd:element ref="ns3:Document_x0020_Notes" minOccurs="0"/>
                <xsd:element ref="ns4:Security_x0020_Classification" minOccurs="0"/>
                <xsd:element ref="ns3:Handling_x0020_Instructions" minOccurs="0"/>
                <xsd:element ref="ns4:Descriptor" minOccurs="0"/>
                <xsd:element ref="ns3:Government_x0020_Body" minOccurs="0"/>
                <xsd:element ref="ns5:Retention_x0020_Label" minOccurs="0"/>
                <xsd:element ref="ns3:Date_x0020_Opened" minOccurs="0"/>
                <xsd:element ref="ns3:Date_x0020_Closed" minOccurs="0"/>
                <xsd:element ref="ns4:National_x0020_Caveat" minOccurs="0"/>
                <xsd:element ref="ns3:CIRRUSPreviousLocation" minOccurs="0"/>
                <xsd:element ref="ns3:CIRRUSPreviousID" minOccurs="0"/>
                <xsd:element ref="ns2:LegacyDocumentType" minOccurs="0"/>
                <xsd:element ref="ns2:LegacyFileplanTarget" minOccurs="0"/>
                <xsd:element ref="ns2:LegacyNumericClass" minOccurs="0"/>
                <xsd:element ref="ns2:LegacyFolderType" minOccurs="0"/>
                <xsd:element ref="ns2:LegacyRecordFolderIdentifier" minOccurs="0"/>
                <xsd:element ref="ns2:LegacyCopyright" minOccurs="0"/>
                <xsd:element ref="ns2:LegacyLastModifiedDate" minOccurs="0"/>
                <xsd:element ref="ns2:LegacyModifier" minOccurs="0"/>
                <xsd:element ref="ns2:LegacyFolder" minOccurs="0"/>
                <xsd:element ref="ns2:LegacyContentType" minOccurs="0"/>
                <xsd:element ref="ns2:LegacyExpiryReviewDate" minOccurs="0"/>
                <xsd:element ref="ns2:LegacyLastActionDate" minOccurs="0"/>
                <xsd:element ref="ns2:LegacyProtectiveMarking" minOccurs="0"/>
                <xsd:element ref="ns2:LegacyTags" minOccurs="0"/>
                <xsd:element ref="ns2:LegacyReferencesFromOtherItems" minOccurs="0"/>
                <xsd:element ref="ns2:LegacyStatusonTransfer" minOccurs="0"/>
                <xsd:element ref="ns2:LegacyDateClosed" minOccurs="0"/>
                <xsd:element ref="ns2:LegacyRecordCategoryIdentifier" minOccurs="0"/>
                <xsd:element ref="ns2:LegacyDispositionAsOfDate" minOccurs="0"/>
                <xsd:element ref="ns2:LegacyHomeLocation" minOccurs="0"/>
                <xsd:element ref="ns2:LegacyCurrentLocation" minOccurs="0"/>
                <xsd:element ref="ns6:LegacyDateFileReceived" minOccurs="0"/>
                <xsd:element ref="ns6:LegacyDateFileRequested" minOccurs="0"/>
                <xsd:element ref="ns6:LegacyDateFileReturned" minOccurs="0"/>
                <xsd:element ref="ns6:LegacyMinister" minOccurs="0"/>
                <xsd:element ref="ns6:LegacyMP" minOccurs="0"/>
                <xsd:element ref="ns6:LegacyFolderNotes" minOccurs="0"/>
                <xsd:element ref="ns6:LegacyPhysicalItemLocation" minOccurs="0"/>
                <xsd:element ref="ns6:LegacyRequestType" minOccurs="0"/>
                <xsd:element ref="ns6:LegacyDescriptor" minOccurs="0"/>
                <xsd:element ref="ns6:LegacyFolderDocumentID" minOccurs="0"/>
                <xsd:element ref="ns6:LegacyDocumentID" minOccurs="0"/>
                <xsd:element ref="ns2:LegacyReferencesToOtherItems" minOccurs="0"/>
                <xsd:element ref="ns2:LegacyCustodian" minOccurs="0"/>
                <xsd:element ref="ns2:LegacyAdditionalAuthors" minOccurs="0"/>
                <xsd:element ref="ns2:LegacyDocumentLink" minOccurs="0"/>
                <xsd:element ref="ns2:LegacyFolderLink" minOccurs="0"/>
                <xsd:element ref="ns6:LegacyPhysicalFormat" minOccurs="0"/>
                <xsd:element ref="ns4:_dlc_DocIdUrl" minOccurs="0"/>
                <xsd:element ref="ns4:_dlc_DocIdPersistId" minOccurs="0"/>
                <xsd:element ref="ns7:m975189f4ba442ecbf67d4147307b177" minOccurs="0"/>
                <xsd:element ref="ns4:TaxCatchAll" minOccurs="0"/>
                <xsd:element ref="ns4:TaxCatchAllLabel" minOccurs="0"/>
                <xsd:element ref="ns4:_dlc_DocId" minOccurs="0"/>
                <xsd:element ref="ns3:CIRRUSPreviousRetentionPolicy" minOccurs="0"/>
                <xsd:element ref="ns6:LegacyCaseReferenceNumber" minOccurs="0"/>
                <xsd:element ref="ns8:MediaServiceMetadata" minOccurs="0"/>
                <xsd:element ref="ns8:MediaServiceFastMetadata" minOccurs="0"/>
                <xsd:element ref="ns4:SharedWithUsers" minOccurs="0"/>
                <xsd:element ref="ns4:SharedWithDetails" minOccurs="0"/>
                <xsd:element ref="ns8:MediaServiceDateTaken" minOccurs="0"/>
                <xsd:element ref="ns8:MediaServiceAutoTags" minOccurs="0"/>
                <xsd:element ref="ns8:MediaServiceOCR" minOccurs="0"/>
                <xsd:element ref="ns8:MediaServiceGenerationTime" minOccurs="0"/>
                <xsd:element ref="ns8:MediaServiceEventHashCode" minOccurs="0"/>
                <xsd:element ref="ns8:MediaServiceAutoKeyPoints" minOccurs="0"/>
                <xsd:element ref="ns8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a7830-db79-4a49-bf27-2aff92a2201a" elementFormDefault="qualified">
    <xsd:import namespace="http://schemas.microsoft.com/office/2006/documentManagement/types"/>
    <xsd:import namespace="http://schemas.microsoft.com/office/infopath/2007/PartnerControls"/>
    <xsd:element name="ExternallyShared" ma:index="2" nillable="true" ma:displayName="External" ma:description="Used with SPFX field customizer, displays if the item is externally shared" ma:hidden="true" ma:internalName="ExternallyShared">
      <xsd:simpleType>
        <xsd:restriction base="dms:Text"/>
      </xsd:simpleType>
    </xsd:element>
    <xsd:element name="LegacyDocumentType" ma:index="15" nillable="true" ma:displayName="Legacy Document Type" ma:internalName="LegacyDocumentType">
      <xsd:simpleType>
        <xsd:restriction base="dms:Text">
          <xsd:maxLength value="255"/>
        </xsd:restriction>
      </xsd:simpleType>
    </xsd:element>
    <xsd:element name="LegacyFileplanTarget" ma:index="16" nillable="true" ma:displayName="Legacy Fileplan Target" ma:internalName="LegacyFileplanTarget">
      <xsd:simpleType>
        <xsd:restriction base="dms:Text">
          <xsd:maxLength value="255"/>
        </xsd:restriction>
      </xsd:simpleType>
    </xsd:element>
    <xsd:element name="LegacyNumericClass" ma:index="17" nillable="true" ma:displayName="Legacy Numeric Class" ma:internalName="LegacyNumericClass">
      <xsd:simpleType>
        <xsd:restriction base="dms:Text">
          <xsd:maxLength value="255"/>
        </xsd:restriction>
      </xsd:simpleType>
    </xsd:element>
    <xsd:element name="LegacyFolderType" ma:index="18" nillable="true" ma:displayName="Legacy Folder Type" ma:internalName="LegacyFolderType">
      <xsd:simpleType>
        <xsd:restriction base="dms:Text">
          <xsd:maxLength value="255"/>
        </xsd:restriction>
      </xsd:simpleType>
    </xsd:element>
    <xsd:element name="LegacyRecordFolderIdentifier" ma:index="19" nillable="true" ma:displayName="Legacy Record Folder Identifier" ma:internalName="LegacyRecordFolderIdentifier">
      <xsd:simpleType>
        <xsd:restriction base="dms:Text">
          <xsd:maxLength value="255"/>
        </xsd:restriction>
      </xsd:simpleType>
    </xsd:element>
    <xsd:element name="LegacyCopyright" ma:index="20" nillable="true" ma:displayName="Legacy Copyright" ma:internalName="LegacyCopyright">
      <xsd:simpleType>
        <xsd:restriction base="dms:Text">
          <xsd:maxLength value="255"/>
        </xsd:restriction>
      </xsd:simpleType>
    </xsd:element>
    <xsd:element name="LegacyLastModifiedDate" ma:index="21" nillable="true" ma:displayName="Legacy Last Modified Date" ma:format="DateTime" ma:internalName="LegacyLastModifiedDate">
      <xsd:simpleType>
        <xsd:restriction base="dms:DateTime"/>
      </xsd:simpleType>
    </xsd:element>
    <xsd:element name="LegacyModifier" ma:index="22" nillable="true" ma:displayName="Legacy Modifier" ma:SharePointGroup="0" ma:internalName="LegacyModifi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egacyFolder" ma:index="23" nillable="true" ma:displayName="Legacy Folder" ma:internalName="LegacyFolder">
      <xsd:simpleType>
        <xsd:restriction base="dms:Text">
          <xsd:maxLength value="255"/>
        </xsd:restriction>
      </xsd:simpleType>
    </xsd:element>
    <xsd:element name="LegacyContentType" ma:index="24" nillable="true" ma:displayName="Legacy Content Type" ma:internalName="LegacyContentType">
      <xsd:simpleType>
        <xsd:restriction base="dms:Text">
          <xsd:maxLength value="255"/>
        </xsd:restriction>
      </xsd:simpleType>
    </xsd:element>
    <xsd:element name="LegacyExpiryReviewDate" ma:index="25" nillable="true" ma:displayName="Legacy Expiry Review Date" ma:format="DateTime" ma:internalName="LegacyExpiryReviewDate">
      <xsd:simpleType>
        <xsd:restriction base="dms:DateTime"/>
      </xsd:simpleType>
    </xsd:element>
    <xsd:element name="LegacyLastActionDate" ma:index="26" nillable="true" ma:displayName="Legacy Last Action Date" ma:format="DateTime" ma:internalName="LegacyLastActionDate">
      <xsd:simpleType>
        <xsd:restriction base="dms:DateTime"/>
      </xsd:simpleType>
    </xsd:element>
    <xsd:element name="LegacyProtectiveMarking" ma:index="27" nillable="true" ma:displayName="Legacy Protective Marking" ma:internalName="LegacyProtectiveMarking">
      <xsd:simpleType>
        <xsd:restriction base="dms:Text">
          <xsd:maxLength value="255"/>
        </xsd:restriction>
      </xsd:simpleType>
    </xsd:element>
    <xsd:element name="LegacyTags" ma:index="28" nillable="true" ma:displayName="Legacy Tags" ma:internalName="LegacyTags">
      <xsd:simpleType>
        <xsd:restriction base="dms:Note">
          <xsd:maxLength value="255"/>
        </xsd:restriction>
      </xsd:simpleType>
    </xsd:element>
    <xsd:element name="LegacyReferencesFromOtherItems" ma:index="29" nillable="true" ma:displayName="Legacy References From Other Items" ma:internalName="LegacyReferencesFromOtherItems">
      <xsd:simpleType>
        <xsd:restriction base="dms:Text">
          <xsd:maxLength value="255"/>
        </xsd:restriction>
      </xsd:simpleType>
    </xsd:element>
    <xsd:element name="LegacyStatusonTransfer" ma:index="30" nillable="true" ma:displayName="Legacy Status on Transfer" ma:internalName="LegacyStatusonTransfer">
      <xsd:simpleType>
        <xsd:restriction base="dms:Text">
          <xsd:maxLength value="255"/>
        </xsd:restriction>
      </xsd:simpleType>
    </xsd:element>
    <xsd:element name="LegacyDateClosed" ma:index="31" nillable="true" ma:displayName="Legacy Date Closed" ma:format="DateOnly" ma:internalName="LegacyDateClosed">
      <xsd:simpleType>
        <xsd:restriction base="dms:DateTime"/>
      </xsd:simpleType>
    </xsd:element>
    <xsd:element name="LegacyRecordCategoryIdentifier" ma:index="32" nillable="true" ma:displayName="Legacy Record Category Identifier" ma:internalName="LegacyRecordCategoryIdentifier">
      <xsd:simpleType>
        <xsd:restriction base="dms:Text">
          <xsd:maxLength value="255"/>
        </xsd:restriction>
      </xsd:simpleType>
    </xsd:element>
    <xsd:element name="LegacyDispositionAsOfDate" ma:index="33" nillable="true" ma:displayName="Legacy Disposition as of Date" ma:format="DateOnly" ma:internalName="LegacyDispositionAsOfDate">
      <xsd:simpleType>
        <xsd:restriction base="dms:DateTime"/>
      </xsd:simpleType>
    </xsd:element>
    <xsd:element name="LegacyHomeLocation" ma:index="34" nillable="true" ma:displayName="Legacy Home Location" ma:internalName="LegacyHomeLocation">
      <xsd:simpleType>
        <xsd:restriction base="dms:Text">
          <xsd:maxLength value="255"/>
        </xsd:restriction>
      </xsd:simpleType>
    </xsd:element>
    <xsd:element name="LegacyCurrentLocation" ma:index="35" nillable="true" ma:displayName="Legacy Current Location" ma:internalName="LegacyCurrentLocation">
      <xsd:simpleType>
        <xsd:restriction base="dms:Text">
          <xsd:maxLength value="255"/>
        </xsd:restriction>
      </xsd:simpleType>
    </xsd:element>
    <xsd:element name="LegacyReferencesToOtherItems" ma:index="47" nillable="true" ma:displayName="Legacy References To Other Items" ma:internalName="LegacyReferencesToOtherItems">
      <xsd:simpleType>
        <xsd:restriction base="dms:Note">
          <xsd:maxLength value="255"/>
        </xsd:restriction>
      </xsd:simpleType>
    </xsd:element>
    <xsd:element name="LegacyCustodian" ma:index="48" nillable="true" ma:displayName="Legacy Custodian" ma:internalName="LegacyCustodian">
      <xsd:simpleType>
        <xsd:restriction base="dms:Note">
          <xsd:maxLength value="255"/>
        </xsd:restriction>
      </xsd:simpleType>
    </xsd:element>
    <xsd:element name="LegacyAdditionalAuthors" ma:index="49" nillable="true" ma:displayName="Legacy Additional Authors" ma:internalName="LegacyAdditionalAuthors">
      <xsd:simpleType>
        <xsd:restriction base="dms:Note">
          <xsd:maxLength value="255"/>
        </xsd:restriction>
      </xsd:simpleType>
    </xsd:element>
    <xsd:element name="LegacyDocumentLink" ma:index="50" nillable="true" ma:displayName="Legacy Document Link" ma:internalName="LegacyDocumentLink">
      <xsd:simpleType>
        <xsd:restriction base="dms:Text">
          <xsd:maxLength value="255"/>
        </xsd:restriction>
      </xsd:simpleType>
    </xsd:element>
    <xsd:element name="LegacyFolderLink" ma:index="51" nillable="true" ma:displayName="Legacy Folder Link" ma:internalName="LegacyFolder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3c3fd-5a3b-4239-b985-69032e371c04" elementFormDefault="qualified">
    <xsd:import namespace="http://schemas.microsoft.com/office/2006/documentManagement/types"/>
    <xsd:import namespace="http://schemas.microsoft.com/office/infopath/2007/PartnerControls"/>
    <xsd:element name="Document_x0020_Notes" ma:index="3" nillable="true" ma:displayName="Document Notes" ma:internalName="Document_0x0020_Notes">
      <xsd:simpleType>
        <xsd:restriction base="dms:Note">
          <xsd:maxLength value="255"/>
        </xsd:restriction>
      </xsd:simpleType>
    </xsd:element>
    <xsd:element name="Handling_x0020_Instructions" ma:index="5" nillable="true" ma:displayName="Handling Instructions" ma:internalName="Handling_x0020_Instructions">
      <xsd:simpleType>
        <xsd:restriction base="dms:Text">
          <xsd:maxLength value="255"/>
        </xsd:restriction>
      </xsd:simpleType>
    </xsd:element>
    <xsd:element name="Government_x0020_Body" ma:index="7" nillable="true" ma:displayName="Government Body" ma:default="BEIS" ma:internalName="Government_x0020_Body">
      <xsd:simpleType>
        <xsd:restriction base="dms:Text">
          <xsd:maxLength value="255"/>
        </xsd:restriction>
      </xsd:simpleType>
    </xsd:element>
    <xsd:element name="Date_x0020_Opened" ma:index="10" nillable="true" ma:displayName="Date Opened" ma:default="[Today]" ma:format="DateOnly" ma:internalName="Date_x0020_Opened">
      <xsd:simpleType>
        <xsd:restriction base="dms:DateTime"/>
      </xsd:simpleType>
    </xsd:element>
    <xsd:element name="Date_x0020_Closed" ma:index="11" nillable="true" ma:displayName="Date Closed" ma:format="DateOnly" ma:internalName="Date_x0020_Closed">
      <xsd:simpleType>
        <xsd:restriction base="dms:DateTime"/>
      </xsd:simpleType>
    </xsd:element>
    <xsd:element name="CIRRUSPreviousLocation" ma:index="13" nillable="true" ma:displayName="Previous Location" ma:description="The location the document previously resided in." ma:internalName="CIRRUSPreviousLocation">
      <xsd:simpleType>
        <xsd:restriction base="dms:Text">
          <xsd:maxLength value="255"/>
        </xsd:restriction>
      </xsd:simpleType>
    </xsd:element>
    <xsd:element name="CIRRUSPreviousID" ma:index="14" nillable="true" ma:displayName="Previous Id" ma:description="The id of the document in its previous location." ma:internalName="CIRRUSPreviousID">
      <xsd:simpleType>
        <xsd:restriction base="dms:Text">
          <xsd:maxLength value="255"/>
        </xsd:restriction>
      </xsd:simpleType>
    </xsd:element>
    <xsd:element name="CIRRUSPreviousRetentionPolicy" ma:index="65" nillable="true" ma:displayName="Previous Retention Policy" ma:description="The retention policy of the document in its previous location." ma:internalName="CIRRUSPreviousRetentionPolic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3f72e-ace3-48fb-9c1f-5b513408b31f" elementFormDefault="qualified">
    <xsd:import namespace="http://schemas.microsoft.com/office/2006/documentManagement/types"/>
    <xsd:import namespace="http://schemas.microsoft.com/office/infopath/2007/PartnerControls"/>
    <xsd:element name="Security_x0020_Classification" ma:index="4" nillable="true" ma:displayName="Security Classification" ma:default="OFFICIAL" ma:format="Dropdown" ma:indexed="true" ma:internalName="Security_x0020_Classification">
      <xsd:simpleType>
        <xsd:restriction base="dms:Choice">
          <xsd:enumeration value="OFFICIAL"/>
          <xsd:enumeration value="OFFICIAL - SENSITIVE"/>
        </xsd:restriction>
      </xsd:simpleType>
    </xsd:element>
    <xsd:element name="Descriptor" ma:index="6" nillable="true" ma:displayName="Descriptor" ma:default="" ma:format="Dropdown" ma:indexed="true" ma:internalName="Descriptor">
      <xsd:simpleType>
        <xsd:restriction base="dms:Choice">
          <xsd:enumeration value="COMMERCIAL"/>
          <xsd:enumeration value="PERSONAL"/>
          <xsd:enumeration value="LOCSEN"/>
        </xsd:restriction>
      </xsd:simpleType>
    </xsd:element>
    <xsd:element name="National_x0020_Caveat" ma:index="12" nillable="true" ma:displayName="National Caveat" ma:default="" ma:format="Dropdown" ma:indexed="true" ma:internalName="National_x0020_Caveat">
      <xsd:simpleType>
        <xsd:restriction base="dms:Choice">
          <xsd:enumeration value="UK EYES ONLY"/>
        </xsd:restriction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60" nillable="true" ma:displayName="Taxonomy Catch All Column" ma:hidden="true" ma:list="{7a443858-fa6e-4cf2-b840-4d0a346eeaf3}" ma:internalName="TaxCatchAll" ma:showField="CatchAllData" ma:web="0063f72e-ace3-48fb-9c1f-5b513408b3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1" nillable="true" ma:displayName="Taxonomy Catch All Column1" ma:hidden="true" ma:list="{7a443858-fa6e-4cf2-b840-4d0a346eeaf3}" ma:internalName="TaxCatchAllLabel" ma:readOnly="true" ma:showField="CatchAllDataLabel" ma:web="0063f72e-ace3-48fb-9c1f-5b513408b3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6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SharedWithUsers" ma:index="6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60570-4bd3-4f2b-950b-a996de8ab151" elementFormDefault="qualified">
    <xsd:import namespace="http://schemas.microsoft.com/office/2006/documentManagement/types"/>
    <xsd:import namespace="http://schemas.microsoft.com/office/infopath/2007/PartnerControls"/>
    <xsd:element name="Retention_x0020_Label" ma:index="9" nillable="true" ma:displayName="Retention Label" ma:internalName="Retention_x0020_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2083e-e40c-4314-b43a-827352a1ed2c" elementFormDefault="qualified">
    <xsd:import namespace="http://schemas.microsoft.com/office/2006/documentManagement/types"/>
    <xsd:import namespace="http://schemas.microsoft.com/office/infopath/2007/PartnerControls"/>
    <xsd:element name="LegacyDateFileReceived" ma:index="36" nillable="true" ma:displayName="Legacy Date File Received" ma:format="DateOnly" ma:internalName="LegacyDateFileReceived">
      <xsd:simpleType>
        <xsd:restriction base="dms:DateTime"/>
      </xsd:simpleType>
    </xsd:element>
    <xsd:element name="LegacyDateFileRequested" ma:index="37" nillable="true" ma:displayName="Legacy Date File Requested" ma:format="DateOnly" ma:internalName="LegacyDateFileRequested">
      <xsd:simpleType>
        <xsd:restriction base="dms:DateTime"/>
      </xsd:simpleType>
    </xsd:element>
    <xsd:element name="LegacyDateFileReturned" ma:index="38" nillable="true" ma:displayName="Legacy Date File Returned" ma:format="DateOnly" ma:internalName="LegacyDateFileReturned">
      <xsd:simpleType>
        <xsd:restriction base="dms:DateTime"/>
      </xsd:simpleType>
    </xsd:element>
    <xsd:element name="LegacyMinister" ma:index="39" nillable="true" ma:displayName="Legacy Minister" ma:internalName="LegacyMinister">
      <xsd:simpleType>
        <xsd:restriction base="dms:Text">
          <xsd:maxLength value="255"/>
        </xsd:restriction>
      </xsd:simpleType>
    </xsd:element>
    <xsd:element name="LegacyMP" ma:index="40" nillable="true" ma:displayName="Legacy MP" ma:internalName="LegacyMP">
      <xsd:simpleType>
        <xsd:restriction base="dms:Text">
          <xsd:maxLength value="255"/>
        </xsd:restriction>
      </xsd:simpleType>
    </xsd:element>
    <xsd:element name="LegacyFolderNotes" ma:index="41" nillable="true" ma:displayName="Legacy Folder Notes" ma:internalName="LegacyFolderNotes">
      <xsd:simpleType>
        <xsd:restriction base="dms:Note">
          <xsd:maxLength value="255"/>
        </xsd:restriction>
      </xsd:simpleType>
    </xsd:element>
    <xsd:element name="LegacyPhysicalItemLocation" ma:index="42" nillable="true" ma:displayName="Legacy Physical Item Location" ma:format="Dropdown" ma:internalName="LegacyPhysicalItemLocation">
      <xsd:simpleType>
        <xsd:restriction base="dms:Choice">
          <xsd:enumeration value="Off-Site"/>
          <xsd:enumeration value="TNA"/>
          <xsd:enumeration value="DECC"/>
        </xsd:restriction>
      </xsd:simpleType>
    </xsd:element>
    <xsd:element name="LegacyRequestType" ma:index="43" nillable="true" ma:displayName="Legacy Request Type" ma:format="Dropdown" ma:internalName="LegacyRequestType">
      <xsd:simpleType>
        <xsd:restriction base="dms:Choice">
          <xsd:enumeration value="FOI"/>
          <xsd:enumeration value="EIR"/>
          <xsd:enumeration value="PQ"/>
          <xsd:enumeration value="MC"/>
        </xsd:restriction>
      </xsd:simpleType>
    </xsd:element>
    <xsd:element name="LegacyDescriptor" ma:index="44" nillable="true" ma:displayName="Legacy Descriptor" ma:internalName="LegacyDescriptor">
      <xsd:simpleType>
        <xsd:restriction base="dms:Note">
          <xsd:maxLength value="255"/>
        </xsd:restriction>
      </xsd:simpleType>
    </xsd:element>
    <xsd:element name="LegacyFolderDocumentID" ma:index="45" nillable="true" ma:displayName="Legacy Folder Document ID" ma:internalName="LegacyFolderDocumentID">
      <xsd:simpleType>
        <xsd:restriction base="dms:Text">
          <xsd:maxLength value="255"/>
        </xsd:restriction>
      </xsd:simpleType>
    </xsd:element>
    <xsd:element name="LegacyDocumentID" ma:index="46" nillable="true" ma:displayName="Legacy Document ID" ma:internalName="LegacyDocumentID">
      <xsd:simpleType>
        <xsd:restriction base="dms:Text">
          <xsd:maxLength value="255"/>
        </xsd:restriction>
      </xsd:simpleType>
    </xsd:element>
    <xsd:element name="LegacyPhysicalFormat" ma:index="52" nillable="true" ma:displayName="Legacy Physical Format" ma:default="0" ma:internalName="LegacyPhysicalFormat">
      <xsd:simpleType>
        <xsd:restriction base="dms:Boolean"/>
      </xsd:simpleType>
    </xsd:element>
    <xsd:element name="LegacyCaseReferenceNumber" ma:index="66" nillable="true" ma:displayName="Legacy Case Reference Number" ma:internalName="LegacyCaseReferenceNumber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3a4c1-1bb4-49f2-a011-9c776a7eed2a" elementFormDefault="qualified">
    <xsd:import namespace="http://schemas.microsoft.com/office/2006/documentManagement/types"/>
    <xsd:import namespace="http://schemas.microsoft.com/office/infopath/2007/PartnerControls"/>
    <xsd:element name="m975189f4ba442ecbf67d4147307b177" ma:index="59" nillable="true" ma:taxonomy="true" ma:internalName="m975189f4ba442ecbf67d4147307b177" ma:taxonomyFieldName="Business_x0020_Unit" ma:displayName="Business Unit" ma:default="" ma:fieldId="{6975189f-4ba4-42ec-bf67-d4147307b177}" ma:sspId="9b0aeba9-2bce-41c2-8545-5d12d676a674" ma:termSetId="6f71e40e-3a2e-4baf-91d9-2069eb35453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e830d-1b7f-4c7c-9921-930647d8ff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7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72" nillable="true" ma:displayName="Tags" ma:internalName="MediaServiceAutoTags" ma:readOnly="true">
      <xsd:simpleType>
        <xsd:restriction base="dms:Text"/>
      </xsd:simpleType>
    </xsd:element>
    <xsd:element name="MediaServiceOCR" ma:index="7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7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7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7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ernment_x0020_Body xmlns="b413c3fd-5a3b-4239-b985-69032e371c04">BEIS</Government_x0020_Body>
    <Date_x0020_Opened xmlns="b413c3fd-5a3b-4239-b985-69032e371c04">2020-03-16T08:54:25+00:00</Date_x0020_Opened>
    <LegacyRecordCategoryIdentifier xmlns="b67a7830-db79-4a49-bf27-2aff92a2201a" xsi:nil="true"/>
    <LegacyDateFileRequested xmlns="a172083e-e40c-4314-b43a-827352a1ed2c" xsi:nil="true"/>
    <LegacyFolderType xmlns="b67a7830-db79-4a49-bf27-2aff92a2201a" xsi:nil="true"/>
    <LegacyRecordFolderIdentifier xmlns="b67a7830-db79-4a49-bf27-2aff92a2201a" xsi:nil="true"/>
    <LegacyFolder xmlns="b67a7830-db79-4a49-bf27-2aff92a2201a" xsi:nil="true"/>
    <LegacyMP xmlns="a172083e-e40c-4314-b43a-827352a1ed2c" xsi:nil="true"/>
    <LegacyDocumentID xmlns="a172083e-e40c-4314-b43a-827352a1ed2c" xsi:nil="true"/>
    <LegacyFolderDocumentID xmlns="a172083e-e40c-4314-b43a-827352a1ed2c" xsi:nil="true"/>
    <ExternallyShared xmlns="b67a7830-db79-4a49-bf27-2aff92a2201a" xsi:nil="true"/>
    <Descriptor xmlns="0063f72e-ace3-48fb-9c1f-5b513408b31f" xsi:nil="true"/>
    <LegacyDateFileReceived xmlns="a172083e-e40c-4314-b43a-827352a1ed2c" xsi:nil="true"/>
    <LegacyFolderLink xmlns="b67a7830-db79-4a49-bf27-2aff92a2201a" xsi:nil="true"/>
    <Document_x0020_Notes xmlns="b413c3fd-5a3b-4239-b985-69032e371c04" xsi:nil="true"/>
    <LegacyAdditionalAuthors xmlns="b67a7830-db79-4a49-bf27-2aff92a2201a" xsi:nil="true"/>
    <LegacyDocumentLink xmlns="b67a7830-db79-4a49-bf27-2aff92a2201a" xsi:nil="true"/>
    <CIRRUSPreviousLocation xmlns="b413c3fd-5a3b-4239-b985-69032e371c04" xsi:nil="true"/>
    <LegacyPhysicalItemLocation xmlns="a172083e-e40c-4314-b43a-827352a1ed2c" xsi:nil="true"/>
    <LegacyRequestType xmlns="a172083e-e40c-4314-b43a-827352a1ed2c" xsi:nil="true"/>
    <LegacyDescriptor xmlns="a172083e-e40c-4314-b43a-827352a1ed2c" xsi:nil="true"/>
    <LegacyLastModifiedDate xmlns="b67a7830-db79-4a49-bf27-2aff92a2201a" xsi:nil="true"/>
    <LegacyDateClosed xmlns="b67a7830-db79-4a49-bf27-2aff92a2201a" xsi:nil="true"/>
    <LegacyHomeLocation xmlns="b67a7830-db79-4a49-bf27-2aff92a2201a" xsi:nil="true"/>
    <LegacyExpiryReviewDate xmlns="b67a7830-db79-4a49-bf27-2aff92a2201a" xsi:nil="true"/>
    <LegacyPhysicalFormat xmlns="a172083e-e40c-4314-b43a-827352a1ed2c">false</LegacyPhysicalFormat>
    <LegacyDocumentType xmlns="b67a7830-db79-4a49-bf27-2aff92a2201a" xsi:nil="true"/>
    <LegacyReferencesFromOtherItems xmlns="b67a7830-db79-4a49-bf27-2aff92a2201a" xsi:nil="true"/>
    <LegacyLastActionDate xmlns="b67a7830-db79-4a49-bf27-2aff92a2201a" xsi:nil="true"/>
    <m975189f4ba442ecbf67d4147307b177 xmlns="c963a4c1-1bb4-49f2-a011-9c776a7eed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 and Strategy</TermName>
          <TermId xmlns="http://schemas.microsoft.com/office/infopath/2007/PartnerControls">4c25bfa1-5332-4560-a792-2cdac7b8f232</TermId>
        </TermInfo>
      </Terms>
    </m975189f4ba442ecbf67d4147307b177>
    <Security_x0020_Classification xmlns="0063f72e-ace3-48fb-9c1f-5b513408b31f">OFFICIAL</Security_x0020_Classification>
    <CIRRUSPreviousID xmlns="b413c3fd-5a3b-4239-b985-69032e371c04" xsi:nil="true"/>
    <LegacyModifier xmlns="b67a7830-db79-4a49-bf27-2aff92a2201a">
      <UserInfo>
        <DisplayName/>
        <AccountId xsi:nil="true"/>
        <AccountType/>
      </UserInfo>
    </LegacyModifier>
    <LegacyStatusonTransfer xmlns="b67a7830-db79-4a49-bf27-2aff92a2201a" xsi:nil="true"/>
    <LegacyDispositionAsOfDate xmlns="b67a7830-db79-4a49-bf27-2aff92a2201a" xsi:nil="true"/>
    <LegacyMinister xmlns="a172083e-e40c-4314-b43a-827352a1ed2c" xsi:nil="true"/>
    <CIRRUSPreviousRetentionPolicy xmlns="b413c3fd-5a3b-4239-b985-69032e371c04" xsi:nil="true"/>
    <LegacyFileplanTarget xmlns="b67a7830-db79-4a49-bf27-2aff92a2201a" xsi:nil="true"/>
    <LegacyContentType xmlns="b67a7830-db79-4a49-bf27-2aff92a2201a" xsi:nil="true"/>
    <LegacyCustodian xmlns="b67a7830-db79-4a49-bf27-2aff92a2201a" xsi:nil="true"/>
    <National_x0020_Caveat xmlns="0063f72e-ace3-48fb-9c1f-5b513408b31f" xsi:nil="true"/>
    <LegacyProtectiveMarking xmlns="b67a7830-db79-4a49-bf27-2aff92a2201a" xsi:nil="true"/>
    <LegacyDateFileReturned xmlns="a172083e-e40c-4314-b43a-827352a1ed2c" xsi:nil="true"/>
    <LegacyReferencesToOtherItems xmlns="b67a7830-db79-4a49-bf27-2aff92a2201a" xsi:nil="true"/>
    <Retention_x0020_Label xmlns="a8f60570-4bd3-4f2b-950b-a996de8ab151">HMG PPP Review</Retention_x0020_Label>
    <LegacyCopyright xmlns="b67a7830-db79-4a49-bf27-2aff92a2201a" xsi:nil="true"/>
    <LegacyCaseReferenceNumber xmlns="a172083e-e40c-4314-b43a-827352a1ed2c" xsi:nil="true"/>
    <Handling_x0020_Instructions xmlns="b413c3fd-5a3b-4239-b985-69032e371c04" xsi:nil="true"/>
    <Date_x0020_Closed xmlns="b413c3fd-5a3b-4239-b985-69032e371c04" xsi:nil="true"/>
    <LegacyTags xmlns="b67a7830-db79-4a49-bf27-2aff92a2201a" xsi:nil="true"/>
    <LegacyFolderNotes xmlns="a172083e-e40c-4314-b43a-827352a1ed2c" xsi:nil="true"/>
    <TaxCatchAll xmlns="0063f72e-ace3-48fb-9c1f-5b513408b31f">
      <Value>45</Value>
    </TaxCatchAll>
    <LegacyNumericClass xmlns="b67a7830-db79-4a49-bf27-2aff92a2201a" xsi:nil="true"/>
    <LegacyCurrentLocation xmlns="b67a7830-db79-4a49-bf27-2aff92a2201a" xsi:nil="true"/>
    <_dlc_DocId xmlns="0063f72e-ace3-48fb-9c1f-5b513408b31f">2QFN7KK647Q6-44747775-323202</_dlc_DocId>
    <_dlc_DocIdUrl xmlns="0063f72e-ace3-48fb-9c1f-5b513408b31f">
      <Url>https://beisgov.sharepoint.com/sites/beis/345/_layouts/15/DocIdRedir.aspx?ID=2QFN7KK647Q6-44747775-323202</Url>
      <Description>2QFN7KK647Q6-44747775-323202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D4A3D-6761-4E7D-A69C-6DE3EEDDE1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7a7830-db79-4a49-bf27-2aff92a2201a"/>
    <ds:schemaRef ds:uri="b413c3fd-5a3b-4239-b985-69032e371c04"/>
    <ds:schemaRef ds:uri="0063f72e-ace3-48fb-9c1f-5b513408b31f"/>
    <ds:schemaRef ds:uri="a8f60570-4bd3-4f2b-950b-a996de8ab151"/>
    <ds:schemaRef ds:uri="a172083e-e40c-4314-b43a-827352a1ed2c"/>
    <ds:schemaRef ds:uri="c963a4c1-1bb4-49f2-a011-9c776a7eed2a"/>
    <ds:schemaRef ds:uri="c51e830d-1b7f-4c7c-9921-930647d8f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46F737-0E16-4B41-9829-12305E0AA3FC}">
  <ds:schemaRefs>
    <ds:schemaRef ds:uri="http://schemas.microsoft.com/office/2006/metadata/properties"/>
    <ds:schemaRef ds:uri="http://schemas.microsoft.com/office/infopath/2007/PartnerControls"/>
    <ds:schemaRef ds:uri="b413c3fd-5a3b-4239-b985-69032e371c04"/>
    <ds:schemaRef ds:uri="b67a7830-db79-4a49-bf27-2aff92a2201a"/>
    <ds:schemaRef ds:uri="a172083e-e40c-4314-b43a-827352a1ed2c"/>
    <ds:schemaRef ds:uri="0063f72e-ace3-48fb-9c1f-5b513408b31f"/>
    <ds:schemaRef ds:uri="c963a4c1-1bb4-49f2-a011-9c776a7eed2a"/>
    <ds:schemaRef ds:uri="a8f60570-4bd3-4f2b-950b-a996de8ab151"/>
  </ds:schemaRefs>
</ds:datastoreItem>
</file>

<file path=customXml/itemProps3.xml><?xml version="1.0" encoding="utf-8"?>
<ds:datastoreItem xmlns:ds="http://schemas.openxmlformats.org/officeDocument/2006/customXml" ds:itemID="{B55E3BFC-F006-47C2-B861-899113A70B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EF6482-6472-4117-A708-CDB49B1FF7E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34C6FB9-BC48-497F-AF0F-A54A0FF0B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