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11FDC" w:rsidRPr="00583864" w:rsidP="005E5997">
      <w:pPr>
        <w:jc w:val="center"/>
        <w:rPr>
          <w:rFonts w:ascii="Arial" w:hAnsi="Arial" w:cs="Arial"/>
          <w:b/>
          <w:bCs/>
          <w:sz w:val="32"/>
          <w:szCs w:val="32"/>
        </w:rPr>
      </w:pPr>
      <w:r w:rsidRPr="00583864">
        <w:rPr>
          <w:rFonts w:ascii="Arial" w:hAnsi="Arial" w:cs="Arial"/>
          <w:b/>
          <w:bCs/>
          <w:sz w:val="32"/>
          <w:szCs w:val="32"/>
        </w:rPr>
        <w:t>The Lords Science and Technology Committee’s Inquiry into the Role of Batteries and Fuel Cells in Net Zero</w:t>
      </w:r>
      <w:r w:rsidRPr="00583864" w:rsidR="009E2DDD">
        <w:rPr>
          <w:rFonts w:ascii="Arial" w:hAnsi="Arial" w:cs="Arial"/>
          <w:b/>
          <w:bCs/>
          <w:sz w:val="32"/>
          <w:szCs w:val="32"/>
        </w:rPr>
        <w:t>: Government Response.</w:t>
      </w:r>
    </w:p>
    <w:p w:rsidR="00DD7D29" w:rsidRPr="00583864" w:rsidP="005E5997">
      <w:pPr>
        <w:jc w:val="both"/>
        <w:rPr>
          <w:rFonts w:ascii="Arial" w:hAnsi="Arial" w:cs="Arial"/>
          <w:sz w:val="24"/>
          <w:szCs w:val="24"/>
        </w:rPr>
      </w:pPr>
    </w:p>
    <w:p w:rsidR="008005FE" w:rsidRPr="00583864" w:rsidP="005E5997">
      <w:pPr>
        <w:pStyle w:val="ListParagraph"/>
        <w:numPr>
          <w:ilvl w:val="0"/>
          <w:numId w:val="2"/>
        </w:numPr>
        <w:jc w:val="both"/>
        <w:rPr>
          <w:rFonts w:ascii="Arial" w:hAnsi="Arial" w:cs="Arial"/>
          <w:sz w:val="24"/>
          <w:szCs w:val="24"/>
        </w:rPr>
      </w:pPr>
      <w:r w:rsidRPr="00583864">
        <w:rPr>
          <w:rFonts w:ascii="Arial" w:hAnsi="Arial" w:cs="Arial"/>
          <w:b/>
          <w:bCs/>
          <w:sz w:val="24"/>
          <w:szCs w:val="24"/>
        </w:rPr>
        <w:t>Government support to develop UK supply chains and secure raw materials for battery manufacture</w:t>
      </w:r>
      <w:r w:rsidRPr="00583864">
        <w:rPr>
          <w:rFonts w:ascii="Arial" w:hAnsi="Arial" w:cs="Arial"/>
          <w:sz w:val="24"/>
          <w:szCs w:val="24"/>
        </w:rPr>
        <w:t>, ahead of UK-EU ‘Rules of Origin’ coming into force in 2027 that could cause manufacture to move to the EU.</w:t>
      </w:r>
    </w:p>
    <w:p w:rsidR="008005FE" w:rsidRPr="00583864" w:rsidP="005E5997">
      <w:pPr>
        <w:jc w:val="both"/>
        <w:rPr>
          <w:rFonts w:ascii="Arial" w:hAnsi="Arial" w:cs="Arial"/>
          <w:sz w:val="24"/>
          <w:szCs w:val="24"/>
        </w:rPr>
      </w:pPr>
      <w:r w:rsidRPr="00583864">
        <w:rPr>
          <w:rFonts w:ascii="Arial" w:hAnsi="Arial" w:cs="Arial"/>
          <w:sz w:val="24"/>
          <w:szCs w:val="24"/>
        </w:rPr>
        <w:t xml:space="preserve">The negotiated outcome on Rules of Origin for electrified vehicles and batteries in the UK-EU Trade and Cooperation Agreement (TCA) is phased to allow local supply chains develop, supporting the industry through its transition to electrification. </w:t>
      </w:r>
    </w:p>
    <w:p w:rsidR="008005FE" w:rsidRPr="00583864" w:rsidP="005E5997">
      <w:pPr>
        <w:jc w:val="both"/>
        <w:rPr>
          <w:rFonts w:ascii="Arial" w:hAnsi="Arial" w:cs="Arial"/>
          <w:sz w:val="24"/>
          <w:szCs w:val="24"/>
        </w:rPr>
      </w:pPr>
      <w:r w:rsidRPr="00583864">
        <w:rPr>
          <w:rFonts w:ascii="Arial" w:hAnsi="Arial" w:cs="Arial"/>
          <w:sz w:val="24"/>
          <w:szCs w:val="24"/>
        </w:rPr>
        <w:t>Government is committed to supporting the automotive sector through the transition to zero emission vehicles and the development of the associated supply chains, including through the Automotive Transformation Fund (ATF) to support the automotive sector to meet the Rules of Origin provision. £500m of the ATF has been made available over the next four years and is the first part of the up to £1 billion committed by Government to ensure that the UK takes advantage of this once in a generation opportunity. The ATF supports R&amp;D and capital investments in the UK across strategically important parts of the electric vehicle supply chain.</w:t>
      </w:r>
    </w:p>
    <w:p w:rsidR="008005FE" w:rsidRPr="00583864" w:rsidP="005E5997">
      <w:pPr>
        <w:jc w:val="both"/>
        <w:rPr>
          <w:rFonts w:ascii="Arial" w:hAnsi="Arial" w:cs="Arial"/>
          <w:sz w:val="24"/>
          <w:szCs w:val="24"/>
        </w:rPr>
      </w:pPr>
      <w:r w:rsidRPr="00583864">
        <w:rPr>
          <w:rFonts w:ascii="Arial" w:hAnsi="Arial" w:cs="Arial"/>
          <w:sz w:val="24"/>
          <w:szCs w:val="24"/>
        </w:rPr>
        <w:t>Government is also committed to identifying and securing critical minerals and metals required to reach net zero by 2050. This includes those materials required for the manufacture of batteries and magnets for electric vehicles.</w:t>
      </w:r>
    </w:p>
    <w:p w:rsidR="008005FE" w:rsidRPr="00583864" w:rsidP="005E5997">
      <w:pPr>
        <w:jc w:val="both"/>
        <w:rPr>
          <w:rFonts w:ascii="Arial" w:hAnsi="Arial" w:cs="Arial"/>
          <w:sz w:val="24"/>
          <w:szCs w:val="24"/>
        </w:rPr>
      </w:pPr>
      <w:r w:rsidRPr="00583864">
        <w:rPr>
          <w:rFonts w:ascii="Arial" w:hAnsi="Arial" w:cs="Arial"/>
          <w:sz w:val="24"/>
          <w:szCs w:val="24"/>
        </w:rPr>
        <w:t xml:space="preserve">The UK already has a strong chemical sector and features world leading chemicals businesses who currently supply the foundation materials used by the major battery makers. The UK’s world leading </w:t>
      </w:r>
      <w:r w:rsidRPr="00583864">
        <w:rPr>
          <w:rFonts w:ascii="Arial" w:hAnsi="Arial" w:cs="Arial"/>
          <w:sz w:val="24"/>
          <w:szCs w:val="24"/>
        </w:rPr>
        <w:t>chemical</w:t>
      </w:r>
      <w:r w:rsidRPr="00583864">
        <w:rPr>
          <w:rFonts w:ascii="Arial" w:hAnsi="Arial" w:cs="Arial"/>
          <w:sz w:val="24"/>
          <w:szCs w:val="24"/>
        </w:rPr>
        <w:t xml:space="preserve"> and materials suppliers are well placed to benefit from the increased demand for Lithium-ion batteries, with the Advanced Propulsion Centre (APC) research forecasting a £4.8bn a year supply chain opportunity by 2030.</w:t>
      </w:r>
    </w:p>
    <w:p w:rsidR="008005FE" w:rsidRPr="00583864" w:rsidP="005E5997">
      <w:pPr>
        <w:jc w:val="both"/>
        <w:rPr>
          <w:rFonts w:ascii="Arial" w:hAnsi="Arial" w:cs="Arial"/>
          <w:sz w:val="24"/>
          <w:szCs w:val="24"/>
        </w:rPr>
      </w:pPr>
      <w:r w:rsidRPr="00583864">
        <w:rPr>
          <w:rFonts w:ascii="Arial" w:hAnsi="Arial" w:cs="Arial"/>
          <w:sz w:val="24"/>
          <w:szCs w:val="24"/>
        </w:rPr>
        <w:t>The Government is also investing in two new interdisciplinary circular economy centres as part of a wider £22.5 million investment. The UK Research and Innovation’s interdisciplinary circular economy centres for technology metals and for circular metals are helping to explore how re-using waste materials can deliver environmental benefits as well as improving security of supply.</w:t>
      </w:r>
    </w:p>
    <w:p w:rsidR="005E5997" w:rsidP="005E5997">
      <w:pPr>
        <w:jc w:val="both"/>
        <w:rPr>
          <w:rFonts w:ascii="Arial" w:hAnsi="Arial" w:cs="Arial"/>
          <w:sz w:val="24"/>
          <w:szCs w:val="24"/>
        </w:rPr>
      </w:pPr>
      <w:r w:rsidRPr="00583864">
        <w:rPr>
          <w:rFonts w:ascii="Arial" w:hAnsi="Arial" w:cs="Arial"/>
          <w:sz w:val="24"/>
          <w:szCs w:val="24"/>
        </w:rPr>
        <w:t xml:space="preserve">We will continue to engage closely with stakeholders to ensure the UK remains a competitive location for investment, including on specific projects across the critical mineral supply chain. More broadly, Government continues to develop our delivery </w:t>
      </w:r>
      <w:r w:rsidRPr="00583864">
        <w:rPr>
          <w:rFonts w:ascii="Arial" w:hAnsi="Arial" w:cs="Arial"/>
          <w:sz w:val="24"/>
          <w:szCs w:val="24"/>
        </w:rPr>
        <w:t>in the area of</w:t>
      </w:r>
      <w:r w:rsidRPr="00583864">
        <w:rPr>
          <w:rFonts w:ascii="Arial" w:hAnsi="Arial" w:cs="Arial"/>
          <w:sz w:val="24"/>
          <w:szCs w:val="24"/>
        </w:rPr>
        <w:t xml:space="preserve"> critical minerals and raw materials. A cross-government group at senior official level is overseeing our work in this area, as we establish the best way to deliver and communicate our position more broadly, in the run-up to COP26 and beyond.</w:t>
      </w:r>
    </w:p>
    <w:p w:rsidR="00583864" w:rsidRPr="00583864" w:rsidP="005E5997">
      <w:pPr>
        <w:jc w:val="both"/>
        <w:rPr>
          <w:rFonts w:ascii="Arial" w:hAnsi="Arial" w:cs="Arial"/>
          <w:sz w:val="24"/>
          <w:szCs w:val="24"/>
        </w:rPr>
      </w:pPr>
    </w:p>
    <w:p w:rsidR="00912A67" w:rsidRPr="00583864" w:rsidP="005E5997">
      <w:pPr>
        <w:pStyle w:val="ListParagraph"/>
        <w:numPr>
          <w:ilvl w:val="0"/>
          <w:numId w:val="2"/>
        </w:numPr>
        <w:jc w:val="both"/>
        <w:rPr>
          <w:rFonts w:ascii="Arial" w:hAnsi="Arial" w:cs="Arial"/>
          <w:sz w:val="24"/>
          <w:szCs w:val="24"/>
        </w:rPr>
      </w:pPr>
      <w:r w:rsidRPr="00583864">
        <w:rPr>
          <w:rFonts w:ascii="Arial" w:hAnsi="Arial" w:cs="Arial"/>
          <w:b/>
          <w:bCs/>
          <w:sz w:val="24"/>
          <w:szCs w:val="24"/>
        </w:rPr>
        <w:t>Government action to ensure the automotive sector has sufficient skilled workers for its transition from mechanical to electrical technology</w:t>
      </w:r>
      <w:r w:rsidRPr="00583864">
        <w:rPr>
          <w:rFonts w:ascii="Arial" w:hAnsi="Arial" w:cs="Arial"/>
          <w:sz w:val="24"/>
          <w:szCs w:val="24"/>
        </w:rPr>
        <w:t>, including through training, upskilling and immigration.</w:t>
      </w:r>
    </w:p>
    <w:p w:rsidR="008005FE" w:rsidRPr="00583864" w:rsidP="005E5997">
      <w:pPr>
        <w:pStyle w:val="ListParagraph"/>
        <w:jc w:val="both"/>
        <w:rPr>
          <w:rFonts w:ascii="Arial" w:hAnsi="Arial" w:cs="Arial"/>
          <w:sz w:val="24"/>
          <w:szCs w:val="24"/>
        </w:rPr>
      </w:pPr>
    </w:p>
    <w:p w:rsidR="008005FE" w:rsidRPr="00583864" w:rsidP="005E5997">
      <w:pPr>
        <w:jc w:val="both"/>
        <w:rPr>
          <w:rFonts w:ascii="Arial" w:hAnsi="Arial" w:cs="Arial"/>
          <w:sz w:val="24"/>
          <w:szCs w:val="24"/>
        </w:rPr>
      </w:pPr>
      <w:r w:rsidRPr="00583864">
        <w:rPr>
          <w:rFonts w:ascii="Arial" w:hAnsi="Arial" w:cs="Arial"/>
          <w:sz w:val="24"/>
          <w:szCs w:val="24"/>
        </w:rPr>
        <w:t xml:space="preserve">The Government is committed to safeguarding and growing the 149,000 jobs in the automotive sector across the UK. Ensuring that the sector has sufficient skilled workers to enable the transition of the sector towards net zero is a key priority and Government is engaging closely with industry to consider further action needed, including through the Automotive Council Skills Working Group. This work has included mapping future skills requirements and training provision, focussing on the skills required for electrification, </w:t>
      </w:r>
      <w:r w:rsidRPr="00583864">
        <w:rPr>
          <w:rFonts w:ascii="Arial" w:hAnsi="Arial" w:cs="Arial"/>
          <w:sz w:val="24"/>
          <w:szCs w:val="24"/>
        </w:rPr>
        <w:t>connected</w:t>
      </w:r>
      <w:r w:rsidRPr="00583864">
        <w:rPr>
          <w:rFonts w:ascii="Arial" w:hAnsi="Arial" w:cs="Arial"/>
          <w:sz w:val="24"/>
          <w:szCs w:val="24"/>
        </w:rPr>
        <w:t xml:space="preserve"> and automated mobility, and digitalisation.</w:t>
      </w:r>
    </w:p>
    <w:p w:rsidR="008005FE" w:rsidRPr="00583864" w:rsidP="005E5997">
      <w:pPr>
        <w:jc w:val="both"/>
        <w:rPr>
          <w:rFonts w:ascii="Arial" w:hAnsi="Arial" w:cs="Arial"/>
          <w:sz w:val="24"/>
          <w:szCs w:val="24"/>
        </w:rPr>
      </w:pPr>
      <w:r w:rsidRPr="00583864">
        <w:rPr>
          <w:rFonts w:ascii="Arial" w:hAnsi="Arial" w:cs="Arial"/>
          <w:sz w:val="24"/>
          <w:szCs w:val="24"/>
        </w:rPr>
        <w:t>Government has several skills-related initiatives which are helping to bolster the number of skilled workers required for the transition. The Green Jobs Taskforce comprises representatives from industry, industry bodies, trade unions, education and government and is developing a long-term plan that charts out the skills needed to help deliver a net zero economy. The Taskforce’s report was published on 14th July 2021 and will feed into the Government’s development of its ambitious Net Zero Strategy, due to be published ahead of the UN’s climate summit COP26 in Glasgow this November.</w:t>
      </w:r>
    </w:p>
    <w:p w:rsidR="008005FE" w:rsidRPr="00583864" w:rsidP="005E5997">
      <w:pPr>
        <w:jc w:val="both"/>
        <w:rPr>
          <w:rFonts w:ascii="Arial" w:hAnsi="Arial" w:cs="Arial"/>
          <w:sz w:val="24"/>
          <w:szCs w:val="24"/>
        </w:rPr>
      </w:pPr>
      <w:r w:rsidRPr="00583864">
        <w:rPr>
          <w:rFonts w:ascii="Arial" w:hAnsi="Arial" w:cs="Arial"/>
          <w:sz w:val="24"/>
          <w:szCs w:val="24"/>
        </w:rPr>
        <w:t xml:space="preserve">Additional skills programmes to help people thrive in the new green </w:t>
      </w:r>
      <w:r w:rsidRPr="00583864">
        <w:rPr>
          <w:rFonts w:ascii="Arial" w:hAnsi="Arial" w:cs="Arial"/>
          <w:sz w:val="24"/>
          <w:szCs w:val="24"/>
        </w:rPr>
        <w:t>jobs</w:t>
      </w:r>
      <w:r w:rsidRPr="00583864">
        <w:rPr>
          <w:rFonts w:ascii="Arial" w:hAnsi="Arial" w:cs="Arial"/>
          <w:sz w:val="24"/>
          <w:szCs w:val="24"/>
        </w:rPr>
        <w:t xml:space="preserve"> economy include: </w:t>
      </w:r>
    </w:p>
    <w:p w:rsidR="008005FE" w:rsidRPr="00583864" w:rsidP="005E5997">
      <w:pPr>
        <w:pStyle w:val="ListParagraph"/>
        <w:numPr>
          <w:ilvl w:val="0"/>
          <w:numId w:val="5"/>
        </w:numPr>
        <w:jc w:val="both"/>
        <w:rPr>
          <w:rFonts w:ascii="Arial" w:hAnsi="Arial" w:cs="Arial"/>
          <w:sz w:val="24"/>
          <w:szCs w:val="24"/>
        </w:rPr>
      </w:pPr>
      <w:r w:rsidRPr="00583864">
        <w:rPr>
          <w:rFonts w:ascii="Arial" w:hAnsi="Arial" w:cs="Arial"/>
          <w:sz w:val="24"/>
          <w:szCs w:val="24"/>
        </w:rPr>
        <w:t xml:space="preserve">Electrification skills: The Department for Education’s Emerging Skills Electrification Project aims to encourage the adoption of cutting-edge skills in electrification technologies. UKRI’s Driving the Electric Revolution (DER) Challenge seeks to fill the skills gap by retraining, upskilling and repurposing engineers from traditional internal combustion businesses into PEMD supply chains. The Faraday Institute is heavily engaged in </w:t>
      </w:r>
      <w:r w:rsidRPr="00583864">
        <w:rPr>
          <w:rFonts w:ascii="Arial" w:hAnsi="Arial" w:cs="Arial"/>
          <w:sz w:val="24"/>
          <w:szCs w:val="24"/>
        </w:rPr>
        <w:t>foresighting</w:t>
      </w:r>
      <w:r w:rsidRPr="00583864">
        <w:rPr>
          <w:rFonts w:ascii="Arial" w:hAnsi="Arial" w:cs="Arial"/>
          <w:sz w:val="24"/>
          <w:szCs w:val="24"/>
        </w:rPr>
        <w:t xml:space="preserve"> work to assess current electrification capability with the aim of identifying future skills needs, gaps in delivery of training and skills provision.</w:t>
      </w:r>
    </w:p>
    <w:p w:rsidR="008005FE" w:rsidRPr="00583864" w:rsidP="005E5997">
      <w:pPr>
        <w:pStyle w:val="ListParagraph"/>
        <w:numPr>
          <w:ilvl w:val="0"/>
          <w:numId w:val="5"/>
        </w:numPr>
        <w:jc w:val="both"/>
        <w:rPr>
          <w:rFonts w:ascii="Arial" w:hAnsi="Arial" w:cs="Arial"/>
          <w:sz w:val="24"/>
          <w:szCs w:val="24"/>
        </w:rPr>
      </w:pPr>
      <w:r w:rsidRPr="00583864">
        <w:rPr>
          <w:rFonts w:ascii="Arial" w:hAnsi="Arial" w:cs="Arial"/>
          <w:sz w:val="24"/>
          <w:szCs w:val="24"/>
        </w:rPr>
        <w:t>Green apprenticeships: The Green Apprenticeships Advisory Panel (GAAP) is working with employers across England to enhance the current apprenticeships on offer and create new opportunities to adapt to the growing green economy. The UK Battery Industrialisation Centre UKBIC), funded by the Faraday Battery Challenge, is working with WMG to address the need for battery manufacturing apprenticeships.</w:t>
      </w:r>
    </w:p>
    <w:p w:rsidR="008005FE" w:rsidRPr="00583864" w:rsidP="005E5997">
      <w:pPr>
        <w:pStyle w:val="ListParagraph"/>
        <w:numPr>
          <w:ilvl w:val="0"/>
          <w:numId w:val="5"/>
        </w:numPr>
        <w:jc w:val="both"/>
        <w:rPr>
          <w:rFonts w:ascii="Arial" w:hAnsi="Arial" w:cs="Arial"/>
          <w:sz w:val="24"/>
          <w:szCs w:val="24"/>
        </w:rPr>
      </w:pPr>
      <w:r w:rsidRPr="00583864">
        <w:rPr>
          <w:rFonts w:ascii="Arial" w:hAnsi="Arial" w:cs="Arial"/>
          <w:sz w:val="24"/>
          <w:szCs w:val="24"/>
        </w:rPr>
        <w:t>Green Skills Bootcamps:  The Government is expanding its Skills Bootcamps to other areas of the country, which deliver free, flexible training courses of up to 16 weeks for adults so they can develop in-demand skills such as technical training in green transport.</w:t>
      </w:r>
    </w:p>
    <w:p w:rsidR="008005FE" w:rsidRPr="00583864" w:rsidP="005E5997">
      <w:pPr>
        <w:pStyle w:val="ListParagraph"/>
        <w:numPr>
          <w:ilvl w:val="0"/>
          <w:numId w:val="5"/>
        </w:numPr>
        <w:jc w:val="both"/>
        <w:rPr>
          <w:rFonts w:ascii="Arial" w:hAnsi="Arial" w:cs="Arial"/>
          <w:sz w:val="24"/>
          <w:szCs w:val="24"/>
        </w:rPr>
      </w:pPr>
      <w:r w:rsidRPr="00583864">
        <w:rPr>
          <w:rFonts w:ascii="Arial" w:hAnsi="Arial" w:cs="Arial"/>
          <w:sz w:val="24"/>
          <w:szCs w:val="24"/>
        </w:rPr>
        <w:t xml:space="preserve">Free Courses for Jobs (free Level 3 qualifications): Backed by £95m from the National Skills Fund, the Government is fully funding Level 3 qualifications in sectors such as engineering for any adult who does not currently hold existing qualifications at this level. </w:t>
      </w:r>
    </w:p>
    <w:p w:rsidR="008005FE" w:rsidRPr="00583864" w:rsidP="005E5997">
      <w:pPr>
        <w:pStyle w:val="ListParagraph"/>
        <w:numPr>
          <w:ilvl w:val="0"/>
          <w:numId w:val="5"/>
        </w:numPr>
        <w:jc w:val="both"/>
        <w:rPr>
          <w:rFonts w:ascii="Arial" w:hAnsi="Arial" w:cs="Arial"/>
          <w:sz w:val="24"/>
          <w:szCs w:val="24"/>
        </w:rPr>
      </w:pPr>
      <w:r w:rsidRPr="00583864">
        <w:rPr>
          <w:rFonts w:ascii="Arial" w:hAnsi="Arial" w:cs="Arial"/>
          <w:sz w:val="24"/>
          <w:szCs w:val="24"/>
        </w:rPr>
        <w:t>Graduate, Post-Graduate and Early Career Training: The Faraday Institution funds the provision of high-quality doctoral training of future leaders in the battery industry, continuing profession development of early-career researchers to help them further develop their skills</w:t>
      </w:r>
    </w:p>
    <w:p w:rsidR="00FC5EEF" w:rsidRPr="00583864" w:rsidP="005E5997">
      <w:pPr>
        <w:jc w:val="both"/>
        <w:rPr>
          <w:rFonts w:ascii="Arial" w:hAnsi="Arial" w:cs="Arial"/>
          <w:sz w:val="24"/>
          <w:szCs w:val="24"/>
        </w:rPr>
      </w:pPr>
    </w:p>
    <w:p w:rsidR="00E54C0A" w:rsidRPr="00583864" w:rsidP="005E5997">
      <w:pPr>
        <w:pStyle w:val="ListParagraph"/>
        <w:numPr>
          <w:ilvl w:val="0"/>
          <w:numId w:val="2"/>
        </w:numPr>
        <w:jc w:val="both"/>
        <w:rPr>
          <w:rFonts w:ascii="Arial" w:hAnsi="Arial" w:cs="Arial"/>
          <w:sz w:val="24"/>
          <w:szCs w:val="24"/>
        </w:rPr>
      </w:pPr>
      <w:r w:rsidRPr="00583864">
        <w:rPr>
          <w:rFonts w:ascii="Arial" w:hAnsi="Arial" w:cs="Arial"/>
          <w:b/>
          <w:bCs/>
          <w:sz w:val="24"/>
          <w:szCs w:val="24"/>
        </w:rPr>
        <w:t>Increased funding for the development of next-generation batteries</w:t>
      </w:r>
      <w:r w:rsidRPr="00583864">
        <w:rPr>
          <w:rFonts w:ascii="Arial" w:hAnsi="Arial" w:cs="Arial"/>
          <w:sz w:val="24"/>
          <w:szCs w:val="24"/>
        </w:rPr>
        <w:t>, to allow the UK to leapfrog its competitors and gain an advantage for future manufacture of batteries and vehicles.</w:t>
      </w:r>
    </w:p>
    <w:p w:rsidR="00E54C0A" w:rsidRPr="00583864" w:rsidP="005E5997">
      <w:pPr>
        <w:jc w:val="both"/>
        <w:rPr>
          <w:rFonts w:ascii="Arial" w:hAnsi="Arial" w:cs="Arial"/>
          <w:sz w:val="24"/>
          <w:szCs w:val="24"/>
        </w:rPr>
      </w:pPr>
      <w:r w:rsidRPr="00583864">
        <w:rPr>
          <w:rFonts w:ascii="Arial" w:hAnsi="Arial" w:cs="Arial"/>
          <w:sz w:val="24"/>
          <w:szCs w:val="24"/>
        </w:rPr>
        <w:t>Energy and Environment Technologies will be critical to achieving net zero and protection of our natural environment, and they represent one of the seven technology families set out in the Government’s recently published Innovation Strategy. The Strategy sets out how we will stimulate innovation to tackle major challenges faced by the UK and the world and drive capability in key technologies. By giving businesses confidence that we are backing national priorities, we will encourage private sector investment so that public and private sector come together to deliver the breakthroughs that can transform our lives and economic prospects.</w:t>
      </w:r>
    </w:p>
    <w:p w:rsidR="00E54C0A" w:rsidRPr="00583864" w:rsidP="005E5997">
      <w:pPr>
        <w:jc w:val="both"/>
        <w:rPr>
          <w:rFonts w:ascii="Arial" w:hAnsi="Arial" w:cs="Arial"/>
          <w:sz w:val="24"/>
          <w:szCs w:val="24"/>
        </w:rPr>
      </w:pPr>
      <w:r w:rsidRPr="00583864">
        <w:rPr>
          <w:rFonts w:ascii="Arial" w:hAnsi="Arial" w:cs="Arial"/>
          <w:sz w:val="24"/>
          <w:szCs w:val="24"/>
        </w:rPr>
        <w:t xml:space="preserve">UK Research and Innovation (UKRI)’s Engineering and Physical Sciences Research Council (EPSRC) has been funding research on batteries and fuel cells extensively for over 20 years, starting with the </w:t>
      </w:r>
      <w:r w:rsidRPr="00583864">
        <w:rPr>
          <w:rFonts w:ascii="Arial" w:hAnsi="Arial" w:cs="Arial"/>
          <w:sz w:val="24"/>
          <w:szCs w:val="24"/>
        </w:rPr>
        <w:t>Supergen</w:t>
      </w:r>
      <w:r w:rsidRPr="00583864">
        <w:rPr>
          <w:rFonts w:ascii="Arial" w:hAnsi="Arial" w:cs="Arial"/>
          <w:sz w:val="24"/>
          <w:szCs w:val="24"/>
        </w:rPr>
        <w:t xml:space="preserve"> programme through to today’s Faraday Institute. To date, UKRI have provided £24 million grant funding for Fuel Cell technology research.</w:t>
      </w:r>
    </w:p>
    <w:p w:rsidR="00E54C0A" w:rsidRPr="00583864" w:rsidP="005E5997">
      <w:pPr>
        <w:jc w:val="both"/>
        <w:rPr>
          <w:rFonts w:ascii="Arial" w:hAnsi="Arial" w:cs="Arial"/>
          <w:sz w:val="24"/>
          <w:szCs w:val="24"/>
        </w:rPr>
      </w:pPr>
      <w:r w:rsidRPr="00583864">
        <w:rPr>
          <w:rFonts w:ascii="Arial" w:hAnsi="Arial" w:cs="Arial"/>
          <w:sz w:val="24"/>
          <w:szCs w:val="24"/>
        </w:rPr>
        <w:t xml:space="preserve">The Faraday Institution portfolio comprises 10 multi-institution, large-scale research projects which can largely be categorised into two main areas of research: Lithium-ion and beyond Lithium-ion. Batteries and Fuel Cells offer Energy storage capability to a range of users which will be fundamental to enabling the UK to meet Net Zero targets. </w:t>
      </w:r>
    </w:p>
    <w:p w:rsidR="00E54C0A" w:rsidRPr="00583864" w:rsidP="005E5997">
      <w:pPr>
        <w:jc w:val="both"/>
        <w:rPr>
          <w:rFonts w:ascii="Arial" w:hAnsi="Arial" w:cs="Arial"/>
          <w:sz w:val="24"/>
          <w:szCs w:val="24"/>
        </w:rPr>
      </w:pPr>
      <w:r w:rsidRPr="00583864">
        <w:rPr>
          <w:rFonts w:ascii="Arial" w:hAnsi="Arial" w:cs="Arial"/>
          <w:sz w:val="24"/>
          <w:szCs w:val="24"/>
        </w:rPr>
        <w:t>At the mid Technology Readiness Level intervention level, UKRI has invested £92 million in 81 projects driving new technology to scale, through collaborative R&amp;D projects with 140 unique participants; 50% of which are small/micro businesses and 16% of which are Universities. In addition, UKRI has invested £130 million in the UK Battery Industrialisation Centre (UKBIC</w:t>
      </w:r>
      <w:r w:rsidRPr="00583864">
        <w:rPr>
          <w:rFonts w:ascii="Arial" w:hAnsi="Arial" w:cs="Arial"/>
          <w:sz w:val="24"/>
          <w:szCs w:val="24"/>
        </w:rPr>
        <w:t>);</w:t>
      </w:r>
      <w:r w:rsidRPr="00583864">
        <w:rPr>
          <w:rFonts w:ascii="Arial" w:hAnsi="Arial" w:cs="Arial"/>
          <w:sz w:val="24"/>
          <w:szCs w:val="24"/>
        </w:rPr>
        <w:t xml:space="preserve"> a world class, open access battery manufacturing development centre.</w:t>
      </w:r>
    </w:p>
    <w:p w:rsidR="00E54C0A" w:rsidRPr="00583864" w:rsidP="005E5997">
      <w:pPr>
        <w:jc w:val="both"/>
        <w:rPr>
          <w:rFonts w:ascii="Arial" w:hAnsi="Arial" w:cs="Arial"/>
          <w:sz w:val="24"/>
          <w:szCs w:val="24"/>
        </w:rPr>
      </w:pPr>
      <w:r w:rsidRPr="00583864">
        <w:rPr>
          <w:rFonts w:ascii="Arial" w:hAnsi="Arial" w:cs="Arial"/>
          <w:sz w:val="24"/>
          <w:szCs w:val="24"/>
        </w:rPr>
        <w:t>Any decisions on future funding are subject to the outcome of the Spending Review 2021 which was launched by The Chancellor on 7 September. At the Spending Review, the Government will set out how we will support businesses and jobs through delivering our Plan for Growth – delivering on our ambitious plans for an infrastructure and innovation revolution and cementing the UK as a scientific superpower, working in close partnership with the private sector</w:t>
      </w:r>
      <w:r w:rsidRPr="00583864" w:rsidR="00FC5EEF">
        <w:rPr>
          <w:rFonts w:ascii="Arial" w:hAnsi="Arial" w:cs="Arial"/>
          <w:sz w:val="24"/>
          <w:szCs w:val="24"/>
        </w:rPr>
        <w:t>.</w:t>
      </w:r>
    </w:p>
    <w:p w:rsidR="00E54C0A" w:rsidRPr="00583864" w:rsidP="00FC5EEF">
      <w:pPr>
        <w:jc w:val="both"/>
        <w:rPr>
          <w:rFonts w:ascii="Arial" w:hAnsi="Arial" w:cs="Arial"/>
          <w:sz w:val="24"/>
          <w:szCs w:val="24"/>
        </w:rPr>
      </w:pPr>
      <w:r w:rsidRPr="00583864">
        <w:rPr>
          <w:rFonts w:ascii="Arial" w:hAnsi="Arial" w:cs="Arial"/>
          <w:sz w:val="24"/>
          <w:szCs w:val="24"/>
        </w:rPr>
        <w:t xml:space="preserve">The Faraday Institution is founded on industry-inspired fundamental research in electrochemical energy storage research and the current research portfolio comprises novel technologies for a range of applications including stationary energy storage. Different battery </w:t>
      </w:r>
      <w:r w:rsidRPr="00583864">
        <w:rPr>
          <w:rFonts w:ascii="Arial" w:hAnsi="Arial" w:cs="Arial"/>
          <w:sz w:val="24"/>
          <w:szCs w:val="24"/>
        </w:rPr>
        <w:t>electrochemistries</w:t>
      </w:r>
      <w:r w:rsidRPr="00583864">
        <w:rPr>
          <w:rFonts w:ascii="Arial" w:hAnsi="Arial" w:cs="Arial"/>
          <w:sz w:val="24"/>
          <w:szCs w:val="24"/>
        </w:rPr>
        <w:t xml:space="preserve"> offer unique performance characteristics allowing selection of the battery electrochemistry depending on the requirements of the sector. </w:t>
      </w:r>
      <w:r w:rsidRPr="00583864">
        <w:rPr>
          <w:rFonts w:ascii="Arial" w:hAnsi="Arial" w:cs="Arial"/>
          <w:sz w:val="24"/>
          <w:szCs w:val="24"/>
        </w:rPr>
        <w:t xml:space="preserve">The Faraday Institution research portfolio is therefore categorised by technology, rather than sector/application and technology </w:t>
      </w:r>
      <w:r w:rsidRPr="00583864">
        <w:rPr>
          <w:rFonts w:ascii="Arial" w:hAnsi="Arial" w:cs="Arial"/>
          <w:sz w:val="24"/>
          <w:szCs w:val="24"/>
        </w:rPr>
        <w:t>spillover</w:t>
      </w:r>
      <w:r w:rsidRPr="00583864">
        <w:rPr>
          <w:rFonts w:ascii="Arial" w:hAnsi="Arial" w:cs="Arial"/>
          <w:sz w:val="24"/>
          <w:szCs w:val="24"/>
        </w:rPr>
        <w:t xml:space="preserve"> is expected. </w:t>
      </w:r>
    </w:p>
    <w:p w:rsidR="004602E2" w:rsidRPr="00583864" w:rsidP="005E5997">
      <w:pPr>
        <w:spacing w:after="0"/>
        <w:jc w:val="both"/>
        <w:rPr>
          <w:rFonts w:ascii="Arial" w:hAnsi="Arial" w:cs="Arial"/>
          <w:sz w:val="24"/>
          <w:szCs w:val="24"/>
        </w:rPr>
      </w:pPr>
      <w:r w:rsidRPr="00583864">
        <w:rPr>
          <w:rFonts w:ascii="Arial" w:hAnsi="Arial" w:cs="Arial"/>
          <w:sz w:val="24"/>
          <w:szCs w:val="24"/>
        </w:rPr>
        <w:t>Stationary storage is covered within the current remit of the UK Battery Industrialisation Centre</w:t>
      </w:r>
    </w:p>
    <w:p w:rsidR="00D4791D" w:rsidRPr="00583864" w:rsidP="005E5997">
      <w:pPr>
        <w:spacing w:after="0"/>
        <w:jc w:val="both"/>
        <w:rPr>
          <w:rFonts w:ascii="Arial" w:hAnsi="Arial" w:cs="Arial"/>
          <w:sz w:val="24"/>
          <w:szCs w:val="24"/>
        </w:rPr>
      </w:pPr>
      <w:r w:rsidRPr="00583864">
        <w:rPr>
          <w:rFonts w:ascii="Arial" w:hAnsi="Arial" w:cs="Arial"/>
          <w:sz w:val="24"/>
          <w:szCs w:val="24"/>
        </w:rPr>
        <w:t xml:space="preserve">For stationary storage, weight is not as much of an issue as it would be in the automotive or aerospace sectors. However, cost and duration of first life are important considerations for static storage. The £11.5 million “NEXGENNA” (The Next Generation in Sodium-ion Batteries) project led by Professor John Irvine at the University of St Andrews and funded by the UKRI Faraday Battery Challenge aims to accelerate the development of Sodium-ion battery technology from fundamental chemistry through to scale-up and cell manufacture. </w:t>
      </w:r>
    </w:p>
    <w:p w:rsidR="00D4791D" w:rsidRPr="00583864" w:rsidP="005E5997">
      <w:pPr>
        <w:spacing w:after="0"/>
        <w:jc w:val="both"/>
        <w:rPr>
          <w:rFonts w:ascii="Arial" w:hAnsi="Arial" w:cs="Arial"/>
          <w:sz w:val="24"/>
          <w:szCs w:val="24"/>
        </w:rPr>
      </w:pPr>
    </w:p>
    <w:p w:rsidR="00E54C0A" w:rsidRPr="00583864" w:rsidP="005E5997">
      <w:pPr>
        <w:spacing w:after="0"/>
        <w:jc w:val="both"/>
        <w:rPr>
          <w:rFonts w:ascii="Arial" w:hAnsi="Arial" w:cs="Arial"/>
          <w:sz w:val="24"/>
          <w:szCs w:val="24"/>
        </w:rPr>
      </w:pPr>
      <w:r w:rsidRPr="00583864">
        <w:rPr>
          <w:rFonts w:ascii="Arial" w:hAnsi="Arial" w:cs="Arial"/>
          <w:sz w:val="24"/>
          <w:szCs w:val="24"/>
        </w:rPr>
        <w:t>Any decisions on future funding are subject to the outcome of the Spending Review 2021.</w:t>
      </w:r>
    </w:p>
    <w:p w:rsidR="00D4791D" w:rsidRPr="00583864" w:rsidP="005E5997">
      <w:pPr>
        <w:spacing w:after="0"/>
        <w:jc w:val="both"/>
        <w:rPr>
          <w:rFonts w:ascii="Arial" w:hAnsi="Arial" w:cs="Arial"/>
          <w:sz w:val="24"/>
          <w:szCs w:val="24"/>
        </w:rPr>
      </w:pPr>
    </w:p>
    <w:p w:rsidR="00E54C0A" w:rsidRPr="00583864" w:rsidP="005E5997">
      <w:pPr>
        <w:spacing w:after="0"/>
        <w:jc w:val="both"/>
        <w:rPr>
          <w:rFonts w:ascii="Arial" w:hAnsi="Arial" w:cs="Arial"/>
          <w:sz w:val="24"/>
          <w:szCs w:val="24"/>
        </w:rPr>
      </w:pPr>
      <w:r w:rsidRPr="00583864">
        <w:rPr>
          <w:rFonts w:ascii="Arial" w:hAnsi="Arial" w:cs="Arial"/>
          <w:sz w:val="24"/>
          <w:szCs w:val="24"/>
        </w:rPr>
        <w:t xml:space="preserve">UKRI is already funding a considerable amount of research in </w:t>
      </w:r>
      <w:r w:rsidRPr="00583864" w:rsidR="00AB7002">
        <w:rPr>
          <w:rFonts w:ascii="Arial" w:hAnsi="Arial" w:cs="Arial"/>
          <w:sz w:val="24"/>
          <w:szCs w:val="24"/>
        </w:rPr>
        <w:t>next generation batteries</w:t>
      </w:r>
      <w:r w:rsidRPr="00583864">
        <w:rPr>
          <w:rFonts w:ascii="Arial" w:hAnsi="Arial" w:cs="Arial"/>
          <w:sz w:val="24"/>
          <w:szCs w:val="24"/>
        </w:rPr>
        <w:t xml:space="preserve">. The Faraday Institution has a £35 million portfolio in beyond Lithium-ion battery technologies (as well as developing the next generation of Lithium-ion batteries) namely in Sodium-ion, Solid-State and Lithium-sulphur with applications in stationary storage, electric </w:t>
      </w:r>
      <w:r w:rsidRPr="00583864">
        <w:rPr>
          <w:rFonts w:ascii="Arial" w:hAnsi="Arial" w:cs="Arial"/>
          <w:sz w:val="24"/>
          <w:szCs w:val="24"/>
        </w:rPr>
        <w:t>vehicles</w:t>
      </w:r>
      <w:r w:rsidRPr="00583864">
        <w:rPr>
          <w:rFonts w:ascii="Arial" w:hAnsi="Arial" w:cs="Arial"/>
          <w:sz w:val="24"/>
          <w:szCs w:val="24"/>
        </w:rPr>
        <w:t xml:space="preserve"> and aerospace as well as other high-value niche markets. </w:t>
      </w:r>
    </w:p>
    <w:p w:rsidR="00D4791D" w:rsidRPr="00583864" w:rsidP="005E5997">
      <w:pPr>
        <w:spacing w:after="0"/>
        <w:jc w:val="both"/>
        <w:rPr>
          <w:rFonts w:ascii="Arial" w:hAnsi="Arial" w:cs="Arial"/>
          <w:sz w:val="24"/>
          <w:szCs w:val="24"/>
        </w:rPr>
      </w:pPr>
    </w:p>
    <w:p w:rsidR="00E54C0A" w:rsidRPr="00583864" w:rsidP="005E5997">
      <w:pPr>
        <w:jc w:val="both"/>
        <w:rPr>
          <w:rFonts w:ascii="Arial" w:hAnsi="Arial" w:cs="Arial"/>
          <w:sz w:val="24"/>
          <w:szCs w:val="24"/>
        </w:rPr>
      </w:pPr>
      <w:r w:rsidRPr="00583864">
        <w:rPr>
          <w:rFonts w:ascii="Arial" w:hAnsi="Arial" w:cs="Arial"/>
          <w:sz w:val="24"/>
          <w:szCs w:val="24"/>
        </w:rPr>
        <w:t xml:space="preserve">The Engineering and Physical Sciences Research Council (EPSRC), for example, supports a broad range of projects in next generation battery technologies covering Sodium-ion, Lithium-oxide, Potassium-ion, Fluoride-ion, and Zinc-ion batteries. </w:t>
      </w:r>
    </w:p>
    <w:p w:rsidR="00912A67" w:rsidRPr="00583864" w:rsidP="005E5997">
      <w:pPr>
        <w:jc w:val="both"/>
        <w:rPr>
          <w:rFonts w:ascii="Arial" w:hAnsi="Arial" w:cs="Arial"/>
          <w:sz w:val="24"/>
          <w:szCs w:val="24"/>
        </w:rPr>
      </w:pPr>
      <w:r w:rsidRPr="00583864">
        <w:rPr>
          <w:rFonts w:ascii="Arial" w:hAnsi="Arial" w:cs="Arial"/>
          <w:sz w:val="24"/>
          <w:szCs w:val="24"/>
        </w:rPr>
        <w:t xml:space="preserve">Technology in this area is still in its infancy and the Government is making considerable investment to bring together industry and academia to expand what is possible with these and other battery technologies. The Faraday Institution has recently brought together a consortium of 7-partners who have signed a MOU to combine ambitions to develop world-leading prototype solid-state battery technology. In addition to the Faraday Institution, partners include </w:t>
      </w:r>
      <w:r w:rsidRPr="00583864">
        <w:rPr>
          <w:rFonts w:ascii="Arial" w:hAnsi="Arial" w:cs="Arial"/>
          <w:sz w:val="24"/>
          <w:szCs w:val="24"/>
        </w:rPr>
        <w:t>Britishvolt</w:t>
      </w:r>
      <w:r w:rsidRPr="00583864">
        <w:rPr>
          <w:rFonts w:ascii="Arial" w:hAnsi="Arial" w:cs="Arial"/>
          <w:sz w:val="24"/>
          <w:szCs w:val="24"/>
        </w:rPr>
        <w:t>, Emerson &amp; Renwick, Johnson Matthey, Oxford University (that leads the Faraday Institute’s solid-state battery project (SOLBAT) and provides the necessary scientific understanding to the consortium), the UKBIC, and WMG - University of Warwick.</w:t>
      </w:r>
    </w:p>
    <w:p w:rsidR="00E54C0A" w:rsidRPr="00583864" w:rsidP="005E5997">
      <w:pPr>
        <w:jc w:val="both"/>
        <w:rPr>
          <w:rFonts w:ascii="Arial" w:hAnsi="Arial" w:cs="Arial"/>
          <w:sz w:val="24"/>
          <w:szCs w:val="24"/>
        </w:rPr>
      </w:pPr>
    </w:p>
    <w:p w:rsidR="00912A67" w:rsidRPr="00583864" w:rsidP="005E5997">
      <w:pPr>
        <w:pStyle w:val="ListParagraph"/>
        <w:numPr>
          <w:ilvl w:val="0"/>
          <w:numId w:val="2"/>
        </w:numPr>
        <w:jc w:val="both"/>
        <w:rPr>
          <w:rFonts w:ascii="Arial" w:hAnsi="Arial" w:cs="Arial"/>
          <w:sz w:val="24"/>
          <w:szCs w:val="24"/>
        </w:rPr>
      </w:pPr>
      <w:r w:rsidRPr="00583864">
        <w:rPr>
          <w:rFonts w:ascii="Arial" w:hAnsi="Arial" w:cs="Arial"/>
          <w:b/>
          <w:bCs/>
          <w:sz w:val="24"/>
          <w:szCs w:val="24"/>
        </w:rPr>
        <w:t>Acceleration of the expansion of the public charging network</w:t>
      </w:r>
      <w:r w:rsidRPr="00583864">
        <w:rPr>
          <w:rFonts w:ascii="Arial" w:hAnsi="Arial" w:cs="Arial"/>
          <w:sz w:val="24"/>
          <w:szCs w:val="24"/>
        </w:rPr>
        <w:t>, to deliver 325,000 charging points by 2032, including rapid chargers in towns and on the strategic road network</w:t>
      </w:r>
    </w:p>
    <w:p w:rsidR="00912A67" w:rsidRPr="00583864" w:rsidP="005E5997">
      <w:pPr>
        <w:jc w:val="both"/>
        <w:rPr>
          <w:rFonts w:ascii="Arial" w:hAnsi="Arial" w:cs="Arial"/>
          <w:sz w:val="24"/>
          <w:szCs w:val="24"/>
        </w:rPr>
      </w:pPr>
      <w:r w:rsidRPr="00583864">
        <w:rPr>
          <w:rFonts w:ascii="Arial" w:hAnsi="Arial" w:cs="Arial"/>
          <w:sz w:val="24"/>
          <w:szCs w:val="24"/>
        </w:rPr>
        <w:t xml:space="preserve">We recognise the need to accelerate the expansion of the public </w:t>
      </w:r>
      <w:r w:rsidRPr="00583864">
        <w:rPr>
          <w:rFonts w:ascii="Arial" w:hAnsi="Arial" w:cs="Arial"/>
          <w:sz w:val="24"/>
          <w:szCs w:val="24"/>
        </w:rPr>
        <w:t>chargepoint</w:t>
      </w:r>
      <w:r w:rsidRPr="00583864">
        <w:rPr>
          <w:rFonts w:ascii="Arial" w:hAnsi="Arial" w:cs="Arial"/>
          <w:sz w:val="24"/>
          <w:szCs w:val="24"/>
        </w:rPr>
        <w:t xml:space="preserve"> network. Over the next four years, the Government will provide £1.3 billion to support the continued roll-out of </w:t>
      </w:r>
      <w:r w:rsidRPr="00583864">
        <w:rPr>
          <w:rFonts w:ascii="Arial" w:hAnsi="Arial" w:cs="Arial"/>
          <w:sz w:val="24"/>
          <w:szCs w:val="24"/>
        </w:rPr>
        <w:t>chargepoints</w:t>
      </w:r>
      <w:r w:rsidRPr="00583864">
        <w:rPr>
          <w:rFonts w:ascii="Arial" w:hAnsi="Arial" w:cs="Arial"/>
          <w:sz w:val="24"/>
          <w:szCs w:val="24"/>
        </w:rPr>
        <w:t xml:space="preserve"> on motorways and major A roads, in homes and businesses and on-street. </w:t>
      </w:r>
    </w:p>
    <w:p w:rsidR="00912A67" w:rsidRPr="00583864" w:rsidP="005E5997">
      <w:pPr>
        <w:jc w:val="both"/>
        <w:rPr>
          <w:rFonts w:ascii="Arial" w:hAnsi="Arial" w:cs="Arial"/>
          <w:sz w:val="24"/>
          <w:szCs w:val="24"/>
        </w:rPr>
      </w:pPr>
      <w:r w:rsidRPr="00583864">
        <w:rPr>
          <w:rFonts w:ascii="Arial" w:hAnsi="Arial" w:cs="Arial"/>
          <w:sz w:val="24"/>
          <w:szCs w:val="24"/>
        </w:rPr>
        <w:t>T</w:t>
      </w:r>
      <w:r w:rsidRPr="00583864">
        <w:rPr>
          <w:rFonts w:ascii="Arial" w:hAnsi="Arial" w:cs="Arial"/>
          <w:sz w:val="24"/>
          <w:szCs w:val="24"/>
        </w:rPr>
        <w:t xml:space="preserve">his includes increasing the budget of the On-street Residential </w:t>
      </w:r>
      <w:r w:rsidRPr="00583864">
        <w:rPr>
          <w:rFonts w:ascii="Arial" w:hAnsi="Arial" w:cs="Arial"/>
          <w:sz w:val="24"/>
          <w:szCs w:val="24"/>
        </w:rPr>
        <w:t>Chargepoint</w:t>
      </w:r>
      <w:r w:rsidRPr="00583864">
        <w:rPr>
          <w:rFonts w:ascii="Arial" w:hAnsi="Arial" w:cs="Arial"/>
          <w:sz w:val="24"/>
          <w:szCs w:val="24"/>
        </w:rPr>
        <w:t xml:space="preserve"> Scheme (ORCS) to £20m per </w:t>
      </w:r>
      <w:r w:rsidRPr="00583864">
        <w:rPr>
          <w:rFonts w:ascii="Arial" w:hAnsi="Arial" w:cs="Arial"/>
          <w:sz w:val="24"/>
          <w:szCs w:val="24"/>
        </w:rPr>
        <w:t>year, and</w:t>
      </w:r>
      <w:r w:rsidRPr="00583864">
        <w:rPr>
          <w:rFonts w:ascii="Arial" w:hAnsi="Arial" w:cs="Arial"/>
          <w:sz w:val="24"/>
          <w:szCs w:val="24"/>
        </w:rPr>
        <w:t xml:space="preserve"> removing the previous cap of £100k for individual projects. There has been a significant increase in the number of local authority applications for the scheme over last year and we anticipate at least 4,000 </w:t>
      </w:r>
      <w:r w:rsidRPr="00583864">
        <w:rPr>
          <w:rFonts w:ascii="Arial" w:hAnsi="Arial" w:cs="Arial"/>
          <w:sz w:val="24"/>
          <w:szCs w:val="24"/>
        </w:rPr>
        <w:t>chargepoints</w:t>
      </w:r>
      <w:r w:rsidRPr="00583864">
        <w:rPr>
          <w:rFonts w:ascii="Arial" w:hAnsi="Arial" w:cs="Arial"/>
          <w:sz w:val="24"/>
          <w:szCs w:val="24"/>
        </w:rPr>
        <w:t xml:space="preserve"> will be installed this year </w:t>
      </w:r>
      <w:r w:rsidRPr="00583864">
        <w:rPr>
          <w:rFonts w:ascii="Arial" w:hAnsi="Arial" w:cs="Arial"/>
          <w:sz w:val="24"/>
          <w:szCs w:val="24"/>
        </w:rPr>
        <w:t>as a result of</w:t>
      </w:r>
      <w:r w:rsidRPr="00583864">
        <w:rPr>
          <w:rFonts w:ascii="Arial" w:hAnsi="Arial" w:cs="Arial"/>
          <w:sz w:val="24"/>
          <w:szCs w:val="24"/>
        </w:rPr>
        <w:t xml:space="preserve"> the scheme. The government also announced a new £90m Local EV Infrastructure Fund to address the challenges of increasing the scale of provision of EV charging for residents without off-street parking. The new Local EV Infrastructure fund will be fully operational in 2022 and is currently undergoing policy development with stakeholders. The fund will be designed to help unlock private investment in the local EV charging sector. We are also continuing to deliver the Rapid Charging Fund: £950m to fund upgrades to the electricity network to help meet future demand for </w:t>
      </w:r>
      <w:r w:rsidRPr="00583864">
        <w:rPr>
          <w:rFonts w:ascii="Arial" w:hAnsi="Arial" w:cs="Arial"/>
          <w:sz w:val="24"/>
          <w:szCs w:val="24"/>
        </w:rPr>
        <w:t>chargepoints</w:t>
      </w:r>
      <w:r w:rsidRPr="00583864">
        <w:rPr>
          <w:rFonts w:ascii="Arial" w:hAnsi="Arial" w:cs="Arial"/>
          <w:sz w:val="24"/>
          <w:szCs w:val="24"/>
        </w:rPr>
        <w:t xml:space="preserve"> at Motorway Service Areas and key A road locations. </w:t>
      </w:r>
    </w:p>
    <w:p w:rsidR="00912A67" w:rsidRPr="00583864" w:rsidP="005E5997">
      <w:pPr>
        <w:jc w:val="both"/>
        <w:rPr>
          <w:rFonts w:ascii="Arial" w:hAnsi="Arial" w:cs="Arial"/>
          <w:sz w:val="24"/>
          <w:szCs w:val="24"/>
        </w:rPr>
      </w:pPr>
      <w:r w:rsidRPr="00583864">
        <w:rPr>
          <w:rFonts w:ascii="Arial" w:hAnsi="Arial" w:cs="Arial"/>
          <w:sz w:val="24"/>
          <w:szCs w:val="24"/>
        </w:rPr>
        <w:t xml:space="preserve">In addition to the £1.3 billion, the first £70 million of the £400 million Charging Infrastructure Investment Fund will create 3,000 new rapid </w:t>
      </w:r>
      <w:r w:rsidRPr="00583864">
        <w:rPr>
          <w:rFonts w:ascii="Arial" w:hAnsi="Arial" w:cs="Arial"/>
          <w:sz w:val="24"/>
          <w:szCs w:val="24"/>
        </w:rPr>
        <w:t>chargepoints</w:t>
      </w:r>
      <w:r w:rsidRPr="00583864">
        <w:rPr>
          <w:rFonts w:ascii="Arial" w:hAnsi="Arial" w:cs="Arial"/>
          <w:sz w:val="24"/>
          <w:szCs w:val="24"/>
        </w:rPr>
        <w:t xml:space="preserve">, more than doubling the number of rapid </w:t>
      </w:r>
      <w:r w:rsidRPr="00583864">
        <w:rPr>
          <w:rFonts w:ascii="Arial" w:hAnsi="Arial" w:cs="Arial"/>
          <w:sz w:val="24"/>
          <w:szCs w:val="24"/>
        </w:rPr>
        <w:t>chargepoints</w:t>
      </w:r>
      <w:r w:rsidRPr="00583864">
        <w:rPr>
          <w:rFonts w:ascii="Arial" w:hAnsi="Arial" w:cs="Arial"/>
          <w:sz w:val="24"/>
          <w:szCs w:val="24"/>
        </w:rPr>
        <w:t xml:space="preserve"> across the UK by 2024.</w:t>
      </w:r>
    </w:p>
    <w:p w:rsidR="00912A67" w:rsidRPr="00583864" w:rsidP="005E5997">
      <w:pPr>
        <w:jc w:val="both"/>
        <w:rPr>
          <w:rFonts w:ascii="Arial" w:hAnsi="Arial" w:cs="Arial"/>
          <w:sz w:val="24"/>
          <w:szCs w:val="24"/>
        </w:rPr>
      </w:pPr>
      <w:r w:rsidRPr="00583864">
        <w:rPr>
          <w:rFonts w:ascii="Arial" w:hAnsi="Arial" w:cs="Arial"/>
          <w:sz w:val="24"/>
          <w:szCs w:val="24"/>
        </w:rPr>
        <w:t xml:space="preserve">We will publish an EV Infrastructure Strategy later this year to set out the vision and action plan for charging infrastructure rollout needed to achieve the 2030/35 phase out successfully. This will set out expected roles for different stakeholders and how government will intervene to address the gaps between the current market status and our vision. It will also discuss possible ranges for the numbers of </w:t>
      </w:r>
      <w:r w:rsidRPr="00583864">
        <w:rPr>
          <w:rFonts w:ascii="Arial" w:hAnsi="Arial" w:cs="Arial"/>
          <w:sz w:val="24"/>
          <w:szCs w:val="24"/>
        </w:rPr>
        <w:t>chargepoints</w:t>
      </w:r>
      <w:r w:rsidRPr="00583864">
        <w:rPr>
          <w:rFonts w:ascii="Arial" w:hAnsi="Arial" w:cs="Arial"/>
          <w:sz w:val="24"/>
          <w:szCs w:val="24"/>
        </w:rPr>
        <w:t xml:space="preserve"> required, recognising that charging habits are likely to evolve over time, and that needs will differ between local areas. </w:t>
      </w:r>
      <w:r w:rsidRPr="00583864">
        <w:rPr>
          <w:rFonts w:ascii="Arial" w:hAnsi="Arial" w:cs="Arial"/>
          <w:sz w:val="24"/>
          <w:szCs w:val="24"/>
        </w:rPr>
        <w:t>In particular, it</w:t>
      </w:r>
      <w:r w:rsidRPr="00583864">
        <w:rPr>
          <w:rFonts w:ascii="Arial" w:hAnsi="Arial" w:cs="Arial"/>
          <w:sz w:val="24"/>
          <w:szCs w:val="24"/>
        </w:rPr>
        <w:t xml:space="preserve"> will set out the different types of charging that will be needed to support drivers who park on-street overnight, emphasising the need for increased provision of on-street charging in local areas alongside rapid and ultra-rapid </w:t>
      </w:r>
      <w:r w:rsidRPr="00583864">
        <w:rPr>
          <w:rFonts w:ascii="Arial" w:hAnsi="Arial" w:cs="Arial"/>
          <w:sz w:val="24"/>
          <w:szCs w:val="24"/>
        </w:rPr>
        <w:t>chargepoints</w:t>
      </w:r>
      <w:r w:rsidRPr="00583864">
        <w:rPr>
          <w:rFonts w:ascii="Arial" w:hAnsi="Arial" w:cs="Arial"/>
          <w:sz w:val="24"/>
          <w:szCs w:val="24"/>
        </w:rPr>
        <w:t>.</w:t>
      </w:r>
    </w:p>
    <w:p w:rsidR="00912A67" w:rsidRPr="00583864" w:rsidP="005E5997">
      <w:pPr>
        <w:jc w:val="both"/>
        <w:rPr>
          <w:rFonts w:ascii="Arial" w:hAnsi="Arial" w:cs="Arial"/>
          <w:sz w:val="24"/>
          <w:szCs w:val="24"/>
        </w:rPr>
      </w:pPr>
    </w:p>
    <w:p w:rsidR="00912A67" w:rsidRPr="00583864" w:rsidP="005E5997">
      <w:pPr>
        <w:pStyle w:val="ListParagraph"/>
        <w:numPr>
          <w:ilvl w:val="0"/>
          <w:numId w:val="2"/>
        </w:numPr>
        <w:jc w:val="both"/>
        <w:rPr>
          <w:rFonts w:ascii="Arial" w:hAnsi="Arial" w:cs="Arial"/>
          <w:sz w:val="24"/>
          <w:szCs w:val="24"/>
        </w:rPr>
      </w:pPr>
      <w:r w:rsidRPr="00583864">
        <w:rPr>
          <w:rFonts w:ascii="Arial" w:hAnsi="Arial" w:cs="Arial"/>
          <w:b/>
          <w:bCs/>
          <w:sz w:val="24"/>
          <w:szCs w:val="24"/>
        </w:rPr>
        <w:t xml:space="preserve">A rapid decision following the consultation on phasing out the sale of new diesel HGVs </w:t>
      </w:r>
      <w:r w:rsidRPr="00583864">
        <w:rPr>
          <w:rFonts w:ascii="Arial" w:hAnsi="Arial" w:cs="Arial"/>
          <w:sz w:val="24"/>
          <w:szCs w:val="24"/>
        </w:rPr>
        <w:t xml:space="preserve">to spur innovation and uptake of </w:t>
      </w:r>
      <w:r w:rsidRPr="00583864">
        <w:rPr>
          <w:rFonts w:ascii="Arial" w:hAnsi="Arial" w:cs="Arial"/>
          <w:sz w:val="24"/>
          <w:szCs w:val="24"/>
        </w:rPr>
        <w:t>low-carbon</w:t>
      </w:r>
      <w:r w:rsidRPr="00583864">
        <w:rPr>
          <w:rFonts w:ascii="Arial" w:hAnsi="Arial" w:cs="Arial"/>
          <w:sz w:val="24"/>
          <w:szCs w:val="24"/>
        </w:rPr>
        <w:t xml:space="preserve"> technologies;</w:t>
      </w:r>
    </w:p>
    <w:p w:rsidR="00912A67" w:rsidRPr="00583864" w:rsidP="005E5997">
      <w:pPr>
        <w:jc w:val="both"/>
        <w:rPr>
          <w:rFonts w:ascii="Arial" w:hAnsi="Arial" w:cs="Arial"/>
          <w:sz w:val="24"/>
          <w:szCs w:val="24"/>
        </w:rPr>
      </w:pPr>
      <w:r w:rsidRPr="00583864">
        <w:rPr>
          <w:rFonts w:ascii="Arial" w:hAnsi="Arial" w:cs="Arial"/>
          <w:sz w:val="24"/>
          <w:szCs w:val="24"/>
        </w:rPr>
        <w:t>The freight sector is critical to the UK's economic wellbeing, ensuring the flow of goods along our supply chains are reliable and efficient. However, road freight made up 16% of UK domestic transport CO2 emissions in 2019. Addressing greenhouse gas emissions from the road freight sector is imperative if the UK is to meet its legally binding net zero target. For this reason, Government recently consulted on the following key principles to ensure that our road freight fleet will be zero emission by 2050:</w:t>
      </w:r>
    </w:p>
    <w:p w:rsidR="00912A67" w:rsidRPr="00583864" w:rsidP="005E5997">
      <w:pPr>
        <w:pStyle w:val="ListParagraph"/>
        <w:numPr>
          <w:ilvl w:val="0"/>
          <w:numId w:val="9"/>
        </w:numPr>
        <w:jc w:val="both"/>
        <w:rPr>
          <w:rFonts w:ascii="Arial" w:hAnsi="Arial" w:cs="Arial"/>
          <w:sz w:val="24"/>
          <w:szCs w:val="24"/>
        </w:rPr>
      </w:pPr>
      <w:r w:rsidRPr="00583864">
        <w:rPr>
          <w:rFonts w:ascii="Arial" w:hAnsi="Arial" w:cs="Arial"/>
          <w:sz w:val="24"/>
          <w:szCs w:val="24"/>
        </w:rPr>
        <w:t xml:space="preserve">Ending the sale of new non-zero emission HGVs, for vehicles weighing from 3.5 up to and including 26 tonnes, by 2035 or earlier if a faster transition seems feasible. </w:t>
      </w:r>
    </w:p>
    <w:p w:rsidR="00912A67" w:rsidRPr="00583864" w:rsidP="005E5997">
      <w:pPr>
        <w:pStyle w:val="ListParagraph"/>
        <w:numPr>
          <w:ilvl w:val="0"/>
          <w:numId w:val="9"/>
        </w:numPr>
        <w:jc w:val="both"/>
        <w:rPr>
          <w:rFonts w:ascii="Arial" w:hAnsi="Arial" w:cs="Arial"/>
          <w:sz w:val="24"/>
          <w:szCs w:val="24"/>
        </w:rPr>
      </w:pPr>
      <w:r w:rsidRPr="00583864">
        <w:rPr>
          <w:rFonts w:ascii="Arial" w:hAnsi="Arial" w:cs="Arial"/>
          <w:sz w:val="24"/>
          <w:szCs w:val="24"/>
        </w:rPr>
        <w:t xml:space="preserve">Ending the sale of new non-zero emission HGVs, for vehicles weighing greater than 26 tonnes, by 2040 or earlier if a faster transition seems feasible. </w:t>
      </w:r>
    </w:p>
    <w:p w:rsidR="00912A67" w:rsidRPr="00583864" w:rsidP="005E5997">
      <w:pPr>
        <w:pStyle w:val="ListParagraph"/>
        <w:numPr>
          <w:ilvl w:val="0"/>
          <w:numId w:val="9"/>
        </w:numPr>
        <w:jc w:val="both"/>
        <w:rPr>
          <w:rFonts w:ascii="Arial" w:hAnsi="Arial" w:cs="Arial"/>
          <w:sz w:val="24"/>
          <w:szCs w:val="24"/>
        </w:rPr>
      </w:pPr>
      <w:r w:rsidRPr="00583864">
        <w:rPr>
          <w:rFonts w:ascii="Arial" w:hAnsi="Arial" w:cs="Arial"/>
          <w:sz w:val="24"/>
          <w:szCs w:val="24"/>
        </w:rPr>
        <w:t xml:space="preserve">Increasing the maximum permissible weights for certain alternatively fuelled and zero emission HGVs and other vehicles. Weight limits would increase by </w:t>
      </w:r>
      <w:r w:rsidRPr="00583864">
        <w:rPr>
          <w:rFonts w:ascii="Arial" w:hAnsi="Arial" w:cs="Arial"/>
          <w:sz w:val="24"/>
          <w:szCs w:val="24"/>
        </w:rPr>
        <w:t xml:space="preserve">the additional weight of the powertrain, up to a maximum of 1 tonne for alternatively fuelled </w:t>
      </w:r>
    </w:p>
    <w:p w:rsidR="00912A67" w:rsidRPr="00583864" w:rsidP="005E5997">
      <w:pPr>
        <w:jc w:val="both"/>
        <w:rPr>
          <w:rFonts w:ascii="Arial" w:hAnsi="Arial" w:cs="Arial"/>
          <w:sz w:val="24"/>
          <w:szCs w:val="24"/>
        </w:rPr>
      </w:pPr>
      <w:r w:rsidRPr="00583864">
        <w:rPr>
          <w:rFonts w:ascii="Arial" w:hAnsi="Arial" w:cs="Arial"/>
          <w:sz w:val="24"/>
          <w:szCs w:val="24"/>
        </w:rPr>
        <w:t xml:space="preserve">Non-zero emission HGVs are defined as those which produce harmful emissions at the tailpipe, including diesel, low </w:t>
      </w:r>
      <w:r w:rsidRPr="00583864">
        <w:rPr>
          <w:rFonts w:ascii="Arial" w:hAnsi="Arial" w:cs="Arial"/>
          <w:sz w:val="24"/>
          <w:szCs w:val="24"/>
        </w:rPr>
        <w:t>carbon</w:t>
      </w:r>
      <w:r w:rsidRPr="00583864">
        <w:rPr>
          <w:rFonts w:ascii="Arial" w:hAnsi="Arial" w:cs="Arial"/>
          <w:sz w:val="24"/>
          <w:szCs w:val="24"/>
        </w:rPr>
        <w:t xml:space="preserve"> and hybrid HGVs. Only fully zero emission technologies will adequately address greenhouse gas and other tailpipe pollutants from HGVs. The consultation closed on the 3rd September and we are analysing stakeholder responses. We intend to announce phase out dates as soon as possible; these will provide clarity and confidence to vehicle manufacturers, infrastructure providers and fleet operators to invest in zero emission vehicles, </w:t>
      </w:r>
      <w:r w:rsidRPr="00583864">
        <w:rPr>
          <w:rFonts w:ascii="Arial" w:hAnsi="Arial" w:cs="Arial"/>
          <w:sz w:val="24"/>
          <w:szCs w:val="24"/>
        </w:rPr>
        <w:t>technologies</w:t>
      </w:r>
      <w:r w:rsidRPr="00583864">
        <w:rPr>
          <w:rFonts w:ascii="Arial" w:hAnsi="Arial" w:cs="Arial"/>
          <w:sz w:val="24"/>
          <w:szCs w:val="24"/>
        </w:rPr>
        <w:t xml:space="preserve"> and infrastructure ahead of phase out dates.</w:t>
      </w:r>
    </w:p>
    <w:p w:rsidR="003824B3" w:rsidRPr="00583864" w:rsidP="008C26CA">
      <w:pPr>
        <w:jc w:val="both"/>
        <w:rPr>
          <w:rFonts w:ascii="Arial" w:hAnsi="Arial" w:cs="Arial"/>
          <w:sz w:val="24"/>
          <w:szCs w:val="24"/>
        </w:rPr>
      </w:pPr>
      <w:r w:rsidRPr="00583864">
        <w:rPr>
          <w:rFonts w:ascii="Arial" w:hAnsi="Arial" w:cs="Arial"/>
          <w:sz w:val="24"/>
          <w:szCs w:val="24"/>
        </w:rPr>
        <w:t>Consulting on phase out dates for non-zero emission HGVs is just one step on the path to a decarbonised road freight sector. We have already invested £20m this financial year to design Zero Emission Road Freight Trials which will support UK industry to develop cost-effective, zero-emission HGVs and their refuelling infrastructure in the UK. These will advance research and development in the technologies of hydrogen fuel cell, catenary electric and battery electric HGVs, allowing us to begin the commercial roll out of this new technology before the end of the decade. This funding is in addition to our long-standing vehicle grants, which reduce the purchase price of zero emission commercial vehicles for consumers. Government is providing £582 million to continue the plug-in grants until 2022-23, including support for the plug-in truck grant. The plug-in truck grant covers 20% of the purchase price of zero emission commercial vehicles, with up to £25,000 of funding available for the largest HGVs. This is on top of the £16,000 grant available for small trucks. As more zero emission trucks enter the market, the plug-in truck grant provides an opportunity for fleets to make the switch and release early carbon savings.</w:t>
      </w:r>
    </w:p>
    <w:p w:rsidR="00A62F88" w:rsidRPr="00583864" w:rsidP="008C26CA">
      <w:pPr>
        <w:jc w:val="both"/>
        <w:rPr>
          <w:rFonts w:ascii="Arial" w:hAnsi="Arial" w:cs="Arial"/>
          <w:sz w:val="24"/>
          <w:szCs w:val="24"/>
        </w:rPr>
      </w:pPr>
    </w:p>
    <w:p w:rsidR="00912A67" w:rsidRPr="00583864" w:rsidP="008C26CA">
      <w:pPr>
        <w:pStyle w:val="ListParagraph"/>
        <w:numPr>
          <w:ilvl w:val="0"/>
          <w:numId w:val="2"/>
        </w:numPr>
        <w:jc w:val="both"/>
        <w:rPr>
          <w:rFonts w:ascii="Arial" w:hAnsi="Arial" w:cs="Arial"/>
          <w:sz w:val="24"/>
          <w:szCs w:val="24"/>
        </w:rPr>
      </w:pPr>
      <w:r w:rsidRPr="00583864">
        <w:rPr>
          <w:rFonts w:ascii="Arial" w:hAnsi="Arial" w:cs="Arial"/>
          <w:b/>
          <w:bCs/>
          <w:sz w:val="24"/>
          <w:szCs w:val="24"/>
        </w:rPr>
        <w:t>Urgent publication of the Government’s hydrogen strategy and related decarbonisation strategies</w:t>
      </w:r>
      <w:r w:rsidRPr="00583864">
        <w:rPr>
          <w:rFonts w:ascii="Arial" w:hAnsi="Arial" w:cs="Arial"/>
          <w:sz w:val="24"/>
          <w:szCs w:val="24"/>
        </w:rPr>
        <w:t xml:space="preserve">, to give clarity to hauliers and bus operators about whether to invest in fuel cell </w:t>
      </w:r>
      <w:r w:rsidRPr="00583864">
        <w:rPr>
          <w:rFonts w:ascii="Arial" w:hAnsi="Arial" w:cs="Arial"/>
          <w:sz w:val="24"/>
          <w:szCs w:val="24"/>
        </w:rPr>
        <w:t>vehicles;</w:t>
      </w:r>
    </w:p>
    <w:p w:rsidR="00934216" w:rsidRPr="00583864" w:rsidP="008C26CA">
      <w:pPr>
        <w:jc w:val="both"/>
        <w:textAlignment w:val="baseline"/>
        <w:rPr>
          <w:rFonts w:ascii="Arial" w:hAnsi="Arial" w:cs="Arial"/>
          <w:sz w:val="24"/>
          <w:szCs w:val="24"/>
        </w:rPr>
      </w:pPr>
      <w:r w:rsidRPr="00583864">
        <w:rPr>
          <w:rFonts w:ascii="Arial" w:hAnsi="Arial" w:cs="Arial"/>
          <w:sz w:val="24"/>
          <w:szCs w:val="24"/>
        </w:rPr>
        <w:t xml:space="preserve">The government has published the first ever UK Hydrogen Strategy, alongside key policy detail on its support for low carbon hydrogen production across the UK. With this package, we are laying the foundations for a hydrogen economy, and building on the Prime Minister’s announcement last year, in his Ten Point Plan for a Green Industrial Revolution of the government’s ambition for 5GW of low carbon hydrogen production capacity by 2030. </w:t>
      </w:r>
    </w:p>
    <w:p w:rsidR="00934216" w:rsidRPr="00583864" w:rsidP="008C26CA">
      <w:pPr>
        <w:jc w:val="both"/>
        <w:textAlignment w:val="baseline"/>
        <w:rPr>
          <w:rFonts w:ascii="Arial" w:hAnsi="Arial" w:cs="Arial"/>
          <w:sz w:val="24"/>
          <w:szCs w:val="24"/>
        </w:rPr>
      </w:pPr>
      <w:r w:rsidRPr="00583864">
        <w:rPr>
          <w:rFonts w:ascii="Arial" w:hAnsi="Arial" w:cs="Arial"/>
          <w:sz w:val="24"/>
          <w:szCs w:val="24"/>
        </w:rPr>
        <w:t>This is the most substantive hydrogen strategy and policy package of its kind in the world and one that places the UK firmly at the forefront of the race to develop hydrogen as a promising replacement for fossil fuels in the global transition to net zero. </w:t>
      </w:r>
    </w:p>
    <w:p w:rsidR="00934216" w:rsidRPr="00583864" w:rsidP="008C26CA">
      <w:pPr>
        <w:jc w:val="both"/>
        <w:textAlignment w:val="baseline"/>
        <w:rPr>
          <w:rFonts w:ascii="Arial" w:hAnsi="Arial" w:cs="Arial"/>
          <w:sz w:val="24"/>
          <w:szCs w:val="24"/>
        </w:rPr>
      </w:pPr>
      <w:r w:rsidRPr="00583864">
        <w:rPr>
          <w:rFonts w:ascii="Arial" w:hAnsi="Arial" w:cs="Arial"/>
          <w:sz w:val="24"/>
          <w:szCs w:val="24"/>
        </w:rPr>
        <w:t>The Strategy sets out a comprehensive roadmap for the development of the wider hydrogen economy over the 2020s to deliver the government’s 2030 ambition.</w:t>
      </w:r>
    </w:p>
    <w:p w:rsidR="00934216" w:rsidRPr="00583864" w:rsidP="008C26CA">
      <w:pPr>
        <w:autoSpaceDE w:val="0"/>
        <w:autoSpaceDN w:val="0"/>
        <w:jc w:val="both"/>
        <w:rPr>
          <w:rFonts w:ascii="Arial" w:hAnsi="Arial" w:cs="Arial"/>
          <w:sz w:val="24"/>
          <w:szCs w:val="24"/>
        </w:rPr>
      </w:pPr>
      <w:r w:rsidRPr="00583864">
        <w:rPr>
          <w:rFonts w:ascii="Arial" w:hAnsi="Arial" w:cs="Arial"/>
          <w:sz w:val="24"/>
          <w:szCs w:val="24"/>
        </w:rPr>
        <w:t xml:space="preserve">As outlined in the Strategy, we expect that the role of hydrogen in transport will evolve over the course of the 2020s and beyond. To date, road transport has been a leading early market for hydrogen in the UK. Going forward, we expect hydrogen vehicles, particularly depot-based transport including buses, to constitute the bulk of 2020s hydrogen demand from the mobility sector. Fuel cell hydrogen buses have a range </w:t>
      </w:r>
      <w:r w:rsidRPr="00583864">
        <w:rPr>
          <w:rFonts w:ascii="Arial" w:hAnsi="Arial" w:cs="Arial"/>
          <w:sz w:val="24"/>
          <w:szCs w:val="24"/>
        </w:rPr>
        <w:t>similar to</w:t>
      </w:r>
      <w:r w:rsidRPr="00583864">
        <w:rPr>
          <w:rFonts w:ascii="Arial" w:hAnsi="Arial" w:cs="Arial"/>
          <w:sz w:val="24"/>
          <w:szCs w:val="24"/>
        </w:rPr>
        <w:t xml:space="preserve"> their diesel counterparts. We will undertake a range of research and innovation activity which will focus on difficult to decarbonise transport modes, such as heavy road freight. As we demonstrate and understand these larger-scale applications we are likely to see more diversity in transport end uses in the late 2020s and early 2030s.</w:t>
      </w:r>
    </w:p>
    <w:p w:rsidR="00934216" w:rsidRPr="00583864" w:rsidP="008C26CA">
      <w:pPr>
        <w:jc w:val="both"/>
        <w:rPr>
          <w:rFonts w:ascii="Arial" w:hAnsi="Arial" w:cs="Arial"/>
          <w:sz w:val="24"/>
          <w:szCs w:val="24"/>
        </w:rPr>
      </w:pPr>
      <w:r w:rsidRPr="00583864">
        <w:rPr>
          <w:rFonts w:ascii="Arial" w:hAnsi="Arial" w:cs="Arial"/>
          <w:sz w:val="24"/>
          <w:szCs w:val="24"/>
        </w:rPr>
        <w:t xml:space="preserve">Large long-haul HGVs are the most challenging segment of the road sector for developing zero emission options due to their long journey distances and heavy payload requirements. We are investing up to £20 million this financial year in designing trials for electric road system and hydrogen fuel cell HGVs and to run a battery electric trial to establish the feasibility, deliverability, </w:t>
      </w:r>
      <w:r w:rsidRPr="00583864">
        <w:rPr>
          <w:rFonts w:ascii="Arial" w:hAnsi="Arial" w:cs="Arial"/>
          <w:sz w:val="24"/>
          <w:szCs w:val="24"/>
        </w:rPr>
        <w:t>costs</w:t>
      </w:r>
      <w:r w:rsidRPr="00583864">
        <w:rPr>
          <w:rFonts w:ascii="Arial" w:hAnsi="Arial" w:cs="Arial"/>
          <w:sz w:val="24"/>
          <w:szCs w:val="24"/>
        </w:rPr>
        <w:t xml:space="preserve"> and benefits of these technologies in the UK. To further support the shift away from fossil fuels, government is also consulting on the phase out date for the sale of new non-zero emission HGVs.</w:t>
      </w:r>
    </w:p>
    <w:p w:rsidR="00912A67" w:rsidRPr="00583864" w:rsidP="005E5997">
      <w:pPr>
        <w:jc w:val="both"/>
        <w:rPr>
          <w:rFonts w:ascii="Arial" w:hAnsi="Arial" w:cs="Arial"/>
          <w:sz w:val="24"/>
          <w:szCs w:val="24"/>
        </w:rPr>
      </w:pPr>
    </w:p>
    <w:p w:rsidR="00E54C0A" w:rsidRPr="00583864" w:rsidP="00A62F88">
      <w:pPr>
        <w:pStyle w:val="ListParagraph"/>
        <w:numPr>
          <w:ilvl w:val="0"/>
          <w:numId w:val="2"/>
        </w:numPr>
        <w:jc w:val="both"/>
        <w:rPr>
          <w:rFonts w:ascii="Arial" w:hAnsi="Arial" w:cs="Arial"/>
          <w:sz w:val="24"/>
          <w:szCs w:val="24"/>
        </w:rPr>
      </w:pPr>
      <w:r w:rsidRPr="00583864">
        <w:rPr>
          <w:rFonts w:ascii="Arial" w:hAnsi="Arial" w:cs="Arial"/>
          <w:b/>
          <w:bCs/>
          <w:sz w:val="24"/>
          <w:szCs w:val="24"/>
        </w:rPr>
        <w:t>Establishment of research and innovation institutions for fuel cells</w:t>
      </w:r>
      <w:r w:rsidRPr="00583864">
        <w:rPr>
          <w:rFonts w:ascii="Arial" w:hAnsi="Arial" w:cs="Arial"/>
          <w:sz w:val="24"/>
          <w:szCs w:val="24"/>
        </w:rPr>
        <w:t>, to exploit the UK’s expertise and support UK companies to take a global lead.</w:t>
      </w:r>
    </w:p>
    <w:p w:rsidR="00E54C0A" w:rsidRPr="00583864" w:rsidP="005E5997">
      <w:pPr>
        <w:jc w:val="both"/>
        <w:rPr>
          <w:rFonts w:ascii="Arial" w:hAnsi="Arial" w:cs="Arial"/>
          <w:sz w:val="24"/>
          <w:szCs w:val="24"/>
        </w:rPr>
      </w:pPr>
      <w:r w:rsidRPr="00583864">
        <w:rPr>
          <w:rFonts w:ascii="Arial" w:hAnsi="Arial" w:cs="Arial"/>
          <w:sz w:val="24"/>
          <w:szCs w:val="24"/>
        </w:rPr>
        <w:t>Technology development for fuel cells is at an earlier stage than in batteries where several designs (such as lithium ion) are already manufactured in very large numbers. As a result, Government intervention to date has focused on supporting earlier development, for example:</w:t>
      </w:r>
    </w:p>
    <w:p w:rsidR="00E54C0A" w:rsidRPr="00583864" w:rsidP="005E5997">
      <w:pPr>
        <w:pStyle w:val="ListParagraph"/>
        <w:numPr>
          <w:ilvl w:val="0"/>
          <w:numId w:val="5"/>
        </w:numPr>
        <w:jc w:val="both"/>
        <w:rPr>
          <w:rFonts w:ascii="Arial" w:hAnsi="Arial" w:cs="Arial"/>
          <w:sz w:val="24"/>
          <w:szCs w:val="24"/>
        </w:rPr>
      </w:pPr>
      <w:r w:rsidRPr="00583864">
        <w:rPr>
          <w:rFonts w:ascii="Arial" w:hAnsi="Arial" w:cs="Arial"/>
          <w:sz w:val="24"/>
          <w:szCs w:val="24"/>
        </w:rPr>
        <w:t>The £23m Hydrogen for Transport Programme is funding the deployment of around 300 hydrogen vehicles, 9 new refuelling stations and upgrades to 5 existing stations.</w:t>
      </w:r>
    </w:p>
    <w:p w:rsidR="00E54C0A" w:rsidRPr="00583864" w:rsidP="005E5997">
      <w:pPr>
        <w:pStyle w:val="ListParagraph"/>
        <w:numPr>
          <w:ilvl w:val="0"/>
          <w:numId w:val="5"/>
        </w:numPr>
        <w:jc w:val="both"/>
        <w:rPr>
          <w:rFonts w:ascii="Arial" w:hAnsi="Arial" w:cs="Arial"/>
          <w:sz w:val="24"/>
          <w:szCs w:val="24"/>
        </w:rPr>
      </w:pPr>
      <w:r w:rsidRPr="00583864">
        <w:rPr>
          <w:rFonts w:ascii="Arial" w:hAnsi="Arial" w:cs="Arial"/>
          <w:sz w:val="24"/>
          <w:szCs w:val="24"/>
        </w:rPr>
        <w:t>The £2m FCEV Fleet Support Scheme is supporting public and private sector fleets to become early adopters of these vehicles.</w:t>
      </w:r>
    </w:p>
    <w:p w:rsidR="00E54C0A" w:rsidRPr="00583864" w:rsidP="00A62F88">
      <w:pPr>
        <w:jc w:val="both"/>
        <w:rPr>
          <w:rFonts w:ascii="Arial" w:hAnsi="Arial" w:cs="Arial"/>
          <w:sz w:val="24"/>
          <w:szCs w:val="24"/>
        </w:rPr>
      </w:pPr>
      <w:r w:rsidRPr="00583864">
        <w:rPr>
          <w:rFonts w:ascii="Arial" w:hAnsi="Arial" w:cs="Arial"/>
          <w:sz w:val="24"/>
          <w:szCs w:val="24"/>
        </w:rPr>
        <w:t xml:space="preserve">Fundamental research for fuel cells in the UK is led by the H2FC </w:t>
      </w:r>
      <w:r w:rsidRPr="00583864">
        <w:rPr>
          <w:rFonts w:ascii="Arial" w:hAnsi="Arial" w:cs="Arial"/>
          <w:sz w:val="24"/>
          <w:szCs w:val="24"/>
        </w:rPr>
        <w:t>Supergen</w:t>
      </w:r>
      <w:r w:rsidRPr="00583864">
        <w:rPr>
          <w:rFonts w:ascii="Arial" w:hAnsi="Arial" w:cs="Arial"/>
          <w:sz w:val="24"/>
          <w:szCs w:val="24"/>
        </w:rPr>
        <w:t xml:space="preserve"> research hub, funded by the Research Councils, led by Imperial College </w:t>
      </w:r>
      <w:r w:rsidRPr="00583864">
        <w:rPr>
          <w:rFonts w:ascii="Arial" w:hAnsi="Arial" w:cs="Arial"/>
          <w:sz w:val="24"/>
          <w:szCs w:val="24"/>
        </w:rPr>
        <w:t>London</w:t>
      </w:r>
      <w:r w:rsidRPr="00583864">
        <w:rPr>
          <w:rFonts w:ascii="Arial" w:hAnsi="Arial" w:cs="Arial"/>
          <w:sz w:val="24"/>
          <w:szCs w:val="24"/>
        </w:rPr>
        <w:t xml:space="preserve"> and including Loughborough University. This hub brings together Universities that have fuel cell research capacity to align research objectives and share techniques. They have recently released three white papers on hydrogen and fuel cells which describe the potential role in energy security and the contribution to a cost-effective low carbon energy system</w:t>
      </w:r>
    </w:p>
    <w:sectPr>
      <w:headerReference w:type="default" r:id="rId8"/>
      <w:footerReference w:type="default" r:id="rI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59007405"/>
      <w:docPartObj>
        <w:docPartGallery w:val="Page Numbers (Bottom of Page)"/>
        <w:docPartUnique/>
      </w:docPartObj>
    </w:sdtPr>
    <w:sdtEndPr>
      <w:rPr>
        <w:noProof/>
      </w:rPr>
    </w:sdtEndPr>
    <w:sdtContent>
      <w:p w:rsidR="005838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58386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1CDD">
    <w:pPr>
      <w:pStyle w:val="Header"/>
    </w:pPr>
    <w:r w:rsidRPr="00F77BC3">
      <w:rPr>
        <w:rFonts w:ascii="Arial" w:hAnsi="Arial" w:cs="Arial"/>
        <w:i/>
        <w:iCs/>
        <w:noProof/>
      </w:rPr>
      <w:drawing>
        <wp:anchor distT="0" distB="0" distL="114300" distR="114300" simplePos="0" relativeHeight="251658240" behindDoc="1" locked="0" layoutInCell="1" allowOverlap="1">
          <wp:simplePos x="0" y="0"/>
          <wp:positionH relativeFrom="margin">
            <wp:align>right</wp:align>
          </wp:positionH>
          <wp:positionV relativeFrom="paragraph">
            <wp:posOffset>-327660</wp:posOffset>
          </wp:positionV>
          <wp:extent cx="1327150" cy="704850"/>
          <wp:effectExtent l="0" t="0" r="6350" b="0"/>
          <wp:wrapThrough wrapText="bothSides">
            <wp:wrapPolygon>
              <wp:start x="0" y="0"/>
              <wp:lineTo x="0" y="21016"/>
              <wp:lineTo x="18603" y="21016"/>
              <wp:lineTo x="21393" y="21016"/>
              <wp:lineTo x="21393" y="18681"/>
              <wp:lineTo x="17983" y="8757"/>
              <wp:lineTo x="4651" y="0"/>
              <wp:lineTo x="0" y="0"/>
            </wp:wrapPolygon>
          </wp:wrapThrough>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327150" cy="704850"/>
                  </a:xfrm>
                  <a:prstGeom prst="rect">
                    <a:avLst/>
                  </a:prstGeom>
                  <a:noFill/>
                  <a:ln>
                    <a:noFill/>
                  </a:ln>
                </pic:spPr>
              </pic:pic>
            </a:graphicData>
          </a:graphic>
        </wp:anchor>
      </w:drawing>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587DF0"/>
    <w:multiLevelType w:val="hybridMultilevel"/>
    <w:tmpl w:val="21C6F9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7CB4EE8"/>
    <w:multiLevelType w:val="hybridMultilevel"/>
    <w:tmpl w:val="DB68CAD8"/>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C7A07B1"/>
    <w:multiLevelType w:val="hybridMultilevel"/>
    <w:tmpl w:val="0172CF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BE03815"/>
    <w:multiLevelType w:val="hybridMultilevel"/>
    <w:tmpl w:val="9F0AEB54"/>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45A614B"/>
    <w:multiLevelType w:val="hybridMultilevel"/>
    <w:tmpl w:val="1F82438E"/>
    <w:lvl w:ilvl="0">
      <w:start w:val="1"/>
      <w:numFmt w:val="decimal"/>
      <w:lvlText w:val="%1."/>
      <w:lvlJc w:val="left"/>
      <w:pPr>
        <w:ind w:left="720" w:hanging="360"/>
      </w:pPr>
      <w:rPr>
        <w:rFonts w:hint="default"/>
        <w:b/>
      </w:rPr>
    </w:lvl>
    <w:lvl w:ilvl="1">
      <w:start w:val="1"/>
      <w:numFmt w:val="lowerLetter"/>
      <w:lvlText w:val="%2."/>
      <w:lvlJc w:val="left"/>
      <w:pPr>
        <w:ind w:left="1540" w:hanging="4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AB639CB"/>
    <w:multiLevelType w:val="hybridMultilevel"/>
    <w:tmpl w:val="D258F0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E2A3742"/>
    <w:multiLevelType w:val="hybridMultilevel"/>
    <w:tmpl w:val="A19661EA"/>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4F555B8"/>
    <w:multiLevelType w:val="hybridMultilevel"/>
    <w:tmpl w:val="841A50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1CD0DA2"/>
    <w:multiLevelType w:val="hybridMultilevel"/>
    <w:tmpl w:val="43CECC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7"/>
  </w:num>
  <w:num w:numId="5">
    <w:abstractNumId w:val="6"/>
  </w:num>
  <w:num w:numId="6">
    <w:abstractNumId w:val="3"/>
  </w:num>
  <w:num w:numId="7">
    <w:abstractNumId w:val="1"/>
  </w:num>
  <w:num w:numId="8">
    <w:abstractNumId w:val="8"/>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1,Bullet Points,Colorful List - Accent 11,Dot pt,F5 List Paragraph,Indicator Text,List Paragraph Char Char Char,List Paragraph1,List Paragraph12,List Paragraph2,MAIN CONTENT,No Spacing1,Normal numbered,Numbered Para 1,Recommendatio"/>
    <w:basedOn w:val="Normal"/>
    <w:link w:val="ListParagraphChar"/>
    <w:uiPriority w:val="34"/>
    <w:qFormat/>
    <w:rsid w:val="00912A67"/>
    <w:pPr>
      <w:ind w:left="720"/>
      <w:contextualSpacing/>
    </w:pPr>
  </w:style>
  <w:style w:type="character" w:customStyle="1" w:styleId="ListParagraphChar">
    <w:name w:val="List Paragraph Char"/>
    <w:aliases w:val="Bullet 1 Char,Bullet Points Char,Colorful List - Accent 11 Char,Dot pt Char,F5 List Paragraph Char,Indicator Text Char,List Paragraph Char Char Char Char,List Paragraph1 Char,List Paragraph2 Char,No Spacing1 Char,Numbered Para 1 Char"/>
    <w:link w:val="ListParagraph"/>
    <w:uiPriority w:val="34"/>
    <w:qFormat/>
    <w:locked/>
    <w:rsid w:val="002743B8"/>
  </w:style>
  <w:style w:type="paragraph" w:styleId="Header">
    <w:name w:val="header"/>
    <w:basedOn w:val="Normal"/>
    <w:link w:val="HeaderChar"/>
    <w:uiPriority w:val="99"/>
    <w:unhideWhenUsed/>
    <w:rsid w:val="005838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864"/>
  </w:style>
  <w:style w:type="paragraph" w:styleId="Footer">
    <w:name w:val="footer"/>
    <w:basedOn w:val="Normal"/>
    <w:link w:val="FooterChar"/>
    <w:uiPriority w:val="99"/>
    <w:unhideWhenUsed/>
    <w:rsid w:val="005838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8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b482a0d7b7437614790e38636c37e70f">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b775bc854ebc65a65b9616c2f89104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g3ef09377e3444258679b6035a1ff93a xmlns="4600776d-0a3c-44b4-bff2-0ceaafb13046">
      <Terms xmlns="http://schemas.microsoft.com/office/infopath/2007/PartnerControls"/>
    </g3ef09377e3444258679b6035a1ff93a>
    <TransfertoArchives xmlns="4600776d-0a3c-44b4-bff2-0ceaafb13046">false</TransfertoArchives>
    <TaxCatchAll xmlns="4600776d-0a3c-44b4-bff2-0ceaafb13046">
      <Value>66</Value>
      <Value>45</Value>
      <Value>2</Value>
      <Value>8</Value>
      <Value>63</Value>
    </TaxCatchAll>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Report Responses</TermName>
          <TermId xmlns="http://schemas.microsoft.com/office/infopath/2007/PartnerControls">11edd49b-1c5a-4e4c-8eed-b33f9afdb24b</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Role of batteries and fuel cells in achieving Net Zero</TermName>
          <TermId xmlns="http://schemas.microsoft.com/office/infopath/2007/PartnerControls">8257996d-20f1-49e2-abd0-3f898118582c</TermId>
        </TermInfo>
      </Terms>
    </edc898bf3bb343549b83ac391d519ef2>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b42ee53a-2340-4c25-89c8-245227b3848b">2021-10-11T23:00:00+00:00</Meeting_x0020_Date>
    <RetentionTriggerDate xmlns="4600776d-0a3c-44b4-bff2-0ceaafb1304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Document_x0020_Status1 xmlns="b42ee53a-2340-4c25-89c8-245227b3848b">Final</Document_x0020_Status1>
  </documentManagement>
</p:properties>
</file>

<file path=customXml/itemProps1.xml><?xml version="1.0" encoding="utf-8"?>
<ds:datastoreItem xmlns:ds="http://schemas.openxmlformats.org/officeDocument/2006/customXml" ds:itemID="{716F98C1-6298-409E-8C52-912E2330E43E}">
  <ds:schemaRefs/>
</ds:datastoreItem>
</file>

<file path=customXml/itemProps2.xml><?xml version="1.0" encoding="utf-8"?>
<ds:datastoreItem xmlns:ds="http://schemas.openxmlformats.org/officeDocument/2006/customXml" ds:itemID="{B518ACA0-199E-48BF-8E0E-10BCFD572370}">
  <ds:schemaRefs/>
</ds:datastoreItem>
</file>

<file path=customXml/itemProps3.xml><?xml version="1.0" encoding="utf-8"?>
<ds:datastoreItem xmlns:ds="http://schemas.openxmlformats.org/officeDocument/2006/customXml" ds:itemID="{8FCE5FB1-300A-4C17-9AF0-790FD54869C2}">
  <ds:schemaRefs/>
</ds:datastoreItem>
</file>

<file path=customXml/itemProps4.xml><?xml version="1.0" encoding="utf-8"?>
<ds:datastoreItem xmlns:ds="http://schemas.openxmlformats.org/officeDocument/2006/customXml" ds:itemID="{C327AE3E-FB2F-48BF-B421-6F8CD087A36B}">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