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8B3F69" w:rsidRPr="00BB3B27" w:rsidP="004E363C">
      <w:pPr>
        <w:pStyle w:val="Logos"/>
        <w:tabs>
          <w:tab w:val="right" w:pos="9498"/>
        </w:tabs>
        <w:jc w:val="both"/>
        <w:rPr>
          <w:color w:val="FF0000"/>
          <w:highlight w:val="red"/>
        </w:rPr>
      </w:pPr>
      <w:r w:rsidRPr="00BB3B27">
        <w:rPr>
          <w:color w:val="FF0000"/>
        </w:rPr>
        <w:drawing>
          <wp:inline distT="0" distB="0" distL="0" distR="0">
            <wp:extent cx="1341755" cy="1080770"/>
            <wp:effectExtent l="0" t="0" r="0" b="0"/>
            <wp:docPr id="22" name="Picture 22" descr="Department for Education"/>
            <wp:cNvGraphicFramePr/>
            <a:graphic xmlns:a="http://schemas.openxmlformats.org/drawingml/2006/main">
              <a:graphicData uri="http://schemas.openxmlformats.org/drawingml/2006/picture">
                <pic:pic xmlns:pic="http://schemas.openxmlformats.org/drawingml/2006/picture">
                  <pic:nvPicPr>
                    <pic:cNvPr id="22" name="Picture 22" descr="Department for Education" title="Logo"/>
                    <pic:cNvPicPr/>
                  </pic:nvPicPr>
                  <pic:blipFill rotWithShape="1">
                    <a:blip xmlns:r="http://schemas.openxmlformats.org/officeDocument/2006/relationships" r:embed="rId10" cstate="print">
                      <a:extLst>
                        <a:ext uri="{28A0092B-C50C-407E-A947-70E740481C1C}">
                          <a14:useLocalDpi xmlns:a14="http://schemas.microsoft.com/office/drawing/2010/main" val="0"/>
                        </a:ext>
                      </a:extLst>
                    </a:blip>
                    <a:srcRect r="38062"/>
                    <a:stretch/>
                  </pic:blipFill>
                  <pic:spPr bwMode="auto">
                    <a:xfrm>
                      <a:off x="0" y="0"/>
                      <a:ext cx="1344930" cy="1075690"/>
                    </a:xfrm>
                    <a:prstGeom prst="rect">
                      <a:avLst/>
                    </a:prstGeom>
                    <a:ln>
                      <a:noFill/>
                    </a:ln>
                    <a:extLst>
                      <a:ext uri="{53640926-AAD7-44D8-BBD7-CCE9431645EC}">
                        <a14:shadowObscured xmlns:a14="http://schemas.microsoft.com/office/drawing/2010/main"/>
                      </a:ext>
                    </a:extLst>
                  </pic:spPr>
                </pic:pic>
              </a:graphicData>
            </a:graphic>
          </wp:inline>
        </w:drawing>
      </w:r>
      <w:r w:rsidRPr="00BB3B27">
        <w:rPr>
          <w:color w:val="FF0000"/>
        </w:rPr>
        <w:tab/>
      </w:r>
    </w:p>
    <w:p w:rsidR="002168C6" w:rsidP="00D3220E">
      <w:pPr>
        <w:pStyle w:val="TitleText"/>
        <w:rPr>
          <w:sz w:val="56"/>
          <w:szCs w:val="56"/>
        </w:rPr>
      </w:pPr>
      <w:r w:rsidRPr="007B0C40">
        <w:rPr>
          <w:sz w:val="56"/>
          <w:szCs w:val="56"/>
        </w:rPr>
        <w:t xml:space="preserve">Teachers’ Pension Scheme </w:t>
      </w:r>
      <w:r>
        <w:rPr>
          <w:sz w:val="56"/>
          <w:szCs w:val="56"/>
        </w:rPr>
        <w:t>(E</w:t>
      </w:r>
      <w:bookmarkStart w:id="0" w:name="_GoBack"/>
      <w:bookmarkEnd w:id="0"/>
      <w:r>
        <w:rPr>
          <w:sz w:val="56"/>
          <w:szCs w:val="56"/>
        </w:rPr>
        <w:t>ngland and Wales)</w:t>
      </w:r>
    </w:p>
    <w:p w:rsidR="008B3F69" w:rsidRPr="007B0C40" w:rsidP="002168C6">
      <w:pPr>
        <w:pStyle w:val="TitleText"/>
        <w:spacing w:before="240"/>
        <w:rPr>
          <w:sz w:val="56"/>
          <w:szCs w:val="56"/>
        </w:rPr>
      </w:pPr>
      <w:r w:rsidRPr="007B0C40">
        <w:rPr>
          <w:sz w:val="56"/>
          <w:szCs w:val="56"/>
        </w:rPr>
        <w:t>Main</w:t>
      </w:r>
      <w:r w:rsidRPr="007B0C40">
        <w:rPr>
          <w:sz w:val="56"/>
          <w:szCs w:val="56"/>
        </w:rPr>
        <w:t xml:space="preserve"> Estimate 2</w:t>
      </w:r>
      <w:r w:rsidRPr="007B0C40" w:rsidR="006D1831">
        <w:rPr>
          <w:sz w:val="56"/>
          <w:szCs w:val="56"/>
        </w:rPr>
        <w:t>0</w:t>
      </w:r>
      <w:r w:rsidRPr="007B0C40">
        <w:rPr>
          <w:sz w:val="56"/>
          <w:szCs w:val="56"/>
        </w:rPr>
        <w:t>20</w:t>
      </w:r>
      <w:r w:rsidRPr="007B0C40" w:rsidR="006D1831">
        <w:rPr>
          <w:sz w:val="56"/>
          <w:szCs w:val="56"/>
        </w:rPr>
        <w:t>-21</w:t>
      </w:r>
    </w:p>
    <w:p w:rsidR="008B3F69" w:rsidRPr="007B0C40" w:rsidP="001E61D3">
      <w:pPr>
        <w:pStyle w:val="SubtitleText"/>
        <w:rPr>
          <w:sz w:val="44"/>
          <w:szCs w:val="44"/>
        </w:rPr>
      </w:pPr>
      <w:r w:rsidRPr="007B0C40">
        <w:rPr>
          <w:sz w:val="44"/>
          <w:szCs w:val="44"/>
        </w:rPr>
        <w:t>Memorandum to the Education Select Committee</w:t>
      </w:r>
    </w:p>
    <w:p w:rsidR="008B3F69" w:rsidRPr="00483E33" w:rsidP="004E363C">
      <w:pPr>
        <w:pStyle w:val="Date"/>
        <w:jc w:val="both"/>
      </w:pPr>
      <w:r>
        <w:t>March</w:t>
      </w:r>
      <w:r w:rsidRPr="00483E33">
        <w:t xml:space="preserve"> 20</w:t>
      </w:r>
      <w:r w:rsidR="006D1831">
        <w:t>20</w:t>
      </w:r>
    </w:p>
    <w:p w:rsidR="008B3F69" w:rsidRPr="00BB3B27" w:rsidP="004E363C">
      <w:pPr>
        <w:jc w:val="both"/>
        <w:rPr>
          <w:b/>
          <w:color w:val="FF0000"/>
          <w:sz w:val="40"/>
          <w:szCs w:val="40"/>
          <w:highlight w:val="red"/>
        </w:rPr>
      </w:pPr>
      <w:r w:rsidRPr="00BB3B27">
        <w:rPr>
          <w:color w:val="FF0000"/>
          <w:highlight w:val="red"/>
        </w:rPr>
        <w:br w:type="page"/>
      </w:r>
    </w:p>
    <w:p w:rsidR="00F11688" w:rsidP="00F11688">
      <w:pPr>
        <w:pStyle w:val="BodyText"/>
        <w:jc w:val="left"/>
      </w:pPr>
    </w:p>
    <w:p w:rsidR="00BF0165" w:rsidRPr="00483E33" w:rsidP="00F11688">
      <w:pPr>
        <w:pStyle w:val="BodyText"/>
        <w:jc w:val="left"/>
      </w:pPr>
      <w:r w:rsidRPr="00483E33">
        <w:t>Teachers’ Pension Sc</w:t>
      </w:r>
      <w:r w:rsidRPr="00483E33" w:rsidR="00683943">
        <w:t xml:space="preserve">heme </w:t>
      </w:r>
      <w:r w:rsidR="00DC620D">
        <w:t>Main</w:t>
      </w:r>
      <w:r w:rsidRPr="00483E33" w:rsidR="00683943">
        <w:t xml:space="preserve"> Estimate 20</w:t>
      </w:r>
      <w:r w:rsidR="00DC620D">
        <w:t>20</w:t>
      </w:r>
      <w:r w:rsidR="006D1831">
        <w:t>-21</w:t>
      </w:r>
    </w:p>
    <w:sdt>
      <w:sdtPr>
        <w:rPr>
          <w:rFonts w:ascii="Arial" w:eastAsia="Times New Roman" w:hAnsi="Arial" w:cs="Times New Roman"/>
          <w:b w:val="0"/>
          <w:bCs w:val="0"/>
          <w:color w:val="auto"/>
          <w:sz w:val="24"/>
          <w:szCs w:val="24"/>
          <w:lang w:val="en-GB" w:eastAsia="en-US"/>
        </w:rPr>
        <w:id w:val="-1794741703"/>
        <w:docPartObj>
          <w:docPartGallery w:val="Table of Contents"/>
          <w:docPartUnique/>
        </w:docPartObj>
      </w:sdtPr>
      <w:sdtEndPr>
        <w:rPr>
          <w:noProof/>
        </w:rPr>
      </w:sdtEndPr>
      <w:sdtContent>
        <w:p w:rsidR="009D330D">
          <w:pPr>
            <w:pStyle w:val="TOCHeading"/>
          </w:pPr>
          <w:r>
            <w:t>Contents</w:t>
          </w:r>
        </w:p>
        <w:p w:rsidR="009C44A7" w:rsidRPr="006D1831" w:rsidP="006D1831">
          <w:pPr>
            <w:pStyle w:val="TOC2"/>
            <w:rPr>
              <w:rFonts w:eastAsiaTheme="minorEastAsia" w:cstheme="minorBidi"/>
              <w:lang w:eastAsia="en-GB"/>
            </w:rPr>
          </w:pPr>
          <w:r>
            <w:rPr>
              <w:rFonts w:asciiTheme="minorHAnsi" w:hAnsiTheme="minorHAnsi"/>
            </w:rPr>
            <w:fldChar w:fldCharType="begin"/>
          </w:r>
          <w:r>
            <w:instrText xml:space="preserve"> TOC \o "1-3" \h \z \u </w:instrText>
          </w:r>
          <w:r>
            <w:rPr>
              <w:rFonts w:asciiTheme="minorHAnsi" w:hAnsiTheme="minorHAnsi"/>
            </w:rPr>
            <w:fldChar w:fldCharType="separate"/>
          </w:r>
          <w:r>
            <w:fldChar w:fldCharType="begin"/>
          </w:r>
          <w:r>
            <w:instrText xml:space="preserve"> HYPERLINK \l "_Toc532902227" </w:instrText>
          </w:r>
          <w:r>
            <w:fldChar w:fldCharType="separate"/>
          </w:r>
          <w:r w:rsidRPr="006D1831" w:rsidR="006D1831">
            <w:rPr>
              <w:rStyle w:val="Hyperlink"/>
            </w:rPr>
            <w:t>OVERVIEW</w:t>
          </w:r>
          <w:r w:rsidRPr="006D1831">
            <w:rPr>
              <w:webHidden/>
            </w:rPr>
            <w:tab/>
          </w:r>
          <w:r w:rsidRPr="006D1831">
            <w:rPr>
              <w:webHidden/>
            </w:rPr>
            <w:fldChar w:fldCharType="begin"/>
          </w:r>
          <w:r w:rsidRPr="006D1831">
            <w:rPr>
              <w:webHidden/>
            </w:rPr>
            <w:instrText xml:space="preserve"> PAGEREF _Toc532902227 \h </w:instrText>
          </w:r>
          <w:r w:rsidRPr="006D1831">
            <w:rPr>
              <w:webHidden/>
            </w:rPr>
            <w:fldChar w:fldCharType="separate"/>
          </w:r>
          <w:r w:rsidRPr="006D1831" w:rsidR="00F63914">
            <w:rPr>
              <w:webHidden/>
            </w:rPr>
            <w:t>3</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"_Toc532902228" </w:instrText>
          </w:r>
          <w:r>
            <w:fldChar w:fldCharType="separate"/>
          </w:r>
          <w:r w:rsidRPr="006D1831">
            <w:rPr>
              <w:rStyle w:val="Hyperlink"/>
            </w:rPr>
            <w:t>Objectives</w:t>
          </w:r>
          <w:r w:rsidRPr="006D1831">
            <w:rPr>
              <w:webHidden/>
            </w:rPr>
            <w:tab/>
          </w:r>
          <w:r w:rsidRPr="006D1831">
            <w:rPr>
              <w:webHidden/>
            </w:rPr>
            <w:fldChar w:fldCharType="begin"/>
          </w:r>
          <w:r w:rsidRPr="006D1831">
            <w:rPr>
              <w:webHidden/>
            </w:rPr>
            <w:instrText xml:space="preserve"> PAGEREF _Toc532902228 \h </w:instrText>
          </w:r>
          <w:r w:rsidRPr="006D1831">
            <w:rPr>
              <w:webHidden/>
            </w:rPr>
            <w:fldChar w:fldCharType="separate"/>
          </w:r>
          <w:r w:rsidRPr="006D1831" w:rsidR="00F63914">
            <w:rPr>
              <w:webHidden/>
            </w:rPr>
            <w:t>3</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"_Toc532902229" </w:instrText>
          </w:r>
          <w:r>
            <w:fldChar w:fldCharType="separate"/>
          </w:r>
          <w:r w:rsidRPr="006D1831">
            <w:rPr>
              <w:rStyle w:val="Hyperlink"/>
            </w:rPr>
            <w:t>Spending Controls</w:t>
          </w:r>
          <w:r w:rsidRPr="006D1831">
            <w:rPr>
              <w:webHidden/>
            </w:rPr>
            <w:tab/>
          </w:r>
          <w:r w:rsidRPr="006D1831">
            <w:rPr>
              <w:webHidden/>
            </w:rPr>
            <w:fldChar w:fldCharType="begin"/>
          </w:r>
          <w:r w:rsidRPr="006D1831">
            <w:rPr>
              <w:webHidden/>
            </w:rPr>
            <w:instrText xml:space="preserve"> PAGEREF _Toc532902229 \h </w:instrText>
          </w:r>
          <w:r w:rsidRPr="006D1831">
            <w:rPr>
              <w:webHidden/>
            </w:rPr>
            <w:fldChar w:fldCharType="separate"/>
          </w:r>
          <w:r w:rsidRPr="006D1831" w:rsidR="00F63914">
            <w:rPr>
              <w:webHidden/>
            </w:rPr>
            <w:t>3</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"_Toc532902230" </w:instrText>
          </w:r>
          <w:r>
            <w:fldChar w:fldCharType="separate"/>
          </w:r>
          <w:r w:rsidRPr="006D1831">
            <w:rPr>
              <w:rStyle w:val="Hyperlink"/>
            </w:rPr>
            <w:t>Comparison of Net Spending Totals Sought</w:t>
          </w:r>
          <w:r w:rsidRPr="006D1831">
            <w:rPr>
              <w:webHidden/>
            </w:rPr>
            <w:tab/>
          </w:r>
          <w:r w:rsidRPr="006D1831">
            <w:rPr>
              <w:webHidden/>
            </w:rPr>
            <w:fldChar w:fldCharType="begin"/>
          </w:r>
          <w:r w:rsidRPr="006D1831">
            <w:rPr>
              <w:webHidden/>
            </w:rPr>
            <w:instrText xml:space="preserve"> PAGEREF _Toc532902230 \h </w:instrText>
          </w:r>
          <w:r w:rsidRPr="006D1831">
            <w:rPr>
              <w:webHidden/>
            </w:rPr>
            <w:fldChar w:fldCharType="separate"/>
          </w:r>
          <w:r w:rsidRPr="006D1831" w:rsidR="00F63914">
            <w:rPr>
              <w:webHidden/>
            </w:rPr>
            <w:t>3</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"_Toc532902231" </w:instrText>
          </w:r>
          <w:r>
            <w:fldChar w:fldCharType="separate"/>
          </w:r>
          <w:r w:rsidRPr="006D1831">
            <w:rPr>
              <w:rStyle w:val="Hyperlink"/>
            </w:rPr>
            <w:t>Key Drivers of Spending Changes since Last Year</w:t>
          </w:r>
          <w:r w:rsidRPr="006D1831">
            <w:rPr>
              <w:webHidden/>
            </w:rPr>
            <w:tab/>
          </w:r>
          <w:r w:rsidRPr="006D1831">
            <w:rPr>
              <w:webHidden/>
            </w:rPr>
            <w:fldChar w:fldCharType="begin"/>
          </w:r>
          <w:r w:rsidRPr="006D1831">
            <w:rPr>
              <w:webHidden/>
            </w:rPr>
            <w:instrText xml:space="preserve"> PAGEREF _Toc532902231 \h </w:instrText>
          </w:r>
          <w:r w:rsidRPr="006D1831">
            <w:rPr>
              <w:webHidden/>
            </w:rPr>
            <w:fldChar w:fldCharType="separate"/>
          </w:r>
          <w:r w:rsidRPr="006D1831" w:rsidR="00F63914">
            <w:rPr>
              <w:webHidden/>
            </w:rPr>
            <w:t>3</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"_Toc532902232" </w:instrText>
          </w:r>
          <w:r>
            <w:fldChar w:fldCharType="separate"/>
          </w:r>
          <w:r w:rsidRPr="006D1831">
            <w:rPr>
              <w:rStyle w:val="Hyperlink"/>
            </w:rPr>
            <w:t>Spending Trends</w:t>
          </w:r>
          <w:r w:rsidRPr="006D1831">
            <w:rPr>
              <w:webHidden/>
            </w:rPr>
            <w:tab/>
          </w:r>
          <w:r w:rsidRPr="006D1831">
            <w:rPr>
              <w:webHidden/>
            </w:rPr>
            <w:fldChar w:fldCharType="begin"/>
          </w:r>
          <w:r w:rsidRPr="006D1831">
            <w:rPr>
              <w:webHidden/>
            </w:rPr>
            <w:instrText xml:space="preserve"> PAGEREF _Toc532902232 \h </w:instrText>
          </w:r>
          <w:r w:rsidRPr="006D1831">
            <w:rPr>
              <w:webHidden/>
            </w:rPr>
            <w:fldChar w:fldCharType="separate"/>
          </w:r>
          <w:r w:rsidRPr="006D1831" w:rsidR="00F63914">
            <w:rPr>
              <w:webHidden/>
            </w:rPr>
            <w:t>4</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"_Toc532902233" </w:instrText>
          </w:r>
          <w:r>
            <w:fldChar w:fldCharType="separate"/>
          </w:r>
          <w:r w:rsidRPr="006D1831">
            <w:rPr>
              <w:rStyle w:val="Hyperlink"/>
            </w:rPr>
            <w:t>Administration Costs and Efficiency Plans</w:t>
          </w:r>
          <w:r w:rsidRPr="006D1831">
            <w:rPr>
              <w:webHidden/>
            </w:rPr>
            <w:tab/>
          </w:r>
          <w:r w:rsidRPr="006D1831">
            <w:rPr>
              <w:webHidden/>
            </w:rPr>
            <w:fldChar w:fldCharType="begin"/>
          </w:r>
          <w:r w:rsidRPr="006D1831">
            <w:rPr>
              <w:webHidden/>
            </w:rPr>
            <w:instrText xml:space="preserve"> PAGEREF _Toc532902233 \h </w:instrText>
          </w:r>
          <w:r w:rsidRPr="006D1831">
            <w:rPr>
              <w:webHidden/>
            </w:rPr>
            <w:fldChar w:fldCharType="separate"/>
          </w:r>
          <w:r w:rsidRPr="006D1831" w:rsidR="00F63914">
            <w:rPr>
              <w:webHidden/>
            </w:rPr>
            <w:t>4</w:t>
          </w:r>
          <w:r w:rsidRPr="006D1831">
            <w:rPr>
              <w:webHidden/>
            </w:rPr>
            <w:fldChar w:fldCharType="end"/>
          </w:r>
          <w:r>
            <w:fldChar w:fldCharType="end"/>
          </w:r>
        </w:p>
        <w:p w:rsidR="009C44A7" w:rsidRPr="006D1831" w:rsidP="006D1831">
          <w:pPr>
            <w:pStyle w:val="TOC1"/>
            <w:rPr>
              <w:rFonts w:eastAsiaTheme="minorEastAsia"/>
              <w:lang w:eastAsia="en-GB"/>
            </w:rPr>
          </w:pPr>
          <w:r>
            <w:fldChar w:fldCharType="begin"/>
          </w:r>
          <w:r>
            <w:instrText xml:space="preserve"> HYPERLINK \l "_Toc532902234" </w:instrText>
          </w:r>
          <w:r>
            <w:fldChar w:fldCharType="separate"/>
          </w:r>
          <w:r w:rsidRPr="006D1831">
            <w:rPr>
              <w:rStyle w:val="Hyperlink"/>
            </w:rPr>
            <w:t>Spending Detail</w:t>
          </w:r>
          <w:r w:rsidRPr="006D1831">
            <w:rPr>
              <w:webHidden/>
            </w:rPr>
            <w:tab/>
          </w:r>
          <w:r w:rsidRPr="006D1831">
            <w:rPr>
              <w:webHidden/>
            </w:rPr>
            <w:fldChar w:fldCharType="begin"/>
          </w:r>
          <w:r w:rsidRPr="006D1831">
            <w:rPr>
              <w:webHidden/>
            </w:rPr>
            <w:instrText xml:space="preserve"> PAGEREF _Toc532902234 \h </w:instrText>
          </w:r>
          <w:r w:rsidRPr="006D1831">
            <w:rPr>
              <w:webHidden/>
            </w:rPr>
            <w:fldChar w:fldCharType="separate"/>
          </w:r>
          <w:r w:rsidRPr="006D1831" w:rsidR="00F63914">
            <w:rPr>
              <w:webHidden/>
            </w:rPr>
            <w:t>5</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"_Toc532902235" </w:instrText>
          </w:r>
          <w:r>
            <w:fldChar w:fldCharType="separate"/>
          </w:r>
          <w:r w:rsidRPr="006D1831">
            <w:rPr>
              <w:rStyle w:val="Hyperlink"/>
            </w:rPr>
            <w:t>Explanation of Changes in Spending</w:t>
          </w:r>
          <w:r w:rsidRPr="006D1831">
            <w:rPr>
              <w:webHidden/>
            </w:rPr>
            <w:tab/>
          </w:r>
          <w:r w:rsidRPr="006D1831">
            <w:rPr>
              <w:webHidden/>
            </w:rPr>
            <w:fldChar w:fldCharType="begin"/>
          </w:r>
          <w:r w:rsidRPr="006D1831">
            <w:rPr>
              <w:webHidden/>
            </w:rPr>
            <w:instrText xml:space="preserve"> PAGEREF _Toc532902235 \h </w:instrText>
          </w:r>
          <w:r w:rsidRPr="006D1831">
            <w:rPr>
              <w:webHidden/>
            </w:rPr>
            <w:fldChar w:fldCharType="separate"/>
          </w:r>
          <w:r w:rsidRPr="006D1831" w:rsidR="00F63914">
            <w:rPr>
              <w:webHidden/>
            </w:rPr>
            <w:t>5</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"_Toc532902236" </w:instrText>
          </w:r>
          <w:r>
            <w:fldChar w:fldCharType="separate"/>
          </w:r>
          <w:r w:rsidRPr="006D1831">
            <w:rPr>
              <w:rStyle w:val="Hyperlink"/>
            </w:rPr>
            <w:t>Contingent Liabilities</w:t>
          </w:r>
          <w:r w:rsidRPr="006D1831">
            <w:rPr>
              <w:webHidden/>
            </w:rPr>
            <w:tab/>
          </w:r>
          <w:r w:rsidRPr="006D1831">
            <w:rPr>
              <w:webHidden/>
            </w:rPr>
            <w:fldChar w:fldCharType="begin"/>
          </w:r>
          <w:r w:rsidRPr="006D1831">
            <w:rPr>
              <w:webHidden/>
            </w:rPr>
            <w:instrText xml:space="preserve"> PAGEREF _Toc532902236 \h </w:instrText>
          </w:r>
          <w:r w:rsidRPr="006D1831">
            <w:rPr>
              <w:webHidden/>
            </w:rPr>
            <w:fldChar w:fldCharType="separate"/>
          </w:r>
          <w:r w:rsidRPr="006D1831" w:rsidR="00F63914">
            <w:rPr>
              <w:webHidden/>
            </w:rPr>
            <w:t>6</w:t>
          </w:r>
          <w:r w:rsidRPr="006D1831">
            <w:rPr>
              <w:webHidden/>
            </w:rPr>
            <w:fldChar w:fldCharType="end"/>
          </w:r>
          <w:r>
            <w:fldChar w:fldCharType="end"/>
          </w:r>
        </w:p>
        <w:p w:rsidR="009C44A7" w:rsidRPr="006D1831" w:rsidP="006D1831">
          <w:pPr>
            <w:pStyle w:val="TOC2"/>
            <w:rPr>
              <w:rFonts w:eastAsiaTheme="minorEastAsia" w:cstheme="minorBidi"/>
              <w:lang w:eastAsia="en-GB"/>
            </w:rPr>
          </w:pPr>
          <w:r>
            <w:fldChar w:fldCharType="begin"/>
          </w:r>
          <w:r>
            <w:instrText xml:space="preserve"> HYPERLINK \l "_Toc532902237" </w:instrText>
          </w:r>
          <w:r>
            <w:fldChar w:fldCharType="separate"/>
          </w:r>
          <w:r w:rsidRPr="006D1831">
            <w:rPr>
              <w:rStyle w:val="Hyperlink"/>
            </w:rPr>
            <w:t>Estimates Scheme Liabilities</w:t>
          </w:r>
          <w:r w:rsidRPr="006D1831">
            <w:rPr>
              <w:webHidden/>
            </w:rPr>
            <w:tab/>
          </w:r>
          <w:r w:rsidRPr="006D1831">
            <w:rPr>
              <w:webHidden/>
            </w:rPr>
            <w:fldChar w:fldCharType="begin"/>
          </w:r>
          <w:r w:rsidRPr="006D1831">
            <w:rPr>
              <w:webHidden/>
            </w:rPr>
            <w:instrText xml:space="preserve"> PAGEREF _Toc532902237 \h </w:instrText>
          </w:r>
          <w:r w:rsidRPr="006D1831">
            <w:rPr>
              <w:webHidden/>
            </w:rPr>
            <w:fldChar w:fldCharType="separate"/>
          </w:r>
          <w:r w:rsidRPr="006D1831" w:rsidR="00F63914">
            <w:rPr>
              <w:webHidden/>
            </w:rPr>
            <w:t>6</w:t>
          </w:r>
          <w:r w:rsidRPr="006D1831">
            <w:rPr>
              <w:webHidden/>
            </w:rPr>
            <w:fldChar w:fldCharType="end"/>
          </w:r>
          <w:r>
            <w:fldChar w:fldCharType="end"/>
          </w:r>
        </w:p>
        <w:p w:rsidR="009D330D">
          <w:r>
            <w:rPr>
              <w:b/>
              <w:bCs/>
              <w:noProof/>
            </w:rPr>
            <w:fldChar w:fldCharType="end"/>
          </w:r>
        </w:p>
      </w:sdtContent>
    </w:sdt>
    <w:p w:rsidR="00870C72" w:rsidRPr="00132A6E" w:rsidP="004E363C">
      <w:pPr>
        <w:jc w:val="both"/>
        <w:rPr>
          <w:color w:val="FF0000"/>
          <w:highlight w:val="red"/>
        </w:rPr>
      </w:pPr>
    </w:p>
    <w:p w:rsidR="00F11688" w:rsidP="00851E82">
      <w:pPr>
        <w:pStyle w:val="Heading2"/>
        <w:sectPr w:rsidSect="00F465D9">
          <w:headerReference w:type="even" r:id="rId11"/>
          <w:headerReference w:type="default" r:id="rId12"/>
          <w:footerReference w:type="even" r:id="rId13"/>
          <w:footerReference w:type="default" r:id="rId14"/>
          <w:headerReference w:type="first" r:id="rId15"/>
          <w:footerReference w:type="first" r:id="rId16"/>
          <w:pgSz w:w="11906" w:h="16838" w:code="9"/>
          <w:pgMar w:top="720" w:right="720" w:bottom="709" w:left="720" w:header="706" w:footer="706" w:gutter="0"/>
          <w:cols w:space="708"/>
          <w:titlePg/>
          <w:docGrid w:linePitch="360"/>
        </w:sectPr>
      </w:pPr>
      <w:bookmarkStart w:id="1" w:name="_Toc532902227"/>
    </w:p>
    <w:p w:rsidR="00851E82" w:rsidRPr="006D1831" w:rsidP="006D1831">
      <w:pPr>
        <w:pStyle w:val="Heading1"/>
      </w:pPr>
      <w:r w:rsidRPr="006D1831">
        <w:t>Overview</w:t>
      </w:r>
      <w:bookmarkEnd w:id="1"/>
    </w:p>
    <w:p w:rsidR="0091185F" w:rsidRPr="0091185F" w:rsidP="0091185F">
      <w:pPr>
        <w:pStyle w:val="Heading2"/>
      </w:pPr>
      <w:bookmarkStart w:id="2" w:name="_Toc532902228"/>
      <w:r>
        <w:t>Objectives</w:t>
      </w:r>
      <w:bookmarkEnd w:id="2"/>
    </w:p>
    <w:p w:rsidR="00605DBF" w:rsidP="00851E82">
      <w:r w:rsidRPr="006D5F30">
        <w:t>The T</w:t>
      </w:r>
      <w:r w:rsidR="00851E82">
        <w:t xml:space="preserve">eachers’ </w:t>
      </w:r>
      <w:r w:rsidRPr="006D5F30">
        <w:t>P</w:t>
      </w:r>
      <w:r w:rsidR="00851E82">
        <w:t xml:space="preserve">ension </w:t>
      </w:r>
      <w:r w:rsidRPr="006D5F30">
        <w:t>S</w:t>
      </w:r>
      <w:r w:rsidR="00851E82">
        <w:t>cheme</w:t>
      </w:r>
      <w:r w:rsidR="002168C6">
        <w:t xml:space="preserve"> (England and Wales) </w:t>
      </w:r>
      <w:r w:rsidR="00851E82">
        <w:t xml:space="preserve"> (TPS, the Scheme)</w:t>
      </w:r>
      <w:r w:rsidRPr="006D5F30">
        <w:t xml:space="preserve"> </w:t>
      </w:r>
      <w:r w:rsidRPr="006D5F30" w:rsidR="000A62D8">
        <w:t>is an unfunded defined benefit S</w:t>
      </w:r>
      <w:r w:rsidRPr="006D5F30">
        <w:t>che</w:t>
      </w:r>
      <w:r w:rsidRPr="006D5F30" w:rsidR="000A62D8">
        <w:t>me, in which payments from the S</w:t>
      </w:r>
      <w:r w:rsidRPr="006D5F30">
        <w:t xml:space="preserve">cheme are funded by contributions from current employees and employers in England and Wales, with the </w:t>
      </w:r>
      <w:r w:rsidR="0085376F">
        <w:t>shortfall</w:t>
      </w:r>
      <w:r w:rsidRPr="006D5F30">
        <w:t xml:space="preserve"> being financed by the </w:t>
      </w:r>
      <w:r w:rsidRPr="006D5F30" w:rsidR="00BF03F5">
        <w:t>E</w:t>
      </w:r>
      <w:r w:rsidRPr="006D5F30">
        <w:t xml:space="preserve">xchequer. </w:t>
      </w:r>
    </w:p>
    <w:p w:rsidR="00851E82" w:rsidRPr="006D5F30" w:rsidP="00851E82">
      <w:pPr>
        <w:pStyle w:val="Heading2"/>
      </w:pPr>
      <w:bookmarkStart w:id="3" w:name="_Toc532902229"/>
      <w:r>
        <w:t>Spending Controls</w:t>
      </w:r>
      <w:bookmarkEnd w:id="3"/>
    </w:p>
    <w:p w:rsidR="00DD66CD" w:rsidP="00DD66CD">
      <w:bookmarkStart w:id="4" w:name="_Toc410994681"/>
      <w:r w:rsidRPr="00851E82">
        <w:t xml:space="preserve">The </w:t>
      </w:r>
      <w:r>
        <w:t>TPS</w:t>
      </w:r>
      <w:r w:rsidRPr="00851E82">
        <w:t xml:space="preserve"> budg</w:t>
      </w:r>
      <w:r>
        <w:t>ets are not subject to pre-set D</w:t>
      </w:r>
      <w:r w:rsidRPr="00851E82">
        <w:t xml:space="preserve">epartmental Expenditure Limit (DEL) control totals; they sit within a category of spending known as Resource Annually Managed Expenditure (AME), which can be revised and reforecast regularly. This is because net expenditure and cash payments are largely outside the control of the scheme administrators on a day to day basis, instead being affected by factors such as membership numbers; salary levels; mortality rates; the age profile of members, and annual pension increases. </w:t>
      </w:r>
    </w:p>
    <w:p w:rsidR="00851E82" w:rsidRPr="00851E82" w:rsidP="00DD66CD">
      <w:r w:rsidRPr="00851E82">
        <w:t xml:space="preserve">The </w:t>
      </w:r>
      <w:r w:rsidRPr="0085376F">
        <w:rPr>
          <w:b/>
        </w:rPr>
        <w:t>Resource AME</w:t>
      </w:r>
      <w:r w:rsidRPr="00851E82">
        <w:t xml:space="preserve"> sought under the </w:t>
      </w:r>
      <w:r>
        <w:t>Teacher</w:t>
      </w:r>
      <w:r w:rsidRPr="00851E82">
        <w:t>s</w:t>
      </w:r>
      <w:r>
        <w:t>’</w:t>
      </w:r>
      <w:r w:rsidRPr="00851E82">
        <w:t xml:space="preserve"> </w:t>
      </w:r>
      <w:r>
        <w:t>P</w:t>
      </w:r>
      <w:r w:rsidRPr="00851E82">
        <w:t xml:space="preserve">ension </w:t>
      </w:r>
      <w:r>
        <w:t>S</w:t>
      </w:r>
      <w:r w:rsidRPr="00851E82">
        <w:t>cheme Estimate is essentially the amount b</w:t>
      </w:r>
      <w:r>
        <w:t>y which liabilities under the</w:t>
      </w:r>
      <w:r w:rsidRPr="00851E82">
        <w:t xml:space="preserve"> </w:t>
      </w:r>
      <w:r>
        <w:t>S</w:t>
      </w:r>
      <w:r w:rsidRPr="00851E82">
        <w:t>cheme are estimated to increase during the year, less the contributions paid by employers and employees towards those liabilities.</w:t>
      </w:r>
    </w:p>
    <w:p w:rsidR="00851E82" w:rsidP="00851E82">
      <w:pPr>
        <w:rPr>
          <w:b/>
        </w:rPr>
      </w:pPr>
      <w:r w:rsidRPr="00851E82">
        <w:t xml:space="preserve">In addition, the </w:t>
      </w:r>
      <w:r w:rsidRPr="0085376F">
        <w:rPr>
          <w:b/>
        </w:rPr>
        <w:t>net cash requirement</w:t>
      </w:r>
      <w:r w:rsidRPr="00851E82">
        <w:t xml:space="preserve"> represents the estimated net cash required for the year to cover payments of pensions, after taking account of estimated contributions and transfer values paid in by employees and employers. Over time, these amounts are intended to balance, but in a particular year they will not.  A negative value means that more is forecast to be received than paid in year. </w:t>
      </w:r>
    </w:p>
    <w:p w:rsidR="00B56613" w:rsidP="000E42BB">
      <w:pPr>
        <w:pStyle w:val="Heading2"/>
      </w:pPr>
      <w:bookmarkStart w:id="5" w:name="_Toc532902230"/>
      <w:bookmarkEnd w:id="4"/>
      <w:r>
        <w:t>Comparison of Net Spending Totals Sought</w:t>
      </w:r>
      <w:bookmarkEnd w:id="5"/>
    </w:p>
    <w:p w:rsidR="000E42BB" w:rsidRPr="000E42BB" w:rsidP="000E42BB">
      <w:r>
        <w:t>The table and graphic below shows how the totals sought for the Scheme compare with last year:</w:t>
      </w:r>
    </w:p>
    <w:tbl>
      <w:tblPr>
        <w:tblStyle w:val="TableGrid"/>
        <w:tblCaption w:val="Estimate Control Totals 2017-18"/>
        <w:tblDescription w:val="Showing Annually Managed Expenditure and the Net Cash Requirement"/>
        <w:tblW w:w="10348" w:type="dxa"/>
        <w:tblInd w:w="-5" w:type="dxa"/>
        <w:tblLayout w:type="fixed"/>
        <w:tblLook w:val="04A0"/>
      </w:tblPr>
      <w:tblGrid>
        <w:gridCol w:w="2835"/>
        <w:gridCol w:w="1560"/>
        <w:gridCol w:w="1488"/>
        <w:gridCol w:w="1488"/>
        <w:gridCol w:w="1488"/>
        <w:gridCol w:w="1489"/>
      </w:tblGrid>
      <w:tr w:rsidTr="000E42BB">
        <w:tblPrEx>
          <w:tblW w:w="10348" w:type="dxa"/>
          <w:tblInd w:w="-5" w:type="dxa"/>
          <w:tblLayout w:type="fixed"/>
          <w:tblLook w:val="04A0"/>
        </w:tblPrEx>
        <w:trPr>
          <w:tblHeader/>
        </w:trPr>
        <w:tc>
          <w:tcPr>
            <w:tcW w:w="4395" w:type="dxa"/>
            <w:gridSpan w:val="2"/>
            <w:tcBorders>
              <w:bottom w:val="nil"/>
            </w:tcBorders>
          </w:tcPr>
          <w:p w:rsidR="000E42BB" w:rsidRPr="000E42BB" w:rsidP="004E363C">
            <w:pPr>
              <w:pStyle w:val="Table"/>
              <w:spacing w:before="240"/>
              <w:jc w:val="both"/>
              <w:rPr>
                <w:color w:val="auto"/>
              </w:rPr>
            </w:pPr>
            <w:r w:rsidRPr="000E42BB">
              <w:rPr>
                <w:color w:val="auto"/>
              </w:rPr>
              <w:t>Net Spending Total</w:t>
            </w:r>
          </w:p>
          <w:p w:rsidR="000E42BB" w:rsidRPr="000E42BB" w:rsidP="004E363C">
            <w:pPr>
              <w:pStyle w:val="Table"/>
              <w:spacing w:before="240"/>
              <w:jc w:val="both"/>
              <w:rPr>
                <w:color w:val="auto"/>
              </w:rPr>
            </w:pPr>
            <w:r w:rsidRPr="000E42BB">
              <w:rPr>
                <w:color w:val="auto"/>
              </w:rPr>
              <w:t>Amounts sought this year</w:t>
            </w:r>
            <w:r w:rsidR="00E934C9">
              <w:rPr>
                <w:color w:val="auto"/>
              </w:rPr>
              <w:t xml:space="preserve"> (£ million)</w:t>
            </w:r>
          </w:p>
        </w:tc>
        <w:tc>
          <w:tcPr>
            <w:tcW w:w="2976" w:type="dxa"/>
            <w:gridSpan w:val="2"/>
          </w:tcPr>
          <w:p w:rsidR="000E42BB" w:rsidRPr="000E42BB" w:rsidP="00685FDB">
            <w:pPr>
              <w:pStyle w:val="Table"/>
              <w:spacing w:before="240"/>
              <w:ind w:left="33"/>
              <w:jc w:val="both"/>
              <w:rPr>
                <w:color w:val="auto"/>
              </w:rPr>
            </w:pPr>
            <w:r w:rsidRPr="000E42BB">
              <w:rPr>
                <w:color w:val="auto"/>
              </w:rPr>
              <w:t xml:space="preserve">Compared to </w:t>
            </w:r>
            <w:r w:rsidR="00685FDB">
              <w:rPr>
                <w:color w:val="auto"/>
              </w:rPr>
              <w:t>final budget last</w:t>
            </w:r>
            <w:r w:rsidRPr="000E42BB">
              <w:rPr>
                <w:color w:val="auto"/>
              </w:rPr>
              <w:t xml:space="preserve"> year (</w:t>
            </w:r>
            <w:r w:rsidR="00685FDB">
              <w:rPr>
                <w:color w:val="auto"/>
              </w:rPr>
              <w:t>Supplementary</w:t>
            </w:r>
            <w:r w:rsidRPr="000E42BB">
              <w:rPr>
                <w:color w:val="auto"/>
              </w:rPr>
              <w:t xml:space="preserve"> Estimate</w:t>
            </w:r>
            <w:r w:rsidR="00DE55C7">
              <w:rPr>
                <w:color w:val="auto"/>
              </w:rPr>
              <w:t xml:space="preserve"> 2019</w:t>
            </w:r>
            <w:r w:rsidR="006D1831">
              <w:rPr>
                <w:color w:val="auto"/>
              </w:rPr>
              <w:t>-20</w:t>
            </w:r>
            <w:r w:rsidRPr="000E42BB">
              <w:rPr>
                <w:color w:val="auto"/>
              </w:rPr>
              <w:t>)</w:t>
            </w:r>
          </w:p>
        </w:tc>
        <w:tc>
          <w:tcPr>
            <w:tcW w:w="2977" w:type="dxa"/>
            <w:gridSpan w:val="2"/>
          </w:tcPr>
          <w:p w:rsidR="000E42BB" w:rsidRPr="000E42BB" w:rsidP="00337037">
            <w:pPr>
              <w:pStyle w:val="Table"/>
              <w:spacing w:before="240"/>
              <w:jc w:val="both"/>
              <w:rPr>
                <w:color w:val="auto"/>
              </w:rPr>
            </w:pPr>
            <w:r w:rsidRPr="000E42BB">
              <w:rPr>
                <w:color w:val="auto"/>
              </w:rPr>
              <w:t xml:space="preserve">Compared to </w:t>
            </w:r>
            <w:r w:rsidR="00337037">
              <w:rPr>
                <w:color w:val="auto"/>
              </w:rPr>
              <w:t>original budget last year (Main Estimate</w:t>
            </w:r>
            <w:r w:rsidR="00DE55C7">
              <w:rPr>
                <w:color w:val="auto"/>
              </w:rPr>
              <w:t xml:space="preserve"> 2019</w:t>
            </w:r>
            <w:r w:rsidR="006D1831">
              <w:rPr>
                <w:color w:val="auto"/>
              </w:rPr>
              <w:t>-20</w:t>
            </w:r>
            <w:r w:rsidR="00337037">
              <w:rPr>
                <w:color w:val="auto"/>
              </w:rPr>
              <w:t>)</w:t>
            </w:r>
          </w:p>
        </w:tc>
      </w:tr>
      <w:tr w:rsidTr="000E42BB">
        <w:tblPrEx>
          <w:tblW w:w="10348" w:type="dxa"/>
          <w:tblInd w:w="-5" w:type="dxa"/>
          <w:tblLayout w:type="fixed"/>
          <w:tblLook w:val="04A0"/>
        </w:tblPrEx>
        <w:trPr>
          <w:trHeight w:val="318"/>
        </w:trPr>
        <w:tc>
          <w:tcPr>
            <w:tcW w:w="2835" w:type="dxa"/>
            <w:tcBorders>
              <w:top w:val="nil"/>
              <w:right w:val="nil"/>
            </w:tcBorders>
          </w:tcPr>
          <w:p w:rsidR="000E42BB" w:rsidRPr="000E42BB" w:rsidP="001E61D3">
            <w:pPr>
              <w:spacing w:before="60" w:after="60"/>
              <w:ind w:left="204"/>
              <w:jc w:val="both"/>
              <w:rPr>
                <w:b/>
              </w:rPr>
            </w:pPr>
          </w:p>
        </w:tc>
        <w:tc>
          <w:tcPr>
            <w:tcW w:w="1560" w:type="dxa"/>
            <w:tcBorders>
              <w:top w:val="nil"/>
              <w:left w:val="nil"/>
            </w:tcBorders>
          </w:tcPr>
          <w:p w:rsidR="000E42BB" w:rsidRPr="000E42BB" w:rsidP="001E61D3">
            <w:pPr>
              <w:spacing w:before="60" w:after="60"/>
              <w:ind w:left="204"/>
              <w:jc w:val="both"/>
              <w:rPr>
                <w:b/>
              </w:rPr>
            </w:pPr>
          </w:p>
        </w:tc>
        <w:tc>
          <w:tcPr>
            <w:tcW w:w="1488" w:type="dxa"/>
          </w:tcPr>
          <w:p w:rsidR="000E42BB" w:rsidRPr="000E42BB" w:rsidP="001E61D3">
            <w:pPr>
              <w:tabs>
                <w:tab w:val="decimal" w:pos="1418"/>
              </w:tabs>
              <w:spacing w:before="60" w:after="60"/>
              <w:jc w:val="both"/>
              <w:rPr>
                <w:b/>
              </w:rPr>
            </w:pPr>
            <w:r w:rsidRPr="000E42BB">
              <w:rPr>
                <w:b/>
              </w:rPr>
              <w:t>£ million</w:t>
            </w:r>
          </w:p>
        </w:tc>
        <w:tc>
          <w:tcPr>
            <w:tcW w:w="1488" w:type="dxa"/>
          </w:tcPr>
          <w:p w:rsidR="000E42BB" w:rsidRPr="000E42BB" w:rsidP="001E61D3">
            <w:pPr>
              <w:tabs>
                <w:tab w:val="decimal" w:pos="1418"/>
              </w:tabs>
              <w:spacing w:before="60" w:after="60"/>
              <w:jc w:val="both"/>
              <w:rPr>
                <w:b/>
              </w:rPr>
            </w:pPr>
            <w:r w:rsidRPr="000E42BB">
              <w:rPr>
                <w:b/>
              </w:rPr>
              <w:t>%</w:t>
            </w:r>
          </w:p>
        </w:tc>
        <w:tc>
          <w:tcPr>
            <w:tcW w:w="1488" w:type="dxa"/>
          </w:tcPr>
          <w:p w:rsidR="000E42BB" w:rsidRPr="000E42BB" w:rsidP="001E61D3">
            <w:pPr>
              <w:tabs>
                <w:tab w:val="decimal" w:pos="1418"/>
              </w:tabs>
              <w:spacing w:before="60" w:after="60"/>
              <w:jc w:val="both"/>
              <w:rPr>
                <w:b/>
              </w:rPr>
            </w:pPr>
            <w:r w:rsidRPr="000E42BB">
              <w:rPr>
                <w:b/>
              </w:rPr>
              <w:t>£ million</w:t>
            </w:r>
          </w:p>
        </w:tc>
        <w:tc>
          <w:tcPr>
            <w:tcW w:w="1489" w:type="dxa"/>
          </w:tcPr>
          <w:p w:rsidR="000E42BB" w:rsidRPr="00E934C9" w:rsidP="001E61D3">
            <w:pPr>
              <w:tabs>
                <w:tab w:val="decimal" w:pos="1418"/>
              </w:tabs>
              <w:spacing w:before="60" w:after="60"/>
              <w:jc w:val="both"/>
              <w:rPr>
                <w:b/>
              </w:rPr>
            </w:pPr>
            <w:r w:rsidRPr="00E934C9">
              <w:rPr>
                <w:b/>
              </w:rPr>
              <w:t>%</w:t>
            </w:r>
          </w:p>
        </w:tc>
      </w:tr>
      <w:tr w:rsidTr="00E934C9">
        <w:tblPrEx>
          <w:tblW w:w="10348" w:type="dxa"/>
          <w:tblInd w:w="-5" w:type="dxa"/>
          <w:tblLayout w:type="fixed"/>
          <w:tblLook w:val="04A0"/>
        </w:tblPrEx>
        <w:trPr>
          <w:trHeight w:val="318"/>
        </w:trPr>
        <w:tc>
          <w:tcPr>
            <w:tcW w:w="2835" w:type="dxa"/>
          </w:tcPr>
          <w:p w:rsidR="000E42BB" w:rsidRPr="000E42BB" w:rsidP="001E61D3">
            <w:pPr>
              <w:spacing w:before="60" w:after="60"/>
              <w:ind w:left="204"/>
              <w:jc w:val="both"/>
            </w:pPr>
            <w:r w:rsidRPr="000E42BB">
              <w:t>Net AME Resource</w:t>
            </w:r>
          </w:p>
        </w:tc>
        <w:tc>
          <w:tcPr>
            <w:tcW w:w="1560" w:type="dxa"/>
            <w:shd w:val="clear" w:color="auto" w:fill="auto"/>
          </w:tcPr>
          <w:p w:rsidR="00340B0D" w:rsidRPr="006F00AC" w:rsidP="00340B0D">
            <w:pPr>
              <w:spacing w:before="60" w:after="60"/>
              <w:ind w:left="204"/>
              <w:jc w:val="right"/>
            </w:pPr>
            <w:r w:rsidRPr="006F00AC">
              <w:t>17,871.8</w:t>
            </w:r>
          </w:p>
        </w:tc>
        <w:tc>
          <w:tcPr>
            <w:tcW w:w="1488" w:type="dxa"/>
            <w:shd w:val="clear" w:color="auto" w:fill="auto"/>
          </w:tcPr>
          <w:p w:rsidR="000E42BB" w:rsidRPr="006F00AC">
            <w:pPr>
              <w:tabs>
                <w:tab w:val="decimal" w:pos="889"/>
              </w:tabs>
              <w:spacing w:before="60" w:after="60"/>
            </w:pPr>
            <w:r>
              <w:t>(637.2)</w:t>
            </w:r>
          </w:p>
        </w:tc>
        <w:tc>
          <w:tcPr>
            <w:tcW w:w="1488" w:type="dxa"/>
          </w:tcPr>
          <w:p w:rsidR="007C391F" w:rsidRPr="006F00AC" w:rsidP="00464A90">
            <w:pPr>
              <w:tabs>
                <w:tab w:val="decimal" w:pos="956"/>
              </w:tabs>
              <w:spacing w:before="60" w:after="60"/>
            </w:pPr>
            <w:r>
              <w:t>(3.4)</w:t>
            </w:r>
          </w:p>
        </w:tc>
        <w:tc>
          <w:tcPr>
            <w:tcW w:w="1488" w:type="dxa"/>
            <w:shd w:val="clear" w:color="auto" w:fill="auto"/>
          </w:tcPr>
          <w:p w:rsidR="000E42BB" w:rsidRPr="006F00AC">
            <w:pPr>
              <w:tabs>
                <w:tab w:val="decimal" w:pos="1024"/>
              </w:tabs>
              <w:spacing w:before="60" w:after="60"/>
              <w:jc w:val="both"/>
            </w:pPr>
            <w:r w:rsidRPr="006F00AC">
              <w:t>3448.7</w:t>
            </w:r>
          </w:p>
        </w:tc>
        <w:tc>
          <w:tcPr>
            <w:tcW w:w="1489" w:type="dxa"/>
          </w:tcPr>
          <w:p w:rsidR="000E42BB" w:rsidRPr="006F00AC" w:rsidP="00464A90">
            <w:pPr>
              <w:tabs>
                <w:tab w:val="decimal" w:pos="960"/>
              </w:tabs>
              <w:spacing w:before="60" w:after="60"/>
            </w:pPr>
            <w:r w:rsidRPr="006F00AC">
              <w:t>2</w:t>
            </w:r>
            <w:r w:rsidR="00454D6C">
              <w:t>3.9</w:t>
            </w:r>
          </w:p>
        </w:tc>
      </w:tr>
      <w:tr w:rsidTr="00E934C9">
        <w:tblPrEx>
          <w:tblW w:w="10348" w:type="dxa"/>
          <w:tblInd w:w="-5" w:type="dxa"/>
          <w:tblLayout w:type="fixed"/>
          <w:tblLook w:val="04A0"/>
        </w:tblPrEx>
        <w:tc>
          <w:tcPr>
            <w:tcW w:w="2835" w:type="dxa"/>
          </w:tcPr>
          <w:p w:rsidR="000E42BB" w:rsidRPr="000E42BB" w:rsidP="001E61D3">
            <w:pPr>
              <w:spacing w:before="60" w:after="60"/>
              <w:ind w:left="204"/>
              <w:jc w:val="both"/>
            </w:pPr>
            <w:r w:rsidRPr="000E42BB">
              <w:t>Net Cash Requirement</w:t>
            </w:r>
          </w:p>
        </w:tc>
        <w:tc>
          <w:tcPr>
            <w:tcW w:w="1560" w:type="dxa"/>
            <w:shd w:val="clear" w:color="auto" w:fill="auto"/>
          </w:tcPr>
          <w:p w:rsidR="000E42BB" w:rsidRPr="006F00AC" w:rsidP="0049358D">
            <w:pPr>
              <w:spacing w:before="60" w:after="60"/>
              <w:ind w:left="204"/>
              <w:jc w:val="right"/>
            </w:pPr>
            <w:r w:rsidRPr="006F00AC">
              <w:t>2,045</w:t>
            </w:r>
            <w:r w:rsidRPr="006F00AC" w:rsidR="00231101">
              <w:t>.0</w:t>
            </w:r>
          </w:p>
        </w:tc>
        <w:tc>
          <w:tcPr>
            <w:tcW w:w="1488" w:type="dxa"/>
            <w:shd w:val="clear" w:color="auto" w:fill="auto"/>
          </w:tcPr>
          <w:p w:rsidR="0059362C" w:rsidRPr="006F00AC" w:rsidP="0049358D">
            <w:pPr>
              <w:tabs>
                <w:tab w:val="decimal" w:pos="889"/>
              </w:tabs>
              <w:spacing w:before="60" w:after="60"/>
            </w:pPr>
            <w:r>
              <w:t>(</w:t>
            </w:r>
            <w:r w:rsidR="007B0C40">
              <w:t>790.8</w:t>
            </w:r>
            <w:r>
              <w:t>)</w:t>
            </w:r>
          </w:p>
        </w:tc>
        <w:tc>
          <w:tcPr>
            <w:tcW w:w="1488" w:type="dxa"/>
          </w:tcPr>
          <w:p w:rsidR="000E42BB" w:rsidRPr="006F00AC" w:rsidP="00E934C9">
            <w:pPr>
              <w:tabs>
                <w:tab w:val="decimal" w:pos="956"/>
              </w:tabs>
              <w:spacing w:before="60" w:after="60"/>
            </w:pPr>
            <w:r>
              <w:t>(</w:t>
            </w:r>
            <w:r w:rsidR="007B0C40">
              <w:t>27.9</w:t>
            </w:r>
            <w:r>
              <w:t>)</w:t>
            </w:r>
          </w:p>
        </w:tc>
        <w:tc>
          <w:tcPr>
            <w:tcW w:w="1488" w:type="dxa"/>
            <w:shd w:val="clear" w:color="auto" w:fill="auto"/>
          </w:tcPr>
          <w:p w:rsidR="000E42BB" w:rsidRPr="006F00AC" w:rsidP="0049358D">
            <w:pPr>
              <w:tabs>
                <w:tab w:val="decimal" w:pos="1024"/>
              </w:tabs>
              <w:spacing w:before="60" w:after="60"/>
              <w:jc w:val="both"/>
            </w:pPr>
            <w:r w:rsidRPr="006F00AC">
              <w:t>(</w:t>
            </w:r>
            <w:r w:rsidRPr="006F00AC" w:rsidR="006F00AC">
              <w:t>1075.0</w:t>
            </w:r>
            <w:r w:rsidRPr="006F00AC" w:rsidR="00B82417">
              <w:t>)</w:t>
            </w:r>
          </w:p>
        </w:tc>
        <w:tc>
          <w:tcPr>
            <w:tcW w:w="1489" w:type="dxa"/>
          </w:tcPr>
          <w:p w:rsidR="000E42BB" w:rsidRPr="006F00AC" w:rsidP="00E934C9">
            <w:pPr>
              <w:tabs>
                <w:tab w:val="decimal" w:pos="960"/>
              </w:tabs>
              <w:spacing w:before="60" w:after="60"/>
            </w:pPr>
            <w:r>
              <w:t>(</w:t>
            </w:r>
            <w:r w:rsidRPr="006F00AC" w:rsidR="006F00AC">
              <w:t>34</w:t>
            </w:r>
            <w:r>
              <w:t>.5)</w:t>
            </w:r>
          </w:p>
        </w:tc>
      </w:tr>
    </w:tbl>
    <w:p w:rsidR="005B6F8D" w:rsidRPr="002F58AB" w:rsidP="004E363C">
      <w:pPr>
        <w:spacing w:before="60" w:after="60"/>
        <w:jc w:val="both"/>
        <w:rPr>
          <w:color w:val="FF0000"/>
          <w:highlight w:val="red"/>
        </w:rPr>
      </w:pPr>
    </w:p>
    <w:p w:rsidR="000C7DDF" w:rsidRPr="0079428F" w:rsidP="00AB474F">
      <w:pPr>
        <w:pStyle w:val="Heading2"/>
        <w:pageBreakBefore/>
      </w:pPr>
      <w:bookmarkStart w:id="6" w:name="_Toc532902231"/>
      <w:r w:rsidRPr="0079428F">
        <w:t>Key Drivers of Spending Changes since Last Year</w:t>
      </w:r>
      <w:bookmarkEnd w:id="6"/>
    </w:p>
    <w:p w:rsidR="006042BD" w:rsidRPr="008F257F" w:rsidP="006042BD">
      <w:bookmarkStart w:id="7" w:name="_Toc532902232"/>
      <w:r w:rsidRPr="008F257F">
        <w:t xml:space="preserve">The provision sought under Resource AME is </w:t>
      </w:r>
      <w:r w:rsidR="007B0C40">
        <w:t>lower</w:t>
      </w:r>
      <w:r w:rsidRPr="008F257F">
        <w:t xml:space="preserve"> than last year</w:t>
      </w:r>
      <w:r w:rsidR="005907CA">
        <w:t xml:space="preserve"> by</w:t>
      </w:r>
      <w:r w:rsidRPr="008F257F">
        <w:t xml:space="preserve"> £</w:t>
      </w:r>
      <w:r w:rsidR="007B0C40">
        <w:t>637.2</w:t>
      </w:r>
      <w:r w:rsidRPr="008F257F">
        <w:t xml:space="preserve"> million. This is due to a number of significant changes in the year: -</w:t>
      </w:r>
    </w:p>
    <w:p w:rsidR="006042BD" w:rsidRPr="008F257F" w:rsidP="006042BD">
      <w:pPr>
        <w:pStyle w:val="ListParagraph"/>
        <w:numPr>
          <w:ilvl w:val="0"/>
          <w:numId w:val="35"/>
        </w:numPr>
        <w:ind w:left="284" w:hanging="284"/>
      </w:pPr>
      <w:r w:rsidRPr="008F257F">
        <w:t>Current Service costs are £</w:t>
      </w:r>
      <w:r w:rsidR="00A73424">
        <w:t>4,</w:t>
      </w:r>
      <w:r w:rsidR="008B5D94">
        <w:t>639.</w:t>
      </w:r>
      <w:r w:rsidR="0040002F">
        <w:t>7</w:t>
      </w:r>
      <w:r w:rsidRPr="008F257F">
        <w:t xml:space="preserve"> million higher. </w:t>
      </w:r>
      <w:r w:rsidRPr="00A73424" w:rsidR="00A73424">
        <w:t xml:space="preserve">The rate used for accruing current service costs has increased from 54.20% </w:t>
      </w:r>
      <w:r w:rsidR="00FF4945">
        <w:t xml:space="preserve">in </w:t>
      </w:r>
      <w:r w:rsidRPr="00A73424" w:rsidR="00A73424">
        <w:t xml:space="preserve">2019-20 to 70.90% </w:t>
      </w:r>
      <w:r w:rsidR="00FF4945">
        <w:t xml:space="preserve">in </w:t>
      </w:r>
      <w:r w:rsidRPr="00A73424" w:rsidR="00A73424">
        <w:t>2020-21</w:t>
      </w:r>
      <w:r w:rsidR="00FF4945">
        <w:t>,</w:t>
      </w:r>
      <w:r w:rsidRPr="00A73424" w:rsidR="00A73424">
        <w:t xml:space="preserve"> upon advice from Government Actuary’s Department.</w:t>
      </w:r>
    </w:p>
    <w:p w:rsidR="006042BD" w:rsidRPr="008F257F" w:rsidP="006042BD">
      <w:pPr>
        <w:pStyle w:val="ListParagraph"/>
        <w:numPr>
          <w:ilvl w:val="0"/>
          <w:numId w:val="35"/>
        </w:numPr>
        <w:ind w:left="284" w:hanging="284"/>
      </w:pPr>
      <w:r w:rsidRPr="008F257F">
        <w:t xml:space="preserve">Interest on Scheme liabilities </w:t>
      </w:r>
      <w:r w:rsidR="001876D9">
        <w:t xml:space="preserve">decreased </w:t>
      </w:r>
      <w:r w:rsidRPr="008F257F">
        <w:t>by £</w:t>
      </w:r>
      <w:r w:rsidR="008B5D94">
        <w:t>2,548.</w:t>
      </w:r>
      <w:r w:rsidR="0040002F">
        <w:t>0</w:t>
      </w:r>
      <w:r w:rsidRPr="008F257F">
        <w:t xml:space="preserve"> million due to a change in the interest rate set by HM Treasury </w:t>
      </w:r>
      <w:r w:rsidRPr="00A73424" w:rsidR="00A73424">
        <w:t>from 2.90% in 2019-20 to 1.80% in 2020-21.</w:t>
      </w:r>
    </w:p>
    <w:p w:rsidR="006042BD" w:rsidRPr="008F257F" w:rsidP="006042BD">
      <w:pPr>
        <w:pStyle w:val="ListParagraph"/>
        <w:numPr>
          <w:ilvl w:val="0"/>
          <w:numId w:val="35"/>
        </w:numPr>
        <w:ind w:left="284" w:hanging="284"/>
      </w:pPr>
      <w:r w:rsidRPr="008F257F">
        <w:t>Employer’s Contributions are £</w:t>
      </w:r>
      <w:r w:rsidR="008B5D94">
        <w:t>890.</w:t>
      </w:r>
      <w:r w:rsidR="0040002F">
        <w:t>6</w:t>
      </w:r>
      <w:r w:rsidRPr="008F257F">
        <w:t xml:space="preserve"> million higher. The 2016 scheme valuation determined that the Employer’s contribution rate should be increased from 16.4% to 23.6% of pensionable pay from 1 September 2019</w:t>
      </w:r>
      <w:r w:rsidR="009C69CB">
        <w:t xml:space="preserve"> and </w:t>
      </w:r>
      <w:r w:rsidR="00FF4945">
        <w:t xml:space="preserve">will </w:t>
      </w:r>
      <w:r w:rsidR="009C69CB">
        <w:t>remain at 23.6% for 2020-21.</w:t>
      </w:r>
    </w:p>
    <w:p w:rsidR="0058034E" w:rsidP="0058034E">
      <w:pPr>
        <w:pStyle w:val="Heading2"/>
      </w:pPr>
      <w:r>
        <w:t>Spending Trends</w:t>
      </w:r>
      <w:bookmarkEnd w:id="7"/>
    </w:p>
    <w:p w:rsidR="0058034E" w:rsidP="0058034E">
      <w:r w:rsidRPr="0058034E">
        <w:t>The charts below show overall spending trends for the last fiv</w:t>
      </w:r>
      <w:r w:rsidR="006400BB">
        <w:t>e years</w:t>
      </w:r>
      <w:r w:rsidRPr="0058034E">
        <w:t xml:space="preserve"> </w:t>
      </w:r>
      <w:r w:rsidR="006400BB">
        <w:t xml:space="preserve">and </w:t>
      </w:r>
      <w:r w:rsidRPr="0058034E">
        <w:t xml:space="preserve">plans presented in </w:t>
      </w:r>
      <w:r w:rsidR="006400BB">
        <w:t>Estimate</w:t>
      </w:r>
      <w:r w:rsidR="00337037">
        <w:t xml:space="preserve"> for 20</w:t>
      </w:r>
      <w:r w:rsidR="006042BD">
        <w:t>20-21</w:t>
      </w:r>
      <w:r w:rsidR="00337037">
        <w:t>, and current future plans.</w:t>
      </w:r>
      <w:r w:rsidR="008B5D94">
        <w:br/>
      </w:r>
      <w:r w:rsidR="003670CB">
        <w:br/>
      </w:r>
      <w:r w:rsidR="006400BB">
        <w:rPr>
          <w:noProof/>
          <w:lang w:eastAsia="en-GB"/>
        </w:rPr>
        <w:drawing>
          <wp:inline distT="0" distB="0" distL="0" distR="0">
            <wp:extent cx="45720" cy="45720"/>
            <wp:effectExtent l="0" t="0" r="11430" b="1143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8B5D94">
        <w:rPr>
          <w:noProof/>
        </w:rPr>
        <w:drawing>
          <wp:inline distT="0" distB="0" distL="0" distR="0">
            <wp:extent cx="6443663" cy="2743200"/>
            <wp:effectExtent l="0" t="0" r="1460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D1AF7" w:rsidP="00F11688">
      <w:pPr>
        <w:pStyle w:val="Heading2"/>
        <w:spacing w:before="240"/>
      </w:pPr>
      <w:bookmarkStart w:id="8" w:name="_Toc532902233"/>
      <w:bookmarkStart w:id="9" w:name="_Toc410994598"/>
      <w:bookmarkStart w:id="10" w:name="_Toc410994682"/>
      <w:r w:rsidRPr="00ED1AF7">
        <w:t>Administration Costs and Efficiency Plans</w:t>
      </w:r>
      <w:bookmarkEnd w:id="8"/>
    </w:p>
    <w:p w:rsidR="00ED1AF7" w:rsidRPr="00ED1AF7" w:rsidP="00ED1AF7">
      <w:bookmarkStart w:id="11" w:name="_Hlk36631093"/>
      <w:r w:rsidRPr="00D4048B">
        <w:t xml:space="preserve">The costs of administering </w:t>
      </w:r>
      <w:r w:rsidRPr="00D4048B">
        <w:t xml:space="preserve">the scheme are </w:t>
      </w:r>
      <w:r w:rsidRPr="00D4048B" w:rsidR="00680741">
        <w:t>funded via a levy on Employers;</w:t>
      </w:r>
      <w:r w:rsidRPr="00D4048B">
        <w:t xml:space="preserve"> this is currently </w:t>
      </w:r>
      <w:r w:rsidRPr="00D4048B" w:rsidR="001C2961">
        <w:t>0.08% of pensionable salary. The costs</w:t>
      </w:r>
      <w:r w:rsidRPr="00D4048B" w:rsidR="00680741">
        <w:t xml:space="preserve"> of administration </w:t>
      </w:r>
      <w:r w:rsidRPr="00D4048B" w:rsidR="001C2961">
        <w:t xml:space="preserve">are forecast </w:t>
      </w:r>
      <w:r w:rsidRPr="003670CB" w:rsidR="001C2961">
        <w:t>to be £</w:t>
      </w:r>
      <w:r w:rsidRPr="003670CB" w:rsidR="003670CB">
        <w:t>18.2</w:t>
      </w:r>
      <w:r w:rsidRPr="003670CB" w:rsidR="001C2961">
        <w:t xml:space="preserve"> million with</w:t>
      </w:r>
      <w:r w:rsidRPr="003670CB" w:rsidR="00C5503D">
        <w:t xml:space="preserve"> the </w:t>
      </w:r>
      <w:r w:rsidRPr="003670CB" w:rsidR="006400BB">
        <w:t xml:space="preserve">expected </w:t>
      </w:r>
      <w:r w:rsidRPr="003670CB" w:rsidR="00C5503D">
        <w:t xml:space="preserve">levy </w:t>
      </w:r>
      <w:r w:rsidRPr="003670CB" w:rsidR="006400BB">
        <w:t xml:space="preserve">on Employers being </w:t>
      </w:r>
      <w:r w:rsidRPr="003670CB">
        <w:t>£</w:t>
      </w:r>
      <w:r w:rsidRPr="003670CB" w:rsidR="007E6473">
        <w:t>20.</w:t>
      </w:r>
      <w:r w:rsidRPr="003670CB" w:rsidR="003670CB">
        <w:t>9</w:t>
      </w:r>
      <w:r w:rsidRPr="003670CB" w:rsidR="001C2961">
        <w:t xml:space="preserve"> million.</w:t>
      </w:r>
    </w:p>
    <w:p w:rsidR="0091185F" w:rsidRPr="0091185F" w:rsidP="00066EF0">
      <w:pPr>
        <w:pStyle w:val="Heading1"/>
        <w:keepLines/>
      </w:pPr>
      <w:bookmarkStart w:id="12" w:name="_Toc532892288"/>
      <w:bookmarkStart w:id="13" w:name="_Toc532902234"/>
      <w:bookmarkEnd w:id="11"/>
      <w:r w:rsidRPr="0091185F">
        <w:t>Spending Detail</w:t>
      </w:r>
      <w:bookmarkEnd w:id="12"/>
      <w:bookmarkEnd w:id="13"/>
    </w:p>
    <w:p w:rsidR="0091185F" w:rsidP="00066EF0">
      <w:pPr>
        <w:pStyle w:val="Heading2"/>
        <w:keepLines/>
      </w:pPr>
      <w:bookmarkStart w:id="14" w:name="_Toc532902235"/>
      <w:r>
        <w:t>Explanation of Changes in Spending</w:t>
      </w:r>
      <w:bookmarkEnd w:id="14"/>
    </w:p>
    <w:tbl>
      <w:tblPr>
        <w:tblW w:w="10456" w:type="dxa"/>
        <w:tblLayout w:type="fixed"/>
        <w:tblLook w:val="04A0"/>
      </w:tblPr>
      <w:tblGrid>
        <w:gridCol w:w="1129"/>
        <w:gridCol w:w="1290"/>
        <w:gridCol w:w="1709"/>
        <w:gridCol w:w="1063"/>
        <w:gridCol w:w="1586"/>
        <w:gridCol w:w="1189"/>
        <w:gridCol w:w="1195"/>
        <w:gridCol w:w="1295"/>
      </w:tblGrid>
      <w:tr w:rsidTr="00B97BF2">
        <w:tblPrEx>
          <w:tblW w:w="10456" w:type="dxa"/>
          <w:tblLayout w:type="fixed"/>
          <w:tblLook w:val="04A0"/>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Subheads</w:t>
            </w:r>
          </w:p>
        </w:tc>
        <w:tc>
          <w:tcPr>
            <w:tcW w:w="1290" w:type="dxa"/>
            <w:tcBorders>
              <w:top w:val="single" w:sz="4" w:space="0" w:color="auto"/>
              <w:left w:val="nil"/>
              <w:bottom w:val="single" w:sz="4" w:space="0" w:color="auto"/>
              <w:right w:val="nil"/>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Description</w:t>
            </w:r>
          </w:p>
        </w:tc>
        <w:tc>
          <w:tcPr>
            <w:tcW w:w="1709" w:type="dxa"/>
            <w:tcBorders>
              <w:top w:val="single" w:sz="4" w:space="0" w:color="auto"/>
              <w:left w:val="nil"/>
              <w:bottom w:val="single" w:sz="4" w:space="0" w:color="auto"/>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Pr>
                <w:rFonts w:cs="Arial"/>
                <w:sz w:val="20"/>
                <w:szCs w:val="20"/>
                <w:lang w:eastAsia="en-GB"/>
              </w:rPr>
              <w:t>D</w:t>
            </w:r>
            <w:r w:rsidRPr="00977FF7">
              <w:rPr>
                <w:rFonts w:cs="Arial"/>
                <w:sz w:val="20"/>
                <w:szCs w:val="20"/>
                <w:lang w:eastAsia="en-GB"/>
              </w:rPr>
              <w:t>etail</w:t>
            </w:r>
          </w:p>
        </w:tc>
        <w:tc>
          <w:tcPr>
            <w:tcW w:w="2649" w:type="dxa"/>
            <w:gridSpan w:val="2"/>
            <w:tcBorders>
              <w:top w:val="single" w:sz="4" w:space="0" w:color="auto"/>
              <w:left w:val="single" w:sz="4" w:space="0" w:color="auto"/>
              <w:bottom w:val="single" w:sz="4" w:space="0" w:color="auto"/>
              <w:right w:val="nil"/>
            </w:tcBorders>
            <w:shd w:val="clear" w:color="auto" w:fill="auto"/>
            <w:noWrap/>
            <w:vAlign w:val="bottom"/>
            <w:hideMark/>
          </w:tcPr>
          <w:p w:rsidR="005F7A4C" w:rsidRPr="00977FF7" w:rsidP="00066EF0">
            <w:pPr>
              <w:keepNext/>
              <w:keepLines/>
              <w:spacing w:after="0" w:line="240" w:lineRule="auto"/>
              <w:rPr>
                <w:rFonts w:cs="Arial"/>
                <w:b/>
                <w:bCs/>
                <w:sz w:val="20"/>
                <w:szCs w:val="20"/>
                <w:lang w:eastAsia="en-GB"/>
              </w:rPr>
            </w:pPr>
            <w:r w:rsidRPr="00977FF7">
              <w:rPr>
                <w:rFonts w:cs="Arial"/>
                <w:b/>
                <w:bCs/>
                <w:sz w:val="20"/>
                <w:szCs w:val="20"/>
                <w:lang w:eastAsia="en-GB"/>
              </w:rPr>
              <w:t>Resource AME</w:t>
            </w:r>
          </w:p>
        </w:tc>
        <w:tc>
          <w:tcPr>
            <w:tcW w:w="1189" w:type="dxa"/>
            <w:tcBorders>
              <w:top w:val="single" w:sz="4" w:space="0" w:color="auto"/>
              <w:left w:val="nil"/>
              <w:bottom w:val="single" w:sz="4" w:space="0" w:color="auto"/>
              <w:right w:val="nil"/>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195" w:type="dxa"/>
            <w:tcBorders>
              <w:top w:val="single" w:sz="4" w:space="0" w:color="auto"/>
              <w:left w:val="nil"/>
              <w:bottom w:val="single" w:sz="4" w:space="0" w:color="auto"/>
              <w:right w:val="nil"/>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295" w:type="dxa"/>
            <w:tcBorders>
              <w:top w:val="single" w:sz="4" w:space="0" w:color="auto"/>
              <w:left w:val="nil"/>
              <w:bottom w:val="single" w:sz="4" w:space="0" w:color="auto"/>
              <w:right w:val="single" w:sz="4" w:space="0" w:color="auto"/>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r>
      <w:tr w:rsidTr="00B97BF2">
        <w:tblPrEx>
          <w:tblW w:w="10456" w:type="dxa"/>
          <w:tblLayout w:type="fixed"/>
          <w:tblLook w:val="04A0"/>
        </w:tblPrEx>
        <w:trPr>
          <w:trHeight w:val="779"/>
        </w:trPr>
        <w:tc>
          <w:tcPr>
            <w:tcW w:w="1129" w:type="dxa"/>
            <w:tcBorders>
              <w:top w:val="nil"/>
              <w:left w:val="single" w:sz="4" w:space="0" w:color="auto"/>
              <w:bottom w:val="nil"/>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709" w:type="dxa"/>
            <w:tcBorders>
              <w:top w:val="nil"/>
              <w:left w:val="nil"/>
              <w:bottom w:val="nil"/>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063" w:type="dxa"/>
            <w:tcBorders>
              <w:top w:val="single" w:sz="4" w:space="0" w:color="auto"/>
              <w:left w:val="nil"/>
              <w:bottom w:val="single" w:sz="4" w:space="0" w:color="auto"/>
              <w:right w:val="nil"/>
            </w:tcBorders>
            <w:shd w:val="clear" w:color="auto" w:fill="auto"/>
            <w:noWrap/>
            <w:vAlign w:val="bottom"/>
            <w:hideMark/>
          </w:tcPr>
          <w:p w:rsidR="005F7A4C" w:rsidRPr="00977FF7" w:rsidP="00066EF0">
            <w:pPr>
              <w:keepNext/>
              <w:keepLines/>
              <w:spacing w:after="0" w:line="240" w:lineRule="auto"/>
              <w:rPr>
                <w:rFonts w:cs="Arial"/>
                <w:i/>
                <w:iCs/>
                <w:sz w:val="20"/>
                <w:szCs w:val="20"/>
                <w:lang w:eastAsia="en-GB"/>
              </w:rPr>
            </w:pPr>
            <w:r>
              <w:rPr>
                <w:rFonts w:cs="Arial"/>
                <w:i/>
                <w:iCs/>
                <w:sz w:val="20"/>
                <w:szCs w:val="20"/>
                <w:lang w:eastAsia="en-GB"/>
              </w:rPr>
              <w:t>Main Estimate 20</w:t>
            </w:r>
            <w:r w:rsidR="00470A4F">
              <w:rPr>
                <w:rFonts w:cs="Arial"/>
                <w:i/>
                <w:iCs/>
                <w:sz w:val="20"/>
                <w:szCs w:val="20"/>
                <w:lang w:eastAsia="en-GB"/>
              </w:rPr>
              <w:t>20-21</w:t>
            </w:r>
          </w:p>
        </w:tc>
        <w:tc>
          <w:tcPr>
            <w:tcW w:w="1586" w:type="dxa"/>
            <w:tcBorders>
              <w:top w:val="single" w:sz="4" w:space="0" w:color="auto"/>
              <w:left w:val="nil"/>
              <w:bottom w:val="single" w:sz="4" w:space="0" w:color="auto"/>
              <w:right w:val="single" w:sz="4" w:space="0" w:color="auto"/>
            </w:tcBorders>
            <w:shd w:val="clear" w:color="auto" w:fill="auto"/>
            <w:noWrap/>
            <w:vAlign w:val="bottom"/>
            <w:hideMark/>
          </w:tcPr>
          <w:p w:rsidR="0068045F" w:rsidP="00066EF0">
            <w:pPr>
              <w:keepNext/>
              <w:keepLines/>
              <w:spacing w:after="0" w:line="240" w:lineRule="auto"/>
              <w:rPr>
                <w:rFonts w:cs="Arial"/>
                <w:i/>
                <w:iCs/>
                <w:sz w:val="20"/>
                <w:szCs w:val="20"/>
                <w:lang w:eastAsia="en-GB"/>
              </w:rPr>
            </w:pPr>
            <w:r>
              <w:rPr>
                <w:rFonts w:cs="Arial"/>
                <w:i/>
                <w:iCs/>
                <w:sz w:val="20"/>
                <w:szCs w:val="20"/>
                <w:lang w:eastAsia="en-GB"/>
              </w:rPr>
              <w:t>Supplementary</w:t>
            </w:r>
            <w:r w:rsidR="00066EF0">
              <w:rPr>
                <w:rFonts w:cs="Arial"/>
                <w:i/>
                <w:iCs/>
                <w:sz w:val="20"/>
                <w:szCs w:val="20"/>
                <w:lang w:eastAsia="en-GB"/>
              </w:rPr>
              <w:t xml:space="preserve"> Estimate</w:t>
            </w:r>
            <w:r w:rsidR="00337037">
              <w:rPr>
                <w:rFonts w:cs="Arial"/>
                <w:i/>
                <w:iCs/>
                <w:sz w:val="20"/>
                <w:szCs w:val="20"/>
                <w:lang w:eastAsia="en-GB"/>
              </w:rPr>
              <w:t xml:space="preserve"> </w:t>
            </w:r>
          </w:p>
          <w:p w:rsidR="005F7A4C" w:rsidRPr="00977FF7" w:rsidP="00066EF0">
            <w:pPr>
              <w:keepNext/>
              <w:keepLines/>
              <w:spacing w:after="0" w:line="240" w:lineRule="auto"/>
              <w:rPr>
                <w:rFonts w:cs="Arial"/>
                <w:i/>
                <w:iCs/>
                <w:sz w:val="20"/>
                <w:szCs w:val="20"/>
                <w:lang w:eastAsia="en-GB"/>
              </w:rPr>
            </w:pPr>
            <w:r>
              <w:rPr>
                <w:rFonts w:cs="Arial"/>
                <w:i/>
                <w:iCs/>
                <w:sz w:val="20"/>
                <w:szCs w:val="20"/>
                <w:lang w:eastAsia="en-GB"/>
              </w:rPr>
              <w:t>201</w:t>
            </w:r>
            <w:r w:rsidR="002607B3">
              <w:rPr>
                <w:rFonts w:cs="Arial"/>
                <w:i/>
                <w:iCs/>
                <w:sz w:val="20"/>
                <w:szCs w:val="20"/>
                <w:lang w:eastAsia="en-GB"/>
              </w:rPr>
              <w:t>9-20</w:t>
            </w:r>
          </w:p>
        </w:tc>
        <w:tc>
          <w:tcPr>
            <w:tcW w:w="2384" w:type="dxa"/>
            <w:gridSpan w:val="2"/>
            <w:tcBorders>
              <w:top w:val="single" w:sz="4" w:space="0" w:color="auto"/>
              <w:left w:val="nil"/>
              <w:bottom w:val="single" w:sz="4" w:space="0" w:color="auto"/>
              <w:right w:val="single" w:sz="4" w:space="0" w:color="000000"/>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change from last year</w:t>
            </w:r>
          </w:p>
        </w:tc>
        <w:tc>
          <w:tcPr>
            <w:tcW w:w="1295" w:type="dxa"/>
            <w:tcBorders>
              <w:top w:val="nil"/>
              <w:left w:val="nil"/>
              <w:bottom w:val="nil"/>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is change significant? (&gt;£10m &amp; 10%)</w:t>
            </w:r>
          </w:p>
        </w:tc>
      </w:tr>
      <w:tr w:rsidTr="00B97BF2">
        <w:tblPrEx>
          <w:tblW w:w="10456" w:type="dxa"/>
          <w:tblLayout w:type="fixed"/>
          <w:tblLook w:val="04A0"/>
        </w:tblPrEx>
        <w:trPr>
          <w:trHeight w:val="695"/>
        </w:trPr>
        <w:tc>
          <w:tcPr>
            <w:tcW w:w="1129" w:type="dxa"/>
            <w:tcBorders>
              <w:top w:val="nil"/>
              <w:left w:val="single" w:sz="4" w:space="0" w:color="auto"/>
              <w:bottom w:val="single" w:sz="4" w:space="0" w:color="auto"/>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single" w:sz="4" w:space="0" w:color="auto"/>
              <w:right w:val="nil"/>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709" w:type="dxa"/>
            <w:tcBorders>
              <w:top w:val="nil"/>
              <w:left w:val="nil"/>
              <w:bottom w:val="single" w:sz="4" w:space="0" w:color="auto"/>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063" w:type="dxa"/>
            <w:tcBorders>
              <w:top w:val="nil"/>
              <w:left w:val="nil"/>
              <w:bottom w:val="single" w:sz="4" w:space="0" w:color="auto"/>
              <w:right w:val="nil"/>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million</w:t>
            </w:r>
          </w:p>
        </w:tc>
        <w:tc>
          <w:tcPr>
            <w:tcW w:w="1586" w:type="dxa"/>
            <w:tcBorders>
              <w:top w:val="nil"/>
              <w:left w:val="nil"/>
              <w:bottom w:val="single" w:sz="4" w:space="0" w:color="auto"/>
              <w:right w:val="nil"/>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189" w:type="dxa"/>
            <w:tcBorders>
              <w:top w:val="nil"/>
              <w:left w:val="nil"/>
              <w:bottom w:val="single" w:sz="4" w:space="0" w:color="auto"/>
              <w:right w:val="single" w:sz="4" w:space="0" w:color="auto"/>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195" w:type="dxa"/>
            <w:tcBorders>
              <w:top w:val="nil"/>
              <w:left w:val="nil"/>
              <w:bottom w:val="single" w:sz="4" w:space="0" w:color="auto"/>
              <w:right w:val="single" w:sz="4" w:space="0" w:color="auto"/>
            </w:tcBorders>
            <w:shd w:val="clear" w:color="auto" w:fill="auto"/>
            <w:noWrap/>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w:t>
            </w:r>
          </w:p>
        </w:tc>
        <w:tc>
          <w:tcPr>
            <w:tcW w:w="1295" w:type="dxa"/>
            <w:tcBorders>
              <w:top w:val="nil"/>
              <w:left w:val="nil"/>
              <w:bottom w:val="single" w:sz="4" w:space="0" w:color="auto"/>
              <w:right w:val="single" w:sz="4" w:space="0" w:color="auto"/>
            </w:tcBorders>
            <w:shd w:val="clear" w:color="auto" w:fill="auto"/>
            <w:vAlign w:val="bottom"/>
            <w:hideMark/>
          </w:tcPr>
          <w:p w:rsidR="005F7A4C" w:rsidRPr="00977FF7" w:rsidP="001D0B6B">
            <w:pPr>
              <w:keepNext/>
              <w:keepLines/>
              <w:spacing w:after="0" w:line="240" w:lineRule="auto"/>
              <w:rPr>
                <w:rFonts w:cs="Arial"/>
                <w:sz w:val="20"/>
                <w:szCs w:val="20"/>
                <w:lang w:eastAsia="en-GB"/>
              </w:rPr>
            </w:pPr>
            <w:r w:rsidRPr="00977FF7">
              <w:rPr>
                <w:rFonts w:cs="Arial"/>
                <w:sz w:val="20"/>
                <w:szCs w:val="20"/>
                <w:lang w:eastAsia="en-GB"/>
              </w:rPr>
              <w:t>see explanation, note</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xml:space="preserve">Resource </w:t>
            </w:r>
          </w:p>
        </w:tc>
        <w:tc>
          <w:tcPr>
            <w:tcW w:w="1290" w:type="dxa"/>
            <w:tcBorders>
              <w:top w:val="nil"/>
              <w:left w:val="nil"/>
              <w:bottom w:val="nil"/>
              <w:right w:val="nil"/>
            </w:tcBorders>
            <w:shd w:val="clear" w:color="auto" w:fill="auto"/>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E</w:t>
            </w:r>
            <w:r w:rsidRPr="00977FF7">
              <w:rPr>
                <w:rFonts w:cs="Arial"/>
                <w:sz w:val="20"/>
                <w:szCs w:val="20"/>
                <w:lang w:eastAsia="en-GB"/>
              </w:rPr>
              <w:t>xpenditure</w:t>
            </w:r>
          </w:p>
        </w:tc>
        <w:tc>
          <w:tcPr>
            <w:tcW w:w="1709" w:type="dxa"/>
            <w:tcBorders>
              <w:top w:val="nil"/>
              <w:left w:val="nil"/>
              <w:right w:val="single" w:sz="4" w:space="0" w:color="auto"/>
            </w:tcBorders>
            <w:shd w:val="clear" w:color="auto" w:fill="auto"/>
            <w:vAlign w:val="bottom"/>
            <w:hideMark/>
          </w:tcPr>
          <w:p w:rsidR="005F7A4C" w:rsidRPr="00977FF7" w:rsidP="00066EF0">
            <w:pPr>
              <w:keepNext/>
              <w:keepLines/>
              <w:spacing w:after="0" w:line="240" w:lineRule="auto"/>
              <w:rPr>
                <w:rFonts w:cs="Arial"/>
                <w:i/>
                <w:iCs/>
                <w:sz w:val="20"/>
                <w:szCs w:val="20"/>
                <w:lang w:eastAsia="en-GB"/>
              </w:rPr>
            </w:pPr>
            <w:r w:rsidRPr="00977FF7">
              <w:rPr>
                <w:rFonts w:cs="Arial"/>
                <w:i/>
                <w:iCs/>
                <w:sz w:val="20"/>
                <w:szCs w:val="20"/>
                <w:lang w:eastAsia="en-GB"/>
              </w:rPr>
              <w:t> </w:t>
            </w:r>
          </w:p>
        </w:tc>
        <w:tc>
          <w:tcPr>
            <w:tcW w:w="1063" w:type="dxa"/>
            <w:tcBorders>
              <w:top w:val="nil"/>
              <w:left w:val="nil"/>
              <w:right w:val="single" w:sz="4" w:space="0" w:color="auto"/>
            </w:tcBorders>
            <w:shd w:val="clear" w:color="auto" w:fill="auto"/>
            <w:noWrap/>
            <w:vAlign w:val="bottom"/>
            <w:hideMark/>
          </w:tcPr>
          <w:p w:rsidR="005F7A4C" w:rsidRPr="00E00DC3" w:rsidP="00066EF0">
            <w:pPr>
              <w:keepNext/>
              <w:keepLines/>
              <w:spacing w:after="0" w:line="240" w:lineRule="auto"/>
              <w:rPr>
                <w:rFonts w:cs="Arial"/>
                <w:sz w:val="20"/>
                <w:szCs w:val="20"/>
                <w:lang w:eastAsia="en-GB"/>
              </w:rPr>
            </w:pPr>
            <w:r w:rsidRPr="00E00DC3">
              <w:rPr>
                <w:rFonts w:cs="Arial"/>
                <w:sz w:val="20"/>
                <w:szCs w:val="20"/>
                <w:lang w:eastAsia="en-GB"/>
              </w:rPr>
              <w:t> </w:t>
            </w:r>
          </w:p>
        </w:tc>
        <w:tc>
          <w:tcPr>
            <w:tcW w:w="1586" w:type="dxa"/>
            <w:tcBorders>
              <w:top w:val="nil"/>
              <w:left w:val="nil"/>
              <w:right w:val="single" w:sz="4" w:space="0" w:color="auto"/>
            </w:tcBorders>
            <w:shd w:val="clear" w:color="auto" w:fill="auto"/>
            <w:noWrap/>
            <w:vAlign w:val="bottom"/>
            <w:hideMark/>
          </w:tcPr>
          <w:p w:rsidR="005F7A4C" w:rsidRPr="00E00DC3" w:rsidP="00066EF0">
            <w:pPr>
              <w:keepNext/>
              <w:keepLines/>
              <w:spacing w:after="0" w:line="240" w:lineRule="auto"/>
              <w:rPr>
                <w:rFonts w:cs="Arial"/>
                <w:sz w:val="20"/>
                <w:szCs w:val="20"/>
                <w:lang w:eastAsia="en-GB"/>
              </w:rPr>
            </w:pPr>
            <w:r w:rsidRPr="00E00DC3">
              <w:rPr>
                <w:rFonts w:cs="Arial"/>
                <w:sz w:val="20"/>
                <w:szCs w:val="20"/>
                <w:lang w:eastAsia="en-GB"/>
              </w:rPr>
              <w:t> </w:t>
            </w:r>
          </w:p>
        </w:tc>
        <w:tc>
          <w:tcPr>
            <w:tcW w:w="1189" w:type="dxa"/>
            <w:tcBorders>
              <w:top w:val="nil"/>
              <w:left w:val="nil"/>
              <w:right w:val="single" w:sz="4" w:space="0" w:color="auto"/>
            </w:tcBorders>
            <w:shd w:val="clear" w:color="auto" w:fill="auto"/>
            <w:noWrap/>
            <w:vAlign w:val="bottom"/>
            <w:hideMark/>
          </w:tcPr>
          <w:p w:rsidR="005F7A4C" w:rsidRPr="00E00DC3" w:rsidP="00066EF0">
            <w:pPr>
              <w:keepNext/>
              <w:keepLines/>
              <w:spacing w:after="0" w:line="240" w:lineRule="auto"/>
              <w:rPr>
                <w:rFonts w:cs="Arial"/>
                <w:sz w:val="20"/>
                <w:szCs w:val="20"/>
                <w:lang w:eastAsia="en-GB"/>
              </w:rPr>
            </w:pPr>
            <w:r w:rsidRPr="00E00DC3">
              <w:rPr>
                <w:rFonts w:cs="Arial"/>
                <w:sz w:val="20"/>
                <w:szCs w:val="20"/>
                <w:lang w:eastAsia="en-GB"/>
              </w:rPr>
              <w:t> </w:t>
            </w:r>
          </w:p>
        </w:tc>
        <w:tc>
          <w:tcPr>
            <w:tcW w:w="1195" w:type="dxa"/>
            <w:tcBorders>
              <w:top w:val="nil"/>
              <w:left w:val="nil"/>
              <w:right w:val="single" w:sz="4" w:space="0" w:color="auto"/>
            </w:tcBorders>
            <w:shd w:val="clear" w:color="auto" w:fill="auto"/>
            <w:noWrap/>
            <w:vAlign w:val="bottom"/>
            <w:hideMark/>
          </w:tcPr>
          <w:p w:rsidR="005F7A4C" w:rsidRPr="00E00DC3" w:rsidP="00066EF0">
            <w:pPr>
              <w:keepNext/>
              <w:keepLines/>
              <w:spacing w:after="0" w:line="240" w:lineRule="auto"/>
              <w:rPr>
                <w:rFonts w:cs="Arial"/>
                <w:sz w:val="20"/>
                <w:szCs w:val="20"/>
                <w:lang w:eastAsia="en-GB"/>
              </w:rPr>
            </w:pPr>
            <w:r w:rsidRPr="00E00DC3">
              <w:rPr>
                <w:rFonts w:cs="Arial"/>
                <w:sz w:val="20"/>
                <w:szCs w:val="20"/>
                <w:lang w:eastAsia="en-GB"/>
              </w:rPr>
              <w:t> </w:t>
            </w:r>
          </w:p>
        </w:tc>
        <w:tc>
          <w:tcPr>
            <w:tcW w:w="1295" w:type="dxa"/>
            <w:tcBorders>
              <w:top w:val="nil"/>
              <w:left w:val="nil"/>
              <w:right w:val="single" w:sz="4" w:space="0" w:color="auto"/>
            </w:tcBorders>
            <w:shd w:val="clear" w:color="auto" w:fill="auto"/>
            <w:noWrap/>
            <w:vAlign w:val="bottom"/>
            <w:hideMark/>
          </w:tcPr>
          <w:p w:rsidR="005F7A4C" w:rsidRPr="00E00DC3" w:rsidP="00066EF0">
            <w:pPr>
              <w:keepNext/>
              <w:keepLines/>
              <w:spacing w:after="0" w:line="240" w:lineRule="auto"/>
              <w:rPr>
                <w:rFonts w:cs="Arial"/>
                <w:sz w:val="20"/>
                <w:szCs w:val="20"/>
                <w:lang w:eastAsia="en-GB"/>
              </w:rPr>
            </w:pPr>
            <w:r w:rsidRPr="00E00DC3">
              <w:rPr>
                <w:rFonts w:cs="Arial"/>
                <w:sz w:val="20"/>
                <w:szCs w:val="20"/>
                <w:lang w:eastAsia="en-GB"/>
              </w:rPr>
              <w:t> </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AME</w:t>
            </w:r>
          </w:p>
        </w:tc>
        <w:tc>
          <w:tcPr>
            <w:tcW w:w="1290" w:type="dxa"/>
            <w:tcBorders>
              <w:top w:val="nil"/>
              <w:left w:val="nil"/>
              <w:bottom w:val="nil"/>
              <w:right w:val="nil"/>
            </w:tcBorders>
            <w:shd w:val="clear" w:color="auto" w:fill="auto"/>
            <w:vAlign w:val="bottom"/>
            <w:hideMark/>
          </w:tcPr>
          <w:p w:rsidR="008B5D94" w:rsidRPr="00977FF7" w:rsidP="008B5D94">
            <w:pPr>
              <w:keepNext/>
              <w:keepLines/>
              <w:spacing w:after="0" w:line="240" w:lineRule="auto"/>
              <w:rPr>
                <w:rFonts w:cs="Arial"/>
                <w:sz w:val="20"/>
                <w:szCs w:val="20"/>
                <w:lang w:eastAsia="en-GB"/>
              </w:rPr>
            </w:pPr>
          </w:p>
        </w:tc>
        <w:tc>
          <w:tcPr>
            <w:tcW w:w="1709" w:type="dxa"/>
            <w:tcBorders>
              <w:top w:val="nil"/>
              <w:left w:val="nil"/>
              <w:bottom w:val="single" w:sz="4" w:space="0" w:color="D9D9D9" w:themeColor="background1" w:themeShade="D9"/>
              <w:right w:val="single" w:sz="4" w:space="0" w:color="auto"/>
            </w:tcBorders>
            <w:shd w:val="clear" w:color="auto" w:fill="auto"/>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 xml:space="preserve">Current </w:t>
            </w:r>
            <w:r>
              <w:rPr>
                <w:rFonts w:cs="Arial"/>
                <w:i/>
                <w:iCs/>
                <w:sz w:val="20"/>
                <w:szCs w:val="20"/>
                <w:lang w:eastAsia="en-GB"/>
              </w:rPr>
              <w:t>S</w:t>
            </w:r>
            <w:r w:rsidRPr="00977FF7">
              <w:rPr>
                <w:rFonts w:cs="Arial"/>
                <w:i/>
                <w:iCs/>
                <w:sz w:val="20"/>
                <w:szCs w:val="20"/>
                <w:lang w:eastAsia="en-GB"/>
              </w:rPr>
              <w:t>ervice costs</w:t>
            </w:r>
          </w:p>
        </w:tc>
        <w:tc>
          <w:tcPr>
            <w:tcW w:w="1063"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470A4F" w:rsidP="008B5D94">
            <w:pPr>
              <w:keepNext/>
              <w:keepLines/>
              <w:tabs>
                <w:tab w:val="decimal" w:pos="567"/>
              </w:tabs>
              <w:spacing w:after="0" w:line="240" w:lineRule="auto"/>
              <w:rPr>
                <w:rFonts w:cs="Arial"/>
                <w:sz w:val="20"/>
                <w:szCs w:val="20"/>
                <w:lang w:eastAsia="en-GB"/>
              </w:rPr>
            </w:pPr>
            <w:r w:rsidRPr="00470A4F">
              <w:rPr>
                <w:rFonts w:cs="Arial"/>
                <w:sz w:val="20"/>
                <w:szCs w:val="20"/>
                <w:lang w:eastAsia="en-GB"/>
              </w:rPr>
              <w:t>18,490</w:t>
            </w:r>
            <w:r>
              <w:rPr>
                <w:rFonts w:cs="Arial"/>
                <w:sz w:val="20"/>
                <w:szCs w:val="20"/>
                <w:lang w:eastAsia="en-GB"/>
              </w:rPr>
              <w:t>.3</w:t>
            </w:r>
          </w:p>
        </w:tc>
        <w:tc>
          <w:tcPr>
            <w:tcW w:w="1586"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13,850.6</w:t>
            </w:r>
          </w:p>
        </w:tc>
        <w:tc>
          <w:tcPr>
            <w:tcW w:w="1189"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8B5D94" w:rsidP="008B5D94">
            <w:pPr>
              <w:keepNext/>
              <w:keepLines/>
              <w:tabs>
                <w:tab w:val="decimal" w:pos="794"/>
              </w:tabs>
              <w:spacing w:after="0" w:line="240" w:lineRule="auto"/>
              <w:rPr>
                <w:rFonts w:cs="Arial"/>
                <w:sz w:val="20"/>
                <w:szCs w:val="20"/>
                <w:lang w:eastAsia="en-GB"/>
              </w:rPr>
            </w:pPr>
            <w:r w:rsidRPr="008B5D94">
              <w:rPr>
                <w:rFonts w:cs="Arial"/>
                <w:sz w:val="20"/>
                <w:szCs w:val="20"/>
                <w:lang w:eastAsia="en-GB"/>
              </w:rPr>
              <w:t>4639.7</w:t>
            </w:r>
          </w:p>
        </w:tc>
        <w:tc>
          <w:tcPr>
            <w:tcW w:w="1195"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8B5D94" w:rsidP="008B5D94">
            <w:pPr>
              <w:keepNext/>
              <w:keepLines/>
              <w:tabs>
                <w:tab w:val="decimal" w:pos="567"/>
              </w:tabs>
              <w:spacing w:after="0" w:line="240" w:lineRule="auto"/>
              <w:rPr>
                <w:rFonts w:cs="Arial"/>
                <w:sz w:val="20"/>
                <w:szCs w:val="20"/>
                <w:lang w:eastAsia="en-GB"/>
              </w:rPr>
            </w:pPr>
            <w:r w:rsidRPr="008B5D94">
              <w:rPr>
                <w:rFonts w:cs="Arial"/>
                <w:sz w:val="20"/>
                <w:szCs w:val="20"/>
                <w:lang w:eastAsia="en-GB"/>
              </w:rPr>
              <w:t>33.5%</w:t>
            </w:r>
          </w:p>
        </w:tc>
        <w:tc>
          <w:tcPr>
            <w:tcW w:w="1295"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E00DC3" w:rsidP="008B5D94">
            <w:pPr>
              <w:keepNext/>
              <w:keepLines/>
              <w:spacing w:after="0" w:line="240" w:lineRule="auto"/>
              <w:jc w:val="center"/>
              <w:rPr>
                <w:rFonts w:cs="Arial"/>
                <w:sz w:val="20"/>
                <w:szCs w:val="20"/>
                <w:lang w:eastAsia="en-GB"/>
              </w:rPr>
            </w:pPr>
            <w:r w:rsidRPr="000E34E0">
              <w:rPr>
                <w:rFonts w:cs="Arial"/>
                <w:b/>
                <w:sz w:val="20"/>
                <w:szCs w:val="20"/>
                <w:lang w:eastAsia="en-GB"/>
              </w:rPr>
              <w:t>1</w:t>
            </w:r>
          </w:p>
        </w:tc>
      </w:tr>
      <w:tr w:rsidTr="00B97BF2">
        <w:tblPrEx>
          <w:tblW w:w="10456" w:type="dxa"/>
          <w:tblLayout w:type="fixed"/>
          <w:tblLook w:val="04A0"/>
        </w:tblPrEx>
        <w:trPr>
          <w:trHeight w:val="525"/>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977FF7"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Interest on scheme liabilities</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8,015.6</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10,563.6</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8B5D94" w:rsidP="008B5D94">
            <w:pPr>
              <w:keepNext/>
              <w:keepLines/>
              <w:tabs>
                <w:tab w:val="decimal" w:pos="794"/>
              </w:tabs>
              <w:spacing w:after="0" w:line="240" w:lineRule="auto"/>
              <w:rPr>
                <w:rFonts w:cs="Arial"/>
                <w:sz w:val="20"/>
                <w:szCs w:val="20"/>
                <w:lang w:eastAsia="en-GB"/>
              </w:rPr>
            </w:pPr>
            <w:r>
              <w:rPr>
                <w:rFonts w:cs="Arial"/>
                <w:sz w:val="20"/>
                <w:szCs w:val="20"/>
                <w:lang w:eastAsia="en-GB"/>
              </w:rPr>
              <w:t>(2548</w:t>
            </w:r>
            <w:r w:rsidR="0040002F">
              <w:rPr>
                <w:rFonts w:cs="Arial"/>
                <w:sz w:val="20"/>
                <w:szCs w:val="20"/>
                <w:lang w:eastAsia="en-GB"/>
              </w:rPr>
              <w:t>.0</w:t>
            </w:r>
            <w:r>
              <w:rPr>
                <w:rFonts w:cs="Arial"/>
                <w:sz w:val="20"/>
                <w:szCs w:val="20"/>
                <w:lang w:eastAsia="en-GB"/>
              </w:rPr>
              <w:t>)</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C0435D" w:rsidP="008B5D94">
            <w:pPr>
              <w:keepNext/>
              <w:keepLines/>
              <w:tabs>
                <w:tab w:val="decimal" w:pos="567"/>
              </w:tabs>
              <w:spacing w:after="0" w:line="240" w:lineRule="auto"/>
              <w:rPr>
                <w:rFonts w:cs="Arial"/>
                <w:sz w:val="20"/>
                <w:szCs w:val="20"/>
                <w:lang w:eastAsia="en-GB"/>
              </w:rPr>
            </w:pPr>
          </w:p>
          <w:p w:rsidR="008B5D94" w:rsidRPr="008B5D94" w:rsidP="008B5D94">
            <w:pPr>
              <w:keepNext/>
              <w:keepLines/>
              <w:tabs>
                <w:tab w:val="decimal" w:pos="567"/>
              </w:tabs>
              <w:spacing w:after="0" w:line="240" w:lineRule="auto"/>
              <w:rPr>
                <w:rFonts w:cs="Arial"/>
                <w:sz w:val="20"/>
                <w:szCs w:val="20"/>
                <w:lang w:eastAsia="en-GB"/>
              </w:rPr>
            </w:pPr>
            <w:r>
              <w:rPr>
                <w:rFonts w:cs="Arial"/>
                <w:sz w:val="20"/>
                <w:szCs w:val="20"/>
                <w:lang w:eastAsia="en-GB"/>
              </w:rPr>
              <w:t>(24.1%)</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spacing w:after="0" w:line="240" w:lineRule="auto"/>
              <w:jc w:val="center"/>
              <w:rPr>
                <w:rFonts w:cs="Arial"/>
                <w:b/>
                <w:sz w:val="20"/>
                <w:szCs w:val="20"/>
                <w:lang w:eastAsia="en-GB"/>
              </w:rPr>
            </w:pPr>
            <w:r>
              <w:rPr>
                <w:rFonts w:cs="Arial"/>
                <w:b/>
                <w:sz w:val="20"/>
                <w:szCs w:val="20"/>
                <w:lang w:eastAsia="en-GB"/>
              </w:rPr>
              <w:t>2</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tcPr>
          <w:p w:rsidR="008B5D94" w:rsidRPr="00977FF7" w:rsidP="008B5D94">
            <w:pPr>
              <w:keepNext/>
              <w:keepLines/>
              <w:spacing w:after="0" w:line="240" w:lineRule="auto"/>
              <w:rPr>
                <w:rFonts w:cs="Arial"/>
                <w:sz w:val="20"/>
                <w:szCs w:val="20"/>
                <w:lang w:eastAsia="en-GB"/>
              </w:rPr>
            </w:pPr>
          </w:p>
        </w:tc>
        <w:tc>
          <w:tcPr>
            <w:tcW w:w="1290" w:type="dxa"/>
            <w:tcBorders>
              <w:top w:val="nil"/>
              <w:left w:val="nil"/>
              <w:bottom w:val="nil"/>
              <w:right w:val="nil"/>
            </w:tcBorders>
            <w:shd w:val="clear" w:color="auto" w:fill="auto"/>
            <w:vAlign w:val="bottom"/>
          </w:tcPr>
          <w:p w:rsidR="008B5D94" w:rsidRPr="00977FF7"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Enhancements</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sidRPr="00FA5FEF">
              <w:rPr>
                <w:rFonts w:cs="Arial"/>
                <w:sz w:val="20"/>
                <w:szCs w:val="20"/>
                <w:lang w:eastAsia="en-GB"/>
              </w:rPr>
              <w:t>2</w:t>
            </w:r>
            <w:r>
              <w:rPr>
                <w:rFonts w:cs="Arial"/>
                <w:sz w:val="20"/>
                <w:szCs w:val="20"/>
                <w:lang w:eastAsia="en-GB"/>
              </w:rPr>
              <w:t>7.3</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1,777.0</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sidRPr="00C0435D">
              <w:rPr>
                <w:rFonts w:cs="Arial"/>
                <w:sz w:val="20"/>
                <w:szCs w:val="20"/>
                <w:lang w:eastAsia="en-GB"/>
              </w:rPr>
              <w:t>(1749.7)</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sidRPr="00C0435D">
              <w:rPr>
                <w:rFonts w:cs="Arial"/>
                <w:sz w:val="20"/>
                <w:szCs w:val="20"/>
                <w:lang w:eastAsia="en-GB"/>
              </w:rPr>
              <w:t>(98.5%)</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spacing w:after="0" w:line="240" w:lineRule="auto"/>
              <w:jc w:val="center"/>
              <w:rPr>
                <w:rFonts w:cs="Arial"/>
                <w:b/>
                <w:sz w:val="20"/>
                <w:szCs w:val="20"/>
                <w:lang w:eastAsia="en-GB"/>
              </w:rPr>
            </w:pPr>
            <w:r w:rsidRPr="00C0435D">
              <w:rPr>
                <w:rFonts w:cs="Arial"/>
                <w:b/>
                <w:sz w:val="20"/>
                <w:szCs w:val="20"/>
                <w:lang w:eastAsia="en-GB"/>
              </w:rPr>
              <w:t>3</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977FF7"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Other payments</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1.9</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17.4</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C0435D"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(15.5)</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(89.1%)</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spacing w:after="0" w:line="240" w:lineRule="auto"/>
              <w:jc w:val="center"/>
              <w:rPr>
                <w:rFonts w:cs="Arial"/>
                <w:b/>
                <w:sz w:val="20"/>
                <w:szCs w:val="20"/>
                <w:lang w:eastAsia="en-GB"/>
              </w:rPr>
            </w:pPr>
            <w:r>
              <w:rPr>
                <w:rFonts w:cs="Arial"/>
                <w:b/>
                <w:sz w:val="20"/>
                <w:szCs w:val="20"/>
                <w:lang w:eastAsia="en-GB"/>
              </w:rPr>
              <w:t>4</w:t>
            </w:r>
          </w:p>
        </w:tc>
      </w:tr>
      <w:tr w:rsidTr="00B97BF2">
        <w:tblPrEx>
          <w:tblW w:w="10456" w:type="dxa"/>
          <w:tblLayout w:type="fixed"/>
          <w:tblLook w:val="04A0"/>
        </w:tblPrEx>
        <w:trPr>
          <w:trHeight w:val="525"/>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977FF7"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Increase in liabilities due to Transfers in</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17.6</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15.9</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1.7</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10.7%</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spacing w:after="0" w:line="240" w:lineRule="auto"/>
              <w:jc w:val="center"/>
              <w:rPr>
                <w:rFonts w:cs="Arial"/>
                <w:b/>
                <w:sz w:val="20"/>
                <w:szCs w:val="20"/>
                <w:lang w:eastAsia="en-GB"/>
              </w:rPr>
            </w:pPr>
          </w:p>
        </w:tc>
      </w:tr>
      <w:tr w:rsidTr="00B97BF2">
        <w:tblPrEx>
          <w:tblW w:w="10456" w:type="dxa"/>
          <w:tblLayout w:type="fixed"/>
          <w:tblLook w:val="04A0"/>
        </w:tblPrEx>
        <w:trPr>
          <w:trHeight w:val="525"/>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977FF7"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Increase in premature retirement provision</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3.1</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4.7</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(1.6)</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(34.0%)</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spacing w:after="0" w:line="240" w:lineRule="auto"/>
              <w:jc w:val="center"/>
              <w:rPr>
                <w:rFonts w:cs="Arial"/>
                <w:b/>
                <w:sz w:val="20"/>
                <w:szCs w:val="20"/>
                <w:lang w:eastAsia="en-GB"/>
              </w:rPr>
            </w:pPr>
          </w:p>
        </w:tc>
      </w:tr>
      <w:tr w:rsidTr="00B97BF2">
        <w:tblPrEx>
          <w:tblW w:w="10456" w:type="dxa"/>
          <w:tblLayout w:type="fixed"/>
          <w:tblLook w:val="04A0"/>
        </w:tblPrEx>
        <w:trPr>
          <w:trHeight w:val="525"/>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977FF7"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Interest on premature retirement provision</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1.</w:t>
            </w:r>
            <w:r w:rsidR="00C0435D">
              <w:rPr>
                <w:rFonts w:cs="Arial"/>
                <w:sz w:val="20"/>
                <w:szCs w:val="20"/>
                <w:lang w:eastAsia="en-GB"/>
              </w:rPr>
              <w:t>4</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(0.2)</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1.6</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(8%)</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spacing w:after="0" w:line="240" w:lineRule="auto"/>
              <w:jc w:val="center"/>
              <w:rPr>
                <w:rFonts w:cs="Arial"/>
                <w:b/>
                <w:sz w:val="20"/>
                <w:szCs w:val="20"/>
                <w:lang w:eastAsia="en-GB"/>
              </w:rPr>
            </w:pP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977FF7"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Administration fee</w:t>
            </w:r>
          </w:p>
        </w:tc>
        <w:tc>
          <w:tcPr>
            <w:tcW w:w="1063"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18.2</w:t>
            </w:r>
          </w:p>
        </w:tc>
        <w:tc>
          <w:tcPr>
            <w:tcW w:w="1586"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17.3</w:t>
            </w:r>
          </w:p>
        </w:tc>
        <w:tc>
          <w:tcPr>
            <w:tcW w:w="1189"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0.9</w:t>
            </w:r>
          </w:p>
        </w:tc>
        <w:tc>
          <w:tcPr>
            <w:tcW w:w="1195"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5.2%</w:t>
            </w:r>
          </w:p>
        </w:tc>
        <w:tc>
          <w:tcPr>
            <w:tcW w:w="1295"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C0435D" w:rsidP="008B5D94">
            <w:pPr>
              <w:keepNext/>
              <w:keepLines/>
              <w:spacing w:after="0" w:line="240" w:lineRule="auto"/>
              <w:rPr>
                <w:rFonts w:cs="Arial"/>
                <w:sz w:val="20"/>
                <w:szCs w:val="20"/>
                <w:lang w:eastAsia="en-GB"/>
              </w:rPr>
            </w:pPr>
          </w:p>
        </w:tc>
      </w:tr>
      <w:tr w:rsidTr="00B97BF2">
        <w:tblPrEx>
          <w:tblW w:w="10456" w:type="dxa"/>
          <w:tblLayout w:type="fixed"/>
          <w:tblLook w:val="04A0"/>
        </w:tblPrEx>
        <w:trPr>
          <w:trHeight w:val="300"/>
        </w:trPr>
        <w:tc>
          <w:tcPr>
            <w:tcW w:w="1129" w:type="dxa"/>
            <w:tcBorders>
              <w:top w:val="nil"/>
              <w:left w:val="single" w:sz="4" w:space="0" w:color="auto"/>
              <w:bottom w:val="single" w:sz="4" w:space="0" w:color="auto"/>
              <w:right w:val="single" w:sz="4" w:space="0" w:color="auto"/>
            </w:tcBorders>
            <w:shd w:val="clear" w:color="000000" w:fill="FFFFFF"/>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single" w:sz="4" w:space="0" w:color="auto"/>
              <w:left w:val="nil"/>
              <w:bottom w:val="single" w:sz="4" w:space="0" w:color="auto"/>
              <w:right w:val="nil"/>
            </w:tcBorders>
            <w:shd w:val="clear" w:color="000000" w:fill="FFFFFF"/>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Sub total</w:t>
            </w:r>
          </w:p>
        </w:tc>
        <w:tc>
          <w:tcPr>
            <w:tcW w:w="1709" w:type="dxa"/>
            <w:tcBorders>
              <w:top w:val="single" w:sz="4" w:space="0" w:color="auto"/>
              <w:left w:val="nil"/>
              <w:bottom w:val="single" w:sz="4" w:space="0" w:color="auto"/>
              <w:right w:val="single" w:sz="4" w:space="0" w:color="auto"/>
            </w:tcBorders>
            <w:shd w:val="clear" w:color="000000" w:fill="FFFFFF"/>
            <w:vAlign w:val="bottom"/>
            <w:hideMark/>
          </w:tcPr>
          <w:p w:rsidR="008B5D94" w:rsidRPr="00977FF7" w:rsidP="008B5D94">
            <w:pPr>
              <w:keepNext/>
              <w:keepLines/>
              <w:spacing w:after="0" w:line="240" w:lineRule="auto"/>
              <w:rPr>
                <w:rFonts w:cs="Arial"/>
                <w:i/>
                <w:iCs/>
                <w:sz w:val="20"/>
                <w:szCs w:val="20"/>
                <w:lang w:eastAsia="en-GB"/>
              </w:rPr>
            </w:pPr>
            <w:r w:rsidRPr="00977FF7">
              <w:rPr>
                <w:rFonts w:cs="Arial"/>
                <w:i/>
                <w:iCs/>
                <w:sz w:val="20"/>
                <w:szCs w:val="20"/>
                <w:lang w:eastAsia="en-GB"/>
              </w:rPr>
              <w:t> </w:t>
            </w:r>
          </w:p>
        </w:tc>
        <w:tc>
          <w:tcPr>
            <w:tcW w:w="1063" w:type="dxa"/>
            <w:tcBorders>
              <w:top w:val="single" w:sz="4" w:space="0" w:color="auto"/>
              <w:left w:val="nil"/>
              <w:bottom w:val="single" w:sz="4" w:space="0" w:color="auto"/>
              <w:right w:val="single" w:sz="4" w:space="0" w:color="auto"/>
            </w:tcBorders>
            <w:shd w:val="clear" w:color="000000" w:fill="FFFFFF"/>
            <w:noWrap/>
            <w:vAlign w:val="bottom"/>
          </w:tcPr>
          <w:p w:rsidR="008B5D94" w:rsidRPr="00337037" w:rsidP="008B5D94">
            <w:pPr>
              <w:keepNext/>
              <w:keepLines/>
              <w:tabs>
                <w:tab w:val="decimal" w:pos="567"/>
              </w:tabs>
              <w:spacing w:after="0" w:line="240" w:lineRule="auto"/>
              <w:rPr>
                <w:rFonts w:cs="Arial"/>
                <w:b/>
                <w:sz w:val="20"/>
                <w:szCs w:val="20"/>
                <w:highlight w:val="yellow"/>
                <w:lang w:eastAsia="en-GB"/>
              </w:rPr>
            </w:pPr>
            <w:r w:rsidRPr="001D2DB8">
              <w:rPr>
                <w:rFonts w:cs="Arial"/>
                <w:b/>
                <w:sz w:val="20"/>
                <w:szCs w:val="20"/>
                <w:lang w:eastAsia="en-GB"/>
              </w:rPr>
              <w:t>2</w:t>
            </w:r>
            <w:r>
              <w:rPr>
                <w:rFonts w:cs="Arial"/>
                <w:b/>
                <w:sz w:val="20"/>
                <w:szCs w:val="20"/>
                <w:lang w:eastAsia="en-GB"/>
              </w:rPr>
              <w:t>6,575.4</w:t>
            </w:r>
          </w:p>
        </w:tc>
        <w:tc>
          <w:tcPr>
            <w:tcW w:w="1586" w:type="dxa"/>
            <w:tcBorders>
              <w:top w:val="single" w:sz="4" w:space="0" w:color="auto"/>
              <w:left w:val="nil"/>
              <w:bottom w:val="single" w:sz="4" w:space="0" w:color="auto"/>
              <w:right w:val="single" w:sz="4" w:space="0" w:color="auto"/>
            </w:tcBorders>
            <w:shd w:val="clear" w:color="000000" w:fill="FFFFFF"/>
            <w:noWrap/>
            <w:vAlign w:val="bottom"/>
            <w:hideMark/>
          </w:tcPr>
          <w:p w:rsidR="008B5D94" w:rsidRPr="00E03DEA" w:rsidP="008B5D94">
            <w:pPr>
              <w:keepNext/>
              <w:keepLines/>
              <w:tabs>
                <w:tab w:val="decimal" w:pos="567"/>
              </w:tabs>
              <w:spacing w:after="0" w:line="240" w:lineRule="auto"/>
              <w:jc w:val="right"/>
              <w:rPr>
                <w:rFonts w:cs="Arial"/>
                <w:b/>
                <w:sz w:val="20"/>
                <w:szCs w:val="20"/>
                <w:lang w:eastAsia="en-GB"/>
              </w:rPr>
            </w:pPr>
            <w:r>
              <w:rPr>
                <w:rFonts w:cs="Arial"/>
                <w:b/>
                <w:sz w:val="20"/>
                <w:szCs w:val="20"/>
                <w:lang w:eastAsia="en-GB"/>
              </w:rPr>
              <w:t>26,246.3</w:t>
            </w:r>
          </w:p>
        </w:tc>
        <w:tc>
          <w:tcPr>
            <w:tcW w:w="1189"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794"/>
              </w:tabs>
              <w:spacing w:after="0" w:line="240" w:lineRule="auto"/>
              <w:rPr>
                <w:rFonts w:cs="Arial"/>
                <w:b/>
                <w:bCs/>
                <w:sz w:val="20"/>
                <w:szCs w:val="20"/>
                <w:lang w:eastAsia="en-GB"/>
              </w:rPr>
            </w:pPr>
            <w:r>
              <w:rPr>
                <w:rFonts w:cs="Arial"/>
                <w:b/>
                <w:bCs/>
                <w:sz w:val="20"/>
                <w:szCs w:val="20"/>
                <w:lang w:eastAsia="en-GB"/>
              </w:rPr>
              <w:t>32</w:t>
            </w:r>
            <w:r w:rsidR="002F310D">
              <w:rPr>
                <w:rFonts w:cs="Arial"/>
                <w:b/>
                <w:bCs/>
                <w:sz w:val="20"/>
                <w:szCs w:val="20"/>
                <w:lang w:eastAsia="en-GB"/>
              </w:rPr>
              <w:t>9.1</w:t>
            </w:r>
          </w:p>
        </w:tc>
        <w:tc>
          <w:tcPr>
            <w:tcW w:w="1195"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567"/>
              </w:tabs>
              <w:spacing w:after="0" w:line="240" w:lineRule="auto"/>
              <w:rPr>
                <w:rFonts w:cs="Arial"/>
                <w:b/>
                <w:bCs/>
                <w:sz w:val="20"/>
                <w:szCs w:val="20"/>
                <w:lang w:eastAsia="en-GB"/>
              </w:rPr>
            </w:pPr>
            <w:r>
              <w:rPr>
                <w:rFonts w:cs="Arial"/>
                <w:b/>
                <w:bCs/>
                <w:sz w:val="20"/>
                <w:szCs w:val="20"/>
                <w:lang w:eastAsia="en-GB"/>
              </w:rPr>
              <w:t>1.2%</w:t>
            </w:r>
          </w:p>
        </w:tc>
        <w:tc>
          <w:tcPr>
            <w:tcW w:w="1295" w:type="dxa"/>
            <w:tcBorders>
              <w:top w:val="single" w:sz="4" w:space="0" w:color="auto"/>
              <w:left w:val="nil"/>
              <w:bottom w:val="single" w:sz="4" w:space="0" w:color="auto"/>
              <w:right w:val="single" w:sz="4" w:space="0" w:color="auto"/>
            </w:tcBorders>
            <w:shd w:val="clear" w:color="000000" w:fill="FFFFFF"/>
            <w:noWrap/>
            <w:vAlign w:val="bottom"/>
            <w:hideMark/>
          </w:tcPr>
          <w:p w:rsidR="008B5D94" w:rsidRPr="00C0435D" w:rsidP="008B5D94">
            <w:pPr>
              <w:keepNext/>
              <w:keepLines/>
              <w:spacing w:after="0" w:line="240" w:lineRule="auto"/>
              <w:rPr>
                <w:rFonts w:cs="Arial"/>
                <w:b/>
                <w:sz w:val="20"/>
                <w:szCs w:val="20"/>
                <w:lang w:eastAsia="en-GB"/>
              </w:rPr>
            </w:pPr>
            <w:r w:rsidRPr="00C0435D">
              <w:rPr>
                <w:rFonts w:cs="Arial"/>
                <w:b/>
                <w:sz w:val="20"/>
                <w:szCs w:val="20"/>
                <w:lang w:eastAsia="en-GB"/>
              </w:rPr>
              <w:t> </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000000" w:fill="D9D9D9"/>
            <w:vAlign w:val="bottom"/>
            <w:hideMark/>
          </w:tcPr>
          <w:p w:rsidR="005F7A4C" w:rsidRPr="00977FF7" w:rsidP="00066EF0">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000000" w:fill="D9D9D9"/>
            <w:vAlign w:val="bottom"/>
            <w:hideMark/>
          </w:tcPr>
          <w:p w:rsidR="005F7A4C" w:rsidRPr="00977FF7" w:rsidP="00066EF0">
            <w:pPr>
              <w:keepNext/>
              <w:keepLines/>
              <w:spacing w:after="0" w:line="240" w:lineRule="auto"/>
              <w:rPr>
                <w:rFonts w:cs="Arial"/>
                <w:color w:val="FF0000"/>
                <w:sz w:val="20"/>
                <w:szCs w:val="20"/>
                <w:lang w:eastAsia="en-GB"/>
              </w:rPr>
            </w:pPr>
            <w:r w:rsidRPr="00977FF7">
              <w:rPr>
                <w:rFonts w:cs="Arial"/>
                <w:color w:val="FF0000"/>
                <w:sz w:val="20"/>
                <w:szCs w:val="20"/>
                <w:lang w:eastAsia="en-GB"/>
              </w:rPr>
              <w:t> </w:t>
            </w:r>
          </w:p>
        </w:tc>
        <w:tc>
          <w:tcPr>
            <w:tcW w:w="1709" w:type="dxa"/>
            <w:tcBorders>
              <w:top w:val="nil"/>
              <w:left w:val="nil"/>
              <w:right w:val="single" w:sz="4" w:space="0" w:color="auto"/>
            </w:tcBorders>
            <w:shd w:val="clear" w:color="000000" w:fill="D9D9D9"/>
            <w:vAlign w:val="bottom"/>
            <w:hideMark/>
          </w:tcPr>
          <w:p w:rsidR="005F7A4C" w:rsidRPr="00977FF7" w:rsidP="00066EF0">
            <w:pPr>
              <w:keepNext/>
              <w:keepLines/>
              <w:spacing w:after="0" w:line="240" w:lineRule="auto"/>
              <w:rPr>
                <w:rFonts w:cs="Arial"/>
                <w:i/>
                <w:iCs/>
                <w:color w:val="FF0000"/>
                <w:sz w:val="20"/>
                <w:szCs w:val="20"/>
                <w:lang w:eastAsia="en-GB"/>
              </w:rPr>
            </w:pPr>
            <w:r w:rsidRPr="00977FF7">
              <w:rPr>
                <w:rFonts w:cs="Arial"/>
                <w:i/>
                <w:iCs/>
                <w:color w:val="FF0000"/>
                <w:sz w:val="20"/>
                <w:szCs w:val="20"/>
                <w:lang w:eastAsia="en-GB"/>
              </w:rPr>
              <w:t> </w:t>
            </w:r>
          </w:p>
        </w:tc>
        <w:tc>
          <w:tcPr>
            <w:tcW w:w="1063" w:type="dxa"/>
            <w:tcBorders>
              <w:top w:val="nil"/>
              <w:left w:val="nil"/>
              <w:right w:val="single" w:sz="4" w:space="0" w:color="auto"/>
            </w:tcBorders>
            <w:shd w:val="clear" w:color="000000" w:fill="D9D9D9"/>
            <w:noWrap/>
            <w:vAlign w:val="bottom"/>
          </w:tcPr>
          <w:p w:rsidR="005F7A4C" w:rsidRPr="00DC32DF" w:rsidP="0032557A">
            <w:pPr>
              <w:keepNext/>
              <w:keepLines/>
              <w:tabs>
                <w:tab w:val="decimal" w:pos="567"/>
              </w:tabs>
              <w:spacing w:after="0" w:line="240" w:lineRule="auto"/>
              <w:rPr>
                <w:rFonts w:cs="Arial"/>
                <w:color w:val="FF0000"/>
                <w:sz w:val="20"/>
                <w:szCs w:val="20"/>
                <w:highlight w:val="yellow"/>
                <w:lang w:eastAsia="en-GB"/>
              </w:rPr>
            </w:pPr>
          </w:p>
        </w:tc>
        <w:tc>
          <w:tcPr>
            <w:tcW w:w="1586" w:type="dxa"/>
            <w:tcBorders>
              <w:top w:val="nil"/>
              <w:left w:val="nil"/>
              <w:right w:val="single" w:sz="4" w:space="0" w:color="auto"/>
            </w:tcBorders>
            <w:shd w:val="clear" w:color="000000" w:fill="D9D9D9"/>
            <w:noWrap/>
            <w:vAlign w:val="bottom"/>
            <w:hideMark/>
          </w:tcPr>
          <w:p w:rsidR="005F7A4C" w:rsidRPr="00977FF7" w:rsidP="00B97BF2">
            <w:pPr>
              <w:keepNext/>
              <w:keepLines/>
              <w:tabs>
                <w:tab w:val="decimal" w:pos="567"/>
              </w:tabs>
              <w:spacing w:after="0" w:line="240" w:lineRule="auto"/>
              <w:jc w:val="right"/>
              <w:rPr>
                <w:rFonts w:cs="Arial"/>
                <w:color w:val="FF0000"/>
                <w:sz w:val="20"/>
                <w:szCs w:val="20"/>
                <w:lang w:eastAsia="en-GB"/>
              </w:rPr>
            </w:pPr>
            <w:r w:rsidRPr="00977FF7">
              <w:rPr>
                <w:rFonts w:cs="Arial"/>
                <w:color w:val="FF0000"/>
                <w:sz w:val="20"/>
                <w:szCs w:val="20"/>
                <w:lang w:eastAsia="en-GB"/>
              </w:rPr>
              <w:t> </w:t>
            </w:r>
          </w:p>
        </w:tc>
        <w:tc>
          <w:tcPr>
            <w:tcW w:w="1189" w:type="dxa"/>
            <w:tcBorders>
              <w:top w:val="nil"/>
              <w:left w:val="nil"/>
              <w:right w:val="single" w:sz="4" w:space="0" w:color="auto"/>
            </w:tcBorders>
            <w:shd w:val="clear" w:color="000000" w:fill="D9D9D9"/>
            <w:noWrap/>
            <w:vAlign w:val="bottom"/>
          </w:tcPr>
          <w:p w:rsidR="005F7A4C" w:rsidRPr="00C0435D" w:rsidP="00B97BF2">
            <w:pPr>
              <w:keepNext/>
              <w:keepLines/>
              <w:tabs>
                <w:tab w:val="decimal" w:pos="794"/>
              </w:tabs>
              <w:spacing w:after="0" w:line="240" w:lineRule="auto"/>
              <w:rPr>
                <w:rFonts w:cs="Arial"/>
                <w:b/>
                <w:bCs/>
                <w:sz w:val="20"/>
                <w:szCs w:val="20"/>
                <w:lang w:eastAsia="en-GB"/>
              </w:rPr>
            </w:pPr>
          </w:p>
        </w:tc>
        <w:tc>
          <w:tcPr>
            <w:tcW w:w="1195" w:type="dxa"/>
            <w:tcBorders>
              <w:top w:val="nil"/>
              <w:left w:val="nil"/>
              <w:right w:val="single" w:sz="4" w:space="0" w:color="auto"/>
            </w:tcBorders>
            <w:shd w:val="clear" w:color="000000" w:fill="D9D9D9"/>
            <w:noWrap/>
            <w:vAlign w:val="bottom"/>
          </w:tcPr>
          <w:p w:rsidR="005F7A4C" w:rsidRPr="00C0435D" w:rsidP="00592789">
            <w:pPr>
              <w:keepNext/>
              <w:keepLines/>
              <w:tabs>
                <w:tab w:val="decimal" w:pos="567"/>
              </w:tabs>
              <w:spacing w:after="0" w:line="240" w:lineRule="auto"/>
              <w:rPr>
                <w:rFonts w:cs="Arial"/>
                <w:b/>
                <w:bCs/>
                <w:sz w:val="20"/>
                <w:szCs w:val="20"/>
                <w:lang w:eastAsia="en-GB"/>
              </w:rPr>
            </w:pPr>
          </w:p>
        </w:tc>
        <w:tc>
          <w:tcPr>
            <w:tcW w:w="1295" w:type="dxa"/>
            <w:tcBorders>
              <w:top w:val="nil"/>
              <w:left w:val="nil"/>
              <w:right w:val="single" w:sz="4" w:space="0" w:color="auto"/>
            </w:tcBorders>
            <w:shd w:val="clear" w:color="000000" w:fill="D9D9D9"/>
            <w:noWrap/>
            <w:vAlign w:val="bottom"/>
            <w:hideMark/>
          </w:tcPr>
          <w:p w:rsidR="005F7A4C" w:rsidRPr="00C0435D" w:rsidP="00066EF0">
            <w:pPr>
              <w:keepNext/>
              <w:keepLines/>
              <w:spacing w:after="0" w:line="240" w:lineRule="auto"/>
              <w:rPr>
                <w:rFonts w:cs="Arial"/>
                <w:sz w:val="20"/>
                <w:szCs w:val="20"/>
                <w:lang w:eastAsia="en-GB"/>
              </w:rPr>
            </w:pPr>
            <w:r w:rsidRPr="00C0435D">
              <w:rPr>
                <w:rFonts w:cs="Arial"/>
                <w:sz w:val="20"/>
                <w:szCs w:val="20"/>
                <w:lang w:eastAsia="en-GB"/>
              </w:rPr>
              <w:t> </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xml:space="preserve">Resource </w:t>
            </w:r>
          </w:p>
        </w:tc>
        <w:tc>
          <w:tcPr>
            <w:tcW w:w="1290" w:type="dxa"/>
            <w:tcBorders>
              <w:top w:val="nil"/>
              <w:left w:val="nil"/>
              <w:bottom w:val="nil"/>
              <w:right w:val="nil"/>
            </w:tcBorders>
            <w:shd w:val="clear" w:color="auto" w:fill="auto"/>
            <w:vAlign w:val="bottom"/>
            <w:hideMark/>
          </w:tcPr>
          <w:p w:rsidR="008B5D94" w:rsidRPr="00E00DC3" w:rsidP="008B5D94">
            <w:pPr>
              <w:keepNext/>
              <w:keepLines/>
              <w:spacing w:after="0" w:line="240" w:lineRule="auto"/>
              <w:rPr>
                <w:rFonts w:cs="Arial"/>
                <w:sz w:val="20"/>
                <w:szCs w:val="20"/>
                <w:lang w:eastAsia="en-GB"/>
              </w:rPr>
            </w:pPr>
            <w:r w:rsidRPr="00E00DC3">
              <w:rPr>
                <w:rFonts w:cs="Arial"/>
                <w:sz w:val="20"/>
                <w:szCs w:val="20"/>
                <w:lang w:eastAsia="en-GB"/>
              </w:rPr>
              <w:t>Income</w:t>
            </w:r>
          </w:p>
        </w:tc>
        <w:tc>
          <w:tcPr>
            <w:tcW w:w="1709" w:type="dxa"/>
            <w:tcBorders>
              <w:top w:val="nil"/>
              <w:left w:val="nil"/>
              <w:bottom w:val="single" w:sz="4" w:space="0" w:color="D9D9D9" w:themeColor="background1" w:themeShade="D9"/>
              <w:right w:val="single" w:sz="4" w:space="0" w:color="auto"/>
            </w:tcBorders>
            <w:shd w:val="clear" w:color="auto" w:fill="auto"/>
            <w:vAlign w:val="bottom"/>
            <w:hideMark/>
          </w:tcPr>
          <w:p w:rsidR="008B5D94" w:rsidRPr="00E00DC3" w:rsidP="008B5D94">
            <w:pPr>
              <w:keepNext/>
              <w:keepLines/>
              <w:spacing w:after="0" w:line="240" w:lineRule="auto"/>
              <w:rPr>
                <w:rFonts w:cs="Arial"/>
                <w:i/>
                <w:iCs/>
                <w:sz w:val="20"/>
                <w:szCs w:val="20"/>
                <w:lang w:eastAsia="en-GB"/>
              </w:rPr>
            </w:pPr>
            <w:r w:rsidRPr="00E00DC3">
              <w:rPr>
                <w:rFonts w:cs="Arial"/>
                <w:i/>
                <w:iCs/>
                <w:sz w:val="20"/>
                <w:szCs w:val="20"/>
                <w:lang w:eastAsia="en-GB"/>
              </w:rPr>
              <w:t>Employer contributions</w:t>
            </w:r>
          </w:p>
        </w:tc>
        <w:tc>
          <w:tcPr>
            <w:tcW w:w="1063"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(6,154.8)</w:t>
            </w:r>
          </w:p>
        </w:tc>
        <w:tc>
          <w:tcPr>
            <w:tcW w:w="1586"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(5,264.2)</w:t>
            </w:r>
          </w:p>
        </w:tc>
        <w:tc>
          <w:tcPr>
            <w:tcW w:w="1189"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(890.6)</w:t>
            </w:r>
          </w:p>
        </w:tc>
        <w:tc>
          <w:tcPr>
            <w:tcW w:w="1195" w:type="dxa"/>
            <w:tcBorders>
              <w:top w:val="nil"/>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(16.9%)</w:t>
            </w:r>
          </w:p>
        </w:tc>
        <w:tc>
          <w:tcPr>
            <w:tcW w:w="1295" w:type="dxa"/>
            <w:tcBorders>
              <w:top w:val="nil"/>
              <w:left w:val="nil"/>
              <w:bottom w:val="single" w:sz="4" w:space="0" w:color="D9D9D9" w:themeColor="background1" w:themeShade="D9"/>
              <w:right w:val="single" w:sz="4" w:space="0" w:color="auto"/>
            </w:tcBorders>
            <w:shd w:val="clear" w:color="auto" w:fill="auto"/>
            <w:noWrap/>
            <w:vAlign w:val="bottom"/>
            <w:hideMark/>
          </w:tcPr>
          <w:p w:rsidR="008B5D94" w:rsidRPr="002F310D" w:rsidP="008B5D94">
            <w:pPr>
              <w:keepNext/>
              <w:keepLines/>
              <w:spacing w:after="0" w:line="240" w:lineRule="auto"/>
              <w:jc w:val="center"/>
              <w:rPr>
                <w:rFonts w:cs="Arial"/>
                <w:b/>
                <w:bCs/>
                <w:sz w:val="20"/>
                <w:szCs w:val="20"/>
                <w:lang w:eastAsia="en-GB"/>
              </w:rPr>
            </w:pPr>
            <w:r>
              <w:rPr>
                <w:rFonts w:cs="Arial"/>
                <w:b/>
                <w:bCs/>
                <w:sz w:val="20"/>
                <w:szCs w:val="20"/>
                <w:lang w:eastAsia="en-GB"/>
              </w:rPr>
              <w:t>5</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AME</w:t>
            </w:r>
          </w:p>
        </w:tc>
        <w:tc>
          <w:tcPr>
            <w:tcW w:w="1290" w:type="dxa"/>
            <w:tcBorders>
              <w:top w:val="nil"/>
              <w:left w:val="nil"/>
              <w:bottom w:val="nil"/>
              <w:right w:val="nil"/>
            </w:tcBorders>
            <w:shd w:val="clear" w:color="auto" w:fill="auto"/>
            <w:vAlign w:val="bottom"/>
            <w:hideMark/>
          </w:tcPr>
          <w:p w:rsidR="008B5D94" w:rsidRPr="00E00DC3"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E00DC3" w:rsidP="008B5D94">
            <w:pPr>
              <w:keepNext/>
              <w:keepLines/>
              <w:spacing w:after="0" w:line="240" w:lineRule="auto"/>
              <w:rPr>
                <w:rFonts w:cs="Arial"/>
                <w:i/>
                <w:iCs/>
                <w:sz w:val="20"/>
                <w:szCs w:val="20"/>
                <w:lang w:eastAsia="en-GB"/>
              </w:rPr>
            </w:pPr>
            <w:r w:rsidRPr="00E00DC3">
              <w:rPr>
                <w:rFonts w:cs="Arial"/>
                <w:i/>
                <w:iCs/>
                <w:sz w:val="20"/>
                <w:szCs w:val="20"/>
                <w:lang w:eastAsia="en-GB"/>
              </w:rPr>
              <w:t>Employee contributions</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w:t>
            </w:r>
            <w:r w:rsidRPr="00E03DEA">
              <w:rPr>
                <w:rFonts w:cs="Arial"/>
                <w:sz w:val="20"/>
                <w:szCs w:val="20"/>
                <w:lang w:eastAsia="en-GB"/>
              </w:rPr>
              <w:t>2,</w:t>
            </w:r>
            <w:r>
              <w:rPr>
                <w:rFonts w:cs="Arial"/>
                <w:sz w:val="20"/>
                <w:szCs w:val="20"/>
                <w:lang w:eastAsia="en-GB"/>
              </w:rPr>
              <w:t>507.0)</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(2,4</w:t>
            </w:r>
            <w:r w:rsidR="00EB7391">
              <w:rPr>
                <w:rFonts w:cs="Arial"/>
                <w:sz w:val="20"/>
                <w:szCs w:val="20"/>
                <w:lang w:eastAsia="en-GB"/>
              </w:rPr>
              <w:t>3</w:t>
            </w:r>
            <w:r>
              <w:rPr>
                <w:rFonts w:cs="Arial"/>
                <w:sz w:val="20"/>
                <w:szCs w:val="20"/>
                <w:lang w:eastAsia="en-GB"/>
              </w:rPr>
              <w:t>1.</w:t>
            </w:r>
            <w:r w:rsidR="00EB7391">
              <w:rPr>
                <w:rFonts w:cs="Arial"/>
                <w:sz w:val="20"/>
                <w:szCs w:val="20"/>
                <w:lang w:eastAsia="en-GB"/>
              </w:rPr>
              <w:t>6</w:t>
            </w:r>
            <w:r>
              <w:rPr>
                <w:rFonts w:cs="Arial"/>
                <w:sz w:val="20"/>
                <w:szCs w:val="20"/>
                <w:lang w:eastAsia="en-GB"/>
              </w:rPr>
              <w:t>)</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w:t>
            </w:r>
            <w:r w:rsidR="00EB7391">
              <w:rPr>
                <w:rFonts w:cs="Arial"/>
                <w:sz w:val="20"/>
                <w:szCs w:val="20"/>
                <w:lang w:eastAsia="en-GB"/>
              </w:rPr>
              <w:t>75.4</w:t>
            </w:r>
            <w:r>
              <w:rPr>
                <w:rFonts w:cs="Arial"/>
                <w:sz w:val="20"/>
                <w:szCs w:val="20"/>
                <w:lang w:eastAsia="en-GB"/>
              </w:rPr>
              <w:t>)</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w:t>
            </w:r>
            <w:r w:rsidR="00EB7391">
              <w:rPr>
                <w:rFonts w:cs="Arial"/>
                <w:sz w:val="20"/>
                <w:szCs w:val="20"/>
                <w:lang w:eastAsia="en-GB"/>
              </w:rPr>
              <w:t>3.1</w:t>
            </w:r>
            <w:r>
              <w:rPr>
                <w:rFonts w:cs="Arial"/>
                <w:sz w:val="20"/>
                <w:szCs w:val="20"/>
                <w:lang w:eastAsia="en-GB"/>
              </w:rPr>
              <w:t>%)</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hideMark/>
          </w:tcPr>
          <w:p w:rsidR="008B5D94" w:rsidRPr="00C0435D" w:rsidP="0069703E">
            <w:pPr>
              <w:keepNext/>
              <w:keepLines/>
              <w:spacing w:after="0" w:line="240" w:lineRule="auto"/>
              <w:jc w:val="center"/>
              <w:rPr>
                <w:rFonts w:cs="Arial"/>
                <w:sz w:val="20"/>
                <w:szCs w:val="20"/>
                <w:lang w:eastAsia="en-GB"/>
              </w:rPr>
            </w:pP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E00DC3"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E00DC3" w:rsidP="008B5D94">
            <w:pPr>
              <w:keepNext/>
              <w:keepLines/>
              <w:spacing w:after="0" w:line="240" w:lineRule="auto"/>
              <w:rPr>
                <w:rFonts w:cs="Arial"/>
                <w:i/>
                <w:iCs/>
                <w:sz w:val="20"/>
                <w:szCs w:val="20"/>
                <w:lang w:eastAsia="en-GB"/>
              </w:rPr>
            </w:pPr>
            <w:r w:rsidRPr="00E00DC3">
              <w:rPr>
                <w:rFonts w:cs="Arial"/>
                <w:i/>
                <w:iCs/>
                <w:sz w:val="20"/>
                <w:szCs w:val="20"/>
                <w:lang w:eastAsia="en-GB"/>
              </w:rPr>
              <w:t>Transfers in</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(17.6)</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(15.9)</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(1.7)</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(10.7%)</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hideMark/>
          </w:tcPr>
          <w:p w:rsidR="008B5D94" w:rsidRPr="00C0435D" w:rsidP="008B5D94">
            <w:pPr>
              <w:keepNext/>
              <w:keepLines/>
              <w:spacing w:after="0" w:line="240" w:lineRule="auto"/>
              <w:rPr>
                <w:rFonts w:cs="Arial"/>
                <w:sz w:val="20"/>
                <w:szCs w:val="20"/>
                <w:lang w:eastAsia="en-GB"/>
              </w:rPr>
            </w:pPr>
            <w:r w:rsidRPr="00C0435D">
              <w:rPr>
                <w:rFonts w:cs="Arial"/>
                <w:sz w:val="20"/>
                <w:szCs w:val="20"/>
                <w:lang w:eastAsia="en-GB"/>
              </w:rPr>
              <w:t> </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E00DC3"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E00DC3" w:rsidP="008B5D94">
            <w:pPr>
              <w:keepNext/>
              <w:keepLines/>
              <w:spacing w:after="0" w:line="240" w:lineRule="auto"/>
              <w:rPr>
                <w:rFonts w:cs="Arial"/>
                <w:i/>
                <w:iCs/>
                <w:sz w:val="20"/>
                <w:szCs w:val="20"/>
                <w:lang w:eastAsia="en-GB"/>
              </w:rPr>
            </w:pPr>
            <w:r w:rsidRPr="00E00DC3">
              <w:rPr>
                <w:rFonts w:cs="Arial"/>
                <w:i/>
                <w:iCs/>
                <w:sz w:val="20"/>
                <w:szCs w:val="20"/>
                <w:lang w:eastAsia="en-GB"/>
              </w:rPr>
              <w:t>Other income</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w:t>
            </w:r>
            <w:r w:rsidRPr="00E03DEA">
              <w:rPr>
                <w:rFonts w:cs="Arial"/>
                <w:sz w:val="20"/>
                <w:szCs w:val="20"/>
                <w:lang w:eastAsia="en-GB"/>
              </w:rPr>
              <w:t>0.</w:t>
            </w:r>
            <w:r>
              <w:rPr>
                <w:rFonts w:cs="Arial"/>
                <w:sz w:val="20"/>
                <w:szCs w:val="20"/>
                <w:lang w:eastAsia="en-GB"/>
              </w:rPr>
              <w:t>2)</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(0.2)</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(0.0)</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(0.0%)</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hideMark/>
          </w:tcPr>
          <w:p w:rsidR="008B5D94" w:rsidRPr="00C0435D" w:rsidP="008B5D94">
            <w:pPr>
              <w:keepNext/>
              <w:keepLines/>
              <w:spacing w:after="0" w:line="240" w:lineRule="auto"/>
              <w:rPr>
                <w:rFonts w:cs="Arial"/>
                <w:sz w:val="20"/>
                <w:szCs w:val="20"/>
                <w:lang w:eastAsia="en-GB"/>
              </w:rPr>
            </w:pPr>
            <w:r w:rsidRPr="00C0435D">
              <w:rPr>
                <w:rFonts w:cs="Arial"/>
                <w:sz w:val="20"/>
                <w:szCs w:val="20"/>
                <w:lang w:eastAsia="en-GB"/>
              </w:rPr>
              <w:t> </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vAlign w:val="bottom"/>
            <w:hideMark/>
          </w:tcPr>
          <w:p w:rsidR="008B5D94" w:rsidRPr="00E00DC3"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vAlign w:val="bottom"/>
            <w:hideMark/>
          </w:tcPr>
          <w:p w:rsidR="008B5D94" w:rsidRPr="00E00DC3" w:rsidP="008B5D94">
            <w:pPr>
              <w:keepNext/>
              <w:keepLines/>
              <w:spacing w:after="0" w:line="240" w:lineRule="auto"/>
              <w:rPr>
                <w:rFonts w:cs="Arial"/>
                <w:i/>
                <w:iCs/>
                <w:sz w:val="20"/>
                <w:szCs w:val="20"/>
                <w:lang w:eastAsia="en-GB"/>
              </w:rPr>
            </w:pPr>
            <w:r w:rsidRPr="00E00DC3">
              <w:rPr>
                <w:rFonts w:cs="Arial"/>
                <w:i/>
                <w:iCs/>
                <w:sz w:val="20"/>
                <w:szCs w:val="20"/>
                <w:lang w:eastAsia="en-GB"/>
              </w:rPr>
              <w:t>Administration levy</w:t>
            </w:r>
          </w:p>
        </w:tc>
        <w:tc>
          <w:tcPr>
            <w:tcW w:w="1063"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w:t>
            </w:r>
            <w:r w:rsidRPr="00B21352">
              <w:rPr>
                <w:rFonts w:cs="Arial"/>
                <w:sz w:val="20"/>
                <w:szCs w:val="20"/>
                <w:lang w:eastAsia="en-GB"/>
              </w:rPr>
              <w:t>20.</w:t>
            </w:r>
            <w:r>
              <w:rPr>
                <w:rFonts w:cs="Arial"/>
                <w:sz w:val="20"/>
                <w:szCs w:val="20"/>
                <w:lang w:eastAsia="en-GB"/>
              </w:rPr>
              <w:t>9)</w:t>
            </w:r>
          </w:p>
        </w:tc>
        <w:tc>
          <w:tcPr>
            <w:tcW w:w="1586"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(22.2)</w:t>
            </w:r>
          </w:p>
        </w:tc>
        <w:tc>
          <w:tcPr>
            <w:tcW w:w="1189"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1.3</w:t>
            </w:r>
          </w:p>
        </w:tc>
        <w:tc>
          <w:tcPr>
            <w:tcW w:w="11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(5.8%)</w:t>
            </w:r>
          </w:p>
        </w:tc>
        <w:tc>
          <w:tcPr>
            <w:tcW w:w="1295" w:type="dxa"/>
            <w:tcBorders>
              <w:top w:val="single" w:sz="4" w:space="0" w:color="D9D9D9" w:themeColor="background1" w:themeShade="D9"/>
              <w:left w:val="nil"/>
              <w:bottom w:val="single" w:sz="4" w:space="0" w:color="D9D9D9" w:themeColor="background1" w:themeShade="D9"/>
              <w:right w:val="single" w:sz="4" w:space="0" w:color="auto"/>
            </w:tcBorders>
            <w:shd w:val="clear" w:color="auto" w:fill="auto"/>
            <w:noWrap/>
            <w:vAlign w:val="bottom"/>
            <w:hideMark/>
          </w:tcPr>
          <w:p w:rsidR="008B5D94" w:rsidRPr="00C0435D" w:rsidP="008B5D94">
            <w:pPr>
              <w:keepNext/>
              <w:keepLines/>
              <w:spacing w:after="0" w:line="240" w:lineRule="auto"/>
              <w:rPr>
                <w:rFonts w:cs="Arial"/>
                <w:sz w:val="20"/>
                <w:szCs w:val="20"/>
                <w:lang w:eastAsia="en-GB"/>
              </w:rPr>
            </w:pPr>
            <w:r w:rsidRPr="00C0435D">
              <w:rPr>
                <w:rFonts w:cs="Arial"/>
                <w:sz w:val="20"/>
                <w:szCs w:val="20"/>
                <w:lang w:eastAsia="en-GB"/>
              </w:rPr>
              <w:t> </w:t>
            </w:r>
          </w:p>
        </w:tc>
      </w:tr>
      <w:tr w:rsidTr="00B97BF2">
        <w:tblPrEx>
          <w:tblW w:w="10456" w:type="dxa"/>
          <w:tblLayout w:type="fixed"/>
          <w:tblLook w:val="04A0"/>
        </w:tblPrEx>
        <w:trPr>
          <w:trHeight w:val="300"/>
        </w:trPr>
        <w:tc>
          <w:tcPr>
            <w:tcW w:w="1129" w:type="dxa"/>
            <w:tcBorders>
              <w:top w:val="nil"/>
              <w:left w:val="single" w:sz="4" w:space="0" w:color="auto"/>
              <w:bottom w:val="nil"/>
              <w:right w:val="single" w:sz="4" w:space="0" w:color="auto"/>
            </w:tcBorders>
            <w:shd w:val="clear" w:color="auto" w:fill="auto"/>
            <w:noWrap/>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nil"/>
              <w:left w:val="nil"/>
              <w:bottom w:val="nil"/>
              <w:right w:val="nil"/>
            </w:tcBorders>
            <w:shd w:val="clear" w:color="auto" w:fill="auto"/>
            <w:noWrap/>
            <w:vAlign w:val="bottom"/>
            <w:hideMark/>
          </w:tcPr>
          <w:p w:rsidR="008B5D94" w:rsidRPr="00E00DC3" w:rsidP="008B5D94">
            <w:pPr>
              <w:keepNext/>
              <w:keepLines/>
              <w:spacing w:after="0" w:line="240" w:lineRule="auto"/>
              <w:rPr>
                <w:rFonts w:cs="Arial"/>
                <w:sz w:val="20"/>
                <w:szCs w:val="20"/>
                <w:lang w:eastAsia="en-GB"/>
              </w:rPr>
            </w:pPr>
          </w:p>
        </w:tc>
        <w:tc>
          <w:tcPr>
            <w:tcW w:w="1709" w:type="dxa"/>
            <w:tcBorders>
              <w:top w:val="single" w:sz="4" w:space="0" w:color="D9D9D9" w:themeColor="background1" w:themeShade="D9"/>
              <w:left w:val="nil"/>
              <w:bottom w:val="nil"/>
              <w:right w:val="single" w:sz="4" w:space="0" w:color="auto"/>
            </w:tcBorders>
            <w:shd w:val="clear" w:color="auto" w:fill="auto"/>
            <w:vAlign w:val="bottom"/>
            <w:hideMark/>
          </w:tcPr>
          <w:p w:rsidR="008B5D94" w:rsidRPr="00E00DC3" w:rsidP="008B5D94">
            <w:pPr>
              <w:keepNext/>
              <w:keepLines/>
              <w:spacing w:after="0" w:line="240" w:lineRule="auto"/>
              <w:rPr>
                <w:rFonts w:cs="Arial"/>
                <w:i/>
                <w:iCs/>
                <w:sz w:val="20"/>
                <w:szCs w:val="20"/>
                <w:lang w:eastAsia="en-GB"/>
              </w:rPr>
            </w:pPr>
            <w:r w:rsidRPr="00E00DC3">
              <w:rPr>
                <w:rFonts w:cs="Arial"/>
                <w:i/>
                <w:iCs/>
                <w:sz w:val="20"/>
                <w:szCs w:val="20"/>
                <w:lang w:eastAsia="en-GB"/>
              </w:rPr>
              <w:t>PRC contributions</w:t>
            </w:r>
          </w:p>
        </w:tc>
        <w:tc>
          <w:tcPr>
            <w:tcW w:w="1063"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337037" w:rsidP="008B5D94">
            <w:pPr>
              <w:keepNext/>
              <w:keepLines/>
              <w:tabs>
                <w:tab w:val="decimal" w:pos="567"/>
              </w:tabs>
              <w:spacing w:after="0" w:line="240" w:lineRule="auto"/>
              <w:rPr>
                <w:rFonts w:cs="Arial"/>
                <w:sz w:val="20"/>
                <w:szCs w:val="20"/>
                <w:highlight w:val="yellow"/>
                <w:lang w:eastAsia="en-GB"/>
              </w:rPr>
            </w:pPr>
            <w:r>
              <w:rPr>
                <w:rFonts w:cs="Arial"/>
                <w:sz w:val="20"/>
                <w:szCs w:val="20"/>
                <w:lang w:eastAsia="en-GB"/>
              </w:rPr>
              <w:t>(3.1)</w:t>
            </w:r>
          </w:p>
        </w:tc>
        <w:tc>
          <w:tcPr>
            <w:tcW w:w="1586"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E03DEA" w:rsidP="008B5D94">
            <w:pPr>
              <w:keepNext/>
              <w:keepLines/>
              <w:tabs>
                <w:tab w:val="decimal" w:pos="567"/>
              </w:tabs>
              <w:spacing w:after="0" w:line="240" w:lineRule="auto"/>
              <w:jc w:val="right"/>
              <w:rPr>
                <w:rFonts w:cs="Arial"/>
                <w:sz w:val="20"/>
                <w:szCs w:val="20"/>
                <w:lang w:eastAsia="en-GB"/>
              </w:rPr>
            </w:pPr>
            <w:r>
              <w:rPr>
                <w:rFonts w:cs="Arial"/>
                <w:sz w:val="20"/>
                <w:szCs w:val="20"/>
                <w:lang w:eastAsia="en-GB"/>
              </w:rPr>
              <w:t>(3.1)</w:t>
            </w:r>
          </w:p>
        </w:tc>
        <w:tc>
          <w:tcPr>
            <w:tcW w:w="1189"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C0435D" w:rsidP="008B5D94">
            <w:pPr>
              <w:keepNext/>
              <w:keepLines/>
              <w:tabs>
                <w:tab w:val="decimal" w:pos="794"/>
              </w:tabs>
              <w:spacing w:after="0" w:line="240" w:lineRule="auto"/>
              <w:rPr>
                <w:rFonts w:cs="Arial"/>
                <w:sz w:val="20"/>
                <w:szCs w:val="20"/>
                <w:lang w:eastAsia="en-GB"/>
              </w:rPr>
            </w:pPr>
            <w:r>
              <w:rPr>
                <w:rFonts w:cs="Arial"/>
                <w:sz w:val="20"/>
                <w:szCs w:val="20"/>
                <w:lang w:eastAsia="en-GB"/>
              </w:rPr>
              <w:t>(0.0)</w:t>
            </w:r>
          </w:p>
        </w:tc>
        <w:tc>
          <w:tcPr>
            <w:tcW w:w="1195" w:type="dxa"/>
            <w:tcBorders>
              <w:top w:val="single" w:sz="4" w:space="0" w:color="D9D9D9" w:themeColor="background1" w:themeShade="D9"/>
              <w:left w:val="nil"/>
              <w:bottom w:val="nil"/>
              <w:right w:val="single" w:sz="4" w:space="0" w:color="auto"/>
            </w:tcBorders>
            <w:shd w:val="clear" w:color="auto" w:fill="auto"/>
            <w:noWrap/>
            <w:vAlign w:val="bottom"/>
          </w:tcPr>
          <w:p w:rsidR="008B5D94" w:rsidRPr="00C0435D" w:rsidP="008B5D94">
            <w:pPr>
              <w:keepNext/>
              <w:keepLines/>
              <w:tabs>
                <w:tab w:val="decimal" w:pos="567"/>
              </w:tabs>
              <w:spacing w:after="0" w:line="240" w:lineRule="auto"/>
              <w:rPr>
                <w:rFonts w:cs="Arial"/>
                <w:sz w:val="20"/>
                <w:szCs w:val="20"/>
                <w:lang w:eastAsia="en-GB"/>
              </w:rPr>
            </w:pPr>
            <w:r>
              <w:rPr>
                <w:rFonts w:cs="Arial"/>
                <w:sz w:val="20"/>
                <w:szCs w:val="20"/>
                <w:lang w:eastAsia="en-GB"/>
              </w:rPr>
              <w:t>(0.0%)</w:t>
            </w:r>
          </w:p>
        </w:tc>
        <w:tc>
          <w:tcPr>
            <w:tcW w:w="1295" w:type="dxa"/>
            <w:tcBorders>
              <w:top w:val="single" w:sz="4" w:space="0" w:color="D9D9D9" w:themeColor="background1" w:themeShade="D9"/>
              <w:left w:val="nil"/>
              <w:bottom w:val="nil"/>
              <w:right w:val="single" w:sz="4" w:space="0" w:color="auto"/>
            </w:tcBorders>
            <w:shd w:val="clear" w:color="auto" w:fill="auto"/>
            <w:noWrap/>
            <w:vAlign w:val="bottom"/>
            <w:hideMark/>
          </w:tcPr>
          <w:p w:rsidR="008B5D94" w:rsidRPr="00C0435D" w:rsidP="008B5D94">
            <w:pPr>
              <w:keepNext/>
              <w:keepLines/>
              <w:spacing w:after="0" w:line="240" w:lineRule="auto"/>
              <w:rPr>
                <w:rFonts w:cs="Arial"/>
                <w:sz w:val="20"/>
                <w:szCs w:val="20"/>
                <w:lang w:eastAsia="en-GB"/>
              </w:rPr>
            </w:pPr>
            <w:r w:rsidRPr="00C0435D">
              <w:rPr>
                <w:rFonts w:cs="Arial"/>
                <w:sz w:val="20"/>
                <w:szCs w:val="20"/>
                <w:lang w:eastAsia="en-GB"/>
              </w:rPr>
              <w:t> </w:t>
            </w:r>
          </w:p>
        </w:tc>
      </w:tr>
      <w:tr w:rsidTr="00B97BF2">
        <w:tblPrEx>
          <w:tblW w:w="10456" w:type="dxa"/>
          <w:tblLayout w:type="fixed"/>
          <w:tblLook w:val="04A0"/>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B5D94" w:rsidRPr="00977FF7" w:rsidP="008B5D94">
            <w:pPr>
              <w:keepNext/>
              <w:keepLines/>
              <w:spacing w:after="0" w:line="240" w:lineRule="auto"/>
              <w:rPr>
                <w:rFonts w:cs="Arial"/>
                <w:sz w:val="20"/>
                <w:szCs w:val="20"/>
                <w:lang w:eastAsia="en-GB"/>
              </w:rPr>
            </w:pPr>
            <w:r w:rsidRPr="00977FF7">
              <w:rPr>
                <w:rFonts w:cs="Arial"/>
                <w:sz w:val="20"/>
                <w:szCs w:val="20"/>
                <w:lang w:eastAsia="en-GB"/>
              </w:rPr>
              <w:t> </w:t>
            </w:r>
          </w:p>
        </w:tc>
        <w:tc>
          <w:tcPr>
            <w:tcW w:w="1290" w:type="dxa"/>
            <w:tcBorders>
              <w:top w:val="single" w:sz="4" w:space="0" w:color="auto"/>
              <w:left w:val="nil"/>
              <w:bottom w:val="single" w:sz="4" w:space="0" w:color="auto"/>
              <w:right w:val="nil"/>
            </w:tcBorders>
            <w:shd w:val="clear" w:color="000000" w:fill="FFFFFF"/>
            <w:vAlign w:val="bottom"/>
            <w:hideMark/>
          </w:tcPr>
          <w:p w:rsidR="008B5D94" w:rsidRPr="00E00DC3" w:rsidP="008B5D94">
            <w:pPr>
              <w:keepNext/>
              <w:keepLines/>
              <w:spacing w:after="0" w:line="240" w:lineRule="auto"/>
              <w:rPr>
                <w:rFonts w:cs="Arial"/>
                <w:sz w:val="20"/>
                <w:szCs w:val="20"/>
                <w:lang w:eastAsia="en-GB"/>
              </w:rPr>
            </w:pPr>
            <w:r w:rsidRPr="00E00DC3">
              <w:rPr>
                <w:rFonts w:cs="Arial"/>
                <w:sz w:val="20"/>
                <w:szCs w:val="20"/>
                <w:lang w:eastAsia="en-GB"/>
              </w:rPr>
              <w:t> </w:t>
            </w:r>
          </w:p>
        </w:tc>
        <w:tc>
          <w:tcPr>
            <w:tcW w:w="1709" w:type="dxa"/>
            <w:tcBorders>
              <w:top w:val="single" w:sz="4" w:space="0" w:color="auto"/>
              <w:left w:val="nil"/>
              <w:bottom w:val="single" w:sz="4" w:space="0" w:color="auto"/>
              <w:right w:val="single" w:sz="4" w:space="0" w:color="auto"/>
            </w:tcBorders>
            <w:shd w:val="clear" w:color="000000" w:fill="FFFFFF"/>
            <w:vAlign w:val="bottom"/>
            <w:hideMark/>
          </w:tcPr>
          <w:p w:rsidR="008B5D94" w:rsidRPr="00E00DC3" w:rsidP="008B5D94">
            <w:pPr>
              <w:keepNext/>
              <w:keepLines/>
              <w:spacing w:after="0" w:line="240" w:lineRule="auto"/>
              <w:rPr>
                <w:rFonts w:cs="Arial"/>
                <w:i/>
                <w:iCs/>
                <w:sz w:val="20"/>
                <w:szCs w:val="20"/>
                <w:lang w:eastAsia="en-GB"/>
              </w:rPr>
            </w:pPr>
            <w:r w:rsidRPr="00E00DC3">
              <w:rPr>
                <w:rFonts w:cs="Arial"/>
                <w:i/>
                <w:iCs/>
                <w:sz w:val="20"/>
                <w:szCs w:val="20"/>
                <w:lang w:eastAsia="en-GB"/>
              </w:rPr>
              <w:t> </w:t>
            </w:r>
          </w:p>
        </w:tc>
        <w:tc>
          <w:tcPr>
            <w:tcW w:w="1063" w:type="dxa"/>
            <w:tcBorders>
              <w:top w:val="single" w:sz="4" w:space="0" w:color="auto"/>
              <w:left w:val="nil"/>
              <w:bottom w:val="single" w:sz="4" w:space="0" w:color="auto"/>
              <w:right w:val="single" w:sz="4" w:space="0" w:color="auto"/>
            </w:tcBorders>
            <w:shd w:val="clear" w:color="000000" w:fill="FFFFFF"/>
            <w:noWrap/>
            <w:vAlign w:val="bottom"/>
          </w:tcPr>
          <w:p w:rsidR="008B5D94" w:rsidRPr="00337037" w:rsidP="008B5D94">
            <w:pPr>
              <w:keepNext/>
              <w:keepLines/>
              <w:tabs>
                <w:tab w:val="decimal" w:pos="567"/>
              </w:tabs>
              <w:spacing w:after="0" w:line="240" w:lineRule="auto"/>
              <w:rPr>
                <w:rFonts w:cs="Arial"/>
                <w:b/>
                <w:sz w:val="20"/>
                <w:szCs w:val="20"/>
                <w:highlight w:val="yellow"/>
                <w:lang w:eastAsia="en-GB"/>
              </w:rPr>
            </w:pPr>
            <w:r>
              <w:rPr>
                <w:rFonts w:cs="Arial"/>
                <w:b/>
                <w:sz w:val="20"/>
                <w:szCs w:val="20"/>
                <w:lang w:eastAsia="en-GB"/>
              </w:rPr>
              <w:t>(8,703.6)</w:t>
            </w:r>
          </w:p>
        </w:tc>
        <w:tc>
          <w:tcPr>
            <w:tcW w:w="1586" w:type="dxa"/>
            <w:tcBorders>
              <w:top w:val="single" w:sz="4" w:space="0" w:color="auto"/>
              <w:left w:val="nil"/>
              <w:bottom w:val="single" w:sz="4" w:space="0" w:color="auto"/>
              <w:right w:val="single" w:sz="4" w:space="0" w:color="auto"/>
            </w:tcBorders>
            <w:shd w:val="clear" w:color="000000" w:fill="FFFFFF"/>
            <w:noWrap/>
            <w:vAlign w:val="bottom"/>
          </w:tcPr>
          <w:p w:rsidR="008B5D94" w:rsidRPr="00E03DEA" w:rsidP="008B5D94">
            <w:pPr>
              <w:keepNext/>
              <w:keepLines/>
              <w:tabs>
                <w:tab w:val="decimal" w:pos="567"/>
              </w:tabs>
              <w:spacing w:after="0" w:line="240" w:lineRule="auto"/>
              <w:jc w:val="right"/>
              <w:rPr>
                <w:rFonts w:cs="Arial"/>
                <w:b/>
                <w:sz w:val="20"/>
                <w:szCs w:val="20"/>
                <w:lang w:eastAsia="en-GB"/>
              </w:rPr>
            </w:pPr>
            <w:r>
              <w:rPr>
                <w:rFonts w:cs="Arial"/>
                <w:b/>
                <w:sz w:val="20"/>
                <w:szCs w:val="20"/>
                <w:lang w:eastAsia="en-GB"/>
              </w:rPr>
              <w:t>(7,7</w:t>
            </w:r>
            <w:r w:rsidR="00EB7391">
              <w:rPr>
                <w:rFonts w:cs="Arial"/>
                <w:b/>
                <w:sz w:val="20"/>
                <w:szCs w:val="20"/>
                <w:lang w:eastAsia="en-GB"/>
              </w:rPr>
              <w:t>3</w:t>
            </w:r>
            <w:r>
              <w:rPr>
                <w:rFonts w:cs="Arial"/>
                <w:b/>
                <w:sz w:val="20"/>
                <w:szCs w:val="20"/>
                <w:lang w:eastAsia="en-GB"/>
              </w:rPr>
              <w:t>7.</w:t>
            </w:r>
            <w:r w:rsidR="00040A36">
              <w:rPr>
                <w:rFonts w:cs="Arial"/>
                <w:b/>
                <w:sz w:val="20"/>
                <w:szCs w:val="20"/>
                <w:lang w:eastAsia="en-GB"/>
              </w:rPr>
              <w:t>2</w:t>
            </w:r>
            <w:r>
              <w:rPr>
                <w:rFonts w:cs="Arial"/>
                <w:b/>
                <w:sz w:val="20"/>
                <w:szCs w:val="20"/>
                <w:lang w:eastAsia="en-GB"/>
              </w:rPr>
              <w:t>)</w:t>
            </w:r>
          </w:p>
        </w:tc>
        <w:tc>
          <w:tcPr>
            <w:tcW w:w="1189"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794"/>
              </w:tabs>
              <w:spacing w:after="0" w:line="240" w:lineRule="auto"/>
              <w:rPr>
                <w:rFonts w:cs="Arial"/>
                <w:b/>
                <w:bCs/>
                <w:sz w:val="20"/>
                <w:szCs w:val="20"/>
                <w:lang w:eastAsia="en-GB"/>
              </w:rPr>
            </w:pPr>
            <w:r>
              <w:rPr>
                <w:rFonts w:cs="Arial"/>
                <w:b/>
                <w:bCs/>
                <w:sz w:val="20"/>
                <w:szCs w:val="20"/>
                <w:lang w:eastAsia="en-GB"/>
              </w:rPr>
              <w:t>(996.</w:t>
            </w:r>
            <w:r w:rsidR="00040A36">
              <w:rPr>
                <w:rFonts w:cs="Arial"/>
                <w:b/>
                <w:bCs/>
                <w:sz w:val="20"/>
                <w:szCs w:val="20"/>
                <w:lang w:eastAsia="en-GB"/>
              </w:rPr>
              <w:t>4</w:t>
            </w:r>
            <w:r>
              <w:rPr>
                <w:rFonts w:cs="Arial"/>
                <w:b/>
                <w:bCs/>
                <w:sz w:val="20"/>
                <w:szCs w:val="20"/>
                <w:lang w:eastAsia="en-GB"/>
              </w:rPr>
              <w:t>)</w:t>
            </w:r>
          </w:p>
        </w:tc>
        <w:tc>
          <w:tcPr>
            <w:tcW w:w="1195"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567"/>
              </w:tabs>
              <w:spacing w:after="0" w:line="240" w:lineRule="auto"/>
              <w:rPr>
                <w:rFonts w:cs="Arial"/>
                <w:b/>
                <w:bCs/>
                <w:sz w:val="20"/>
                <w:szCs w:val="20"/>
                <w:lang w:eastAsia="en-GB"/>
              </w:rPr>
            </w:pPr>
            <w:r>
              <w:rPr>
                <w:rFonts w:cs="Arial"/>
                <w:b/>
                <w:bCs/>
                <w:sz w:val="20"/>
                <w:szCs w:val="20"/>
                <w:lang w:eastAsia="en-GB"/>
              </w:rPr>
              <w:t>(12.9%)</w:t>
            </w:r>
          </w:p>
        </w:tc>
        <w:tc>
          <w:tcPr>
            <w:tcW w:w="1295" w:type="dxa"/>
            <w:tcBorders>
              <w:top w:val="single" w:sz="4" w:space="0" w:color="auto"/>
              <w:left w:val="nil"/>
              <w:bottom w:val="single" w:sz="4" w:space="0" w:color="auto"/>
              <w:right w:val="single" w:sz="4" w:space="0" w:color="auto"/>
            </w:tcBorders>
            <w:shd w:val="clear" w:color="000000" w:fill="FFFFFF"/>
            <w:noWrap/>
            <w:vAlign w:val="bottom"/>
            <w:hideMark/>
          </w:tcPr>
          <w:p w:rsidR="008B5D94" w:rsidRPr="00C0435D" w:rsidP="008B5D94">
            <w:pPr>
              <w:keepNext/>
              <w:keepLines/>
              <w:spacing w:after="0" w:line="240" w:lineRule="auto"/>
              <w:rPr>
                <w:rFonts w:cs="Arial"/>
                <w:b/>
                <w:sz w:val="20"/>
                <w:szCs w:val="20"/>
                <w:lang w:eastAsia="en-GB"/>
              </w:rPr>
            </w:pPr>
            <w:r w:rsidRPr="00C0435D">
              <w:rPr>
                <w:rFonts w:cs="Arial"/>
                <w:b/>
                <w:sz w:val="20"/>
                <w:szCs w:val="20"/>
                <w:lang w:eastAsia="en-GB"/>
              </w:rPr>
              <w:t> </w:t>
            </w:r>
          </w:p>
        </w:tc>
      </w:tr>
      <w:tr w:rsidTr="00B97BF2">
        <w:tblPrEx>
          <w:tblW w:w="10456" w:type="dxa"/>
          <w:tblLayout w:type="fixed"/>
          <w:tblLook w:val="04A0"/>
        </w:tblPrEx>
        <w:trPr>
          <w:trHeight w:val="300"/>
        </w:trPr>
        <w:tc>
          <w:tcPr>
            <w:tcW w:w="1129" w:type="dxa"/>
            <w:tcBorders>
              <w:top w:val="nil"/>
              <w:left w:val="single" w:sz="4" w:space="0" w:color="auto"/>
              <w:bottom w:val="single" w:sz="4" w:space="0" w:color="auto"/>
              <w:right w:val="single" w:sz="4" w:space="0" w:color="auto"/>
            </w:tcBorders>
            <w:shd w:val="clear" w:color="000000" w:fill="FFFFFF"/>
            <w:vAlign w:val="bottom"/>
            <w:hideMark/>
          </w:tcPr>
          <w:p w:rsidR="008B5D94" w:rsidRPr="00E03DEA" w:rsidP="008B5D94">
            <w:pPr>
              <w:keepNext/>
              <w:keepLines/>
              <w:spacing w:after="0" w:line="240" w:lineRule="auto"/>
              <w:rPr>
                <w:rFonts w:cs="Arial"/>
                <w:sz w:val="20"/>
                <w:szCs w:val="20"/>
                <w:lang w:eastAsia="en-GB"/>
              </w:rPr>
            </w:pPr>
            <w:r w:rsidRPr="00E03DEA">
              <w:rPr>
                <w:rFonts w:cs="Arial"/>
                <w:sz w:val="20"/>
                <w:szCs w:val="20"/>
                <w:lang w:eastAsia="en-GB"/>
              </w:rPr>
              <w:t>AME</w:t>
            </w:r>
          </w:p>
        </w:tc>
        <w:tc>
          <w:tcPr>
            <w:tcW w:w="2999" w:type="dxa"/>
            <w:gridSpan w:val="2"/>
            <w:tcBorders>
              <w:top w:val="nil"/>
              <w:left w:val="nil"/>
              <w:bottom w:val="single" w:sz="4" w:space="0" w:color="auto"/>
              <w:right w:val="single" w:sz="4" w:space="0" w:color="auto"/>
            </w:tcBorders>
            <w:shd w:val="clear" w:color="000000" w:fill="FFFFFF"/>
            <w:vAlign w:val="bottom"/>
            <w:hideMark/>
          </w:tcPr>
          <w:p w:rsidR="008B5D94" w:rsidRPr="00E03DEA" w:rsidP="008B5D94">
            <w:pPr>
              <w:keepNext/>
              <w:keepLines/>
              <w:spacing w:after="0" w:line="240" w:lineRule="auto"/>
              <w:rPr>
                <w:rFonts w:cs="Arial"/>
                <w:i/>
                <w:iCs/>
                <w:sz w:val="20"/>
                <w:szCs w:val="20"/>
                <w:lang w:eastAsia="en-GB"/>
              </w:rPr>
            </w:pPr>
            <w:r w:rsidRPr="00E03DEA">
              <w:rPr>
                <w:rFonts w:cs="Arial"/>
                <w:sz w:val="20"/>
                <w:szCs w:val="20"/>
                <w:lang w:eastAsia="en-GB"/>
              </w:rPr>
              <w:t>Net Resource</w:t>
            </w:r>
            <w:r w:rsidRPr="00E03DEA">
              <w:rPr>
                <w:rFonts w:cs="Arial"/>
                <w:i/>
                <w:iCs/>
                <w:sz w:val="20"/>
                <w:szCs w:val="20"/>
                <w:lang w:eastAsia="en-GB"/>
              </w:rPr>
              <w:t> </w:t>
            </w:r>
          </w:p>
        </w:tc>
        <w:tc>
          <w:tcPr>
            <w:tcW w:w="1063" w:type="dxa"/>
            <w:tcBorders>
              <w:top w:val="nil"/>
              <w:left w:val="nil"/>
              <w:bottom w:val="single" w:sz="4" w:space="0" w:color="auto"/>
              <w:right w:val="single" w:sz="4" w:space="0" w:color="auto"/>
            </w:tcBorders>
            <w:shd w:val="clear" w:color="000000" w:fill="FFFFFF"/>
            <w:noWrap/>
            <w:vAlign w:val="bottom"/>
          </w:tcPr>
          <w:p w:rsidR="008B5D94" w:rsidRPr="00E03DEA" w:rsidP="008B5D94">
            <w:pPr>
              <w:keepNext/>
              <w:keepLines/>
              <w:tabs>
                <w:tab w:val="decimal" w:pos="567"/>
              </w:tabs>
              <w:spacing w:after="0" w:line="240" w:lineRule="auto"/>
              <w:rPr>
                <w:rFonts w:cs="Arial"/>
                <w:b/>
                <w:sz w:val="20"/>
                <w:szCs w:val="20"/>
                <w:lang w:eastAsia="en-GB"/>
              </w:rPr>
            </w:pPr>
            <w:r>
              <w:rPr>
                <w:rFonts w:cs="Arial"/>
                <w:b/>
                <w:sz w:val="20"/>
                <w:szCs w:val="20"/>
                <w:lang w:eastAsia="en-GB"/>
              </w:rPr>
              <w:t>17,871.8</w:t>
            </w:r>
          </w:p>
        </w:tc>
        <w:tc>
          <w:tcPr>
            <w:tcW w:w="1586" w:type="dxa"/>
            <w:tcBorders>
              <w:top w:val="nil"/>
              <w:left w:val="nil"/>
              <w:bottom w:val="single" w:sz="4" w:space="0" w:color="auto"/>
              <w:right w:val="single" w:sz="4" w:space="0" w:color="auto"/>
            </w:tcBorders>
            <w:shd w:val="clear" w:color="000000" w:fill="FFFFFF"/>
            <w:noWrap/>
            <w:vAlign w:val="bottom"/>
          </w:tcPr>
          <w:p w:rsidR="008B5D94" w:rsidRPr="00E03DEA" w:rsidP="008B5D94">
            <w:pPr>
              <w:keepNext/>
              <w:keepLines/>
              <w:tabs>
                <w:tab w:val="decimal" w:pos="567"/>
              </w:tabs>
              <w:spacing w:after="0" w:line="240" w:lineRule="auto"/>
              <w:jc w:val="right"/>
              <w:rPr>
                <w:rFonts w:cs="Arial"/>
                <w:b/>
                <w:sz w:val="20"/>
                <w:szCs w:val="20"/>
                <w:lang w:eastAsia="en-GB"/>
              </w:rPr>
            </w:pPr>
            <w:r>
              <w:rPr>
                <w:rFonts w:cs="Arial"/>
                <w:b/>
                <w:sz w:val="20"/>
                <w:szCs w:val="20"/>
                <w:lang w:eastAsia="en-GB"/>
              </w:rPr>
              <w:t>18,5</w:t>
            </w:r>
            <w:r w:rsidR="00040A36">
              <w:rPr>
                <w:rFonts w:cs="Arial"/>
                <w:b/>
                <w:sz w:val="20"/>
                <w:szCs w:val="20"/>
                <w:lang w:eastAsia="en-GB"/>
              </w:rPr>
              <w:t>0</w:t>
            </w:r>
            <w:r>
              <w:rPr>
                <w:rFonts w:cs="Arial"/>
                <w:b/>
                <w:sz w:val="20"/>
                <w:szCs w:val="20"/>
                <w:lang w:eastAsia="en-GB"/>
              </w:rPr>
              <w:t>8.9</w:t>
            </w:r>
          </w:p>
        </w:tc>
        <w:tc>
          <w:tcPr>
            <w:tcW w:w="1189" w:type="dxa"/>
            <w:tcBorders>
              <w:top w:val="nil"/>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794"/>
              </w:tabs>
              <w:spacing w:after="0" w:line="240" w:lineRule="auto"/>
              <w:rPr>
                <w:rFonts w:cs="Arial"/>
                <w:b/>
                <w:bCs/>
                <w:sz w:val="20"/>
                <w:szCs w:val="20"/>
                <w:lang w:eastAsia="en-GB"/>
              </w:rPr>
            </w:pPr>
            <w:r>
              <w:rPr>
                <w:rFonts w:cs="Arial"/>
                <w:b/>
                <w:bCs/>
                <w:sz w:val="20"/>
                <w:szCs w:val="20"/>
                <w:lang w:eastAsia="en-GB"/>
              </w:rPr>
              <w:t>(667.1)</w:t>
            </w:r>
          </w:p>
        </w:tc>
        <w:tc>
          <w:tcPr>
            <w:tcW w:w="1195" w:type="dxa"/>
            <w:tcBorders>
              <w:top w:val="nil"/>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567"/>
              </w:tabs>
              <w:spacing w:after="0" w:line="240" w:lineRule="auto"/>
              <w:rPr>
                <w:rFonts w:cs="Arial"/>
                <w:b/>
                <w:bCs/>
                <w:sz w:val="20"/>
                <w:szCs w:val="20"/>
                <w:lang w:eastAsia="en-GB"/>
              </w:rPr>
            </w:pPr>
            <w:r>
              <w:rPr>
                <w:rFonts w:cs="Arial"/>
                <w:b/>
                <w:bCs/>
                <w:sz w:val="20"/>
                <w:szCs w:val="20"/>
                <w:lang w:eastAsia="en-GB"/>
              </w:rPr>
              <w:t>(3.6%)</w:t>
            </w:r>
          </w:p>
        </w:tc>
        <w:tc>
          <w:tcPr>
            <w:tcW w:w="1295" w:type="dxa"/>
            <w:tcBorders>
              <w:top w:val="nil"/>
              <w:left w:val="nil"/>
              <w:bottom w:val="single" w:sz="4" w:space="0" w:color="auto"/>
              <w:right w:val="single" w:sz="4" w:space="0" w:color="auto"/>
            </w:tcBorders>
            <w:shd w:val="clear" w:color="000000" w:fill="FFFFFF"/>
            <w:noWrap/>
            <w:vAlign w:val="bottom"/>
            <w:hideMark/>
          </w:tcPr>
          <w:p w:rsidR="008B5D94" w:rsidRPr="00C0435D" w:rsidP="008B5D94">
            <w:pPr>
              <w:keepNext/>
              <w:keepLines/>
              <w:spacing w:after="0" w:line="240" w:lineRule="auto"/>
              <w:rPr>
                <w:rFonts w:cs="Arial"/>
                <w:b/>
                <w:sz w:val="20"/>
                <w:szCs w:val="20"/>
                <w:lang w:eastAsia="en-GB"/>
              </w:rPr>
            </w:pPr>
            <w:r w:rsidRPr="00C0435D">
              <w:rPr>
                <w:rFonts w:cs="Arial"/>
                <w:b/>
                <w:sz w:val="20"/>
                <w:szCs w:val="20"/>
                <w:lang w:eastAsia="en-GB"/>
              </w:rPr>
              <w:t> </w:t>
            </w:r>
          </w:p>
        </w:tc>
      </w:tr>
      <w:tr w:rsidTr="00B97BF2">
        <w:tblPrEx>
          <w:tblW w:w="10456" w:type="dxa"/>
          <w:tblLayout w:type="fixed"/>
          <w:tblLook w:val="04A0"/>
        </w:tblPrEx>
        <w:trPr>
          <w:trHeight w:val="89"/>
        </w:trPr>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rsidR="008B5D94" w:rsidRPr="00E03DEA" w:rsidP="008B5D94">
            <w:pPr>
              <w:keepNext/>
              <w:keepLines/>
              <w:spacing w:after="0" w:line="240" w:lineRule="auto"/>
              <w:rPr>
                <w:rFonts w:cs="Arial"/>
                <w:sz w:val="20"/>
                <w:szCs w:val="20"/>
                <w:lang w:eastAsia="en-GB"/>
              </w:rPr>
            </w:pPr>
          </w:p>
        </w:tc>
        <w:tc>
          <w:tcPr>
            <w:tcW w:w="1290" w:type="dxa"/>
            <w:tcBorders>
              <w:top w:val="single" w:sz="4" w:space="0" w:color="auto"/>
              <w:left w:val="nil"/>
              <w:bottom w:val="single" w:sz="4" w:space="0" w:color="auto"/>
              <w:right w:val="nil"/>
            </w:tcBorders>
            <w:shd w:val="clear" w:color="000000" w:fill="FFFFFF"/>
            <w:vAlign w:val="bottom"/>
          </w:tcPr>
          <w:p w:rsidR="008B5D94" w:rsidRPr="00E03DEA" w:rsidP="008B5D94">
            <w:pPr>
              <w:keepNext/>
              <w:keepLines/>
              <w:spacing w:after="0" w:line="240" w:lineRule="auto"/>
              <w:rPr>
                <w:rFonts w:cs="Arial"/>
                <w:sz w:val="20"/>
                <w:szCs w:val="20"/>
                <w:lang w:eastAsia="en-GB"/>
              </w:rPr>
            </w:pPr>
          </w:p>
        </w:tc>
        <w:tc>
          <w:tcPr>
            <w:tcW w:w="1709" w:type="dxa"/>
            <w:tcBorders>
              <w:top w:val="single" w:sz="4" w:space="0" w:color="auto"/>
              <w:left w:val="nil"/>
              <w:bottom w:val="single" w:sz="4" w:space="0" w:color="auto"/>
              <w:right w:val="single" w:sz="4" w:space="0" w:color="auto"/>
            </w:tcBorders>
            <w:shd w:val="clear" w:color="000000" w:fill="FFFFFF"/>
            <w:vAlign w:val="bottom"/>
          </w:tcPr>
          <w:p w:rsidR="008B5D94" w:rsidRPr="00E03DEA" w:rsidP="008B5D94">
            <w:pPr>
              <w:keepNext/>
              <w:keepLines/>
              <w:spacing w:after="0" w:line="240" w:lineRule="auto"/>
              <w:rPr>
                <w:rFonts w:cs="Arial"/>
                <w:i/>
                <w:iCs/>
                <w:sz w:val="20"/>
                <w:szCs w:val="20"/>
                <w:lang w:eastAsia="en-GB"/>
              </w:rPr>
            </w:pPr>
          </w:p>
        </w:tc>
        <w:tc>
          <w:tcPr>
            <w:tcW w:w="1063" w:type="dxa"/>
            <w:tcBorders>
              <w:top w:val="single" w:sz="4" w:space="0" w:color="auto"/>
              <w:left w:val="nil"/>
              <w:bottom w:val="single" w:sz="4" w:space="0" w:color="auto"/>
              <w:right w:val="single" w:sz="4" w:space="0" w:color="auto"/>
            </w:tcBorders>
            <w:shd w:val="clear" w:color="000000" w:fill="FFFFFF"/>
            <w:noWrap/>
            <w:vAlign w:val="bottom"/>
          </w:tcPr>
          <w:p w:rsidR="008B5D94" w:rsidRPr="00E03DEA" w:rsidP="008B5D94">
            <w:pPr>
              <w:keepNext/>
              <w:keepLines/>
              <w:spacing w:after="0" w:line="240" w:lineRule="auto"/>
              <w:jc w:val="right"/>
              <w:rPr>
                <w:rFonts w:cs="Arial"/>
                <w:sz w:val="20"/>
                <w:szCs w:val="20"/>
                <w:lang w:eastAsia="en-GB"/>
              </w:rPr>
            </w:pPr>
          </w:p>
        </w:tc>
        <w:tc>
          <w:tcPr>
            <w:tcW w:w="1586" w:type="dxa"/>
            <w:tcBorders>
              <w:top w:val="single" w:sz="4" w:space="0" w:color="auto"/>
              <w:left w:val="nil"/>
              <w:bottom w:val="single" w:sz="4" w:space="0" w:color="auto"/>
              <w:right w:val="single" w:sz="4" w:space="0" w:color="auto"/>
            </w:tcBorders>
            <w:shd w:val="clear" w:color="000000" w:fill="FFFFFF"/>
            <w:noWrap/>
            <w:vAlign w:val="bottom"/>
          </w:tcPr>
          <w:p w:rsidR="008B5D94" w:rsidRPr="00E03DEA" w:rsidP="008B5D94">
            <w:pPr>
              <w:keepNext/>
              <w:keepLines/>
              <w:tabs>
                <w:tab w:val="decimal" w:pos="567"/>
              </w:tabs>
              <w:spacing w:after="0" w:line="240" w:lineRule="auto"/>
              <w:jc w:val="right"/>
              <w:rPr>
                <w:rFonts w:cs="Arial"/>
                <w:sz w:val="20"/>
                <w:szCs w:val="20"/>
                <w:lang w:eastAsia="en-GB"/>
              </w:rPr>
            </w:pPr>
          </w:p>
        </w:tc>
        <w:tc>
          <w:tcPr>
            <w:tcW w:w="1189"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794"/>
              </w:tabs>
              <w:spacing w:after="0" w:line="240" w:lineRule="auto"/>
              <w:rPr>
                <w:rFonts w:cs="Arial"/>
                <w:b/>
                <w:bCs/>
                <w:sz w:val="20"/>
                <w:szCs w:val="20"/>
                <w:lang w:eastAsia="en-GB"/>
              </w:rPr>
            </w:pPr>
          </w:p>
        </w:tc>
        <w:tc>
          <w:tcPr>
            <w:tcW w:w="1195"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567"/>
              </w:tabs>
              <w:spacing w:after="0" w:line="240" w:lineRule="auto"/>
              <w:rPr>
                <w:rFonts w:cs="Arial"/>
                <w:b/>
                <w:bCs/>
                <w:sz w:val="20"/>
                <w:szCs w:val="20"/>
                <w:lang w:eastAsia="en-GB"/>
              </w:rPr>
            </w:pPr>
          </w:p>
        </w:tc>
        <w:tc>
          <w:tcPr>
            <w:tcW w:w="1295"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spacing w:after="0" w:line="240" w:lineRule="auto"/>
              <w:rPr>
                <w:rFonts w:cs="Arial"/>
                <w:sz w:val="20"/>
                <w:szCs w:val="20"/>
                <w:lang w:eastAsia="en-GB"/>
              </w:rPr>
            </w:pPr>
          </w:p>
        </w:tc>
      </w:tr>
      <w:tr w:rsidTr="00B97BF2">
        <w:tblPrEx>
          <w:tblW w:w="10456" w:type="dxa"/>
          <w:tblLayout w:type="fixed"/>
          <w:tblLook w:val="04A0"/>
        </w:tblPrEx>
        <w:trPr>
          <w:trHeight w:val="300"/>
        </w:trPr>
        <w:tc>
          <w:tcPr>
            <w:tcW w:w="1129" w:type="dxa"/>
            <w:tcBorders>
              <w:top w:val="single" w:sz="4" w:space="0" w:color="auto"/>
              <w:left w:val="single" w:sz="4" w:space="0" w:color="auto"/>
              <w:bottom w:val="single" w:sz="4" w:space="0" w:color="auto"/>
              <w:right w:val="single" w:sz="4" w:space="0" w:color="auto"/>
            </w:tcBorders>
            <w:shd w:val="clear" w:color="000000" w:fill="FFFFFF"/>
            <w:vAlign w:val="bottom"/>
          </w:tcPr>
          <w:p w:rsidR="008B5D94" w:rsidRPr="00E03DEA" w:rsidP="008B5D94">
            <w:pPr>
              <w:keepNext/>
              <w:keepLines/>
              <w:spacing w:after="0" w:line="240" w:lineRule="auto"/>
              <w:rPr>
                <w:rFonts w:cs="Arial"/>
                <w:sz w:val="20"/>
                <w:szCs w:val="20"/>
                <w:lang w:eastAsia="en-GB"/>
              </w:rPr>
            </w:pPr>
            <w:r w:rsidRPr="00E03DEA">
              <w:rPr>
                <w:rFonts w:cs="Arial"/>
                <w:sz w:val="20"/>
                <w:szCs w:val="20"/>
                <w:lang w:eastAsia="en-GB"/>
              </w:rPr>
              <w:t>Cash</w:t>
            </w:r>
          </w:p>
        </w:tc>
        <w:tc>
          <w:tcPr>
            <w:tcW w:w="2999" w:type="dxa"/>
            <w:gridSpan w:val="2"/>
            <w:tcBorders>
              <w:top w:val="single" w:sz="4" w:space="0" w:color="auto"/>
              <w:left w:val="nil"/>
              <w:bottom w:val="single" w:sz="4" w:space="0" w:color="auto"/>
              <w:right w:val="single" w:sz="4" w:space="0" w:color="auto"/>
            </w:tcBorders>
            <w:shd w:val="clear" w:color="000000" w:fill="FFFFFF"/>
            <w:vAlign w:val="bottom"/>
          </w:tcPr>
          <w:p w:rsidR="008B5D94" w:rsidRPr="00E03DEA" w:rsidP="008B5D94">
            <w:pPr>
              <w:keepNext/>
              <w:keepLines/>
              <w:spacing w:after="0" w:line="240" w:lineRule="auto"/>
              <w:rPr>
                <w:rFonts w:cs="Arial"/>
                <w:i/>
                <w:iCs/>
                <w:sz w:val="20"/>
                <w:szCs w:val="20"/>
                <w:lang w:eastAsia="en-GB"/>
              </w:rPr>
            </w:pPr>
            <w:r w:rsidRPr="00E03DEA">
              <w:rPr>
                <w:rFonts w:cs="Arial"/>
                <w:sz w:val="20"/>
                <w:szCs w:val="20"/>
                <w:lang w:eastAsia="en-GB"/>
              </w:rPr>
              <w:t>Net Cash Requirement</w:t>
            </w:r>
          </w:p>
        </w:tc>
        <w:tc>
          <w:tcPr>
            <w:tcW w:w="1063" w:type="dxa"/>
            <w:tcBorders>
              <w:top w:val="single" w:sz="4" w:space="0" w:color="auto"/>
              <w:left w:val="nil"/>
              <w:bottom w:val="single" w:sz="4" w:space="0" w:color="auto"/>
              <w:right w:val="single" w:sz="4" w:space="0" w:color="auto"/>
            </w:tcBorders>
            <w:shd w:val="clear" w:color="000000" w:fill="FFFFFF"/>
            <w:noWrap/>
            <w:vAlign w:val="bottom"/>
          </w:tcPr>
          <w:p w:rsidR="008B5D94" w:rsidRPr="00E03DEA" w:rsidP="008B5D94">
            <w:pPr>
              <w:keepNext/>
              <w:keepLines/>
              <w:tabs>
                <w:tab w:val="decimal" w:pos="680"/>
              </w:tabs>
              <w:spacing w:after="0" w:line="240" w:lineRule="auto"/>
              <w:rPr>
                <w:rFonts w:cs="Arial"/>
                <w:b/>
                <w:sz w:val="20"/>
                <w:szCs w:val="20"/>
                <w:lang w:eastAsia="en-GB"/>
              </w:rPr>
            </w:pPr>
            <w:r>
              <w:rPr>
                <w:rFonts w:cs="Arial"/>
                <w:b/>
                <w:sz w:val="20"/>
                <w:szCs w:val="20"/>
                <w:lang w:eastAsia="en-GB"/>
              </w:rPr>
              <w:t>2,045</w:t>
            </w:r>
            <w:r w:rsidRPr="00E03DEA">
              <w:rPr>
                <w:rFonts w:cs="Arial"/>
                <w:b/>
                <w:sz w:val="20"/>
                <w:szCs w:val="20"/>
                <w:lang w:eastAsia="en-GB"/>
              </w:rPr>
              <w:t>.</w:t>
            </w:r>
            <w:r>
              <w:rPr>
                <w:rFonts w:cs="Arial"/>
                <w:b/>
                <w:sz w:val="20"/>
                <w:szCs w:val="20"/>
                <w:lang w:eastAsia="en-GB"/>
              </w:rPr>
              <w:t>0</w:t>
            </w:r>
          </w:p>
        </w:tc>
        <w:tc>
          <w:tcPr>
            <w:tcW w:w="1586" w:type="dxa"/>
            <w:tcBorders>
              <w:top w:val="single" w:sz="4" w:space="0" w:color="auto"/>
              <w:left w:val="nil"/>
              <w:bottom w:val="single" w:sz="4" w:space="0" w:color="auto"/>
              <w:right w:val="single" w:sz="4" w:space="0" w:color="auto"/>
            </w:tcBorders>
            <w:shd w:val="clear" w:color="000000" w:fill="FFFFFF"/>
            <w:noWrap/>
            <w:vAlign w:val="bottom"/>
          </w:tcPr>
          <w:p w:rsidR="008B5D94" w:rsidRPr="00E03DEA" w:rsidP="008B5D94">
            <w:pPr>
              <w:keepNext/>
              <w:keepLines/>
              <w:tabs>
                <w:tab w:val="decimal" w:pos="567"/>
              </w:tabs>
              <w:spacing w:after="0" w:line="240" w:lineRule="auto"/>
              <w:jc w:val="right"/>
              <w:rPr>
                <w:rFonts w:cs="Arial"/>
                <w:b/>
                <w:sz w:val="20"/>
                <w:szCs w:val="20"/>
                <w:lang w:eastAsia="en-GB"/>
              </w:rPr>
            </w:pPr>
            <w:r>
              <w:rPr>
                <w:rFonts w:cs="Arial"/>
                <w:b/>
                <w:sz w:val="20"/>
                <w:szCs w:val="20"/>
                <w:lang w:eastAsia="en-GB"/>
              </w:rPr>
              <w:t>2,835.8</w:t>
            </w:r>
          </w:p>
        </w:tc>
        <w:tc>
          <w:tcPr>
            <w:tcW w:w="1189"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794"/>
              </w:tabs>
              <w:spacing w:after="0" w:line="240" w:lineRule="auto"/>
              <w:rPr>
                <w:rFonts w:cs="Arial"/>
                <w:b/>
                <w:bCs/>
                <w:sz w:val="20"/>
                <w:szCs w:val="20"/>
                <w:lang w:eastAsia="en-GB"/>
              </w:rPr>
            </w:pPr>
            <w:r>
              <w:rPr>
                <w:rFonts w:cs="Arial"/>
                <w:b/>
                <w:bCs/>
                <w:sz w:val="20"/>
                <w:szCs w:val="20"/>
                <w:lang w:eastAsia="en-GB"/>
              </w:rPr>
              <w:t>(790.8)</w:t>
            </w:r>
          </w:p>
        </w:tc>
        <w:tc>
          <w:tcPr>
            <w:tcW w:w="1195"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tabs>
                <w:tab w:val="decimal" w:pos="567"/>
              </w:tabs>
              <w:spacing w:after="0" w:line="240" w:lineRule="auto"/>
              <w:rPr>
                <w:rFonts w:cs="Arial"/>
                <w:b/>
                <w:bCs/>
                <w:sz w:val="20"/>
                <w:szCs w:val="20"/>
                <w:lang w:eastAsia="en-GB"/>
              </w:rPr>
            </w:pPr>
            <w:r>
              <w:rPr>
                <w:rFonts w:cs="Arial"/>
                <w:b/>
                <w:bCs/>
                <w:sz w:val="20"/>
                <w:szCs w:val="20"/>
                <w:lang w:eastAsia="en-GB"/>
              </w:rPr>
              <w:t>(27.9%)</w:t>
            </w:r>
          </w:p>
        </w:tc>
        <w:tc>
          <w:tcPr>
            <w:tcW w:w="1295" w:type="dxa"/>
            <w:tcBorders>
              <w:top w:val="single" w:sz="4" w:space="0" w:color="auto"/>
              <w:left w:val="nil"/>
              <w:bottom w:val="single" w:sz="4" w:space="0" w:color="auto"/>
              <w:right w:val="single" w:sz="4" w:space="0" w:color="auto"/>
            </w:tcBorders>
            <w:shd w:val="clear" w:color="000000" w:fill="FFFFFF"/>
            <w:noWrap/>
            <w:vAlign w:val="bottom"/>
          </w:tcPr>
          <w:p w:rsidR="008B5D94" w:rsidRPr="00C0435D" w:rsidP="008B5D94">
            <w:pPr>
              <w:keepNext/>
              <w:keepLines/>
              <w:spacing w:after="0" w:line="240" w:lineRule="auto"/>
              <w:rPr>
                <w:rFonts w:cs="Arial"/>
                <w:b/>
                <w:sz w:val="20"/>
                <w:szCs w:val="20"/>
                <w:lang w:eastAsia="en-GB"/>
              </w:rPr>
            </w:pPr>
          </w:p>
        </w:tc>
      </w:tr>
    </w:tbl>
    <w:p w:rsidR="00AC4CDB" w:rsidP="00AC4CDB"/>
    <w:p w:rsidR="00AC4CDB" w:rsidP="00F63914">
      <w:pPr>
        <w:keepNext/>
        <w:keepLines/>
      </w:pPr>
      <w:r>
        <w:t xml:space="preserve">Differences above 10% </w:t>
      </w:r>
      <w:r w:rsidRPr="00F63914">
        <w:rPr>
          <w:u w:val="single"/>
        </w:rPr>
        <w:t>and</w:t>
      </w:r>
      <w:r>
        <w:t xml:space="preserve"> £10 million are explained below</w:t>
      </w:r>
      <w:r w:rsidR="00DE319B">
        <w:t>:</w:t>
      </w:r>
    </w:p>
    <w:p w:rsidR="000E34E0" w:rsidP="007C391F">
      <w:pPr>
        <w:pStyle w:val="ListParagraph"/>
        <w:keepNext/>
        <w:keepLines/>
        <w:numPr>
          <w:ilvl w:val="0"/>
          <w:numId w:val="34"/>
        </w:numPr>
      </w:pPr>
      <w:r>
        <w:t xml:space="preserve">Current Service Costs: As a result </w:t>
      </w:r>
      <w:r w:rsidR="008273E8">
        <w:t>of a</w:t>
      </w:r>
      <w:r w:rsidR="005B29F0">
        <w:t>n increase</w:t>
      </w:r>
      <w:r>
        <w:t xml:space="preserve"> in the Standard Contributions rate from </w:t>
      </w:r>
      <w:r w:rsidR="005B29F0">
        <w:t>54.2%</w:t>
      </w:r>
      <w:r w:rsidR="008E4731">
        <w:t xml:space="preserve"> in 2019-20</w:t>
      </w:r>
      <w:r>
        <w:t xml:space="preserve"> to </w:t>
      </w:r>
      <w:r w:rsidR="005B29F0">
        <w:t>70.9</w:t>
      </w:r>
      <w:r>
        <w:t>%</w:t>
      </w:r>
      <w:r w:rsidR="008E4731">
        <w:t xml:space="preserve"> in 2020-21</w:t>
      </w:r>
      <w:r>
        <w:t xml:space="preserve"> there is</w:t>
      </w:r>
      <w:r w:rsidR="00C60B20">
        <w:t xml:space="preserve"> </w:t>
      </w:r>
      <w:r w:rsidR="005B29F0">
        <w:t xml:space="preserve">an increase </w:t>
      </w:r>
      <w:r>
        <w:t xml:space="preserve">in </w:t>
      </w:r>
      <w:r w:rsidR="008E4731">
        <w:t xml:space="preserve">the </w:t>
      </w:r>
      <w:r>
        <w:t>Current Service Costs.</w:t>
      </w:r>
      <w:r w:rsidR="005777BE">
        <w:t xml:space="preserve"> </w:t>
      </w:r>
    </w:p>
    <w:p w:rsidR="004119A3" w:rsidP="007C391F">
      <w:pPr>
        <w:pStyle w:val="ListParagraph"/>
        <w:keepNext/>
        <w:keepLines/>
        <w:numPr>
          <w:ilvl w:val="0"/>
          <w:numId w:val="34"/>
        </w:numPr>
      </w:pPr>
      <w:r>
        <w:t xml:space="preserve">Interest on Scheme Liabilities: As a result of the nominal discount rate </w:t>
      </w:r>
      <w:r w:rsidR="005B29F0">
        <w:t>decreasing</w:t>
      </w:r>
      <w:r>
        <w:t xml:space="preserve"> from</w:t>
      </w:r>
      <w:r w:rsidR="005B29F0">
        <w:t xml:space="preserve"> </w:t>
      </w:r>
      <w:r>
        <w:t>2.9%</w:t>
      </w:r>
      <w:r w:rsidR="008E4731">
        <w:t xml:space="preserve"> in 2019-20 to </w:t>
      </w:r>
      <w:r w:rsidR="005B29F0">
        <w:t>1.8%</w:t>
      </w:r>
      <w:r w:rsidR="008E4731">
        <w:t xml:space="preserve"> in 2020-21</w:t>
      </w:r>
      <w:r w:rsidR="005B29F0">
        <w:t xml:space="preserve"> </w:t>
      </w:r>
      <w:r>
        <w:t xml:space="preserve">there </w:t>
      </w:r>
      <w:r w:rsidR="008E4731">
        <w:t>is a</w:t>
      </w:r>
      <w:r>
        <w:t xml:space="preserve"> net </w:t>
      </w:r>
      <w:r w:rsidR="005B29F0">
        <w:t>decrease</w:t>
      </w:r>
      <w:r>
        <w:t xml:space="preserve"> in scheme liabilities.</w:t>
      </w:r>
    </w:p>
    <w:p w:rsidR="0069703E" w:rsidRPr="00EC5A78" w:rsidP="0069703E">
      <w:pPr>
        <w:pStyle w:val="ListParagraph"/>
        <w:keepNext/>
        <w:keepLines/>
        <w:numPr>
          <w:ilvl w:val="0"/>
          <w:numId w:val="34"/>
        </w:numPr>
      </w:pPr>
      <w:r>
        <w:t xml:space="preserve">Enhancements: </w:t>
      </w:r>
      <w:r w:rsidR="007F5E93">
        <w:t xml:space="preserve">In conjunction with the other public sector pension schemes a Past Service Cost for £1,750 million was made in the Supplementary Estimate in 2019-20 in respect of the </w:t>
      </w:r>
      <w:r>
        <w:t>Guaranteed Minimum Pension</w:t>
      </w:r>
      <w:r w:rsidR="0040002F">
        <w:t xml:space="preserve"> (GMP)</w:t>
      </w:r>
      <w:r w:rsidR="00C2025A">
        <w:t xml:space="preserve">.  </w:t>
      </w:r>
      <w:r w:rsidR="007F5E93">
        <w:t>There have been no additional costs recognised in this Main Estimate.</w:t>
      </w:r>
    </w:p>
    <w:p w:rsidR="0069703E" w:rsidP="0069703E">
      <w:pPr>
        <w:pStyle w:val="ListParagraph"/>
        <w:keepNext/>
        <w:keepLines/>
        <w:numPr>
          <w:ilvl w:val="0"/>
          <w:numId w:val="34"/>
        </w:numPr>
      </w:pPr>
      <w:r>
        <w:t xml:space="preserve">Other Payments: </w:t>
      </w:r>
      <w:r w:rsidRPr="00EC5A78">
        <w:t xml:space="preserve">A recent exercise to reconcile Guaranteed Minimum Pension payments with records held by HMRC identified a number of </w:t>
      </w:r>
      <w:r>
        <w:t xml:space="preserve">underpayments and </w:t>
      </w:r>
      <w:r w:rsidRPr="00EC5A78">
        <w:t xml:space="preserve">overpayments. It was </w:t>
      </w:r>
      <w:r>
        <w:t xml:space="preserve">agreed with HMT </w:t>
      </w:r>
      <w:r w:rsidRPr="00EC5A78">
        <w:t>that the</w:t>
      </w:r>
      <w:r>
        <w:t>se</w:t>
      </w:r>
      <w:r w:rsidRPr="00EC5A78">
        <w:t xml:space="preserve"> </w:t>
      </w:r>
      <w:r>
        <w:t>o</w:t>
      </w:r>
      <w:r w:rsidRPr="00EC5A78">
        <w:t>verpayments would be written off</w:t>
      </w:r>
      <w:r>
        <w:t xml:space="preserve">. </w:t>
      </w:r>
      <w:r w:rsidR="00C2025A">
        <w:t xml:space="preserve">A </w:t>
      </w:r>
      <w:r>
        <w:t>cost was</w:t>
      </w:r>
      <w:r w:rsidR="00C2025A">
        <w:t xml:space="preserve"> recognised for £15 million in the Supplementary Estimate i</w:t>
      </w:r>
      <w:r w:rsidR="00040A36">
        <w:t>n 2019-20.</w:t>
      </w:r>
      <w:r>
        <w:t xml:space="preserve">  There are no further payments expected in 2020-21.</w:t>
      </w:r>
    </w:p>
    <w:p w:rsidR="00E66096" w:rsidRPr="004119A3" w:rsidP="00232FD5">
      <w:pPr>
        <w:pStyle w:val="ListParagraph"/>
        <w:numPr>
          <w:ilvl w:val="0"/>
          <w:numId w:val="34"/>
        </w:numPr>
      </w:pPr>
      <w:bookmarkStart w:id="15" w:name="_Toc532902236"/>
      <w:r>
        <w:t xml:space="preserve">Employer contributions: </w:t>
      </w:r>
      <w:r w:rsidRPr="008F257F">
        <w:t>The 2016 scheme valuation determined that the Employer’s contribution rate should be increased from 16.4% to 23.6% of pensionable pay from 1 September 2019</w:t>
      </w:r>
      <w:r>
        <w:t xml:space="preserve"> and will remain at 23.6% for 2020-21.</w:t>
      </w:r>
    </w:p>
    <w:p w:rsidR="0091185F" w:rsidP="00B3086C">
      <w:pPr>
        <w:pStyle w:val="Heading2"/>
      </w:pPr>
      <w:r>
        <w:t>Contingent Liabilities</w:t>
      </w:r>
      <w:bookmarkEnd w:id="15"/>
    </w:p>
    <w:p w:rsidR="006042BD" w:rsidP="006042BD">
      <w:pPr>
        <w:spacing w:after="120"/>
      </w:pPr>
      <w:r>
        <w:t>In the unlikely event of a default by the approved Additional Voluntary Contributions provider, The Prudential, the Scheme will guarantee pension payments. The potential liability at 31 March 20</w:t>
      </w:r>
      <w:r w:rsidR="00C846F5">
        <w:t>19</w:t>
      </w:r>
      <w:r>
        <w:t xml:space="preserve"> was estimated </w:t>
      </w:r>
      <w:r w:rsidRPr="00431CF7">
        <w:t>at £29.2 million per annum. This</w:t>
      </w:r>
      <w:r>
        <w:t xml:space="preserve"> guarantee does not apply to members who make payments to other institutions offering Free Standing AVCs.</w:t>
      </w:r>
    </w:p>
    <w:p w:rsidR="00B3086C" w:rsidP="006042BD">
      <w:pPr>
        <w:spacing w:after="120"/>
      </w:pPr>
      <w:r>
        <w:t>There is currently a legal challenge against another pension scheme which relates to a policy regarding freedom to marry. Due to the uncertainty regarding the outcome or read across to other schemes it has been agreed that this is an unquantifiable contingent liability.</w:t>
      </w:r>
    </w:p>
    <w:p w:rsidR="00B3086C" w:rsidRPr="00B3086C" w:rsidP="00A72921">
      <w:pPr>
        <w:pStyle w:val="Heading2"/>
        <w:keepLines/>
        <w:pageBreakBefore/>
        <w:rPr>
          <w:color w:val="auto"/>
        </w:rPr>
      </w:pPr>
      <w:bookmarkStart w:id="16" w:name="_Toc532902237"/>
      <w:r>
        <w:t>Estimates Scheme Liabilities</w:t>
      </w:r>
      <w:bookmarkEnd w:id="16"/>
    </w:p>
    <w:p w:rsidR="006042BD" w:rsidP="006042BD">
      <w:pPr>
        <w:spacing w:after="120"/>
      </w:pPr>
      <w:bookmarkEnd w:id="9"/>
      <w:bookmarkEnd w:id="10"/>
      <w:r>
        <w:t xml:space="preserve">The valuation of scheme liabilities was £196.1 billion. This valuation was published in March 2019 a copy of which can be found </w:t>
      </w:r>
      <w:r>
        <w:fldChar w:fldCharType="begin"/>
      </w:r>
      <w:r>
        <w:instrText xml:space="preserve"> HYPERLINK "https://www.teacherspensions.co.uk/-/media/documents/member/documents/news-items/teachers-pension-scheme-actuarial-valuation-2016.ashx?rev=1d463cd3f4344c199ca0c2bcf193dc90&amp;hash=D90840D6F4AF06461F6D927C4E6265B0" </w:instrText>
      </w:r>
      <w:r>
        <w:fldChar w:fldCharType="separate"/>
      </w:r>
      <w:r w:rsidRPr="006042BD">
        <w:rPr>
          <w:rStyle w:val="Hyperlink"/>
        </w:rPr>
        <w:t>here</w:t>
      </w:r>
      <w:r>
        <w:fldChar w:fldCharType="end"/>
      </w:r>
      <w:r>
        <w:rPr>
          <w:rStyle w:val="FootnoteReference"/>
        </w:rPr>
        <w:footnoteReference w:id="2"/>
      </w:r>
      <w:r>
        <w:t xml:space="preserve">. The valuation was based on 727,000 active members, 523,000 deferred members and 692,000 retired members. </w:t>
      </w:r>
    </w:p>
    <w:p w:rsidR="00BF0165" w:rsidP="006042BD">
      <w:pPr>
        <w:spacing w:after="120"/>
      </w:pPr>
      <w:r>
        <w:t xml:space="preserve">For Annual Report and Accounts purposes, the Scheme Actuary updates this estimate under IAS19. The estimated liability in the 2018-19 Annual Report and Accounts (published </w:t>
      </w:r>
      <w:r>
        <w:fldChar w:fldCharType="begin"/>
      </w:r>
      <w:r>
        <w:instrText xml:space="preserve"> HYPERLINK "https://www.gov.uk/government/publications/teachers-pension-scheme-annual-accounts-2017-to-2018" </w:instrText>
      </w:r>
      <w:r>
        <w:fldChar w:fldCharType="separate"/>
      </w:r>
      <w:r w:rsidRPr="002607B3">
        <w:rPr>
          <w:rStyle w:val="Hyperlink"/>
        </w:rPr>
        <w:t>here</w:t>
      </w:r>
      <w:r>
        <w:fldChar w:fldCharType="end"/>
      </w:r>
      <w:r>
        <w:rPr>
          <w:rStyle w:val="FootnoteReference"/>
        </w:rPr>
        <w:footnoteReference w:id="3"/>
      </w:r>
      <w:r>
        <w:t>) was £359.5 billion.</w:t>
      </w:r>
    </w:p>
    <w:p w:rsidR="006042BD" w:rsidP="006042BD">
      <w:pPr>
        <w:spacing w:after="120"/>
      </w:pPr>
    </w:p>
    <w:sectPr w:rsidSect="005D4855">
      <w:headerReference w:type="default" r:id="rId19"/>
      <w:headerReference w:type="first" r:id="rId20"/>
      <w:pgSz w:w="11906" w:h="16838" w:code="9"/>
      <w:pgMar w:top="720" w:right="720" w:bottom="709" w:left="720"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8E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322654822"/>
      <w:docPartObj>
        <w:docPartGallery w:val="Page Numbers (Bottom of Page)"/>
        <w:docPartUnique/>
      </w:docPartObj>
    </w:sdtPr>
    <w:sdtEndPr>
      <w:rPr>
        <w:noProof/>
      </w:rPr>
    </w:sdtEndPr>
    <w:sdtContent>
      <w:p w:rsidR="00066EF0" w:rsidP="00D61124">
        <w:pPr>
          <w:pStyle w:val="Footer"/>
        </w:pPr>
        <w:r>
          <w:fldChar w:fldCharType="begin"/>
        </w:r>
        <w:r>
          <w:instrText xml:space="preserve"> PAGE   \* MERGEFORMAT </w:instrText>
        </w:r>
        <w:r>
          <w:fldChar w:fldCharType="separate"/>
        </w:r>
        <w:r w:rsidR="00A72921">
          <w:rPr>
            <w:noProof/>
          </w:rPr>
          <w:t>6</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066EF0" w:rsidP="00D61124">
    <w:pPr>
      <w:pStyle w:val="Footer"/>
    </w:pPr>
  </w:p>
  <w:p w:rsidR="00066EF0" w:rsidP="00D611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527F9E" w:rsidP="00D61124">
      <w:r>
        <w:separator/>
      </w:r>
    </w:p>
  </w:footnote>
  <w:footnote w:type="continuationSeparator" w:id="1">
    <w:p w:rsidR="00527F9E" w:rsidP="00D61124">
      <w:r>
        <w:continuationSeparator/>
      </w:r>
    </w:p>
  </w:footnote>
  <w:footnote w:id="2">
    <w:p w:rsidR="002607B3" w:rsidP="002607B3">
      <w:r>
        <w:rPr>
          <w:rStyle w:val="FootnoteReference"/>
        </w:rPr>
        <w:footnoteRef/>
      </w:r>
      <w:r>
        <w:t xml:space="preserve"> </w:t>
      </w:r>
      <w:r w:rsidRPr="00B6497C">
        <w:rPr>
          <w:sz w:val="20"/>
          <w:szCs w:val="20"/>
        </w:rPr>
        <w:t xml:space="preserve">The full address of the website is: </w:t>
      </w:r>
      <w:r>
        <w:fldChar w:fldCharType="begin"/>
      </w:r>
      <w:r>
        <w:instrText xml:space="preserve"> HYPERLINK "https://www.teacherspensions.co.uk/-/media/documents/member/documents/news-items/teachers-pension-scheme-actuarial-valuation-2016.ashx?rev=1d463cd3f4344c199ca0c2bcf193dc90&amp;hash=D90840D6F4AF06461F6D927C4E6265B0" </w:instrText>
      </w:r>
      <w:r>
        <w:fldChar w:fldCharType="separate"/>
      </w:r>
      <w:r w:rsidRPr="00B6497C">
        <w:rPr>
          <w:rStyle w:val="Hyperlink"/>
          <w:sz w:val="20"/>
          <w:szCs w:val="20"/>
        </w:rPr>
        <w:t>https://www.teacherspensions.co.uk/-/media/documents/member/documents/news-items/teachers-pension-scheme-actuarial-valuation-2016.ashx?rev=1d463cd3f4344c199ca0c2bcf193dc90&amp;hash=D90840D6F4AF06461F6D927C4E6265B0</w:t>
      </w:r>
      <w:r>
        <w:fldChar w:fldCharType="end"/>
      </w:r>
    </w:p>
  </w:footnote>
  <w:footnote w:id="3">
    <w:p w:rsidR="002607B3">
      <w:pPr>
        <w:pStyle w:val="FootnoteText"/>
      </w:pPr>
      <w:r>
        <w:rPr>
          <w:rStyle w:val="FootnoteReference"/>
        </w:rPr>
        <w:footnoteRef/>
      </w:r>
      <w:r>
        <w:t xml:space="preserve"> The full address of the website is: </w:t>
      </w:r>
      <w:r>
        <w:fldChar w:fldCharType="begin"/>
      </w:r>
      <w:r>
        <w:instrText xml:space="preserve"> HYPERLINK "https://www.gov.uk/government/publications/teachers-pension-scheme-annual-accounts-2017-to-2018" </w:instrText>
      </w:r>
      <w:r>
        <w:fldChar w:fldCharType="separate"/>
      </w:r>
      <w:r w:rsidRPr="007E7990">
        <w:rPr>
          <w:rStyle w:val="Hyperlink"/>
        </w:rPr>
        <w:t>https://www.gov.uk/government/publications/teachers-pension-scheme-annual-accounts-2017-to-2018</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8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678E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87B89">
    <w:pPr>
      <w:pStyle w:val="Header"/>
      <w:jc w:val="right"/>
    </w:pPr>
  </w:p>
  <w:p w:rsidR="00530842">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D4855">
    <w:pPr>
      <w:pStyle w:val="Header"/>
    </w:pPr>
    <w:r w:rsidRPr="0055638B">
      <w:t>Teachers’ Pension</w:t>
    </w:r>
    <w:r>
      <w:t xml:space="preserve"> Scheme </w:t>
    </w:r>
    <w:r w:rsidR="00DC620D">
      <w:t>Main Estimate Memorandum 2020</w:t>
    </w:r>
    <w:r w:rsidR="006D1831">
      <w:t>-21</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1688">
    <w:pPr>
      <w:pStyle w:val="Header"/>
    </w:pPr>
    <w:r w:rsidRPr="0055638B">
      <w:t>Teachers’ Pension</w:t>
    </w:r>
    <w:r>
      <w:t xml:space="preserve"> Scheme Supplementary Estimate Memorandum 2018-19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4D40DD"/>
    <w:multiLevelType w:val="hybridMultilevel"/>
    <w:tmpl w:val="4A50695E"/>
    <w:lvl w:ilvl="0">
      <w:start w:val="1"/>
      <w:numFmt w:val="decimal"/>
      <w:lvlText w:val="%1"/>
      <w:lvlJc w:val="left"/>
      <w:pPr>
        <w:ind w:left="360" w:hanging="360"/>
      </w:pPr>
      <w:rPr>
        <w:rFonts w:ascii="Arial" w:hAnsi="Arial" w:hint="default"/>
        <w:b w:val="0"/>
        <w:i w:val="0"/>
        <w:caps w:val="0"/>
        <w:strike w:val="0"/>
        <w:dstrike w:val="0"/>
        <w:vanish w:val="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180"/>
      </w:pPr>
      <w:rPr>
        <w:rFonts w:ascii="Wingdings" w:hAnsi="Wingdings"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AC30EBA"/>
    <w:multiLevelType w:val="hybridMultilevel"/>
    <w:tmpl w:val="D53016B4"/>
    <w:lvl w:ilvl="0">
      <w:start w:val="1"/>
      <w:numFmt w:val="decimal"/>
      <w:lvlText w:val="%1"/>
      <w:lvlJc w:val="left"/>
      <w:pPr>
        <w:ind w:left="360" w:hanging="360"/>
      </w:pPr>
      <w:rPr>
        <w:rFonts w:ascii="Arial" w:hAnsi="Arial" w:hint="default"/>
        <w:b w:val="0"/>
        <w:i w:val="0"/>
        <w:caps w:val="0"/>
        <w:strike w:val="0"/>
        <w:dstrike w:val="0"/>
        <w:vanish w:val="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EB6103E"/>
    <w:multiLevelType w:val="hybridMultilevel"/>
    <w:tmpl w:val="28CEC35E"/>
    <w:lvl w:ilvl="0">
      <w:start w:val="1"/>
      <w:numFmt w:val="decimal"/>
      <w:pStyle w:val="ListParagraph"/>
      <w:lvlText w:val="%1"/>
      <w:lvlJc w:val="left"/>
      <w:pPr>
        <w:ind w:left="360" w:hanging="360"/>
      </w:pPr>
      <w:rPr>
        <w:rFonts w:ascii="Arial" w:hAnsi="Arial" w:hint="default"/>
        <w:b w:val="0"/>
        <w:i w:val="0"/>
        <w:caps w:val="0"/>
        <w:strike w:val="0"/>
        <w:dstrike w:val="0"/>
        <w:vanish w:val="0"/>
        <w:sz w:val="24"/>
        <w:szCs w:val="24"/>
        <w:vertAlign w:val="baseline"/>
      </w:rPr>
    </w:lvl>
    <w:lvl w:ilvl="1">
      <w:start w:val="1"/>
      <w:numFmt w:val="bullet"/>
      <w:lvlText w:val=""/>
      <w:lvlJc w:val="left"/>
      <w:pPr>
        <w:ind w:left="1080" w:hanging="360"/>
      </w:pPr>
      <w:rPr>
        <w:rFonts w:ascii="Symbol" w:hAnsi="Symbol" w:hint="default"/>
      </w:rPr>
    </w:lvl>
    <w:lvl w:ilvl="2">
      <w:start w:val="1"/>
      <w:numFmt w:val="bullet"/>
      <w:lvlText w:val="o"/>
      <w:lvlJc w:val="left"/>
      <w:pPr>
        <w:ind w:left="1800" w:hanging="180"/>
      </w:pPr>
      <w:rPr>
        <w:rFonts w:ascii="Courier New" w:hAnsi="Courier New" w:cs="Courier New" w:hint="default"/>
      </w:r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0F270DFE"/>
    <w:multiLevelType w:val="multilevel"/>
    <w:tmpl w:val="EADCA3C6"/>
    <w:lvl w:ilvl="0">
      <w:start w:val="1"/>
      <w:numFmt w:val="lowerRoman"/>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162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9B748E1"/>
    <w:multiLevelType w:val="multilevel"/>
    <w:tmpl w:val="44AE43A2"/>
    <w:lvl w:ilvl="0">
      <w:start w:val="1"/>
      <w:numFmt w:val="decimal"/>
      <w:pStyle w:val="DfESOutNumbered"/>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5">
    <w:nsid w:val="1CB46464"/>
    <w:multiLevelType w:val="hybridMultilevel"/>
    <w:tmpl w:val="26E21684"/>
    <w:lvl w:ilvl="0">
      <w:start w:val="0"/>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D4815C2"/>
    <w:multiLevelType w:val="multilevel"/>
    <w:tmpl w:val="9216CBB2"/>
    <w:numStyleLink w:val="Style1"/>
  </w:abstractNum>
  <w:abstractNum w:abstractNumId="7">
    <w:nsid w:val="28BB3B27"/>
    <w:multiLevelType w:val="multilevel"/>
    <w:tmpl w:val="6B5E7564"/>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8">
    <w:nsid w:val="2A6178E6"/>
    <w:multiLevelType w:val="hybridMultilevel"/>
    <w:tmpl w:val="AD16D750"/>
    <w:lvl w:ilvl="0">
      <w:start w:val="7"/>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B0C2963"/>
    <w:multiLevelType w:val="hybridMultilevel"/>
    <w:tmpl w:val="E88CD434"/>
    <w:lvl w:ilvl="0">
      <w:start w:val="1"/>
      <w:numFmt w:val="decimal"/>
      <w:lvlText w:val="%1"/>
      <w:lvlJc w:val="left"/>
      <w:pPr>
        <w:ind w:left="720" w:hanging="360"/>
      </w:pPr>
      <w:rPr>
        <w:rFonts w:ascii="Arial" w:hAnsi="Arial" w:hint="default"/>
        <w:b w:val="0"/>
        <w:i w:val="0"/>
        <w:caps w:val="0"/>
        <w:strike w:val="0"/>
        <w:dstrike w:val="0"/>
        <w:vanish w:val="0"/>
        <w:sz w:val="24"/>
        <w:szCs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BBC5BE4"/>
    <w:multiLevelType w:val="hybridMultilevel"/>
    <w:tmpl w:val="F66E8A94"/>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1">
    <w:nsid w:val="3DB642F5"/>
    <w:multiLevelType w:val="hybridMultilevel"/>
    <w:tmpl w:val="DCFE9F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1093368"/>
    <w:multiLevelType w:val="multilevel"/>
    <w:tmpl w:val="9216CBB2"/>
    <w:styleLink w:val="Style1"/>
    <w:lvl w:ilvl="0">
      <w:start w:val="1"/>
      <w:numFmt w:val="lowerRoman"/>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162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4937A16"/>
    <w:multiLevelType w:val="hybridMultilevel"/>
    <w:tmpl w:val="DE6A29C0"/>
    <w:lvl w:ilvl="0">
      <w:start w:val="1"/>
      <w:numFmt w:val="bullet"/>
      <w:lvlText w:val=""/>
      <w:lvlJc w:val="left"/>
      <w:pPr>
        <w:ind w:left="1004" w:hanging="360"/>
      </w:pPr>
      <w:rPr>
        <w:rFonts w:ascii="Symbol" w:hAnsi="Symbol" w:hint="default"/>
      </w:rPr>
    </w:lvl>
    <w:lvl w:ilvl="1" w:tentative="1">
      <w:start w:val="1"/>
      <w:numFmt w:val="bullet"/>
      <w:lvlText w:val="o"/>
      <w:lvlJc w:val="left"/>
      <w:pPr>
        <w:ind w:left="1724" w:hanging="360"/>
      </w:pPr>
      <w:rPr>
        <w:rFonts w:ascii="Courier New" w:hAnsi="Courier New" w:cs="Courier New" w:hint="default"/>
      </w:rPr>
    </w:lvl>
    <w:lvl w:ilvl="2" w:tentative="1">
      <w:start w:val="1"/>
      <w:numFmt w:val="bullet"/>
      <w:lvlText w:val=""/>
      <w:lvlJc w:val="left"/>
      <w:pPr>
        <w:ind w:left="2444" w:hanging="360"/>
      </w:pPr>
      <w:rPr>
        <w:rFonts w:ascii="Wingdings" w:hAnsi="Wingdings" w:hint="default"/>
      </w:rPr>
    </w:lvl>
    <w:lvl w:ilvl="3" w:tentative="1">
      <w:start w:val="1"/>
      <w:numFmt w:val="bullet"/>
      <w:lvlText w:val=""/>
      <w:lvlJc w:val="left"/>
      <w:pPr>
        <w:ind w:left="3164" w:hanging="360"/>
      </w:pPr>
      <w:rPr>
        <w:rFonts w:ascii="Symbol" w:hAnsi="Symbol" w:hint="default"/>
      </w:rPr>
    </w:lvl>
    <w:lvl w:ilvl="4" w:tentative="1">
      <w:start w:val="1"/>
      <w:numFmt w:val="bullet"/>
      <w:lvlText w:val="o"/>
      <w:lvlJc w:val="left"/>
      <w:pPr>
        <w:ind w:left="3884" w:hanging="360"/>
      </w:pPr>
      <w:rPr>
        <w:rFonts w:ascii="Courier New" w:hAnsi="Courier New" w:cs="Courier New" w:hint="default"/>
      </w:rPr>
    </w:lvl>
    <w:lvl w:ilvl="5" w:tentative="1">
      <w:start w:val="1"/>
      <w:numFmt w:val="bullet"/>
      <w:lvlText w:val=""/>
      <w:lvlJc w:val="left"/>
      <w:pPr>
        <w:ind w:left="4604" w:hanging="360"/>
      </w:pPr>
      <w:rPr>
        <w:rFonts w:ascii="Wingdings" w:hAnsi="Wingdings" w:hint="default"/>
      </w:rPr>
    </w:lvl>
    <w:lvl w:ilvl="6" w:tentative="1">
      <w:start w:val="1"/>
      <w:numFmt w:val="bullet"/>
      <w:lvlText w:val=""/>
      <w:lvlJc w:val="left"/>
      <w:pPr>
        <w:ind w:left="5324" w:hanging="360"/>
      </w:pPr>
      <w:rPr>
        <w:rFonts w:ascii="Symbol" w:hAnsi="Symbol" w:hint="default"/>
      </w:rPr>
    </w:lvl>
    <w:lvl w:ilvl="7" w:tentative="1">
      <w:start w:val="1"/>
      <w:numFmt w:val="bullet"/>
      <w:lvlText w:val="o"/>
      <w:lvlJc w:val="left"/>
      <w:pPr>
        <w:ind w:left="6044" w:hanging="360"/>
      </w:pPr>
      <w:rPr>
        <w:rFonts w:ascii="Courier New" w:hAnsi="Courier New" w:cs="Courier New" w:hint="default"/>
      </w:rPr>
    </w:lvl>
    <w:lvl w:ilvl="8" w:tentative="1">
      <w:start w:val="1"/>
      <w:numFmt w:val="bullet"/>
      <w:lvlText w:val=""/>
      <w:lvlJc w:val="left"/>
      <w:pPr>
        <w:ind w:left="6764" w:hanging="360"/>
      </w:pPr>
      <w:rPr>
        <w:rFonts w:ascii="Wingdings" w:hAnsi="Wingdings" w:hint="default"/>
      </w:rPr>
    </w:lvl>
  </w:abstractNum>
  <w:abstractNum w:abstractNumId="14">
    <w:nsid w:val="45F20733"/>
    <w:multiLevelType w:val="hybridMultilevel"/>
    <w:tmpl w:val="6C545CE6"/>
    <w:lvl w:ilvl="0">
      <w:start w:val="6"/>
      <w:numFmt w:val="decimal"/>
      <w:lvlText w:val="%1."/>
      <w:lvlJc w:val="left"/>
      <w:pPr>
        <w:ind w:left="786" w:hanging="360"/>
      </w:pPr>
      <w:rPr>
        <w:rFonts w:ascii="Arial" w:hAnsi="Arial" w:cs="Arial" w:hint="default"/>
        <w:i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7B529C0"/>
    <w:multiLevelType w:val="hybridMultilevel"/>
    <w:tmpl w:val="0FDCC82A"/>
    <w:lvl w:ilvl="0">
      <w:start w:val="1"/>
      <w:numFmt w:val="bullet"/>
      <w:pStyle w:val="DeptBullets"/>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Marlett" w:hAnsi="Marlett"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Marlett" w:hAnsi="Marlett"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Marlett" w:hAnsi="Marlett" w:hint="default"/>
      </w:rPr>
    </w:lvl>
  </w:abstractNum>
  <w:abstractNum w:abstractNumId="16">
    <w:nsid w:val="48A939C7"/>
    <w:multiLevelType w:val="hybridMultilevel"/>
    <w:tmpl w:val="8688B8E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ind w:left="1800" w:hanging="360"/>
      </w:pPr>
      <w:rPr>
        <w:rFonts w:ascii="Courier New" w:hAnsi="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hint="default"/>
      </w:rPr>
    </w:lvl>
    <w:lvl w:ilvl="8" w:tentative="1">
      <w:start w:val="1"/>
      <w:numFmt w:val="bullet"/>
      <w:lvlText w:val=""/>
      <w:lvlJc w:val="left"/>
      <w:pPr>
        <w:ind w:left="6840" w:hanging="360"/>
      </w:pPr>
      <w:rPr>
        <w:rFonts w:ascii="Wingdings" w:hAnsi="Wingdings" w:hint="default"/>
      </w:rPr>
    </w:lvl>
  </w:abstractNum>
  <w:abstractNum w:abstractNumId="17">
    <w:nsid w:val="4A7C30DB"/>
    <w:multiLevelType w:val="hybridMultilevel"/>
    <w:tmpl w:val="74FAF7B8"/>
    <w:lvl w:ilvl="0">
      <w:start w:val="0"/>
      <w:numFmt w:val="bullet"/>
      <w:lvlText w:val="•"/>
      <w:lvlJc w:val="left"/>
      <w:pPr>
        <w:ind w:left="360" w:hanging="360"/>
      </w:pPr>
      <w:rPr>
        <w:rFonts w:ascii="Calibri" w:eastAsia="Calibri" w:hAnsi="Calibri" w:cs="Times New Roman"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8">
    <w:nsid w:val="4F4F4292"/>
    <w:multiLevelType w:val="hybridMultilevel"/>
    <w:tmpl w:val="2C5E98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24E3D54"/>
    <w:multiLevelType w:val="hybridMultilevel"/>
    <w:tmpl w:val="0AC224D8"/>
    <w:lvl w:ilvl="0">
      <w:start w:val="1"/>
      <w:numFmt w:val="bullet"/>
      <w:pStyle w:val="DfESBullets"/>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0">
    <w:nsid w:val="52EA2C71"/>
    <w:multiLevelType w:val="hybridMultilevel"/>
    <w:tmpl w:val="33DE5B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6954A30"/>
    <w:multiLevelType w:val="hybridMultilevel"/>
    <w:tmpl w:val="57D62A1E"/>
    <w:lvl w:ilvl="0">
      <w:start w:val="6"/>
      <w:numFmt w:val="decimal"/>
      <w:lvlText w:val="%1."/>
      <w:lvlJc w:val="left"/>
      <w:pPr>
        <w:ind w:left="786" w:hanging="360"/>
      </w:pPr>
      <w:rPr>
        <w:rFonts w:hint="default"/>
        <w:i w:val="0"/>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17D53A6"/>
    <w:multiLevelType w:val="hybridMultilevel"/>
    <w:tmpl w:val="84681FC6"/>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0472DC9"/>
    <w:multiLevelType w:val="hybridMultilevel"/>
    <w:tmpl w:val="5F0CBE9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72201584"/>
    <w:multiLevelType w:val="hybridMultilevel"/>
    <w:tmpl w:val="301AE18A"/>
    <w:lvl w:ilvl="0">
      <w:start w:val="1"/>
      <w:numFmt w:val="bullet"/>
      <w:lvlText w:val=""/>
      <w:lvlJc w:val="left"/>
      <w:pPr>
        <w:ind w:left="718" w:hanging="360"/>
      </w:pPr>
      <w:rPr>
        <w:rFonts w:ascii="Symbol" w:hAnsi="Symbol" w:hint="default"/>
      </w:rPr>
    </w:lvl>
    <w:lvl w:ilvl="1" w:tentative="1">
      <w:start w:val="1"/>
      <w:numFmt w:val="bullet"/>
      <w:lvlText w:val="o"/>
      <w:lvlJc w:val="left"/>
      <w:pPr>
        <w:ind w:left="1438" w:hanging="360"/>
      </w:pPr>
      <w:rPr>
        <w:rFonts w:ascii="Courier New" w:hAnsi="Courier New" w:cs="Courier New" w:hint="default"/>
      </w:rPr>
    </w:lvl>
    <w:lvl w:ilvl="2" w:tentative="1">
      <w:start w:val="1"/>
      <w:numFmt w:val="bullet"/>
      <w:lvlText w:val=""/>
      <w:lvlJc w:val="left"/>
      <w:pPr>
        <w:ind w:left="2158" w:hanging="360"/>
      </w:pPr>
      <w:rPr>
        <w:rFonts w:ascii="Wingdings" w:hAnsi="Wingdings" w:hint="default"/>
      </w:rPr>
    </w:lvl>
    <w:lvl w:ilvl="3" w:tentative="1">
      <w:start w:val="1"/>
      <w:numFmt w:val="bullet"/>
      <w:lvlText w:val=""/>
      <w:lvlJc w:val="left"/>
      <w:pPr>
        <w:ind w:left="2878" w:hanging="360"/>
      </w:pPr>
      <w:rPr>
        <w:rFonts w:ascii="Symbol" w:hAnsi="Symbol" w:hint="default"/>
      </w:rPr>
    </w:lvl>
    <w:lvl w:ilvl="4" w:tentative="1">
      <w:start w:val="1"/>
      <w:numFmt w:val="bullet"/>
      <w:lvlText w:val="o"/>
      <w:lvlJc w:val="left"/>
      <w:pPr>
        <w:ind w:left="3598" w:hanging="360"/>
      </w:pPr>
      <w:rPr>
        <w:rFonts w:ascii="Courier New" w:hAnsi="Courier New" w:cs="Courier New" w:hint="default"/>
      </w:rPr>
    </w:lvl>
    <w:lvl w:ilvl="5" w:tentative="1">
      <w:start w:val="1"/>
      <w:numFmt w:val="bullet"/>
      <w:lvlText w:val=""/>
      <w:lvlJc w:val="left"/>
      <w:pPr>
        <w:ind w:left="4318" w:hanging="360"/>
      </w:pPr>
      <w:rPr>
        <w:rFonts w:ascii="Wingdings" w:hAnsi="Wingdings" w:hint="default"/>
      </w:rPr>
    </w:lvl>
    <w:lvl w:ilvl="6" w:tentative="1">
      <w:start w:val="1"/>
      <w:numFmt w:val="bullet"/>
      <w:lvlText w:val=""/>
      <w:lvlJc w:val="left"/>
      <w:pPr>
        <w:ind w:left="5038" w:hanging="360"/>
      </w:pPr>
      <w:rPr>
        <w:rFonts w:ascii="Symbol" w:hAnsi="Symbol" w:hint="default"/>
      </w:rPr>
    </w:lvl>
    <w:lvl w:ilvl="7" w:tentative="1">
      <w:start w:val="1"/>
      <w:numFmt w:val="bullet"/>
      <w:lvlText w:val="o"/>
      <w:lvlJc w:val="left"/>
      <w:pPr>
        <w:ind w:left="5758" w:hanging="360"/>
      </w:pPr>
      <w:rPr>
        <w:rFonts w:ascii="Courier New" w:hAnsi="Courier New" w:cs="Courier New" w:hint="default"/>
      </w:rPr>
    </w:lvl>
    <w:lvl w:ilvl="8" w:tentative="1">
      <w:start w:val="1"/>
      <w:numFmt w:val="bullet"/>
      <w:lvlText w:val=""/>
      <w:lvlJc w:val="left"/>
      <w:pPr>
        <w:ind w:left="6478" w:hanging="360"/>
      </w:pPr>
      <w:rPr>
        <w:rFonts w:ascii="Wingdings" w:hAnsi="Wingdings" w:hint="default"/>
      </w:rPr>
    </w:lvl>
  </w:abstractNum>
  <w:abstractNum w:abstractNumId="25">
    <w:nsid w:val="79980DC7"/>
    <w:multiLevelType w:val="multilevel"/>
    <w:tmpl w:val="09FC673C"/>
    <w:lvl w:ilvl="0">
      <w:start w:val="1"/>
      <w:numFmt w:val="decimal"/>
      <w:lvlText w:val="%1."/>
      <w:lvlJc w:val="left"/>
      <w:pPr>
        <w:tabs>
          <w:tab w:val="num" w:pos="720"/>
        </w:tabs>
      </w:pPr>
      <w:rPr>
        <w:rFonts w:cs="Times New Roman"/>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lowerLetter"/>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lowerRoman"/>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lowerLetter"/>
      <w:lvlText w:val="%8."/>
      <w:lvlJc w:val="left"/>
      <w:pPr>
        <w:tabs>
          <w:tab w:val="num" w:pos="5760"/>
        </w:tabs>
        <w:ind w:left="5760" w:hanging="720"/>
      </w:pPr>
      <w:rPr>
        <w:rFonts w:cs="Times New Roman"/>
      </w:rPr>
    </w:lvl>
    <w:lvl w:ilvl="8">
      <w:start w:val="1"/>
      <w:numFmt w:val="lowerRoman"/>
      <w:lvlText w:val="%9."/>
      <w:lvlJc w:val="left"/>
      <w:pPr>
        <w:tabs>
          <w:tab w:val="num" w:pos="6480"/>
        </w:tabs>
        <w:ind w:left="6480" w:hanging="720"/>
      </w:pPr>
      <w:rPr>
        <w:rFonts w:cs="Times New Roman"/>
      </w:rPr>
    </w:lvl>
  </w:abstractNum>
  <w:abstractNum w:abstractNumId="26">
    <w:nsid w:val="79C312BF"/>
    <w:multiLevelType w:val="hybridMultilevel"/>
    <w:tmpl w:val="E8B86FA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984CB2"/>
    <w:multiLevelType w:val="hybridMultilevel"/>
    <w:tmpl w:val="EA067284"/>
    <w:lvl w:ilvl="0">
      <w:start w:val="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5"/>
  </w:num>
  <w:num w:numId="2">
    <w:abstractNumId w:val="4"/>
  </w:num>
  <w:num w:numId="3">
    <w:abstractNumId w:val="16"/>
  </w:num>
  <w:num w:numId="4">
    <w:abstractNumId w:val="15"/>
  </w:num>
  <w:num w:numId="5">
    <w:abstractNumId w:val="19"/>
  </w:num>
  <w:num w:numId="6">
    <w:abstractNumId w:val="18"/>
  </w:num>
  <w:num w:numId="7">
    <w:abstractNumId w:val="14"/>
  </w:num>
  <w:num w:numId="8">
    <w:abstractNumId w:val="5"/>
  </w:num>
  <w:num w:numId="9">
    <w:abstractNumId w:val="21"/>
  </w:num>
  <w:num w:numId="10">
    <w:abstractNumId w:val="13"/>
  </w:num>
  <w:num w:numId="11">
    <w:abstractNumId w:val="10"/>
  </w:num>
  <w:num w:numId="12">
    <w:abstractNumId w:val="27"/>
  </w:num>
  <w:num w:numId="13">
    <w:abstractNumId w:val="6"/>
  </w:num>
  <w:num w:numId="14">
    <w:abstractNumId w:val="11"/>
  </w:num>
  <w:num w:numId="15">
    <w:abstractNumId w:val="2"/>
  </w:num>
  <w:num w:numId="16">
    <w:abstractNumId w:val="26"/>
  </w:num>
  <w:num w:numId="17">
    <w:abstractNumId w:val="9"/>
  </w:num>
  <w:num w:numId="18">
    <w:abstractNumId w:val="7"/>
  </w:num>
  <w:num w:numId="19">
    <w:abstractNumId w:val="8"/>
  </w:num>
  <w:num w:numId="20">
    <w:abstractNumId w:val="12"/>
  </w:num>
  <w:num w:numId="21">
    <w:abstractNumId w:val="3"/>
  </w:num>
  <w:num w:numId="22">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 w:numId="24">
    <w:abstractNumId w:val="2"/>
  </w:num>
  <w:num w:numId="25">
    <w:abstractNumId w:val="2"/>
  </w:num>
  <w:num w:numId="26">
    <w:abstractNumId w:val="2"/>
  </w:num>
  <w:num w:numId="27">
    <w:abstractNumId w:val="2"/>
  </w:num>
  <w:num w:numId="28">
    <w:abstractNumId w:val="17"/>
  </w:num>
  <w:num w:numId="29">
    <w:abstractNumId w:val="2"/>
  </w:num>
  <w:num w:numId="30">
    <w:abstractNumId w:val="0"/>
  </w:num>
  <w:num w:numId="31">
    <w:abstractNumId w:val="1"/>
  </w:num>
  <w:num w:numId="32">
    <w:abstractNumId w:val="20"/>
  </w:num>
  <w:num w:numId="33">
    <w:abstractNumId w:val="22"/>
  </w:num>
  <w:num w:numId="34">
    <w:abstractNumId w:val="2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815"/>
    <w:pPr>
      <w:spacing w:after="240" w:line="288" w:lineRule="auto"/>
    </w:pPr>
    <w:rPr>
      <w:rFonts w:ascii="Arial" w:hAnsi="Arial"/>
      <w:sz w:val="24"/>
      <w:szCs w:val="24"/>
      <w:lang w:eastAsia="en-US"/>
    </w:rPr>
  </w:style>
  <w:style w:type="paragraph" w:styleId="Heading1">
    <w:name w:val="heading 1"/>
    <w:basedOn w:val="Normal"/>
    <w:next w:val="Normal"/>
    <w:link w:val="Heading1Char"/>
    <w:qFormat/>
    <w:locked/>
    <w:rsid w:val="006D1831"/>
    <w:pPr>
      <w:keepNext/>
      <w:spacing w:before="480"/>
      <w:outlineLvl w:val="0"/>
    </w:pPr>
    <w:rPr>
      <w:rFonts w:cs="Arial"/>
      <w:b/>
      <w:color w:val="1F497D" w:themeColor="text2"/>
      <w:sz w:val="32"/>
      <w:szCs w:val="28"/>
    </w:rPr>
  </w:style>
  <w:style w:type="paragraph" w:styleId="Heading2">
    <w:name w:val="heading 2"/>
    <w:basedOn w:val="Normal"/>
    <w:next w:val="Normal"/>
    <w:link w:val="Heading2Char"/>
    <w:unhideWhenUsed/>
    <w:qFormat/>
    <w:locked/>
    <w:rsid w:val="00DE3F96"/>
    <w:pPr>
      <w:keepNext/>
      <w:outlineLvl w:val="1"/>
    </w:pPr>
    <w:rPr>
      <w:b/>
      <w:color w:val="1F497D" w:themeColor="text2"/>
      <w:sz w:val="28"/>
      <w:szCs w:val="28"/>
    </w:rPr>
  </w:style>
  <w:style w:type="paragraph" w:styleId="Heading3">
    <w:name w:val="heading 3"/>
    <w:basedOn w:val="Normal"/>
    <w:next w:val="Normal"/>
    <w:link w:val="Heading3Char"/>
    <w:unhideWhenUsed/>
    <w:qFormat/>
    <w:locked/>
    <w:rsid w:val="00672124"/>
    <w:pPr>
      <w:keepNext/>
      <w:spacing w:before="360" w:line="276" w:lineRule="auto"/>
      <w:ind w:left="284" w:hanging="284"/>
      <w:outlineLvl w:val="2"/>
    </w:pPr>
    <w:rPr>
      <w:b/>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7104"/>
    <w:pPr>
      <w:numPr>
        <w:numId w:val="15"/>
      </w:numPr>
    </w:pPr>
    <w:rPr>
      <w:rFonts w:cs="Arial"/>
      <w:szCs w:val="22"/>
      <w:lang w:eastAsia="en-GB"/>
    </w:rPr>
  </w:style>
  <w:style w:type="paragraph" w:styleId="Header">
    <w:name w:val="header"/>
    <w:basedOn w:val="Normal"/>
    <w:link w:val="HeaderChar"/>
    <w:uiPriority w:val="99"/>
    <w:rsid w:val="00C6106D"/>
    <w:pPr>
      <w:tabs>
        <w:tab w:val="center" w:pos="4153"/>
        <w:tab w:val="right" w:pos="8306"/>
      </w:tabs>
    </w:pPr>
  </w:style>
  <w:style w:type="character" w:customStyle="1" w:styleId="HeaderChar">
    <w:name w:val="Header Char"/>
    <w:basedOn w:val="DefaultParagraphFont"/>
    <w:link w:val="Header"/>
    <w:uiPriority w:val="99"/>
    <w:locked/>
    <w:rsid w:val="00C6106D"/>
    <w:rPr>
      <w:rFonts w:ascii="Arial" w:hAnsi="Arial" w:cs="Times New Roman"/>
      <w:sz w:val="22"/>
    </w:rPr>
  </w:style>
  <w:style w:type="paragraph" w:styleId="BalloonText">
    <w:name w:val="Balloon Text"/>
    <w:basedOn w:val="Normal"/>
    <w:link w:val="BalloonTextChar"/>
    <w:uiPriority w:val="99"/>
    <w:semiHidden/>
    <w:rsid w:val="004473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7385"/>
    <w:rPr>
      <w:rFonts w:ascii="Tahoma" w:hAnsi="Tahoma" w:cs="Tahoma"/>
      <w:sz w:val="16"/>
      <w:szCs w:val="16"/>
    </w:rPr>
  </w:style>
  <w:style w:type="table" w:styleId="TableGrid">
    <w:name w:val="Table Grid"/>
    <w:basedOn w:val="TableNormal"/>
    <w:uiPriority w:val="99"/>
    <w:rsid w:val="007F5CC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FD0C37"/>
    <w:pPr>
      <w:tabs>
        <w:tab w:val="center" w:pos="4513"/>
        <w:tab w:val="right" w:pos="9026"/>
      </w:tabs>
    </w:pPr>
  </w:style>
  <w:style w:type="character" w:customStyle="1" w:styleId="FooterChar">
    <w:name w:val="Footer Char"/>
    <w:basedOn w:val="DefaultParagraphFont"/>
    <w:link w:val="Footer"/>
    <w:uiPriority w:val="99"/>
    <w:locked/>
    <w:rsid w:val="00FD0C37"/>
    <w:rPr>
      <w:rFonts w:ascii="Arial" w:hAnsi="Arial" w:cs="Times New Roman"/>
      <w:sz w:val="22"/>
    </w:rPr>
  </w:style>
  <w:style w:type="paragraph" w:customStyle="1" w:styleId="DfESOutNumbered">
    <w:name w:val="DfESOutNumbered"/>
    <w:basedOn w:val="Normal"/>
    <w:link w:val="DfESOutNumberedChar"/>
    <w:uiPriority w:val="99"/>
    <w:rsid w:val="00743F7B"/>
    <w:pPr>
      <w:numPr>
        <w:numId w:val="2"/>
      </w:numPr>
    </w:pPr>
    <w:rPr>
      <w:rFonts w:cs="Arial"/>
    </w:rPr>
  </w:style>
  <w:style w:type="character" w:customStyle="1" w:styleId="DfESOutNumberedChar">
    <w:name w:val="DfESOutNumbered Char"/>
    <w:basedOn w:val="DefaultParagraphFont"/>
    <w:link w:val="DfESOutNumbered"/>
    <w:uiPriority w:val="99"/>
    <w:locked/>
    <w:rsid w:val="00743F7B"/>
    <w:rPr>
      <w:rFonts w:ascii="Arial" w:hAnsi="Arial" w:cs="Arial"/>
      <w:sz w:val="22"/>
    </w:rPr>
  </w:style>
  <w:style w:type="paragraph" w:customStyle="1" w:styleId="DeptBullets">
    <w:name w:val="DeptBullets"/>
    <w:basedOn w:val="Normal"/>
    <w:link w:val="DeptBulletsChar"/>
    <w:uiPriority w:val="99"/>
    <w:rsid w:val="00CD7858"/>
    <w:pPr>
      <w:numPr>
        <w:numId w:val="4"/>
      </w:numPr>
    </w:pPr>
  </w:style>
  <w:style w:type="character" w:customStyle="1" w:styleId="DeptBulletsChar">
    <w:name w:val="DeptBullets Char"/>
    <w:basedOn w:val="DefaultParagraphFont"/>
    <w:link w:val="DeptBullets"/>
    <w:uiPriority w:val="99"/>
    <w:locked/>
    <w:rsid w:val="00CD7858"/>
    <w:rPr>
      <w:rFonts w:ascii="Arial" w:hAnsi="Arial" w:cs="Times New Roman"/>
      <w:sz w:val="24"/>
      <w:lang w:val="en-GB" w:eastAsia="en-US" w:bidi="ar-SA"/>
    </w:rPr>
  </w:style>
  <w:style w:type="paragraph" w:customStyle="1" w:styleId="DfESBullets">
    <w:name w:val="DfESBullets"/>
    <w:basedOn w:val="Normal"/>
    <w:uiPriority w:val="99"/>
    <w:rsid w:val="00CD7858"/>
    <w:pPr>
      <w:numPr>
        <w:numId w:val="5"/>
      </w:numPr>
    </w:pPr>
    <w:rPr>
      <w:rFonts w:cs="Arial"/>
    </w:rPr>
  </w:style>
  <w:style w:type="character" w:styleId="CommentReference">
    <w:name w:val="annotation reference"/>
    <w:basedOn w:val="DefaultParagraphFont"/>
    <w:unhideWhenUsed/>
    <w:rsid w:val="004D34B9"/>
    <w:rPr>
      <w:sz w:val="16"/>
      <w:szCs w:val="16"/>
    </w:rPr>
  </w:style>
  <w:style w:type="paragraph" w:styleId="CommentText">
    <w:name w:val="annotation text"/>
    <w:basedOn w:val="Normal"/>
    <w:link w:val="CommentTextChar"/>
    <w:unhideWhenUsed/>
    <w:rsid w:val="004D34B9"/>
    <w:rPr>
      <w:sz w:val="20"/>
    </w:rPr>
  </w:style>
  <w:style w:type="character" w:customStyle="1" w:styleId="CommentTextChar">
    <w:name w:val="Comment Text Char"/>
    <w:basedOn w:val="DefaultParagraphFont"/>
    <w:link w:val="CommentText"/>
    <w:rsid w:val="004D34B9"/>
    <w:rPr>
      <w:rFonts w:ascii="Arial" w:hAnsi="Arial"/>
      <w:sz w:val="20"/>
      <w:szCs w:val="20"/>
      <w:lang w:eastAsia="en-US"/>
    </w:rPr>
  </w:style>
  <w:style w:type="paragraph" w:styleId="CommentSubject">
    <w:name w:val="annotation subject"/>
    <w:basedOn w:val="CommentText"/>
    <w:next w:val="CommentText"/>
    <w:link w:val="CommentSubjectChar"/>
    <w:uiPriority w:val="99"/>
    <w:semiHidden/>
    <w:unhideWhenUsed/>
    <w:rsid w:val="004D34B9"/>
    <w:rPr>
      <w:b/>
      <w:bCs/>
    </w:rPr>
  </w:style>
  <w:style w:type="character" w:customStyle="1" w:styleId="CommentSubjectChar">
    <w:name w:val="Comment Subject Char"/>
    <w:basedOn w:val="CommentTextChar"/>
    <w:link w:val="CommentSubject"/>
    <w:uiPriority w:val="99"/>
    <w:semiHidden/>
    <w:rsid w:val="004D34B9"/>
    <w:rPr>
      <w:rFonts w:ascii="Arial" w:hAnsi="Arial"/>
      <w:b/>
      <w:bCs/>
      <w:sz w:val="20"/>
      <w:szCs w:val="20"/>
      <w:lang w:eastAsia="en-US"/>
    </w:rPr>
  </w:style>
  <w:style w:type="paragraph" w:styleId="BodyText">
    <w:name w:val="Body Text"/>
    <w:basedOn w:val="Normal"/>
    <w:link w:val="BodyTextChar"/>
    <w:uiPriority w:val="99"/>
    <w:unhideWhenUsed/>
    <w:rsid w:val="002A3929"/>
    <w:pPr>
      <w:jc w:val="center"/>
    </w:pPr>
    <w:rPr>
      <w:b/>
      <w:color w:val="1F497D" w:themeColor="text2"/>
      <w:sz w:val="40"/>
      <w:szCs w:val="40"/>
    </w:rPr>
  </w:style>
  <w:style w:type="character" w:customStyle="1" w:styleId="BodyTextChar">
    <w:name w:val="Body Text Char"/>
    <w:basedOn w:val="DefaultParagraphFont"/>
    <w:link w:val="BodyText"/>
    <w:uiPriority w:val="99"/>
    <w:rsid w:val="002A3929"/>
    <w:rPr>
      <w:rFonts w:ascii="Arial" w:hAnsi="Arial"/>
      <w:b/>
      <w:color w:val="1F497D" w:themeColor="text2"/>
      <w:sz w:val="40"/>
      <w:szCs w:val="40"/>
      <w:lang w:eastAsia="en-US"/>
    </w:rPr>
  </w:style>
  <w:style w:type="character" w:customStyle="1" w:styleId="Heading1Char">
    <w:name w:val="Heading 1 Char"/>
    <w:basedOn w:val="DefaultParagraphFont"/>
    <w:link w:val="Heading1"/>
    <w:rsid w:val="006D1831"/>
    <w:rPr>
      <w:rFonts w:ascii="Arial" w:hAnsi="Arial" w:cs="Arial"/>
      <w:b/>
      <w:color w:val="1F497D" w:themeColor="text2"/>
      <w:sz w:val="32"/>
      <w:szCs w:val="28"/>
      <w:lang w:eastAsia="en-US"/>
    </w:rPr>
  </w:style>
  <w:style w:type="character" w:customStyle="1" w:styleId="Heading2Char">
    <w:name w:val="Heading 2 Char"/>
    <w:basedOn w:val="DefaultParagraphFont"/>
    <w:link w:val="Heading2"/>
    <w:rsid w:val="00DE3F96"/>
    <w:rPr>
      <w:rFonts w:ascii="Arial" w:hAnsi="Arial"/>
      <w:b/>
      <w:color w:val="1F497D" w:themeColor="text2"/>
      <w:sz w:val="28"/>
      <w:szCs w:val="28"/>
      <w:lang w:eastAsia="en-US"/>
    </w:rPr>
  </w:style>
  <w:style w:type="character" w:customStyle="1" w:styleId="Heading3Char">
    <w:name w:val="Heading 3 Char"/>
    <w:basedOn w:val="DefaultParagraphFont"/>
    <w:link w:val="Heading3"/>
    <w:rsid w:val="00672124"/>
    <w:rPr>
      <w:rFonts w:ascii="Arial" w:hAnsi="Arial"/>
      <w:b/>
      <w:color w:val="1F497D" w:themeColor="text2"/>
      <w:sz w:val="24"/>
      <w:szCs w:val="24"/>
      <w:lang w:eastAsia="en-US"/>
    </w:rPr>
  </w:style>
  <w:style w:type="paragraph" w:styleId="TOC1">
    <w:name w:val="toc 1"/>
    <w:basedOn w:val="Normal"/>
    <w:next w:val="Normal"/>
    <w:autoRedefine/>
    <w:uiPriority w:val="39"/>
    <w:locked/>
    <w:rsid w:val="006D1831"/>
    <w:pPr>
      <w:tabs>
        <w:tab w:val="right" w:leader="dot" w:pos="10456"/>
      </w:tabs>
      <w:spacing w:before="360"/>
    </w:pPr>
    <w:rPr>
      <w:rFonts w:cs="Arial"/>
      <w:b/>
      <w:bCs/>
      <w:caps/>
      <w:noProof/>
      <w:sz w:val="20"/>
      <w:szCs w:val="20"/>
    </w:rPr>
  </w:style>
  <w:style w:type="paragraph" w:styleId="TOC2">
    <w:name w:val="toc 2"/>
    <w:basedOn w:val="Normal"/>
    <w:next w:val="Normal"/>
    <w:autoRedefine/>
    <w:uiPriority w:val="39"/>
    <w:locked/>
    <w:rsid w:val="006D1831"/>
    <w:pPr>
      <w:tabs>
        <w:tab w:val="right" w:leader="dot" w:pos="10456"/>
      </w:tabs>
      <w:spacing w:before="240"/>
    </w:pPr>
    <w:rPr>
      <w:rFonts w:cs="Arial"/>
      <w:b/>
      <w:bCs/>
      <w:noProof/>
      <w:sz w:val="20"/>
      <w:szCs w:val="20"/>
    </w:rPr>
  </w:style>
  <w:style w:type="paragraph" w:styleId="TOC3">
    <w:name w:val="toc 3"/>
    <w:basedOn w:val="Normal"/>
    <w:next w:val="Normal"/>
    <w:autoRedefine/>
    <w:uiPriority w:val="39"/>
    <w:locked/>
    <w:rsid w:val="000F7104"/>
    <w:pPr>
      <w:ind w:left="240"/>
    </w:pPr>
    <w:rPr>
      <w:rFonts w:asciiTheme="minorHAnsi" w:hAnsiTheme="minorHAnsi"/>
      <w:sz w:val="20"/>
      <w:szCs w:val="20"/>
    </w:rPr>
  </w:style>
  <w:style w:type="paragraph" w:styleId="TOC4">
    <w:name w:val="toc 4"/>
    <w:basedOn w:val="Normal"/>
    <w:next w:val="Normal"/>
    <w:autoRedefine/>
    <w:locked/>
    <w:rsid w:val="000F7104"/>
    <w:pPr>
      <w:ind w:left="480"/>
    </w:pPr>
    <w:rPr>
      <w:rFonts w:asciiTheme="minorHAnsi" w:hAnsiTheme="minorHAnsi"/>
      <w:sz w:val="20"/>
      <w:szCs w:val="20"/>
    </w:rPr>
  </w:style>
  <w:style w:type="paragraph" w:styleId="TOC5">
    <w:name w:val="toc 5"/>
    <w:basedOn w:val="Normal"/>
    <w:next w:val="Normal"/>
    <w:autoRedefine/>
    <w:locked/>
    <w:rsid w:val="000F7104"/>
    <w:pPr>
      <w:ind w:left="720"/>
    </w:pPr>
    <w:rPr>
      <w:rFonts w:asciiTheme="minorHAnsi" w:hAnsiTheme="minorHAnsi"/>
      <w:sz w:val="20"/>
      <w:szCs w:val="20"/>
    </w:rPr>
  </w:style>
  <w:style w:type="paragraph" w:styleId="TOC6">
    <w:name w:val="toc 6"/>
    <w:basedOn w:val="Normal"/>
    <w:next w:val="Normal"/>
    <w:autoRedefine/>
    <w:locked/>
    <w:rsid w:val="000F7104"/>
    <w:pPr>
      <w:ind w:left="960"/>
    </w:pPr>
    <w:rPr>
      <w:rFonts w:asciiTheme="minorHAnsi" w:hAnsiTheme="minorHAnsi"/>
      <w:sz w:val="20"/>
      <w:szCs w:val="20"/>
    </w:rPr>
  </w:style>
  <w:style w:type="paragraph" w:styleId="TOC7">
    <w:name w:val="toc 7"/>
    <w:basedOn w:val="Normal"/>
    <w:next w:val="Normal"/>
    <w:autoRedefine/>
    <w:locked/>
    <w:rsid w:val="000F7104"/>
    <w:pPr>
      <w:ind w:left="1200"/>
    </w:pPr>
    <w:rPr>
      <w:rFonts w:asciiTheme="minorHAnsi" w:hAnsiTheme="minorHAnsi"/>
      <w:sz w:val="20"/>
      <w:szCs w:val="20"/>
    </w:rPr>
  </w:style>
  <w:style w:type="paragraph" w:styleId="TOC8">
    <w:name w:val="toc 8"/>
    <w:basedOn w:val="Normal"/>
    <w:next w:val="Normal"/>
    <w:autoRedefine/>
    <w:locked/>
    <w:rsid w:val="000F7104"/>
    <w:pPr>
      <w:ind w:left="1440"/>
    </w:pPr>
    <w:rPr>
      <w:rFonts w:asciiTheme="minorHAnsi" w:hAnsiTheme="minorHAnsi"/>
      <w:sz w:val="20"/>
      <w:szCs w:val="20"/>
    </w:rPr>
  </w:style>
  <w:style w:type="paragraph" w:styleId="TOC9">
    <w:name w:val="toc 9"/>
    <w:basedOn w:val="Normal"/>
    <w:next w:val="Normal"/>
    <w:autoRedefine/>
    <w:locked/>
    <w:rsid w:val="000F7104"/>
    <w:pPr>
      <w:ind w:left="1680"/>
    </w:pPr>
    <w:rPr>
      <w:rFonts w:asciiTheme="minorHAnsi" w:hAnsiTheme="minorHAnsi"/>
      <w:sz w:val="20"/>
      <w:szCs w:val="20"/>
    </w:rPr>
  </w:style>
  <w:style w:type="character" w:styleId="Hyperlink">
    <w:name w:val="Hyperlink"/>
    <w:basedOn w:val="DefaultParagraphFont"/>
    <w:uiPriority w:val="99"/>
    <w:unhideWhenUsed/>
    <w:rsid w:val="000F7104"/>
    <w:rPr>
      <w:color w:val="0000FF" w:themeColor="hyperlink"/>
      <w:u w:val="single"/>
    </w:rPr>
  </w:style>
  <w:style w:type="paragraph" w:styleId="TOCHeading">
    <w:name w:val="TOC Heading"/>
    <w:basedOn w:val="Heading1"/>
    <w:next w:val="Normal"/>
    <w:uiPriority w:val="39"/>
    <w:unhideWhenUsed/>
    <w:qFormat/>
    <w:rsid w:val="000F7104"/>
    <w:pPr>
      <w:keepLines/>
      <w:spacing w:after="0" w:line="276" w:lineRule="auto"/>
      <w:outlineLvl w:val="9"/>
    </w:pPr>
    <w:rPr>
      <w:rFonts w:asciiTheme="majorHAnsi" w:eastAsiaTheme="majorEastAsia" w:hAnsiTheme="majorHAnsi" w:cstheme="majorBidi"/>
      <w:bCs/>
      <w:color w:val="365F91" w:themeColor="accent1" w:themeShade="BF"/>
      <w:lang w:val="en-US" w:eastAsia="ja-JP"/>
    </w:rPr>
  </w:style>
  <w:style w:type="numbering" w:customStyle="1" w:styleId="Style1">
    <w:name w:val="Style1"/>
    <w:uiPriority w:val="99"/>
    <w:rsid w:val="00973D38"/>
    <w:pPr>
      <w:numPr>
        <w:numId w:val="20"/>
      </w:numPr>
    </w:pPr>
  </w:style>
  <w:style w:type="paragraph" w:customStyle="1" w:styleId="TitleText">
    <w:name w:val="TitleText"/>
    <w:basedOn w:val="Normal"/>
    <w:link w:val="TitleTextChar"/>
    <w:unhideWhenUsed/>
    <w:qFormat/>
    <w:rsid w:val="008B3F69"/>
    <w:pPr>
      <w:spacing w:before="3600"/>
    </w:pPr>
    <w:rPr>
      <w:rFonts w:cs="Arial"/>
      <w:b/>
      <w:color w:val="104F75"/>
      <w:sz w:val="92"/>
      <w:szCs w:val="92"/>
      <w:lang w:eastAsia="en-GB"/>
    </w:rPr>
  </w:style>
  <w:style w:type="character" w:customStyle="1" w:styleId="TitleTextChar">
    <w:name w:val="TitleText Char"/>
    <w:link w:val="TitleText"/>
    <w:rsid w:val="008B3F69"/>
    <w:rPr>
      <w:rFonts w:ascii="Arial" w:hAnsi="Arial" w:cs="Arial"/>
      <w:b/>
      <w:color w:val="104F75"/>
      <w:sz w:val="92"/>
      <w:szCs w:val="92"/>
    </w:rPr>
  </w:style>
  <w:style w:type="paragraph" w:customStyle="1" w:styleId="SubtitleText">
    <w:name w:val="SubtitleText"/>
    <w:basedOn w:val="Normal"/>
    <w:link w:val="SubtitleTextChar"/>
    <w:unhideWhenUsed/>
    <w:qFormat/>
    <w:rsid w:val="008B3F69"/>
    <w:pPr>
      <w:spacing w:after="1520"/>
    </w:pPr>
    <w:rPr>
      <w:rFonts w:cs="Arial"/>
      <w:b/>
      <w:color w:val="104F75"/>
      <w:sz w:val="48"/>
      <w:szCs w:val="48"/>
      <w:lang w:eastAsia="en-GB"/>
    </w:rPr>
  </w:style>
  <w:style w:type="character" w:customStyle="1" w:styleId="SubtitleTextChar">
    <w:name w:val="SubtitleText Char"/>
    <w:link w:val="SubtitleText"/>
    <w:rsid w:val="008B3F69"/>
    <w:rPr>
      <w:rFonts w:ascii="Arial" w:hAnsi="Arial" w:cs="Arial"/>
      <w:b/>
      <w:color w:val="104F75"/>
      <w:sz w:val="48"/>
      <w:szCs w:val="48"/>
    </w:rPr>
  </w:style>
  <w:style w:type="paragraph" w:styleId="Date">
    <w:name w:val="Date"/>
    <w:basedOn w:val="Normal"/>
    <w:next w:val="Normal"/>
    <w:link w:val="DateChar"/>
    <w:unhideWhenUsed/>
    <w:rsid w:val="008B3F69"/>
    <w:rPr>
      <w:rFonts w:cs="Arial"/>
      <w:b/>
      <w:bCs/>
      <w:color w:val="104F75"/>
      <w:sz w:val="44"/>
      <w:szCs w:val="44"/>
      <w:lang w:eastAsia="en-GB"/>
    </w:rPr>
  </w:style>
  <w:style w:type="character" w:customStyle="1" w:styleId="DateChar">
    <w:name w:val="Date Char"/>
    <w:basedOn w:val="DefaultParagraphFont"/>
    <w:link w:val="Date"/>
    <w:rsid w:val="008B3F69"/>
    <w:rPr>
      <w:rFonts w:ascii="Arial" w:hAnsi="Arial" w:cs="Arial"/>
      <w:b/>
      <w:bCs/>
      <w:color w:val="104F75"/>
      <w:sz w:val="44"/>
      <w:szCs w:val="44"/>
    </w:rPr>
  </w:style>
  <w:style w:type="paragraph" w:customStyle="1" w:styleId="Logos">
    <w:name w:val="Logos"/>
    <w:basedOn w:val="Normal"/>
    <w:link w:val="LogosChar"/>
    <w:rsid w:val="008B3F69"/>
    <w:pPr>
      <w:pageBreakBefore/>
      <w:widowControl w:val="0"/>
    </w:pPr>
    <w:rPr>
      <w:noProof/>
      <w:color w:val="0D0D0D" w:themeColor="text1" w:themeTint="F2"/>
      <w:lang w:eastAsia="en-GB"/>
    </w:rPr>
  </w:style>
  <w:style w:type="character" w:customStyle="1" w:styleId="LogosChar">
    <w:name w:val="Logos Char"/>
    <w:basedOn w:val="DefaultParagraphFont"/>
    <w:link w:val="Logos"/>
    <w:rsid w:val="008B3F69"/>
    <w:rPr>
      <w:rFonts w:ascii="Arial" w:hAnsi="Arial"/>
      <w:noProof/>
      <w:color w:val="0D0D0D" w:themeColor="text1" w:themeTint="F2"/>
      <w:sz w:val="24"/>
      <w:szCs w:val="24"/>
    </w:rPr>
  </w:style>
  <w:style w:type="paragraph" w:customStyle="1" w:styleId="Table">
    <w:name w:val="Table"/>
    <w:basedOn w:val="Heading3"/>
    <w:link w:val="TableChar"/>
    <w:qFormat/>
    <w:rsid w:val="005B6F8D"/>
    <w:pPr>
      <w:spacing w:before="120"/>
      <w:ind w:left="0" w:firstLine="0"/>
    </w:pPr>
  </w:style>
  <w:style w:type="character" w:customStyle="1" w:styleId="TableChar">
    <w:name w:val="Table Char"/>
    <w:basedOn w:val="Heading3Char"/>
    <w:link w:val="Table"/>
    <w:rsid w:val="005B6F8D"/>
    <w:rPr>
      <w:rFonts w:ascii="Arial" w:hAnsi="Arial"/>
      <w:b/>
      <w:color w:val="1F497D" w:themeColor="text2"/>
      <w:sz w:val="24"/>
      <w:szCs w:val="24"/>
      <w:lang w:eastAsia="en-US"/>
    </w:rPr>
  </w:style>
  <w:style w:type="paragraph" w:styleId="Revision">
    <w:name w:val="Revision"/>
    <w:hidden/>
    <w:uiPriority w:val="99"/>
    <w:semiHidden/>
    <w:rsid w:val="0061449A"/>
    <w:rPr>
      <w:rFonts w:ascii="Arial" w:hAnsi="Arial"/>
      <w:sz w:val="24"/>
      <w:szCs w:val="24"/>
      <w:lang w:eastAsia="en-US"/>
    </w:rPr>
  </w:style>
  <w:style w:type="paragraph" w:customStyle="1" w:styleId="Bullets">
    <w:name w:val="Bullets"/>
    <w:basedOn w:val="Normal"/>
    <w:link w:val="BulletsChar"/>
    <w:qFormat/>
    <w:rsid w:val="00851E82"/>
    <w:pPr>
      <w:numPr>
        <w:numId w:val="33"/>
      </w:numPr>
    </w:pPr>
  </w:style>
  <w:style w:type="character" w:customStyle="1" w:styleId="BulletsChar">
    <w:name w:val="Bullets Char"/>
    <w:basedOn w:val="DefaultParagraphFont"/>
    <w:link w:val="Bullets"/>
    <w:rsid w:val="00851E82"/>
    <w:rPr>
      <w:rFonts w:ascii="Arial" w:hAnsi="Arial"/>
      <w:sz w:val="24"/>
      <w:szCs w:val="24"/>
      <w:lang w:eastAsia="en-US"/>
    </w:rPr>
  </w:style>
  <w:style w:type="paragraph" w:styleId="FootnoteText">
    <w:name w:val="footnote text"/>
    <w:basedOn w:val="Normal"/>
    <w:link w:val="FootnoteTextChar"/>
    <w:rsid w:val="00B3086C"/>
    <w:pPr>
      <w:spacing w:after="0" w:line="240" w:lineRule="auto"/>
    </w:pPr>
    <w:rPr>
      <w:sz w:val="20"/>
      <w:szCs w:val="20"/>
    </w:rPr>
  </w:style>
  <w:style w:type="character" w:customStyle="1" w:styleId="FootnoteTextChar">
    <w:name w:val="Footnote Text Char"/>
    <w:basedOn w:val="DefaultParagraphFont"/>
    <w:link w:val="FootnoteText"/>
    <w:rsid w:val="00B3086C"/>
    <w:rPr>
      <w:rFonts w:ascii="Arial" w:hAnsi="Arial"/>
      <w:sz w:val="20"/>
      <w:szCs w:val="20"/>
      <w:lang w:eastAsia="en-US"/>
    </w:rPr>
  </w:style>
  <w:style w:type="character" w:styleId="FootnoteReference">
    <w:name w:val="footnote reference"/>
    <w:basedOn w:val="DefaultParagraphFont"/>
    <w:rsid w:val="00B3086C"/>
    <w:rPr>
      <w:vertAlign w:val="superscript"/>
    </w:rPr>
  </w:style>
  <w:style w:type="character" w:styleId="FollowedHyperlink">
    <w:name w:val="FollowedHyperlink"/>
    <w:basedOn w:val="DefaultParagraphFont"/>
    <w:uiPriority w:val="99"/>
    <w:semiHidden/>
    <w:unhideWhenUsed/>
    <w:rsid w:val="00B3086C"/>
    <w:rPr>
      <w:color w:val="800080" w:themeColor="followedHyperlink"/>
      <w:u w:val="single"/>
    </w:rPr>
  </w:style>
  <w:style w:type="character" w:customStyle="1" w:styleId="UnresolvedMention">
    <w:name w:val="Unresolved Mention"/>
    <w:basedOn w:val="DefaultParagraphFont"/>
    <w:uiPriority w:val="99"/>
    <w:semiHidden/>
    <w:unhideWhenUsed/>
    <w:rsid w:val="006042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chart" Target="charts/chart1.xml" /><Relationship Id="rId18" Type="http://schemas.openxmlformats.org/officeDocument/2006/relationships/chart" Target="charts/chart2.xml" /><Relationship Id="rId19" Type="http://schemas.openxmlformats.org/officeDocument/2006/relationships/header" Target="header4.xml" /><Relationship Id="rId2" Type="http://schemas.openxmlformats.org/officeDocument/2006/relationships/settings" Target="settings.xml" /><Relationship Id="rId20" Type="http://schemas.openxmlformats.org/officeDocument/2006/relationships/header" Target="header5.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charts/_rels/chart1.xml.rels>&#65279;<?xml version="1.0" encoding="utf-8" standalone="yes"?><Relationships xmlns="http://schemas.openxmlformats.org/package/2006/relationships"><Relationship Id="rId1" Type="http://schemas.openxmlformats.org/officeDocument/2006/relationships/oleObject" Target="file:///\\Mffilevs01\FADShare%20NEW\Resource%20Accounting%20for%20DCSF\Resource%20accounts%20-%20TPS\2018-19\2018-19%20Estimates\3.%20Supplementary%20Estimate%202018-19\2.%20Forecast%20Models\1.0%20Supps%20Estimate%2018-19.xlsx" TargetMode="External" /></Relationships>
</file>

<file path=word/charts/_rels/chart2.xml.rels>&#65279;<?xml version="1.0" encoding="utf-8" standalone="yes"?><Relationships xmlns="http://schemas.openxmlformats.org/package/2006/relationships"><Relationship Id="rId1" Type="http://schemas.openxmlformats.org/officeDocument/2006/relationships/oleObject" Target="file:///\\Mffilevs01\FADShare%20NEW\Resource%20Accounting%20for%20DCSF\Resource%20accounts%20-%20TPS\2020-21\2020-21%20Estimates\1.%20Main%20Estimate%202020-21\2.%20Forecast%20Models\1.0%20Main%20Estimate%2020-21.xlsx" TargetMode="External"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TPS Resource</a:t>
            </a:r>
            <a:r>
              <a:rPr lang="en-GB" baseline="0"/>
              <a:t> and Cash 2013-2019 (£million)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0767075930180537E-2"/>
          <c:y val="0.15727736367202824"/>
          <c:w val="0.89900861813122779"/>
          <c:h val="0.66197180923196686"/>
        </c:manualLayout>
      </c:layout>
      <c:lineChart>
        <c:grouping val="standard"/>
        <c:varyColors val="0"/>
        <c:dLbls>
          <c:dLblPos val="t"/>
          <c:showLegendKey val="0"/>
          <c:showVal val="1"/>
          <c:showCatName val="0"/>
          <c:showSerName val="0"/>
          <c:showPercent val="0"/>
          <c:showBubbleSize val="0"/>
        </c:dLbls>
        <c:marker val="1"/>
        <c:smooth val="0"/>
        <c:axId val="701206184"/>
        <c:axId val="701203232"/>
      </c:lineChart>
      <c:catAx>
        <c:axId val="701206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203232"/>
        <c:crosses val="autoZero"/>
        <c:auto val="1"/>
        <c:lblAlgn val="ctr"/>
        <c:lblOffset val="100"/>
        <c:noMultiLvlLbl val="0"/>
      </c:catAx>
      <c:valAx>
        <c:axId val="701203232"/>
        <c:scaling>
          <c:orientation val="minMax"/>
        </c:scaling>
        <c:delete val="1"/>
        <c:axPos val="l"/>
        <c:numFmt formatCode="#,##0_ ;[Red]\-#,##0\ " sourceLinked="1"/>
        <c:majorTickMark val="none"/>
        <c:minorTickMark val="none"/>
        <c:tickLblPos val="nextTo"/>
        <c:crossAx val="701206184"/>
        <c:crosses val="autoZero"/>
        <c:crossBetween val="between"/>
      </c:valAx>
      <c:spPr>
        <a:noFill/>
        <a:ln w="25400">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a:t>TPS Resource</a:t>
            </a:r>
            <a:r>
              <a:rPr lang="en-GB" baseline="0"/>
              <a:t> and Cash 2014-2020 (£million)</a:t>
            </a:r>
            <a:endParaRPr lang="en-GB"/>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Graphs!$B$2:$B$3</c:f>
              <c:strCache>
                <c:ptCount val="2"/>
                <c:pt idx="0">
                  <c:v>Resource</c:v>
                </c:pt>
                <c:pt idx="1">
                  <c:v>Outturn</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Graphs!$A$4:$A$9</c:f>
              <c:strCache>
                <c:ptCount val="6"/>
                <c:pt idx="0">
                  <c:v>2015-16</c:v>
                </c:pt>
                <c:pt idx="1">
                  <c:v>2016-17</c:v>
                </c:pt>
                <c:pt idx="2">
                  <c:v>2017-18</c:v>
                </c:pt>
                <c:pt idx="3">
                  <c:v>2018-19</c:v>
                </c:pt>
                <c:pt idx="4">
                  <c:v>2019-20</c:v>
                </c:pt>
                <c:pt idx="5">
                  <c:v>2020-21</c:v>
                </c:pt>
              </c:strCache>
            </c:strRef>
          </c:cat>
          <c:val>
            <c:numRef>
              <c:f>Graphs!$B$4:$B$9</c:f>
              <c:numCache>
                <c:formatCode>#,##0_ ;[Red]\-#,##0\ </c:formatCode>
                <c:ptCount val="6"/>
                <c:pt idx="0">
                  <c:v>12125</c:v>
                </c:pt>
                <c:pt idx="1">
                  <c:v>11342</c:v>
                </c:pt>
                <c:pt idx="2">
                  <c:v>15681</c:v>
                </c:pt>
                <c:pt idx="3">
                  <c:v>24609.336320106198</c:v>
                </c:pt>
                <c:pt idx="4">
                  <c:v>18509</c:v>
                </c:pt>
                <c:pt idx="5">
                  <c:v>17871.793324517792</c:v>
                </c:pt>
              </c:numCache>
            </c:numRef>
          </c:val>
          <c:smooth val="0"/>
          <c:extLst>
            <c:ext xmlns:c16="http://schemas.microsoft.com/office/drawing/2014/chart" uri="{C3380CC4-5D6E-409C-BE32-E72D297353CC}">
              <c16:uniqueId val="{00000000-1679-4DC8-9ADD-08F2545BC6F8}"/>
            </c:ext>
          </c:extLst>
        </c:ser>
        <c:ser>
          <c:idx val="1"/>
          <c:order val="1"/>
          <c:tx>
            <c:strRef>
              <c:f>Graphs!$C$2:$C$3</c:f>
              <c:strCache>
                <c:ptCount val="2"/>
                <c:pt idx="0">
                  <c:v>Cash </c:v>
                </c:pt>
                <c:pt idx="1">
                  <c:v>Outturn</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Graphs!$A$4:$A$9</c:f>
              <c:strCache>
                <c:ptCount val="6"/>
                <c:pt idx="0">
                  <c:v>2015-16</c:v>
                </c:pt>
                <c:pt idx="1">
                  <c:v>2016-17</c:v>
                </c:pt>
                <c:pt idx="2">
                  <c:v>2017-18</c:v>
                </c:pt>
                <c:pt idx="3">
                  <c:v>2018-19</c:v>
                </c:pt>
                <c:pt idx="4">
                  <c:v>2019-20</c:v>
                </c:pt>
                <c:pt idx="5">
                  <c:v>2020-21</c:v>
                </c:pt>
              </c:strCache>
            </c:strRef>
          </c:cat>
          <c:val>
            <c:numRef>
              <c:f>Graphs!$C$4:$C$9</c:f>
              <c:numCache>
                <c:formatCode>#,##0_ ;[Red]\-#,##0\ </c:formatCode>
                <c:ptCount val="6"/>
                <c:pt idx="0">
                  <c:v>3549</c:v>
                </c:pt>
                <c:pt idx="1">
                  <c:v>3306</c:v>
                </c:pt>
                <c:pt idx="2">
                  <c:v>3392</c:v>
                </c:pt>
                <c:pt idx="3">
                  <c:v>3649.1288940916957</c:v>
                </c:pt>
                <c:pt idx="4">
                  <c:v>2836</c:v>
                </c:pt>
                <c:pt idx="5">
                  <c:v>2045.0287401503456</c:v>
                </c:pt>
              </c:numCache>
            </c:numRef>
          </c:val>
          <c:smooth val="0"/>
          <c:extLst>
            <c:ext xmlns:c16="http://schemas.microsoft.com/office/drawing/2014/chart" uri="{C3380CC4-5D6E-409C-BE32-E72D297353CC}">
              <c16:uniqueId val="{00000001-1679-4DC8-9ADD-08F2545BC6F8}"/>
            </c:ext>
          </c:extLst>
        </c:ser>
        <c:dLbls>
          <c:dLblPos val="t"/>
          <c:showLegendKey val="0"/>
          <c:showVal val="1"/>
          <c:showCatName val="0"/>
          <c:showSerName val="0"/>
          <c:showPercent val="0"/>
          <c:showBubbleSize val="0"/>
        </c:dLbls>
        <c:smooth val="0"/>
        <c:axId val="701206184"/>
        <c:axId val="701203232"/>
      </c:lineChart>
      <c:catAx>
        <c:axId val="7012061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203232"/>
        <c:crosses val="autoZero"/>
        <c:auto val="1"/>
        <c:lblAlgn val="ctr"/>
        <c:lblOffset val="100"/>
        <c:noMultiLvlLbl val="0"/>
      </c:catAx>
      <c:valAx>
        <c:axId val="701203232"/>
        <c:scaling>
          <c:orientation val="minMax"/>
        </c:scaling>
        <c:delete val="0"/>
        <c:axPos val="l"/>
        <c:majorGridlines>
          <c:spPr>
            <a:ln w="9525" cap="flat" cmpd="sng" algn="ctr">
              <a:solidFill>
                <a:schemeClr val="tx1">
                  <a:lumMod val="15000"/>
                  <a:lumOff val="85000"/>
                </a:schemeClr>
              </a:solidFill>
              <a:round/>
            </a:ln>
            <a:effectLst/>
          </c:spPr>
        </c:majorGridlines>
        <c:numFmt formatCode="#,##0_ ;[Red]\-#,##0\ "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12061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43FFBCF79C224A4FBE54203FCA75B906" ma:contentTypeVersion="62" ma:contentTypeDescription="Create a new document." ma:contentTypeScope="" ma:versionID="a225438f7b4853f11603e89b4a0aa142">
  <xsd:schema xmlns:xsd="http://www.w3.org/2001/XMLSchema" xmlns:xs="http://www.w3.org/2001/XMLSchema" xmlns:p="http://schemas.microsoft.com/office/2006/metadata/properties" xmlns:ns2="be575b1b-3fe4-4ddf-ad3d-9e162439ca43" xmlns:ns3="4600776d-0a3c-44b4-bff2-0ceaafb13046" xmlns:ns4="c86d72e2-090a-4e7d-987e-218d8a0db591" xmlns:ns5="6ab18433-7710-49bd-9bb4-0bb85747556a" targetNamespace="http://schemas.microsoft.com/office/2006/metadata/properties" ma:root="true" ma:fieldsID="15ae45319deb13c9bbc185ccc68071bd" ns2:_="" ns3:_="" ns4:_="" ns5:_="">
    <xsd:import namespace="be575b1b-3fe4-4ddf-ad3d-9e162439ca43"/>
    <xsd:import namespace="4600776d-0a3c-44b4-bff2-0ceaafb13046"/>
    <xsd:import namespace="c86d72e2-090a-4e7d-987e-218d8a0db591"/>
    <xsd:import namespace="6ab18433-7710-49bd-9bb4-0bb85747556a"/>
    <xsd:element name="properties">
      <xsd:complexType>
        <xsd:sequence>
          <xsd:element name="documentManagement">
            <xsd:complexType>
              <xsd:all>
                <xsd:element ref="ns2:Additional_x0020_category" minOccurs="0"/>
                <xsd:element ref="ns2:Circulation_x0020_Date" minOccurs="0"/>
                <xsd:element ref="ns2:Meeting_x0020_Date" minOccurs="0"/>
                <xsd:element ref="ns2:Status_x0020_of_x0020_correspondence" minOccurs="0"/>
                <xsd:element ref="ns3:DateReceived" minOccurs="0"/>
                <xsd:element ref="ns3:DateSent" minOccurs="0"/>
                <xsd:element ref="ns4:Visit" minOccurs="0"/>
                <xsd:element ref="ns2:Document_x0020_Status" minOccurs="0"/>
                <xsd:element ref="ns2:Brief_x0020_status" minOccurs="0"/>
                <xsd:element ref="ns2:Publication_x0020_Date" minOccurs="0"/>
                <xsd:element ref="ns2:Allocated_x0020_to" minOccurs="0"/>
                <xsd:element ref="ns4:Specialist_x0020_Adviser" minOccurs="0"/>
                <xsd:element ref="ns4:Witness" minOccurs="0"/>
                <xsd:element ref="ns2:Notes0" minOccurs="0"/>
                <xsd:element ref="ns2:Useful_x0020_Docs" minOccurs="0"/>
                <xsd:element ref="ns2:Deadline" minOccurs="0"/>
                <xsd:element ref="ns2:Date" minOccurs="0"/>
                <xsd:element ref="ns2:Related_x0020_Document" minOccurs="0"/>
                <xsd:element ref="ns2:Department" minOccurs="0"/>
                <xsd:element ref="ns3:EndofSessionDate" minOccurs="0"/>
                <xsd:element ref="ns3:TransfertoArchives" minOccurs="0"/>
                <xsd:element ref="ns3:RecordNumber" minOccurs="0"/>
                <xsd:element ref="ns3:c4838c65c76546ae93d5703426802f7f" minOccurs="0"/>
                <xsd:element ref="ns5:_dlc_DocIdPersistId" minOccurs="0"/>
                <xsd:element ref="ns4:Specialist_x0020_Adviser_x003a_First_x0020_Name" minOccurs="0"/>
                <xsd:element ref="ns4:Specialist_x0020_Adviser_x003a_Full_x0020_Name" minOccurs="0"/>
                <xsd:element ref="ns3:e6f926d7f5b14a74bee86c3452d91372" minOccurs="0"/>
                <xsd:element ref="ns2:n78ca1497cf6442fb3babdda785c85ae" minOccurs="0"/>
                <xsd:element ref="ns5:_dlc_DocId" minOccurs="0"/>
                <xsd:element ref="ns2:j3dc9349b3384741bd6025ba1321f3a9" minOccurs="0"/>
                <xsd:element ref="ns2:g2d8248192724a17975a7892e991e827" minOccurs="0"/>
                <xsd:element ref="ns3:cd0fc526a5c840319a97fd94028e9904" minOccurs="0"/>
                <xsd:element ref="ns3:g3ef09377e3444258679b6035a1ff93a" minOccurs="0"/>
                <xsd:element ref="ns5:_dlc_DocIdUrl" minOccurs="0"/>
                <xsd:element ref="ns4:Visit_x003a_Start_x0020_Time" minOccurs="0"/>
                <xsd:element ref="ns4:Visit_x003a_End_x0020_Time" minOccurs="0"/>
                <xsd:element ref="ns4:Witness_x003a_First_x0020_Name" minOccurs="0"/>
                <xsd:element ref="ns4:Witness_x003a_Full_x0020_Name" minOccurs="0"/>
                <xsd:element ref="ns4:Witness_x003a_Job_x0020_Title" minOccurs="0"/>
                <xsd:element ref="ns2:MediaServiceMetadata" minOccurs="0"/>
                <xsd:element ref="ns2:MediaServiceFastMetadata" minOccurs="0"/>
                <xsd:element ref="ns5:SharedWithUsers" minOccurs="0"/>
                <xsd:element ref="ns5:SharedWithDetails" minOccurs="0"/>
                <xsd:element ref="ns3:j6c5b17cd04246da82e5604daf08bc68"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575b1b-3fe4-4ddf-ad3d-9e162439ca43" elementFormDefault="qualified">
    <xsd:import namespace="http://schemas.microsoft.com/office/2006/documentManagement/types"/>
    <xsd:import namespace="http://schemas.microsoft.com/office/infopath/2007/PartnerControls"/>
    <xsd:element name="Additional_x0020_category" ma:index="3" nillable="true" ma:displayName="Additional category" ma:internalName="Additional_x0020_category">
      <xsd:simpleType>
        <xsd:restriction base="dms:Text">
          <xsd:maxLength value="255"/>
        </xsd:restriction>
      </xsd:simpleType>
    </xsd:element>
    <xsd:element name="Circulation_x0020_Date" ma:index="6" nillable="true" ma:displayName="Circulation Date" ma:format="DateOnly" ma:internalName="Circulation_x0020_Date">
      <xsd:simpleType>
        <xsd:restriction base="dms:DateTime"/>
      </xsd:simpleType>
    </xsd:element>
    <xsd:element name="Meeting_x0020_Date" ma:index="7" nillable="true" ma:displayName="Meeting Date" ma:format="DateOnly" ma:indexed="true" ma:internalName="Meeting_x0020_Date">
      <xsd:simpleType>
        <xsd:restriction base="dms:DateTime"/>
      </xsd:simpleType>
    </xsd:element>
    <xsd:element name="Status_x0020_of_x0020_correspondence" ma:index="8" nillable="true" ma:displayName="Correspondence Status" ma:format="Dropdown" ma:internalName="Status_x0020_of_x0020_correspondence">
      <xsd:simpleType>
        <xsd:union memberTypes="dms:Text">
          <xsd:simpleType>
            <xsd:restriction base="dms:Choice">
              <xsd:enumeration value="Received - no action needed"/>
              <xsd:enumeration value="Received - allocated for action"/>
              <xsd:enumeration value="Drafting response"/>
              <xsd:enumeration value="Draft response with Chair"/>
              <xsd:enumeration value="NAO drafting response"/>
              <xsd:enumeration value="NAO draft response with Chair"/>
              <xsd:enumeration value="Holding response sent"/>
              <xsd:enumeration value="Answered by Committee Staff"/>
              <xsd:enumeration value="Chair's response sent"/>
            </xsd:restriction>
          </xsd:simpleType>
        </xsd:union>
      </xsd:simpleType>
    </xsd:element>
    <xsd:element name="Document_x0020_Status" ma:index="12" nillable="true" ma:displayName="Document Status" ma:format="Dropdown" ma:internalName="Document_x0020_Status">
      <xsd:simpleType>
        <xsd:restriction base="dms:Choice">
          <xsd:enumeration value="In Draft"/>
          <xsd:enumeration value="With Principal Clerk"/>
          <xsd:enumeration value="With Chair"/>
          <xsd:enumeration value="With Committee"/>
          <xsd:enumeration value="Agreed and to be Published"/>
          <xsd:enumeration value="Published"/>
        </xsd:restriction>
      </xsd:simpleType>
    </xsd:element>
    <xsd:element name="Brief_x0020_status" ma:index="13" nillable="true" ma:displayName="Brief status" ma:format="Dropdown" ma:internalName="Brief_x0020_status">
      <xsd:simpleType>
        <xsd:restriction base="dms:Choice">
          <xsd:enumeration value="in draft"/>
          <xsd:enumeration value="with Committee Clerk"/>
          <xsd:enumeration value="ready to be circulated"/>
          <xsd:enumeration value="circulated"/>
        </xsd:restriction>
      </xsd:simpleType>
    </xsd:element>
    <xsd:element name="Publication_x0020_Date" ma:index="14" nillable="true" ma:displayName="Publication Date" ma:format="DateOnly" ma:internalName="Publication_x0020_Date">
      <xsd:simpleType>
        <xsd:restriction base="dms:DateTime"/>
      </xsd:simpleType>
    </xsd:element>
    <xsd:element name="Allocated_x0020_to" ma:index="15" nillable="true" ma:displayName="Allocated to" ma:indexed="true" ma:SharePointGroup="0" ma:internalName="Allocated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0" ma:index="19" nillable="true" ma:displayName="Notes" ma:internalName="Notes0">
      <xsd:simpleType>
        <xsd:restriction base="dms:Note">
          <xsd:maxLength value="255"/>
        </xsd:restriction>
      </xsd:simpleType>
    </xsd:element>
    <xsd:element name="Useful_x0020_Docs" ma:index="20" nillable="true" ma:displayName="Useful Docs" ma:internalName="Useful_x0020_Docs">
      <xsd:complexType>
        <xsd:complexContent>
          <xsd:extension base="dms:MultiChoice">
            <xsd:sequence>
              <xsd:element name="Value" maxOccurs="unbounded" minOccurs="0" nillable="true">
                <xsd:simpleType>
                  <xsd:restriction base="dms:Choice">
                    <xsd:enumeration value="Circulation page"/>
                  </xsd:restriction>
                </xsd:simpleType>
              </xsd:element>
            </xsd:sequence>
          </xsd:extension>
        </xsd:complexContent>
      </xsd:complexType>
    </xsd:element>
    <xsd:element name="Deadline" ma:index="21" nillable="true" ma:displayName="Deadline" ma:format="DateOnly" ma:internalName="Deadline">
      <xsd:simpleType>
        <xsd:restriction base="dms:DateTime"/>
      </xsd:simpleType>
    </xsd:element>
    <xsd:element name="Date" ma:index="22" nillable="true" ma:displayName="Date" ma:format="DateOnly" ma:internalName="Date">
      <xsd:simpleType>
        <xsd:restriction base="dms:DateTime"/>
      </xsd:simpleType>
    </xsd:element>
    <xsd:element name="Related_x0020_Document" ma:index="23" nillable="true" ma:displayName="Related Document" ma:format="Hyperlink" ma:internalName="Related_x0020_Document">
      <xsd:complexType>
        <xsd:complexContent>
          <xsd:extension base="dms:URL">
            <xsd:sequence>
              <xsd:element name="Url" type="dms:ValidUrl" minOccurs="0" nillable="true"/>
              <xsd:element name="Description" type="xsd:string" nillable="true"/>
            </xsd:sequence>
          </xsd:extension>
        </xsd:complexContent>
      </xsd:complexType>
    </xsd:element>
    <xsd:element name="Department" ma:index="24" nillable="true" ma:displayName="Department" ma:format="Dropdown" ma:internalName="Department">
      <xsd:simpleType>
        <xsd:restriction base="dms:Choice">
          <xsd:enumeration value="Business, Energy and Industrial Strategy"/>
          <xsd:enumeration value="Cabinet Office"/>
          <xsd:enumeration value="Communities and Local Government"/>
          <xsd:enumeration value="Culture, Media and Sport"/>
          <xsd:enumeration value="Defence"/>
          <xsd:enumeration value="Education"/>
          <xsd:enumeration value="Environment, Food and Rural Affairs"/>
          <xsd:enumeration value="Exiting the European Union"/>
          <xsd:enumeration value="Foreign and Commonwealth Office"/>
          <xsd:enumeration value="HM Treasury"/>
          <xsd:enumeration value="International Development"/>
          <xsd:enumeration value="International Trade"/>
          <xsd:enumeration value="Health"/>
          <xsd:enumeration value="HMRC"/>
          <xsd:enumeration value="Home Office"/>
          <xsd:enumeration value="Justice"/>
          <xsd:enumeration value="NHS England"/>
          <xsd:enumeration value="Transport"/>
          <xsd:enumeration value="Work and Pensions"/>
        </xsd:restriction>
      </xsd:simpleType>
    </xsd:element>
    <xsd:element name="n78ca1497cf6442fb3babdda785c85ae" ma:index="39" nillable="true" ma:taxonomy="true" ma:internalName="n78ca1497cf6442fb3babdda785c85ae" ma:taxonomyFieldName="Category" ma:displayName="Category" ma:indexed="true" ma:default="" ma:fieldId="{778ca149-7cf6-442f-b3ba-bdda785c85ae}" ma:sspId="eb37f91c-4bb8-4ab3-bc5a-cd8753815459" ma:termSetId="fdda81a6-47fd-48fa-9a20-6ed040d3b7b9" ma:anchorId="00000000-0000-0000-0000-000000000000" ma:open="false" ma:isKeyword="false">
      <xsd:complexType>
        <xsd:sequence>
          <xsd:element ref="pc:Terms" minOccurs="0" maxOccurs="1"/>
        </xsd:sequence>
      </xsd:complexType>
    </xsd:element>
    <xsd:element name="j3dc9349b3384741bd6025ba1321f3a9" ma:index="41" nillable="true" ma:taxonomy="true" ma:internalName="j3dc9349b3384741bd6025ba1321f3a9" ma:taxonomyFieldName="Circulation" ma:displayName="Circulation" ma:indexed="true" ma:default="" ma:fieldId="{33dc9349-b338-4741-bd60-25ba1321f3a9}" ma:sspId="eb37f91c-4bb8-4ab3-bc5a-cd8753815459" ma:termSetId="f0f3d9b7-bf02-42f5-b887-16455fa55310" ma:anchorId="6075679c-1e86-4f5c-8343-cf1f0bb0c4a9" ma:open="false" ma:isKeyword="false">
      <xsd:complexType>
        <xsd:sequence>
          <xsd:element ref="pc:Terms" minOccurs="0" maxOccurs="1"/>
        </xsd:sequence>
      </xsd:complexType>
    </xsd:element>
    <xsd:element name="g2d8248192724a17975a7892e991e827" ma:index="42" nillable="true" ma:taxonomy="true" ma:internalName="g2d8248192724a17975a7892e991e827" ma:taxonomyFieldName="Inquiry" ma:displayName="Inquiry" ma:indexed="true" ma:default="" ma:fieldId="{02d82481-9272-4a17-975a-7892e991e827}" ma:sspId="eb37f91c-4bb8-4ab3-bc5a-cd8753815459" ma:termSetId="e92b6cb5-89aa-4b85-8d83-b805cf84055d" ma:anchorId="7d149e6c-9577-48d4-8bff-95596adb139d" ma:open="false" ma:isKeyword="false">
      <xsd:complexType>
        <xsd:sequence>
          <xsd:element ref="pc:Terms" minOccurs="0" maxOccurs="1"/>
        </xsd:sequence>
      </xsd:complexType>
    </xsd:element>
    <xsd:element name="MediaServiceMetadata" ma:index="54" nillable="true" ma:displayName="MediaServiceMetadata" ma:description="" ma:hidden="true" ma:internalName="MediaServiceMetadata" ma:readOnly="true">
      <xsd:simpleType>
        <xsd:restriction base="dms:Note"/>
      </xsd:simpleType>
    </xsd:element>
    <xsd:element name="MediaServiceFastMetadata" ma:index="55" nillable="true" ma:displayName="MediaServiceFastMetadata" ma:description="" ma:hidden="true" ma:internalName="MediaServiceFastMetadata" ma:readOnly="true">
      <xsd:simpleType>
        <xsd:restriction base="dms:Note"/>
      </xsd:simpleType>
    </xsd:element>
    <xsd:element name="MediaServiceEventHashCode" ma:index="60" nillable="true" ma:displayName="MediaServiceEventHashCode" ma:hidden="true" ma:internalName="MediaServiceEventHashCode" ma:readOnly="true">
      <xsd:simpleType>
        <xsd:restriction base="dms:Text"/>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AutoKeyPoints" ma:index="62" nillable="true" ma:displayName="MediaServiceAutoKeyPoints" ma:hidden="true" ma:internalName="MediaServiceAutoKeyPoints" ma:readOnly="true">
      <xsd:simpleType>
        <xsd:restriction base="dms:Note"/>
      </xsd:simpleType>
    </xsd:element>
    <xsd:element name="MediaServiceKeyPoints" ma:index="6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00776d-0a3c-44b4-bff2-0ceaafb13046" elementFormDefault="qualified">
    <xsd:import namespace="http://schemas.microsoft.com/office/2006/documentManagement/types"/>
    <xsd:import namespace="http://schemas.microsoft.com/office/infopath/2007/PartnerControls"/>
    <xsd:element name="DateReceived" ma:index="9" nillable="true" ma:displayName="Date Received" ma:format="DateOnly" ma:internalName="DateReceived">
      <xsd:simpleType>
        <xsd:restriction base="dms:DateTime"/>
      </xsd:simpleType>
    </xsd:element>
    <xsd:element name="DateSent" ma:index="10" nillable="true" ma:displayName="Date Sent" ma:format="DateOnly" ma:indexed="true" ma:internalName="DateSent">
      <xsd:simpleType>
        <xsd:restriction base="dms:DateTime"/>
      </xsd:simpleType>
    </xsd:element>
    <xsd:element name="EndofSessionDate" ma:index="25" nillable="true" ma:displayName="End of Session Date" ma:format="DateOnly" ma:internalName="EndofSessionDate">
      <xsd:simpleType>
        <xsd:restriction base="dms:DateTime"/>
      </xsd:simpleType>
    </xsd:element>
    <xsd:element name="TransfertoArchives" ma:index="26" nillable="true" ma:displayName="Transfer to Archives" ma:default="0" ma:internalName="TransfertoArchives">
      <xsd:simpleType>
        <xsd:restriction base="dms:Boolean"/>
      </xsd:simpleType>
    </xsd:element>
    <xsd:element name="RecordNumber" ma:index="31" nillable="true" ma:displayName="Record Number" ma:indexed="true" ma:internalName="RecordNumber">
      <xsd:simpleType>
        <xsd:restriction base="dms:Text">
          <xsd:maxLength value="255"/>
        </xsd:restriction>
      </xsd:simpleType>
    </xsd:element>
    <xsd:element name="c4838c65c76546ae93d5703426802f7f" ma:index="34" nillable="true" ma:taxonomy="true" ma:internalName="c4838c65c76546ae93d5703426802f7f" ma:taxonomyFieldName="RMKeyword1" ma:displayName="RM Keyword 1" ma:default="" ma:fieldId="{c4838c65-c765-46ae-93d5-703426802f7f}" ma:sspId="eb37f91c-4bb8-4ab3-bc5a-cd8753815459" ma:termSetId="6ce78382-c8e8-44b0-9862-0d52dc2f47b1" ma:anchorId="00000000-0000-0000-0000-000000000000" ma:open="false" ma:isKeyword="false">
      <xsd:complexType>
        <xsd:sequence>
          <xsd:element ref="pc:Terms" minOccurs="0" maxOccurs="1"/>
        </xsd:sequence>
      </xsd:complexType>
    </xsd:element>
    <xsd:element name="e6f926d7f5b14a74bee86c3452d91372" ma:index="38" nillable="true" ma:taxonomy="true" ma:internalName="e6f926d7f5b14a74bee86c3452d91372" ma:taxonomyFieldName="Sessions" ma:displayName="Session" ma:indexed="true" ma:default="57;#2019-20|66e74676-00e6-4c37-adc4-b954b89ccd7c" ma:fieldId="{e6f926d7-f5b1-4a74-bee8-6c3452d91372}" ma:sspId="eb37f91c-4bb8-4ab3-bc5a-cd8753815459" ma:termSetId="ccb1e33e-6f67-48da-8bc5-b9a73ec87565" ma:anchorId="00000000-0000-0000-0000-000000000000" ma:open="false" ma:isKeyword="false">
      <xsd:complexType>
        <xsd:sequence>
          <xsd:element ref="pc:Terms" minOccurs="0" maxOccurs="1"/>
        </xsd:sequence>
      </xsd:complexType>
    </xsd:element>
    <xsd:element name="cd0fc526a5c840319a97fd94028e9904" ma:index="44" nillable="true" ma:taxonomy="true" ma:internalName="cd0fc526a5c840319a97fd94028e9904" ma:taxonomyFieldName="RMKeyword4" ma:displayName="RM Keyword 4" ma:default="" ma:fieldId="{cd0fc526-a5c8-4031-9a97-fd94028e9904}" ma:sspId="eb37f91c-4bb8-4ab3-bc5a-cd8753815459" ma:termSetId="35662a10-3587-4b3e-a59c-955899b5916d" ma:anchorId="00000000-0000-0000-0000-000000000000" ma:open="false" ma:isKeyword="false">
      <xsd:complexType>
        <xsd:sequence>
          <xsd:element ref="pc:Terms" minOccurs="0" maxOccurs="1"/>
        </xsd:sequence>
      </xsd:complexType>
    </xsd:element>
    <xsd:element name="g3ef09377e3444258679b6035a1ff93a" ma:index="45" nillable="true" ma:taxonomy="true" ma:internalName="g3ef09377e3444258679b6035a1ff93a" ma:taxonomyFieldName="RMKeyword3" ma:displayName="RM Keyword 3" ma:default="" ma:fieldId="{03ef0937-7e34-4425-8679-b6035a1ff93a}" ma:sspId="eb37f91c-4bb8-4ab3-bc5a-cd8753815459" ma:termSetId="4114c526-84fc-4c3e-bdac-645514365e25" ma:anchorId="00000000-0000-0000-0000-000000000000" ma:open="false" ma:isKeyword="false">
      <xsd:complexType>
        <xsd:sequence>
          <xsd:element ref="pc:Terms" minOccurs="0" maxOccurs="1"/>
        </xsd:sequence>
      </xsd:complexType>
    </xsd:element>
    <xsd:element name="j6c5b17cd04246da82e5604daf08bc68" ma:index="59" nillable="true" ma:taxonomy="true" ma:internalName="j6c5b17cd04246da82e5604daf08bc68" ma:taxonomyFieldName="RMKeyword2" ma:displayName="RM Keyword 2" ma:default="" ma:fieldId="{36c5b17c-d042-46da-82e5-604daf08bc68}" ma:sspId="eb37f91c-4bb8-4ab3-bc5a-cd8753815459" ma:termSetId="6d4083f0-4a5b-4f0d-bf61-1a7bc95d06a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86d72e2-090a-4e7d-987e-218d8a0db591" elementFormDefault="qualified">
    <xsd:import namespace="http://schemas.microsoft.com/office/2006/documentManagement/types"/>
    <xsd:import namespace="http://schemas.microsoft.com/office/infopath/2007/PartnerControls"/>
    <xsd:element name="Visit" ma:index="11" nillable="true" ma:displayName="Visit" ma:list="{fd3b86c5-805e-4f10-81f2-3fca585d0f45}" ma:internalName="Visit" ma:showField="Title" ma:web="c86d72e2-090a-4e7d-987e-218d8a0db591">
      <xsd:simpleType>
        <xsd:restriction base="dms:Lookup"/>
      </xsd:simpleType>
    </xsd:element>
    <xsd:element name="Specialist_x0020_Adviser" ma:index="17" nillable="true" ma:displayName="Specialist Adviser" ma:list="{fc1bc401-7947-4552-be01-0de8dcaca917}" ma:internalName="Specialist_x0020_Adviser" ma:showField="Title" ma:web="c86d72e2-090a-4e7d-987e-218d8a0db591">
      <xsd:simpleType>
        <xsd:restriction base="dms:Lookup"/>
      </xsd:simpleType>
    </xsd:element>
    <xsd:element name="Witness" ma:index="18" nillable="true" ma:displayName="Witness" ma:list="{3c61cb01-57d0-48af-9ad8-0430054aef58}" ma:internalName="Witness" ma:showField="Title" ma:web="c86d72e2-090a-4e7d-987e-218d8a0db591">
      <xsd:simpleType>
        <xsd:restriction base="dms:Lookup"/>
      </xsd:simpleType>
    </xsd:element>
    <xsd:element name="Specialist_x0020_Adviser_x003a_First_x0020_Name" ma:index="36" nillable="true" ma:displayName="Specialist Adviser:First Name" ma:list="{fc1bc401-7947-4552-be01-0de8dcaca917}" ma:internalName="Specialist_x0020_Adviser_x003a_First_x0020_Name" ma:readOnly="true" ma:showField="FirstName" ma:web="c86d72e2-090a-4e7d-987e-218d8a0db591">
      <xsd:simpleType>
        <xsd:restriction base="dms:Lookup"/>
      </xsd:simpleType>
    </xsd:element>
    <xsd:element name="Specialist_x0020_Adviser_x003a_Full_x0020_Name" ma:index="37" nillable="true" ma:displayName="Specialist Adviser:Full Name" ma:list="{fc1bc401-7947-4552-be01-0de8dcaca917}" ma:internalName="Specialist_x0020_Adviser_x003a_Full_x0020_Name" ma:readOnly="true" ma:showField="FullName" ma:web="c86d72e2-090a-4e7d-987e-218d8a0db591">
      <xsd:simpleType>
        <xsd:restriction base="dms:Lookup"/>
      </xsd:simpleType>
    </xsd:element>
    <xsd:element name="Visit_x003a_Start_x0020_Time" ma:index="48" nillable="true" ma:displayName="Visit:Start Time" ma:list="{fd3b86c5-805e-4f10-81f2-3fca585d0f45}" ma:internalName="Visit_x003a_Start_x0020_Time" ma:readOnly="true" ma:showField="EventDate" ma:web="c86d72e2-090a-4e7d-987e-218d8a0db591">
      <xsd:simpleType>
        <xsd:restriction base="dms:Lookup"/>
      </xsd:simpleType>
    </xsd:element>
    <xsd:element name="Visit_x003a_End_x0020_Time" ma:index="49" nillable="true" ma:displayName="Visit:End Time" ma:list="{fd3b86c5-805e-4f10-81f2-3fca585d0f45}" ma:internalName="Visit_x003a_End_x0020_Time" ma:readOnly="true" ma:showField="EndDate" ma:web="c86d72e2-090a-4e7d-987e-218d8a0db591">
      <xsd:simpleType>
        <xsd:restriction base="dms:Lookup"/>
      </xsd:simpleType>
    </xsd:element>
    <xsd:element name="Witness_x003a_First_x0020_Name" ma:index="51" nillable="true" ma:displayName="Witness:First Name" ma:list="{3c61cb01-57d0-48af-9ad8-0430054aef58}" ma:internalName="Witness_x003a_First_x0020_Name" ma:readOnly="true" ma:showField="First_x0020_Name" ma:web="c86d72e2-090a-4e7d-987e-218d8a0db591">
      <xsd:simpleType>
        <xsd:restriction base="dms:Lookup"/>
      </xsd:simpleType>
    </xsd:element>
    <xsd:element name="Witness_x003a_Full_x0020_Name" ma:index="52" nillable="true" ma:displayName="Witness:Full Name" ma:list="{3c61cb01-57d0-48af-9ad8-0430054aef58}" ma:internalName="Witness_x003a_Full_x0020_Name" ma:readOnly="true" ma:showField="Full_x0020_Name" ma:web="c86d72e2-090a-4e7d-987e-218d8a0db591">
      <xsd:simpleType>
        <xsd:restriction base="dms:Lookup"/>
      </xsd:simpleType>
    </xsd:element>
    <xsd:element name="Witness_x003a_Job_x0020_Title" ma:index="53" nillable="true" ma:displayName="Witness:Job Title" ma:list="{3c61cb01-57d0-48af-9ad8-0430054aef58}" ma:internalName="Witness_x003a_Job_x0020_Title" ma:readOnly="true" ma:showField="Job_x0020_Title" ma:web="c86d72e2-090a-4e7d-987e-218d8a0db591">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6ab18433-7710-49bd-9bb4-0bb85747556a" elementFormDefault="qualified">
    <xsd:import namespace="http://schemas.microsoft.com/office/2006/documentManagement/types"/>
    <xsd:import namespace="http://schemas.microsoft.com/office/infopath/2007/PartnerControls"/>
    <xsd:element name="_dlc_DocIdPersistId" ma:index="35" nillable="true" ma:displayName="Persist ID" ma:description="Keep ID on add." ma:hidden="true" ma:internalName="_dlc_DocIdPersistId" ma:readOnly="true">
      <xsd:simpleType>
        <xsd:restriction base="dms:Boolean"/>
      </xsd:simpleType>
    </xsd:element>
    <xsd:element name="_dlc_DocId" ma:index="40" nillable="true" ma:displayName="Document ID Value" ma:description="The value of the document ID assigned to this item." ma:internalName="_dlc_DocId" ma:readOnly="true">
      <xsd:simpleType>
        <xsd:restriction base="dms:Text"/>
      </xsd:simpleType>
    </xsd:element>
    <xsd:element name="_dlc_DocIdUrl" ma:index="4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haredWithUsers" ma:index="5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7"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eSent xmlns="4600776d-0a3c-44b4-bff2-0ceaafb13046" xsi:nil="true"/>
    <RecordNumber xmlns="4600776d-0a3c-44b4-bff2-0ceaafb13046" xsi:nil="true"/>
    <n78ca1497cf6442fb3babdda785c85ae xmlns="be575b1b-3fe4-4ddf-ad3d-9e162439ca43">
      <Terms xmlns="http://schemas.microsoft.com/office/infopath/2007/PartnerControls"/>
    </n78ca1497cf6442fb3babdda785c85ae>
    <Witness xmlns="c86d72e2-090a-4e7d-987e-218d8a0db591" xsi:nil="true"/>
    <g3ef09377e3444258679b6035a1ff93a xmlns="4600776d-0a3c-44b4-bff2-0ceaafb13046">
      <Terms xmlns="http://schemas.microsoft.com/office/infopath/2007/PartnerControls"/>
    </g3ef09377e3444258679b6035a1ff93a>
    <Deadline xmlns="be575b1b-3fe4-4ddf-ad3d-9e162439ca43" xsi:nil="true"/>
    <g2d8248192724a17975a7892e991e827 xmlns="be575b1b-3fe4-4ddf-ad3d-9e162439ca43">
      <Terms xmlns="http://schemas.microsoft.com/office/infopath/2007/PartnerControls"/>
    </g2d8248192724a17975a7892e991e827>
    <j3dc9349b3384741bd6025ba1321f3a9 xmlns="be575b1b-3fe4-4ddf-ad3d-9e162439ca43">
      <Terms xmlns="http://schemas.microsoft.com/office/infopath/2007/PartnerControls"/>
    </j3dc9349b3384741bd6025ba1321f3a9>
    <Status_x0020_of_x0020_correspondence xmlns="be575b1b-3fe4-4ddf-ad3d-9e162439ca43" xsi:nil="true"/>
    <Useful_x0020_Docs xmlns="be575b1b-3fe4-4ddf-ad3d-9e162439ca43"/>
    <j6c5b17cd04246da82e5604daf08bc68 xmlns="4600776d-0a3c-44b4-bff2-0ceaafb13046">
      <Terms xmlns="http://schemas.microsoft.com/office/infopath/2007/PartnerControls"/>
    </j6c5b17cd04246da82e5604daf08bc68>
    <Date xmlns="be575b1b-3fe4-4ddf-ad3d-9e162439ca43" xsi:nil="true"/>
    <Document_x0020_Status xmlns="be575b1b-3fe4-4ddf-ad3d-9e162439ca43" xsi:nil="true"/>
    <Meeting_x0020_Date xmlns="be575b1b-3fe4-4ddf-ad3d-9e162439ca43" xsi:nil="true"/>
    <Allocated_x0020_to xmlns="be575b1b-3fe4-4ddf-ad3d-9e162439ca43">
      <UserInfo>
        <DisplayName/>
        <AccountId xsi:nil="true"/>
        <AccountType/>
      </UserInfo>
    </Allocated_x0020_to>
    <Related_x0020_Document xmlns="be575b1b-3fe4-4ddf-ad3d-9e162439ca43">
      <Url xsi:nil="true"/>
      <Description xsi:nil="true"/>
    </Related_x0020_Document>
    <e6f926d7f5b14a74bee86c3452d91372 xmlns="4600776d-0a3c-44b4-bff2-0ceaafb13046">
      <Terms xmlns="http://schemas.microsoft.com/office/infopath/2007/PartnerControls">
        <TermInfo xmlns="http://schemas.microsoft.com/office/infopath/2007/PartnerControls">
          <TermName xmlns="http://schemas.microsoft.com/office/infopath/2007/PartnerControls">2019-20</TermName>
          <TermId xmlns="http://schemas.microsoft.com/office/infopath/2007/PartnerControls">66e74676-00e6-4c37-adc4-b954b89ccd7c</TermId>
        </TermInfo>
      </Terms>
    </e6f926d7f5b14a74bee86c3452d91372>
    <EndofSessionDate xmlns="4600776d-0a3c-44b4-bff2-0ceaafb13046" xsi:nil="true"/>
    <DateReceived xmlns="4600776d-0a3c-44b4-bff2-0ceaafb13046" xsi:nil="true"/>
    <TransfertoArchives xmlns="4600776d-0a3c-44b4-bff2-0ceaafb13046">false</TransfertoArchives>
    <Department xmlns="be575b1b-3fe4-4ddf-ad3d-9e162439ca43" xsi:nil="true"/>
    <Visit xmlns="c86d72e2-090a-4e7d-987e-218d8a0db591" xsi:nil="true"/>
    <cd0fc526a5c840319a97fd94028e9904 xmlns="4600776d-0a3c-44b4-bff2-0ceaafb13046">
      <Terms xmlns="http://schemas.microsoft.com/office/infopath/2007/PartnerControls"/>
    </cd0fc526a5c840319a97fd94028e9904>
    <Publication_x0020_Date xmlns="be575b1b-3fe4-4ddf-ad3d-9e162439ca43" xsi:nil="true"/>
    <Specialist_x0020_Adviser xmlns="c86d72e2-090a-4e7d-987e-218d8a0db591" xsi:nil="true"/>
    <Notes0 xmlns="be575b1b-3fe4-4ddf-ad3d-9e162439ca43" xsi:nil="true"/>
    <Circulation_x0020_Date xmlns="be575b1b-3fe4-4ddf-ad3d-9e162439ca43" xsi:nil="true"/>
    <Brief_x0020_status xmlns="be575b1b-3fe4-4ddf-ad3d-9e162439ca43" xsi:nil="true"/>
    <c4838c65c76546ae93d5703426802f7f xmlns="4600776d-0a3c-44b4-bff2-0ceaafb13046">
      <Terms xmlns="http://schemas.microsoft.com/office/infopath/2007/PartnerControls">
        <TermInfo xmlns="http://schemas.microsoft.com/office/infopath/2007/PartnerControls">
          <TermName xmlns="http://schemas.microsoft.com/office/infopath/2007/PartnerControls">Scrutiny</TermName>
          <TermId xmlns="http://schemas.microsoft.com/office/infopath/2007/PartnerControls">c40e1206-65f3-4fdf-a232-d54039a38d0a</TermId>
        </TermInfo>
      </Terms>
    </c4838c65c76546ae93d5703426802f7f>
    <Additional_x0020_category xmlns="be575b1b-3fe4-4ddf-ad3d-9e162439ca43" xsi:nil="true"/>
    <_dlc_DocId xmlns="6ab18433-7710-49bd-9bb4-0bb85747556a">CKXV4URCTHT2-1772171389-12412</_dlc_DocId>
    <_dlc_DocIdUrl xmlns="6ab18433-7710-49bd-9bb4-0bb85747556a">
      <Url>https://hopuk.sharepoint.com/sites/hcc-Education/_layouts/15/DocIdRedir.aspx?ID=CKXV4URCTHT2-1772171389-12412</Url>
      <Description>CKXV4URCTHT2-1772171389-12412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F0BE9-9A1C-4224-B93D-5C76766A70F3}">
  <ds:schemaRefs>
    <ds:schemaRef ds:uri="http://schemas.microsoft.com/sharepoint/events"/>
  </ds:schemaRefs>
</ds:datastoreItem>
</file>

<file path=customXml/itemProps2.xml><?xml version="1.0" encoding="utf-8"?>
<ds:datastoreItem xmlns:ds="http://schemas.openxmlformats.org/officeDocument/2006/customXml" ds:itemID="{A2C23B32-616D-4939-BFC0-CF9F81BF4F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575b1b-3fe4-4ddf-ad3d-9e162439ca43"/>
    <ds:schemaRef ds:uri="4600776d-0a3c-44b4-bff2-0ceaafb13046"/>
    <ds:schemaRef ds:uri="c86d72e2-090a-4e7d-987e-218d8a0db591"/>
    <ds:schemaRef ds:uri="6ab18433-7710-49bd-9bb4-0bb857475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D652B3-4B2E-49BE-A1BE-08666F1BB9E4}">
  <ds:schemaRefs>
    <ds:schemaRef ds:uri="http://schemas.microsoft.com/office/2006/metadata/properties"/>
    <ds:schemaRef ds:uri="http://schemas.microsoft.com/office/infopath/2007/PartnerControls"/>
    <ds:schemaRef ds:uri="4600776d-0a3c-44b4-bff2-0ceaafb13046"/>
    <ds:schemaRef ds:uri="be575b1b-3fe4-4ddf-ad3d-9e162439ca43"/>
    <ds:schemaRef ds:uri="c86d72e2-090a-4e7d-987e-218d8a0db591"/>
    <ds:schemaRef ds:uri="6ab18433-7710-49bd-9bb4-0bb85747556a"/>
  </ds:schemaRefs>
</ds:datastoreItem>
</file>

<file path=customXml/itemProps4.xml><?xml version="1.0" encoding="utf-8"?>
<ds:datastoreItem xmlns:ds="http://schemas.openxmlformats.org/officeDocument/2006/customXml" ds:itemID="{1D751745-47BA-4482-BFAA-DFB473426E5D}">
  <ds:schemaRefs>
    <ds:schemaRef ds:uri="http://schemas.microsoft.com/sharepoint/v3/contenttype/forms"/>
  </ds:schemaRefs>
</ds:datastoreItem>
</file>

<file path=customXml/itemProps5.xml><?xml version="1.0" encoding="utf-8"?>
<ds:datastoreItem xmlns:ds="http://schemas.openxmlformats.org/officeDocument/2006/customXml" ds:itemID="{E112C78A-EABC-4ECD-AC3E-C0F371829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