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document.xml" ContentType="application/vnd.openxmlformats-officedocument.wordprocessingml.document.main+xml"/>
  <Override PartName="/word/embeddings/Microsoft_Office_Excel_Worksheet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14885" w:rsidRPr="00314885" w:rsidP="00314885">
      <w:pPr>
        <w:spacing w:after="0" w:line="240" w:lineRule="auto"/>
        <w:rPr>
          <w:rFonts w:ascii="Arial" w:hAnsi="Arial" w:cs="Arial"/>
          <w:lang w:eastAsia="en-GB"/>
        </w:rPr>
      </w:pPr>
    </w:p>
    <w:p w:rsidR="00314885" w:rsidRPr="00314885" w:rsidP="00314885">
      <w:pPr>
        <w:spacing w:after="0" w:line="240" w:lineRule="auto"/>
        <w:rPr>
          <w:rFonts w:ascii="Arial" w:hAnsi="Arial" w:cs="Arial"/>
          <w:lang w:eastAsia="en-GB"/>
        </w:rPr>
      </w:pPr>
    </w:p>
    <w:p w:rsidR="00314885" w:rsidRPr="00314885" w:rsidP="00314885">
      <w:pPr>
        <w:spacing w:after="0" w:line="240" w:lineRule="auto"/>
        <w:rPr>
          <w:rFonts w:ascii="Arial" w:hAnsi="Arial" w:cs="Arial"/>
          <w:lang w:eastAsia="en-GB"/>
        </w:rPr>
      </w:pPr>
    </w:p>
    <w:p w:rsidR="00314885" w:rsidRPr="00314885" w:rsidP="00314885">
      <w:pPr>
        <w:spacing w:after="0" w:line="240" w:lineRule="auto"/>
        <w:rPr>
          <w:rFonts w:ascii="Arial" w:hAnsi="Arial" w:cs="Arial"/>
          <w:lang w:eastAsia="en-GB"/>
        </w:rPr>
      </w:pPr>
    </w:p>
    <w:p w:rsidR="000F7925" w:rsidP="00314885">
      <w:pPr>
        <w:spacing w:after="0" w:line="240" w:lineRule="auto"/>
        <w:rPr>
          <w:rFonts w:ascii="Arial" w:hAnsi="Arial" w:cs="Arial"/>
          <w:b/>
          <w:sz w:val="48"/>
        </w:rPr>
      </w:pPr>
      <w:bookmarkStart w:id="0" w:name="_GoBack"/>
      <w:bookmarkEnd w:id="0"/>
    </w:p>
    <w:p w:rsidR="000F7925" w:rsidP="00314885">
      <w:pPr>
        <w:spacing w:after="0" w:line="240" w:lineRule="auto"/>
        <w:rPr>
          <w:rFonts w:ascii="Arial" w:hAnsi="Arial" w:cs="Arial"/>
          <w:b/>
          <w:sz w:val="48"/>
        </w:rPr>
      </w:pPr>
    </w:p>
    <w:p w:rsidR="00314885" w:rsidRPr="00314885" w:rsidP="00314885">
      <w:pPr>
        <w:spacing w:after="0" w:line="240" w:lineRule="auto"/>
        <w:rPr>
          <w:rFonts w:ascii="Arial" w:hAnsi="Arial" w:cs="Arial"/>
        </w:rPr>
      </w:pPr>
      <w:r w:rsidRPr="00314885">
        <w:rPr>
          <w:rFonts w:ascii="Arial" w:hAnsi="Arial" w:cs="Arial"/>
          <w:b/>
          <w:sz w:val="48"/>
        </w:rPr>
        <w:t>Office of Qualifications and Examinations Regulation (Ofqual)</w:t>
      </w:r>
      <w:r w:rsidRPr="00314885">
        <w:rPr>
          <w:rFonts w:ascii="Arial" w:hAnsi="Arial" w:cs="Arial"/>
          <w:b/>
          <w:sz w:val="48"/>
        </w:rPr>
        <w:tab/>
      </w:r>
    </w:p>
    <w:p w:rsidR="00314885" w:rsidRPr="00314885" w:rsidP="00314885">
      <w:pPr>
        <w:spacing w:after="0" w:line="240" w:lineRule="auto"/>
        <w:rPr>
          <w:rFonts w:ascii="Arial" w:hAnsi="Arial" w:cs="Arial"/>
          <w:sz w:val="48"/>
        </w:rPr>
      </w:pPr>
      <w:r>
        <w:rPr>
          <w:rFonts w:ascii="Arial" w:hAnsi="Arial" w:cs="Arial"/>
          <w:sz w:val="48"/>
        </w:rPr>
        <w:t>Main</w:t>
      </w:r>
      <w:r w:rsidRPr="00314885">
        <w:rPr>
          <w:rFonts w:ascii="Arial" w:hAnsi="Arial" w:cs="Arial"/>
          <w:sz w:val="48"/>
        </w:rPr>
        <w:t xml:space="preserve"> Estimate </w:t>
      </w:r>
      <w:r w:rsidR="00980511">
        <w:rPr>
          <w:rFonts w:ascii="Arial" w:hAnsi="Arial" w:cs="Arial"/>
          <w:sz w:val="48"/>
        </w:rPr>
        <w:t>20</w:t>
      </w:r>
      <w:r>
        <w:rPr>
          <w:rFonts w:ascii="Arial" w:hAnsi="Arial" w:cs="Arial"/>
          <w:sz w:val="48"/>
        </w:rPr>
        <w:t>20</w:t>
      </w:r>
      <w:r w:rsidR="00980511">
        <w:rPr>
          <w:rFonts w:ascii="Arial" w:hAnsi="Arial" w:cs="Arial"/>
          <w:sz w:val="48"/>
        </w:rPr>
        <w:t>/2</w:t>
      </w:r>
      <w:r>
        <w:rPr>
          <w:rFonts w:ascii="Arial" w:hAnsi="Arial" w:cs="Arial"/>
          <w:sz w:val="48"/>
        </w:rPr>
        <w:t>1</w:t>
      </w:r>
    </w:p>
    <w:p w:rsidR="00314885" w:rsidRPr="00314885" w:rsidP="00314885">
      <w:pPr>
        <w:spacing w:after="0" w:line="240" w:lineRule="auto"/>
        <w:rPr>
          <w:rFonts w:ascii="Arial" w:eastAsia="Arial Unicode MS" w:hAnsi="Arial" w:cs="Arial"/>
          <w:sz w:val="40"/>
          <w:szCs w:val="40"/>
        </w:rPr>
      </w:pPr>
    </w:p>
    <w:p w:rsidR="00314885" w:rsidRPr="00314885" w:rsidP="00314885">
      <w:pPr>
        <w:spacing w:after="0" w:line="240" w:lineRule="auto"/>
        <w:rPr>
          <w:rFonts w:ascii="Arial" w:eastAsia="Arial Unicode MS" w:hAnsi="Arial" w:cs="Arial"/>
          <w:sz w:val="40"/>
          <w:szCs w:val="40"/>
        </w:rPr>
      </w:pPr>
    </w:p>
    <w:p w:rsidR="000F7925" w:rsidP="00314885">
      <w:pPr>
        <w:spacing w:after="0" w:line="240" w:lineRule="auto"/>
        <w:rPr>
          <w:rFonts w:ascii="Arial" w:hAnsi="Arial" w:cs="Arial"/>
          <w:sz w:val="48"/>
        </w:rPr>
      </w:pPr>
    </w:p>
    <w:p w:rsidR="000F7925" w:rsidP="00314885">
      <w:pPr>
        <w:spacing w:after="0" w:line="240" w:lineRule="auto"/>
        <w:rPr>
          <w:rFonts w:ascii="Arial" w:hAnsi="Arial" w:cs="Arial"/>
          <w:sz w:val="48"/>
        </w:rPr>
      </w:pPr>
    </w:p>
    <w:p w:rsidR="00314885" w:rsidRPr="00314885" w:rsidP="00314885">
      <w:pPr>
        <w:spacing w:after="0" w:line="240" w:lineRule="auto"/>
        <w:rPr>
          <w:rFonts w:ascii="Arial" w:hAnsi="Arial" w:cs="Arial"/>
          <w:sz w:val="48"/>
        </w:rPr>
      </w:pPr>
      <w:r w:rsidRPr="00314885">
        <w:rPr>
          <w:rFonts w:ascii="Arial" w:hAnsi="Arial" w:cs="Arial"/>
          <w:sz w:val="48"/>
        </w:rPr>
        <w:t>Memorandum</w:t>
      </w:r>
      <w:r>
        <w:rPr>
          <w:rFonts w:ascii="Arial" w:hAnsi="Arial" w:cs="Arial"/>
          <w:sz w:val="48"/>
        </w:rPr>
        <w:t xml:space="preserve"> </w:t>
      </w:r>
      <w:r w:rsidRPr="00314885">
        <w:rPr>
          <w:rFonts w:ascii="Arial" w:hAnsi="Arial" w:cs="Arial"/>
          <w:sz w:val="48"/>
        </w:rPr>
        <w:t>to the</w:t>
      </w:r>
    </w:p>
    <w:p w:rsidR="00314885" w:rsidP="00314885">
      <w:pPr>
        <w:spacing w:after="0" w:line="240" w:lineRule="auto"/>
        <w:rPr>
          <w:rFonts w:ascii="Arial" w:hAnsi="Arial" w:cs="Arial"/>
          <w:sz w:val="48"/>
        </w:rPr>
      </w:pPr>
      <w:r w:rsidRPr="00314885">
        <w:rPr>
          <w:rFonts w:ascii="Arial" w:hAnsi="Arial" w:cs="Arial"/>
          <w:sz w:val="48"/>
        </w:rPr>
        <w:t>Education Select Committee</w:t>
      </w:r>
    </w:p>
    <w:p w:rsidR="00B65D2B" w:rsidRPr="00314885" w:rsidP="00314885">
      <w:pPr>
        <w:spacing w:after="0" w:line="240" w:lineRule="auto"/>
        <w:rPr>
          <w:rFonts w:ascii="Arial" w:hAnsi="Arial" w:cs="Arial"/>
          <w:sz w:val="48"/>
        </w:rPr>
      </w:pPr>
      <w:r>
        <w:rPr>
          <w:rFonts w:ascii="Arial" w:hAnsi="Arial" w:cs="Arial"/>
          <w:sz w:val="48"/>
        </w:rPr>
        <w:t>April</w:t>
      </w:r>
      <w:r>
        <w:rPr>
          <w:rFonts w:ascii="Arial" w:hAnsi="Arial" w:cs="Arial"/>
          <w:sz w:val="48"/>
        </w:rPr>
        <w:t xml:space="preserve"> </w:t>
      </w:r>
      <w:r w:rsidR="001A6097">
        <w:rPr>
          <w:rFonts w:ascii="Arial" w:hAnsi="Arial" w:cs="Arial"/>
          <w:sz w:val="48"/>
        </w:rPr>
        <w:t>2020</w:t>
      </w:r>
    </w:p>
    <w:p w:rsidR="00314885" w:rsidRPr="00314885" w:rsidP="00314885">
      <w:pPr>
        <w:spacing w:before="120"/>
        <w:rPr>
          <w:rFonts w:ascii="Arial" w:hAnsi="Arial" w:cs="Arial"/>
          <w:sz w:val="48"/>
        </w:rPr>
      </w:pPr>
    </w:p>
    <w:p w:rsidR="00314885" w:rsidRPr="00314885" w:rsidP="00314885">
      <w:pPr>
        <w:spacing w:before="120"/>
        <w:rPr>
          <w:rFonts w:ascii="Arial" w:hAnsi="Arial" w:cs="Arial"/>
          <w:sz w:val="48"/>
        </w:rPr>
      </w:pPr>
    </w:p>
    <w:p w:rsidR="00314885" w:rsidRPr="00314885" w:rsidP="00314885">
      <w:pPr>
        <w:spacing w:before="120"/>
        <w:rPr>
          <w:rFonts w:ascii="Arial" w:hAnsi="Arial" w:cs="Arial"/>
          <w:sz w:val="48"/>
        </w:rPr>
      </w:pPr>
    </w:p>
    <w:p w:rsidR="00314885" w:rsidRPr="00314885" w:rsidP="00314885">
      <w:pPr>
        <w:spacing w:before="120"/>
        <w:rPr>
          <w:rFonts w:ascii="Arial" w:hAnsi="Arial" w:cs="Arial"/>
          <w:sz w:val="48"/>
        </w:rPr>
      </w:pPr>
    </w:p>
    <w:p w:rsidR="00314885" w:rsidRPr="00314885" w:rsidP="00314885">
      <w:pPr>
        <w:spacing w:before="120"/>
        <w:rPr>
          <w:rFonts w:ascii="Arial" w:hAnsi="Arial" w:cs="Arial"/>
          <w:sz w:val="48"/>
        </w:rPr>
      </w:pPr>
    </w:p>
    <w:p w:rsidR="00314885" w:rsidRPr="00314885" w:rsidP="00314885">
      <w:pPr>
        <w:spacing w:before="120"/>
        <w:rPr>
          <w:rFonts w:ascii="Arial" w:hAnsi="Arial" w:cs="Arial"/>
          <w:sz w:val="48"/>
        </w:rPr>
      </w:pPr>
    </w:p>
    <w:p w:rsidR="00314885" w:rsidRPr="00314885" w:rsidP="00314885">
      <w:pPr>
        <w:spacing w:before="120"/>
        <w:rPr>
          <w:rFonts w:ascii="Arial" w:hAnsi="Arial" w:cs="Arial"/>
          <w:sz w:val="48"/>
        </w:rPr>
      </w:pPr>
    </w:p>
    <w:p w:rsidR="00314885" w:rsidRPr="00314885" w:rsidP="00314885">
      <w:pPr>
        <w:spacing w:before="120"/>
        <w:jc w:val="right"/>
        <w:rPr>
          <w:rFonts w:ascii="Arial" w:hAnsi="Arial" w:cs="Arial"/>
          <w:sz w:val="48"/>
        </w:rPr>
      </w:pPr>
    </w:p>
    <w:p w:rsidR="00314885" w:rsidRPr="00314885" w:rsidP="00314885">
      <w:pPr>
        <w:rPr>
          <w:rFonts w:ascii="Arial" w:hAnsi="Arial" w:cs="Arial"/>
        </w:rPr>
      </w:pPr>
    </w:p>
    <w:p w:rsidR="00314885" w:rsidRPr="00314885" w:rsidP="00314885">
      <w:pPr>
        <w:rPr>
          <w:rFonts w:ascii="Arial" w:hAnsi="Arial" w:cs="Arial"/>
        </w:rPr>
        <w:sectPr w:rsidSect="00C24983">
          <w:headerReference w:type="even" r:id="rId8"/>
          <w:headerReference w:type="default" r:id="rId9"/>
          <w:footerReference w:type="even" r:id="rId10"/>
          <w:footerReference w:type="default" r:id="rId11"/>
          <w:headerReference w:type="first" r:id="rId12"/>
          <w:footerReference w:type="first" r:id="rId13"/>
          <w:pgSz w:w="11900" w:h="16840"/>
          <w:pgMar w:top="851" w:right="1127" w:bottom="426" w:left="993" w:header="720" w:footer="720" w:gutter="0"/>
          <w:cols w:space="720"/>
          <w:docGrid w:linePitch="360"/>
        </w:sectPr>
      </w:pPr>
    </w:p>
    <w:p w:rsidR="00314885" w:rsidRPr="00314885" w:rsidP="00C24983">
      <w:pPr>
        <w:pStyle w:val="TOC1"/>
      </w:pPr>
    </w:p>
    <w:sdt>
      <w:sdtPr>
        <w:rPr>
          <w:rFonts w:asciiTheme="minorHAnsi" w:eastAsiaTheme="minorEastAsia" w:hAnsiTheme="minorHAnsi" w:cstheme="minorBidi"/>
          <w:color w:val="auto"/>
          <w:sz w:val="22"/>
          <w:szCs w:val="22"/>
        </w:rPr>
        <w:id w:val="-1191606694"/>
        <w:docPartObj>
          <w:docPartGallery w:val="Table of Contents"/>
          <w:docPartUnique/>
        </w:docPartObj>
      </w:sdtPr>
      <w:sdtEndPr>
        <w:rPr>
          <w:b/>
          <w:bCs/>
          <w:noProof/>
          <w:sz w:val="40"/>
          <w:szCs w:val="40"/>
        </w:rPr>
      </w:sdtEndPr>
      <w:sdtContent>
        <w:p w:rsidR="003F2CB3" w:rsidRPr="00C24983">
          <w:pPr>
            <w:pStyle w:val="TOCHeading"/>
            <w:rPr>
              <w:sz w:val="48"/>
              <w:szCs w:val="48"/>
            </w:rPr>
          </w:pPr>
          <w:r w:rsidRPr="00C24983">
            <w:rPr>
              <w:sz w:val="48"/>
              <w:szCs w:val="48"/>
            </w:rPr>
            <w:t>Contents</w:t>
          </w:r>
        </w:p>
        <w:p w:rsidR="007B7EEA">
          <w:pPr>
            <w:pStyle w:val="TOC1"/>
            <w:rPr>
              <w:noProof/>
              <w:lang w:eastAsia="en-GB"/>
            </w:rPr>
          </w:pPr>
          <w:r w:rsidRPr="00C24983">
            <w:rPr>
              <w:b/>
              <w:bCs/>
              <w:noProof/>
              <w:sz w:val="40"/>
              <w:szCs w:val="40"/>
            </w:rPr>
            <w:fldChar w:fldCharType="begin"/>
          </w:r>
          <w:r w:rsidRPr="00C24983">
            <w:rPr>
              <w:b/>
              <w:bCs/>
              <w:noProof/>
              <w:sz w:val="40"/>
              <w:szCs w:val="40"/>
            </w:rPr>
            <w:instrText xml:space="preserve"> TOC \o "1-3" \h \z \u </w:instrText>
          </w:r>
          <w:r w:rsidRPr="00C24983">
            <w:rPr>
              <w:b/>
              <w:bCs/>
              <w:noProof/>
              <w:sz w:val="40"/>
              <w:szCs w:val="40"/>
            </w:rPr>
            <w:fldChar w:fldCharType="separate"/>
          </w:r>
          <w:r>
            <w:fldChar w:fldCharType="begin"/>
          </w:r>
          <w:r>
            <w:instrText xml:space="preserve"> HYPERLINK \l "_Toc37244799" </w:instrText>
          </w:r>
          <w:r>
            <w:fldChar w:fldCharType="separate"/>
          </w:r>
          <w:r w:rsidRPr="00DB06A2">
            <w:rPr>
              <w:rStyle w:val="Hyperlink"/>
              <w:rFonts w:ascii="Arial" w:hAnsi="Arial" w:cs="Arial"/>
              <w:noProof/>
            </w:rPr>
            <w:t>Overview</w:t>
          </w:r>
          <w:r>
            <w:rPr>
              <w:noProof/>
              <w:webHidden/>
            </w:rPr>
            <w:tab/>
          </w:r>
          <w:r>
            <w:rPr>
              <w:noProof/>
              <w:webHidden/>
            </w:rPr>
            <w:fldChar w:fldCharType="begin"/>
          </w:r>
          <w:r>
            <w:rPr>
              <w:noProof/>
              <w:webHidden/>
            </w:rPr>
            <w:instrText xml:space="preserve"> PAGEREF _Toc37244799 \h </w:instrText>
          </w:r>
          <w:r>
            <w:rPr>
              <w:noProof/>
              <w:webHidden/>
            </w:rPr>
            <w:fldChar w:fldCharType="separate"/>
          </w:r>
          <w:r w:rsidR="00897540">
            <w:rPr>
              <w:noProof/>
              <w:webHidden/>
            </w:rPr>
            <w:t>3</w:t>
          </w:r>
          <w:r>
            <w:rPr>
              <w:noProof/>
              <w:webHidden/>
            </w:rPr>
            <w:fldChar w:fldCharType="end"/>
          </w:r>
          <w:r>
            <w:fldChar w:fldCharType="end"/>
          </w:r>
        </w:p>
        <w:p w:rsidR="007B7EEA">
          <w:pPr>
            <w:pStyle w:val="TOC2"/>
            <w:tabs>
              <w:tab w:val="right" w:leader="dot" w:pos="9016"/>
            </w:tabs>
            <w:rPr>
              <w:noProof/>
              <w:lang w:eastAsia="en-GB"/>
            </w:rPr>
          </w:pPr>
          <w:r>
            <w:fldChar w:fldCharType="begin"/>
          </w:r>
          <w:r>
            <w:instrText xml:space="preserve"> HYPERLINK \l "_Toc37244800" </w:instrText>
          </w:r>
          <w:r>
            <w:fldChar w:fldCharType="separate"/>
          </w:r>
          <w:r w:rsidRPr="00DB06A2">
            <w:rPr>
              <w:rStyle w:val="Hyperlink"/>
              <w:rFonts w:ascii="Arial" w:hAnsi="Arial" w:cs="Arial"/>
              <w:noProof/>
            </w:rPr>
            <w:t>Objectives</w:t>
          </w:r>
          <w:r>
            <w:rPr>
              <w:noProof/>
              <w:webHidden/>
            </w:rPr>
            <w:tab/>
          </w:r>
          <w:r>
            <w:rPr>
              <w:noProof/>
              <w:webHidden/>
            </w:rPr>
            <w:fldChar w:fldCharType="begin"/>
          </w:r>
          <w:r>
            <w:rPr>
              <w:noProof/>
              <w:webHidden/>
            </w:rPr>
            <w:instrText xml:space="preserve"> PAGEREF _Toc37244800 \h </w:instrText>
          </w:r>
          <w:r>
            <w:rPr>
              <w:noProof/>
              <w:webHidden/>
            </w:rPr>
            <w:fldChar w:fldCharType="separate"/>
          </w:r>
          <w:r w:rsidR="00897540">
            <w:rPr>
              <w:noProof/>
              <w:webHidden/>
            </w:rPr>
            <w:t>3</w:t>
          </w:r>
          <w:r>
            <w:rPr>
              <w:noProof/>
              <w:webHidden/>
            </w:rPr>
            <w:fldChar w:fldCharType="end"/>
          </w:r>
          <w:r>
            <w:fldChar w:fldCharType="end"/>
          </w:r>
        </w:p>
        <w:p w:rsidR="007B7EEA">
          <w:pPr>
            <w:pStyle w:val="TOC2"/>
            <w:tabs>
              <w:tab w:val="right" w:leader="dot" w:pos="9016"/>
            </w:tabs>
            <w:rPr>
              <w:noProof/>
              <w:lang w:eastAsia="en-GB"/>
            </w:rPr>
          </w:pPr>
          <w:r>
            <w:fldChar w:fldCharType="begin"/>
          </w:r>
          <w:r>
            <w:instrText xml:space="preserve"> HYPERLINK \l "_Toc37244801" </w:instrText>
          </w:r>
          <w:r>
            <w:fldChar w:fldCharType="separate"/>
          </w:r>
          <w:r w:rsidRPr="00DB06A2">
            <w:rPr>
              <w:rStyle w:val="Hyperlink"/>
              <w:rFonts w:ascii="Arial" w:hAnsi="Arial" w:cs="Arial"/>
              <w:noProof/>
            </w:rPr>
            <w:t>Spending controls</w:t>
          </w:r>
          <w:r>
            <w:rPr>
              <w:noProof/>
              <w:webHidden/>
            </w:rPr>
            <w:tab/>
          </w:r>
          <w:r>
            <w:rPr>
              <w:noProof/>
              <w:webHidden/>
            </w:rPr>
            <w:fldChar w:fldCharType="begin"/>
          </w:r>
          <w:r>
            <w:rPr>
              <w:noProof/>
              <w:webHidden/>
            </w:rPr>
            <w:instrText xml:space="preserve"> PAGEREF _Toc37244801 \h </w:instrText>
          </w:r>
          <w:r>
            <w:rPr>
              <w:noProof/>
              <w:webHidden/>
            </w:rPr>
            <w:fldChar w:fldCharType="separate"/>
          </w:r>
          <w:r w:rsidR="00897540">
            <w:rPr>
              <w:noProof/>
              <w:webHidden/>
            </w:rPr>
            <w:t>5</w:t>
          </w:r>
          <w:r>
            <w:rPr>
              <w:noProof/>
              <w:webHidden/>
            </w:rPr>
            <w:fldChar w:fldCharType="end"/>
          </w:r>
          <w:r>
            <w:fldChar w:fldCharType="end"/>
          </w:r>
        </w:p>
        <w:p w:rsidR="007B7EEA">
          <w:pPr>
            <w:pStyle w:val="TOC2"/>
            <w:tabs>
              <w:tab w:val="right" w:leader="dot" w:pos="9016"/>
            </w:tabs>
            <w:rPr>
              <w:noProof/>
              <w:lang w:eastAsia="en-GB"/>
            </w:rPr>
          </w:pPr>
          <w:r>
            <w:fldChar w:fldCharType="begin"/>
          </w:r>
          <w:r>
            <w:instrText xml:space="preserve"> HYPERLINK \l "_Toc37244802" </w:instrText>
          </w:r>
          <w:r>
            <w:fldChar w:fldCharType="separate"/>
          </w:r>
          <w:r w:rsidRPr="00DB06A2">
            <w:rPr>
              <w:rStyle w:val="Hyperlink"/>
              <w:rFonts w:ascii="Arial" w:hAnsi="Arial" w:cs="Arial"/>
              <w:noProof/>
            </w:rPr>
            <w:t>Comparison of net spending totals sought</w:t>
          </w:r>
          <w:r>
            <w:rPr>
              <w:noProof/>
              <w:webHidden/>
            </w:rPr>
            <w:tab/>
          </w:r>
          <w:r>
            <w:rPr>
              <w:noProof/>
              <w:webHidden/>
            </w:rPr>
            <w:fldChar w:fldCharType="begin"/>
          </w:r>
          <w:r>
            <w:rPr>
              <w:noProof/>
              <w:webHidden/>
            </w:rPr>
            <w:instrText xml:space="preserve"> PAGEREF _Toc37244802 \h </w:instrText>
          </w:r>
          <w:r>
            <w:rPr>
              <w:noProof/>
              <w:webHidden/>
            </w:rPr>
            <w:fldChar w:fldCharType="separate"/>
          </w:r>
          <w:r w:rsidR="00897540">
            <w:rPr>
              <w:noProof/>
              <w:webHidden/>
            </w:rPr>
            <w:t>5</w:t>
          </w:r>
          <w:r>
            <w:rPr>
              <w:noProof/>
              <w:webHidden/>
            </w:rPr>
            <w:fldChar w:fldCharType="end"/>
          </w:r>
          <w:r>
            <w:fldChar w:fldCharType="end"/>
          </w:r>
        </w:p>
        <w:p w:rsidR="007B7EEA">
          <w:pPr>
            <w:pStyle w:val="TOC2"/>
            <w:tabs>
              <w:tab w:val="right" w:leader="dot" w:pos="9016"/>
            </w:tabs>
            <w:rPr>
              <w:noProof/>
              <w:lang w:eastAsia="en-GB"/>
            </w:rPr>
          </w:pPr>
          <w:r>
            <w:fldChar w:fldCharType="begin"/>
          </w:r>
          <w:r>
            <w:instrText xml:space="preserve"> HYPERLINK \l "_Toc37244803" </w:instrText>
          </w:r>
          <w:r>
            <w:fldChar w:fldCharType="separate"/>
          </w:r>
          <w:r w:rsidRPr="00DB06A2">
            <w:rPr>
              <w:rStyle w:val="Hyperlink"/>
              <w:rFonts w:ascii="Arial" w:hAnsi="Arial" w:cs="Arial"/>
              <w:noProof/>
            </w:rPr>
            <w:t>Ambit changes</w:t>
          </w:r>
          <w:r>
            <w:rPr>
              <w:noProof/>
              <w:webHidden/>
            </w:rPr>
            <w:tab/>
          </w:r>
          <w:r>
            <w:rPr>
              <w:noProof/>
              <w:webHidden/>
            </w:rPr>
            <w:fldChar w:fldCharType="begin"/>
          </w:r>
          <w:r>
            <w:rPr>
              <w:noProof/>
              <w:webHidden/>
            </w:rPr>
            <w:instrText xml:space="preserve"> PAGEREF _Toc37244803 \h </w:instrText>
          </w:r>
          <w:r>
            <w:rPr>
              <w:noProof/>
              <w:webHidden/>
            </w:rPr>
            <w:fldChar w:fldCharType="separate"/>
          </w:r>
          <w:r w:rsidR="00897540">
            <w:rPr>
              <w:noProof/>
              <w:webHidden/>
            </w:rPr>
            <w:t>6</w:t>
          </w:r>
          <w:r>
            <w:rPr>
              <w:noProof/>
              <w:webHidden/>
            </w:rPr>
            <w:fldChar w:fldCharType="end"/>
          </w:r>
          <w:r>
            <w:fldChar w:fldCharType="end"/>
          </w:r>
        </w:p>
        <w:p w:rsidR="007B7EEA">
          <w:pPr>
            <w:pStyle w:val="TOC2"/>
            <w:tabs>
              <w:tab w:val="right" w:leader="dot" w:pos="9016"/>
            </w:tabs>
            <w:rPr>
              <w:noProof/>
              <w:lang w:eastAsia="en-GB"/>
            </w:rPr>
          </w:pPr>
          <w:r>
            <w:fldChar w:fldCharType="begin"/>
          </w:r>
          <w:r>
            <w:instrText xml:space="preserve"> HYPERLINK \l "_Toc37244804" </w:instrText>
          </w:r>
          <w:r>
            <w:fldChar w:fldCharType="separate"/>
          </w:r>
          <w:r w:rsidRPr="00DB06A2">
            <w:rPr>
              <w:rStyle w:val="Hyperlink"/>
              <w:rFonts w:ascii="Arial" w:hAnsi="Arial" w:cs="Arial"/>
              <w:noProof/>
            </w:rPr>
            <w:t>Change in accounting policy</w:t>
          </w:r>
          <w:r>
            <w:rPr>
              <w:noProof/>
              <w:webHidden/>
            </w:rPr>
            <w:tab/>
          </w:r>
          <w:r>
            <w:rPr>
              <w:noProof/>
              <w:webHidden/>
            </w:rPr>
            <w:fldChar w:fldCharType="begin"/>
          </w:r>
          <w:r>
            <w:rPr>
              <w:noProof/>
              <w:webHidden/>
            </w:rPr>
            <w:instrText xml:space="preserve"> PAGEREF _Toc37244804 \h </w:instrText>
          </w:r>
          <w:r>
            <w:rPr>
              <w:noProof/>
              <w:webHidden/>
            </w:rPr>
            <w:fldChar w:fldCharType="separate"/>
          </w:r>
          <w:r w:rsidR="00897540">
            <w:rPr>
              <w:noProof/>
              <w:webHidden/>
            </w:rPr>
            <w:t>6</w:t>
          </w:r>
          <w:r>
            <w:rPr>
              <w:noProof/>
              <w:webHidden/>
            </w:rPr>
            <w:fldChar w:fldCharType="end"/>
          </w:r>
          <w:r>
            <w:fldChar w:fldCharType="end"/>
          </w:r>
        </w:p>
        <w:p w:rsidR="007B7EEA">
          <w:pPr>
            <w:pStyle w:val="TOC2"/>
            <w:tabs>
              <w:tab w:val="right" w:leader="dot" w:pos="9016"/>
            </w:tabs>
            <w:rPr>
              <w:noProof/>
              <w:lang w:eastAsia="en-GB"/>
            </w:rPr>
          </w:pPr>
          <w:r>
            <w:fldChar w:fldCharType="begin"/>
          </w:r>
          <w:r>
            <w:instrText xml:space="preserve"> HYPERLINK \l "_Toc37244805" </w:instrText>
          </w:r>
          <w:r>
            <w:fldChar w:fldCharType="separate"/>
          </w:r>
          <w:r w:rsidRPr="00DB06A2">
            <w:rPr>
              <w:rStyle w:val="Hyperlink"/>
              <w:rFonts w:ascii="Arial" w:hAnsi="Arial" w:cs="Arial"/>
              <w:noProof/>
            </w:rPr>
            <w:t>Expenditure drivers, trends and efficiency plans</w:t>
          </w:r>
          <w:r>
            <w:rPr>
              <w:noProof/>
              <w:webHidden/>
            </w:rPr>
            <w:tab/>
          </w:r>
          <w:r>
            <w:rPr>
              <w:noProof/>
              <w:webHidden/>
            </w:rPr>
            <w:fldChar w:fldCharType="begin"/>
          </w:r>
          <w:r>
            <w:rPr>
              <w:noProof/>
              <w:webHidden/>
            </w:rPr>
            <w:instrText xml:space="preserve"> PAGEREF _Toc37244805 \h </w:instrText>
          </w:r>
          <w:r>
            <w:rPr>
              <w:noProof/>
              <w:webHidden/>
            </w:rPr>
            <w:fldChar w:fldCharType="separate"/>
          </w:r>
          <w:r w:rsidR="00897540">
            <w:rPr>
              <w:noProof/>
              <w:webHidden/>
            </w:rPr>
            <w:t>6</w:t>
          </w:r>
          <w:r>
            <w:rPr>
              <w:noProof/>
              <w:webHidden/>
            </w:rPr>
            <w:fldChar w:fldCharType="end"/>
          </w:r>
          <w:r>
            <w:fldChar w:fldCharType="end"/>
          </w:r>
        </w:p>
        <w:p w:rsidR="007B7EEA">
          <w:pPr>
            <w:pStyle w:val="TOC2"/>
            <w:tabs>
              <w:tab w:val="right" w:leader="dot" w:pos="9016"/>
            </w:tabs>
            <w:rPr>
              <w:noProof/>
              <w:lang w:eastAsia="en-GB"/>
            </w:rPr>
          </w:pPr>
          <w:r>
            <w:fldChar w:fldCharType="begin"/>
          </w:r>
          <w:r>
            <w:instrText xml:space="preserve"> HYPERLINK \l "_Toc37244806" </w:instrText>
          </w:r>
          <w:r>
            <w:fldChar w:fldCharType="separate"/>
          </w:r>
          <w:r w:rsidRPr="00DB06A2">
            <w:rPr>
              <w:rStyle w:val="Hyperlink"/>
              <w:rFonts w:ascii="Arial" w:hAnsi="Arial" w:cs="Arial"/>
              <w:noProof/>
            </w:rPr>
            <w:t>Ringfenced budgets</w:t>
          </w:r>
          <w:r>
            <w:rPr>
              <w:noProof/>
              <w:webHidden/>
            </w:rPr>
            <w:tab/>
          </w:r>
          <w:r>
            <w:rPr>
              <w:noProof/>
              <w:webHidden/>
            </w:rPr>
            <w:fldChar w:fldCharType="begin"/>
          </w:r>
          <w:r>
            <w:rPr>
              <w:noProof/>
              <w:webHidden/>
            </w:rPr>
            <w:instrText xml:space="preserve"> PAGEREF _Toc37244806 \h </w:instrText>
          </w:r>
          <w:r>
            <w:rPr>
              <w:noProof/>
              <w:webHidden/>
            </w:rPr>
            <w:fldChar w:fldCharType="separate"/>
          </w:r>
          <w:r w:rsidR="00897540">
            <w:rPr>
              <w:noProof/>
              <w:webHidden/>
            </w:rPr>
            <w:t>8</w:t>
          </w:r>
          <w:r>
            <w:rPr>
              <w:noProof/>
              <w:webHidden/>
            </w:rPr>
            <w:fldChar w:fldCharType="end"/>
          </w:r>
          <w:r>
            <w:fldChar w:fldCharType="end"/>
          </w:r>
        </w:p>
        <w:p w:rsidR="007B7EEA">
          <w:pPr>
            <w:pStyle w:val="TOC2"/>
            <w:tabs>
              <w:tab w:val="right" w:leader="dot" w:pos="9016"/>
            </w:tabs>
            <w:rPr>
              <w:noProof/>
              <w:lang w:eastAsia="en-GB"/>
            </w:rPr>
          </w:pPr>
          <w:r>
            <w:fldChar w:fldCharType="begin"/>
          </w:r>
          <w:r>
            <w:instrText xml:space="preserve"> HYPERLINK \l "_Toc37244807" </w:instrText>
          </w:r>
          <w:r>
            <w:fldChar w:fldCharType="separate"/>
          </w:r>
          <w:r w:rsidRPr="00DB06A2">
            <w:rPr>
              <w:rStyle w:val="Hyperlink"/>
              <w:rFonts w:ascii="Arial" w:hAnsi="Arial" w:cs="Arial"/>
              <w:noProof/>
            </w:rPr>
            <w:t>Contingent liabilities</w:t>
          </w:r>
          <w:r>
            <w:rPr>
              <w:noProof/>
              <w:webHidden/>
            </w:rPr>
            <w:tab/>
          </w:r>
          <w:r>
            <w:rPr>
              <w:noProof/>
              <w:webHidden/>
            </w:rPr>
            <w:fldChar w:fldCharType="begin"/>
          </w:r>
          <w:r>
            <w:rPr>
              <w:noProof/>
              <w:webHidden/>
            </w:rPr>
            <w:instrText xml:space="preserve"> PAGEREF _Toc37244807 \h </w:instrText>
          </w:r>
          <w:r>
            <w:rPr>
              <w:noProof/>
              <w:webHidden/>
            </w:rPr>
            <w:fldChar w:fldCharType="separate"/>
          </w:r>
          <w:r w:rsidR="00897540">
            <w:rPr>
              <w:noProof/>
              <w:webHidden/>
            </w:rPr>
            <w:t>8</w:t>
          </w:r>
          <w:r>
            <w:rPr>
              <w:noProof/>
              <w:webHidden/>
            </w:rPr>
            <w:fldChar w:fldCharType="end"/>
          </w:r>
          <w:r>
            <w:fldChar w:fldCharType="end"/>
          </w:r>
        </w:p>
        <w:p w:rsidR="007B7EEA">
          <w:pPr>
            <w:pStyle w:val="TOC1"/>
            <w:rPr>
              <w:noProof/>
              <w:lang w:eastAsia="en-GB"/>
            </w:rPr>
          </w:pPr>
          <w:r>
            <w:fldChar w:fldCharType="begin"/>
          </w:r>
          <w:r>
            <w:instrText xml:space="preserve"> HYPERLINK \l "_Toc37244808" </w:instrText>
          </w:r>
          <w:r>
            <w:fldChar w:fldCharType="separate"/>
          </w:r>
          <w:r w:rsidRPr="00DB06A2">
            <w:rPr>
              <w:rStyle w:val="Hyperlink"/>
              <w:rFonts w:ascii="Arial" w:hAnsi="Arial" w:cs="Arial"/>
              <w:noProof/>
            </w:rPr>
            <w:t>Priorities and performance</w:t>
          </w:r>
          <w:r>
            <w:rPr>
              <w:noProof/>
              <w:webHidden/>
            </w:rPr>
            <w:tab/>
          </w:r>
          <w:r>
            <w:rPr>
              <w:noProof/>
              <w:webHidden/>
            </w:rPr>
            <w:fldChar w:fldCharType="begin"/>
          </w:r>
          <w:r>
            <w:rPr>
              <w:noProof/>
              <w:webHidden/>
            </w:rPr>
            <w:instrText xml:space="preserve"> PAGEREF _Toc37244808 \h </w:instrText>
          </w:r>
          <w:r>
            <w:rPr>
              <w:noProof/>
              <w:webHidden/>
            </w:rPr>
            <w:fldChar w:fldCharType="separate"/>
          </w:r>
          <w:r w:rsidR="00897540">
            <w:rPr>
              <w:noProof/>
              <w:webHidden/>
            </w:rPr>
            <w:t>8</w:t>
          </w:r>
          <w:r>
            <w:rPr>
              <w:noProof/>
              <w:webHidden/>
            </w:rPr>
            <w:fldChar w:fldCharType="end"/>
          </w:r>
          <w:r>
            <w:fldChar w:fldCharType="end"/>
          </w:r>
        </w:p>
        <w:p w:rsidR="007B7EEA">
          <w:pPr>
            <w:pStyle w:val="TOC2"/>
            <w:tabs>
              <w:tab w:val="right" w:leader="dot" w:pos="9016"/>
            </w:tabs>
            <w:rPr>
              <w:noProof/>
              <w:lang w:eastAsia="en-GB"/>
            </w:rPr>
          </w:pPr>
          <w:r>
            <w:fldChar w:fldCharType="begin"/>
          </w:r>
          <w:r>
            <w:instrText xml:space="preserve"> HYPERLINK \l "_Toc37244809" </w:instrText>
          </w:r>
          <w:r>
            <w:fldChar w:fldCharType="separate"/>
          </w:r>
          <w:r w:rsidRPr="00DB06A2">
            <w:rPr>
              <w:rStyle w:val="Hyperlink"/>
              <w:rFonts w:ascii="Arial" w:hAnsi="Arial" w:cs="Arial"/>
              <w:noProof/>
            </w:rPr>
            <w:t>How spending relates to objectives</w:t>
          </w:r>
          <w:r>
            <w:rPr>
              <w:noProof/>
              <w:webHidden/>
            </w:rPr>
            <w:tab/>
          </w:r>
          <w:r>
            <w:rPr>
              <w:noProof/>
              <w:webHidden/>
            </w:rPr>
            <w:fldChar w:fldCharType="begin"/>
          </w:r>
          <w:r>
            <w:rPr>
              <w:noProof/>
              <w:webHidden/>
            </w:rPr>
            <w:instrText xml:space="preserve"> PAGEREF _Toc37244809 \h </w:instrText>
          </w:r>
          <w:r>
            <w:rPr>
              <w:noProof/>
              <w:webHidden/>
            </w:rPr>
            <w:fldChar w:fldCharType="separate"/>
          </w:r>
          <w:r w:rsidR="00897540">
            <w:rPr>
              <w:noProof/>
              <w:webHidden/>
            </w:rPr>
            <w:t>8</w:t>
          </w:r>
          <w:r>
            <w:rPr>
              <w:noProof/>
              <w:webHidden/>
            </w:rPr>
            <w:fldChar w:fldCharType="end"/>
          </w:r>
          <w:r>
            <w:fldChar w:fldCharType="end"/>
          </w:r>
        </w:p>
        <w:p w:rsidR="007B7EEA">
          <w:pPr>
            <w:pStyle w:val="TOC2"/>
            <w:tabs>
              <w:tab w:val="right" w:leader="dot" w:pos="9016"/>
            </w:tabs>
            <w:rPr>
              <w:noProof/>
              <w:lang w:eastAsia="en-GB"/>
            </w:rPr>
          </w:pPr>
          <w:r>
            <w:fldChar w:fldCharType="begin"/>
          </w:r>
          <w:r>
            <w:instrText xml:space="preserve"> HYPERLINK \l "_Toc37244810" </w:instrText>
          </w:r>
          <w:r>
            <w:fldChar w:fldCharType="separate"/>
          </w:r>
          <w:r w:rsidRPr="00DB06A2">
            <w:rPr>
              <w:rStyle w:val="Hyperlink"/>
              <w:rFonts w:ascii="Arial" w:hAnsi="Arial" w:cs="Arial"/>
              <w:noProof/>
            </w:rPr>
            <w:t>Performance: measuring our impact</w:t>
          </w:r>
          <w:r>
            <w:rPr>
              <w:noProof/>
              <w:webHidden/>
            </w:rPr>
            <w:tab/>
          </w:r>
          <w:r>
            <w:rPr>
              <w:noProof/>
              <w:webHidden/>
            </w:rPr>
            <w:fldChar w:fldCharType="begin"/>
          </w:r>
          <w:r>
            <w:rPr>
              <w:noProof/>
              <w:webHidden/>
            </w:rPr>
            <w:instrText xml:space="preserve"> PAGEREF _Toc37244810 \h </w:instrText>
          </w:r>
          <w:r>
            <w:rPr>
              <w:noProof/>
              <w:webHidden/>
            </w:rPr>
            <w:fldChar w:fldCharType="separate"/>
          </w:r>
          <w:r w:rsidR="00897540">
            <w:rPr>
              <w:noProof/>
              <w:webHidden/>
            </w:rPr>
            <w:t>9</w:t>
          </w:r>
          <w:r>
            <w:rPr>
              <w:noProof/>
              <w:webHidden/>
            </w:rPr>
            <w:fldChar w:fldCharType="end"/>
          </w:r>
          <w:r>
            <w:fldChar w:fldCharType="end"/>
          </w:r>
        </w:p>
        <w:p w:rsidR="007B7EEA">
          <w:pPr>
            <w:pStyle w:val="TOC2"/>
            <w:tabs>
              <w:tab w:val="right" w:leader="dot" w:pos="9016"/>
            </w:tabs>
            <w:rPr>
              <w:noProof/>
              <w:lang w:eastAsia="en-GB"/>
            </w:rPr>
          </w:pPr>
          <w:r>
            <w:fldChar w:fldCharType="begin"/>
          </w:r>
          <w:r>
            <w:instrText xml:space="preserve"> HYPERLINK \l "_Toc37244811" </w:instrText>
          </w:r>
          <w:r>
            <w:fldChar w:fldCharType="separate"/>
          </w:r>
          <w:r w:rsidRPr="00DB06A2">
            <w:rPr>
              <w:rStyle w:val="Hyperlink"/>
              <w:rFonts w:ascii="Arial" w:hAnsi="Arial" w:cs="Arial"/>
              <w:noProof/>
            </w:rPr>
            <w:t>Ofqual Accounting Officer</w:t>
          </w:r>
          <w:r>
            <w:rPr>
              <w:noProof/>
              <w:webHidden/>
            </w:rPr>
            <w:tab/>
          </w:r>
          <w:r>
            <w:rPr>
              <w:noProof/>
              <w:webHidden/>
            </w:rPr>
            <w:fldChar w:fldCharType="begin"/>
          </w:r>
          <w:r>
            <w:rPr>
              <w:noProof/>
              <w:webHidden/>
            </w:rPr>
            <w:instrText xml:space="preserve"> PAGEREF _Toc37244811 \h </w:instrText>
          </w:r>
          <w:r>
            <w:rPr>
              <w:noProof/>
              <w:webHidden/>
            </w:rPr>
            <w:fldChar w:fldCharType="separate"/>
          </w:r>
          <w:r w:rsidR="00897540">
            <w:rPr>
              <w:noProof/>
              <w:webHidden/>
            </w:rPr>
            <w:t>9</w:t>
          </w:r>
          <w:r>
            <w:rPr>
              <w:noProof/>
              <w:webHidden/>
            </w:rPr>
            <w:fldChar w:fldCharType="end"/>
          </w:r>
          <w:r>
            <w:fldChar w:fldCharType="end"/>
          </w:r>
        </w:p>
        <w:p w:rsidR="003F2CB3" w:rsidRPr="00834B90">
          <w:pPr>
            <w:rPr>
              <w:sz w:val="40"/>
              <w:szCs w:val="40"/>
            </w:rPr>
          </w:pPr>
          <w:r w:rsidRPr="00C24983">
            <w:rPr>
              <w:b/>
              <w:bCs/>
              <w:noProof/>
              <w:sz w:val="40"/>
              <w:szCs w:val="40"/>
            </w:rPr>
            <w:fldChar w:fldCharType="end"/>
          </w:r>
        </w:p>
      </w:sdtContent>
    </w:sdt>
    <w:p w:rsidR="00FE33BD" w:rsidRPr="00834B90" w:rsidP="008554A9">
      <w:pPr>
        <w:pStyle w:val="Heading2"/>
        <w:rPr>
          <w:rFonts w:ascii="Arial" w:hAnsi="Arial" w:cs="Arial"/>
          <w:sz w:val="40"/>
          <w:szCs w:val="40"/>
        </w:rPr>
      </w:pPr>
    </w:p>
    <w:p w:rsidR="003F2CB3" w:rsidP="008554A9">
      <w:pPr>
        <w:pStyle w:val="Heading2"/>
        <w:rPr>
          <w:rFonts w:ascii="Arial" w:hAnsi="Arial" w:cs="Arial"/>
        </w:rPr>
        <w:sectPr w:rsidSect="00CA2CEC">
          <w:headerReference w:type="even" r:id="rId14"/>
          <w:headerReference w:type="default" r:id="rId15"/>
          <w:headerReference w:type="first" r:id="rId16"/>
          <w:pgSz w:w="11906" w:h="16838"/>
          <w:pgMar w:top="1440" w:right="1440" w:bottom="1440" w:left="1440" w:header="708" w:footer="708" w:gutter="0"/>
          <w:cols w:space="708"/>
          <w:docGrid w:linePitch="360"/>
        </w:sectPr>
      </w:pPr>
    </w:p>
    <w:p w:rsidR="00FE33BD" w:rsidRPr="00834B90" w:rsidP="00AF3E71">
      <w:pPr>
        <w:pStyle w:val="Heading1"/>
        <w:spacing w:after="120"/>
        <w:jc w:val="both"/>
        <w:rPr>
          <w:rFonts w:ascii="Arial" w:hAnsi="Arial" w:cs="Arial"/>
          <w:sz w:val="40"/>
          <w:szCs w:val="40"/>
        </w:rPr>
      </w:pPr>
      <w:bookmarkStart w:id="1" w:name="_Toc37244799"/>
      <w:r w:rsidRPr="00834B90">
        <w:rPr>
          <w:rFonts w:ascii="Arial" w:hAnsi="Arial" w:cs="Arial"/>
          <w:sz w:val="40"/>
          <w:szCs w:val="40"/>
        </w:rPr>
        <w:t>Overview</w:t>
      </w:r>
      <w:bookmarkEnd w:id="1"/>
    </w:p>
    <w:p w:rsidR="003325FE" w:rsidRPr="00834B90" w:rsidP="00AF3E71">
      <w:pPr>
        <w:pStyle w:val="Heading2"/>
        <w:ind w:firstLine="357"/>
        <w:jc w:val="both"/>
        <w:rPr>
          <w:rFonts w:ascii="Arial" w:hAnsi="Arial" w:cs="Arial"/>
          <w:sz w:val="40"/>
          <w:szCs w:val="40"/>
        </w:rPr>
      </w:pPr>
      <w:bookmarkStart w:id="2" w:name="_Toc37244800"/>
      <w:r w:rsidRPr="00834B90">
        <w:rPr>
          <w:rFonts w:ascii="Arial" w:hAnsi="Arial" w:cs="Arial"/>
          <w:sz w:val="40"/>
          <w:szCs w:val="40"/>
        </w:rPr>
        <w:t>Objectives</w:t>
      </w:r>
      <w:bookmarkEnd w:id="2"/>
    </w:p>
    <w:p w:rsidR="005C5F37" w:rsidP="00AF3E71">
      <w:pPr>
        <w:pStyle w:val="ListParagraph"/>
        <w:numPr>
          <w:ilvl w:val="0"/>
          <w:numId w:val="27"/>
        </w:numPr>
        <w:shd w:val="clear" w:color="auto" w:fill="FFFFFF"/>
        <w:spacing w:after="240" w:line="240" w:lineRule="auto"/>
        <w:ind w:left="357" w:hanging="357"/>
        <w:contextualSpacing w:val="0"/>
        <w:jc w:val="both"/>
        <w:rPr>
          <w:rFonts w:ascii="Arial" w:hAnsi="Arial" w:cs="Arial"/>
        </w:rPr>
      </w:pPr>
      <w:bookmarkStart w:id="3" w:name="_Ref533820691"/>
      <w:r w:rsidRPr="00AF3E71">
        <w:rPr>
          <w:rFonts w:ascii="Arial" w:hAnsi="Arial" w:cs="Arial"/>
        </w:rPr>
        <w:t>The Office of Qualifications and Examinations Regulation (</w:t>
      </w:r>
      <w:r w:rsidRPr="00AF3E71" w:rsidR="002069E4">
        <w:rPr>
          <w:rFonts w:ascii="Arial" w:hAnsi="Arial" w:cs="Arial"/>
        </w:rPr>
        <w:t>Ofqual</w:t>
      </w:r>
      <w:r w:rsidRPr="00AF3E71">
        <w:rPr>
          <w:rFonts w:ascii="Arial" w:hAnsi="Arial" w:cs="Arial"/>
        </w:rPr>
        <w:t>)</w:t>
      </w:r>
      <w:r w:rsidRPr="00AF3E71" w:rsidR="002069E4">
        <w:rPr>
          <w:rFonts w:ascii="Arial" w:hAnsi="Arial" w:cs="Arial"/>
        </w:rPr>
        <w:t xml:space="preserve"> is the independent qualifications regulator for England. We are a Non-Ministerial Department and we regulate</w:t>
      </w:r>
      <w:r w:rsidRPr="00AF3E71">
        <w:rPr>
          <w:rFonts w:ascii="Arial" w:hAnsi="Arial" w:cs="Arial"/>
        </w:rPr>
        <w:t xml:space="preserve"> </w:t>
      </w:r>
      <w:r w:rsidRPr="00AF3E71" w:rsidR="00B65D2B">
        <w:rPr>
          <w:rFonts w:ascii="Arial" w:hAnsi="Arial" w:cs="Arial"/>
        </w:rPr>
        <w:t>around</w:t>
      </w:r>
      <w:r w:rsidRPr="00AF3E71">
        <w:rPr>
          <w:rFonts w:ascii="Arial" w:hAnsi="Arial" w:cs="Arial"/>
        </w:rPr>
        <w:t xml:space="preserve"> 1</w:t>
      </w:r>
      <w:r w:rsidRPr="00AF3E71" w:rsidR="00E023FF">
        <w:rPr>
          <w:rFonts w:ascii="Arial" w:hAnsi="Arial" w:cs="Arial"/>
        </w:rPr>
        <w:t>6</w:t>
      </w:r>
      <w:r w:rsidRPr="00AF3E71">
        <w:rPr>
          <w:rFonts w:ascii="Arial" w:hAnsi="Arial" w:cs="Arial"/>
        </w:rPr>
        <w:t>0</w:t>
      </w:r>
      <w:r w:rsidRPr="00AF3E71" w:rsidR="002069E4">
        <w:rPr>
          <w:rFonts w:ascii="Arial" w:hAnsi="Arial" w:cs="Arial"/>
        </w:rPr>
        <w:t xml:space="preserve"> awarding organisations, and about </w:t>
      </w:r>
      <w:r w:rsidRPr="00AF3E71" w:rsidR="00B65D2B">
        <w:rPr>
          <w:rFonts w:ascii="Arial" w:hAnsi="Arial" w:cs="Arial"/>
        </w:rPr>
        <w:t>1</w:t>
      </w:r>
      <w:r w:rsidR="00EA1E2F">
        <w:rPr>
          <w:rFonts w:ascii="Arial" w:hAnsi="Arial" w:cs="Arial"/>
        </w:rPr>
        <w:t>2</w:t>
      </w:r>
      <w:r w:rsidR="00A81528">
        <w:rPr>
          <w:rFonts w:ascii="Arial" w:hAnsi="Arial" w:cs="Arial"/>
        </w:rPr>
        <w:t>,</w:t>
      </w:r>
      <w:r w:rsidR="00A553B8">
        <w:rPr>
          <w:rFonts w:ascii="Arial" w:hAnsi="Arial" w:cs="Arial"/>
        </w:rPr>
        <w:t>250</w:t>
      </w:r>
      <w:r w:rsidRPr="00AF3E71" w:rsidR="002069E4">
        <w:rPr>
          <w:rFonts w:ascii="Arial" w:hAnsi="Arial" w:cs="Arial"/>
        </w:rPr>
        <w:t xml:space="preserve"> qualifications</w:t>
      </w:r>
      <w:bookmarkEnd w:id="3"/>
      <w:r w:rsidR="00A553B8">
        <w:rPr>
          <w:rFonts w:ascii="Arial" w:hAnsi="Arial" w:cs="Arial"/>
        </w:rPr>
        <w:t xml:space="preserve"> </w:t>
      </w:r>
      <w:r w:rsidRPr="00A553B8" w:rsidR="00A553B8">
        <w:rPr>
          <w:rFonts w:ascii="Arial" w:hAnsi="Arial" w:cs="Arial"/>
        </w:rPr>
        <w:t>for which certificates were issued last year. These include GCSEs, AS and A levels, and a broad range of vocational and technical qualifications.</w:t>
      </w:r>
    </w:p>
    <w:p w:rsidR="00726264" w:rsidRPr="00AF3E71" w:rsidP="00726264">
      <w:pPr>
        <w:pStyle w:val="ListParagraph"/>
        <w:numPr>
          <w:ilvl w:val="0"/>
          <w:numId w:val="27"/>
        </w:numPr>
        <w:shd w:val="clear" w:color="auto" w:fill="FFFFFF"/>
        <w:spacing w:after="240" w:line="240" w:lineRule="auto"/>
        <w:ind w:left="357" w:hanging="357"/>
        <w:contextualSpacing w:val="0"/>
        <w:jc w:val="both"/>
        <w:rPr>
          <w:rFonts w:ascii="Arial" w:hAnsi="Arial" w:cs="Arial"/>
        </w:rPr>
      </w:pPr>
      <w:r w:rsidRPr="00AF3E71">
        <w:rPr>
          <w:rFonts w:ascii="Arial" w:hAnsi="Arial" w:cs="Arial"/>
        </w:rPr>
        <w:t xml:space="preserve">Ofqual has five statutory objectives, as set out in the </w:t>
      </w:r>
      <w:r w:rsidRPr="00AF3E71" w:rsidR="00794ECE">
        <w:rPr>
          <w:rFonts w:ascii="Arial" w:hAnsi="Arial" w:cs="Arial"/>
        </w:rPr>
        <w:t>Apprenticeships, Skills, Children and Learning Act 2009</w:t>
      </w:r>
      <w:r w:rsidR="00794ECE">
        <w:rPr>
          <w:rFonts w:ascii="Arial" w:hAnsi="Arial" w:cs="Arial"/>
        </w:rPr>
        <w:t xml:space="preserve"> (ASCLA 2009):</w:t>
      </w:r>
    </w:p>
    <w:p w:rsidR="00726264" w:rsidRPr="00AF3E71" w:rsidP="00726264">
      <w:pPr>
        <w:pStyle w:val="ListParagraph"/>
        <w:numPr>
          <w:ilvl w:val="1"/>
          <w:numId w:val="36"/>
        </w:numPr>
        <w:shd w:val="clear" w:color="auto" w:fill="FFFFFF"/>
        <w:spacing w:after="0" w:line="240" w:lineRule="auto"/>
        <w:ind w:left="1077" w:hanging="357"/>
        <w:jc w:val="both"/>
        <w:rPr>
          <w:rFonts w:ascii="Arial" w:hAnsi="Arial" w:cs="Arial"/>
        </w:rPr>
      </w:pPr>
      <w:r w:rsidRPr="00AF3E71">
        <w:rPr>
          <w:rFonts w:ascii="Arial" w:hAnsi="Arial" w:cs="Arial"/>
        </w:rPr>
        <w:t>To secure qualifications standards;</w:t>
      </w:r>
    </w:p>
    <w:p w:rsidR="00726264" w:rsidRPr="00AF3E71" w:rsidP="00726264">
      <w:pPr>
        <w:pStyle w:val="ListParagraph"/>
        <w:numPr>
          <w:ilvl w:val="1"/>
          <w:numId w:val="36"/>
        </w:numPr>
        <w:shd w:val="clear" w:color="auto" w:fill="FFFFFF"/>
        <w:spacing w:after="0" w:line="240" w:lineRule="auto"/>
        <w:ind w:left="1077" w:hanging="357"/>
        <w:jc w:val="both"/>
        <w:rPr>
          <w:rFonts w:ascii="Arial" w:hAnsi="Arial" w:cs="Arial"/>
        </w:rPr>
      </w:pPr>
      <w:r w:rsidRPr="00AF3E71">
        <w:rPr>
          <w:rFonts w:ascii="Arial" w:hAnsi="Arial" w:cs="Arial"/>
        </w:rPr>
        <w:t>To promote National Assessment standards;</w:t>
      </w:r>
    </w:p>
    <w:p w:rsidR="00726264" w:rsidRPr="00AF3E71" w:rsidP="00726264">
      <w:pPr>
        <w:pStyle w:val="ListParagraph"/>
        <w:numPr>
          <w:ilvl w:val="1"/>
          <w:numId w:val="36"/>
        </w:numPr>
        <w:shd w:val="clear" w:color="auto" w:fill="FFFFFF"/>
        <w:spacing w:after="0" w:line="240" w:lineRule="auto"/>
        <w:ind w:left="1077" w:hanging="357"/>
        <w:jc w:val="both"/>
        <w:rPr>
          <w:rFonts w:ascii="Arial" w:hAnsi="Arial" w:cs="Arial"/>
        </w:rPr>
      </w:pPr>
      <w:r w:rsidRPr="00AF3E71">
        <w:rPr>
          <w:rFonts w:ascii="Arial" w:hAnsi="Arial" w:cs="Arial"/>
        </w:rPr>
        <w:t>To promote public confidence in regulated qualifications and National Assessment arrangements;</w:t>
      </w:r>
    </w:p>
    <w:p w:rsidR="00726264" w:rsidP="00726264">
      <w:pPr>
        <w:pStyle w:val="ListParagraph"/>
        <w:numPr>
          <w:ilvl w:val="1"/>
          <w:numId w:val="36"/>
        </w:numPr>
        <w:shd w:val="clear" w:color="auto" w:fill="FFFFFF"/>
        <w:spacing w:after="0" w:line="240" w:lineRule="auto"/>
        <w:ind w:left="1077" w:hanging="357"/>
        <w:contextualSpacing w:val="0"/>
        <w:jc w:val="both"/>
        <w:rPr>
          <w:rFonts w:ascii="Arial" w:hAnsi="Arial" w:cs="Arial"/>
        </w:rPr>
      </w:pPr>
      <w:r w:rsidRPr="00726264">
        <w:rPr>
          <w:rFonts w:ascii="Arial" w:hAnsi="Arial" w:cs="Arial"/>
        </w:rPr>
        <w:t>To promote awareness of the range and benefits of regulated qualifications; and</w:t>
      </w:r>
      <w:r>
        <w:rPr>
          <w:rFonts w:ascii="Arial" w:hAnsi="Arial" w:cs="Arial"/>
        </w:rPr>
        <w:t>,</w:t>
      </w:r>
    </w:p>
    <w:p w:rsidR="00726264" w:rsidRPr="00726264" w:rsidP="00726264">
      <w:pPr>
        <w:pStyle w:val="ListParagraph"/>
        <w:numPr>
          <w:ilvl w:val="1"/>
          <w:numId w:val="36"/>
        </w:numPr>
        <w:shd w:val="clear" w:color="auto" w:fill="FFFFFF"/>
        <w:spacing w:after="240" w:line="240" w:lineRule="auto"/>
        <w:contextualSpacing w:val="0"/>
        <w:jc w:val="both"/>
        <w:rPr>
          <w:rFonts w:ascii="Arial" w:hAnsi="Arial" w:cs="Arial"/>
        </w:rPr>
      </w:pPr>
      <w:r w:rsidRPr="00726264">
        <w:rPr>
          <w:rFonts w:ascii="Arial" w:hAnsi="Arial" w:cs="Arial"/>
        </w:rPr>
        <w:t>To secure that regulated qualifications are provided efficiently.</w:t>
      </w:r>
    </w:p>
    <w:p w:rsidR="008B72F0" w:rsidP="00726264">
      <w:pPr>
        <w:pStyle w:val="ListParagraph"/>
        <w:numPr>
          <w:ilvl w:val="0"/>
          <w:numId w:val="27"/>
        </w:numPr>
        <w:shd w:val="clear" w:color="auto" w:fill="FFFFFF"/>
        <w:spacing w:after="240" w:line="240" w:lineRule="auto"/>
        <w:ind w:left="357" w:hanging="357"/>
        <w:contextualSpacing w:val="0"/>
        <w:jc w:val="both"/>
        <w:rPr>
          <w:rFonts w:ascii="Arial" w:hAnsi="Arial" w:cs="Arial"/>
        </w:rPr>
      </w:pPr>
      <w:r>
        <w:rPr>
          <w:rFonts w:ascii="Arial" w:hAnsi="Arial" w:cs="Arial"/>
        </w:rPr>
        <w:t xml:space="preserve">The funding agreed for Ofqual at the 2019 Spending Round (SR19) is for </w:t>
      </w:r>
      <w:r w:rsidR="00080746">
        <w:rPr>
          <w:rFonts w:ascii="Arial" w:hAnsi="Arial" w:cs="Arial"/>
        </w:rPr>
        <w:t>delivery of</w:t>
      </w:r>
      <w:r>
        <w:rPr>
          <w:rFonts w:ascii="Arial" w:hAnsi="Arial" w:cs="Arial"/>
        </w:rPr>
        <w:t xml:space="preserve"> our core objectives </w:t>
      </w:r>
      <w:r w:rsidRPr="00AF3E71">
        <w:rPr>
          <w:rFonts w:ascii="Arial" w:hAnsi="Arial" w:cs="Arial"/>
        </w:rPr>
        <w:t xml:space="preserve">as set out </w:t>
      </w:r>
      <w:r w:rsidR="00794ECE">
        <w:rPr>
          <w:rFonts w:ascii="Arial" w:hAnsi="Arial" w:cs="Arial"/>
        </w:rPr>
        <w:t>above.</w:t>
      </w:r>
      <w:r w:rsidRPr="00AF3E71">
        <w:rPr>
          <w:rFonts w:ascii="Arial" w:hAnsi="Arial" w:cs="Arial"/>
        </w:rPr>
        <w:t xml:space="preserve"> </w:t>
      </w:r>
      <w:r w:rsidR="00080746">
        <w:rPr>
          <w:rFonts w:ascii="Arial" w:hAnsi="Arial" w:cs="Arial"/>
        </w:rPr>
        <w:t>However, t</w:t>
      </w:r>
      <w:r>
        <w:rPr>
          <w:rFonts w:ascii="Arial" w:hAnsi="Arial" w:cs="Arial"/>
        </w:rPr>
        <w:t xml:space="preserve">he impact of the novel coronavirus COVID-19 on summer examinations and assessments, in particular GCSE, AS and A levels and National Assessments, and the award of both general and vocational qualifications </w:t>
      </w:r>
      <w:r w:rsidR="00E672BA">
        <w:rPr>
          <w:rFonts w:ascii="Arial" w:hAnsi="Arial" w:cs="Arial"/>
        </w:rPr>
        <w:t>is significant</w:t>
      </w:r>
      <w:r>
        <w:rPr>
          <w:rFonts w:ascii="Arial" w:hAnsi="Arial" w:cs="Arial"/>
        </w:rPr>
        <w:t xml:space="preserve">. </w:t>
      </w:r>
    </w:p>
    <w:p w:rsidR="008B72F0" w:rsidP="00726264">
      <w:pPr>
        <w:pStyle w:val="ListParagraph"/>
        <w:numPr>
          <w:ilvl w:val="0"/>
          <w:numId w:val="27"/>
        </w:numPr>
        <w:shd w:val="clear" w:color="auto" w:fill="FFFFFF"/>
        <w:spacing w:after="240" w:line="240" w:lineRule="auto"/>
        <w:ind w:left="357" w:hanging="357"/>
        <w:contextualSpacing w:val="0"/>
        <w:jc w:val="both"/>
        <w:rPr>
          <w:rFonts w:ascii="Arial" w:hAnsi="Arial" w:cs="Arial"/>
        </w:rPr>
      </w:pPr>
      <w:r>
        <w:rPr>
          <w:rFonts w:ascii="Arial" w:hAnsi="Arial" w:cs="Arial"/>
        </w:rPr>
        <w:t xml:space="preserve">We are re-planning large elements of our programme of work </w:t>
      </w:r>
      <w:r w:rsidR="00907269">
        <w:rPr>
          <w:rFonts w:ascii="Arial" w:hAnsi="Arial" w:cs="Arial"/>
        </w:rPr>
        <w:t xml:space="preserve">as we respond to the cancellation of </w:t>
      </w:r>
      <w:r w:rsidR="006377DE">
        <w:rPr>
          <w:rFonts w:ascii="Arial" w:hAnsi="Arial" w:cs="Arial"/>
        </w:rPr>
        <w:t xml:space="preserve">the </w:t>
      </w:r>
      <w:r w:rsidR="00907269">
        <w:rPr>
          <w:rFonts w:ascii="Arial" w:hAnsi="Arial" w:cs="Arial"/>
        </w:rPr>
        <w:t>summer examinations</w:t>
      </w:r>
      <w:r w:rsidR="006377DE">
        <w:rPr>
          <w:rFonts w:ascii="Arial" w:hAnsi="Arial" w:cs="Arial"/>
        </w:rPr>
        <w:t xml:space="preserve"> series as well as the need to consider how to respond to the Directions of the Secretary of State with regard to General Qualifications and Vocational and Technical Qualifications.</w:t>
      </w:r>
      <w:r w:rsidR="00907269">
        <w:rPr>
          <w:rFonts w:ascii="Arial" w:hAnsi="Arial" w:cs="Arial"/>
        </w:rPr>
        <w:t xml:space="preserve"> </w:t>
      </w:r>
      <w:r w:rsidR="006377DE">
        <w:rPr>
          <w:rFonts w:ascii="Arial" w:hAnsi="Arial" w:cs="Arial"/>
        </w:rPr>
        <w:t xml:space="preserve">Ofqual will need to </w:t>
      </w:r>
      <w:r w:rsidR="00907269">
        <w:rPr>
          <w:rFonts w:ascii="Arial" w:hAnsi="Arial" w:cs="Arial"/>
        </w:rPr>
        <w:t>prioritise activities to protect the interests of students, apprentices and other learners through this challenging period</w:t>
      </w:r>
      <w:r w:rsidR="006377DE">
        <w:rPr>
          <w:rFonts w:ascii="Arial" w:hAnsi="Arial" w:cs="Arial"/>
        </w:rPr>
        <w:t xml:space="preserve"> and therefore will be fundamentally reviewing how the budget is redeployed in 2020/21</w:t>
      </w:r>
      <w:r w:rsidR="00907269">
        <w:rPr>
          <w:rFonts w:ascii="Arial" w:hAnsi="Arial" w:cs="Arial"/>
        </w:rPr>
        <w:t>.</w:t>
      </w:r>
      <w:r w:rsidR="00080746">
        <w:rPr>
          <w:rFonts w:ascii="Arial" w:hAnsi="Arial" w:cs="Arial"/>
        </w:rPr>
        <w:t xml:space="preserve"> </w:t>
      </w:r>
    </w:p>
    <w:p w:rsidR="002069E4" w:rsidRPr="00726264" w:rsidP="00726264">
      <w:pPr>
        <w:pStyle w:val="ListParagraph"/>
        <w:numPr>
          <w:ilvl w:val="0"/>
          <w:numId w:val="27"/>
        </w:numPr>
        <w:shd w:val="clear" w:color="auto" w:fill="FFFFFF"/>
        <w:spacing w:after="240" w:line="240" w:lineRule="auto"/>
        <w:ind w:left="357" w:hanging="357"/>
        <w:contextualSpacing w:val="0"/>
        <w:jc w:val="both"/>
        <w:rPr>
          <w:rFonts w:ascii="Arial" w:hAnsi="Arial" w:cs="Arial"/>
        </w:rPr>
      </w:pPr>
      <w:r>
        <w:rPr>
          <w:rFonts w:ascii="Arial" w:hAnsi="Arial" w:cs="Arial"/>
        </w:rPr>
        <w:t>We are working closely with stakeholders to develop a fair and consistent assessment system that can produce trusted qualifications</w:t>
      </w:r>
      <w:r w:rsidR="008B4FDB">
        <w:rPr>
          <w:rFonts w:ascii="Arial" w:hAnsi="Arial" w:cs="Arial"/>
        </w:rPr>
        <w:t xml:space="preserve">, and making sure that learners </w:t>
      </w:r>
      <w:r w:rsidRPr="008B4FDB" w:rsidR="008B4FDB">
        <w:rPr>
          <w:rFonts w:ascii="Arial" w:hAnsi="Arial" w:cs="Arial"/>
        </w:rPr>
        <w:t>are not disadvantaged by these unprecedented circumstances.</w:t>
      </w:r>
    </w:p>
    <w:p w:rsidR="002069E4" w:rsidRPr="00726264" w:rsidP="00487102">
      <w:pPr>
        <w:pStyle w:val="ListParagraph"/>
        <w:numPr>
          <w:ilvl w:val="0"/>
          <w:numId w:val="27"/>
        </w:numPr>
        <w:shd w:val="clear" w:color="auto" w:fill="FFFFFF"/>
        <w:spacing w:after="240" w:line="240" w:lineRule="auto"/>
        <w:ind w:left="357" w:hanging="357"/>
        <w:contextualSpacing w:val="0"/>
        <w:jc w:val="both"/>
        <w:rPr>
          <w:rFonts w:ascii="Arial" w:hAnsi="Arial" w:cs="Arial"/>
        </w:rPr>
      </w:pPr>
      <w:r w:rsidRPr="00726264">
        <w:rPr>
          <w:rFonts w:ascii="Arial" w:hAnsi="Arial" w:cs="Arial"/>
        </w:rPr>
        <w:t xml:space="preserve">Responding to the impact of COVID-19 is our highest priority in 2020/21. We will then consider the impact on </w:t>
      </w:r>
      <w:r>
        <w:rPr>
          <w:rFonts w:ascii="Arial" w:hAnsi="Arial" w:cs="Arial"/>
        </w:rPr>
        <w:t>the goals and activities that underpin the</w:t>
      </w:r>
      <w:r w:rsidRPr="00726264">
        <w:rPr>
          <w:rFonts w:ascii="Arial" w:hAnsi="Arial" w:cs="Arial"/>
        </w:rPr>
        <w:t xml:space="preserve"> Corporate Plan</w:t>
      </w:r>
      <w:r>
        <w:rPr>
          <w:rFonts w:ascii="Arial" w:hAnsi="Arial" w:cs="Arial"/>
        </w:rPr>
        <w:t xml:space="preserve"> as anticipated at SR19</w:t>
      </w:r>
      <w:r w:rsidRPr="00726264">
        <w:rPr>
          <w:rFonts w:ascii="Arial" w:hAnsi="Arial" w:cs="Arial"/>
        </w:rPr>
        <w:t xml:space="preserve">. </w:t>
      </w:r>
      <w:r>
        <w:rPr>
          <w:rFonts w:ascii="Arial" w:hAnsi="Arial" w:cs="Arial"/>
        </w:rPr>
        <w:t>These</w:t>
      </w:r>
      <w:r w:rsidRPr="00726264">
        <w:rPr>
          <w:rFonts w:ascii="Arial" w:hAnsi="Arial" w:cs="Arial"/>
        </w:rPr>
        <w:t xml:space="preserve"> are summarised below</w:t>
      </w:r>
      <w:r w:rsidRPr="00726264" w:rsidR="00980511">
        <w:rPr>
          <w:rFonts w:ascii="Arial" w:hAnsi="Arial" w:cs="Arial"/>
        </w:rPr>
        <w:t>.</w:t>
      </w:r>
    </w:p>
    <w:p w:rsidR="002069E4" w:rsidRPr="00AF3E71" w:rsidP="00726264">
      <w:pPr>
        <w:shd w:val="clear" w:color="auto" w:fill="FFFFFF"/>
        <w:spacing w:after="240" w:line="240" w:lineRule="auto"/>
        <w:ind w:firstLine="357"/>
        <w:jc w:val="both"/>
        <w:rPr>
          <w:rFonts w:ascii="Arial" w:hAnsi="Arial" w:cs="Arial"/>
          <w:b/>
        </w:rPr>
      </w:pPr>
      <w:r w:rsidRPr="00AF3E71">
        <w:rPr>
          <w:rFonts w:ascii="Arial" w:hAnsi="Arial" w:cs="Arial"/>
          <w:b/>
        </w:rPr>
        <w:t xml:space="preserve">Goal 1 Regulate for the validity and safe delivery of general qualifications </w:t>
      </w:r>
    </w:p>
    <w:p w:rsidR="002069E4" w:rsidP="00AF3E71">
      <w:pPr>
        <w:pStyle w:val="ListParagraph"/>
        <w:numPr>
          <w:ilvl w:val="0"/>
          <w:numId w:val="27"/>
        </w:numPr>
        <w:shd w:val="clear" w:color="auto" w:fill="FFFFFF"/>
        <w:spacing w:after="240" w:line="240" w:lineRule="auto"/>
        <w:contextualSpacing w:val="0"/>
        <w:jc w:val="both"/>
        <w:rPr>
          <w:rFonts w:ascii="Arial" w:hAnsi="Arial" w:cs="Arial"/>
        </w:rPr>
      </w:pPr>
      <w:r w:rsidRPr="00AF3E71">
        <w:rPr>
          <w:rFonts w:ascii="Arial" w:hAnsi="Arial" w:cs="Arial"/>
        </w:rPr>
        <w:t xml:space="preserve">We regulate General Qualifications, </w:t>
      </w:r>
      <w:r w:rsidR="008B72F0">
        <w:rPr>
          <w:rFonts w:ascii="Arial" w:hAnsi="Arial" w:cs="Arial"/>
        </w:rPr>
        <w:t>including</w:t>
      </w:r>
      <w:r w:rsidRPr="00AF3E71">
        <w:rPr>
          <w:rFonts w:ascii="Arial" w:hAnsi="Arial" w:cs="Arial"/>
        </w:rPr>
        <w:t xml:space="preserve"> GCSEs, AS and A levels, so that they are valid, worthy of public confidence, produce fair and reliable results, and to ensure that standards over time are maintained.</w:t>
      </w:r>
      <w:r w:rsidRPr="00AF3E71" w:rsidR="00502A34">
        <w:rPr>
          <w:rFonts w:ascii="Arial" w:hAnsi="Arial" w:cs="Arial"/>
        </w:rPr>
        <w:t xml:space="preserve"> </w:t>
      </w:r>
      <w:r w:rsidR="00E672BA">
        <w:rPr>
          <w:rFonts w:ascii="Arial" w:hAnsi="Arial" w:cs="Arial"/>
        </w:rPr>
        <w:t>Our primary focus now is to develop and implement a process for</w:t>
      </w:r>
      <w:r w:rsidR="006377DE">
        <w:rPr>
          <w:rFonts w:ascii="Arial" w:hAnsi="Arial" w:cs="Arial"/>
        </w:rPr>
        <w:t xml:space="preserve"> Summer 2020 where awarding organisations </w:t>
      </w:r>
      <w:r w:rsidR="00E672BA">
        <w:rPr>
          <w:rFonts w:ascii="Arial" w:hAnsi="Arial" w:cs="Arial"/>
        </w:rPr>
        <w:t>will</w:t>
      </w:r>
      <w:r w:rsidR="006377DE">
        <w:rPr>
          <w:rFonts w:ascii="Arial" w:hAnsi="Arial" w:cs="Arial"/>
        </w:rPr>
        <w:t xml:space="preserve"> deliver awards based on </w:t>
      </w:r>
      <w:r w:rsidR="00E672BA">
        <w:rPr>
          <w:rFonts w:ascii="Arial" w:hAnsi="Arial" w:cs="Arial"/>
        </w:rPr>
        <w:t xml:space="preserve">centre </w:t>
      </w:r>
      <w:r w:rsidR="006377DE">
        <w:rPr>
          <w:rFonts w:ascii="Arial" w:hAnsi="Arial" w:cs="Arial"/>
        </w:rPr>
        <w:t>assessment rather than based on examinations.</w:t>
      </w:r>
      <w:r w:rsidR="008B72F0">
        <w:rPr>
          <w:rFonts w:ascii="Arial" w:hAnsi="Arial" w:cs="Arial"/>
        </w:rPr>
        <w:t xml:space="preserve"> </w:t>
      </w:r>
    </w:p>
    <w:p w:rsidR="008B72F0" w:rsidP="008B72F0">
      <w:pPr>
        <w:pStyle w:val="ListParagraph"/>
        <w:numPr>
          <w:ilvl w:val="0"/>
          <w:numId w:val="27"/>
        </w:numPr>
        <w:shd w:val="clear" w:color="auto" w:fill="FFFFFF"/>
        <w:spacing w:after="240" w:line="240" w:lineRule="auto"/>
        <w:contextualSpacing w:val="0"/>
        <w:jc w:val="both"/>
        <w:rPr>
          <w:rFonts w:ascii="Arial" w:hAnsi="Arial" w:cs="Arial"/>
        </w:rPr>
      </w:pPr>
      <w:r>
        <w:rPr>
          <w:rFonts w:ascii="Arial" w:hAnsi="Arial" w:cs="Arial"/>
        </w:rPr>
        <w:t xml:space="preserve">This is a significant and significantly different piece of work when compared to our </w:t>
      </w:r>
      <w:r w:rsidR="002856E1">
        <w:rPr>
          <w:rFonts w:ascii="Arial" w:hAnsi="Arial" w:cs="Arial"/>
        </w:rPr>
        <w:t xml:space="preserve">summer exams regulation. </w:t>
      </w:r>
      <w:r w:rsidR="00436384">
        <w:rPr>
          <w:rFonts w:ascii="Arial" w:hAnsi="Arial" w:cs="Arial"/>
        </w:rPr>
        <w:t>We are working closely with the Department fo</w:t>
      </w:r>
      <w:r w:rsidR="00F30BA6">
        <w:rPr>
          <w:rFonts w:ascii="Arial" w:hAnsi="Arial" w:cs="Arial"/>
        </w:rPr>
        <w:t>r</w:t>
      </w:r>
      <w:r w:rsidR="00436384">
        <w:rPr>
          <w:rFonts w:ascii="Arial" w:hAnsi="Arial" w:cs="Arial"/>
        </w:rPr>
        <w:t xml:space="preserve"> Education and key stakeholders</w:t>
      </w:r>
      <w:r w:rsidR="00CC4734">
        <w:rPr>
          <w:rFonts w:ascii="Arial" w:hAnsi="Arial" w:cs="Arial"/>
        </w:rPr>
        <w:t xml:space="preserve">. </w:t>
      </w:r>
    </w:p>
    <w:p w:rsidR="008B72F0" w:rsidRPr="008B72F0" w:rsidP="008B72F0">
      <w:pPr>
        <w:pStyle w:val="ListParagraph"/>
        <w:numPr>
          <w:ilvl w:val="0"/>
          <w:numId w:val="27"/>
        </w:numPr>
        <w:shd w:val="clear" w:color="auto" w:fill="FFFFFF"/>
        <w:spacing w:after="240" w:line="240" w:lineRule="auto"/>
        <w:contextualSpacing w:val="0"/>
        <w:jc w:val="both"/>
        <w:rPr>
          <w:rFonts w:ascii="Arial" w:hAnsi="Arial" w:cs="Arial"/>
        </w:rPr>
      </w:pPr>
      <w:r>
        <w:rPr>
          <w:rFonts w:ascii="Arial" w:hAnsi="Arial" w:cs="Arial"/>
        </w:rPr>
        <w:t>T</w:t>
      </w:r>
      <w:r w:rsidRPr="008B72F0">
        <w:rPr>
          <w:rFonts w:ascii="Arial" w:hAnsi="Arial" w:cs="Arial"/>
        </w:rPr>
        <w:t>he work’s scope is emerging and developing at the time when the budget is approved and so further discussions will be needed to confirm that the delivery of the Summer 2020 series can be undertaken within the current resources available.</w:t>
      </w:r>
    </w:p>
    <w:p w:rsidR="002069E4" w:rsidRPr="00AF3E71" w:rsidP="00AF3E71">
      <w:pPr>
        <w:shd w:val="clear" w:color="auto" w:fill="FFFFFF"/>
        <w:spacing w:after="240" w:line="240" w:lineRule="auto"/>
        <w:ind w:left="357"/>
        <w:jc w:val="both"/>
        <w:rPr>
          <w:rFonts w:ascii="Arial" w:hAnsi="Arial" w:cs="Arial"/>
          <w:b/>
        </w:rPr>
      </w:pPr>
      <w:r w:rsidRPr="00AF3E71">
        <w:rPr>
          <w:rFonts w:ascii="Arial" w:hAnsi="Arial" w:cs="Arial"/>
          <w:b/>
        </w:rPr>
        <w:t xml:space="preserve">Goal 2 </w:t>
      </w:r>
      <w:r w:rsidRPr="00AF3E71" w:rsidR="00502A34">
        <w:rPr>
          <w:rFonts w:ascii="Arial" w:hAnsi="Arial" w:cs="Arial"/>
          <w:b/>
        </w:rPr>
        <w:t>Regulate for the validity and safe delivery of national technical and vocational qualifications and assessments</w:t>
      </w:r>
    </w:p>
    <w:p w:rsidR="008B72F0" w:rsidP="00AF3E71">
      <w:pPr>
        <w:pStyle w:val="ListParagraph"/>
        <w:numPr>
          <w:ilvl w:val="0"/>
          <w:numId w:val="27"/>
        </w:numPr>
        <w:shd w:val="clear" w:color="auto" w:fill="FFFFFF"/>
        <w:spacing w:after="240" w:line="240" w:lineRule="auto"/>
        <w:jc w:val="both"/>
        <w:rPr>
          <w:rFonts w:ascii="Arial" w:hAnsi="Arial" w:cs="Arial"/>
        </w:rPr>
      </w:pPr>
      <w:r w:rsidRPr="00AF3E71">
        <w:rPr>
          <w:rFonts w:ascii="Arial" w:hAnsi="Arial" w:cs="Arial"/>
        </w:rPr>
        <w:t xml:space="preserve">National technical and vocational qualifications and assessments provide learners, in particular </w:t>
      </w:r>
      <w:r w:rsidRPr="00AF3E71">
        <w:rPr>
          <w:rFonts w:ascii="Arial" w:hAnsi="Arial" w:cs="Arial"/>
        </w:rPr>
        <w:t>14-19 year</w:t>
      </w:r>
      <w:r w:rsidRPr="00AF3E71">
        <w:rPr>
          <w:rFonts w:ascii="Arial" w:hAnsi="Arial" w:cs="Arial"/>
        </w:rPr>
        <w:t xml:space="preserve"> olds, with essential skills, knowledge and understanding to support progression into work, further or higher education. The current programme of reform is broad, including the introduction of technical qualifications within T Level programmes, the continued introduction of new apprenticeship end</w:t>
      </w:r>
      <w:r w:rsidRPr="00AF3E71" w:rsidR="00153D82">
        <w:rPr>
          <w:rFonts w:ascii="Arial" w:hAnsi="Arial" w:cs="Arial"/>
        </w:rPr>
        <w:t>-</w:t>
      </w:r>
      <w:r w:rsidRPr="00AF3E71">
        <w:rPr>
          <w:rFonts w:ascii="Arial" w:hAnsi="Arial" w:cs="Arial"/>
        </w:rPr>
        <w:t xml:space="preserve">point assessments, and developing new </w:t>
      </w:r>
      <w:r w:rsidRPr="00AF3E71">
        <w:rPr>
          <w:rFonts w:ascii="Arial" w:hAnsi="Arial" w:cs="Arial"/>
        </w:rPr>
        <w:t>higher level</w:t>
      </w:r>
      <w:r w:rsidRPr="00AF3E71">
        <w:rPr>
          <w:rFonts w:ascii="Arial" w:hAnsi="Arial" w:cs="Arial"/>
        </w:rPr>
        <w:t xml:space="preserve"> technical qualifications at levels 4 and 5. We </w:t>
      </w:r>
      <w:r w:rsidRPr="00AF3E71" w:rsidR="004A6380">
        <w:rPr>
          <w:rFonts w:ascii="Arial" w:hAnsi="Arial" w:cs="Arial"/>
        </w:rPr>
        <w:t xml:space="preserve">are playing </w:t>
      </w:r>
      <w:r w:rsidRPr="00AF3E71">
        <w:rPr>
          <w:rFonts w:ascii="Arial" w:hAnsi="Arial" w:cs="Arial"/>
        </w:rPr>
        <w:t>an active part in these reforms</w:t>
      </w:r>
      <w:r w:rsidR="00E672BA">
        <w:rPr>
          <w:rFonts w:ascii="Arial" w:hAnsi="Arial" w:cs="Arial"/>
        </w:rPr>
        <w:t>.  Each will be affected by COVID-19 – though the nature of impact varies in each programme</w:t>
      </w:r>
      <w:r w:rsidRPr="00AF3E71">
        <w:rPr>
          <w:rFonts w:ascii="Arial" w:hAnsi="Arial" w:cs="Arial"/>
        </w:rPr>
        <w:t xml:space="preserve"> </w:t>
      </w:r>
    </w:p>
    <w:p w:rsidR="008B72F0" w:rsidP="008B72F0">
      <w:pPr>
        <w:pStyle w:val="ListParagraph"/>
        <w:shd w:val="clear" w:color="auto" w:fill="FFFFFF"/>
        <w:spacing w:after="240" w:line="240" w:lineRule="auto"/>
        <w:ind w:left="360"/>
        <w:jc w:val="both"/>
        <w:rPr>
          <w:rFonts w:ascii="Arial" w:hAnsi="Arial" w:cs="Arial"/>
        </w:rPr>
      </w:pPr>
    </w:p>
    <w:p w:rsidR="00DD3959" w:rsidP="00AF3E71">
      <w:pPr>
        <w:pStyle w:val="ListParagraph"/>
        <w:numPr>
          <w:ilvl w:val="0"/>
          <w:numId w:val="27"/>
        </w:numPr>
        <w:shd w:val="clear" w:color="auto" w:fill="FFFFFF"/>
        <w:spacing w:after="240" w:line="240" w:lineRule="auto"/>
        <w:jc w:val="both"/>
        <w:rPr>
          <w:rFonts w:ascii="Arial" w:hAnsi="Arial" w:cs="Arial"/>
        </w:rPr>
      </w:pPr>
      <w:r>
        <w:rPr>
          <w:rFonts w:ascii="Arial" w:hAnsi="Arial" w:cs="Arial"/>
        </w:rPr>
        <w:t>Ofqual is</w:t>
      </w:r>
      <w:r w:rsidR="006377DE">
        <w:rPr>
          <w:rFonts w:ascii="Arial" w:hAnsi="Arial" w:cs="Arial"/>
        </w:rPr>
        <w:t xml:space="preserve"> working closely with the Department for Education and the Institute for Apprenticeships and Technical Education to consider the impact on how awarding organisations provide certificates for qualifications that learners can use for onward progression in education through to certificates that are used to confirm professional competence. This will require significant work with stakeholders to develop the right systems with the right checks and balances for awarding in 2020.</w:t>
      </w:r>
    </w:p>
    <w:p w:rsidR="008B72F0" w:rsidRPr="008B72F0" w:rsidP="008B72F0">
      <w:pPr>
        <w:pStyle w:val="ListParagraph"/>
        <w:rPr>
          <w:rFonts w:ascii="Arial" w:hAnsi="Arial" w:cs="Arial"/>
        </w:rPr>
      </w:pPr>
    </w:p>
    <w:p w:rsidR="008B72F0" w:rsidRPr="008B72F0" w:rsidP="008B72F0">
      <w:pPr>
        <w:pStyle w:val="ListParagraph"/>
        <w:numPr>
          <w:ilvl w:val="0"/>
          <w:numId w:val="27"/>
        </w:numPr>
        <w:rPr>
          <w:rFonts w:ascii="Arial" w:hAnsi="Arial" w:cs="Arial"/>
        </w:rPr>
      </w:pPr>
      <w:r w:rsidRPr="008B72F0">
        <w:rPr>
          <w:rFonts w:ascii="Arial" w:hAnsi="Arial" w:cs="Arial"/>
        </w:rPr>
        <w:t>The work's scope is emerging and developing at the time when the budget is approved and so further discussions will be needed to confirm that the delivery of the Summer 2020 series can be undertaken within the current resources available.</w:t>
      </w:r>
    </w:p>
    <w:p w:rsidR="00DD3959" w:rsidRPr="00AF3E71" w:rsidP="00AF3E71">
      <w:pPr>
        <w:shd w:val="clear" w:color="auto" w:fill="FFFFFF"/>
        <w:spacing w:after="240" w:line="240" w:lineRule="auto"/>
        <w:ind w:left="357"/>
        <w:jc w:val="both"/>
        <w:rPr>
          <w:rFonts w:ascii="Arial" w:hAnsi="Arial" w:cs="Arial"/>
          <w:b/>
        </w:rPr>
      </w:pPr>
      <w:r w:rsidRPr="00AF3E71">
        <w:rPr>
          <w:rFonts w:ascii="Arial" w:hAnsi="Arial" w:cs="Arial"/>
          <w:b/>
        </w:rPr>
        <w:t xml:space="preserve">Goal 3 </w:t>
      </w:r>
      <w:r w:rsidRPr="00AF3E71" w:rsidR="00502A34">
        <w:rPr>
          <w:rFonts w:ascii="Arial" w:hAnsi="Arial" w:cs="Arial"/>
          <w:b/>
        </w:rPr>
        <w:t>Regulate for the validity and safe delivery of vocational and other regulated qualifications</w:t>
      </w:r>
    </w:p>
    <w:p w:rsidR="00726264" w:rsidP="00726264">
      <w:pPr>
        <w:pStyle w:val="ListParagraph"/>
        <w:numPr>
          <w:ilvl w:val="0"/>
          <w:numId w:val="27"/>
        </w:numPr>
        <w:shd w:val="clear" w:color="auto" w:fill="FFFFFF"/>
        <w:spacing w:after="240" w:line="240" w:lineRule="auto"/>
        <w:contextualSpacing w:val="0"/>
        <w:jc w:val="both"/>
        <w:rPr>
          <w:rFonts w:ascii="Arial" w:hAnsi="Arial" w:cs="Arial"/>
        </w:rPr>
      </w:pPr>
      <w:r w:rsidRPr="00AF3E71">
        <w:rPr>
          <w:rFonts w:ascii="Arial" w:hAnsi="Arial" w:cs="Arial"/>
        </w:rPr>
        <w:t xml:space="preserve">There is a wide range of vocational and technical qualifications available to learners in addition to those taken predominantly by </w:t>
      </w:r>
      <w:r w:rsidRPr="00AF3E71">
        <w:rPr>
          <w:rFonts w:ascii="Arial" w:hAnsi="Arial" w:cs="Arial"/>
        </w:rPr>
        <w:t>14-19 year</w:t>
      </w:r>
      <w:r w:rsidRPr="00AF3E71">
        <w:rPr>
          <w:rFonts w:ascii="Arial" w:hAnsi="Arial" w:cs="Arial"/>
        </w:rPr>
        <w:t xml:space="preserve"> olds in schools, colleges and the workplace. These can be the gateway</w:t>
      </w:r>
      <w:r w:rsidRPr="00834B90">
        <w:rPr>
          <w:rFonts w:ascii="Arial" w:hAnsi="Arial" w:cs="Arial"/>
          <w:sz w:val="40"/>
          <w:szCs w:val="40"/>
        </w:rPr>
        <w:t xml:space="preserve"> </w:t>
      </w:r>
      <w:r w:rsidRPr="00AF3E71">
        <w:rPr>
          <w:rFonts w:ascii="Arial" w:hAnsi="Arial" w:cs="Arial"/>
        </w:rPr>
        <w:t>for individuals to work in a particular industry, can give employers and consumers assurance on safety and competence, or may be a mark of a</w:t>
      </w:r>
      <w:r w:rsidRPr="00834B90">
        <w:rPr>
          <w:rFonts w:ascii="Arial" w:hAnsi="Arial" w:cs="Arial"/>
          <w:sz w:val="40"/>
          <w:szCs w:val="40"/>
        </w:rPr>
        <w:t xml:space="preserve"> </w:t>
      </w:r>
      <w:r w:rsidRPr="00AF3E71">
        <w:rPr>
          <w:rFonts w:ascii="Arial" w:hAnsi="Arial" w:cs="Arial"/>
        </w:rPr>
        <w:t xml:space="preserve">learner’s achievement in an area of interest. </w:t>
      </w:r>
    </w:p>
    <w:p w:rsidR="008B72F0" w:rsidP="008B72F0">
      <w:pPr>
        <w:pStyle w:val="ListParagraph"/>
        <w:numPr>
          <w:ilvl w:val="0"/>
          <w:numId w:val="27"/>
        </w:numPr>
        <w:shd w:val="clear" w:color="auto" w:fill="FFFFFF"/>
        <w:spacing w:after="240" w:line="240" w:lineRule="auto"/>
        <w:jc w:val="both"/>
        <w:rPr>
          <w:rFonts w:ascii="Arial" w:hAnsi="Arial" w:cs="Arial"/>
        </w:rPr>
      </w:pPr>
      <w:r>
        <w:rPr>
          <w:rFonts w:ascii="Arial" w:hAnsi="Arial" w:cs="Arial"/>
        </w:rPr>
        <w:t>Ofqual is working closely with the Department for Education to consider the impact of COVID-19 on how awarding organisations provide certificates for qualifications that learners can use for onward progression in education through to certificates that are used to confirm professional competence. This will require significant work with stakeholders to develop the right systems with the right checks and balances for awarding in 2020.</w:t>
      </w:r>
    </w:p>
    <w:p w:rsidR="008B72F0" w:rsidRPr="008B72F0" w:rsidP="008B72F0">
      <w:pPr>
        <w:pStyle w:val="ListParagraph"/>
        <w:rPr>
          <w:rFonts w:ascii="Arial" w:hAnsi="Arial" w:cs="Arial"/>
        </w:rPr>
      </w:pPr>
    </w:p>
    <w:p w:rsidR="008B72F0" w:rsidRPr="008B72F0" w:rsidP="008B72F0">
      <w:pPr>
        <w:pStyle w:val="ListParagraph"/>
        <w:numPr>
          <w:ilvl w:val="0"/>
          <w:numId w:val="27"/>
        </w:numPr>
        <w:rPr>
          <w:rFonts w:ascii="Arial" w:hAnsi="Arial" w:cs="Arial"/>
        </w:rPr>
      </w:pPr>
      <w:r w:rsidRPr="008B72F0">
        <w:rPr>
          <w:rFonts w:ascii="Arial" w:hAnsi="Arial" w:cs="Arial"/>
        </w:rPr>
        <w:t>The work's scope is emerging and developing at the time when the budget is approved and so further discussions will be needed to confirm that the delivery of the Summer 2020 series can be undertaken within the current resources available.</w:t>
      </w:r>
    </w:p>
    <w:p w:rsidR="002069E4" w:rsidRPr="00726264" w:rsidP="00726264">
      <w:pPr>
        <w:shd w:val="clear" w:color="auto" w:fill="FFFFFF"/>
        <w:spacing w:after="240" w:line="240" w:lineRule="auto"/>
        <w:ind w:left="360"/>
        <w:jc w:val="both"/>
        <w:rPr>
          <w:rFonts w:ascii="Arial" w:hAnsi="Arial" w:cs="Arial"/>
        </w:rPr>
      </w:pPr>
      <w:r w:rsidRPr="00726264">
        <w:rPr>
          <w:rFonts w:ascii="Arial" w:hAnsi="Arial" w:cs="Arial"/>
          <w:b/>
        </w:rPr>
        <w:t>G</w:t>
      </w:r>
      <w:r w:rsidRPr="00726264" w:rsidR="00DD3959">
        <w:rPr>
          <w:rFonts w:ascii="Arial" w:hAnsi="Arial" w:cs="Arial"/>
          <w:b/>
        </w:rPr>
        <w:t>oal 4</w:t>
      </w:r>
      <w:r w:rsidRPr="00726264">
        <w:rPr>
          <w:rFonts w:ascii="Arial" w:hAnsi="Arial" w:cs="Arial"/>
          <w:b/>
        </w:rPr>
        <w:t xml:space="preserve"> Monitor and evaluate the validity of National Assessments </w:t>
      </w:r>
    </w:p>
    <w:p w:rsidR="002069E4" w:rsidRPr="00AF3E71" w:rsidP="00AF3E71">
      <w:pPr>
        <w:pStyle w:val="ListParagraph"/>
        <w:numPr>
          <w:ilvl w:val="0"/>
          <w:numId w:val="27"/>
        </w:numPr>
        <w:shd w:val="clear" w:color="auto" w:fill="FFFFFF"/>
        <w:spacing w:after="240" w:line="240" w:lineRule="auto"/>
        <w:contextualSpacing w:val="0"/>
        <w:jc w:val="both"/>
        <w:rPr>
          <w:rFonts w:ascii="Arial" w:hAnsi="Arial" w:cs="Arial"/>
        </w:rPr>
      </w:pPr>
      <w:r w:rsidRPr="00AF3E71">
        <w:rPr>
          <w:rFonts w:ascii="Arial" w:hAnsi="Arial" w:cs="Arial"/>
        </w:rPr>
        <w:t xml:space="preserve">Our work on National Assessments focuses on promoting validity and public confidence. We do this by providing assurance where effective processes are in place to support validity and by raising risks so that these can be addressed by others, such as the Standards and Testing Agency, to contribute to greater validity over time. </w:t>
      </w:r>
      <w:r w:rsidR="008B72F0">
        <w:rPr>
          <w:rFonts w:ascii="Arial" w:hAnsi="Arial" w:cs="Arial"/>
        </w:rPr>
        <w:t>The decision by the Secretary of State to cancel national assessments in</w:t>
      </w:r>
      <w:r w:rsidRPr="00AF3E71">
        <w:rPr>
          <w:rFonts w:ascii="Arial" w:hAnsi="Arial" w:cs="Arial"/>
        </w:rPr>
        <w:t xml:space="preserve"> 20</w:t>
      </w:r>
      <w:r w:rsidR="00647C8B">
        <w:rPr>
          <w:rFonts w:ascii="Arial" w:hAnsi="Arial" w:cs="Arial"/>
        </w:rPr>
        <w:t>20</w:t>
      </w:r>
      <w:r w:rsidRPr="00AF3E71">
        <w:rPr>
          <w:rFonts w:ascii="Arial" w:hAnsi="Arial" w:cs="Arial"/>
        </w:rPr>
        <w:t>/2</w:t>
      </w:r>
      <w:r w:rsidR="00647C8B">
        <w:rPr>
          <w:rFonts w:ascii="Arial" w:hAnsi="Arial" w:cs="Arial"/>
        </w:rPr>
        <w:t>1</w:t>
      </w:r>
      <w:r w:rsidRPr="00AF3E71">
        <w:rPr>
          <w:rFonts w:ascii="Arial" w:hAnsi="Arial" w:cs="Arial"/>
        </w:rPr>
        <w:t xml:space="preserve"> </w:t>
      </w:r>
      <w:r w:rsidR="008B72F0">
        <w:rPr>
          <w:rFonts w:ascii="Arial" w:hAnsi="Arial" w:cs="Arial"/>
        </w:rPr>
        <w:t>will have widespread ramifications and so Ofqual will work with the Standards and Testing Agency to determine what this means for delivery of work in 2020 with the new provider of these assessments.</w:t>
      </w:r>
      <w:r w:rsidR="00801E9D">
        <w:rPr>
          <w:rFonts w:ascii="Arial" w:hAnsi="Arial" w:cs="Arial"/>
        </w:rPr>
        <w:t xml:space="preserve"> </w:t>
      </w:r>
    </w:p>
    <w:p w:rsidR="00114840" w:rsidP="00AF3E71">
      <w:pPr>
        <w:shd w:val="clear" w:color="auto" w:fill="FFFFFF"/>
        <w:spacing w:after="240" w:line="240" w:lineRule="auto"/>
        <w:ind w:left="357"/>
        <w:jc w:val="both"/>
        <w:rPr>
          <w:rFonts w:ascii="Arial" w:hAnsi="Arial" w:cs="Arial"/>
          <w:b/>
        </w:rPr>
      </w:pPr>
    </w:p>
    <w:p w:rsidR="00114840" w:rsidP="00AF3E71">
      <w:pPr>
        <w:shd w:val="clear" w:color="auto" w:fill="FFFFFF"/>
        <w:spacing w:after="240" w:line="240" w:lineRule="auto"/>
        <w:ind w:left="357"/>
        <w:jc w:val="both"/>
        <w:rPr>
          <w:rFonts w:ascii="Arial" w:hAnsi="Arial" w:cs="Arial"/>
          <w:b/>
        </w:rPr>
      </w:pPr>
    </w:p>
    <w:p w:rsidR="002069E4" w:rsidRPr="00AF3E71" w:rsidP="00AF3E71">
      <w:pPr>
        <w:shd w:val="clear" w:color="auto" w:fill="FFFFFF"/>
        <w:spacing w:after="240" w:line="240" w:lineRule="auto"/>
        <w:ind w:left="357"/>
        <w:jc w:val="both"/>
        <w:rPr>
          <w:rFonts w:ascii="Arial" w:hAnsi="Arial" w:cs="Arial"/>
          <w:b/>
        </w:rPr>
      </w:pPr>
      <w:r w:rsidRPr="00AF3E71">
        <w:rPr>
          <w:rFonts w:ascii="Arial" w:hAnsi="Arial" w:cs="Arial"/>
          <w:b/>
        </w:rPr>
        <w:t>Goal 5</w:t>
      </w:r>
      <w:r w:rsidRPr="00AF3E71">
        <w:rPr>
          <w:rFonts w:ascii="Arial" w:hAnsi="Arial" w:cs="Arial"/>
          <w:b/>
        </w:rPr>
        <w:t xml:space="preserve"> </w:t>
      </w:r>
      <w:r w:rsidRPr="00AF3E71" w:rsidR="00732C5B">
        <w:rPr>
          <w:rFonts w:ascii="Arial" w:hAnsi="Arial" w:cs="Arial"/>
          <w:b/>
        </w:rPr>
        <w:t>Promote innovation and an effective and efficient regulated qualifications market</w:t>
      </w:r>
    </w:p>
    <w:p w:rsidR="00732C5B" w:rsidP="00AF3E71">
      <w:pPr>
        <w:pStyle w:val="ListParagraph"/>
        <w:numPr>
          <w:ilvl w:val="0"/>
          <w:numId w:val="27"/>
        </w:numPr>
        <w:shd w:val="clear" w:color="auto" w:fill="FFFFFF"/>
        <w:spacing w:after="240" w:line="240" w:lineRule="auto"/>
        <w:contextualSpacing w:val="0"/>
        <w:jc w:val="both"/>
        <w:rPr>
          <w:rFonts w:ascii="Arial" w:hAnsi="Arial" w:cs="Arial"/>
        </w:rPr>
      </w:pPr>
      <w:r w:rsidRPr="005E0632">
        <w:rPr>
          <w:rFonts w:ascii="Arial" w:hAnsi="Arial" w:cs="Arial"/>
          <w:iCs/>
        </w:rPr>
        <w:t>We want the qualifications market to operate efficiently, to offer value for money and to be understandable to learners, employers, centres and all who deliver, use and rely on qualifications.  Where there are opportunities for innovation to support quality, fairness and efficiency, we want to enable the safe introduction of new approaches to how qualifications are delivered.  Underpinning this goal is our work to collect, analyse and make available data and information about how qualifications and the market operate</w:t>
      </w:r>
      <w:r w:rsidRPr="00AF3E71" w:rsidR="00D27AE5">
        <w:rPr>
          <w:rFonts w:ascii="Arial" w:hAnsi="Arial" w:cs="Arial"/>
        </w:rPr>
        <w:t>.</w:t>
      </w:r>
    </w:p>
    <w:p w:rsidR="008B72F0" w:rsidRPr="00AF3E71" w:rsidP="00AF3E71">
      <w:pPr>
        <w:pStyle w:val="ListParagraph"/>
        <w:numPr>
          <w:ilvl w:val="0"/>
          <w:numId w:val="27"/>
        </w:numPr>
        <w:shd w:val="clear" w:color="auto" w:fill="FFFFFF"/>
        <w:spacing w:after="240" w:line="240" w:lineRule="auto"/>
        <w:contextualSpacing w:val="0"/>
        <w:jc w:val="both"/>
        <w:rPr>
          <w:rFonts w:ascii="Arial" w:hAnsi="Arial" w:cs="Arial"/>
        </w:rPr>
      </w:pPr>
      <w:r>
        <w:rPr>
          <w:rFonts w:ascii="Arial" w:hAnsi="Arial" w:cs="Arial"/>
        </w:rPr>
        <w:t>Our work in 2020/21 will be shaped by the need to understand the impact of COVIID-19 on the market and how our work with the sector will ensure that an effective and efficient market can still operate in these challenging times.</w:t>
      </w:r>
    </w:p>
    <w:p w:rsidR="00732C5B" w:rsidRPr="00AF3E71" w:rsidP="00AF3E71">
      <w:pPr>
        <w:shd w:val="clear" w:color="auto" w:fill="FFFFFF"/>
        <w:spacing w:after="240" w:line="240" w:lineRule="auto"/>
        <w:ind w:left="357"/>
        <w:jc w:val="both"/>
        <w:rPr>
          <w:rFonts w:ascii="Arial" w:hAnsi="Arial" w:cs="Arial"/>
          <w:b/>
        </w:rPr>
      </w:pPr>
      <w:r w:rsidRPr="00AF3E71">
        <w:rPr>
          <w:rFonts w:ascii="Arial" w:hAnsi="Arial" w:cs="Arial"/>
          <w:b/>
        </w:rPr>
        <w:t>Goal 6 Develop and manage our people, resources and systems</w:t>
      </w:r>
    </w:p>
    <w:p w:rsidR="00D27AE5" w:rsidP="00AF3E71">
      <w:pPr>
        <w:pStyle w:val="ListParagraph"/>
        <w:numPr>
          <w:ilvl w:val="0"/>
          <w:numId w:val="27"/>
        </w:numPr>
        <w:shd w:val="clear" w:color="auto" w:fill="FFFFFF"/>
        <w:spacing w:after="240" w:line="240" w:lineRule="auto"/>
        <w:contextualSpacing w:val="0"/>
        <w:jc w:val="both"/>
        <w:rPr>
          <w:rFonts w:ascii="Arial" w:hAnsi="Arial" w:cs="Arial"/>
        </w:rPr>
      </w:pPr>
      <w:r w:rsidRPr="00AF3E71">
        <w:rPr>
          <w:rFonts w:ascii="Arial" w:hAnsi="Arial" w:cs="Arial"/>
        </w:rPr>
        <w:t xml:space="preserve">We are an established and expert organisation, achieving our goals through our people working together and with stakeholders across the education and training system. We </w:t>
      </w:r>
      <w:r w:rsidR="00750447">
        <w:rPr>
          <w:rFonts w:ascii="Arial" w:hAnsi="Arial" w:cs="Arial"/>
        </w:rPr>
        <w:t>will</w:t>
      </w:r>
      <w:r w:rsidRPr="00AF3E71">
        <w:rPr>
          <w:rFonts w:ascii="Arial" w:hAnsi="Arial" w:cs="Arial"/>
        </w:rPr>
        <w:t xml:space="preserve"> continue to make sure our people have the right skills, expertise and capacity to work effectively and achieve the work set out in our Corporate Plan. </w:t>
      </w:r>
    </w:p>
    <w:p w:rsidR="008B72F0" w:rsidRPr="00AF3E71" w:rsidP="00AF3E71">
      <w:pPr>
        <w:pStyle w:val="ListParagraph"/>
        <w:numPr>
          <w:ilvl w:val="0"/>
          <w:numId w:val="27"/>
        </w:numPr>
        <w:shd w:val="clear" w:color="auto" w:fill="FFFFFF"/>
        <w:spacing w:after="240" w:line="240" w:lineRule="auto"/>
        <w:contextualSpacing w:val="0"/>
        <w:jc w:val="both"/>
        <w:rPr>
          <w:rFonts w:ascii="Arial" w:hAnsi="Arial" w:cs="Arial"/>
        </w:rPr>
      </w:pPr>
      <w:r>
        <w:rPr>
          <w:rFonts w:ascii="Arial" w:hAnsi="Arial" w:cs="Arial"/>
        </w:rPr>
        <w:t>COVID-19 will place an extraordinary pressure on a small organisation to delivery priorities in Goals 1 to 6 and so work has been undertaken to prioritise activities through 2020/21 and will be reviewed periodically to consider how resources can be allocated onto Ofqual’s most important activities.</w:t>
      </w:r>
    </w:p>
    <w:p w:rsidR="00DE2997" w:rsidRPr="00834B90" w:rsidP="00AF3E71">
      <w:pPr>
        <w:pStyle w:val="Heading2"/>
        <w:ind w:firstLine="357"/>
        <w:jc w:val="both"/>
        <w:rPr>
          <w:rFonts w:ascii="Arial" w:hAnsi="Arial" w:cs="Arial"/>
          <w:sz w:val="40"/>
          <w:szCs w:val="40"/>
        </w:rPr>
      </w:pPr>
      <w:bookmarkStart w:id="4" w:name="_Toc37244801"/>
      <w:r w:rsidRPr="00834B90">
        <w:rPr>
          <w:rFonts w:ascii="Arial" w:hAnsi="Arial" w:cs="Arial"/>
          <w:sz w:val="40"/>
          <w:szCs w:val="40"/>
        </w:rPr>
        <w:t>Spending controls</w:t>
      </w:r>
      <w:bookmarkEnd w:id="4"/>
    </w:p>
    <w:p w:rsidR="00F94CBD" w:rsidRPr="00AF3E71" w:rsidP="00AF3E71">
      <w:pPr>
        <w:pStyle w:val="ListParagraph"/>
        <w:numPr>
          <w:ilvl w:val="0"/>
          <w:numId w:val="27"/>
        </w:numPr>
        <w:shd w:val="clear" w:color="auto" w:fill="FFFFFF"/>
        <w:spacing w:after="240" w:line="240" w:lineRule="auto"/>
        <w:ind w:left="357" w:hanging="357"/>
        <w:contextualSpacing w:val="0"/>
        <w:jc w:val="both"/>
        <w:rPr>
          <w:rFonts w:ascii="Arial" w:hAnsi="Arial" w:cs="Arial"/>
        </w:rPr>
      </w:pPr>
      <w:r w:rsidRPr="00AF3E71">
        <w:rPr>
          <w:rFonts w:ascii="Arial" w:hAnsi="Arial" w:cs="Arial"/>
        </w:rPr>
        <w:t>Ofqual’s</w:t>
      </w:r>
      <w:r w:rsidRPr="00AF3E71">
        <w:rPr>
          <w:rFonts w:ascii="Arial" w:hAnsi="Arial" w:cs="Arial"/>
        </w:rPr>
        <w:t xml:space="preserve"> </w:t>
      </w:r>
      <w:r w:rsidRPr="00AF3E71" w:rsidR="0078792D">
        <w:rPr>
          <w:rFonts w:ascii="Arial" w:hAnsi="Arial" w:cs="Arial"/>
        </w:rPr>
        <w:t xml:space="preserve">net </w:t>
      </w:r>
      <w:r w:rsidRPr="00AF3E71">
        <w:rPr>
          <w:rFonts w:ascii="Arial" w:hAnsi="Arial" w:cs="Arial"/>
        </w:rPr>
        <w:t xml:space="preserve">spending </w:t>
      </w:r>
      <w:r w:rsidRPr="00AF3E71">
        <w:rPr>
          <w:rFonts w:ascii="Arial" w:hAnsi="Arial" w:cs="Arial"/>
        </w:rPr>
        <w:t>comprises</w:t>
      </w:r>
      <w:r w:rsidRPr="00AF3E71">
        <w:rPr>
          <w:rFonts w:ascii="Arial" w:hAnsi="Arial" w:cs="Arial"/>
        </w:rPr>
        <w:t xml:space="preserve"> several different spending totals, for which Parliament’s approval is sought. </w:t>
      </w:r>
    </w:p>
    <w:p w:rsidR="00F94CBD" w:rsidRPr="00AF3E71" w:rsidP="00AF3E71">
      <w:pPr>
        <w:pStyle w:val="ListParagraph"/>
        <w:numPr>
          <w:ilvl w:val="0"/>
          <w:numId w:val="27"/>
        </w:numPr>
        <w:shd w:val="clear" w:color="auto" w:fill="FFFFFF"/>
        <w:spacing w:after="240" w:line="240" w:lineRule="auto"/>
        <w:ind w:left="357" w:hanging="357"/>
        <w:contextualSpacing w:val="0"/>
        <w:jc w:val="both"/>
        <w:rPr>
          <w:rFonts w:ascii="Arial" w:hAnsi="Arial" w:cs="Arial"/>
        </w:rPr>
      </w:pPr>
      <w:r w:rsidRPr="00AF3E71">
        <w:rPr>
          <w:rFonts w:ascii="Arial" w:hAnsi="Arial" w:cs="Arial"/>
        </w:rPr>
        <w:t>The spending totals</w:t>
      </w:r>
      <w:r w:rsidRPr="00AF3E71" w:rsidR="006678B8">
        <w:rPr>
          <w:rFonts w:ascii="Arial" w:hAnsi="Arial" w:cs="Arial"/>
        </w:rPr>
        <w:t xml:space="preserve"> </w:t>
      </w:r>
      <w:r w:rsidRPr="00AF3E71" w:rsidR="006030B9">
        <w:rPr>
          <w:rFonts w:ascii="Arial" w:hAnsi="Arial" w:cs="Arial"/>
        </w:rPr>
        <w:t>that</w:t>
      </w:r>
      <w:r w:rsidRPr="00AF3E71">
        <w:rPr>
          <w:rFonts w:ascii="Arial" w:hAnsi="Arial" w:cs="Arial"/>
        </w:rPr>
        <w:t xml:space="preserve"> Parliament votes </w:t>
      </w:r>
      <w:r w:rsidRPr="00AF3E71" w:rsidR="006678B8">
        <w:rPr>
          <w:rFonts w:ascii="Arial" w:hAnsi="Arial" w:cs="Arial"/>
        </w:rPr>
        <w:t xml:space="preserve">for Ofqual </w:t>
      </w:r>
      <w:r w:rsidRPr="00AF3E71">
        <w:rPr>
          <w:rFonts w:ascii="Arial" w:hAnsi="Arial" w:cs="Arial"/>
        </w:rPr>
        <w:t>are:</w:t>
      </w:r>
    </w:p>
    <w:p w:rsidR="007B4F10" w:rsidRPr="00AF3E71" w:rsidP="00AF3E71">
      <w:pPr>
        <w:pStyle w:val="ListParagraph"/>
        <w:numPr>
          <w:ilvl w:val="0"/>
          <w:numId w:val="31"/>
        </w:numPr>
        <w:jc w:val="both"/>
        <w:rPr>
          <w:rFonts w:ascii="Arial" w:hAnsi="Arial" w:cs="Arial"/>
        </w:rPr>
      </w:pPr>
      <w:r w:rsidRPr="00AF3E71">
        <w:rPr>
          <w:rFonts w:ascii="Arial" w:hAnsi="Arial" w:cs="Arial"/>
        </w:rPr>
        <w:t>Resource Depar</w:t>
      </w:r>
      <w:r w:rsidRPr="00AF3E71" w:rsidR="006030B9">
        <w:rPr>
          <w:rFonts w:ascii="Arial" w:hAnsi="Arial" w:cs="Arial"/>
        </w:rPr>
        <w:t>tmental Expenditure Limit (</w:t>
      </w:r>
      <w:r w:rsidRPr="00AF3E71">
        <w:rPr>
          <w:rFonts w:ascii="Arial" w:hAnsi="Arial" w:cs="Arial"/>
          <w:b/>
        </w:rPr>
        <w:t>Resource DEL</w:t>
      </w:r>
      <w:r w:rsidRPr="00AF3E71">
        <w:rPr>
          <w:rFonts w:ascii="Arial" w:hAnsi="Arial" w:cs="Arial"/>
        </w:rPr>
        <w:t>)</w:t>
      </w:r>
      <w:r w:rsidRPr="00AF3E71" w:rsidR="006030B9">
        <w:rPr>
          <w:rFonts w:ascii="Arial" w:hAnsi="Arial" w:cs="Arial"/>
        </w:rPr>
        <w:t xml:space="preserve"> </w:t>
      </w:r>
      <w:r w:rsidRPr="00AF3E71">
        <w:rPr>
          <w:rFonts w:ascii="Arial" w:hAnsi="Arial" w:cs="Arial"/>
        </w:rPr>
        <w:t xml:space="preserve">- </w:t>
      </w:r>
      <w:r w:rsidRPr="00AF3E71" w:rsidR="0078792D">
        <w:rPr>
          <w:rFonts w:ascii="Arial" w:hAnsi="Arial" w:cs="Arial"/>
        </w:rPr>
        <w:t xml:space="preserve">a net limit comprising </w:t>
      </w:r>
      <w:r w:rsidRPr="00AF3E71">
        <w:rPr>
          <w:rFonts w:ascii="Arial" w:hAnsi="Arial" w:cs="Arial"/>
        </w:rPr>
        <w:t>day to day running costs</w:t>
      </w:r>
      <w:r w:rsidRPr="00AF3E71" w:rsidR="0078792D">
        <w:rPr>
          <w:rFonts w:ascii="Arial" w:hAnsi="Arial" w:cs="Arial"/>
        </w:rPr>
        <w:t xml:space="preserve">, less income from </w:t>
      </w:r>
      <w:r w:rsidRPr="00AF3E71" w:rsidR="006030B9">
        <w:rPr>
          <w:rFonts w:ascii="Arial" w:hAnsi="Arial" w:cs="Arial"/>
        </w:rPr>
        <w:t>cost recovery</w:t>
      </w:r>
      <w:r w:rsidRPr="00AF3E71" w:rsidR="00F6502A">
        <w:rPr>
          <w:rFonts w:ascii="Arial" w:hAnsi="Arial" w:cs="Arial"/>
        </w:rPr>
        <w:t>.</w:t>
      </w:r>
    </w:p>
    <w:p w:rsidR="007B4F10" w:rsidRPr="00AF3E71" w:rsidP="00AF3E71">
      <w:pPr>
        <w:pStyle w:val="ListParagraph"/>
        <w:numPr>
          <w:ilvl w:val="0"/>
          <w:numId w:val="31"/>
        </w:numPr>
        <w:jc w:val="both"/>
        <w:rPr>
          <w:rFonts w:ascii="Arial" w:hAnsi="Arial" w:cs="Arial"/>
        </w:rPr>
      </w:pPr>
      <w:r w:rsidRPr="00AF3E71">
        <w:rPr>
          <w:rFonts w:ascii="Arial" w:hAnsi="Arial" w:cs="Arial"/>
        </w:rPr>
        <w:t>Capital D</w:t>
      </w:r>
      <w:r w:rsidRPr="00AF3E71" w:rsidR="006030B9">
        <w:rPr>
          <w:rFonts w:ascii="Arial" w:hAnsi="Arial" w:cs="Arial"/>
        </w:rPr>
        <w:t>epartmental Expenditure Limit (</w:t>
      </w:r>
      <w:r w:rsidRPr="00AF3E71">
        <w:rPr>
          <w:rFonts w:ascii="Arial" w:hAnsi="Arial" w:cs="Arial"/>
          <w:b/>
        </w:rPr>
        <w:t>Capital DEL</w:t>
      </w:r>
      <w:r w:rsidRPr="00AF3E71" w:rsidR="006030B9">
        <w:rPr>
          <w:rFonts w:ascii="Arial" w:hAnsi="Arial" w:cs="Arial"/>
        </w:rPr>
        <w:t>)</w:t>
      </w:r>
      <w:r w:rsidRPr="00AF3E71">
        <w:rPr>
          <w:rFonts w:ascii="Arial" w:hAnsi="Arial" w:cs="Arial"/>
        </w:rPr>
        <w:t xml:space="preserve"> - investment in </w:t>
      </w:r>
      <w:r w:rsidRPr="00AF3E71" w:rsidR="006678B8">
        <w:rPr>
          <w:rFonts w:ascii="Arial" w:hAnsi="Arial" w:cs="Arial"/>
        </w:rPr>
        <w:t>digital infrastructure</w:t>
      </w:r>
      <w:r w:rsidRPr="00AF3E71" w:rsidR="00F6502A">
        <w:rPr>
          <w:rFonts w:ascii="Arial" w:hAnsi="Arial" w:cs="Arial"/>
        </w:rPr>
        <w:t>. All Ofqual’s capital is classified as programme expenditure.</w:t>
      </w:r>
    </w:p>
    <w:p w:rsidR="006030B9" w:rsidRPr="00AF3E71" w:rsidP="00AF3E71">
      <w:pPr>
        <w:pStyle w:val="ListParagraph"/>
        <w:numPr>
          <w:ilvl w:val="0"/>
          <w:numId w:val="31"/>
        </w:numPr>
        <w:jc w:val="both"/>
        <w:rPr>
          <w:rFonts w:ascii="Arial" w:hAnsi="Arial" w:cs="Arial"/>
        </w:rPr>
      </w:pPr>
      <w:r w:rsidRPr="00AF3E71">
        <w:rPr>
          <w:rFonts w:ascii="Arial" w:hAnsi="Arial" w:cs="Arial"/>
        </w:rPr>
        <w:t>Annually Managed Expenditure (</w:t>
      </w:r>
      <w:r w:rsidRPr="00AF3E71">
        <w:rPr>
          <w:rFonts w:ascii="Arial" w:hAnsi="Arial" w:cs="Arial"/>
          <w:b/>
        </w:rPr>
        <w:t>AME</w:t>
      </w:r>
      <w:r w:rsidRPr="00AF3E71">
        <w:rPr>
          <w:rFonts w:ascii="Arial" w:hAnsi="Arial" w:cs="Arial"/>
        </w:rPr>
        <w:t xml:space="preserve">) </w:t>
      </w:r>
      <w:r w:rsidRPr="00AF3E71" w:rsidR="006678B8">
        <w:rPr>
          <w:rFonts w:ascii="Arial" w:hAnsi="Arial" w:cs="Arial"/>
        </w:rPr>
        <w:t>–</w:t>
      </w:r>
      <w:r w:rsidRPr="00AF3E71">
        <w:rPr>
          <w:rFonts w:ascii="Arial" w:hAnsi="Arial" w:cs="Arial"/>
        </w:rPr>
        <w:t xml:space="preserve"> </w:t>
      </w:r>
      <w:r w:rsidRPr="00AF3E71" w:rsidR="006678B8">
        <w:rPr>
          <w:rFonts w:ascii="Arial" w:hAnsi="Arial" w:cs="Arial"/>
        </w:rPr>
        <w:t>to support the creation and use of provisions</w:t>
      </w:r>
      <w:r w:rsidRPr="00AF3E71" w:rsidR="0053397F">
        <w:rPr>
          <w:rFonts w:ascii="Arial" w:hAnsi="Arial" w:cs="Arial"/>
        </w:rPr>
        <w:t>. A</w:t>
      </w:r>
      <w:r w:rsidRPr="00AF3E71" w:rsidR="00153D82">
        <w:rPr>
          <w:rFonts w:ascii="Arial" w:hAnsi="Arial" w:cs="Arial"/>
        </w:rPr>
        <w:t>ll Ofqual’s AME is resource AME; capital AME is not required.</w:t>
      </w:r>
    </w:p>
    <w:p w:rsidR="006678B8" w:rsidRPr="00AF3E71" w:rsidP="00AF3E71">
      <w:pPr>
        <w:pStyle w:val="ListParagraph"/>
        <w:jc w:val="both"/>
        <w:rPr>
          <w:rFonts w:ascii="Arial" w:hAnsi="Arial" w:cs="Arial"/>
          <w:highlight w:val="yellow"/>
        </w:rPr>
      </w:pPr>
    </w:p>
    <w:p w:rsidR="00657CBA" w:rsidRPr="00AF3E71" w:rsidP="00AF3E71">
      <w:pPr>
        <w:pStyle w:val="ListParagraph"/>
        <w:numPr>
          <w:ilvl w:val="0"/>
          <w:numId w:val="27"/>
        </w:numPr>
        <w:shd w:val="clear" w:color="auto" w:fill="FFFFFF"/>
        <w:spacing w:after="240" w:line="240" w:lineRule="auto"/>
        <w:ind w:left="357" w:hanging="357"/>
        <w:contextualSpacing w:val="0"/>
        <w:jc w:val="both"/>
        <w:rPr>
          <w:rFonts w:ascii="Arial" w:hAnsi="Arial" w:cs="Arial"/>
        </w:rPr>
      </w:pPr>
      <w:r w:rsidRPr="00AF3E71">
        <w:rPr>
          <w:rFonts w:ascii="Arial" w:hAnsi="Arial" w:cs="Arial"/>
        </w:rPr>
        <w:t>The sum of these is the Total Managed Expenditure (</w:t>
      </w:r>
      <w:r w:rsidRPr="00AF3E71">
        <w:rPr>
          <w:rFonts w:ascii="Arial" w:hAnsi="Arial" w:cs="Arial"/>
          <w:b/>
        </w:rPr>
        <w:t>TME</w:t>
      </w:r>
      <w:r w:rsidRPr="00AF3E71">
        <w:rPr>
          <w:rFonts w:ascii="Arial" w:hAnsi="Arial" w:cs="Arial"/>
        </w:rPr>
        <w:t xml:space="preserve">) for Ofqual. </w:t>
      </w:r>
      <w:r w:rsidRPr="00AF3E71" w:rsidR="00B40678">
        <w:rPr>
          <w:rFonts w:ascii="Arial" w:hAnsi="Arial" w:cs="Arial"/>
        </w:rPr>
        <w:t>Parliament</w:t>
      </w:r>
      <w:r w:rsidRPr="00AF3E71">
        <w:rPr>
          <w:rFonts w:ascii="Arial" w:hAnsi="Arial" w:cs="Arial"/>
        </w:rPr>
        <w:t xml:space="preserve"> also</w:t>
      </w:r>
      <w:r w:rsidRPr="00AF3E71" w:rsidR="00B40678">
        <w:rPr>
          <w:rFonts w:ascii="Arial" w:hAnsi="Arial" w:cs="Arial"/>
        </w:rPr>
        <w:t xml:space="preserve"> votes a net cash requirement, </w:t>
      </w:r>
      <w:r w:rsidRPr="00AF3E71" w:rsidR="004E6440">
        <w:rPr>
          <w:rFonts w:ascii="Arial" w:hAnsi="Arial" w:cs="Arial"/>
        </w:rPr>
        <w:t>which</w:t>
      </w:r>
      <w:r w:rsidRPr="00AF3E71" w:rsidR="00B40678">
        <w:rPr>
          <w:rFonts w:ascii="Arial" w:hAnsi="Arial" w:cs="Arial"/>
        </w:rPr>
        <w:t xml:space="preserve"> cover</w:t>
      </w:r>
      <w:r w:rsidRPr="00AF3E71" w:rsidR="004E6440">
        <w:rPr>
          <w:rFonts w:ascii="Arial" w:hAnsi="Arial" w:cs="Arial"/>
        </w:rPr>
        <w:t>s</w:t>
      </w:r>
      <w:r w:rsidRPr="00AF3E71" w:rsidR="00B40678">
        <w:rPr>
          <w:rFonts w:ascii="Arial" w:hAnsi="Arial" w:cs="Arial"/>
        </w:rPr>
        <w:t xml:space="preserve"> the elements of the above budgets </w:t>
      </w:r>
      <w:r w:rsidRPr="00AF3E71" w:rsidR="006678B8">
        <w:rPr>
          <w:rFonts w:ascii="Arial" w:hAnsi="Arial" w:cs="Arial"/>
        </w:rPr>
        <w:t>that</w:t>
      </w:r>
      <w:r w:rsidRPr="00AF3E71" w:rsidR="00B40678">
        <w:rPr>
          <w:rFonts w:ascii="Arial" w:hAnsi="Arial" w:cs="Arial"/>
        </w:rPr>
        <w:t xml:space="preserve"> require </w:t>
      </w:r>
      <w:r w:rsidRPr="00AF3E71" w:rsidR="006678B8">
        <w:rPr>
          <w:rFonts w:ascii="Arial" w:hAnsi="Arial" w:cs="Arial"/>
        </w:rPr>
        <w:t>Ofqual</w:t>
      </w:r>
      <w:r w:rsidRPr="00AF3E71" w:rsidR="00B40678">
        <w:rPr>
          <w:rFonts w:ascii="Arial" w:hAnsi="Arial" w:cs="Arial"/>
        </w:rPr>
        <w:t xml:space="preserve"> to pay out cash in year</w:t>
      </w:r>
      <w:r w:rsidRPr="00AF3E71" w:rsidR="006678B8">
        <w:rPr>
          <w:rFonts w:ascii="Arial" w:hAnsi="Arial" w:cs="Arial"/>
        </w:rPr>
        <w:t>.</w:t>
      </w:r>
    </w:p>
    <w:p w:rsidR="00F94CBD" w:rsidRPr="00834B90" w:rsidP="00AF3E71">
      <w:pPr>
        <w:pStyle w:val="Heading2"/>
        <w:ind w:firstLine="357"/>
        <w:jc w:val="both"/>
        <w:rPr>
          <w:rFonts w:ascii="Arial" w:hAnsi="Arial" w:cs="Arial"/>
          <w:sz w:val="40"/>
          <w:szCs w:val="40"/>
        </w:rPr>
      </w:pPr>
      <w:bookmarkStart w:id="5" w:name="_Toc37244802"/>
      <w:r w:rsidRPr="00834B90">
        <w:rPr>
          <w:rFonts w:ascii="Arial" w:hAnsi="Arial" w:cs="Arial"/>
          <w:sz w:val="40"/>
          <w:szCs w:val="40"/>
        </w:rPr>
        <w:t xml:space="preserve">Comparison of </w:t>
      </w:r>
      <w:r w:rsidRPr="00834B90" w:rsidR="004F1E1B">
        <w:rPr>
          <w:rFonts w:ascii="Arial" w:hAnsi="Arial" w:cs="Arial"/>
          <w:sz w:val="40"/>
          <w:szCs w:val="40"/>
        </w:rPr>
        <w:t xml:space="preserve">net </w:t>
      </w:r>
      <w:r w:rsidRPr="00834B90">
        <w:rPr>
          <w:rFonts w:ascii="Arial" w:hAnsi="Arial" w:cs="Arial"/>
          <w:sz w:val="40"/>
          <w:szCs w:val="40"/>
        </w:rPr>
        <w:t>spending totals sought</w:t>
      </w:r>
      <w:bookmarkEnd w:id="5"/>
      <w:r w:rsidRPr="00834B90">
        <w:rPr>
          <w:rFonts w:ascii="Arial" w:hAnsi="Arial" w:cs="Arial"/>
          <w:sz w:val="40"/>
          <w:szCs w:val="40"/>
        </w:rPr>
        <w:t xml:space="preserve"> </w:t>
      </w:r>
    </w:p>
    <w:p w:rsidR="00794FF5" w:rsidP="00AF3E71">
      <w:pPr>
        <w:pStyle w:val="ListParagraph"/>
        <w:numPr>
          <w:ilvl w:val="0"/>
          <w:numId w:val="27"/>
        </w:numPr>
        <w:shd w:val="clear" w:color="auto" w:fill="FFFFFF"/>
        <w:spacing w:after="240" w:line="240" w:lineRule="auto"/>
        <w:contextualSpacing w:val="0"/>
        <w:jc w:val="both"/>
        <w:rPr>
          <w:rFonts w:ascii="Arial" w:hAnsi="Arial" w:cs="Arial"/>
        </w:rPr>
      </w:pPr>
      <w:r>
        <w:rPr>
          <w:rFonts w:ascii="Arial" w:hAnsi="Arial" w:cs="Arial"/>
        </w:rPr>
        <w:t xml:space="preserve">The Main Estimate is based on the Settlement agreed for Ofqual </w:t>
      </w:r>
      <w:r w:rsidR="00907269">
        <w:rPr>
          <w:rFonts w:ascii="Arial" w:hAnsi="Arial" w:cs="Arial"/>
        </w:rPr>
        <w:t>at</w:t>
      </w:r>
      <w:r>
        <w:rPr>
          <w:rFonts w:ascii="Arial" w:hAnsi="Arial" w:cs="Arial"/>
        </w:rPr>
        <w:t xml:space="preserve"> SR19. In addition, in-year funding has been agreed from the Department for Education</w:t>
      </w:r>
      <w:r w:rsidR="0057403F">
        <w:rPr>
          <w:rFonts w:ascii="Arial" w:hAnsi="Arial" w:cs="Arial"/>
        </w:rPr>
        <w:t xml:space="preserve"> (DfE)</w:t>
      </w:r>
      <w:r>
        <w:rPr>
          <w:rFonts w:ascii="Arial" w:hAnsi="Arial" w:cs="Arial"/>
        </w:rPr>
        <w:t xml:space="preserve"> to deliver a comprehensive programme of vocational and technical qualifications reform. SR19 provided a </w:t>
      </w:r>
      <w:r w:rsidR="00470CC9">
        <w:rPr>
          <w:rFonts w:ascii="Arial" w:hAnsi="Arial" w:cs="Arial"/>
        </w:rPr>
        <w:t>1</w:t>
      </w:r>
      <w:r>
        <w:rPr>
          <w:rFonts w:ascii="Arial" w:hAnsi="Arial" w:cs="Arial"/>
        </w:rPr>
        <w:t>-year Settlement; it is anticipated that medium term funding beyond 2020/21 will be agreed at the 2020 Comprehensive Spending Review (CSR20).</w:t>
      </w:r>
    </w:p>
    <w:p w:rsidR="00C954CE" w:rsidRPr="00794ECE" w:rsidP="00EA30F9">
      <w:pPr>
        <w:pStyle w:val="ListParagraph"/>
        <w:numPr>
          <w:ilvl w:val="0"/>
          <w:numId w:val="27"/>
        </w:numPr>
        <w:shd w:val="clear" w:color="auto" w:fill="FFFFFF"/>
        <w:spacing w:after="240" w:line="240" w:lineRule="auto"/>
        <w:contextualSpacing w:val="0"/>
        <w:jc w:val="both"/>
        <w:rPr>
          <w:rFonts w:ascii="Arial" w:hAnsi="Arial" w:cs="Arial"/>
        </w:rPr>
      </w:pPr>
      <w:r w:rsidRPr="00AF3E71">
        <w:rPr>
          <w:rFonts w:ascii="Arial" w:hAnsi="Arial" w:cs="Arial"/>
        </w:rPr>
        <w:t>Table 1</w:t>
      </w:r>
      <w:r w:rsidRPr="00AF3E71" w:rsidR="007B4F10">
        <w:rPr>
          <w:rFonts w:ascii="Arial" w:hAnsi="Arial" w:cs="Arial"/>
        </w:rPr>
        <w:t xml:space="preserve"> below show</w:t>
      </w:r>
      <w:r w:rsidRPr="00AF3E71" w:rsidR="00781229">
        <w:rPr>
          <w:rFonts w:ascii="Arial" w:hAnsi="Arial" w:cs="Arial"/>
        </w:rPr>
        <w:t>s</w:t>
      </w:r>
      <w:r w:rsidRPr="00AF3E71" w:rsidR="007B4F10">
        <w:rPr>
          <w:rFonts w:ascii="Arial" w:hAnsi="Arial" w:cs="Arial"/>
        </w:rPr>
        <w:t xml:space="preserve"> how </w:t>
      </w:r>
      <w:r w:rsidRPr="00AF3E71" w:rsidR="00C11510">
        <w:rPr>
          <w:rFonts w:ascii="Arial" w:hAnsi="Arial" w:cs="Arial"/>
        </w:rPr>
        <w:t xml:space="preserve">the net spending totals sought for Ofqual at the </w:t>
      </w:r>
      <w:r>
        <w:rPr>
          <w:rFonts w:ascii="Arial" w:hAnsi="Arial" w:cs="Arial"/>
        </w:rPr>
        <w:t xml:space="preserve">Main </w:t>
      </w:r>
      <w:r w:rsidRPr="00AF3E71" w:rsidR="00C11510">
        <w:rPr>
          <w:rFonts w:ascii="Arial" w:hAnsi="Arial" w:cs="Arial"/>
        </w:rPr>
        <w:t>Estimate compare with the previous financial year</w:t>
      </w:r>
      <w:r w:rsidRPr="00AF3E71">
        <w:rPr>
          <w:rFonts w:ascii="Arial" w:hAnsi="Arial" w:cs="Arial"/>
        </w:rPr>
        <w:t>.</w:t>
      </w:r>
    </w:p>
    <w:p w:rsidR="00810BE6" w:rsidRPr="0024016E" w:rsidP="00AF3E71">
      <w:pPr>
        <w:keepNext/>
        <w:keepLines/>
        <w:shd w:val="clear" w:color="auto" w:fill="FFFFFF"/>
        <w:spacing w:after="0" w:line="240" w:lineRule="auto"/>
        <w:ind w:firstLine="357"/>
        <w:jc w:val="both"/>
        <w:rPr>
          <w:rFonts w:ascii="Arial" w:hAnsi="Arial" w:cs="Arial"/>
          <w:sz w:val="24"/>
          <w:szCs w:val="24"/>
        </w:rPr>
      </w:pPr>
      <w:r w:rsidRPr="0024016E">
        <w:rPr>
          <w:rFonts w:ascii="Arial" w:hAnsi="Arial" w:cs="Arial"/>
          <w:sz w:val="24"/>
          <w:szCs w:val="24"/>
        </w:rPr>
        <w:t>Table 1: Comparison of net spending totals</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559"/>
        <w:gridCol w:w="1559"/>
        <w:gridCol w:w="1559"/>
        <w:gridCol w:w="1559"/>
        <w:gridCol w:w="1560"/>
      </w:tblGrid>
      <w:tr w:rsidTr="0024016E">
        <w:tblPrEx>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3260" w:type="dxa"/>
            <w:gridSpan w:val="2"/>
            <w:shd w:val="clear" w:color="auto" w:fill="E2EFD9" w:themeFill="accent6" w:themeFillTint="33"/>
          </w:tcPr>
          <w:p w:rsidR="00885F50" w:rsidRPr="0024016E" w:rsidP="0024016E">
            <w:pPr>
              <w:keepNext/>
              <w:keepLines/>
              <w:spacing w:after="0" w:line="240" w:lineRule="auto"/>
              <w:rPr>
                <w:rFonts w:ascii="Arial" w:hAnsi="Arial" w:cs="Arial"/>
                <w:b/>
                <w:color w:val="333333"/>
              </w:rPr>
            </w:pPr>
            <w:r w:rsidRPr="0024016E">
              <w:rPr>
                <w:rFonts w:ascii="Arial" w:hAnsi="Arial" w:cs="Arial"/>
                <w:b/>
                <w:color w:val="333333"/>
              </w:rPr>
              <w:t>Net spending total</w:t>
            </w:r>
          </w:p>
          <w:p w:rsidR="00885F50" w:rsidRPr="0024016E" w:rsidP="0024016E">
            <w:pPr>
              <w:keepNext/>
              <w:keepLines/>
              <w:spacing w:after="0" w:line="240" w:lineRule="auto"/>
              <w:rPr>
                <w:rFonts w:ascii="Arial" w:hAnsi="Arial" w:cs="Arial"/>
                <w:b/>
                <w:color w:val="333333"/>
                <w:sz w:val="10"/>
                <w:szCs w:val="10"/>
              </w:rPr>
            </w:pPr>
          </w:p>
          <w:p w:rsidR="00885F50" w:rsidRPr="0024016E" w:rsidP="0024016E">
            <w:pPr>
              <w:keepNext/>
              <w:keepLines/>
              <w:spacing w:after="0" w:line="240" w:lineRule="auto"/>
              <w:rPr>
                <w:rFonts w:ascii="Arial" w:hAnsi="Arial" w:cs="Arial"/>
                <w:b/>
                <w:color w:val="333333"/>
              </w:rPr>
            </w:pPr>
            <w:r w:rsidRPr="0024016E">
              <w:rPr>
                <w:rFonts w:ascii="Arial" w:hAnsi="Arial" w:cs="Arial"/>
                <w:b/>
                <w:color w:val="333333"/>
              </w:rPr>
              <w:t xml:space="preserve">Amounts sought in the </w:t>
            </w:r>
            <w:r w:rsidRPr="0024016E" w:rsidR="00F715F1">
              <w:rPr>
                <w:rFonts w:ascii="Arial" w:hAnsi="Arial" w:cs="Arial"/>
                <w:b/>
                <w:color w:val="333333"/>
              </w:rPr>
              <w:t>Main</w:t>
            </w:r>
            <w:r w:rsidRPr="0024016E">
              <w:rPr>
                <w:rFonts w:ascii="Arial" w:hAnsi="Arial" w:cs="Arial"/>
                <w:b/>
                <w:color w:val="333333"/>
              </w:rPr>
              <w:t xml:space="preserve"> Estimate 20</w:t>
            </w:r>
            <w:r w:rsidRPr="0024016E" w:rsidR="00C954CE">
              <w:rPr>
                <w:rFonts w:ascii="Arial" w:hAnsi="Arial" w:cs="Arial"/>
                <w:b/>
                <w:color w:val="333333"/>
              </w:rPr>
              <w:t>20</w:t>
            </w:r>
            <w:r w:rsidRPr="0024016E">
              <w:rPr>
                <w:rFonts w:ascii="Arial" w:hAnsi="Arial" w:cs="Arial"/>
                <w:b/>
                <w:color w:val="333333"/>
              </w:rPr>
              <w:t>/</w:t>
            </w:r>
            <w:r w:rsidRPr="0024016E" w:rsidR="00C954CE">
              <w:rPr>
                <w:rFonts w:ascii="Arial" w:hAnsi="Arial" w:cs="Arial"/>
                <w:b/>
                <w:color w:val="333333"/>
              </w:rPr>
              <w:t>21</w:t>
            </w:r>
          </w:p>
        </w:tc>
        <w:tc>
          <w:tcPr>
            <w:tcW w:w="3118" w:type="dxa"/>
            <w:gridSpan w:val="2"/>
            <w:shd w:val="clear" w:color="auto" w:fill="E2EFD9" w:themeFill="accent6" w:themeFillTint="33"/>
          </w:tcPr>
          <w:p w:rsidR="00885F50" w:rsidRPr="0024016E" w:rsidP="0024016E">
            <w:pPr>
              <w:keepNext/>
              <w:keepLines/>
              <w:spacing w:after="0" w:line="240" w:lineRule="auto"/>
              <w:rPr>
                <w:rFonts w:ascii="Arial" w:hAnsi="Arial" w:cs="Arial"/>
                <w:b/>
                <w:color w:val="333333"/>
              </w:rPr>
            </w:pPr>
          </w:p>
          <w:p w:rsidR="00885F50" w:rsidRPr="0024016E" w:rsidP="0024016E">
            <w:pPr>
              <w:keepNext/>
              <w:keepLines/>
              <w:spacing w:after="0" w:line="240" w:lineRule="auto"/>
              <w:rPr>
                <w:rFonts w:ascii="Arial" w:hAnsi="Arial" w:cs="Arial"/>
                <w:b/>
                <w:color w:val="333333"/>
                <w:sz w:val="10"/>
                <w:szCs w:val="10"/>
              </w:rPr>
            </w:pPr>
          </w:p>
          <w:p w:rsidR="00885F50" w:rsidRPr="0024016E" w:rsidP="0024016E">
            <w:pPr>
              <w:keepNext/>
              <w:keepLines/>
              <w:spacing w:after="0" w:line="240" w:lineRule="auto"/>
              <w:rPr>
                <w:rFonts w:ascii="Arial" w:hAnsi="Arial" w:cs="Arial"/>
                <w:b/>
                <w:color w:val="333333"/>
                <w:sz w:val="16"/>
                <w:szCs w:val="16"/>
              </w:rPr>
            </w:pPr>
            <w:r w:rsidRPr="0024016E">
              <w:rPr>
                <w:rFonts w:ascii="Arial" w:hAnsi="Arial" w:cs="Arial"/>
                <w:b/>
                <w:color w:val="333333"/>
              </w:rPr>
              <w:t xml:space="preserve">Compared to </w:t>
            </w:r>
            <w:r w:rsidRPr="0024016E" w:rsidR="00C954CE">
              <w:rPr>
                <w:rFonts w:ascii="Arial" w:hAnsi="Arial" w:cs="Arial"/>
                <w:b/>
                <w:color w:val="333333"/>
              </w:rPr>
              <w:t>final budget 2019/20</w:t>
            </w:r>
            <w:r w:rsidR="0024016E">
              <w:rPr>
                <w:rFonts w:ascii="Arial" w:hAnsi="Arial" w:cs="Arial"/>
                <w:b/>
                <w:color w:val="333333"/>
              </w:rPr>
              <w:t xml:space="preserve"> </w:t>
            </w:r>
            <w:r w:rsidRPr="0024016E" w:rsidR="00C954CE">
              <w:rPr>
                <w:rFonts w:ascii="Arial" w:hAnsi="Arial" w:cs="Arial"/>
                <w:color w:val="333333"/>
                <w:sz w:val="16"/>
                <w:szCs w:val="16"/>
              </w:rPr>
              <w:t>(Supplementary Estimate)</w:t>
            </w:r>
          </w:p>
        </w:tc>
        <w:tc>
          <w:tcPr>
            <w:tcW w:w="3119" w:type="dxa"/>
            <w:gridSpan w:val="2"/>
            <w:shd w:val="clear" w:color="auto" w:fill="E2EFD9" w:themeFill="accent6" w:themeFillTint="33"/>
          </w:tcPr>
          <w:p w:rsidR="00885F50" w:rsidRPr="0024016E" w:rsidP="0024016E">
            <w:pPr>
              <w:keepNext/>
              <w:keepLines/>
              <w:spacing w:after="0" w:line="240" w:lineRule="auto"/>
              <w:rPr>
                <w:rFonts w:ascii="Arial" w:hAnsi="Arial" w:cs="Arial"/>
                <w:b/>
                <w:color w:val="333333"/>
              </w:rPr>
            </w:pPr>
          </w:p>
          <w:p w:rsidR="00885F50" w:rsidRPr="0024016E" w:rsidP="0024016E">
            <w:pPr>
              <w:keepNext/>
              <w:keepLines/>
              <w:spacing w:after="0" w:line="240" w:lineRule="auto"/>
              <w:rPr>
                <w:rFonts w:ascii="Arial" w:hAnsi="Arial" w:cs="Arial"/>
                <w:b/>
                <w:color w:val="333333"/>
                <w:sz w:val="10"/>
                <w:szCs w:val="10"/>
              </w:rPr>
            </w:pPr>
          </w:p>
          <w:p w:rsidR="00885F50" w:rsidRPr="0024016E" w:rsidP="0024016E">
            <w:pPr>
              <w:keepNext/>
              <w:keepLines/>
              <w:spacing w:after="0" w:line="240" w:lineRule="auto"/>
              <w:rPr>
                <w:rFonts w:ascii="Arial" w:hAnsi="Arial" w:cs="Arial"/>
                <w:b/>
                <w:color w:val="333333"/>
                <w:sz w:val="16"/>
                <w:szCs w:val="16"/>
              </w:rPr>
            </w:pPr>
            <w:r w:rsidRPr="0024016E">
              <w:rPr>
                <w:rFonts w:ascii="Arial" w:hAnsi="Arial" w:cs="Arial"/>
                <w:b/>
                <w:color w:val="333333"/>
              </w:rPr>
              <w:t>Compared to final budget 2018/19</w:t>
            </w:r>
            <w:r w:rsidR="0024016E">
              <w:rPr>
                <w:rFonts w:ascii="Arial" w:hAnsi="Arial" w:cs="Arial"/>
                <w:b/>
                <w:color w:val="333333"/>
              </w:rPr>
              <w:t xml:space="preserve"> </w:t>
            </w:r>
            <w:r w:rsidRPr="0024016E">
              <w:rPr>
                <w:rFonts w:ascii="Arial" w:hAnsi="Arial" w:cs="Arial"/>
                <w:color w:val="333333"/>
                <w:sz w:val="16"/>
                <w:szCs w:val="16"/>
              </w:rPr>
              <w:t>(Supplementary Estimate)</w:t>
            </w:r>
            <w:r w:rsidRPr="0024016E">
              <w:rPr>
                <w:rFonts w:ascii="Arial" w:hAnsi="Arial" w:cs="Arial"/>
                <w:b/>
                <w:color w:val="333333"/>
                <w:sz w:val="16"/>
                <w:szCs w:val="16"/>
              </w:rPr>
              <w:t xml:space="preserve"> </w:t>
            </w:r>
          </w:p>
        </w:tc>
      </w:tr>
      <w:tr w:rsidTr="0024016E">
        <w:tblPrEx>
          <w:tblW w:w="0" w:type="auto"/>
          <w:tblInd w:w="279" w:type="dxa"/>
          <w:tblLayout w:type="fixed"/>
          <w:tblLook w:val="04A0"/>
        </w:tblPrEx>
        <w:tc>
          <w:tcPr>
            <w:tcW w:w="1701" w:type="dxa"/>
          </w:tcPr>
          <w:p w:rsidR="00885F50" w:rsidRPr="0024016E" w:rsidP="00763D45">
            <w:pPr>
              <w:spacing w:before="60" w:after="60" w:line="240" w:lineRule="auto"/>
              <w:rPr>
                <w:rFonts w:ascii="Arial" w:hAnsi="Arial" w:cs="Arial"/>
                <w:color w:val="333333"/>
              </w:rPr>
            </w:pPr>
          </w:p>
        </w:tc>
        <w:tc>
          <w:tcPr>
            <w:tcW w:w="1559" w:type="dxa"/>
            <w:shd w:val="clear" w:color="auto" w:fill="E2EFD9" w:themeFill="accent6" w:themeFillTint="33"/>
          </w:tcPr>
          <w:p w:rsidR="00885F50" w:rsidRPr="0024016E" w:rsidP="00763D45">
            <w:pPr>
              <w:spacing w:before="60" w:after="60" w:line="240" w:lineRule="auto"/>
              <w:jc w:val="center"/>
              <w:rPr>
                <w:rFonts w:ascii="Arial" w:hAnsi="Arial" w:cs="Arial"/>
                <w:b/>
                <w:color w:val="333333"/>
              </w:rPr>
            </w:pPr>
            <w:r w:rsidRPr="0024016E">
              <w:rPr>
                <w:rFonts w:ascii="Arial" w:hAnsi="Arial" w:cs="Arial"/>
                <w:b/>
                <w:color w:val="333333"/>
              </w:rPr>
              <w:t>£</w:t>
            </w:r>
            <w:r w:rsidR="0024016E">
              <w:rPr>
                <w:rFonts w:ascii="Arial" w:hAnsi="Arial" w:cs="Arial"/>
                <w:b/>
                <w:color w:val="333333"/>
              </w:rPr>
              <w:t xml:space="preserve"> </w:t>
            </w:r>
            <w:r w:rsidRPr="0024016E">
              <w:rPr>
                <w:rFonts w:ascii="Arial" w:hAnsi="Arial" w:cs="Arial"/>
                <w:b/>
                <w:color w:val="333333"/>
              </w:rPr>
              <w:t>m</w:t>
            </w:r>
            <w:r w:rsidR="0024016E">
              <w:rPr>
                <w:rFonts w:ascii="Arial" w:hAnsi="Arial" w:cs="Arial"/>
                <w:b/>
                <w:color w:val="333333"/>
              </w:rPr>
              <w:t>illion</w:t>
            </w:r>
          </w:p>
        </w:tc>
        <w:tc>
          <w:tcPr>
            <w:tcW w:w="1559" w:type="dxa"/>
          </w:tcPr>
          <w:p w:rsidR="00885F50" w:rsidRPr="0024016E" w:rsidP="00763D45">
            <w:pPr>
              <w:spacing w:before="60" w:after="60" w:line="240" w:lineRule="auto"/>
              <w:jc w:val="center"/>
              <w:rPr>
                <w:rFonts w:ascii="Arial" w:hAnsi="Arial" w:cs="Arial"/>
                <w:b/>
                <w:color w:val="333333"/>
              </w:rPr>
            </w:pPr>
            <w:r w:rsidRPr="0024016E">
              <w:rPr>
                <w:rFonts w:ascii="Arial" w:hAnsi="Arial" w:cs="Arial"/>
                <w:b/>
                <w:color w:val="333333"/>
              </w:rPr>
              <w:t>£</w:t>
            </w:r>
            <w:r w:rsidR="0024016E">
              <w:rPr>
                <w:rFonts w:ascii="Arial" w:hAnsi="Arial" w:cs="Arial"/>
                <w:b/>
                <w:color w:val="333333"/>
              </w:rPr>
              <w:t xml:space="preserve"> </w:t>
            </w:r>
            <w:r w:rsidRPr="0024016E">
              <w:rPr>
                <w:rFonts w:ascii="Arial" w:hAnsi="Arial" w:cs="Arial"/>
                <w:b/>
                <w:color w:val="333333"/>
              </w:rPr>
              <w:t>m</w:t>
            </w:r>
            <w:r w:rsidR="0024016E">
              <w:rPr>
                <w:rFonts w:ascii="Arial" w:hAnsi="Arial" w:cs="Arial"/>
                <w:b/>
                <w:color w:val="333333"/>
              </w:rPr>
              <w:t>illion</w:t>
            </w:r>
          </w:p>
        </w:tc>
        <w:tc>
          <w:tcPr>
            <w:tcW w:w="1559" w:type="dxa"/>
          </w:tcPr>
          <w:p w:rsidR="00885F50" w:rsidRPr="0024016E" w:rsidP="00763D45">
            <w:pPr>
              <w:spacing w:before="60" w:after="60" w:line="240" w:lineRule="auto"/>
              <w:jc w:val="center"/>
              <w:rPr>
                <w:rFonts w:ascii="Arial" w:hAnsi="Arial" w:cs="Arial"/>
                <w:b/>
                <w:color w:val="333333"/>
              </w:rPr>
            </w:pPr>
            <w:r w:rsidRPr="0024016E">
              <w:rPr>
                <w:rFonts w:ascii="Arial" w:hAnsi="Arial" w:cs="Arial"/>
                <w:b/>
                <w:color w:val="333333"/>
              </w:rPr>
              <w:t>%</w:t>
            </w:r>
          </w:p>
        </w:tc>
        <w:tc>
          <w:tcPr>
            <w:tcW w:w="1559" w:type="dxa"/>
          </w:tcPr>
          <w:p w:rsidR="00885F50" w:rsidRPr="0024016E" w:rsidP="00763D45">
            <w:pPr>
              <w:spacing w:before="60" w:after="60" w:line="240" w:lineRule="auto"/>
              <w:jc w:val="center"/>
              <w:rPr>
                <w:rFonts w:ascii="Arial" w:hAnsi="Arial" w:cs="Arial"/>
                <w:b/>
                <w:color w:val="333333"/>
              </w:rPr>
            </w:pPr>
            <w:r w:rsidRPr="0024016E">
              <w:rPr>
                <w:rFonts w:ascii="Arial" w:hAnsi="Arial" w:cs="Arial"/>
                <w:b/>
                <w:color w:val="333333"/>
              </w:rPr>
              <w:t>£</w:t>
            </w:r>
            <w:r w:rsidR="0024016E">
              <w:rPr>
                <w:rFonts w:ascii="Arial" w:hAnsi="Arial" w:cs="Arial"/>
                <w:b/>
                <w:color w:val="333333"/>
              </w:rPr>
              <w:t xml:space="preserve"> </w:t>
            </w:r>
            <w:r w:rsidRPr="0024016E">
              <w:rPr>
                <w:rFonts w:ascii="Arial" w:hAnsi="Arial" w:cs="Arial"/>
                <w:b/>
                <w:color w:val="333333"/>
              </w:rPr>
              <w:t>m</w:t>
            </w:r>
            <w:r w:rsidR="0024016E">
              <w:rPr>
                <w:rFonts w:ascii="Arial" w:hAnsi="Arial" w:cs="Arial"/>
                <w:b/>
                <w:color w:val="333333"/>
              </w:rPr>
              <w:t>illion</w:t>
            </w:r>
          </w:p>
        </w:tc>
        <w:tc>
          <w:tcPr>
            <w:tcW w:w="1560" w:type="dxa"/>
          </w:tcPr>
          <w:p w:rsidR="00885F50" w:rsidRPr="0024016E" w:rsidP="00763D45">
            <w:pPr>
              <w:spacing w:before="60" w:after="60" w:line="240" w:lineRule="auto"/>
              <w:jc w:val="center"/>
              <w:rPr>
                <w:rFonts w:ascii="Arial" w:hAnsi="Arial" w:cs="Arial"/>
                <w:b/>
                <w:color w:val="333333"/>
              </w:rPr>
            </w:pPr>
            <w:r w:rsidRPr="0024016E">
              <w:rPr>
                <w:rFonts w:ascii="Arial" w:hAnsi="Arial" w:cs="Arial"/>
                <w:b/>
                <w:color w:val="333333"/>
              </w:rPr>
              <w:t>%</w:t>
            </w:r>
          </w:p>
        </w:tc>
      </w:tr>
      <w:tr w:rsidTr="0024016E">
        <w:tblPrEx>
          <w:tblW w:w="0" w:type="auto"/>
          <w:tblInd w:w="279" w:type="dxa"/>
          <w:tblLayout w:type="fixed"/>
          <w:tblLook w:val="04A0"/>
        </w:tblPrEx>
        <w:tc>
          <w:tcPr>
            <w:tcW w:w="1701" w:type="dxa"/>
          </w:tcPr>
          <w:p w:rsidR="0024016E" w:rsidRPr="0024016E" w:rsidP="0024016E">
            <w:pPr>
              <w:spacing w:before="80" w:after="80" w:line="240" w:lineRule="auto"/>
              <w:rPr>
                <w:rFonts w:ascii="Arial" w:hAnsi="Arial" w:cs="Arial"/>
                <w:color w:val="333333"/>
              </w:rPr>
            </w:pPr>
            <w:r w:rsidRPr="0024016E">
              <w:rPr>
                <w:rFonts w:ascii="Arial" w:hAnsi="Arial" w:cs="Arial"/>
                <w:color w:val="333333"/>
              </w:rPr>
              <w:t>Resource DEL</w:t>
            </w:r>
          </w:p>
        </w:tc>
        <w:tc>
          <w:tcPr>
            <w:tcW w:w="1559" w:type="dxa"/>
            <w:shd w:val="clear" w:color="auto" w:fill="E2EFD9" w:themeFill="accent6" w:themeFillTint="33"/>
          </w:tcPr>
          <w:p w:rsidR="0024016E" w:rsidRPr="0024016E" w:rsidP="0024016E">
            <w:pPr>
              <w:spacing w:before="80" w:after="80" w:line="240" w:lineRule="auto"/>
              <w:jc w:val="center"/>
              <w:rPr>
                <w:rFonts w:ascii="Arial" w:hAnsi="Arial" w:cs="Arial"/>
                <w:color w:val="333333"/>
              </w:rPr>
            </w:pPr>
            <w:r w:rsidRPr="0024016E">
              <w:rPr>
                <w:rFonts w:ascii="Arial" w:hAnsi="Arial" w:cs="Arial"/>
              </w:rPr>
              <w:t>22.926</w:t>
            </w:r>
          </w:p>
        </w:tc>
        <w:tc>
          <w:tcPr>
            <w:tcW w:w="1559" w:type="dxa"/>
          </w:tcPr>
          <w:p w:rsidR="0024016E" w:rsidRPr="0024016E" w:rsidP="0024016E">
            <w:pPr>
              <w:spacing w:before="80" w:after="80" w:line="240" w:lineRule="auto"/>
              <w:jc w:val="center"/>
              <w:rPr>
                <w:rFonts w:ascii="Arial" w:hAnsi="Arial" w:cs="Arial"/>
                <w:color w:val="333333"/>
              </w:rPr>
            </w:pPr>
            <w:r w:rsidRPr="0024016E">
              <w:rPr>
                <w:rFonts w:ascii="Arial" w:hAnsi="Arial" w:cs="Arial"/>
              </w:rPr>
              <w:t>19.396</w:t>
            </w:r>
          </w:p>
        </w:tc>
        <w:tc>
          <w:tcPr>
            <w:tcW w:w="1559" w:type="dxa"/>
          </w:tcPr>
          <w:p w:rsidR="0024016E" w:rsidRPr="0024016E" w:rsidP="0024016E">
            <w:pPr>
              <w:spacing w:before="80" w:after="80" w:line="240" w:lineRule="auto"/>
              <w:jc w:val="center"/>
              <w:rPr>
                <w:rFonts w:ascii="Arial" w:hAnsi="Arial" w:cs="Arial"/>
                <w:color w:val="333333"/>
              </w:rPr>
            </w:pPr>
            <w:r w:rsidRPr="0024016E">
              <w:rPr>
                <w:rFonts w:ascii="Arial" w:hAnsi="Arial" w:cs="Arial"/>
              </w:rPr>
              <w:t>18%</w:t>
            </w:r>
          </w:p>
        </w:tc>
        <w:tc>
          <w:tcPr>
            <w:tcW w:w="1559" w:type="dxa"/>
          </w:tcPr>
          <w:p w:rsidR="0024016E" w:rsidRPr="0024016E" w:rsidP="0024016E">
            <w:pPr>
              <w:spacing w:before="80" w:after="80" w:line="240" w:lineRule="auto"/>
              <w:jc w:val="center"/>
              <w:rPr>
                <w:rFonts w:ascii="Arial" w:hAnsi="Arial" w:cs="Arial"/>
                <w:color w:val="333333"/>
              </w:rPr>
            </w:pPr>
            <w:r w:rsidRPr="0024016E">
              <w:rPr>
                <w:rFonts w:ascii="Arial" w:hAnsi="Arial" w:cs="Arial"/>
              </w:rPr>
              <w:t>18.643</w:t>
            </w:r>
          </w:p>
        </w:tc>
        <w:tc>
          <w:tcPr>
            <w:tcW w:w="1560" w:type="dxa"/>
          </w:tcPr>
          <w:p w:rsidR="0024016E" w:rsidRPr="0024016E" w:rsidP="0024016E">
            <w:pPr>
              <w:spacing w:before="80" w:after="80" w:line="240" w:lineRule="auto"/>
              <w:jc w:val="center"/>
              <w:rPr>
                <w:rFonts w:ascii="Arial" w:hAnsi="Arial" w:cs="Arial"/>
                <w:color w:val="333333"/>
              </w:rPr>
            </w:pPr>
            <w:r w:rsidRPr="0024016E">
              <w:rPr>
                <w:rFonts w:ascii="Arial" w:hAnsi="Arial" w:cs="Arial"/>
              </w:rPr>
              <w:t>23%</w:t>
            </w:r>
          </w:p>
        </w:tc>
      </w:tr>
      <w:tr w:rsidTr="0024016E">
        <w:tblPrEx>
          <w:tblW w:w="0" w:type="auto"/>
          <w:tblInd w:w="279" w:type="dxa"/>
          <w:tblLayout w:type="fixed"/>
          <w:tblLook w:val="04A0"/>
        </w:tblPrEx>
        <w:tc>
          <w:tcPr>
            <w:tcW w:w="1701" w:type="dxa"/>
          </w:tcPr>
          <w:p w:rsidR="0024016E" w:rsidRPr="0024016E" w:rsidP="0024016E">
            <w:pPr>
              <w:spacing w:before="80" w:after="80" w:line="240" w:lineRule="auto"/>
              <w:rPr>
                <w:rFonts w:ascii="Arial" w:hAnsi="Arial" w:cs="Arial"/>
                <w:color w:val="333333"/>
              </w:rPr>
            </w:pPr>
            <w:r w:rsidRPr="0024016E">
              <w:rPr>
                <w:rFonts w:ascii="Arial" w:hAnsi="Arial" w:cs="Arial"/>
                <w:color w:val="333333"/>
              </w:rPr>
              <w:t>Capital DEL</w:t>
            </w:r>
          </w:p>
        </w:tc>
        <w:tc>
          <w:tcPr>
            <w:tcW w:w="1559" w:type="dxa"/>
            <w:shd w:val="clear" w:color="auto" w:fill="E2EFD9" w:themeFill="accent6" w:themeFillTint="33"/>
          </w:tcPr>
          <w:p w:rsidR="0024016E" w:rsidRPr="0024016E" w:rsidP="0024016E">
            <w:pPr>
              <w:spacing w:before="80" w:after="80" w:line="240" w:lineRule="auto"/>
              <w:jc w:val="center"/>
              <w:rPr>
                <w:rFonts w:ascii="Arial" w:hAnsi="Arial" w:cs="Arial"/>
                <w:color w:val="333333"/>
              </w:rPr>
            </w:pPr>
            <w:r w:rsidRPr="0024016E">
              <w:rPr>
                <w:rFonts w:ascii="Arial" w:hAnsi="Arial" w:cs="Arial"/>
              </w:rPr>
              <w:t>0.1</w:t>
            </w:r>
          </w:p>
        </w:tc>
        <w:tc>
          <w:tcPr>
            <w:tcW w:w="1559" w:type="dxa"/>
          </w:tcPr>
          <w:p w:rsidR="0024016E" w:rsidRPr="0024016E" w:rsidP="0024016E">
            <w:pPr>
              <w:spacing w:before="80" w:after="80" w:line="240" w:lineRule="auto"/>
              <w:jc w:val="center"/>
              <w:rPr>
                <w:rFonts w:ascii="Arial" w:hAnsi="Arial" w:cs="Arial"/>
                <w:color w:val="333333"/>
              </w:rPr>
            </w:pPr>
            <w:r w:rsidRPr="0024016E">
              <w:rPr>
                <w:rFonts w:ascii="Arial" w:hAnsi="Arial" w:cs="Arial"/>
              </w:rPr>
              <w:t>0.17</w:t>
            </w:r>
          </w:p>
        </w:tc>
        <w:tc>
          <w:tcPr>
            <w:tcW w:w="1559" w:type="dxa"/>
          </w:tcPr>
          <w:p w:rsidR="0024016E" w:rsidRPr="0024016E" w:rsidP="0024016E">
            <w:pPr>
              <w:spacing w:before="80" w:after="80" w:line="240" w:lineRule="auto"/>
              <w:jc w:val="center"/>
              <w:rPr>
                <w:rFonts w:ascii="Arial" w:hAnsi="Arial" w:cs="Arial"/>
                <w:color w:val="333333"/>
              </w:rPr>
            </w:pPr>
            <w:r w:rsidRPr="0024016E">
              <w:rPr>
                <w:rFonts w:ascii="Arial" w:hAnsi="Arial" w:cs="Arial"/>
              </w:rPr>
              <w:t>-41%</w:t>
            </w:r>
          </w:p>
        </w:tc>
        <w:tc>
          <w:tcPr>
            <w:tcW w:w="1559" w:type="dxa"/>
          </w:tcPr>
          <w:p w:rsidR="0024016E" w:rsidRPr="0024016E" w:rsidP="0024016E">
            <w:pPr>
              <w:spacing w:before="80" w:after="80" w:line="240" w:lineRule="auto"/>
              <w:jc w:val="center"/>
              <w:rPr>
                <w:rFonts w:ascii="Arial" w:hAnsi="Arial" w:cs="Arial"/>
                <w:color w:val="333333"/>
              </w:rPr>
            </w:pPr>
            <w:r w:rsidRPr="0024016E">
              <w:rPr>
                <w:rFonts w:ascii="Arial" w:hAnsi="Arial" w:cs="Arial"/>
              </w:rPr>
              <w:t>0.1</w:t>
            </w:r>
          </w:p>
        </w:tc>
        <w:tc>
          <w:tcPr>
            <w:tcW w:w="1560" w:type="dxa"/>
          </w:tcPr>
          <w:p w:rsidR="0024016E" w:rsidRPr="0024016E" w:rsidP="0024016E">
            <w:pPr>
              <w:spacing w:before="80" w:after="80" w:line="240" w:lineRule="auto"/>
              <w:jc w:val="center"/>
              <w:rPr>
                <w:rFonts w:ascii="Arial" w:hAnsi="Arial" w:cs="Arial"/>
                <w:color w:val="333333"/>
              </w:rPr>
            </w:pPr>
            <w:r w:rsidRPr="0024016E">
              <w:rPr>
                <w:rFonts w:ascii="Arial" w:hAnsi="Arial" w:cs="Arial"/>
              </w:rPr>
              <w:t>0%</w:t>
            </w:r>
          </w:p>
        </w:tc>
      </w:tr>
      <w:tr w:rsidTr="0024016E">
        <w:tblPrEx>
          <w:tblW w:w="0" w:type="auto"/>
          <w:tblInd w:w="279" w:type="dxa"/>
          <w:tblLayout w:type="fixed"/>
          <w:tblLook w:val="04A0"/>
        </w:tblPrEx>
        <w:tc>
          <w:tcPr>
            <w:tcW w:w="1701" w:type="dxa"/>
          </w:tcPr>
          <w:p w:rsidR="0024016E" w:rsidRPr="0024016E" w:rsidP="0024016E">
            <w:pPr>
              <w:spacing w:before="80" w:after="80" w:line="240" w:lineRule="auto"/>
              <w:rPr>
                <w:rFonts w:ascii="Arial" w:hAnsi="Arial" w:cs="Arial"/>
                <w:color w:val="333333"/>
              </w:rPr>
            </w:pPr>
            <w:r w:rsidRPr="0024016E">
              <w:rPr>
                <w:rFonts w:ascii="Arial" w:hAnsi="Arial" w:cs="Arial"/>
                <w:color w:val="333333"/>
              </w:rPr>
              <w:t>AME</w:t>
            </w:r>
          </w:p>
        </w:tc>
        <w:tc>
          <w:tcPr>
            <w:tcW w:w="1559" w:type="dxa"/>
            <w:shd w:val="clear" w:color="auto" w:fill="E2EFD9" w:themeFill="accent6" w:themeFillTint="33"/>
          </w:tcPr>
          <w:p w:rsidR="0024016E" w:rsidRPr="0024016E" w:rsidP="0024016E">
            <w:pPr>
              <w:spacing w:before="80" w:after="80" w:line="240" w:lineRule="auto"/>
              <w:jc w:val="center"/>
              <w:rPr>
                <w:rFonts w:ascii="Arial" w:hAnsi="Arial" w:cs="Arial"/>
                <w:color w:val="333333"/>
              </w:rPr>
            </w:pPr>
            <w:r w:rsidRPr="0024016E">
              <w:rPr>
                <w:rFonts w:ascii="Arial" w:hAnsi="Arial" w:cs="Arial"/>
              </w:rPr>
              <w:t>0</w:t>
            </w:r>
          </w:p>
        </w:tc>
        <w:tc>
          <w:tcPr>
            <w:tcW w:w="1559" w:type="dxa"/>
          </w:tcPr>
          <w:p w:rsidR="0024016E" w:rsidRPr="0024016E" w:rsidP="0024016E">
            <w:pPr>
              <w:spacing w:before="80" w:after="80" w:line="240" w:lineRule="auto"/>
              <w:jc w:val="center"/>
              <w:rPr>
                <w:rFonts w:ascii="Arial" w:hAnsi="Arial" w:cs="Arial"/>
                <w:color w:val="333333"/>
              </w:rPr>
            </w:pPr>
            <w:r w:rsidRPr="0024016E">
              <w:rPr>
                <w:rFonts w:ascii="Arial" w:hAnsi="Arial" w:cs="Arial"/>
              </w:rPr>
              <w:t>0.03</w:t>
            </w:r>
          </w:p>
        </w:tc>
        <w:tc>
          <w:tcPr>
            <w:tcW w:w="1559" w:type="dxa"/>
          </w:tcPr>
          <w:p w:rsidR="0024016E" w:rsidRPr="0024016E" w:rsidP="0024016E">
            <w:pPr>
              <w:spacing w:before="80" w:after="80" w:line="240" w:lineRule="auto"/>
              <w:jc w:val="center"/>
              <w:rPr>
                <w:rFonts w:ascii="Arial" w:hAnsi="Arial" w:cs="Arial"/>
                <w:color w:val="333333"/>
              </w:rPr>
            </w:pPr>
            <w:r w:rsidRPr="0024016E">
              <w:rPr>
                <w:rFonts w:ascii="Arial" w:hAnsi="Arial" w:cs="Arial"/>
              </w:rPr>
              <w:t>-100%</w:t>
            </w:r>
          </w:p>
        </w:tc>
        <w:tc>
          <w:tcPr>
            <w:tcW w:w="1559" w:type="dxa"/>
          </w:tcPr>
          <w:p w:rsidR="0024016E" w:rsidRPr="0024016E" w:rsidP="0024016E">
            <w:pPr>
              <w:spacing w:before="80" w:after="80" w:line="240" w:lineRule="auto"/>
              <w:jc w:val="center"/>
              <w:rPr>
                <w:rFonts w:ascii="Arial" w:hAnsi="Arial" w:cs="Arial"/>
                <w:color w:val="333333"/>
              </w:rPr>
            </w:pPr>
            <w:r w:rsidRPr="0024016E">
              <w:rPr>
                <w:rFonts w:ascii="Arial" w:hAnsi="Arial" w:cs="Arial"/>
              </w:rPr>
              <w:t>-0.167</w:t>
            </w:r>
          </w:p>
        </w:tc>
        <w:tc>
          <w:tcPr>
            <w:tcW w:w="1560" w:type="dxa"/>
          </w:tcPr>
          <w:p w:rsidR="0024016E" w:rsidRPr="0024016E" w:rsidP="0024016E">
            <w:pPr>
              <w:spacing w:before="80" w:after="80" w:line="240" w:lineRule="auto"/>
              <w:jc w:val="center"/>
              <w:rPr>
                <w:rFonts w:ascii="Arial" w:hAnsi="Arial" w:cs="Arial"/>
                <w:color w:val="333333"/>
              </w:rPr>
            </w:pPr>
            <w:r w:rsidRPr="0024016E">
              <w:rPr>
                <w:rFonts w:ascii="Arial" w:hAnsi="Arial" w:cs="Arial"/>
              </w:rPr>
              <w:t>-100%</w:t>
            </w:r>
          </w:p>
        </w:tc>
      </w:tr>
      <w:tr w:rsidTr="0024016E">
        <w:tblPrEx>
          <w:tblW w:w="0" w:type="auto"/>
          <w:tblInd w:w="279" w:type="dxa"/>
          <w:tblLayout w:type="fixed"/>
          <w:tblLook w:val="04A0"/>
        </w:tblPrEx>
        <w:tc>
          <w:tcPr>
            <w:tcW w:w="1701" w:type="dxa"/>
          </w:tcPr>
          <w:p w:rsidR="0024016E" w:rsidRPr="0024016E" w:rsidP="0024016E">
            <w:pPr>
              <w:spacing w:before="80" w:after="80" w:line="240" w:lineRule="auto"/>
              <w:rPr>
                <w:rFonts w:ascii="Arial" w:hAnsi="Arial" w:cs="Arial"/>
                <w:b/>
                <w:color w:val="333333"/>
              </w:rPr>
            </w:pPr>
            <w:r w:rsidRPr="0024016E">
              <w:rPr>
                <w:rFonts w:ascii="Arial" w:hAnsi="Arial" w:cs="Arial"/>
                <w:b/>
                <w:color w:val="333333"/>
              </w:rPr>
              <w:t>TME</w:t>
            </w:r>
          </w:p>
        </w:tc>
        <w:tc>
          <w:tcPr>
            <w:tcW w:w="1559" w:type="dxa"/>
            <w:shd w:val="clear" w:color="auto" w:fill="E2EFD9" w:themeFill="accent6" w:themeFillTint="33"/>
          </w:tcPr>
          <w:p w:rsidR="0024016E" w:rsidRPr="0024016E" w:rsidP="0024016E">
            <w:pPr>
              <w:spacing w:before="80" w:after="80" w:line="240" w:lineRule="auto"/>
              <w:jc w:val="center"/>
              <w:rPr>
                <w:rFonts w:ascii="Arial" w:hAnsi="Arial" w:cs="Arial"/>
                <w:b/>
                <w:color w:val="333333"/>
              </w:rPr>
            </w:pPr>
            <w:r w:rsidRPr="0024016E">
              <w:rPr>
                <w:rFonts w:ascii="Arial" w:hAnsi="Arial" w:cs="Arial"/>
                <w:b/>
              </w:rPr>
              <w:t>23.026</w:t>
            </w:r>
          </w:p>
        </w:tc>
        <w:tc>
          <w:tcPr>
            <w:tcW w:w="1559" w:type="dxa"/>
          </w:tcPr>
          <w:p w:rsidR="0024016E" w:rsidRPr="0024016E" w:rsidP="0024016E">
            <w:pPr>
              <w:spacing w:before="80" w:after="80" w:line="240" w:lineRule="auto"/>
              <w:jc w:val="center"/>
              <w:rPr>
                <w:rFonts w:ascii="Arial" w:hAnsi="Arial" w:cs="Arial"/>
                <w:b/>
                <w:color w:val="333333"/>
              </w:rPr>
            </w:pPr>
            <w:r w:rsidRPr="0024016E">
              <w:rPr>
                <w:rFonts w:ascii="Arial" w:hAnsi="Arial" w:cs="Arial"/>
                <w:b/>
              </w:rPr>
              <w:t>19.596</w:t>
            </w:r>
          </w:p>
        </w:tc>
        <w:tc>
          <w:tcPr>
            <w:tcW w:w="1559" w:type="dxa"/>
          </w:tcPr>
          <w:p w:rsidR="0024016E" w:rsidRPr="0024016E" w:rsidP="0024016E">
            <w:pPr>
              <w:spacing w:before="80" w:after="80" w:line="240" w:lineRule="auto"/>
              <w:jc w:val="center"/>
              <w:rPr>
                <w:rFonts w:ascii="Arial" w:hAnsi="Arial" w:cs="Arial"/>
                <w:b/>
                <w:color w:val="333333"/>
              </w:rPr>
            </w:pPr>
            <w:r w:rsidRPr="0024016E">
              <w:rPr>
                <w:rFonts w:ascii="Arial" w:hAnsi="Arial" w:cs="Arial"/>
                <w:b/>
              </w:rPr>
              <w:t>18%</w:t>
            </w:r>
          </w:p>
        </w:tc>
        <w:tc>
          <w:tcPr>
            <w:tcW w:w="1559" w:type="dxa"/>
          </w:tcPr>
          <w:p w:rsidR="0024016E" w:rsidRPr="0024016E" w:rsidP="0024016E">
            <w:pPr>
              <w:spacing w:before="80" w:after="80" w:line="240" w:lineRule="auto"/>
              <w:jc w:val="center"/>
              <w:rPr>
                <w:rFonts w:ascii="Arial" w:hAnsi="Arial" w:cs="Arial"/>
                <w:b/>
                <w:color w:val="333333"/>
              </w:rPr>
            </w:pPr>
            <w:r w:rsidRPr="0024016E">
              <w:rPr>
                <w:rFonts w:ascii="Arial" w:hAnsi="Arial" w:cs="Arial"/>
                <w:b/>
              </w:rPr>
              <w:t>18.576</w:t>
            </w:r>
          </w:p>
        </w:tc>
        <w:tc>
          <w:tcPr>
            <w:tcW w:w="1560" w:type="dxa"/>
          </w:tcPr>
          <w:p w:rsidR="0024016E" w:rsidRPr="0024016E" w:rsidP="0024016E">
            <w:pPr>
              <w:spacing w:before="80" w:after="80" w:line="240" w:lineRule="auto"/>
              <w:jc w:val="center"/>
              <w:rPr>
                <w:rFonts w:ascii="Arial" w:hAnsi="Arial" w:cs="Arial"/>
                <w:b/>
                <w:color w:val="333333"/>
              </w:rPr>
            </w:pPr>
            <w:r w:rsidRPr="0024016E">
              <w:rPr>
                <w:rFonts w:ascii="Arial" w:hAnsi="Arial" w:cs="Arial"/>
                <w:b/>
              </w:rPr>
              <w:t>24%</w:t>
            </w:r>
          </w:p>
        </w:tc>
      </w:tr>
    </w:tbl>
    <w:p w:rsidR="00885F50" w:rsidRPr="00794FF5" w:rsidP="00995E97">
      <w:pPr>
        <w:keepNext/>
        <w:keepLines/>
        <w:shd w:val="clear" w:color="auto" w:fill="FFFFFF"/>
        <w:spacing w:after="0" w:line="240" w:lineRule="auto"/>
        <w:ind w:firstLine="357"/>
        <w:rPr>
          <w:rFonts w:ascii="Arial" w:hAnsi="Arial" w:cs="Arial"/>
          <w:sz w:val="24"/>
          <w:szCs w:val="24"/>
        </w:rPr>
      </w:pPr>
    </w:p>
    <w:p w:rsidR="00EA6DB3" w:rsidP="00CD4C43">
      <w:pPr>
        <w:pStyle w:val="ListParagraph"/>
        <w:numPr>
          <w:ilvl w:val="0"/>
          <w:numId w:val="27"/>
        </w:numPr>
        <w:shd w:val="clear" w:color="auto" w:fill="FFFFFF"/>
        <w:spacing w:after="240" w:line="240" w:lineRule="auto"/>
        <w:ind w:left="357" w:hanging="357"/>
        <w:contextualSpacing w:val="0"/>
        <w:jc w:val="both"/>
        <w:rPr>
          <w:rFonts w:ascii="Arial" w:hAnsi="Arial" w:cs="Arial"/>
        </w:rPr>
      </w:pPr>
      <w:r w:rsidRPr="00794ECE">
        <w:rPr>
          <w:rFonts w:ascii="Arial" w:hAnsi="Arial" w:cs="Arial"/>
        </w:rPr>
        <w:t xml:space="preserve">A breakdown of </w:t>
      </w:r>
      <w:r w:rsidRPr="00794ECE" w:rsidR="003503C7">
        <w:rPr>
          <w:rFonts w:ascii="Arial" w:hAnsi="Arial" w:cs="Arial"/>
        </w:rPr>
        <w:t>expenditure</w:t>
      </w:r>
      <w:r w:rsidRPr="00794ECE">
        <w:rPr>
          <w:rFonts w:ascii="Arial" w:hAnsi="Arial" w:cs="Arial"/>
        </w:rPr>
        <w:t xml:space="preserve"> and income within the net total is shown </w:t>
      </w:r>
      <w:r w:rsidRPr="00794ECE" w:rsidR="0000207D">
        <w:rPr>
          <w:rFonts w:ascii="Arial" w:hAnsi="Arial" w:cs="Arial"/>
        </w:rPr>
        <w:t>in Table 2 at</w:t>
      </w:r>
      <w:r w:rsidRPr="00794ECE" w:rsidR="00D36DBD">
        <w:rPr>
          <w:rFonts w:ascii="Arial" w:hAnsi="Arial" w:cs="Arial"/>
        </w:rPr>
        <w:t xml:space="preserve"> paragraph</w:t>
      </w:r>
      <w:r w:rsidRPr="00794ECE" w:rsidR="003503C7">
        <w:rPr>
          <w:rFonts w:ascii="Arial" w:hAnsi="Arial" w:cs="Arial"/>
        </w:rPr>
        <w:t xml:space="preserve"> </w:t>
      </w:r>
      <w:r w:rsidRPr="00794ECE" w:rsidR="003503C7">
        <w:rPr>
          <w:rFonts w:ascii="Arial" w:hAnsi="Arial" w:cs="Arial"/>
        </w:rPr>
        <w:fldChar w:fldCharType="begin"/>
      </w:r>
      <w:r w:rsidRPr="00794ECE" w:rsidR="003503C7">
        <w:rPr>
          <w:rFonts w:ascii="Arial" w:hAnsi="Arial" w:cs="Arial"/>
        </w:rPr>
        <w:instrText xml:space="preserve"> REF _Ref8113969 \r \h </w:instrText>
      </w:r>
      <w:r w:rsidRPr="00794ECE" w:rsidR="00834B90">
        <w:rPr>
          <w:rFonts w:ascii="Arial" w:hAnsi="Arial" w:cs="Arial"/>
        </w:rPr>
        <w:instrText xml:space="preserve"> \* MERGEFORMAT </w:instrText>
      </w:r>
      <w:r w:rsidRPr="00794ECE" w:rsidR="003503C7">
        <w:rPr>
          <w:rFonts w:ascii="Arial" w:hAnsi="Arial" w:cs="Arial"/>
        </w:rPr>
        <w:fldChar w:fldCharType="separate"/>
      </w:r>
      <w:r w:rsidR="00897540">
        <w:rPr>
          <w:rFonts w:ascii="Arial" w:hAnsi="Arial" w:cs="Arial"/>
        </w:rPr>
        <w:t>32</w:t>
      </w:r>
      <w:r w:rsidRPr="00794ECE" w:rsidR="003503C7">
        <w:rPr>
          <w:rFonts w:ascii="Arial" w:hAnsi="Arial" w:cs="Arial"/>
        </w:rPr>
        <w:fldChar w:fldCharType="end"/>
      </w:r>
      <w:r w:rsidRPr="00794ECE">
        <w:rPr>
          <w:rFonts w:ascii="Arial" w:hAnsi="Arial" w:cs="Arial"/>
        </w:rPr>
        <w:t>.</w:t>
      </w:r>
      <w:r w:rsidRPr="00794ECE" w:rsidR="00794ECE">
        <w:rPr>
          <w:rFonts w:ascii="Arial" w:hAnsi="Arial" w:cs="Arial"/>
        </w:rPr>
        <w:t xml:space="preserve"> </w:t>
      </w:r>
      <w:r w:rsidRPr="00794ECE" w:rsidR="000C2EEA">
        <w:rPr>
          <w:rFonts w:ascii="Arial" w:hAnsi="Arial" w:cs="Arial"/>
        </w:rPr>
        <w:t>The net cash requirement is £</w:t>
      </w:r>
      <w:r w:rsidRPr="00794ECE" w:rsidR="00975D22">
        <w:rPr>
          <w:rFonts w:ascii="Arial" w:hAnsi="Arial" w:cs="Arial"/>
        </w:rPr>
        <w:t>22.805</w:t>
      </w:r>
      <w:r w:rsidRPr="00794ECE" w:rsidR="0024016E">
        <w:rPr>
          <w:rFonts w:ascii="Arial" w:hAnsi="Arial" w:cs="Arial"/>
        </w:rPr>
        <w:t xml:space="preserve"> </w:t>
      </w:r>
      <w:r w:rsidRPr="00794ECE" w:rsidR="000C2EEA">
        <w:rPr>
          <w:rFonts w:ascii="Arial" w:hAnsi="Arial" w:cs="Arial"/>
        </w:rPr>
        <w:t>m</w:t>
      </w:r>
      <w:r w:rsidRPr="00794ECE" w:rsidR="0024016E">
        <w:rPr>
          <w:rFonts w:ascii="Arial" w:hAnsi="Arial" w:cs="Arial"/>
        </w:rPr>
        <w:t>illion</w:t>
      </w:r>
      <w:r w:rsidRPr="00794ECE" w:rsidR="000C2EEA">
        <w:rPr>
          <w:rFonts w:ascii="Arial" w:hAnsi="Arial" w:cs="Arial"/>
        </w:rPr>
        <w:t>, comprising TME less AME, Depreciation and notional costs, which non-cash items.</w:t>
      </w:r>
    </w:p>
    <w:p w:rsidR="008B72F0" w:rsidRPr="008B72F0" w:rsidP="008B72F0">
      <w:pPr>
        <w:pStyle w:val="ListParagraph"/>
        <w:numPr>
          <w:ilvl w:val="0"/>
          <w:numId w:val="27"/>
        </w:numPr>
        <w:rPr>
          <w:rFonts w:ascii="Arial" w:hAnsi="Arial" w:cs="Arial"/>
        </w:rPr>
      </w:pPr>
      <w:r>
        <w:rPr>
          <w:rFonts w:ascii="Arial" w:hAnsi="Arial" w:cs="Arial"/>
        </w:rPr>
        <w:t xml:space="preserve">Our </w:t>
      </w:r>
      <w:r w:rsidRPr="008B72F0">
        <w:rPr>
          <w:rFonts w:ascii="Arial" w:hAnsi="Arial" w:cs="Arial"/>
        </w:rPr>
        <w:t>work</w:t>
      </w:r>
      <w:r>
        <w:rPr>
          <w:rFonts w:ascii="Arial" w:hAnsi="Arial" w:cs="Arial"/>
        </w:rPr>
        <w:t xml:space="preserve"> in 2020 will be significantly impacted by the impact COVID-19 has had on the schools, exams and qualification market. The scope of how this is addressed</w:t>
      </w:r>
      <w:r w:rsidRPr="008B72F0">
        <w:rPr>
          <w:rFonts w:ascii="Arial" w:hAnsi="Arial" w:cs="Arial"/>
        </w:rPr>
        <w:t xml:space="preserve"> is emerging and developing at the time when the budget is approved and so further discussions will be needed to confirm that the delivery of the Summer 2020 series can be undertaken within the current resources available.</w:t>
      </w:r>
    </w:p>
    <w:p w:rsidR="00DD6E46" w:rsidRPr="00834B90" w:rsidP="00AF3E71">
      <w:pPr>
        <w:pStyle w:val="Heading2"/>
        <w:ind w:firstLine="357"/>
        <w:jc w:val="both"/>
        <w:rPr>
          <w:rFonts w:ascii="Arial" w:hAnsi="Arial" w:cs="Arial"/>
          <w:sz w:val="40"/>
          <w:szCs w:val="40"/>
        </w:rPr>
      </w:pPr>
      <w:bookmarkStart w:id="6" w:name="_Toc37244803"/>
      <w:r w:rsidRPr="00834B90">
        <w:rPr>
          <w:rFonts w:ascii="Arial" w:hAnsi="Arial" w:cs="Arial"/>
          <w:sz w:val="40"/>
          <w:szCs w:val="40"/>
        </w:rPr>
        <w:t>A</w:t>
      </w:r>
      <w:r w:rsidRPr="00834B90" w:rsidR="0038554F">
        <w:rPr>
          <w:rFonts w:ascii="Arial" w:hAnsi="Arial" w:cs="Arial"/>
          <w:sz w:val="40"/>
          <w:szCs w:val="40"/>
        </w:rPr>
        <w:t>mbit changes</w:t>
      </w:r>
      <w:bookmarkEnd w:id="6"/>
    </w:p>
    <w:p w:rsidR="00965796" w:rsidRPr="00794FF5" w:rsidP="0057403F">
      <w:pPr>
        <w:pStyle w:val="ListParagraph"/>
        <w:numPr>
          <w:ilvl w:val="0"/>
          <w:numId w:val="27"/>
        </w:numPr>
        <w:shd w:val="clear" w:color="auto" w:fill="FFFFFF"/>
        <w:spacing w:after="240" w:line="240" w:lineRule="auto"/>
        <w:ind w:left="357" w:hanging="357"/>
        <w:contextualSpacing w:val="0"/>
        <w:jc w:val="both"/>
        <w:rPr>
          <w:rFonts w:ascii="Arial" w:hAnsi="Arial" w:cs="Arial"/>
          <w:sz w:val="40"/>
          <w:szCs w:val="40"/>
        </w:rPr>
      </w:pPr>
      <w:r w:rsidRPr="00794FF5">
        <w:rPr>
          <w:rFonts w:ascii="Arial" w:hAnsi="Arial" w:cs="Arial"/>
        </w:rPr>
        <w:t>We have</w:t>
      </w:r>
      <w:r w:rsidRPr="00794FF5" w:rsidR="00BC565D">
        <w:rPr>
          <w:rFonts w:ascii="Arial" w:hAnsi="Arial" w:cs="Arial"/>
        </w:rPr>
        <w:t xml:space="preserve"> made </w:t>
      </w:r>
      <w:r w:rsidRPr="00794FF5" w:rsidR="00794FF5">
        <w:rPr>
          <w:rFonts w:ascii="Arial" w:hAnsi="Arial" w:cs="Arial"/>
        </w:rPr>
        <w:t xml:space="preserve">minor </w:t>
      </w:r>
      <w:r w:rsidRPr="00794FF5" w:rsidR="00BC565D">
        <w:rPr>
          <w:rFonts w:ascii="Arial" w:hAnsi="Arial" w:cs="Arial"/>
        </w:rPr>
        <w:t>amendments to</w:t>
      </w:r>
      <w:r w:rsidRPr="00794FF5" w:rsidR="00794FF5">
        <w:rPr>
          <w:rFonts w:ascii="Arial" w:hAnsi="Arial" w:cs="Arial"/>
        </w:rPr>
        <w:t xml:space="preserve"> refresh</w:t>
      </w:r>
      <w:r w:rsidRPr="00794FF5" w:rsidR="00BC565D">
        <w:rPr>
          <w:rFonts w:ascii="Arial" w:hAnsi="Arial" w:cs="Arial"/>
        </w:rPr>
        <w:t xml:space="preserve"> our ambit</w:t>
      </w:r>
      <w:r w:rsidRPr="00794FF5" w:rsidR="00794FF5">
        <w:rPr>
          <w:rFonts w:ascii="Arial" w:hAnsi="Arial" w:cs="Arial"/>
        </w:rPr>
        <w:t xml:space="preserve">, and have added </w:t>
      </w:r>
      <w:r w:rsidR="00470CC9">
        <w:rPr>
          <w:rFonts w:ascii="Arial" w:hAnsi="Arial" w:cs="Arial"/>
        </w:rPr>
        <w:t xml:space="preserve">that we will incur </w:t>
      </w:r>
      <w:r w:rsidRPr="00794FF5" w:rsidR="00BC565D">
        <w:rPr>
          <w:rFonts w:ascii="Arial" w:hAnsi="Arial" w:cs="Arial"/>
        </w:rPr>
        <w:t xml:space="preserve">expenditure relating to </w:t>
      </w:r>
      <w:r w:rsidRPr="00794FF5" w:rsidR="00B4384C">
        <w:rPr>
          <w:rFonts w:ascii="Arial" w:hAnsi="Arial" w:cs="Arial"/>
        </w:rPr>
        <w:t>exploring and investigating opportunities for innovation, including the use of artificial intelligence</w:t>
      </w:r>
      <w:r w:rsidR="00470CC9">
        <w:rPr>
          <w:rFonts w:ascii="Arial" w:hAnsi="Arial" w:cs="Arial"/>
        </w:rPr>
        <w:t>, reflecting Goal 5 above</w:t>
      </w:r>
      <w:r w:rsidR="008B72F0">
        <w:rPr>
          <w:rFonts w:ascii="Arial" w:hAnsi="Arial" w:cs="Arial"/>
        </w:rPr>
        <w:t xml:space="preserve"> should resources allow in light of the work underway to deal with the impact of COVID-19</w:t>
      </w:r>
    </w:p>
    <w:p w:rsidR="00AC35F5" w:rsidP="00AC35F5">
      <w:pPr>
        <w:pStyle w:val="Heading2"/>
        <w:ind w:firstLine="357"/>
        <w:jc w:val="both"/>
        <w:rPr>
          <w:rFonts w:ascii="Arial" w:hAnsi="Arial" w:cs="Arial"/>
          <w:sz w:val="40"/>
          <w:szCs w:val="40"/>
        </w:rPr>
      </w:pPr>
      <w:bookmarkStart w:id="7" w:name="_Toc37244804"/>
      <w:r>
        <w:rPr>
          <w:rFonts w:ascii="Arial" w:hAnsi="Arial" w:cs="Arial"/>
          <w:sz w:val="40"/>
          <w:szCs w:val="40"/>
        </w:rPr>
        <w:t>Change in accounting policy</w:t>
      </w:r>
      <w:bookmarkEnd w:id="7"/>
    </w:p>
    <w:p w:rsidR="00B4384C" w:rsidRPr="00EA30F9" w:rsidP="00EA30F9">
      <w:pPr>
        <w:pStyle w:val="ListParagraph"/>
        <w:numPr>
          <w:ilvl w:val="0"/>
          <w:numId w:val="27"/>
        </w:numPr>
        <w:rPr>
          <w:rFonts w:ascii="Arial" w:hAnsi="Arial" w:cs="Arial"/>
        </w:rPr>
      </w:pPr>
      <w:r w:rsidRPr="00470CC9">
        <w:rPr>
          <w:rFonts w:ascii="Arial" w:hAnsi="Arial" w:cs="Arial"/>
        </w:rPr>
        <w:t xml:space="preserve">IFRS 16 </w:t>
      </w:r>
      <w:r w:rsidRPr="00470CC9">
        <w:rPr>
          <w:rFonts w:ascii="Arial" w:hAnsi="Arial" w:cs="Arial"/>
          <w:i/>
        </w:rPr>
        <w:t>Leases</w:t>
      </w:r>
      <w:r w:rsidRPr="00470CC9">
        <w:rPr>
          <w:rFonts w:ascii="Arial" w:hAnsi="Arial" w:cs="Arial"/>
        </w:rPr>
        <w:t xml:space="preserve"> was introduced by the International Accounting Standards Board (IASB) in 2016 and will be adopted by the public sector from 1 April 2021, deferred from 1 April 2020. The major impact will be to bring most leases on</w:t>
      </w:r>
      <w:r>
        <w:rPr>
          <w:rFonts w:ascii="Arial" w:hAnsi="Arial" w:cs="Arial"/>
        </w:rPr>
        <w:t xml:space="preserve"> to the</w:t>
      </w:r>
      <w:r w:rsidRPr="00470CC9">
        <w:rPr>
          <w:rFonts w:ascii="Arial" w:hAnsi="Arial" w:cs="Arial"/>
        </w:rPr>
        <w:t xml:space="preserve"> </w:t>
      </w:r>
      <w:r>
        <w:rPr>
          <w:rFonts w:ascii="Arial" w:hAnsi="Arial" w:cs="Arial"/>
        </w:rPr>
        <w:t>Statement of Financial Position, or balance sheet</w:t>
      </w:r>
      <w:r w:rsidRPr="00470CC9">
        <w:rPr>
          <w:rFonts w:ascii="Arial" w:hAnsi="Arial" w:cs="Arial"/>
        </w:rPr>
        <w:t>. Ofqual will adopt IFRS 16 from 1 April 2021.</w:t>
      </w:r>
      <w:r>
        <w:rPr>
          <w:rFonts w:ascii="Arial" w:hAnsi="Arial" w:cs="Arial"/>
        </w:rPr>
        <w:t xml:space="preserve"> We</w:t>
      </w:r>
      <w:r w:rsidRPr="00EA30F9" w:rsidR="00AC35F5">
        <w:rPr>
          <w:rFonts w:ascii="Arial" w:hAnsi="Arial" w:cs="Arial"/>
        </w:rPr>
        <w:t xml:space="preserve"> hold a small number of leases with </w:t>
      </w:r>
      <w:r>
        <w:rPr>
          <w:rFonts w:ascii="Arial" w:hAnsi="Arial" w:cs="Arial"/>
        </w:rPr>
        <w:t>one</w:t>
      </w:r>
      <w:r w:rsidRPr="00EA30F9" w:rsidR="00AC35F5">
        <w:rPr>
          <w:rFonts w:ascii="Arial" w:hAnsi="Arial" w:cs="Arial"/>
        </w:rPr>
        <w:t xml:space="preserve"> </w:t>
      </w:r>
      <w:r>
        <w:rPr>
          <w:rFonts w:ascii="Arial" w:hAnsi="Arial" w:cs="Arial"/>
        </w:rPr>
        <w:t>material</w:t>
      </w:r>
      <w:r w:rsidRPr="00EA30F9" w:rsidR="00AC35F5">
        <w:rPr>
          <w:rFonts w:ascii="Arial" w:hAnsi="Arial" w:cs="Arial"/>
        </w:rPr>
        <w:t xml:space="preserve"> lease </w:t>
      </w:r>
      <w:r>
        <w:rPr>
          <w:rFonts w:ascii="Arial" w:hAnsi="Arial" w:cs="Arial"/>
        </w:rPr>
        <w:t>relating to</w:t>
      </w:r>
      <w:r w:rsidRPr="00EA30F9" w:rsidR="00AC35F5">
        <w:rPr>
          <w:rFonts w:ascii="Arial" w:hAnsi="Arial" w:cs="Arial"/>
        </w:rPr>
        <w:t xml:space="preserve"> </w:t>
      </w:r>
      <w:r>
        <w:rPr>
          <w:rFonts w:ascii="Arial" w:hAnsi="Arial" w:cs="Arial"/>
        </w:rPr>
        <w:t xml:space="preserve">our office </w:t>
      </w:r>
      <w:r w:rsidRPr="00EA30F9" w:rsidR="00AC35F5">
        <w:rPr>
          <w:rFonts w:ascii="Arial" w:hAnsi="Arial" w:cs="Arial"/>
        </w:rPr>
        <w:t>premises.</w:t>
      </w:r>
    </w:p>
    <w:p w:rsidR="002A25F8" w:rsidRPr="00834B90" w:rsidP="00AF3E71">
      <w:pPr>
        <w:pStyle w:val="Heading2"/>
        <w:ind w:firstLine="357"/>
        <w:jc w:val="both"/>
        <w:rPr>
          <w:rFonts w:ascii="Arial" w:hAnsi="Arial" w:cs="Arial"/>
          <w:sz w:val="40"/>
          <w:szCs w:val="40"/>
        </w:rPr>
      </w:pPr>
      <w:bookmarkStart w:id="8" w:name="_Toc37244805"/>
      <w:r w:rsidRPr="00834B90">
        <w:rPr>
          <w:rFonts w:ascii="Arial" w:hAnsi="Arial" w:cs="Arial"/>
          <w:sz w:val="40"/>
          <w:szCs w:val="40"/>
        </w:rPr>
        <w:t>Expenditure</w:t>
      </w:r>
      <w:r w:rsidR="00477985">
        <w:rPr>
          <w:rFonts w:ascii="Arial" w:hAnsi="Arial" w:cs="Arial"/>
          <w:sz w:val="40"/>
          <w:szCs w:val="40"/>
        </w:rPr>
        <w:t xml:space="preserve"> drivers,</w:t>
      </w:r>
      <w:r w:rsidRPr="00834B90" w:rsidR="00271A3E">
        <w:rPr>
          <w:rFonts w:ascii="Arial" w:hAnsi="Arial" w:cs="Arial"/>
          <w:sz w:val="40"/>
          <w:szCs w:val="40"/>
        </w:rPr>
        <w:t xml:space="preserve"> </w:t>
      </w:r>
      <w:r w:rsidRPr="00834B90">
        <w:rPr>
          <w:rFonts w:ascii="Arial" w:hAnsi="Arial" w:cs="Arial"/>
          <w:sz w:val="40"/>
          <w:szCs w:val="40"/>
        </w:rPr>
        <w:t>trends</w:t>
      </w:r>
      <w:r w:rsidRPr="00834B90" w:rsidR="006A7C0E">
        <w:rPr>
          <w:rFonts w:ascii="Arial" w:hAnsi="Arial" w:cs="Arial"/>
          <w:sz w:val="40"/>
          <w:szCs w:val="40"/>
        </w:rPr>
        <w:t xml:space="preserve"> and efficiency plans</w:t>
      </w:r>
      <w:bookmarkEnd w:id="8"/>
    </w:p>
    <w:p w:rsidR="00E1549F" w:rsidRPr="00114840" w:rsidP="008B7D54">
      <w:pPr>
        <w:pStyle w:val="ListParagraph"/>
        <w:numPr>
          <w:ilvl w:val="0"/>
          <w:numId w:val="27"/>
        </w:numPr>
        <w:shd w:val="clear" w:color="auto" w:fill="FFFFFF"/>
        <w:spacing w:after="240" w:line="240" w:lineRule="auto"/>
        <w:ind w:left="357" w:hanging="357"/>
        <w:contextualSpacing w:val="0"/>
        <w:jc w:val="both"/>
        <w:rPr>
          <w:rFonts w:ascii="Arial" w:hAnsi="Arial" w:cs="Arial"/>
        </w:rPr>
      </w:pPr>
      <w:r w:rsidRPr="00114840">
        <w:rPr>
          <w:rFonts w:ascii="Arial" w:hAnsi="Arial" w:cs="Arial"/>
        </w:rPr>
        <w:t xml:space="preserve">2019/20 was the final year of the 4-year 2015 Spending Review period (SR15). </w:t>
      </w:r>
      <w:r w:rsidRPr="00114840">
        <w:rPr>
          <w:rFonts w:ascii="Arial" w:hAnsi="Arial" w:cs="Arial"/>
        </w:rPr>
        <w:t>T</w:t>
      </w:r>
      <w:r w:rsidRPr="00114840" w:rsidR="008E7770">
        <w:rPr>
          <w:rFonts w:ascii="Arial" w:hAnsi="Arial" w:cs="Arial"/>
        </w:rPr>
        <w:t>he chart</w:t>
      </w:r>
      <w:r w:rsidRPr="00114840">
        <w:rPr>
          <w:rFonts w:ascii="Arial" w:hAnsi="Arial" w:cs="Arial"/>
        </w:rPr>
        <w:t xml:space="preserve"> below show</w:t>
      </w:r>
      <w:r w:rsidRPr="00114840" w:rsidR="008E7770">
        <w:rPr>
          <w:rFonts w:ascii="Arial" w:hAnsi="Arial" w:cs="Arial"/>
        </w:rPr>
        <w:t>s</w:t>
      </w:r>
      <w:r w:rsidRPr="00114840">
        <w:rPr>
          <w:rFonts w:ascii="Arial" w:hAnsi="Arial" w:cs="Arial"/>
        </w:rPr>
        <w:t xml:space="preserve"> </w:t>
      </w:r>
      <w:r w:rsidRPr="00114840" w:rsidR="008E7770">
        <w:rPr>
          <w:rFonts w:ascii="Arial" w:hAnsi="Arial" w:cs="Arial"/>
        </w:rPr>
        <w:t>TME</w:t>
      </w:r>
      <w:r w:rsidRPr="00114840">
        <w:rPr>
          <w:rFonts w:ascii="Arial" w:hAnsi="Arial" w:cs="Arial"/>
        </w:rPr>
        <w:t xml:space="preserve"> for </w:t>
      </w:r>
      <w:r w:rsidRPr="00114840">
        <w:rPr>
          <w:rFonts w:ascii="Arial" w:hAnsi="Arial" w:cs="Arial"/>
        </w:rPr>
        <w:t>SR15, together with the plans for SR19</w:t>
      </w:r>
      <w:r w:rsidRPr="00114840">
        <w:rPr>
          <w:rFonts w:ascii="Arial" w:hAnsi="Arial" w:cs="Arial"/>
        </w:rPr>
        <w:t>.</w:t>
      </w:r>
      <w:r w:rsidRPr="00114840" w:rsidR="008E7770">
        <w:rPr>
          <w:rFonts w:ascii="Arial" w:hAnsi="Arial" w:cs="Arial"/>
        </w:rPr>
        <w:t xml:space="preserve"> </w:t>
      </w:r>
      <w:r w:rsidRPr="00114840" w:rsidR="00900CFF">
        <w:rPr>
          <w:rFonts w:ascii="Arial" w:hAnsi="Arial" w:cs="Arial"/>
        </w:rPr>
        <w:t>In each year</w:t>
      </w:r>
      <w:r w:rsidRPr="00114840">
        <w:rPr>
          <w:rFonts w:ascii="Arial" w:hAnsi="Arial" w:cs="Arial"/>
        </w:rPr>
        <w:t xml:space="preserve"> of SR15</w:t>
      </w:r>
      <w:r w:rsidRPr="00114840" w:rsidR="00900CFF">
        <w:rPr>
          <w:rFonts w:ascii="Arial" w:hAnsi="Arial" w:cs="Arial"/>
        </w:rPr>
        <w:t xml:space="preserve">, we have achieved </w:t>
      </w:r>
      <w:r w:rsidRPr="00114840" w:rsidR="001744CE">
        <w:rPr>
          <w:rFonts w:ascii="Arial" w:hAnsi="Arial" w:cs="Arial"/>
        </w:rPr>
        <w:t>the</w:t>
      </w:r>
      <w:r w:rsidRPr="00114840" w:rsidR="008E7770">
        <w:rPr>
          <w:rFonts w:ascii="Arial" w:hAnsi="Arial" w:cs="Arial"/>
        </w:rPr>
        <w:t xml:space="preserve"> </w:t>
      </w:r>
      <w:r w:rsidRPr="00114840" w:rsidR="006A7C0E">
        <w:rPr>
          <w:rFonts w:ascii="Arial" w:hAnsi="Arial" w:cs="Arial"/>
        </w:rPr>
        <w:t>annual</w:t>
      </w:r>
      <w:r w:rsidRPr="00114840" w:rsidR="00900CFF">
        <w:rPr>
          <w:rFonts w:ascii="Arial" w:hAnsi="Arial" w:cs="Arial"/>
        </w:rPr>
        <w:t xml:space="preserve"> 2%</w:t>
      </w:r>
      <w:r w:rsidRPr="00114840" w:rsidR="006A7C0E">
        <w:rPr>
          <w:rFonts w:ascii="Arial" w:hAnsi="Arial" w:cs="Arial"/>
        </w:rPr>
        <w:t xml:space="preserve"> </w:t>
      </w:r>
      <w:r w:rsidRPr="00114840" w:rsidR="008E7770">
        <w:rPr>
          <w:rFonts w:ascii="Arial" w:hAnsi="Arial" w:cs="Arial"/>
        </w:rPr>
        <w:t xml:space="preserve">savings </w:t>
      </w:r>
      <w:r w:rsidRPr="00114840" w:rsidR="006A7C0E">
        <w:rPr>
          <w:rFonts w:ascii="Arial" w:hAnsi="Arial" w:cs="Arial"/>
        </w:rPr>
        <w:t>requirement in accordance with the Settlement</w:t>
      </w:r>
      <w:r w:rsidRPr="00114840" w:rsidR="0036285E">
        <w:rPr>
          <w:rFonts w:ascii="Arial" w:hAnsi="Arial" w:cs="Arial"/>
        </w:rPr>
        <w:t>.</w:t>
      </w:r>
      <w:r w:rsidR="00114840">
        <w:rPr>
          <w:rFonts w:ascii="Arial" w:hAnsi="Arial" w:cs="Arial"/>
        </w:rPr>
        <w:t xml:space="preserve"> </w:t>
      </w:r>
      <w:r w:rsidRPr="00114840" w:rsidR="0036285E">
        <w:rPr>
          <w:rFonts w:ascii="Arial" w:hAnsi="Arial" w:cs="Arial"/>
        </w:rPr>
        <w:t>In SR19, we will continue to contribute to government savings plans by delivering administration savings of £0.6 million through continued investment in digital infrastructure and by delivering contract efficiencies.</w:t>
      </w:r>
    </w:p>
    <w:p w:rsidR="00576A87" w:rsidP="00114840">
      <w:pPr>
        <w:keepNext/>
        <w:shd w:val="clear" w:color="auto" w:fill="FFFFFF"/>
        <w:spacing w:after="0" w:line="240" w:lineRule="auto"/>
        <w:ind w:firstLine="357"/>
        <w:jc w:val="both"/>
        <w:rPr>
          <w:rFonts w:ascii="Arial" w:hAnsi="Arial" w:cs="Arial"/>
        </w:rPr>
      </w:pPr>
      <w:r w:rsidRPr="00EA30F9">
        <w:rPr>
          <w:rFonts w:ascii="Arial" w:hAnsi="Arial" w:cs="Arial"/>
        </w:rPr>
        <w:t xml:space="preserve">Figure 1: </w:t>
      </w:r>
      <w:r w:rsidRPr="00EA30F9" w:rsidR="00900CFF">
        <w:rPr>
          <w:rFonts w:ascii="Arial" w:hAnsi="Arial" w:cs="Arial"/>
        </w:rPr>
        <w:t>Total Managed Expenditure</w:t>
      </w:r>
    </w:p>
    <w:p w:rsidR="00E231C4" w:rsidP="00E231C4">
      <w:pPr>
        <w:shd w:val="clear" w:color="auto" w:fill="FFFFFF"/>
        <w:spacing w:after="0" w:line="240" w:lineRule="auto"/>
        <w:ind w:firstLine="357"/>
        <w:jc w:val="both"/>
        <w:rPr>
          <w:rFonts w:ascii="Arial" w:hAnsi="Arial" w:cs="Arial"/>
        </w:rPr>
      </w:pPr>
      <w:r>
        <w:rPr>
          <w:noProof/>
          <w:lang w:eastAsia="en-GB"/>
        </w:rPr>
        <w:drawing>
          <wp:inline distT="0" distB="0" distL="0" distR="0">
            <wp:extent cx="5639224" cy="1843405"/>
            <wp:effectExtent l="0" t="0" r="0" b="44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94ECE" w:rsidRPr="00EA30F9" w:rsidP="00E231C4">
      <w:pPr>
        <w:shd w:val="clear" w:color="auto" w:fill="FFFFFF"/>
        <w:spacing w:after="0" w:line="240" w:lineRule="auto"/>
        <w:ind w:firstLine="357"/>
        <w:jc w:val="both"/>
        <w:rPr>
          <w:rFonts w:ascii="Arial" w:hAnsi="Arial" w:cs="Arial"/>
        </w:rPr>
      </w:pPr>
    </w:p>
    <w:p w:rsidR="00CC7EBF" w:rsidRPr="00AF3E71" w:rsidP="00AF3E71">
      <w:pPr>
        <w:pStyle w:val="ListParagraph"/>
        <w:numPr>
          <w:ilvl w:val="0"/>
          <w:numId w:val="27"/>
        </w:numPr>
        <w:shd w:val="clear" w:color="auto" w:fill="FFFFFF"/>
        <w:spacing w:after="240" w:line="240" w:lineRule="auto"/>
        <w:ind w:left="357" w:hanging="357"/>
        <w:contextualSpacing w:val="0"/>
        <w:jc w:val="both"/>
        <w:rPr>
          <w:rFonts w:ascii="Arial" w:hAnsi="Arial" w:cs="Arial"/>
        </w:rPr>
      </w:pPr>
      <w:r w:rsidRPr="00AF3E71">
        <w:rPr>
          <w:rFonts w:ascii="Arial" w:hAnsi="Arial" w:cs="Arial"/>
        </w:rPr>
        <w:t xml:space="preserve">In response to </w:t>
      </w:r>
      <w:r w:rsidRPr="00AF3E71" w:rsidR="00306A45">
        <w:rPr>
          <w:rFonts w:ascii="Arial" w:hAnsi="Arial" w:cs="Arial"/>
        </w:rPr>
        <w:t xml:space="preserve">the </w:t>
      </w:r>
      <w:r w:rsidRPr="00AF3E71">
        <w:rPr>
          <w:rFonts w:ascii="Arial" w:hAnsi="Arial" w:cs="Arial"/>
        </w:rPr>
        <w:t>continuing expansion of our work</w:t>
      </w:r>
      <w:r w:rsidR="0057403F">
        <w:rPr>
          <w:rFonts w:ascii="Arial" w:hAnsi="Arial" w:cs="Arial"/>
        </w:rPr>
        <w:t xml:space="preserve"> throughout SR15</w:t>
      </w:r>
      <w:r w:rsidRPr="00AF3E71">
        <w:rPr>
          <w:rFonts w:ascii="Arial" w:hAnsi="Arial" w:cs="Arial"/>
        </w:rPr>
        <w:t>, additional funding has been received over the period for the reform of GCSEs and A levels</w:t>
      </w:r>
      <w:r w:rsidR="0057403F">
        <w:rPr>
          <w:rFonts w:ascii="Arial" w:hAnsi="Arial" w:cs="Arial"/>
        </w:rPr>
        <w:t xml:space="preserve"> and</w:t>
      </w:r>
      <w:r w:rsidRPr="00AF3E71">
        <w:rPr>
          <w:rFonts w:ascii="Arial" w:hAnsi="Arial" w:cs="Arial"/>
        </w:rPr>
        <w:t xml:space="preserve"> for vocational and technical qualifications reform</w:t>
      </w:r>
      <w:r w:rsidR="0061676B">
        <w:rPr>
          <w:rFonts w:ascii="Arial" w:hAnsi="Arial" w:cs="Arial"/>
        </w:rPr>
        <w:t>.</w:t>
      </w:r>
      <w:r w:rsidR="0057403F">
        <w:rPr>
          <w:rFonts w:ascii="Arial" w:hAnsi="Arial" w:cs="Arial"/>
        </w:rPr>
        <w:t xml:space="preserve"> In 2020/21, £4.9 million is being provided by the DfE to enable us to continue delivery of reforms in vocational and technical qualifications.</w:t>
      </w:r>
    </w:p>
    <w:p w:rsidR="00373831" w:rsidRPr="00AF3E71" w:rsidP="00AF3E71">
      <w:pPr>
        <w:pStyle w:val="ListParagraph"/>
        <w:numPr>
          <w:ilvl w:val="0"/>
          <w:numId w:val="27"/>
        </w:numPr>
        <w:shd w:val="clear" w:color="auto" w:fill="FFFFFF"/>
        <w:spacing w:after="240" w:line="240" w:lineRule="auto"/>
        <w:ind w:left="357" w:hanging="357"/>
        <w:contextualSpacing w:val="0"/>
        <w:jc w:val="both"/>
        <w:rPr>
          <w:rFonts w:ascii="Arial" w:hAnsi="Arial" w:cs="Arial"/>
        </w:rPr>
      </w:pPr>
      <w:bookmarkStart w:id="9" w:name="_Ref8113969"/>
      <w:r w:rsidRPr="00AF3E71">
        <w:rPr>
          <w:rFonts w:ascii="Arial" w:hAnsi="Arial" w:cs="Arial"/>
        </w:rPr>
        <w:t xml:space="preserve">Further details about how </w:t>
      </w:r>
      <w:r w:rsidRPr="00AF3E71">
        <w:rPr>
          <w:rFonts w:ascii="Arial" w:hAnsi="Arial" w:cs="Arial"/>
        </w:rPr>
        <w:t>our</w:t>
      </w:r>
      <w:r w:rsidRPr="00AF3E71">
        <w:rPr>
          <w:rFonts w:ascii="Arial" w:hAnsi="Arial" w:cs="Arial"/>
        </w:rPr>
        <w:t xml:space="preserve"> spend is apportioned between programme and administration, and income, pay and non-pay are in Table 2 below</w:t>
      </w:r>
      <w:bookmarkEnd w:id="9"/>
      <w:r w:rsidRPr="00AF3E71" w:rsidR="005632F8">
        <w:rPr>
          <w:rFonts w:ascii="Arial" w:hAnsi="Arial" w:cs="Arial"/>
        </w:rPr>
        <w:t>. While the majority of our funding is currently classed as administration, it is directly attributed to</w:t>
      </w:r>
      <w:r w:rsidRPr="00AF3E71" w:rsidR="00193393">
        <w:rPr>
          <w:rFonts w:ascii="Arial" w:hAnsi="Arial" w:cs="Arial"/>
        </w:rPr>
        <w:t xml:space="preserve"> the</w:t>
      </w:r>
      <w:r w:rsidRPr="00AF3E71" w:rsidR="005632F8">
        <w:rPr>
          <w:rFonts w:ascii="Arial" w:hAnsi="Arial" w:cs="Arial"/>
        </w:rPr>
        <w:t xml:space="preserve"> regulation of qualifications, therefore we are keen to explore a conversation about expenditure classification</w:t>
      </w:r>
      <w:r w:rsidR="0057403F">
        <w:rPr>
          <w:rFonts w:ascii="Arial" w:hAnsi="Arial" w:cs="Arial"/>
        </w:rPr>
        <w:t xml:space="preserve"> as part of the CSR20 negotiation</w:t>
      </w:r>
      <w:r w:rsidRPr="00AF3E71" w:rsidR="005632F8">
        <w:rPr>
          <w:rFonts w:ascii="Arial" w:hAnsi="Arial" w:cs="Arial"/>
        </w:rPr>
        <w:t>.</w:t>
      </w:r>
    </w:p>
    <w:p w:rsidR="005E1954" w:rsidRPr="00AF3E71" w:rsidP="005E1954">
      <w:pPr>
        <w:keepLines/>
        <w:shd w:val="clear" w:color="auto" w:fill="FFFFFF"/>
        <w:spacing w:after="0" w:line="240" w:lineRule="auto"/>
        <w:ind w:left="357"/>
        <w:rPr>
          <w:rFonts w:ascii="Arial" w:hAnsi="Arial" w:cs="Arial"/>
        </w:rPr>
      </w:pPr>
      <w:r w:rsidRPr="00AF3E71">
        <w:rPr>
          <w:rFonts w:ascii="Arial" w:hAnsi="Arial" w:cs="Arial"/>
        </w:rPr>
        <w:t>Table 2: Expenditure details</w:t>
      </w:r>
    </w:p>
    <w:tbl>
      <w:tblPr>
        <w:tblW w:w="9236" w:type="dxa"/>
        <w:tblInd w:w="416" w:type="dxa"/>
        <w:tblLook w:val="04A0"/>
      </w:tblPr>
      <w:tblGrid>
        <w:gridCol w:w="2126"/>
        <w:gridCol w:w="1280"/>
        <w:gridCol w:w="1280"/>
        <w:gridCol w:w="1280"/>
        <w:gridCol w:w="1280"/>
        <w:gridCol w:w="125"/>
        <w:gridCol w:w="1156"/>
        <w:gridCol w:w="709"/>
      </w:tblGrid>
      <w:tr w:rsidTr="00B04AB1">
        <w:tblPrEx>
          <w:tblW w:w="9236" w:type="dxa"/>
          <w:tblInd w:w="416" w:type="dxa"/>
          <w:tblLook w:val="04A0"/>
        </w:tblPrEx>
        <w:trPr>
          <w:trHeight w:val="285"/>
        </w:trPr>
        <w:tc>
          <w:tcPr>
            <w:tcW w:w="2126" w:type="dxa"/>
            <w:tcBorders>
              <w:top w:val="single" w:sz="8" w:space="0" w:color="auto"/>
              <w:left w:val="single" w:sz="8" w:space="0" w:color="auto"/>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 </w:t>
            </w:r>
          </w:p>
        </w:tc>
        <w:tc>
          <w:tcPr>
            <w:tcW w:w="5245" w:type="dxa"/>
            <w:gridSpan w:val="5"/>
            <w:tcBorders>
              <w:top w:val="single" w:sz="8" w:space="0" w:color="auto"/>
              <w:left w:val="nil"/>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 SR15 --------------------</w:t>
            </w:r>
          </w:p>
        </w:tc>
        <w:tc>
          <w:tcPr>
            <w:tcW w:w="1156" w:type="dxa"/>
            <w:tcBorders>
              <w:top w:val="single" w:sz="8" w:space="0" w:color="auto"/>
              <w:left w:val="nil"/>
              <w:bottom w:val="nil"/>
              <w:right w:val="single" w:sz="8" w:space="0" w:color="auto"/>
            </w:tcBorders>
            <w:shd w:val="clear" w:color="000000" w:fill="E2EFDA"/>
            <w:vAlign w:val="center"/>
            <w:hideMark/>
          </w:tcPr>
          <w:p w:rsidR="0057403F" w:rsidRPr="00794ECE" w:rsidP="00B04AB1">
            <w:pPr>
              <w:spacing w:after="0" w:line="240" w:lineRule="auto"/>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 xml:space="preserve"> </w:t>
            </w:r>
            <w:r w:rsidRPr="00794ECE">
              <w:rPr>
                <w:rFonts w:ascii="Arial" w:eastAsia="Times New Roman" w:hAnsi="Arial" w:cs="Arial"/>
                <w:b/>
                <w:bCs/>
                <w:color w:val="000000"/>
                <w:sz w:val="18"/>
                <w:szCs w:val="18"/>
                <w:lang w:eastAsia="en-GB"/>
              </w:rPr>
              <w:t>- SR19 -</w:t>
            </w:r>
          </w:p>
        </w:tc>
        <w:tc>
          <w:tcPr>
            <w:tcW w:w="709" w:type="dxa"/>
            <w:tcBorders>
              <w:top w:val="single" w:sz="8" w:space="0" w:color="auto"/>
              <w:left w:val="nil"/>
              <w:bottom w:val="nil"/>
              <w:right w:val="single" w:sz="8" w:space="0" w:color="auto"/>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 </w:t>
            </w:r>
          </w:p>
        </w:tc>
      </w:tr>
      <w:tr w:rsidTr="00B04AB1">
        <w:tblPrEx>
          <w:tblW w:w="9236" w:type="dxa"/>
          <w:tblInd w:w="416" w:type="dxa"/>
          <w:tblLook w:val="04A0"/>
        </w:tblPrEx>
        <w:trPr>
          <w:trHeight w:val="285"/>
        </w:trPr>
        <w:tc>
          <w:tcPr>
            <w:tcW w:w="2126" w:type="dxa"/>
            <w:tcBorders>
              <w:top w:val="nil"/>
              <w:left w:val="single" w:sz="8" w:space="0" w:color="auto"/>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 </w:t>
            </w:r>
          </w:p>
        </w:tc>
        <w:tc>
          <w:tcPr>
            <w:tcW w:w="1280" w:type="dxa"/>
            <w:tcBorders>
              <w:top w:val="nil"/>
              <w:left w:val="nil"/>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2016/17</w:t>
            </w:r>
          </w:p>
        </w:tc>
        <w:tc>
          <w:tcPr>
            <w:tcW w:w="1280" w:type="dxa"/>
            <w:tcBorders>
              <w:top w:val="nil"/>
              <w:left w:val="nil"/>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2017/18</w:t>
            </w:r>
          </w:p>
        </w:tc>
        <w:tc>
          <w:tcPr>
            <w:tcW w:w="1280" w:type="dxa"/>
            <w:tcBorders>
              <w:top w:val="nil"/>
              <w:left w:val="nil"/>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2018/19</w:t>
            </w:r>
          </w:p>
        </w:tc>
        <w:tc>
          <w:tcPr>
            <w:tcW w:w="1280" w:type="dxa"/>
            <w:tcBorders>
              <w:top w:val="nil"/>
              <w:left w:val="nil"/>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2019/20</w:t>
            </w:r>
          </w:p>
        </w:tc>
        <w:tc>
          <w:tcPr>
            <w:tcW w:w="1281" w:type="dxa"/>
            <w:gridSpan w:val="2"/>
            <w:tcBorders>
              <w:top w:val="nil"/>
              <w:left w:val="nil"/>
              <w:bottom w:val="nil"/>
              <w:right w:val="single" w:sz="8" w:space="0" w:color="auto"/>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2020/21</w:t>
            </w:r>
          </w:p>
        </w:tc>
        <w:tc>
          <w:tcPr>
            <w:tcW w:w="709" w:type="dxa"/>
            <w:tcBorders>
              <w:top w:val="nil"/>
              <w:left w:val="nil"/>
              <w:bottom w:val="nil"/>
              <w:right w:val="single" w:sz="8" w:space="0" w:color="auto"/>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 </w:t>
            </w:r>
          </w:p>
        </w:tc>
      </w:tr>
      <w:tr w:rsidTr="00B04AB1">
        <w:tblPrEx>
          <w:tblW w:w="9236" w:type="dxa"/>
          <w:tblInd w:w="416" w:type="dxa"/>
          <w:tblLook w:val="04A0"/>
        </w:tblPrEx>
        <w:trPr>
          <w:trHeight w:val="285"/>
        </w:trPr>
        <w:tc>
          <w:tcPr>
            <w:tcW w:w="2126" w:type="dxa"/>
            <w:tcBorders>
              <w:top w:val="nil"/>
              <w:left w:val="single" w:sz="8" w:space="0" w:color="auto"/>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 </w:t>
            </w:r>
          </w:p>
        </w:tc>
        <w:tc>
          <w:tcPr>
            <w:tcW w:w="1280" w:type="dxa"/>
            <w:tcBorders>
              <w:top w:val="nil"/>
              <w:left w:val="nil"/>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Outturn</w:t>
            </w:r>
          </w:p>
        </w:tc>
        <w:tc>
          <w:tcPr>
            <w:tcW w:w="1280" w:type="dxa"/>
            <w:tcBorders>
              <w:top w:val="nil"/>
              <w:left w:val="nil"/>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Outturn</w:t>
            </w:r>
          </w:p>
        </w:tc>
        <w:tc>
          <w:tcPr>
            <w:tcW w:w="1280" w:type="dxa"/>
            <w:tcBorders>
              <w:top w:val="nil"/>
              <w:left w:val="nil"/>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Outturn</w:t>
            </w:r>
          </w:p>
        </w:tc>
        <w:tc>
          <w:tcPr>
            <w:tcW w:w="1280" w:type="dxa"/>
            <w:tcBorders>
              <w:top w:val="nil"/>
              <w:left w:val="nil"/>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Forecast</w:t>
            </w:r>
          </w:p>
        </w:tc>
        <w:tc>
          <w:tcPr>
            <w:tcW w:w="1281" w:type="dxa"/>
            <w:gridSpan w:val="2"/>
            <w:tcBorders>
              <w:top w:val="nil"/>
              <w:left w:val="nil"/>
              <w:bottom w:val="nil"/>
              <w:right w:val="single" w:sz="8" w:space="0" w:color="auto"/>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Planned</w:t>
            </w:r>
          </w:p>
        </w:tc>
        <w:tc>
          <w:tcPr>
            <w:tcW w:w="709" w:type="dxa"/>
            <w:tcBorders>
              <w:top w:val="nil"/>
              <w:left w:val="nil"/>
              <w:bottom w:val="nil"/>
              <w:right w:val="single" w:sz="8" w:space="0" w:color="auto"/>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Note</w:t>
            </w:r>
          </w:p>
        </w:tc>
      </w:tr>
      <w:tr w:rsidTr="00B04AB1">
        <w:tblPrEx>
          <w:tblW w:w="9236" w:type="dxa"/>
          <w:tblInd w:w="416" w:type="dxa"/>
          <w:tblLook w:val="04A0"/>
        </w:tblPrEx>
        <w:trPr>
          <w:trHeight w:val="285"/>
        </w:trPr>
        <w:tc>
          <w:tcPr>
            <w:tcW w:w="2126" w:type="dxa"/>
            <w:tcBorders>
              <w:top w:val="nil"/>
              <w:left w:val="single" w:sz="8" w:space="0" w:color="auto"/>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 </w:t>
            </w:r>
          </w:p>
        </w:tc>
        <w:tc>
          <w:tcPr>
            <w:tcW w:w="1280" w:type="dxa"/>
            <w:tcBorders>
              <w:top w:val="nil"/>
              <w:left w:val="nil"/>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£000</w:t>
            </w:r>
          </w:p>
        </w:tc>
        <w:tc>
          <w:tcPr>
            <w:tcW w:w="1280" w:type="dxa"/>
            <w:tcBorders>
              <w:top w:val="nil"/>
              <w:left w:val="nil"/>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£000</w:t>
            </w:r>
          </w:p>
        </w:tc>
        <w:tc>
          <w:tcPr>
            <w:tcW w:w="1280" w:type="dxa"/>
            <w:tcBorders>
              <w:top w:val="nil"/>
              <w:left w:val="nil"/>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£000</w:t>
            </w:r>
          </w:p>
        </w:tc>
        <w:tc>
          <w:tcPr>
            <w:tcW w:w="1280" w:type="dxa"/>
            <w:tcBorders>
              <w:top w:val="nil"/>
              <w:left w:val="nil"/>
              <w:bottom w:val="nil"/>
              <w:right w:val="nil"/>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£000</w:t>
            </w:r>
          </w:p>
        </w:tc>
        <w:tc>
          <w:tcPr>
            <w:tcW w:w="1281" w:type="dxa"/>
            <w:gridSpan w:val="2"/>
            <w:tcBorders>
              <w:top w:val="nil"/>
              <w:left w:val="nil"/>
              <w:bottom w:val="nil"/>
              <w:right w:val="single" w:sz="8" w:space="0" w:color="auto"/>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£000</w:t>
            </w:r>
          </w:p>
        </w:tc>
        <w:tc>
          <w:tcPr>
            <w:tcW w:w="709" w:type="dxa"/>
            <w:tcBorders>
              <w:top w:val="nil"/>
              <w:left w:val="nil"/>
              <w:bottom w:val="nil"/>
              <w:right w:val="single" w:sz="8" w:space="0" w:color="auto"/>
            </w:tcBorders>
            <w:shd w:val="clear" w:color="000000" w:fill="E2EFDA"/>
            <w:vAlign w:val="center"/>
            <w:hideMark/>
          </w:tcPr>
          <w:p w:rsidR="0057403F" w:rsidRPr="00794ECE" w:rsidP="0057403F">
            <w:pPr>
              <w:spacing w:after="0" w:line="240" w:lineRule="auto"/>
              <w:jc w:val="center"/>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 </w:t>
            </w:r>
          </w:p>
        </w:tc>
      </w:tr>
      <w:tr w:rsidTr="00B04AB1">
        <w:tblPrEx>
          <w:tblW w:w="9236" w:type="dxa"/>
          <w:tblInd w:w="416" w:type="dxa"/>
          <w:tblLook w:val="04A0"/>
        </w:tblPrEx>
        <w:trPr>
          <w:trHeight w:val="285"/>
        </w:trPr>
        <w:tc>
          <w:tcPr>
            <w:tcW w:w="2126" w:type="dxa"/>
            <w:tcBorders>
              <w:top w:val="nil"/>
              <w:left w:val="single" w:sz="8" w:space="0" w:color="auto"/>
              <w:bottom w:val="nil"/>
              <w:right w:val="nil"/>
            </w:tcBorders>
            <w:shd w:val="clear" w:color="auto" w:fill="auto"/>
            <w:vAlign w:val="center"/>
            <w:hideMark/>
          </w:tcPr>
          <w:p w:rsidR="0057403F" w:rsidRPr="00794ECE" w:rsidP="0057403F">
            <w:pPr>
              <w:spacing w:after="0" w:line="240" w:lineRule="auto"/>
              <w:rPr>
                <w:rFonts w:ascii="Arial" w:eastAsia="Times New Roman" w:hAnsi="Arial" w:cs="Arial"/>
                <w:b/>
                <w:bCs/>
                <w:color w:val="000000"/>
                <w:sz w:val="18"/>
                <w:szCs w:val="18"/>
                <w:u w:val="single"/>
                <w:lang w:eastAsia="en-GB"/>
              </w:rPr>
            </w:pPr>
            <w:r w:rsidRPr="00794ECE">
              <w:rPr>
                <w:rFonts w:ascii="Arial" w:eastAsia="Times New Roman" w:hAnsi="Arial" w:cs="Arial"/>
                <w:b/>
                <w:bCs/>
                <w:color w:val="000000"/>
                <w:sz w:val="18"/>
                <w:szCs w:val="18"/>
                <w:u w:val="single"/>
                <w:lang w:eastAsia="en-GB"/>
              </w:rPr>
              <w:t>Programme:</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rPr>
                <w:rFonts w:ascii="Arial" w:eastAsia="Times New Roman" w:hAnsi="Arial" w:cs="Arial"/>
                <w:b/>
                <w:bCs/>
                <w:color w:val="000000"/>
                <w:sz w:val="18"/>
                <w:szCs w:val="18"/>
                <w:u w:val="single"/>
                <w:lang w:eastAsia="en-GB"/>
              </w:rPr>
            </w:pP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rPr>
                <w:rFonts w:ascii="Times New Roman" w:eastAsia="Times New Roman" w:hAnsi="Times New Roman" w:cs="Times New Roman"/>
                <w:sz w:val="18"/>
                <w:szCs w:val="18"/>
                <w:lang w:eastAsia="en-GB"/>
              </w:rPr>
            </w:pP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rPr>
                <w:rFonts w:ascii="Times New Roman" w:eastAsia="Times New Roman" w:hAnsi="Times New Roman" w:cs="Times New Roman"/>
                <w:sz w:val="18"/>
                <w:szCs w:val="18"/>
                <w:lang w:eastAsia="en-GB"/>
              </w:rPr>
            </w:pP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rPr>
                <w:rFonts w:ascii="Times New Roman" w:eastAsia="Times New Roman" w:hAnsi="Times New Roman" w:cs="Times New Roman"/>
                <w:sz w:val="18"/>
                <w:szCs w:val="18"/>
                <w:lang w:eastAsia="en-GB"/>
              </w:rPr>
            </w:pPr>
          </w:p>
        </w:tc>
        <w:tc>
          <w:tcPr>
            <w:tcW w:w="1281" w:type="dxa"/>
            <w:gridSpan w:val="2"/>
            <w:tcBorders>
              <w:top w:val="nil"/>
              <w:left w:val="nil"/>
              <w:bottom w:val="nil"/>
              <w:right w:val="single" w:sz="8" w:space="0" w:color="auto"/>
            </w:tcBorders>
            <w:shd w:val="clear" w:color="auto" w:fill="auto"/>
            <w:vAlign w:val="center"/>
            <w:hideMark/>
          </w:tcPr>
          <w:p w:rsidR="0057403F" w:rsidRPr="00794ECE" w:rsidP="0057403F">
            <w:pPr>
              <w:spacing w:after="0" w:line="240" w:lineRule="auto"/>
              <w:rPr>
                <w:rFonts w:ascii="Arial" w:eastAsia="Times New Roman" w:hAnsi="Arial" w:cs="Arial"/>
                <w:b/>
                <w:bCs/>
                <w:i/>
                <w:iCs/>
                <w:color w:val="000000"/>
                <w:sz w:val="18"/>
                <w:szCs w:val="18"/>
                <w:lang w:eastAsia="en-GB"/>
              </w:rPr>
            </w:pPr>
            <w:r w:rsidRPr="00794ECE">
              <w:rPr>
                <w:rFonts w:ascii="Arial" w:eastAsia="Times New Roman" w:hAnsi="Arial" w:cs="Arial"/>
                <w:b/>
                <w:bCs/>
                <w:i/>
                <w:iCs/>
                <w:color w:val="000000"/>
                <w:sz w:val="18"/>
                <w:szCs w:val="18"/>
                <w:lang w:eastAsia="en-GB"/>
              </w:rPr>
              <w:t> </w:t>
            </w:r>
          </w:p>
        </w:tc>
        <w:tc>
          <w:tcPr>
            <w:tcW w:w="709" w:type="dxa"/>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center"/>
              <w:rPr>
                <w:rFonts w:ascii="Arial" w:eastAsia="Times New Roman" w:hAnsi="Arial" w:cs="Arial"/>
                <w:i/>
                <w:iCs/>
                <w:color w:val="000000"/>
                <w:sz w:val="18"/>
                <w:szCs w:val="18"/>
                <w:lang w:eastAsia="en-GB"/>
              </w:rPr>
            </w:pPr>
            <w:r w:rsidRPr="00794ECE">
              <w:rPr>
                <w:rFonts w:ascii="Arial" w:eastAsia="Times New Roman" w:hAnsi="Arial" w:cs="Arial"/>
                <w:i/>
                <w:iCs/>
                <w:color w:val="000000"/>
                <w:sz w:val="18"/>
                <w:szCs w:val="18"/>
                <w:lang w:eastAsia="en-GB"/>
              </w:rPr>
              <w:t> </w:t>
            </w:r>
          </w:p>
        </w:tc>
      </w:tr>
      <w:tr w:rsidTr="00B04AB1">
        <w:tblPrEx>
          <w:tblW w:w="9236" w:type="dxa"/>
          <w:tblInd w:w="416" w:type="dxa"/>
          <w:tblLook w:val="04A0"/>
        </w:tblPrEx>
        <w:trPr>
          <w:trHeight w:val="285"/>
        </w:trPr>
        <w:tc>
          <w:tcPr>
            <w:tcW w:w="2126" w:type="dxa"/>
            <w:tcBorders>
              <w:top w:val="nil"/>
              <w:left w:val="single" w:sz="8" w:space="0" w:color="auto"/>
              <w:bottom w:val="nil"/>
              <w:right w:val="nil"/>
            </w:tcBorders>
            <w:shd w:val="clear" w:color="auto" w:fill="auto"/>
            <w:vAlign w:val="center"/>
            <w:hideMark/>
          </w:tcPr>
          <w:p w:rsidR="0057403F" w:rsidRPr="00794ECE" w:rsidP="0057403F">
            <w:pPr>
              <w:spacing w:after="0" w:line="240" w:lineRule="auto"/>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Expenditure</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rPr>
                <w:rFonts w:ascii="Arial" w:eastAsia="Times New Roman" w:hAnsi="Arial" w:cs="Arial"/>
                <w:b/>
                <w:bCs/>
                <w:color w:val="000000"/>
                <w:sz w:val="18"/>
                <w:szCs w:val="18"/>
                <w:lang w:eastAsia="en-GB"/>
              </w:rPr>
            </w:pP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rPr>
                <w:rFonts w:ascii="Times New Roman" w:eastAsia="Times New Roman" w:hAnsi="Times New Roman" w:cs="Times New Roman"/>
                <w:sz w:val="18"/>
                <w:szCs w:val="18"/>
                <w:lang w:eastAsia="en-GB"/>
              </w:rPr>
            </w:pP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rPr>
                <w:rFonts w:ascii="Times New Roman" w:eastAsia="Times New Roman" w:hAnsi="Times New Roman" w:cs="Times New Roman"/>
                <w:sz w:val="18"/>
                <w:szCs w:val="18"/>
                <w:lang w:eastAsia="en-GB"/>
              </w:rPr>
            </w:pP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rPr>
                <w:rFonts w:ascii="Times New Roman" w:eastAsia="Times New Roman" w:hAnsi="Times New Roman" w:cs="Times New Roman"/>
                <w:sz w:val="18"/>
                <w:szCs w:val="18"/>
                <w:lang w:eastAsia="en-GB"/>
              </w:rPr>
            </w:pPr>
          </w:p>
        </w:tc>
        <w:tc>
          <w:tcPr>
            <w:tcW w:w="1281" w:type="dxa"/>
            <w:gridSpan w:val="2"/>
            <w:tcBorders>
              <w:top w:val="nil"/>
              <w:left w:val="nil"/>
              <w:bottom w:val="nil"/>
              <w:right w:val="single" w:sz="8" w:space="0" w:color="auto"/>
            </w:tcBorders>
            <w:shd w:val="clear" w:color="auto" w:fill="auto"/>
            <w:vAlign w:val="center"/>
            <w:hideMark/>
          </w:tcPr>
          <w:p w:rsidR="0057403F" w:rsidRPr="00794ECE" w:rsidP="0057403F">
            <w:pPr>
              <w:spacing w:after="0" w:line="240" w:lineRule="auto"/>
              <w:rPr>
                <w:rFonts w:ascii="Arial" w:eastAsia="Times New Roman" w:hAnsi="Arial" w:cs="Arial"/>
                <w:b/>
                <w:bCs/>
                <w:i/>
                <w:iCs/>
                <w:color w:val="000000"/>
                <w:sz w:val="18"/>
                <w:szCs w:val="18"/>
                <w:lang w:eastAsia="en-GB"/>
              </w:rPr>
            </w:pPr>
            <w:r w:rsidRPr="00794ECE">
              <w:rPr>
                <w:rFonts w:ascii="Arial" w:eastAsia="Times New Roman" w:hAnsi="Arial" w:cs="Arial"/>
                <w:b/>
                <w:bCs/>
                <w:i/>
                <w:iCs/>
                <w:color w:val="000000"/>
                <w:sz w:val="18"/>
                <w:szCs w:val="18"/>
                <w:lang w:eastAsia="en-GB"/>
              </w:rPr>
              <w:t> </w:t>
            </w:r>
          </w:p>
        </w:tc>
        <w:tc>
          <w:tcPr>
            <w:tcW w:w="709" w:type="dxa"/>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center"/>
              <w:rPr>
                <w:rFonts w:ascii="Arial" w:eastAsia="Times New Roman" w:hAnsi="Arial" w:cs="Arial"/>
                <w:i/>
                <w:iCs/>
                <w:color w:val="000000"/>
                <w:sz w:val="18"/>
                <w:szCs w:val="18"/>
                <w:lang w:eastAsia="en-GB"/>
              </w:rPr>
            </w:pPr>
            <w:r w:rsidRPr="00794ECE">
              <w:rPr>
                <w:rFonts w:ascii="Arial" w:eastAsia="Times New Roman" w:hAnsi="Arial" w:cs="Arial"/>
                <w:i/>
                <w:iCs/>
                <w:color w:val="000000"/>
                <w:sz w:val="18"/>
                <w:szCs w:val="18"/>
                <w:lang w:eastAsia="en-GB"/>
              </w:rPr>
              <w:t> </w:t>
            </w:r>
          </w:p>
        </w:tc>
      </w:tr>
      <w:tr w:rsidTr="00B04AB1">
        <w:tblPrEx>
          <w:tblW w:w="9236" w:type="dxa"/>
          <w:tblInd w:w="416" w:type="dxa"/>
          <w:tblLook w:val="04A0"/>
        </w:tblPrEx>
        <w:trPr>
          <w:trHeight w:val="285"/>
        </w:trPr>
        <w:tc>
          <w:tcPr>
            <w:tcW w:w="2126" w:type="dxa"/>
            <w:tcBorders>
              <w:top w:val="nil"/>
              <w:left w:val="single" w:sz="8" w:space="0" w:color="auto"/>
              <w:bottom w:val="nil"/>
              <w:right w:val="nil"/>
            </w:tcBorders>
            <w:shd w:val="clear" w:color="auto" w:fill="auto"/>
            <w:vAlign w:val="center"/>
            <w:hideMark/>
          </w:tcPr>
          <w:p w:rsidR="0057403F" w:rsidRPr="00794ECE" w:rsidP="0057403F">
            <w:pPr>
              <w:spacing w:after="0" w:line="240" w:lineRule="auto"/>
              <w:ind w:firstLine="200" w:firstLineChars="100"/>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Pay</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1,785</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1,028</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1,367</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2,887</w:t>
            </w:r>
          </w:p>
        </w:tc>
        <w:tc>
          <w:tcPr>
            <w:tcW w:w="1281" w:type="dxa"/>
            <w:gridSpan w:val="2"/>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4,121</w:t>
            </w:r>
          </w:p>
        </w:tc>
        <w:tc>
          <w:tcPr>
            <w:tcW w:w="709" w:type="dxa"/>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center"/>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 </w:t>
            </w:r>
          </w:p>
        </w:tc>
      </w:tr>
      <w:tr w:rsidTr="00B04AB1">
        <w:tblPrEx>
          <w:tblW w:w="9236" w:type="dxa"/>
          <w:tblInd w:w="416" w:type="dxa"/>
          <w:tblLook w:val="04A0"/>
        </w:tblPrEx>
        <w:trPr>
          <w:trHeight w:val="465"/>
        </w:trPr>
        <w:tc>
          <w:tcPr>
            <w:tcW w:w="2126" w:type="dxa"/>
            <w:tcBorders>
              <w:top w:val="nil"/>
              <w:left w:val="single" w:sz="8" w:space="0" w:color="auto"/>
              <w:bottom w:val="nil"/>
              <w:right w:val="nil"/>
            </w:tcBorders>
            <w:shd w:val="clear" w:color="auto" w:fill="auto"/>
            <w:vAlign w:val="center"/>
            <w:hideMark/>
          </w:tcPr>
          <w:p w:rsidR="0057403F" w:rsidRPr="00794ECE" w:rsidP="0057403F">
            <w:pPr>
              <w:spacing w:after="0" w:line="240" w:lineRule="auto"/>
              <w:ind w:firstLine="200" w:firstLineChars="100"/>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Other expenditure</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3,089</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2,331</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2,007</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1,489</w:t>
            </w:r>
          </w:p>
        </w:tc>
        <w:tc>
          <w:tcPr>
            <w:tcW w:w="1281" w:type="dxa"/>
            <w:gridSpan w:val="2"/>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3,</w:t>
            </w:r>
            <w:r w:rsidR="00897540">
              <w:rPr>
                <w:rFonts w:ascii="Arial" w:eastAsia="Times New Roman" w:hAnsi="Arial" w:cs="Arial"/>
                <w:color w:val="000000"/>
                <w:sz w:val="18"/>
                <w:szCs w:val="18"/>
                <w:lang w:eastAsia="en-GB"/>
              </w:rPr>
              <w:t>834</w:t>
            </w:r>
          </w:p>
        </w:tc>
        <w:tc>
          <w:tcPr>
            <w:tcW w:w="709" w:type="dxa"/>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center"/>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 </w:t>
            </w:r>
          </w:p>
        </w:tc>
      </w:tr>
      <w:tr w:rsidTr="00B04AB1">
        <w:tblPrEx>
          <w:tblW w:w="9236" w:type="dxa"/>
          <w:tblInd w:w="416" w:type="dxa"/>
          <w:tblLook w:val="04A0"/>
        </w:tblPrEx>
        <w:trPr>
          <w:trHeight w:val="480"/>
        </w:trPr>
        <w:tc>
          <w:tcPr>
            <w:tcW w:w="2126" w:type="dxa"/>
            <w:tcBorders>
              <w:top w:val="nil"/>
              <w:left w:val="single" w:sz="8" w:space="0" w:color="auto"/>
              <w:bottom w:val="nil"/>
              <w:right w:val="nil"/>
            </w:tcBorders>
            <w:shd w:val="clear" w:color="auto" w:fill="auto"/>
            <w:vAlign w:val="center"/>
            <w:hideMark/>
          </w:tcPr>
          <w:p w:rsidR="0057403F" w:rsidRPr="00794ECE" w:rsidP="0057403F">
            <w:pPr>
              <w:spacing w:after="0" w:line="240" w:lineRule="auto"/>
              <w:ind w:firstLine="200" w:firstLineChars="100"/>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Total expenditure</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4,874</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3,359</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3,374</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4,376</w:t>
            </w:r>
          </w:p>
        </w:tc>
        <w:tc>
          <w:tcPr>
            <w:tcW w:w="1281" w:type="dxa"/>
            <w:gridSpan w:val="2"/>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7,</w:t>
            </w:r>
            <w:r w:rsidR="00897540">
              <w:rPr>
                <w:rFonts w:ascii="Arial" w:eastAsia="Times New Roman" w:hAnsi="Arial" w:cs="Arial"/>
                <w:b/>
                <w:bCs/>
                <w:color w:val="000000"/>
                <w:sz w:val="18"/>
                <w:szCs w:val="18"/>
                <w:lang w:eastAsia="en-GB"/>
              </w:rPr>
              <w:t>955</w:t>
            </w:r>
          </w:p>
        </w:tc>
        <w:tc>
          <w:tcPr>
            <w:tcW w:w="709" w:type="dxa"/>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center"/>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 </w:t>
            </w:r>
          </w:p>
        </w:tc>
      </w:tr>
      <w:tr w:rsidTr="00B04AB1">
        <w:tblPrEx>
          <w:tblW w:w="9236" w:type="dxa"/>
          <w:tblInd w:w="416" w:type="dxa"/>
          <w:tblLook w:val="04A0"/>
        </w:tblPrEx>
        <w:trPr>
          <w:trHeight w:val="285"/>
        </w:trPr>
        <w:tc>
          <w:tcPr>
            <w:tcW w:w="2126" w:type="dxa"/>
            <w:tcBorders>
              <w:top w:val="nil"/>
              <w:left w:val="single" w:sz="8" w:space="0" w:color="auto"/>
              <w:bottom w:val="nil"/>
              <w:right w:val="nil"/>
            </w:tcBorders>
            <w:shd w:val="clear" w:color="auto" w:fill="auto"/>
            <w:vAlign w:val="center"/>
            <w:hideMark/>
          </w:tcPr>
          <w:p w:rsidR="0057403F" w:rsidRPr="00794ECE" w:rsidP="0057403F">
            <w:pPr>
              <w:spacing w:after="0" w:line="240" w:lineRule="auto"/>
              <w:ind w:firstLine="200" w:firstLineChars="100"/>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Income</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0</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0</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0</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0</w:t>
            </w:r>
          </w:p>
        </w:tc>
        <w:tc>
          <w:tcPr>
            <w:tcW w:w="1281" w:type="dxa"/>
            <w:gridSpan w:val="2"/>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0</w:t>
            </w:r>
          </w:p>
        </w:tc>
        <w:tc>
          <w:tcPr>
            <w:tcW w:w="709" w:type="dxa"/>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center"/>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 </w:t>
            </w:r>
          </w:p>
        </w:tc>
      </w:tr>
      <w:tr w:rsidTr="00B04AB1">
        <w:tblPrEx>
          <w:tblW w:w="9236" w:type="dxa"/>
          <w:tblInd w:w="416" w:type="dxa"/>
          <w:tblLook w:val="04A0"/>
        </w:tblPrEx>
        <w:trPr>
          <w:trHeight w:val="285"/>
        </w:trPr>
        <w:tc>
          <w:tcPr>
            <w:tcW w:w="2126" w:type="dxa"/>
            <w:tcBorders>
              <w:top w:val="nil"/>
              <w:left w:val="single" w:sz="8" w:space="0" w:color="auto"/>
              <w:bottom w:val="nil"/>
              <w:right w:val="nil"/>
            </w:tcBorders>
            <w:shd w:val="clear" w:color="000000" w:fill="F2F2F2"/>
            <w:vAlign w:val="center"/>
            <w:hideMark/>
          </w:tcPr>
          <w:p w:rsidR="0057403F" w:rsidRPr="00794ECE" w:rsidP="0057403F">
            <w:pPr>
              <w:spacing w:after="0" w:line="240" w:lineRule="auto"/>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Total programme</w:t>
            </w:r>
          </w:p>
        </w:tc>
        <w:tc>
          <w:tcPr>
            <w:tcW w:w="1280" w:type="dxa"/>
            <w:tcBorders>
              <w:top w:val="nil"/>
              <w:left w:val="nil"/>
              <w:bottom w:val="nil"/>
              <w:right w:val="nil"/>
            </w:tcBorders>
            <w:shd w:val="clear" w:color="000000" w:fill="F2F2F2"/>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4,874</w:t>
            </w:r>
          </w:p>
        </w:tc>
        <w:tc>
          <w:tcPr>
            <w:tcW w:w="1280" w:type="dxa"/>
            <w:tcBorders>
              <w:top w:val="nil"/>
              <w:left w:val="nil"/>
              <w:bottom w:val="nil"/>
              <w:right w:val="nil"/>
            </w:tcBorders>
            <w:shd w:val="clear" w:color="000000" w:fill="F2F2F2"/>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3,359</w:t>
            </w:r>
          </w:p>
        </w:tc>
        <w:tc>
          <w:tcPr>
            <w:tcW w:w="1280" w:type="dxa"/>
            <w:tcBorders>
              <w:top w:val="nil"/>
              <w:left w:val="nil"/>
              <w:bottom w:val="nil"/>
              <w:right w:val="nil"/>
            </w:tcBorders>
            <w:shd w:val="clear" w:color="000000" w:fill="F2F2F2"/>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3,374</w:t>
            </w:r>
          </w:p>
        </w:tc>
        <w:tc>
          <w:tcPr>
            <w:tcW w:w="1280" w:type="dxa"/>
            <w:tcBorders>
              <w:top w:val="nil"/>
              <w:left w:val="nil"/>
              <w:bottom w:val="nil"/>
              <w:right w:val="nil"/>
            </w:tcBorders>
            <w:shd w:val="clear" w:color="000000" w:fill="F2F2F2"/>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4,376</w:t>
            </w:r>
          </w:p>
        </w:tc>
        <w:tc>
          <w:tcPr>
            <w:tcW w:w="1281" w:type="dxa"/>
            <w:gridSpan w:val="2"/>
            <w:tcBorders>
              <w:top w:val="nil"/>
              <w:left w:val="nil"/>
              <w:bottom w:val="nil"/>
              <w:right w:val="single" w:sz="8" w:space="0" w:color="auto"/>
            </w:tcBorders>
            <w:shd w:val="clear" w:color="000000" w:fill="F2F2F2"/>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7,</w:t>
            </w:r>
            <w:r w:rsidR="00897540">
              <w:rPr>
                <w:rFonts w:ascii="Arial" w:eastAsia="Times New Roman" w:hAnsi="Arial" w:cs="Arial"/>
                <w:b/>
                <w:bCs/>
                <w:color w:val="000000"/>
                <w:sz w:val="18"/>
                <w:szCs w:val="18"/>
                <w:lang w:eastAsia="en-GB"/>
              </w:rPr>
              <w:t>955</w:t>
            </w:r>
          </w:p>
        </w:tc>
        <w:tc>
          <w:tcPr>
            <w:tcW w:w="709" w:type="dxa"/>
            <w:tcBorders>
              <w:top w:val="nil"/>
              <w:left w:val="nil"/>
              <w:bottom w:val="nil"/>
              <w:right w:val="single" w:sz="8" w:space="0" w:color="auto"/>
            </w:tcBorders>
            <w:shd w:val="clear" w:color="000000" w:fill="F2F2F2"/>
            <w:vAlign w:val="center"/>
            <w:hideMark/>
          </w:tcPr>
          <w:p w:rsidR="0057403F" w:rsidRPr="00794ECE" w:rsidP="0057403F">
            <w:pPr>
              <w:spacing w:after="0" w:line="240" w:lineRule="auto"/>
              <w:jc w:val="center"/>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(1)</w:t>
            </w:r>
          </w:p>
        </w:tc>
      </w:tr>
      <w:tr w:rsidTr="00B04AB1">
        <w:tblPrEx>
          <w:tblW w:w="9236" w:type="dxa"/>
          <w:tblInd w:w="416" w:type="dxa"/>
          <w:tblLook w:val="04A0"/>
        </w:tblPrEx>
        <w:trPr>
          <w:trHeight w:val="285"/>
        </w:trPr>
        <w:tc>
          <w:tcPr>
            <w:tcW w:w="2126" w:type="dxa"/>
            <w:tcBorders>
              <w:top w:val="nil"/>
              <w:left w:val="single" w:sz="8" w:space="0" w:color="auto"/>
              <w:bottom w:val="nil"/>
              <w:right w:val="nil"/>
            </w:tcBorders>
            <w:shd w:val="clear" w:color="auto" w:fill="auto"/>
            <w:vAlign w:val="center"/>
            <w:hideMark/>
          </w:tcPr>
          <w:p w:rsidR="0057403F" w:rsidRPr="00794ECE" w:rsidP="0057403F">
            <w:pPr>
              <w:spacing w:after="0" w:line="240" w:lineRule="auto"/>
              <w:rPr>
                <w:rFonts w:ascii="Arial" w:eastAsia="Times New Roman" w:hAnsi="Arial" w:cs="Arial"/>
                <w:b/>
                <w:bCs/>
                <w:color w:val="000000"/>
                <w:sz w:val="18"/>
                <w:szCs w:val="18"/>
                <w:u w:val="single"/>
                <w:lang w:eastAsia="en-GB"/>
              </w:rPr>
            </w:pPr>
            <w:r w:rsidRPr="00794ECE">
              <w:rPr>
                <w:rFonts w:ascii="Arial" w:eastAsia="Times New Roman" w:hAnsi="Arial" w:cs="Arial"/>
                <w:b/>
                <w:bCs/>
                <w:color w:val="000000"/>
                <w:sz w:val="18"/>
                <w:szCs w:val="18"/>
                <w:u w:val="single"/>
                <w:lang w:eastAsia="en-GB"/>
              </w:rPr>
              <w:t>Administration:</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rPr>
                <w:rFonts w:ascii="Arial" w:eastAsia="Times New Roman" w:hAnsi="Arial" w:cs="Arial"/>
                <w:b/>
                <w:bCs/>
                <w:color w:val="000000"/>
                <w:sz w:val="18"/>
                <w:szCs w:val="18"/>
                <w:u w:val="single"/>
                <w:lang w:eastAsia="en-GB"/>
              </w:rPr>
            </w:pP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rPr>
                <w:rFonts w:ascii="Times New Roman" w:eastAsia="Times New Roman" w:hAnsi="Times New Roman" w:cs="Times New Roman"/>
                <w:sz w:val="18"/>
                <w:szCs w:val="18"/>
                <w:lang w:eastAsia="en-GB"/>
              </w:rPr>
            </w:pP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rPr>
                <w:rFonts w:ascii="Times New Roman" w:eastAsia="Times New Roman" w:hAnsi="Times New Roman" w:cs="Times New Roman"/>
                <w:sz w:val="18"/>
                <w:szCs w:val="18"/>
                <w:lang w:eastAsia="en-GB"/>
              </w:rPr>
            </w:pP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rPr>
                <w:rFonts w:ascii="Times New Roman" w:eastAsia="Times New Roman" w:hAnsi="Times New Roman" w:cs="Times New Roman"/>
                <w:sz w:val="18"/>
                <w:szCs w:val="18"/>
                <w:lang w:eastAsia="en-GB"/>
              </w:rPr>
            </w:pPr>
          </w:p>
        </w:tc>
        <w:tc>
          <w:tcPr>
            <w:tcW w:w="1281" w:type="dxa"/>
            <w:gridSpan w:val="2"/>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 </w:t>
            </w:r>
          </w:p>
        </w:tc>
        <w:tc>
          <w:tcPr>
            <w:tcW w:w="709" w:type="dxa"/>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center"/>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 </w:t>
            </w:r>
          </w:p>
        </w:tc>
      </w:tr>
      <w:tr w:rsidTr="00B04AB1">
        <w:tblPrEx>
          <w:tblW w:w="9236" w:type="dxa"/>
          <w:tblInd w:w="416" w:type="dxa"/>
          <w:tblLook w:val="04A0"/>
        </w:tblPrEx>
        <w:trPr>
          <w:trHeight w:val="285"/>
        </w:trPr>
        <w:tc>
          <w:tcPr>
            <w:tcW w:w="2126" w:type="dxa"/>
            <w:tcBorders>
              <w:top w:val="nil"/>
              <w:left w:val="single" w:sz="8" w:space="0" w:color="auto"/>
              <w:bottom w:val="nil"/>
              <w:right w:val="nil"/>
            </w:tcBorders>
            <w:shd w:val="clear" w:color="auto" w:fill="auto"/>
            <w:vAlign w:val="center"/>
            <w:hideMark/>
          </w:tcPr>
          <w:p w:rsidR="0057403F" w:rsidRPr="00794ECE" w:rsidP="0057403F">
            <w:pPr>
              <w:spacing w:after="0" w:line="240" w:lineRule="auto"/>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Expenditure</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rPr>
                <w:rFonts w:ascii="Arial" w:eastAsia="Times New Roman" w:hAnsi="Arial" w:cs="Arial"/>
                <w:b/>
                <w:bCs/>
                <w:color w:val="000000"/>
                <w:sz w:val="18"/>
                <w:szCs w:val="18"/>
                <w:lang w:eastAsia="en-GB"/>
              </w:rPr>
            </w:pP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rPr>
                <w:rFonts w:ascii="Times New Roman" w:eastAsia="Times New Roman" w:hAnsi="Times New Roman" w:cs="Times New Roman"/>
                <w:sz w:val="18"/>
                <w:szCs w:val="18"/>
                <w:lang w:eastAsia="en-GB"/>
              </w:rPr>
            </w:pP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rPr>
                <w:rFonts w:ascii="Times New Roman" w:eastAsia="Times New Roman" w:hAnsi="Times New Roman" w:cs="Times New Roman"/>
                <w:sz w:val="18"/>
                <w:szCs w:val="18"/>
                <w:lang w:eastAsia="en-GB"/>
              </w:rPr>
            </w:pP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rPr>
                <w:rFonts w:ascii="Times New Roman" w:eastAsia="Times New Roman" w:hAnsi="Times New Roman" w:cs="Times New Roman"/>
                <w:sz w:val="18"/>
                <w:szCs w:val="18"/>
                <w:lang w:eastAsia="en-GB"/>
              </w:rPr>
            </w:pPr>
          </w:p>
        </w:tc>
        <w:tc>
          <w:tcPr>
            <w:tcW w:w="1281" w:type="dxa"/>
            <w:gridSpan w:val="2"/>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 </w:t>
            </w:r>
          </w:p>
        </w:tc>
        <w:tc>
          <w:tcPr>
            <w:tcW w:w="709" w:type="dxa"/>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center"/>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 </w:t>
            </w:r>
          </w:p>
        </w:tc>
      </w:tr>
      <w:tr w:rsidTr="00B04AB1">
        <w:tblPrEx>
          <w:tblW w:w="9236" w:type="dxa"/>
          <w:tblInd w:w="416" w:type="dxa"/>
          <w:tblLook w:val="04A0"/>
        </w:tblPrEx>
        <w:trPr>
          <w:trHeight w:val="285"/>
        </w:trPr>
        <w:tc>
          <w:tcPr>
            <w:tcW w:w="2126" w:type="dxa"/>
            <w:tcBorders>
              <w:top w:val="nil"/>
              <w:left w:val="single" w:sz="8" w:space="0" w:color="auto"/>
              <w:bottom w:val="nil"/>
              <w:right w:val="nil"/>
            </w:tcBorders>
            <w:shd w:val="clear" w:color="auto" w:fill="auto"/>
            <w:vAlign w:val="center"/>
            <w:hideMark/>
          </w:tcPr>
          <w:p w:rsidR="0057403F" w:rsidRPr="00794ECE" w:rsidP="0057403F">
            <w:pPr>
              <w:spacing w:after="0" w:line="240" w:lineRule="auto"/>
              <w:ind w:firstLine="200" w:firstLineChars="100"/>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Pay</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10,297</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11,042</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10,712</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11,955</w:t>
            </w:r>
          </w:p>
        </w:tc>
        <w:tc>
          <w:tcPr>
            <w:tcW w:w="1281" w:type="dxa"/>
            <w:gridSpan w:val="2"/>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12,400</w:t>
            </w:r>
          </w:p>
        </w:tc>
        <w:tc>
          <w:tcPr>
            <w:tcW w:w="709" w:type="dxa"/>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center"/>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(2)</w:t>
            </w:r>
          </w:p>
        </w:tc>
      </w:tr>
      <w:tr w:rsidTr="00B04AB1">
        <w:tblPrEx>
          <w:tblW w:w="9236" w:type="dxa"/>
          <w:tblInd w:w="416" w:type="dxa"/>
          <w:tblLook w:val="04A0"/>
        </w:tblPrEx>
        <w:trPr>
          <w:trHeight w:val="465"/>
        </w:trPr>
        <w:tc>
          <w:tcPr>
            <w:tcW w:w="2126" w:type="dxa"/>
            <w:tcBorders>
              <w:top w:val="nil"/>
              <w:left w:val="single" w:sz="8" w:space="0" w:color="auto"/>
              <w:bottom w:val="nil"/>
              <w:right w:val="nil"/>
            </w:tcBorders>
            <w:shd w:val="clear" w:color="auto" w:fill="auto"/>
            <w:vAlign w:val="center"/>
            <w:hideMark/>
          </w:tcPr>
          <w:p w:rsidR="0057403F" w:rsidRPr="00794ECE" w:rsidP="0057403F">
            <w:pPr>
              <w:spacing w:after="0" w:line="240" w:lineRule="auto"/>
              <w:ind w:firstLine="200" w:firstLineChars="100"/>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Other expenditure</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3,786</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3,978</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4,941</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3,000</w:t>
            </w:r>
          </w:p>
        </w:tc>
        <w:tc>
          <w:tcPr>
            <w:tcW w:w="1281" w:type="dxa"/>
            <w:gridSpan w:val="2"/>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2,626</w:t>
            </w:r>
          </w:p>
        </w:tc>
        <w:tc>
          <w:tcPr>
            <w:tcW w:w="709" w:type="dxa"/>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center"/>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 </w:t>
            </w:r>
          </w:p>
        </w:tc>
      </w:tr>
      <w:tr w:rsidTr="00B04AB1">
        <w:tblPrEx>
          <w:tblW w:w="9236" w:type="dxa"/>
          <w:tblInd w:w="416" w:type="dxa"/>
          <w:tblLook w:val="04A0"/>
        </w:tblPrEx>
        <w:trPr>
          <w:trHeight w:val="480"/>
        </w:trPr>
        <w:tc>
          <w:tcPr>
            <w:tcW w:w="2126" w:type="dxa"/>
            <w:tcBorders>
              <w:top w:val="nil"/>
              <w:left w:val="single" w:sz="8" w:space="0" w:color="auto"/>
              <w:bottom w:val="nil"/>
              <w:right w:val="nil"/>
            </w:tcBorders>
            <w:shd w:val="clear" w:color="auto" w:fill="auto"/>
            <w:vAlign w:val="center"/>
            <w:hideMark/>
          </w:tcPr>
          <w:p w:rsidR="0057403F" w:rsidRPr="00794ECE" w:rsidP="0057403F">
            <w:pPr>
              <w:spacing w:after="0" w:line="240" w:lineRule="auto"/>
              <w:ind w:firstLine="200" w:firstLineChars="100"/>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Total expenditure</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14,083</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15,020</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15,653</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14,955</w:t>
            </w:r>
          </w:p>
        </w:tc>
        <w:tc>
          <w:tcPr>
            <w:tcW w:w="1281" w:type="dxa"/>
            <w:gridSpan w:val="2"/>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15,026</w:t>
            </w:r>
          </w:p>
        </w:tc>
        <w:tc>
          <w:tcPr>
            <w:tcW w:w="709" w:type="dxa"/>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center"/>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 </w:t>
            </w:r>
          </w:p>
        </w:tc>
      </w:tr>
      <w:tr w:rsidTr="00B04AB1">
        <w:tblPrEx>
          <w:tblW w:w="9236" w:type="dxa"/>
          <w:tblInd w:w="416" w:type="dxa"/>
          <w:tblLook w:val="04A0"/>
        </w:tblPrEx>
        <w:trPr>
          <w:trHeight w:val="285"/>
        </w:trPr>
        <w:tc>
          <w:tcPr>
            <w:tcW w:w="2126" w:type="dxa"/>
            <w:tcBorders>
              <w:top w:val="nil"/>
              <w:left w:val="single" w:sz="8" w:space="0" w:color="auto"/>
              <w:bottom w:val="nil"/>
              <w:right w:val="nil"/>
            </w:tcBorders>
            <w:shd w:val="clear" w:color="auto" w:fill="auto"/>
            <w:vAlign w:val="center"/>
            <w:hideMark/>
          </w:tcPr>
          <w:p w:rsidR="0057403F" w:rsidRPr="00794ECE" w:rsidP="0057403F">
            <w:pPr>
              <w:spacing w:after="0" w:line="240" w:lineRule="auto"/>
              <w:ind w:firstLine="200" w:firstLineChars="100"/>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Income</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-35</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-342</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-787</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-100</w:t>
            </w:r>
          </w:p>
        </w:tc>
        <w:tc>
          <w:tcPr>
            <w:tcW w:w="1281" w:type="dxa"/>
            <w:gridSpan w:val="2"/>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-55</w:t>
            </w:r>
          </w:p>
        </w:tc>
        <w:tc>
          <w:tcPr>
            <w:tcW w:w="709" w:type="dxa"/>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center"/>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(3)</w:t>
            </w:r>
          </w:p>
        </w:tc>
      </w:tr>
      <w:tr w:rsidTr="00B04AB1">
        <w:tblPrEx>
          <w:tblW w:w="9236" w:type="dxa"/>
          <w:tblInd w:w="416" w:type="dxa"/>
          <w:tblLook w:val="04A0"/>
        </w:tblPrEx>
        <w:trPr>
          <w:trHeight w:val="480"/>
        </w:trPr>
        <w:tc>
          <w:tcPr>
            <w:tcW w:w="2126" w:type="dxa"/>
            <w:tcBorders>
              <w:top w:val="nil"/>
              <w:left w:val="single" w:sz="8" w:space="0" w:color="auto"/>
              <w:bottom w:val="nil"/>
              <w:right w:val="nil"/>
            </w:tcBorders>
            <w:shd w:val="clear" w:color="000000" w:fill="F2F2F2"/>
            <w:vAlign w:val="center"/>
            <w:hideMark/>
          </w:tcPr>
          <w:p w:rsidR="0057403F" w:rsidRPr="00794ECE" w:rsidP="0057403F">
            <w:pPr>
              <w:spacing w:after="0" w:line="240" w:lineRule="auto"/>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 xml:space="preserve">Total administration </w:t>
            </w:r>
          </w:p>
        </w:tc>
        <w:tc>
          <w:tcPr>
            <w:tcW w:w="1280" w:type="dxa"/>
            <w:tcBorders>
              <w:top w:val="nil"/>
              <w:left w:val="nil"/>
              <w:bottom w:val="nil"/>
              <w:right w:val="nil"/>
            </w:tcBorders>
            <w:shd w:val="clear" w:color="000000" w:fill="F2F2F2"/>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14,048</w:t>
            </w:r>
          </w:p>
        </w:tc>
        <w:tc>
          <w:tcPr>
            <w:tcW w:w="1280" w:type="dxa"/>
            <w:tcBorders>
              <w:top w:val="nil"/>
              <w:left w:val="nil"/>
              <w:bottom w:val="nil"/>
              <w:right w:val="nil"/>
            </w:tcBorders>
            <w:shd w:val="clear" w:color="000000" w:fill="F2F2F2"/>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14,678</w:t>
            </w:r>
          </w:p>
        </w:tc>
        <w:tc>
          <w:tcPr>
            <w:tcW w:w="1280" w:type="dxa"/>
            <w:tcBorders>
              <w:top w:val="nil"/>
              <w:left w:val="nil"/>
              <w:bottom w:val="nil"/>
              <w:right w:val="nil"/>
            </w:tcBorders>
            <w:shd w:val="clear" w:color="000000" w:fill="F2F2F2"/>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14,866</w:t>
            </w:r>
          </w:p>
        </w:tc>
        <w:tc>
          <w:tcPr>
            <w:tcW w:w="1280" w:type="dxa"/>
            <w:tcBorders>
              <w:top w:val="nil"/>
              <w:left w:val="nil"/>
              <w:bottom w:val="nil"/>
              <w:right w:val="nil"/>
            </w:tcBorders>
            <w:shd w:val="clear" w:color="000000" w:fill="F2F2F2"/>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14,855</w:t>
            </w:r>
          </w:p>
        </w:tc>
        <w:tc>
          <w:tcPr>
            <w:tcW w:w="1281" w:type="dxa"/>
            <w:gridSpan w:val="2"/>
            <w:tcBorders>
              <w:top w:val="nil"/>
              <w:left w:val="nil"/>
              <w:bottom w:val="nil"/>
              <w:right w:val="single" w:sz="8" w:space="0" w:color="auto"/>
            </w:tcBorders>
            <w:shd w:val="clear" w:color="000000" w:fill="F2F2F2"/>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14,971</w:t>
            </w:r>
          </w:p>
        </w:tc>
        <w:tc>
          <w:tcPr>
            <w:tcW w:w="709" w:type="dxa"/>
            <w:tcBorders>
              <w:top w:val="nil"/>
              <w:left w:val="nil"/>
              <w:bottom w:val="nil"/>
              <w:right w:val="single" w:sz="8" w:space="0" w:color="auto"/>
            </w:tcBorders>
            <w:shd w:val="clear" w:color="000000" w:fill="F2F2F2"/>
            <w:vAlign w:val="center"/>
            <w:hideMark/>
          </w:tcPr>
          <w:p w:rsidR="0057403F" w:rsidRPr="00794ECE" w:rsidP="0057403F">
            <w:pPr>
              <w:spacing w:after="0" w:line="240" w:lineRule="auto"/>
              <w:jc w:val="center"/>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 </w:t>
            </w:r>
          </w:p>
        </w:tc>
      </w:tr>
      <w:tr w:rsidTr="00B04AB1">
        <w:tblPrEx>
          <w:tblW w:w="9236" w:type="dxa"/>
          <w:tblInd w:w="416" w:type="dxa"/>
          <w:tblLook w:val="04A0"/>
        </w:tblPrEx>
        <w:trPr>
          <w:trHeight w:val="285"/>
        </w:trPr>
        <w:tc>
          <w:tcPr>
            <w:tcW w:w="2126" w:type="dxa"/>
            <w:tcBorders>
              <w:top w:val="nil"/>
              <w:left w:val="single" w:sz="8" w:space="0" w:color="auto"/>
              <w:bottom w:val="nil"/>
              <w:right w:val="nil"/>
            </w:tcBorders>
            <w:shd w:val="clear" w:color="000000" w:fill="F2F2F2"/>
            <w:vAlign w:val="center"/>
            <w:hideMark/>
          </w:tcPr>
          <w:p w:rsidR="0057403F" w:rsidRPr="00794ECE" w:rsidP="0057403F">
            <w:pPr>
              <w:spacing w:after="0" w:line="240" w:lineRule="auto"/>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TOTAL RDEL</w:t>
            </w:r>
          </w:p>
        </w:tc>
        <w:tc>
          <w:tcPr>
            <w:tcW w:w="1280" w:type="dxa"/>
            <w:tcBorders>
              <w:top w:val="nil"/>
              <w:left w:val="nil"/>
              <w:bottom w:val="nil"/>
              <w:right w:val="nil"/>
            </w:tcBorders>
            <w:shd w:val="clear" w:color="000000" w:fill="F2F2F2"/>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18,922</w:t>
            </w:r>
          </w:p>
        </w:tc>
        <w:tc>
          <w:tcPr>
            <w:tcW w:w="1280" w:type="dxa"/>
            <w:tcBorders>
              <w:top w:val="nil"/>
              <w:left w:val="nil"/>
              <w:bottom w:val="nil"/>
              <w:right w:val="nil"/>
            </w:tcBorders>
            <w:shd w:val="clear" w:color="000000" w:fill="F2F2F2"/>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18,037</w:t>
            </w:r>
          </w:p>
        </w:tc>
        <w:tc>
          <w:tcPr>
            <w:tcW w:w="1280" w:type="dxa"/>
            <w:tcBorders>
              <w:top w:val="nil"/>
              <w:left w:val="nil"/>
              <w:bottom w:val="nil"/>
              <w:right w:val="nil"/>
            </w:tcBorders>
            <w:shd w:val="clear" w:color="000000" w:fill="F2F2F2"/>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18,240</w:t>
            </w:r>
          </w:p>
        </w:tc>
        <w:tc>
          <w:tcPr>
            <w:tcW w:w="1280" w:type="dxa"/>
            <w:tcBorders>
              <w:top w:val="nil"/>
              <w:left w:val="nil"/>
              <w:bottom w:val="nil"/>
              <w:right w:val="nil"/>
            </w:tcBorders>
            <w:shd w:val="clear" w:color="000000" w:fill="F2F2F2"/>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19,231</w:t>
            </w:r>
          </w:p>
        </w:tc>
        <w:tc>
          <w:tcPr>
            <w:tcW w:w="1281" w:type="dxa"/>
            <w:gridSpan w:val="2"/>
            <w:tcBorders>
              <w:top w:val="nil"/>
              <w:left w:val="nil"/>
              <w:bottom w:val="nil"/>
              <w:right w:val="single" w:sz="8" w:space="0" w:color="auto"/>
            </w:tcBorders>
            <w:shd w:val="clear" w:color="000000" w:fill="F2F2F2"/>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22,</w:t>
            </w:r>
            <w:r w:rsidR="00897540">
              <w:rPr>
                <w:rFonts w:ascii="Arial" w:eastAsia="Times New Roman" w:hAnsi="Arial" w:cs="Arial"/>
                <w:b/>
                <w:bCs/>
                <w:color w:val="000000"/>
                <w:sz w:val="18"/>
                <w:szCs w:val="18"/>
                <w:lang w:eastAsia="en-GB"/>
              </w:rPr>
              <w:t>926</w:t>
            </w:r>
          </w:p>
        </w:tc>
        <w:tc>
          <w:tcPr>
            <w:tcW w:w="709" w:type="dxa"/>
            <w:tcBorders>
              <w:top w:val="nil"/>
              <w:left w:val="nil"/>
              <w:bottom w:val="nil"/>
              <w:right w:val="single" w:sz="8" w:space="0" w:color="auto"/>
            </w:tcBorders>
            <w:shd w:val="clear" w:color="000000" w:fill="F2F2F2"/>
            <w:vAlign w:val="center"/>
            <w:hideMark/>
          </w:tcPr>
          <w:p w:rsidR="0057403F" w:rsidRPr="00794ECE" w:rsidP="0057403F">
            <w:pPr>
              <w:spacing w:after="0" w:line="240" w:lineRule="auto"/>
              <w:jc w:val="center"/>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 </w:t>
            </w:r>
          </w:p>
        </w:tc>
      </w:tr>
      <w:tr w:rsidTr="00B04AB1">
        <w:tblPrEx>
          <w:tblW w:w="9236" w:type="dxa"/>
          <w:tblInd w:w="416" w:type="dxa"/>
          <w:tblLook w:val="04A0"/>
        </w:tblPrEx>
        <w:trPr>
          <w:trHeight w:val="285"/>
        </w:trPr>
        <w:tc>
          <w:tcPr>
            <w:tcW w:w="2126" w:type="dxa"/>
            <w:tcBorders>
              <w:top w:val="nil"/>
              <w:left w:val="single" w:sz="8" w:space="0" w:color="auto"/>
              <w:bottom w:val="nil"/>
              <w:right w:val="nil"/>
            </w:tcBorders>
            <w:shd w:val="clear" w:color="auto" w:fill="auto"/>
            <w:vAlign w:val="center"/>
            <w:hideMark/>
          </w:tcPr>
          <w:p w:rsidR="0057403F" w:rsidRPr="00794ECE" w:rsidP="0057403F">
            <w:pPr>
              <w:spacing w:after="0" w:line="240" w:lineRule="auto"/>
              <w:ind w:firstLine="200" w:firstLineChars="100"/>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Capital</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0</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267</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100</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170</w:t>
            </w:r>
          </w:p>
        </w:tc>
        <w:tc>
          <w:tcPr>
            <w:tcW w:w="1281" w:type="dxa"/>
            <w:gridSpan w:val="2"/>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100</w:t>
            </w:r>
          </w:p>
        </w:tc>
        <w:tc>
          <w:tcPr>
            <w:tcW w:w="709" w:type="dxa"/>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center"/>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 </w:t>
            </w:r>
          </w:p>
        </w:tc>
      </w:tr>
      <w:tr w:rsidTr="00B04AB1">
        <w:tblPrEx>
          <w:tblW w:w="9236" w:type="dxa"/>
          <w:tblInd w:w="416" w:type="dxa"/>
          <w:tblLook w:val="04A0"/>
        </w:tblPrEx>
        <w:trPr>
          <w:trHeight w:val="285"/>
        </w:trPr>
        <w:tc>
          <w:tcPr>
            <w:tcW w:w="2126" w:type="dxa"/>
            <w:tcBorders>
              <w:top w:val="nil"/>
              <w:left w:val="single" w:sz="8" w:space="0" w:color="auto"/>
              <w:bottom w:val="nil"/>
              <w:right w:val="nil"/>
            </w:tcBorders>
            <w:shd w:val="clear" w:color="auto" w:fill="auto"/>
            <w:vAlign w:val="center"/>
            <w:hideMark/>
          </w:tcPr>
          <w:p w:rsidR="0057403F" w:rsidRPr="00794ECE" w:rsidP="0057403F">
            <w:pPr>
              <w:spacing w:after="0" w:line="240" w:lineRule="auto"/>
              <w:ind w:firstLine="200" w:firstLineChars="100"/>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AME</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0</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177</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-167</w:t>
            </w:r>
          </w:p>
        </w:tc>
        <w:tc>
          <w:tcPr>
            <w:tcW w:w="1280" w:type="dxa"/>
            <w:tcBorders>
              <w:top w:val="nil"/>
              <w:left w:val="nil"/>
              <w:bottom w:val="nil"/>
              <w:right w:val="nil"/>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30</w:t>
            </w:r>
          </w:p>
        </w:tc>
        <w:tc>
          <w:tcPr>
            <w:tcW w:w="1281" w:type="dxa"/>
            <w:gridSpan w:val="2"/>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right"/>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TBC</w:t>
            </w:r>
          </w:p>
        </w:tc>
        <w:tc>
          <w:tcPr>
            <w:tcW w:w="709" w:type="dxa"/>
            <w:tcBorders>
              <w:top w:val="nil"/>
              <w:left w:val="nil"/>
              <w:bottom w:val="nil"/>
              <w:right w:val="single" w:sz="8" w:space="0" w:color="auto"/>
            </w:tcBorders>
            <w:shd w:val="clear" w:color="auto" w:fill="auto"/>
            <w:vAlign w:val="center"/>
            <w:hideMark/>
          </w:tcPr>
          <w:p w:rsidR="0057403F" w:rsidRPr="00794ECE" w:rsidP="0057403F">
            <w:pPr>
              <w:spacing w:after="0" w:line="240" w:lineRule="auto"/>
              <w:jc w:val="center"/>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(4)</w:t>
            </w:r>
          </w:p>
        </w:tc>
      </w:tr>
      <w:tr w:rsidTr="00B04AB1">
        <w:tblPrEx>
          <w:tblW w:w="9236" w:type="dxa"/>
          <w:tblInd w:w="416" w:type="dxa"/>
          <w:tblLook w:val="04A0"/>
        </w:tblPrEx>
        <w:trPr>
          <w:trHeight w:val="488"/>
        </w:trPr>
        <w:tc>
          <w:tcPr>
            <w:tcW w:w="2126" w:type="dxa"/>
            <w:tcBorders>
              <w:top w:val="nil"/>
              <w:left w:val="single" w:sz="8" w:space="0" w:color="auto"/>
              <w:bottom w:val="single" w:sz="8" w:space="0" w:color="auto"/>
              <w:right w:val="nil"/>
            </w:tcBorders>
            <w:shd w:val="clear" w:color="000000" w:fill="E2EFDA"/>
            <w:vAlign w:val="center"/>
            <w:hideMark/>
          </w:tcPr>
          <w:p w:rsidR="0057403F" w:rsidRPr="00794ECE" w:rsidP="0057403F">
            <w:pPr>
              <w:spacing w:after="0" w:line="240" w:lineRule="auto"/>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Total Managed Expenditure</w:t>
            </w:r>
          </w:p>
        </w:tc>
        <w:tc>
          <w:tcPr>
            <w:tcW w:w="1280" w:type="dxa"/>
            <w:tcBorders>
              <w:top w:val="nil"/>
              <w:left w:val="nil"/>
              <w:bottom w:val="single" w:sz="8" w:space="0" w:color="auto"/>
              <w:right w:val="nil"/>
            </w:tcBorders>
            <w:shd w:val="clear" w:color="000000" w:fill="E2EFDA"/>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18,922</w:t>
            </w:r>
          </w:p>
        </w:tc>
        <w:tc>
          <w:tcPr>
            <w:tcW w:w="1280" w:type="dxa"/>
            <w:tcBorders>
              <w:top w:val="nil"/>
              <w:left w:val="nil"/>
              <w:bottom w:val="single" w:sz="8" w:space="0" w:color="auto"/>
              <w:right w:val="nil"/>
            </w:tcBorders>
            <w:shd w:val="clear" w:color="000000" w:fill="E2EFDA"/>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18,481</w:t>
            </w:r>
          </w:p>
        </w:tc>
        <w:tc>
          <w:tcPr>
            <w:tcW w:w="1280" w:type="dxa"/>
            <w:tcBorders>
              <w:top w:val="nil"/>
              <w:left w:val="nil"/>
              <w:bottom w:val="single" w:sz="8" w:space="0" w:color="auto"/>
              <w:right w:val="nil"/>
            </w:tcBorders>
            <w:shd w:val="clear" w:color="000000" w:fill="E2EFDA"/>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18,173</w:t>
            </w:r>
          </w:p>
        </w:tc>
        <w:tc>
          <w:tcPr>
            <w:tcW w:w="1280" w:type="dxa"/>
            <w:tcBorders>
              <w:top w:val="nil"/>
              <w:left w:val="nil"/>
              <w:bottom w:val="single" w:sz="8" w:space="0" w:color="auto"/>
              <w:right w:val="nil"/>
            </w:tcBorders>
            <w:shd w:val="clear" w:color="000000" w:fill="E2EFDA"/>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19,431</w:t>
            </w:r>
          </w:p>
        </w:tc>
        <w:tc>
          <w:tcPr>
            <w:tcW w:w="1281" w:type="dxa"/>
            <w:gridSpan w:val="2"/>
            <w:tcBorders>
              <w:top w:val="nil"/>
              <w:left w:val="nil"/>
              <w:bottom w:val="single" w:sz="8" w:space="0" w:color="auto"/>
              <w:right w:val="single" w:sz="8" w:space="0" w:color="auto"/>
            </w:tcBorders>
            <w:shd w:val="clear" w:color="000000" w:fill="E2EFDA"/>
            <w:vAlign w:val="center"/>
            <w:hideMark/>
          </w:tcPr>
          <w:p w:rsidR="0057403F" w:rsidRPr="00794ECE" w:rsidP="0057403F">
            <w:pPr>
              <w:spacing w:after="0" w:line="240" w:lineRule="auto"/>
              <w:jc w:val="right"/>
              <w:rPr>
                <w:rFonts w:ascii="Arial" w:eastAsia="Times New Roman" w:hAnsi="Arial" w:cs="Arial"/>
                <w:b/>
                <w:bCs/>
                <w:color w:val="000000"/>
                <w:sz w:val="18"/>
                <w:szCs w:val="18"/>
                <w:lang w:eastAsia="en-GB"/>
              </w:rPr>
            </w:pPr>
            <w:r w:rsidRPr="00794ECE">
              <w:rPr>
                <w:rFonts w:ascii="Arial" w:eastAsia="Times New Roman" w:hAnsi="Arial" w:cs="Arial"/>
                <w:b/>
                <w:bCs/>
                <w:color w:val="000000"/>
                <w:sz w:val="18"/>
                <w:szCs w:val="18"/>
                <w:lang w:eastAsia="en-GB"/>
              </w:rPr>
              <w:t>2</w:t>
            </w:r>
            <w:r w:rsidR="00897540">
              <w:rPr>
                <w:rFonts w:ascii="Arial" w:eastAsia="Times New Roman" w:hAnsi="Arial" w:cs="Arial"/>
                <w:b/>
                <w:bCs/>
                <w:color w:val="000000"/>
                <w:sz w:val="18"/>
                <w:szCs w:val="18"/>
                <w:lang w:eastAsia="en-GB"/>
              </w:rPr>
              <w:t>3</w:t>
            </w:r>
            <w:r w:rsidRPr="00794ECE">
              <w:rPr>
                <w:rFonts w:ascii="Arial" w:eastAsia="Times New Roman" w:hAnsi="Arial" w:cs="Arial"/>
                <w:b/>
                <w:bCs/>
                <w:color w:val="000000"/>
                <w:sz w:val="18"/>
                <w:szCs w:val="18"/>
                <w:lang w:eastAsia="en-GB"/>
              </w:rPr>
              <w:t>,</w:t>
            </w:r>
            <w:r w:rsidR="00897540">
              <w:rPr>
                <w:rFonts w:ascii="Arial" w:eastAsia="Times New Roman" w:hAnsi="Arial" w:cs="Arial"/>
                <w:b/>
                <w:bCs/>
                <w:color w:val="000000"/>
                <w:sz w:val="18"/>
                <w:szCs w:val="18"/>
                <w:lang w:eastAsia="en-GB"/>
              </w:rPr>
              <w:t>026</w:t>
            </w:r>
          </w:p>
        </w:tc>
        <w:tc>
          <w:tcPr>
            <w:tcW w:w="709" w:type="dxa"/>
            <w:tcBorders>
              <w:top w:val="nil"/>
              <w:left w:val="nil"/>
              <w:bottom w:val="single" w:sz="8" w:space="0" w:color="auto"/>
              <w:right w:val="single" w:sz="8" w:space="0" w:color="auto"/>
            </w:tcBorders>
            <w:shd w:val="clear" w:color="000000" w:fill="E2EFDA"/>
            <w:vAlign w:val="center"/>
            <w:hideMark/>
          </w:tcPr>
          <w:p w:rsidR="0057403F" w:rsidRPr="00794ECE" w:rsidP="0057403F">
            <w:pPr>
              <w:spacing w:after="0" w:line="240" w:lineRule="auto"/>
              <w:jc w:val="center"/>
              <w:rPr>
                <w:rFonts w:ascii="Arial" w:eastAsia="Times New Roman" w:hAnsi="Arial" w:cs="Arial"/>
                <w:color w:val="000000"/>
                <w:sz w:val="18"/>
                <w:szCs w:val="18"/>
                <w:lang w:eastAsia="en-GB"/>
              </w:rPr>
            </w:pPr>
            <w:r w:rsidRPr="00794ECE">
              <w:rPr>
                <w:rFonts w:ascii="Arial" w:eastAsia="Times New Roman" w:hAnsi="Arial" w:cs="Arial"/>
                <w:color w:val="000000"/>
                <w:sz w:val="18"/>
                <w:szCs w:val="18"/>
                <w:lang w:eastAsia="en-GB"/>
              </w:rPr>
              <w:t> </w:t>
            </w:r>
          </w:p>
        </w:tc>
      </w:tr>
    </w:tbl>
    <w:p w:rsidR="0057403F" w:rsidRPr="0057403F" w:rsidP="0000207D">
      <w:pPr>
        <w:spacing w:after="0" w:line="240" w:lineRule="auto"/>
        <w:contextualSpacing/>
        <w:rPr>
          <w:rFonts w:ascii="Arial" w:hAnsi="Arial" w:cs="Arial"/>
        </w:rPr>
      </w:pPr>
    </w:p>
    <w:p w:rsidR="003C1CCD" w:rsidRPr="00AF3E71" w:rsidP="00B04AB1">
      <w:pPr>
        <w:pStyle w:val="ListParagraph"/>
        <w:numPr>
          <w:ilvl w:val="0"/>
          <w:numId w:val="27"/>
        </w:numPr>
        <w:shd w:val="clear" w:color="auto" w:fill="FFFFFF"/>
        <w:spacing w:after="240" w:line="240" w:lineRule="auto"/>
        <w:ind w:left="357" w:hanging="357"/>
        <w:contextualSpacing w:val="0"/>
        <w:jc w:val="both"/>
        <w:rPr>
          <w:rFonts w:ascii="Arial" w:hAnsi="Arial" w:cs="Arial"/>
        </w:rPr>
      </w:pPr>
      <w:r w:rsidRPr="00AF3E71">
        <w:rPr>
          <w:rFonts w:ascii="Arial" w:hAnsi="Arial" w:cs="Arial"/>
        </w:rPr>
        <w:t>Notes to Table 2:</w:t>
      </w:r>
    </w:p>
    <w:p w:rsidR="00634165" w:rsidRPr="00B04AB1" w:rsidP="00F667B0">
      <w:pPr>
        <w:pStyle w:val="ListParagraph"/>
        <w:numPr>
          <w:ilvl w:val="1"/>
          <w:numId w:val="27"/>
        </w:numPr>
        <w:shd w:val="clear" w:color="auto" w:fill="FFFFFF"/>
        <w:spacing w:after="240" w:line="240" w:lineRule="auto"/>
        <w:contextualSpacing w:val="0"/>
        <w:jc w:val="both"/>
        <w:rPr>
          <w:rFonts w:ascii="Arial" w:hAnsi="Arial" w:cs="Arial"/>
        </w:rPr>
      </w:pPr>
      <w:r w:rsidRPr="00B04AB1">
        <w:rPr>
          <w:rFonts w:ascii="Arial" w:hAnsi="Arial" w:cs="Arial"/>
        </w:rPr>
        <w:t xml:space="preserve">The </w:t>
      </w:r>
      <w:r w:rsidRPr="00B04AB1" w:rsidR="00B04AB1">
        <w:rPr>
          <w:rFonts w:ascii="Arial" w:hAnsi="Arial" w:cs="Arial"/>
        </w:rPr>
        <w:t xml:space="preserve">SR19 </w:t>
      </w:r>
      <w:r w:rsidRPr="00B04AB1">
        <w:rPr>
          <w:rFonts w:ascii="Arial" w:hAnsi="Arial" w:cs="Arial"/>
        </w:rPr>
        <w:t>Settlement for 2020/21 includes £2</w:t>
      </w:r>
      <w:r w:rsidRPr="00B04AB1" w:rsidR="00B04AB1">
        <w:rPr>
          <w:rFonts w:ascii="Arial" w:hAnsi="Arial" w:cs="Arial"/>
        </w:rPr>
        <w:t xml:space="preserve"> </w:t>
      </w:r>
      <w:r w:rsidRPr="00B04AB1">
        <w:rPr>
          <w:rFonts w:ascii="Arial" w:hAnsi="Arial" w:cs="Arial"/>
        </w:rPr>
        <w:t>m</w:t>
      </w:r>
      <w:r w:rsidRPr="00B04AB1" w:rsidR="00B04AB1">
        <w:rPr>
          <w:rFonts w:ascii="Arial" w:hAnsi="Arial" w:cs="Arial"/>
        </w:rPr>
        <w:t>illion</w:t>
      </w:r>
      <w:r w:rsidRPr="00B04AB1">
        <w:rPr>
          <w:rFonts w:ascii="Arial" w:hAnsi="Arial" w:cs="Arial"/>
        </w:rPr>
        <w:t xml:space="preserve"> programme funding to administer and analyse the National Reference Test. Additional programme funding of £</w:t>
      </w:r>
      <w:r w:rsidRPr="00B04AB1" w:rsidR="00DE24F3">
        <w:rPr>
          <w:rFonts w:ascii="Arial" w:hAnsi="Arial" w:cs="Arial"/>
        </w:rPr>
        <w:t>4</w:t>
      </w:r>
      <w:r w:rsidRPr="00B04AB1">
        <w:rPr>
          <w:rFonts w:ascii="Arial" w:hAnsi="Arial" w:cs="Arial"/>
        </w:rPr>
        <w:t>.</w:t>
      </w:r>
      <w:r w:rsidRPr="00B04AB1" w:rsidR="00B04AB1">
        <w:rPr>
          <w:rFonts w:ascii="Arial" w:hAnsi="Arial" w:cs="Arial"/>
        </w:rPr>
        <w:t>9 million</w:t>
      </w:r>
      <w:r w:rsidRPr="00B04AB1">
        <w:rPr>
          <w:rFonts w:ascii="Arial" w:hAnsi="Arial" w:cs="Arial"/>
        </w:rPr>
        <w:t xml:space="preserve"> has been provided in-year by the Department for Education to support the following vocational and technical qualifications reforms:</w:t>
      </w:r>
    </w:p>
    <w:p w:rsidR="00E746F4" w:rsidRPr="00EA30F9" w:rsidP="00B04AB1">
      <w:pPr>
        <w:pStyle w:val="ListParagraph"/>
        <w:numPr>
          <w:ilvl w:val="1"/>
          <w:numId w:val="32"/>
        </w:numPr>
        <w:spacing w:after="240" w:line="240" w:lineRule="auto"/>
        <w:ind w:left="1434" w:hanging="357"/>
        <w:contextualSpacing w:val="0"/>
        <w:jc w:val="both"/>
        <w:rPr>
          <w:rFonts w:ascii="Arial" w:hAnsi="Arial" w:cs="Arial"/>
        </w:rPr>
      </w:pPr>
      <w:r w:rsidRPr="00EA30F9">
        <w:rPr>
          <w:rFonts w:ascii="Arial" w:hAnsi="Arial" w:cs="Arial"/>
        </w:rPr>
        <w:t>Apprenticeships</w:t>
      </w:r>
      <w:r w:rsidRPr="00EA30F9" w:rsidR="00E266C7">
        <w:rPr>
          <w:rFonts w:ascii="Arial" w:hAnsi="Arial" w:cs="Arial"/>
        </w:rPr>
        <w:t xml:space="preserve"> (£</w:t>
      </w:r>
      <w:r w:rsidRPr="00EA30F9" w:rsidR="00F00FAF">
        <w:rPr>
          <w:rFonts w:ascii="Arial" w:hAnsi="Arial" w:cs="Arial"/>
        </w:rPr>
        <w:t>3.4</w:t>
      </w:r>
      <w:r w:rsidRPr="00EA30F9" w:rsidR="0008250D">
        <w:rPr>
          <w:rFonts w:ascii="Arial" w:hAnsi="Arial" w:cs="Arial"/>
        </w:rPr>
        <w:t xml:space="preserve"> </w:t>
      </w:r>
      <w:r w:rsidRPr="00EA30F9" w:rsidR="00E266C7">
        <w:rPr>
          <w:rFonts w:ascii="Arial" w:hAnsi="Arial" w:cs="Arial"/>
        </w:rPr>
        <w:t>m</w:t>
      </w:r>
      <w:r w:rsidRPr="00EA30F9" w:rsidR="0008250D">
        <w:rPr>
          <w:rFonts w:ascii="Arial" w:hAnsi="Arial" w:cs="Arial"/>
        </w:rPr>
        <w:t>illion</w:t>
      </w:r>
      <w:r w:rsidRPr="00EA30F9" w:rsidR="000A0C2A">
        <w:rPr>
          <w:rFonts w:ascii="Arial" w:hAnsi="Arial" w:cs="Arial"/>
        </w:rPr>
        <w:t>)</w:t>
      </w:r>
      <w:r w:rsidRPr="00EA30F9">
        <w:rPr>
          <w:rFonts w:ascii="Arial" w:hAnsi="Arial" w:cs="Arial"/>
        </w:rPr>
        <w:t>:</w:t>
      </w:r>
      <w:r w:rsidRPr="00EA30F9" w:rsidR="00154F7E">
        <w:rPr>
          <w:rFonts w:ascii="Arial" w:hAnsi="Arial" w:cs="Arial"/>
        </w:rPr>
        <w:t xml:space="preserve"> </w:t>
      </w:r>
      <w:r w:rsidRPr="00EA30F9" w:rsidR="007C6F5D">
        <w:rPr>
          <w:rFonts w:ascii="Arial" w:hAnsi="Arial" w:cs="Arial"/>
        </w:rPr>
        <w:t xml:space="preserve">the funding </w:t>
      </w:r>
      <w:r w:rsidRPr="00EA30F9" w:rsidR="00E266C7">
        <w:rPr>
          <w:rFonts w:ascii="Arial" w:hAnsi="Arial" w:cs="Arial"/>
        </w:rPr>
        <w:t>has enabled</w:t>
      </w:r>
      <w:r w:rsidRPr="00EA30F9" w:rsidR="007C6F5D">
        <w:rPr>
          <w:rFonts w:ascii="Arial" w:hAnsi="Arial" w:cs="Arial"/>
        </w:rPr>
        <w:t xml:space="preserve"> us to build on work completed in 20</w:t>
      </w:r>
      <w:r w:rsidRPr="00EA30F9" w:rsidR="00F00FAF">
        <w:rPr>
          <w:rFonts w:ascii="Arial" w:hAnsi="Arial" w:cs="Arial"/>
        </w:rPr>
        <w:t>19</w:t>
      </w:r>
      <w:r w:rsidRPr="00EA30F9" w:rsidR="007C6F5D">
        <w:rPr>
          <w:rFonts w:ascii="Arial" w:hAnsi="Arial" w:cs="Arial"/>
        </w:rPr>
        <w:t>/</w:t>
      </w:r>
      <w:r w:rsidRPr="00EA30F9" w:rsidR="00F00FAF">
        <w:rPr>
          <w:rFonts w:ascii="Arial" w:hAnsi="Arial" w:cs="Arial"/>
        </w:rPr>
        <w:t>20</w:t>
      </w:r>
      <w:r w:rsidRPr="00EA30F9" w:rsidR="00154F7E">
        <w:rPr>
          <w:rFonts w:ascii="Arial" w:hAnsi="Arial" w:cs="Arial"/>
        </w:rPr>
        <w:t xml:space="preserve"> </w:t>
      </w:r>
      <w:r w:rsidRPr="00EA30F9" w:rsidR="007C6F5D">
        <w:rPr>
          <w:rFonts w:ascii="Arial" w:hAnsi="Arial" w:cs="Arial"/>
        </w:rPr>
        <w:t xml:space="preserve">in </w:t>
      </w:r>
      <w:r w:rsidRPr="00EA30F9" w:rsidR="00154F7E">
        <w:rPr>
          <w:rFonts w:ascii="Arial" w:hAnsi="Arial" w:cs="Arial"/>
        </w:rPr>
        <w:t xml:space="preserve">support </w:t>
      </w:r>
      <w:r w:rsidRPr="00EA30F9" w:rsidR="007C6F5D">
        <w:rPr>
          <w:rFonts w:ascii="Arial" w:hAnsi="Arial" w:cs="Arial"/>
        </w:rPr>
        <w:t xml:space="preserve">of </w:t>
      </w:r>
      <w:r w:rsidRPr="00EA30F9" w:rsidR="00154F7E">
        <w:rPr>
          <w:rFonts w:ascii="Arial" w:hAnsi="Arial" w:cs="Arial"/>
        </w:rPr>
        <w:t>Government’s ambitions for high quality apprenticeship End Point Assessment (EPA). In 20</w:t>
      </w:r>
      <w:r w:rsidRPr="00EA30F9" w:rsidR="00F00FAF">
        <w:rPr>
          <w:rFonts w:ascii="Arial" w:hAnsi="Arial" w:cs="Arial"/>
        </w:rPr>
        <w:t>20</w:t>
      </w:r>
      <w:r w:rsidRPr="00EA30F9" w:rsidR="00154F7E">
        <w:rPr>
          <w:rFonts w:ascii="Arial" w:hAnsi="Arial" w:cs="Arial"/>
        </w:rPr>
        <w:t>/2</w:t>
      </w:r>
      <w:r w:rsidRPr="00EA30F9" w:rsidR="00F00FAF">
        <w:rPr>
          <w:rFonts w:ascii="Arial" w:hAnsi="Arial" w:cs="Arial"/>
        </w:rPr>
        <w:t>1</w:t>
      </w:r>
      <w:r w:rsidRPr="00EA30F9" w:rsidR="00154F7E">
        <w:rPr>
          <w:rFonts w:ascii="Arial" w:hAnsi="Arial" w:cs="Arial"/>
        </w:rPr>
        <w:t>, we</w:t>
      </w:r>
      <w:r w:rsidRPr="00EA30F9" w:rsidR="00F00FAF">
        <w:rPr>
          <w:rFonts w:ascii="Arial" w:hAnsi="Arial" w:cs="Arial"/>
        </w:rPr>
        <w:t xml:space="preserve"> will</w:t>
      </w:r>
      <w:r w:rsidRPr="00EA30F9" w:rsidR="00154F7E">
        <w:rPr>
          <w:rFonts w:ascii="Arial" w:hAnsi="Arial" w:cs="Arial"/>
        </w:rPr>
        <w:t xml:space="preserve"> continue to recognise new </w:t>
      </w:r>
      <w:r w:rsidR="00EE735B">
        <w:rPr>
          <w:rFonts w:ascii="Arial" w:hAnsi="Arial" w:cs="Arial"/>
        </w:rPr>
        <w:t xml:space="preserve">End Point </w:t>
      </w:r>
      <w:r w:rsidRPr="00EA30F9" w:rsidR="00154F7E">
        <w:rPr>
          <w:rFonts w:ascii="Arial" w:hAnsi="Arial" w:cs="Arial"/>
        </w:rPr>
        <w:t xml:space="preserve">Assessment Organisations, review Assessment Plans, </w:t>
      </w:r>
      <w:r w:rsidRPr="00EA30F9" w:rsidR="00866FFE">
        <w:rPr>
          <w:rFonts w:ascii="Arial" w:hAnsi="Arial" w:cs="Arial"/>
        </w:rPr>
        <w:t>evaluate</w:t>
      </w:r>
      <w:r w:rsidRPr="00EA30F9" w:rsidR="00154F7E">
        <w:rPr>
          <w:rFonts w:ascii="Arial" w:hAnsi="Arial" w:cs="Arial"/>
        </w:rPr>
        <w:t xml:space="preserve"> End Point Assessments</w:t>
      </w:r>
      <w:r w:rsidRPr="00EA30F9" w:rsidR="00866FFE">
        <w:rPr>
          <w:rFonts w:ascii="Arial" w:hAnsi="Arial" w:cs="Arial"/>
        </w:rPr>
        <w:t xml:space="preserve"> and</w:t>
      </w:r>
      <w:r w:rsidRPr="00EA30F9" w:rsidR="00154F7E">
        <w:rPr>
          <w:rFonts w:ascii="Arial" w:hAnsi="Arial" w:cs="Arial"/>
        </w:rPr>
        <w:t xml:space="preserve"> </w:t>
      </w:r>
      <w:r w:rsidRPr="00EA30F9" w:rsidR="007C6F5D">
        <w:rPr>
          <w:rFonts w:ascii="Arial" w:hAnsi="Arial" w:cs="Arial"/>
        </w:rPr>
        <w:t xml:space="preserve">continue </w:t>
      </w:r>
      <w:r w:rsidRPr="00EA30F9" w:rsidR="00866FFE">
        <w:rPr>
          <w:rFonts w:ascii="Arial" w:hAnsi="Arial" w:cs="Arial"/>
        </w:rPr>
        <w:t>the o</w:t>
      </w:r>
      <w:r w:rsidRPr="00EA30F9" w:rsidR="00154F7E">
        <w:rPr>
          <w:rFonts w:ascii="Arial" w:hAnsi="Arial" w:cs="Arial"/>
        </w:rPr>
        <w:t>ngoing regulation of End Point Assessment Organisations</w:t>
      </w:r>
      <w:r w:rsidRPr="00EA30F9" w:rsidR="00866FFE">
        <w:rPr>
          <w:rFonts w:ascii="Arial" w:hAnsi="Arial" w:cs="Arial"/>
        </w:rPr>
        <w:t>.</w:t>
      </w:r>
    </w:p>
    <w:p w:rsidR="00E266C7" w:rsidRPr="00EA30F9" w:rsidP="00B04AB1">
      <w:pPr>
        <w:pStyle w:val="ListParagraph"/>
        <w:numPr>
          <w:ilvl w:val="1"/>
          <w:numId w:val="32"/>
        </w:numPr>
        <w:spacing w:after="240" w:line="240" w:lineRule="auto"/>
        <w:contextualSpacing w:val="0"/>
        <w:jc w:val="both"/>
        <w:rPr>
          <w:rFonts w:ascii="Arial" w:hAnsi="Arial" w:cs="Arial"/>
        </w:rPr>
      </w:pPr>
      <w:r w:rsidRPr="00EA30F9">
        <w:rPr>
          <w:rFonts w:ascii="Arial" w:hAnsi="Arial" w:cs="Arial"/>
        </w:rPr>
        <w:t>T Levels (£0.9</w:t>
      </w:r>
      <w:r w:rsidRPr="00EA30F9" w:rsidR="0008250D">
        <w:rPr>
          <w:rFonts w:ascii="Arial" w:hAnsi="Arial" w:cs="Arial"/>
        </w:rPr>
        <w:t xml:space="preserve"> </w:t>
      </w:r>
      <w:r w:rsidRPr="00EA30F9">
        <w:rPr>
          <w:rFonts w:ascii="Arial" w:hAnsi="Arial" w:cs="Arial"/>
        </w:rPr>
        <w:t>m</w:t>
      </w:r>
      <w:r w:rsidRPr="00EA30F9" w:rsidR="0008250D">
        <w:rPr>
          <w:rFonts w:ascii="Arial" w:hAnsi="Arial" w:cs="Arial"/>
        </w:rPr>
        <w:t>illion</w:t>
      </w:r>
      <w:r w:rsidRPr="00EA30F9">
        <w:rPr>
          <w:rFonts w:ascii="Arial" w:hAnsi="Arial" w:cs="Arial"/>
        </w:rPr>
        <w:t xml:space="preserve">): we </w:t>
      </w:r>
      <w:r w:rsidRPr="00EA30F9" w:rsidR="000A0C2A">
        <w:rPr>
          <w:rFonts w:ascii="Arial" w:hAnsi="Arial" w:cs="Arial"/>
        </w:rPr>
        <w:t xml:space="preserve">will </w:t>
      </w:r>
      <w:r w:rsidRPr="00EA30F9">
        <w:rPr>
          <w:rFonts w:ascii="Arial" w:hAnsi="Arial" w:cs="Arial"/>
        </w:rPr>
        <w:t xml:space="preserve">continue to collaborate with the Department for Education and the Institute for Apprenticeships and Technical Education to shape and deliver the Technical Qualifications programme of work. </w:t>
      </w:r>
    </w:p>
    <w:p w:rsidR="00634165" w:rsidRPr="00DB34AB" w:rsidP="00DB34AB">
      <w:pPr>
        <w:pStyle w:val="ListParagraph"/>
        <w:numPr>
          <w:ilvl w:val="1"/>
          <w:numId w:val="32"/>
        </w:numPr>
        <w:spacing w:after="240" w:line="240" w:lineRule="auto"/>
        <w:contextualSpacing w:val="0"/>
        <w:jc w:val="both"/>
        <w:rPr>
          <w:rFonts w:ascii="Arial" w:hAnsi="Arial" w:cs="Arial"/>
        </w:rPr>
      </w:pPr>
      <w:r w:rsidRPr="00EA30F9">
        <w:rPr>
          <w:rFonts w:ascii="Arial" w:hAnsi="Arial" w:cs="Arial"/>
        </w:rPr>
        <w:t>Stre</w:t>
      </w:r>
      <w:r w:rsidRPr="00EA30F9" w:rsidR="00DE24F3">
        <w:rPr>
          <w:rFonts w:ascii="Arial" w:hAnsi="Arial" w:cs="Arial"/>
        </w:rPr>
        <w:t>ngthening</w:t>
      </w:r>
      <w:r w:rsidRPr="00EA30F9" w:rsidR="00E266C7">
        <w:rPr>
          <w:rFonts w:ascii="Arial" w:hAnsi="Arial" w:cs="Arial"/>
        </w:rPr>
        <w:t xml:space="preserve"> (£0.</w:t>
      </w:r>
      <w:r w:rsidRPr="00EA30F9" w:rsidR="00DE24F3">
        <w:rPr>
          <w:rFonts w:ascii="Arial" w:hAnsi="Arial" w:cs="Arial"/>
        </w:rPr>
        <w:t>45</w:t>
      </w:r>
      <w:r w:rsidRPr="00EA30F9" w:rsidR="0008250D">
        <w:rPr>
          <w:rFonts w:ascii="Arial" w:hAnsi="Arial" w:cs="Arial"/>
        </w:rPr>
        <w:t xml:space="preserve"> </w:t>
      </w:r>
      <w:r w:rsidRPr="00EA30F9" w:rsidR="00E266C7">
        <w:rPr>
          <w:rFonts w:ascii="Arial" w:hAnsi="Arial" w:cs="Arial"/>
        </w:rPr>
        <w:t>m</w:t>
      </w:r>
      <w:r w:rsidRPr="00EA30F9" w:rsidR="0008250D">
        <w:rPr>
          <w:rFonts w:ascii="Arial" w:hAnsi="Arial" w:cs="Arial"/>
        </w:rPr>
        <w:t>illion</w:t>
      </w:r>
      <w:r w:rsidRPr="00EA30F9" w:rsidR="00E266C7">
        <w:rPr>
          <w:rFonts w:ascii="Arial" w:hAnsi="Arial" w:cs="Arial"/>
        </w:rPr>
        <w:t>)</w:t>
      </w:r>
      <w:r w:rsidRPr="00EA30F9">
        <w:rPr>
          <w:rFonts w:ascii="Arial" w:hAnsi="Arial" w:cs="Arial"/>
        </w:rPr>
        <w:t>:</w:t>
      </w:r>
      <w:r w:rsidRPr="00EA30F9" w:rsidR="00DE24F3">
        <w:rPr>
          <w:rFonts w:ascii="Arial" w:hAnsi="Arial" w:cs="Arial"/>
        </w:rPr>
        <w:t xml:space="preserve"> the funding will enable us to continue regulating the validity and safe delivery of national VTQs.</w:t>
      </w:r>
      <w:r w:rsidRPr="00EA30F9" w:rsidR="000E5044">
        <w:rPr>
          <w:rFonts w:ascii="Arial" w:hAnsi="Arial" w:cs="Arial"/>
        </w:rPr>
        <w:t xml:space="preserve"> </w:t>
      </w:r>
    </w:p>
    <w:p w:rsidR="00DB34AB" w:rsidP="00AF3E71">
      <w:pPr>
        <w:pStyle w:val="ListParagraph"/>
        <w:numPr>
          <w:ilvl w:val="0"/>
          <w:numId w:val="32"/>
        </w:numPr>
        <w:jc w:val="both"/>
        <w:rPr>
          <w:rFonts w:ascii="Arial" w:hAnsi="Arial" w:cs="Arial"/>
        </w:rPr>
      </w:pPr>
      <w:r w:rsidRPr="00DB34AB">
        <w:rPr>
          <w:rFonts w:ascii="Arial" w:hAnsi="Arial" w:cs="Arial"/>
        </w:rPr>
        <w:t>From 1 April 2019, the cost of the employer pensions contributions increased by an average of 5%, a cost of £0.5</w:t>
      </w:r>
      <w:r>
        <w:rPr>
          <w:rFonts w:ascii="Arial" w:hAnsi="Arial" w:cs="Arial"/>
        </w:rPr>
        <w:t xml:space="preserve"> </w:t>
      </w:r>
      <w:r w:rsidRPr="00DB34AB">
        <w:rPr>
          <w:rFonts w:ascii="Arial" w:hAnsi="Arial" w:cs="Arial"/>
        </w:rPr>
        <w:t>m</w:t>
      </w:r>
      <w:r>
        <w:rPr>
          <w:rFonts w:ascii="Arial" w:hAnsi="Arial" w:cs="Arial"/>
        </w:rPr>
        <w:t>illion</w:t>
      </w:r>
      <w:r w:rsidRPr="00DB34AB">
        <w:rPr>
          <w:rFonts w:ascii="Arial" w:hAnsi="Arial" w:cs="Arial"/>
        </w:rPr>
        <w:t xml:space="preserve">. </w:t>
      </w:r>
      <w:r>
        <w:rPr>
          <w:rFonts w:ascii="Arial" w:hAnsi="Arial" w:cs="Arial"/>
        </w:rPr>
        <w:t xml:space="preserve">In 2019/20, </w:t>
      </w:r>
      <w:r w:rsidRPr="00DB34AB">
        <w:rPr>
          <w:rFonts w:ascii="Arial" w:hAnsi="Arial" w:cs="Arial"/>
        </w:rPr>
        <w:t>HM Treasury provided £0.3</w:t>
      </w:r>
      <w:r>
        <w:rPr>
          <w:rFonts w:ascii="Arial" w:hAnsi="Arial" w:cs="Arial"/>
        </w:rPr>
        <w:t xml:space="preserve"> </w:t>
      </w:r>
      <w:r w:rsidRPr="00DB34AB">
        <w:rPr>
          <w:rFonts w:ascii="Arial" w:hAnsi="Arial" w:cs="Arial"/>
        </w:rPr>
        <w:t>m</w:t>
      </w:r>
      <w:r>
        <w:rPr>
          <w:rFonts w:ascii="Arial" w:hAnsi="Arial" w:cs="Arial"/>
        </w:rPr>
        <w:t>illion</w:t>
      </w:r>
      <w:r w:rsidRPr="00DB34AB">
        <w:rPr>
          <w:rFonts w:ascii="Arial" w:hAnsi="Arial" w:cs="Arial"/>
        </w:rPr>
        <w:t xml:space="preserve"> towards the additional cost, which </w:t>
      </w:r>
      <w:r>
        <w:rPr>
          <w:rFonts w:ascii="Arial" w:hAnsi="Arial" w:cs="Arial"/>
        </w:rPr>
        <w:t>has been consolidated into our base budget for 2020/21</w:t>
      </w:r>
      <w:r w:rsidRPr="00DB34AB">
        <w:rPr>
          <w:rFonts w:ascii="Arial" w:hAnsi="Arial" w:cs="Arial"/>
        </w:rPr>
        <w:t>.</w:t>
      </w:r>
    </w:p>
    <w:p w:rsidR="00DB34AB" w:rsidP="00DB34AB">
      <w:pPr>
        <w:pStyle w:val="ListParagraph"/>
        <w:jc w:val="both"/>
        <w:rPr>
          <w:rFonts w:ascii="Arial" w:hAnsi="Arial" w:cs="Arial"/>
        </w:rPr>
      </w:pPr>
    </w:p>
    <w:p w:rsidR="009F76F3" w:rsidP="00AF3E71">
      <w:pPr>
        <w:pStyle w:val="ListParagraph"/>
        <w:numPr>
          <w:ilvl w:val="0"/>
          <w:numId w:val="32"/>
        </w:numPr>
        <w:jc w:val="both"/>
        <w:rPr>
          <w:rFonts w:ascii="Arial" w:hAnsi="Arial" w:cs="Arial"/>
        </w:rPr>
      </w:pPr>
      <w:r w:rsidRPr="00AF3E71">
        <w:rPr>
          <w:rFonts w:ascii="Arial" w:hAnsi="Arial" w:cs="Arial"/>
        </w:rPr>
        <w:t>In 20</w:t>
      </w:r>
      <w:r w:rsidR="00B87767">
        <w:rPr>
          <w:rFonts w:ascii="Arial" w:hAnsi="Arial" w:cs="Arial"/>
        </w:rPr>
        <w:t>20</w:t>
      </w:r>
      <w:r w:rsidRPr="00AF3E71">
        <w:rPr>
          <w:rFonts w:ascii="Arial" w:hAnsi="Arial" w:cs="Arial"/>
        </w:rPr>
        <w:t>/2</w:t>
      </w:r>
      <w:r w:rsidR="00B87767">
        <w:rPr>
          <w:rFonts w:ascii="Arial" w:hAnsi="Arial" w:cs="Arial"/>
        </w:rPr>
        <w:t>1</w:t>
      </w:r>
      <w:r w:rsidRPr="00AF3E71">
        <w:rPr>
          <w:rFonts w:ascii="Arial" w:hAnsi="Arial" w:cs="Arial"/>
        </w:rPr>
        <w:t>, the income total is based on</w:t>
      </w:r>
      <w:r w:rsidRPr="00AF3E71" w:rsidR="005C43A4">
        <w:rPr>
          <w:rFonts w:ascii="Arial" w:hAnsi="Arial" w:cs="Arial"/>
        </w:rPr>
        <w:t xml:space="preserve"> cost recovery for the provision of data and analysis to our regulatory counterparts, digital development support and disposal of hardware as part of our IT equipment refresh.</w:t>
      </w:r>
    </w:p>
    <w:p w:rsidR="00DB34AB" w:rsidRPr="00DB34AB" w:rsidP="00DB34AB">
      <w:pPr>
        <w:pStyle w:val="ListParagraph"/>
        <w:rPr>
          <w:rFonts w:ascii="Arial" w:hAnsi="Arial" w:cs="Arial"/>
        </w:rPr>
      </w:pPr>
    </w:p>
    <w:p w:rsidR="00DB34AB" w:rsidRPr="00AF3E71" w:rsidP="00AF3E71">
      <w:pPr>
        <w:pStyle w:val="ListParagraph"/>
        <w:numPr>
          <w:ilvl w:val="0"/>
          <w:numId w:val="32"/>
        </w:numPr>
        <w:jc w:val="both"/>
        <w:rPr>
          <w:rFonts w:ascii="Arial" w:hAnsi="Arial" w:cs="Arial"/>
        </w:rPr>
      </w:pPr>
      <w:r>
        <w:rPr>
          <w:rFonts w:ascii="Arial" w:hAnsi="Arial" w:cs="Arial"/>
        </w:rPr>
        <w:t>We maintain a provision for building dilapidations, which is backed by AME. The AME funding for 2020/21 is under discussion with HM Treasury and will be finalised at the Supplementary Estimate.</w:t>
      </w:r>
    </w:p>
    <w:p w:rsidR="00137ED6" w:rsidRPr="00834B90" w:rsidP="00AF3E71">
      <w:pPr>
        <w:pStyle w:val="Heading2"/>
        <w:ind w:firstLine="357"/>
        <w:jc w:val="both"/>
        <w:rPr>
          <w:rFonts w:ascii="Arial" w:hAnsi="Arial" w:cs="Arial"/>
          <w:sz w:val="40"/>
          <w:szCs w:val="40"/>
        </w:rPr>
      </w:pPr>
      <w:bookmarkStart w:id="10" w:name="_Toc37244806"/>
      <w:r w:rsidRPr="00834B90">
        <w:rPr>
          <w:rFonts w:ascii="Arial" w:hAnsi="Arial" w:cs="Arial"/>
          <w:sz w:val="40"/>
          <w:szCs w:val="40"/>
        </w:rPr>
        <w:t>Ringfenced budgets</w:t>
      </w:r>
      <w:bookmarkEnd w:id="10"/>
    </w:p>
    <w:p w:rsidR="00B40678" w:rsidRPr="00AF3E71" w:rsidP="00AF3E71">
      <w:pPr>
        <w:pStyle w:val="ListParagraph"/>
        <w:numPr>
          <w:ilvl w:val="0"/>
          <w:numId w:val="27"/>
        </w:numPr>
        <w:shd w:val="clear" w:color="auto" w:fill="FFFFFF"/>
        <w:spacing w:after="240" w:line="240" w:lineRule="auto"/>
        <w:ind w:left="357" w:hanging="357"/>
        <w:contextualSpacing w:val="0"/>
        <w:jc w:val="both"/>
        <w:rPr>
          <w:rFonts w:ascii="Arial" w:hAnsi="Arial" w:cs="Arial"/>
        </w:rPr>
      </w:pPr>
      <w:r w:rsidRPr="00AF3E71">
        <w:rPr>
          <w:rFonts w:ascii="Arial" w:hAnsi="Arial" w:cs="Arial"/>
        </w:rPr>
        <w:t xml:space="preserve">The </w:t>
      </w:r>
      <w:r w:rsidRPr="00AF3E71" w:rsidR="00BA4A53">
        <w:rPr>
          <w:rFonts w:ascii="Arial" w:hAnsi="Arial" w:cs="Arial"/>
        </w:rPr>
        <w:t xml:space="preserve">total resource DEL includes a ringfenced element for depreciation; </w:t>
      </w:r>
      <w:r w:rsidRPr="00AF3E71">
        <w:rPr>
          <w:rFonts w:ascii="Arial" w:hAnsi="Arial" w:cs="Arial"/>
        </w:rPr>
        <w:t xml:space="preserve">savings in </w:t>
      </w:r>
      <w:r w:rsidRPr="00AF3E71" w:rsidR="00BA4A53">
        <w:rPr>
          <w:rFonts w:ascii="Arial" w:hAnsi="Arial" w:cs="Arial"/>
        </w:rPr>
        <w:t>this budget</w:t>
      </w:r>
      <w:r w:rsidRPr="00AF3E71">
        <w:rPr>
          <w:rFonts w:ascii="Arial" w:hAnsi="Arial" w:cs="Arial"/>
        </w:rPr>
        <w:t xml:space="preserve"> may not be used to fund pressures on other budgets</w:t>
      </w:r>
      <w:r w:rsidRPr="00AF3E71" w:rsidR="00BA4A53">
        <w:rPr>
          <w:rFonts w:ascii="Arial" w:hAnsi="Arial" w:cs="Arial"/>
        </w:rPr>
        <w:t xml:space="preserve">. </w:t>
      </w:r>
      <w:r w:rsidRPr="00AF3E71" w:rsidR="006029D2">
        <w:rPr>
          <w:rFonts w:ascii="Arial" w:hAnsi="Arial" w:cs="Arial"/>
        </w:rPr>
        <w:t>In 2017/18, we changed our capital policy and created a capital budget</w:t>
      </w:r>
      <w:r w:rsidRPr="00AF3E71" w:rsidR="00A675C3">
        <w:rPr>
          <w:rFonts w:ascii="Arial" w:hAnsi="Arial" w:cs="Arial"/>
        </w:rPr>
        <w:t xml:space="preserve"> to support investment in our digital infrastructure</w:t>
      </w:r>
      <w:r w:rsidRPr="00AF3E71" w:rsidR="006029D2">
        <w:rPr>
          <w:rFonts w:ascii="Arial" w:hAnsi="Arial" w:cs="Arial"/>
        </w:rPr>
        <w:t xml:space="preserve">. </w:t>
      </w:r>
      <w:r w:rsidRPr="00AF3E71" w:rsidR="00B36C65">
        <w:rPr>
          <w:rFonts w:ascii="Arial" w:hAnsi="Arial" w:cs="Arial"/>
        </w:rPr>
        <w:t>In subsequent years, t</w:t>
      </w:r>
      <w:r w:rsidRPr="00AF3E71" w:rsidR="006029D2">
        <w:rPr>
          <w:rFonts w:ascii="Arial" w:hAnsi="Arial" w:cs="Arial"/>
        </w:rPr>
        <w:t xml:space="preserve">he depreciation ringfenced budget has therefore been increased to account for </w:t>
      </w:r>
      <w:r w:rsidRPr="00AF3E71" w:rsidR="00A675C3">
        <w:rPr>
          <w:rFonts w:ascii="Arial" w:hAnsi="Arial" w:cs="Arial"/>
        </w:rPr>
        <w:t>the associated increase in depreciation cost.</w:t>
      </w:r>
      <w:r w:rsidRPr="00AF3E71" w:rsidR="00B36C65">
        <w:rPr>
          <w:rFonts w:ascii="Arial" w:hAnsi="Arial" w:cs="Arial"/>
        </w:rPr>
        <w:t xml:space="preserve"> In 20</w:t>
      </w:r>
      <w:r w:rsidR="00CF3A56">
        <w:rPr>
          <w:rFonts w:ascii="Arial" w:hAnsi="Arial" w:cs="Arial"/>
        </w:rPr>
        <w:t>20</w:t>
      </w:r>
      <w:r w:rsidRPr="00AF3E71" w:rsidR="00B36C65">
        <w:rPr>
          <w:rFonts w:ascii="Arial" w:hAnsi="Arial" w:cs="Arial"/>
        </w:rPr>
        <w:t>/2</w:t>
      </w:r>
      <w:r w:rsidR="00CF3A56">
        <w:rPr>
          <w:rFonts w:ascii="Arial" w:hAnsi="Arial" w:cs="Arial"/>
        </w:rPr>
        <w:t>1</w:t>
      </w:r>
      <w:r w:rsidRPr="00AF3E71" w:rsidR="00B36C65">
        <w:rPr>
          <w:rFonts w:ascii="Arial" w:hAnsi="Arial" w:cs="Arial"/>
        </w:rPr>
        <w:t>, the ringfenced depreciation budget is £1</w:t>
      </w:r>
      <w:r w:rsidR="00CF3A56">
        <w:rPr>
          <w:rFonts w:ascii="Arial" w:hAnsi="Arial" w:cs="Arial"/>
        </w:rPr>
        <w:t>71</w:t>
      </w:r>
      <w:r w:rsidRPr="00AF3E71" w:rsidR="00B36C65">
        <w:rPr>
          <w:rFonts w:ascii="Arial" w:hAnsi="Arial" w:cs="Arial"/>
        </w:rPr>
        <w:t>,000</w:t>
      </w:r>
      <w:r w:rsidR="00DB34AB">
        <w:rPr>
          <w:rFonts w:ascii="Arial" w:hAnsi="Arial" w:cs="Arial"/>
        </w:rPr>
        <w:t xml:space="preserve"> and is included in the programme funding.</w:t>
      </w:r>
    </w:p>
    <w:p w:rsidR="0038554F" w:rsidRPr="00834B90" w:rsidP="00AF3E71">
      <w:pPr>
        <w:pStyle w:val="Heading2"/>
        <w:ind w:firstLine="357"/>
        <w:jc w:val="both"/>
        <w:rPr>
          <w:rFonts w:ascii="Arial" w:hAnsi="Arial" w:cs="Arial"/>
          <w:sz w:val="40"/>
          <w:szCs w:val="40"/>
        </w:rPr>
      </w:pPr>
      <w:bookmarkStart w:id="11" w:name="_Toc37244807"/>
      <w:r w:rsidRPr="00834B90">
        <w:rPr>
          <w:rFonts w:ascii="Arial" w:hAnsi="Arial" w:cs="Arial"/>
          <w:sz w:val="40"/>
          <w:szCs w:val="40"/>
        </w:rPr>
        <w:t>C</w:t>
      </w:r>
      <w:r w:rsidRPr="00834B90">
        <w:rPr>
          <w:rFonts w:ascii="Arial" w:hAnsi="Arial" w:cs="Arial"/>
          <w:sz w:val="40"/>
          <w:szCs w:val="40"/>
        </w:rPr>
        <w:t>ontingent liabilities</w:t>
      </w:r>
      <w:bookmarkEnd w:id="11"/>
    </w:p>
    <w:p w:rsidR="0038554F" w:rsidRPr="00AF3E71" w:rsidP="00AF3E71">
      <w:pPr>
        <w:pStyle w:val="ListParagraph"/>
        <w:numPr>
          <w:ilvl w:val="0"/>
          <w:numId w:val="27"/>
        </w:numPr>
        <w:shd w:val="clear" w:color="auto" w:fill="FFFFFF"/>
        <w:spacing w:after="240" w:line="240" w:lineRule="auto"/>
        <w:ind w:left="357" w:hanging="357"/>
        <w:contextualSpacing w:val="0"/>
        <w:jc w:val="both"/>
        <w:rPr>
          <w:rFonts w:ascii="Arial" w:hAnsi="Arial" w:cs="Arial"/>
        </w:rPr>
      </w:pPr>
      <w:r w:rsidRPr="00AF3E71">
        <w:rPr>
          <w:rFonts w:ascii="Arial" w:hAnsi="Arial" w:cs="Arial"/>
        </w:rPr>
        <w:t>Ofqual currently has no contingent liabilities</w:t>
      </w:r>
      <w:r w:rsidRPr="00AF3E71" w:rsidR="008D23D1">
        <w:rPr>
          <w:rFonts w:ascii="Arial" w:hAnsi="Arial" w:cs="Arial"/>
        </w:rPr>
        <w:t>.</w:t>
      </w:r>
    </w:p>
    <w:p w:rsidR="00740C96" w:rsidRPr="00834B90" w:rsidP="00AF3E71">
      <w:pPr>
        <w:pStyle w:val="Heading1"/>
        <w:spacing w:after="120"/>
        <w:jc w:val="both"/>
        <w:rPr>
          <w:rFonts w:ascii="Arial" w:hAnsi="Arial" w:cs="Arial"/>
          <w:sz w:val="40"/>
          <w:szCs w:val="40"/>
        </w:rPr>
      </w:pPr>
      <w:bookmarkStart w:id="12" w:name="_Toc37244808"/>
      <w:r w:rsidRPr="00834B90">
        <w:rPr>
          <w:rFonts w:ascii="Arial" w:hAnsi="Arial" w:cs="Arial"/>
          <w:sz w:val="40"/>
          <w:szCs w:val="40"/>
        </w:rPr>
        <w:t>P</w:t>
      </w:r>
      <w:r w:rsidRPr="00834B90" w:rsidR="00165E62">
        <w:rPr>
          <w:rFonts w:ascii="Arial" w:hAnsi="Arial" w:cs="Arial"/>
          <w:sz w:val="40"/>
          <w:szCs w:val="40"/>
        </w:rPr>
        <w:t>riorities and performance</w:t>
      </w:r>
      <w:bookmarkEnd w:id="12"/>
    </w:p>
    <w:p w:rsidR="00740C96" w:rsidRPr="00834B90" w:rsidP="00AF3E71">
      <w:pPr>
        <w:pStyle w:val="Heading2"/>
        <w:ind w:firstLine="357"/>
        <w:jc w:val="both"/>
        <w:rPr>
          <w:rFonts w:ascii="Arial" w:hAnsi="Arial" w:cs="Arial"/>
          <w:sz w:val="40"/>
          <w:szCs w:val="40"/>
        </w:rPr>
      </w:pPr>
      <w:bookmarkStart w:id="13" w:name="_Toc37244809"/>
      <w:r w:rsidRPr="00834B90">
        <w:rPr>
          <w:rFonts w:ascii="Arial" w:hAnsi="Arial" w:cs="Arial"/>
          <w:sz w:val="40"/>
          <w:szCs w:val="40"/>
        </w:rPr>
        <w:t>How spending relates to objectives</w:t>
      </w:r>
      <w:bookmarkEnd w:id="13"/>
      <w:r w:rsidRPr="00834B90">
        <w:rPr>
          <w:rFonts w:ascii="Arial" w:hAnsi="Arial" w:cs="Arial"/>
          <w:sz w:val="40"/>
          <w:szCs w:val="40"/>
        </w:rPr>
        <w:t xml:space="preserve"> </w:t>
      </w:r>
    </w:p>
    <w:p w:rsidR="00A146E0" w:rsidRPr="00EA30F9" w:rsidP="00AF3E71">
      <w:pPr>
        <w:pStyle w:val="ListParagraph"/>
        <w:numPr>
          <w:ilvl w:val="0"/>
          <w:numId w:val="27"/>
        </w:numPr>
        <w:shd w:val="clear" w:color="auto" w:fill="FFFFFF"/>
        <w:spacing w:after="240" w:line="240" w:lineRule="auto"/>
        <w:contextualSpacing w:val="0"/>
        <w:jc w:val="both"/>
        <w:rPr>
          <w:rFonts w:ascii="Arial" w:hAnsi="Arial" w:cs="Arial"/>
        </w:rPr>
      </w:pPr>
      <w:r w:rsidRPr="00EA30F9">
        <w:rPr>
          <w:rFonts w:ascii="Arial" w:hAnsi="Arial" w:cs="Arial"/>
        </w:rPr>
        <w:t xml:space="preserve">Table 2 above shows how the </w:t>
      </w:r>
      <w:r w:rsidRPr="00EA30F9" w:rsidR="00CE16ED">
        <w:rPr>
          <w:rFonts w:ascii="Arial" w:hAnsi="Arial" w:cs="Arial"/>
        </w:rPr>
        <w:t xml:space="preserve">Resource DEL </w:t>
      </w:r>
      <w:r w:rsidRPr="00EA30F9">
        <w:rPr>
          <w:rFonts w:ascii="Arial" w:hAnsi="Arial" w:cs="Arial"/>
        </w:rPr>
        <w:t>budget is distributed</w:t>
      </w:r>
      <w:r w:rsidRPr="00EA30F9" w:rsidR="00E21396">
        <w:rPr>
          <w:rFonts w:ascii="Arial" w:hAnsi="Arial" w:cs="Arial"/>
        </w:rPr>
        <w:t xml:space="preserve">. </w:t>
      </w:r>
      <w:r w:rsidRPr="00EA30F9" w:rsidR="00947CEB">
        <w:rPr>
          <w:rFonts w:ascii="Arial" w:hAnsi="Arial" w:cs="Arial"/>
        </w:rPr>
        <w:t>66</w:t>
      </w:r>
      <w:r w:rsidRPr="00EA30F9" w:rsidR="009F76F3">
        <w:rPr>
          <w:rFonts w:ascii="Arial" w:hAnsi="Arial" w:cs="Arial"/>
        </w:rPr>
        <w:t xml:space="preserve">% is allocated to </w:t>
      </w:r>
      <w:r w:rsidRPr="00EA30F9">
        <w:rPr>
          <w:rFonts w:ascii="Arial" w:hAnsi="Arial" w:cs="Arial"/>
        </w:rPr>
        <w:t xml:space="preserve">core regulatory activities as outlined in our objectives, </w:t>
      </w:r>
      <w:r w:rsidRPr="00EA30F9" w:rsidR="009F76F3">
        <w:rPr>
          <w:rFonts w:ascii="Arial" w:hAnsi="Arial" w:cs="Arial"/>
        </w:rPr>
        <w:t>with the remainder applied to</w:t>
      </w:r>
      <w:r w:rsidRPr="00EA30F9">
        <w:rPr>
          <w:rFonts w:ascii="Arial" w:hAnsi="Arial" w:cs="Arial"/>
        </w:rPr>
        <w:t xml:space="preserve"> specific programmes, including the National Reference Test and developments in vocational and technical qualifications.</w:t>
      </w:r>
    </w:p>
    <w:p w:rsidR="001D55D4" w:rsidRPr="00AF3E71" w:rsidP="00AF3E71">
      <w:pPr>
        <w:pStyle w:val="ListParagraph"/>
        <w:numPr>
          <w:ilvl w:val="0"/>
          <w:numId w:val="27"/>
        </w:numPr>
        <w:shd w:val="clear" w:color="auto" w:fill="FFFFFF"/>
        <w:spacing w:after="240" w:line="240" w:lineRule="auto"/>
        <w:contextualSpacing w:val="0"/>
        <w:jc w:val="both"/>
        <w:rPr>
          <w:rFonts w:ascii="Arial" w:hAnsi="Arial" w:cs="Arial"/>
        </w:rPr>
      </w:pPr>
      <w:r w:rsidRPr="00AF3E71">
        <w:rPr>
          <w:rFonts w:ascii="Arial" w:hAnsi="Arial" w:cs="Arial"/>
        </w:rPr>
        <w:t>The capital budget enables us to invest in technology and digital infrastructure to deliver ongoing efficiencies.</w:t>
      </w:r>
    </w:p>
    <w:p w:rsidR="001D55D4" w:rsidRPr="00834B90" w:rsidP="00AF3E71">
      <w:pPr>
        <w:pStyle w:val="Heading2"/>
        <w:ind w:firstLine="357"/>
        <w:jc w:val="both"/>
        <w:rPr>
          <w:rFonts w:ascii="Arial" w:hAnsi="Arial" w:cs="Arial"/>
          <w:sz w:val="40"/>
          <w:szCs w:val="40"/>
        </w:rPr>
      </w:pPr>
      <w:bookmarkStart w:id="14" w:name="_Toc37244810"/>
      <w:r w:rsidRPr="00834B90">
        <w:rPr>
          <w:rFonts w:ascii="Arial" w:hAnsi="Arial" w:cs="Arial"/>
          <w:sz w:val="40"/>
          <w:szCs w:val="40"/>
        </w:rPr>
        <w:t>Performance</w:t>
      </w:r>
      <w:r w:rsidRPr="00834B90" w:rsidR="00205A03">
        <w:rPr>
          <w:rFonts w:ascii="Arial" w:hAnsi="Arial" w:cs="Arial"/>
          <w:sz w:val="40"/>
          <w:szCs w:val="40"/>
        </w:rPr>
        <w:t>: measuring our impact</w:t>
      </w:r>
      <w:bookmarkEnd w:id="14"/>
    </w:p>
    <w:p w:rsidR="00794ECE" w:rsidP="00794ECE">
      <w:pPr>
        <w:pStyle w:val="ListParagraph"/>
        <w:numPr>
          <w:ilvl w:val="0"/>
          <w:numId w:val="27"/>
        </w:numPr>
        <w:shd w:val="clear" w:color="auto" w:fill="FFFFFF"/>
        <w:spacing w:after="240" w:line="240" w:lineRule="auto"/>
        <w:ind w:left="357" w:hanging="357"/>
        <w:contextualSpacing w:val="0"/>
        <w:rPr>
          <w:rFonts w:ascii="Arial" w:hAnsi="Arial" w:cs="Arial"/>
        </w:rPr>
      </w:pPr>
      <w:r w:rsidRPr="00205A03">
        <w:rPr>
          <w:rFonts w:ascii="Arial" w:hAnsi="Arial" w:cs="Arial"/>
        </w:rPr>
        <w:t xml:space="preserve">Our </w:t>
      </w:r>
      <w:r>
        <w:rPr>
          <w:rFonts w:ascii="Arial" w:hAnsi="Arial" w:cs="Arial"/>
        </w:rPr>
        <w:t>A</w:t>
      </w:r>
      <w:r w:rsidRPr="00205A03">
        <w:rPr>
          <w:rFonts w:ascii="Arial" w:hAnsi="Arial" w:cs="Arial"/>
        </w:rPr>
        <w:t xml:space="preserve">nnual </w:t>
      </w:r>
      <w:r>
        <w:rPr>
          <w:rFonts w:ascii="Arial" w:hAnsi="Arial" w:cs="Arial"/>
        </w:rPr>
        <w:t>R</w:t>
      </w:r>
      <w:r w:rsidRPr="00205A03">
        <w:rPr>
          <w:rFonts w:ascii="Arial" w:hAnsi="Arial" w:cs="Arial"/>
        </w:rPr>
        <w:t xml:space="preserve">eport and </w:t>
      </w:r>
      <w:r>
        <w:rPr>
          <w:rFonts w:ascii="Arial" w:hAnsi="Arial" w:cs="Arial"/>
        </w:rPr>
        <w:t>A</w:t>
      </w:r>
      <w:r w:rsidRPr="00205A03">
        <w:rPr>
          <w:rFonts w:ascii="Arial" w:hAnsi="Arial" w:cs="Arial"/>
        </w:rPr>
        <w:t>ccounts sets out our progress in delivering the commitments in our corporate plan, a summary of the regulatory activity we have undertaken, and the impact of our actions.</w:t>
      </w:r>
      <w:r w:rsidRPr="00251AA0">
        <w:rPr>
          <w:rFonts w:ascii="Arial" w:hAnsi="Arial" w:cs="Arial"/>
        </w:rPr>
        <w:t xml:space="preserve"> </w:t>
      </w:r>
      <w:r w:rsidRPr="00205A03">
        <w:rPr>
          <w:rFonts w:ascii="Arial" w:hAnsi="Arial" w:cs="Arial"/>
        </w:rPr>
        <w:t xml:space="preserve">Each year we </w:t>
      </w:r>
      <w:r>
        <w:rPr>
          <w:rFonts w:ascii="Arial" w:hAnsi="Arial" w:cs="Arial"/>
        </w:rPr>
        <w:t xml:space="preserve">also </w:t>
      </w:r>
      <w:r w:rsidRPr="00205A03">
        <w:rPr>
          <w:rFonts w:ascii="Arial" w:hAnsi="Arial" w:cs="Arial"/>
        </w:rPr>
        <w:t>undertake a range of targeted evaluations and reviews to assess the impact of our work.</w:t>
      </w:r>
    </w:p>
    <w:p w:rsidR="0026649A" w:rsidRPr="00AF3E71" w:rsidP="00F30BA6">
      <w:pPr>
        <w:pStyle w:val="ListParagraph"/>
        <w:numPr>
          <w:ilvl w:val="0"/>
          <w:numId w:val="27"/>
        </w:numPr>
        <w:shd w:val="clear" w:color="auto" w:fill="FFFFFF"/>
        <w:spacing w:after="240" w:line="240" w:lineRule="auto"/>
        <w:ind w:left="357" w:hanging="357"/>
        <w:contextualSpacing w:val="0"/>
        <w:rPr>
          <w:rFonts w:ascii="Arial" w:hAnsi="Arial" w:cs="Arial"/>
        </w:rPr>
      </w:pPr>
      <w:r>
        <w:rPr>
          <w:rFonts w:ascii="Arial" w:hAnsi="Arial" w:cs="Arial"/>
        </w:rPr>
        <w:t xml:space="preserve">Our current areas of </w:t>
      </w:r>
      <w:r w:rsidRPr="00794ECE" w:rsidR="007531B1">
        <w:rPr>
          <w:rFonts w:ascii="Arial" w:hAnsi="Arial" w:cs="Arial"/>
        </w:rPr>
        <w:t>planned focus for evaluation of our impact in 2020/21</w:t>
      </w:r>
      <w:r>
        <w:rPr>
          <w:rFonts w:ascii="Arial" w:hAnsi="Arial" w:cs="Arial"/>
        </w:rPr>
        <w:t xml:space="preserve"> will be reviewed through Quarter 1 given the emerging impact of COVID-19 on schools, exams and the qualifications market.</w:t>
      </w:r>
    </w:p>
    <w:p w:rsidR="009C4B8D" w:rsidRPr="0026649A" w:rsidP="00EA30F9">
      <w:pPr>
        <w:pStyle w:val="Heading2"/>
        <w:ind w:firstLine="357"/>
        <w:jc w:val="both"/>
        <w:rPr>
          <w:rFonts w:ascii="Arial" w:hAnsi="Arial" w:cs="Arial"/>
          <w:sz w:val="40"/>
          <w:szCs w:val="40"/>
        </w:rPr>
      </w:pPr>
      <w:bookmarkStart w:id="15" w:name="_Toc37244811"/>
      <w:r w:rsidRPr="0026649A">
        <w:rPr>
          <w:rFonts w:ascii="Arial" w:hAnsi="Arial" w:cs="Arial"/>
          <w:sz w:val="40"/>
          <w:szCs w:val="40"/>
        </w:rPr>
        <w:t>Ofqual Accounting Officer</w:t>
      </w:r>
      <w:bookmarkEnd w:id="15"/>
    </w:p>
    <w:p w:rsidR="009C4B8D" w:rsidRPr="00AF3E71" w:rsidP="00AF3E71">
      <w:pPr>
        <w:pStyle w:val="ListParagraph"/>
        <w:numPr>
          <w:ilvl w:val="0"/>
          <w:numId w:val="27"/>
        </w:numPr>
        <w:shd w:val="clear" w:color="auto" w:fill="FFFFFF"/>
        <w:spacing w:after="240" w:line="240" w:lineRule="auto"/>
        <w:jc w:val="both"/>
        <w:rPr>
          <w:rFonts w:ascii="Arial" w:hAnsi="Arial" w:cs="Arial"/>
        </w:rPr>
      </w:pPr>
      <w:r w:rsidRPr="00AF3E71">
        <w:rPr>
          <w:rFonts w:ascii="Arial" w:hAnsi="Arial" w:cs="Arial"/>
        </w:rPr>
        <w:t>This memorandum has been prepared with reference to the guidance in the Estimates Manual published by HM Treasury.</w:t>
      </w:r>
    </w:p>
    <w:p w:rsidR="009C4B8D" w:rsidRPr="00AF3E71" w:rsidP="00AF3E71">
      <w:pPr>
        <w:pStyle w:val="ListParagraph"/>
        <w:shd w:val="clear" w:color="auto" w:fill="FFFFFF"/>
        <w:spacing w:after="240" w:line="240" w:lineRule="auto"/>
        <w:ind w:left="360"/>
        <w:jc w:val="both"/>
        <w:rPr>
          <w:rFonts w:ascii="Arial" w:hAnsi="Arial" w:cs="Arial"/>
        </w:rPr>
      </w:pPr>
    </w:p>
    <w:p w:rsidR="001D55D4" w:rsidRPr="00AF3E71" w:rsidP="00AF3E71">
      <w:pPr>
        <w:pStyle w:val="ListParagraph"/>
        <w:numPr>
          <w:ilvl w:val="0"/>
          <w:numId w:val="27"/>
        </w:numPr>
        <w:shd w:val="clear" w:color="auto" w:fill="FFFFFF"/>
        <w:spacing w:after="240" w:line="240" w:lineRule="auto"/>
        <w:jc w:val="both"/>
        <w:rPr>
          <w:rFonts w:ascii="Arial" w:hAnsi="Arial" w:cs="Arial"/>
        </w:rPr>
      </w:pPr>
      <w:r w:rsidRPr="00AF3E71">
        <w:rPr>
          <w:rFonts w:ascii="Arial" w:hAnsi="Arial" w:cs="Arial"/>
        </w:rPr>
        <w:t>The Accounting Officer retains personal responsibility for the content of the memorandum. The Accounting Officer for Ofqual is the Chief Regulator.</w:t>
      </w:r>
    </w:p>
    <w:sectPr w:rsidSect="00114840">
      <w:pgSz w:w="11906" w:h="16838"/>
      <w:pgMar w:top="1276" w:right="1416" w:bottom="1418" w:left="1276" w:header="708"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umnst777 Lt BT">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880539768"/>
      <w:docPartObj>
        <w:docPartGallery w:val="Page Numbers (Bottom of Page)"/>
        <w:docPartUnique/>
      </w:docPartObj>
    </w:sdtPr>
    <w:sdtEndPr>
      <w:rPr>
        <w:rStyle w:val="PageNumber"/>
      </w:rPr>
    </w:sdtEndPr>
    <w:sdtContent>
      <w:p w:rsidR="0057403F" w:rsidP="003F2CB3">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57403F" w:rsidP="003F2C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554154792"/>
      <w:docPartObj>
        <w:docPartGallery w:val="Page Numbers (Bottom of Page)"/>
        <w:docPartUnique/>
      </w:docPartObj>
    </w:sdtPr>
    <w:sdtEndPr>
      <w:rPr>
        <w:rStyle w:val="PageNumber"/>
      </w:rPr>
    </w:sdtEndPr>
    <w:sdtContent>
      <w:p w:rsidR="0057403F" w:rsidP="003F2CB3">
        <w:pPr>
          <w:pStyle w:val="Footer"/>
          <w:jc w:val="right"/>
          <w:rPr>
            <w:rStyle w:val="PageNumber"/>
          </w:rPr>
        </w:pPr>
        <w:r w:rsidRPr="00C7595A">
          <w:rPr>
            <w:rStyle w:val="PageNumber"/>
            <w:color w:val="000000" w:themeColor="text1"/>
          </w:rPr>
          <w:fldChar w:fldCharType="begin"/>
        </w:r>
        <w:r w:rsidRPr="00C7595A">
          <w:rPr>
            <w:rStyle w:val="PageNumber"/>
            <w:color w:val="000000" w:themeColor="text1"/>
          </w:rPr>
          <w:instrText xml:space="preserve"> PAGE </w:instrText>
        </w:r>
        <w:r w:rsidRPr="00C7595A">
          <w:rPr>
            <w:rStyle w:val="PageNumber"/>
            <w:color w:val="000000" w:themeColor="text1"/>
          </w:rPr>
          <w:fldChar w:fldCharType="separate"/>
        </w:r>
        <w:r w:rsidR="00E672BA">
          <w:rPr>
            <w:rStyle w:val="PageNumber"/>
            <w:noProof/>
            <w:color w:val="000000" w:themeColor="text1"/>
          </w:rPr>
          <w:t>4</w:t>
        </w:r>
        <w:r w:rsidRPr="00C7595A">
          <w:rPr>
            <w:rStyle w:val="PageNumber"/>
            <w:color w:val="000000" w:themeColor="text1"/>
          </w:rPr>
          <w:fldChar w:fldCharType="end"/>
        </w:r>
      </w:p>
    </w:sdtContent>
  </w:sdt>
  <w:p w:rsidR="0057403F" w:rsidP="003F2C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484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48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403F" w:rsidP="003F2CB3">
    <w:pPr>
      <w:pStyle w:val="Header"/>
    </w:pPr>
    <w:r>
      <w:rPr>
        <w:noProof/>
        <w:lang w:eastAsia="en-GB"/>
      </w:rPr>
      <w:drawing>
        <wp:anchor distT="0" distB="0" distL="114300" distR="114300" simplePos="0" relativeHeight="251661312" behindDoc="0" locked="1" layoutInCell="1" allowOverlap="1">
          <wp:simplePos x="0" y="0"/>
          <wp:positionH relativeFrom="page">
            <wp:posOffset>342900</wp:posOffset>
          </wp:positionH>
          <wp:positionV relativeFrom="page">
            <wp:posOffset>9391650</wp:posOffset>
          </wp:positionV>
          <wp:extent cx="2500630" cy="855345"/>
          <wp:effectExtent l="0" t="0" r="127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 2018 white.pdf"/>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500630" cy="855345"/>
                  </a:xfrm>
                  <a:prstGeom prst="rect">
                    <a:avLst/>
                  </a:prstGeom>
                </pic:spPr>
              </pic:pic>
            </a:graphicData>
          </a:graphic>
        </wp:anchor>
      </w:drawing>
    </w: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-935665</wp:posOffset>
              </wp:positionH>
              <wp:positionV relativeFrom="paragraph">
                <wp:posOffset>1052623</wp:posOffset>
              </wp:positionV>
              <wp:extent cx="8027581" cy="10664190"/>
              <wp:effectExtent l="0" t="0" r="12065" b="16510"/>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8027581" cy="10664190"/>
                      </a:xfrm>
                      <a:prstGeom prst="rect">
                        <a:avLst/>
                      </a:prstGeom>
                      <a:solidFill>
                        <a:srgbClr val="F0AC2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2049" style="height:839.7pt;margin-left:-73.65pt;margin-top:82.9pt;mso-width-percent:0;mso-width-relative:margin;mso-wrap-distance-bottom:0;mso-wrap-distance-left:9pt;mso-wrap-distance-right:9pt;mso-wrap-distance-top:0;mso-wrap-style:square;position:absolute;v-text-anchor:middle;visibility:visible;width:632.1pt;z-index:251659264" fillcolor="#f0ac24" strokecolor="#1f3763" strokeweight="1pt"/>
          </w:pict>
        </mc:Fallback>
      </mc:AlternateContent>
    </w:r>
    <w:r>
      <w:rPr>
        <w:noProof/>
        <w:lang w:eastAsia="en-GB"/>
      </w:rPr>
      <w:drawing>
        <wp:anchor distT="0" distB="0" distL="114300" distR="114300" simplePos="0" relativeHeight="251660288" behindDoc="0" locked="1" layoutInCell="1" allowOverlap="1">
          <wp:simplePos x="0" y="0"/>
          <wp:positionH relativeFrom="page">
            <wp:posOffset>-1905</wp:posOffset>
          </wp:positionH>
          <wp:positionV relativeFrom="page">
            <wp:posOffset>-384810</wp:posOffset>
          </wp:positionV>
          <wp:extent cx="8155940" cy="1148397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titled-12.png"/>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8155940" cy="1148397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484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403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403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40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67B86"/>
    <w:multiLevelType w:val="hybridMultilevel"/>
    <w:tmpl w:val="2D6AC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276F11"/>
    <w:multiLevelType w:val="hybridMultilevel"/>
    <w:tmpl w:val="5CB4E7AC"/>
    <w:lvl w:ilvl="0">
      <w:start w:val="1"/>
      <w:numFmt w:val="decimal"/>
      <w:lvlText w:val="%1."/>
      <w:lvlJc w:val="left"/>
      <w:pPr>
        <w:ind w:left="360" w:hanging="360"/>
      </w:pPr>
    </w:lvl>
    <w:lvl w:ilvl="1">
      <w:start w:val="1"/>
      <w:numFmt w:val="upperRoman"/>
      <w:lvlText w:val="%2."/>
      <w:lvlJc w:val="righ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6087E00"/>
    <w:multiLevelType w:val="hybridMultilevel"/>
    <w:tmpl w:val="38708722"/>
    <w:lvl w:ilvl="0">
      <w:start w:val="1"/>
      <w:numFmt w:val="bullet"/>
      <w:lvlText w:val=""/>
      <w:lvlJc w:val="left"/>
      <w:pPr>
        <w:ind w:left="717" w:hanging="360"/>
      </w:pPr>
      <w:rPr>
        <w:rFonts w:ascii="Symbol" w:hAnsi="Symbol" w:hint="default"/>
        <w:sz w:val="22"/>
        <w:szCs w:val="22"/>
      </w:rPr>
    </w:lvl>
    <w:lvl w:ilvl="1">
      <w:start w:val="1"/>
      <w:numFmt w:val="decimal"/>
      <w:lvlText w:val="(%2)"/>
      <w:lvlJc w:val="left"/>
      <w:pPr>
        <w:ind w:left="1437" w:hanging="360"/>
      </w:pPr>
      <w:rPr>
        <w:rFonts w:hint="default"/>
      </w:rPr>
    </w:lvl>
    <w:lvl w:ilvl="2" w:tentative="1">
      <w:start w:val="1"/>
      <w:numFmt w:val="lowerRoman"/>
      <w:lvlText w:val="%3."/>
      <w:lvlJc w:val="right"/>
      <w:pPr>
        <w:ind w:left="2157" w:hanging="180"/>
      </w:pPr>
    </w:lvl>
    <w:lvl w:ilvl="3" w:tentative="1">
      <w:start w:val="1"/>
      <w:numFmt w:val="decimal"/>
      <w:lvlText w:val="%4."/>
      <w:lvlJc w:val="left"/>
      <w:pPr>
        <w:ind w:left="2877" w:hanging="360"/>
      </w:pPr>
    </w:lvl>
    <w:lvl w:ilvl="4" w:tentative="1">
      <w:start w:val="1"/>
      <w:numFmt w:val="lowerLetter"/>
      <w:lvlText w:val="%5."/>
      <w:lvlJc w:val="left"/>
      <w:pPr>
        <w:ind w:left="3597" w:hanging="360"/>
      </w:pPr>
    </w:lvl>
    <w:lvl w:ilvl="5" w:tentative="1">
      <w:start w:val="1"/>
      <w:numFmt w:val="lowerRoman"/>
      <w:lvlText w:val="%6."/>
      <w:lvlJc w:val="right"/>
      <w:pPr>
        <w:ind w:left="4317" w:hanging="180"/>
      </w:pPr>
    </w:lvl>
    <w:lvl w:ilvl="6" w:tentative="1">
      <w:start w:val="1"/>
      <w:numFmt w:val="decimal"/>
      <w:lvlText w:val="%7."/>
      <w:lvlJc w:val="left"/>
      <w:pPr>
        <w:ind w:left="5037" w:hanging="360"/>
      </w:pPr>
    </w:lvl>
    <w:lvl w:ilvl="7" w:tentative="1">
      <w:start w:val="1"/>
      <w:numFmt w:val="lowerLetter"/>
      <w:lvlText w:val="%8."/>
      <w:lvlJc w:val="left"/>
      <w:pPr>
        <w:ind w:left="5757" w:hanging="360"/>
      </w:pPr>
    </w:lvl>
    <w:lvl w:ilvl="8" w:tentative="1">
      <w:start w:val="1"/>
      <w:numFmt w:val="lowerRoman"/>
      <w:lvlText w:val="%9."/>
      <w:lvlJc w:val="right"/>
      <w:pPr>
        <w:ind w:left="6477" w:hanging="180"/>
      </w:pPr>
    </w:lvl>
  </w:abstractNum>
  <w:abstractNum w:abstractNumId="3">
    <w:nsid w:val="15DA7CC1"/>
    <w:multiLevelType w:val="hybridMultilevel"/>
    <w:tmpl w:val="96ACEE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62A06C0"/>
    <w:multiLevelType w:val="hybridMultilevel"/>
    <w:tmpl w:val="638416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96271D0"/>
    <w:multiLevelType w:val="hybridMultilevel"/>
    <w:tmpl w:val="13BA248E"/>
    <w:lvl w:ilvl="0">
      <w:start w:val="1"/>
      <w:numFmt w:val="decimal"/>
      <w:lvlText w:val="%1."/>
      <w:lvlJc w:val="left"/>
      <w:pPr>
        <w:ind w:left="360" w:hanging="360"/>
      </w:pPr>
    </w:lvl>
    <w:lvl w:ilvl="1">
      <w:start w:val="1"/>
      <w:numFmt w:val="lowerRoman"/>
      <w:lvlText w:val="%2."/>
      <w:lvlJc w:val="righ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2821935"/>
    <w:multiLevelType w:val="hybridMultilevel"/>
    <w:tmpl w:val="93A222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0B11C3"/>
    <w:multiLevelType w:val="hybridMultilevel"/>
    <w:tmpl w:val="2C1A25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D52781"/>
    <w:multiLevelType w:val="hybridMultilevel"/>
    <w:tmpl w:val="00400F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D322347"/>
    <w:multiLevelType w:val="hybridMultilevel"/>
    <w:tmpl w:val="90962CE2"/>
    <w:lvl w:ilvl="0">
      <w:start w:val="1"/>
      <w:numFmt w:val="decimal"/>
      <w:lvlText w:val="%1."/>
      <w:lvlJc w:val="left"/>
      <w:pPr>
        <w:ind w:left="720" w:hanging="360"/>
      </w:pPr>
      <w:rPr>
        <w:rFonts w:ascii="Arial" w:hAnsi="Arial" w:cs="Arial" w:hint="default"/>
        <w:color w:val="0000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EAE02C9"/>
    <w:multiLevelType w:val="hybridMultilevel"/>
    <w:tmpl w:val="FB9C4B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EE3741D"/>
    <w:multiLevelType w:val="hybridMultilevel"/>
    <w:tmpl w:val="83909A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B100F3E"/>
    <w:multiLevelType w:val="hybridMultilevel"/>
    <w:tmpl w:val="35DE14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3DF81F28"/>
    <w:multiLevelType w:val="hybridMultilevel"/>
    <w:tmpl w:val="1856F0B0"/>
    <w:lvl w:ilvl="0">
      <w:start w:val="1"/>
      <w:numFmt w:val="decimal"/>
      <w:lvlText w:val="%1."/>
      <w:lvlJc w:val="left"/>
      <w:pPr>
        <w:ind w:left="360" w:hanging="360"/>
      </w:pPr>
      <w:rPr>
        <w:sz w:val="22"/>
        <w:szCs w:val="22"/>
      </w:rPr>
    </w:lvl>
    <w:lvl w:ilvl="1">
      <w:start w:val="1"/>
      <w:numFmt w:val="lowerLetter"/>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440E0195"/>
    <w:multiLevelType w:val="multilevel"/>
    <w:tmpl w:val="A04277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nsid w:val="44E43348"/>
    <w:multiLevelType w:val="hybridMultilevel"/>
    <w:tmpl w:val="27DA41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53A77F4"/>
    <w:multiLevelType w:val="hybridMultilevel"/>
    <w:tmpl w:val="5D0E3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57560E3"/>
    <w:multiLevelType w:val="hybridMultilevel"/>
    <w:tmpl w:val="7048F7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5D54D70"/>
    <w:multiLevelType w:val="hybridMultilevel"/>
    <w:tmpl w:val="D77E89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5E65473"/>
    <w:multiLevelType w:val="hybridMultilevel"/>
    <w:tmpl w:val="300EDFFC"/>
    <w:lvl w:ilvl="0">
      <w:start w:val="1"/>
      <w:numFmt w:val="decimal"/>
      <w:lvlText w:val="%1."/>
      <w:lvlJc w:val="left"/>
      <w:pPr>
        <w:ind w:left="360" w:hanging="360"/>
      </w:pPr>
      <w:rPr>
        <w:sz w:val="22"/>
        <w:szCs w:val="22"/>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47A72137"/>
    <w:multiLevelType w:val="hybridMultilevel"/>
    <w:tmpl w:val="FC6A238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4A5868C3"/>
    <w:multiLevelType w:val="hybridMultilevel"/>
    <w:tmpl w:val="8026D06C"/>
    <w:lvl w:ilvl="0">
      <w:start w:val="1"/>
      <w:numFmt w:val="decimal"/>
      <w:lvlText w:val="(%1)"/>
      <w:lvlJc w:val="left"/>
      <w:pPr>
        <w:ind w:left="717" w:hanging="360"/>
      </w:pPr>
      <w:rPr>
        <w:rFonts w:hint="default"/>
      </w:rPr>
    </w:lvl>
    <w:lvl w:ilvl="1" w:tentative="1">
      <w:start w:val="1"/>
      <w:numFmt w:val="lowerLetter"/>
      <w:lvlText w:val="%2."/>
      <w:lvlJc w:val="left"/>
      <w:pPr>
        <w:ind w:left="1437" w:hanging="360"/>
      </w:pPr>
    </w:lvl>
    <w:lvl w:ilvl="2" w:tentative="1">
      <w:start w:val="1"/>
      <w:numFmt w:val="lowerRoman"/>
      <w:lvlText w:val="%3."/>
      <w:lvlJc w:val="right"/>
      <w:pPr>
        <w:ind w:left="2157" w:hanging="180"/>
      </w:pPr>
    </w:lvl>
    <w:lvl w:ilvl="3" w:tentative="1">
      <w:start w:val="1"/>
      <w:numFmt w:val="decimal"/>
      <w:lvlText w:val="%4."/>
      <w:lvlJc w:val="left"/>
      <w:pPr>
        <w:ind w:left="2877" w:hanging="360"/>
      </w:pPr>
    </w:lvl>
    <w:lvl w:ilvl="4" w:tentative="1">
      <w:start w:val="1"/>
      <w:numFmt w:val="lowerLetter"/>
      <w:lvlText w:val="%5."/>
      <w:lvlJc w:val="left"/>
      <w:pPr>
        <w:ind w:left="3597" w:hanging="360"/>
      </w:pPr>
    </w:lvl>
    <w:lvl w:ilvl="5" w:tentative="1">
      <w:start w:val="1"/>
      <w:numFmt w:val="lowerRoman"/>
      <w:lvlText w:val="%6."/>
      <w:lvlJc w:val="right"/>
      <w:pPr>
        <w:ind w:left="4317" w:hanging="180"/>
      </w:pPr>
    </w:lvl>
    <w:lvl w:ilvl="6" w:tentative="1">
      <w:start w:val="1"/>
      <w:numFmt w:val="decimal"/>
      <w:lvlText w:val="%7."/>
      <w:lvlJc w:val="left"/>
      <w:pPr>
        <w:ind w:left="5037" w:hanging="360"/>
      </w:pPr>
    </w:lvl>
    <w:lvl w:ilvl="7" w:tentative="1">
      <w:start w:val="1"/>
      <w:numFmt w:val="lowerLetter"/>
      <w:lvlText w:val="%8."/>
      <w:lvlJc w:val="left"/>
      <w:pPr>
        <w:ind w:left="5757" w:hanging="360"/>
      </w:pPr>
    </w:lvl>
    <w:lvl w:ilvl="8" w:tentative="1">
      <w:start w:val="1"/>
      <w:numFmt w:val="lowerRoman"/>
      <w:lvlText w:val="%9."/>
      <w:lvlJc w:val="right"/>
      <w:pPr>
        <w:ind w:left="6477" w:hanging="180"/>
      </w:pPr>
    </w:lvl>
  </w:abstractNum>
  <w:abstractNum w:abstractNumId="22">
    <w:nsid w:val="4D644457"/>
    <w:multiLevelType w:val="hybridMultilevel"/>
    <w:tmpl w:val="4F2A80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EF01AC1"/>
    <w:multiLevelType w:val="hybridMultilevel"/>
    <w:tmpl w:val="1A4656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3F35849"/>
    <w:multiLevelType w:val="hybridMultilevel"/>
    <w:tmpl w:val="6F466C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88768CF"/>
    <w:multiLevelType w:val="hybridMultilevel"/>
    <w:tmpl w:val="41466C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A801AFE"/>
    <w:multiLevelType w:val="hybridMultilevel"/>
    <w:tmpl w:val="143473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BAC2E3A"/>
    <w:multiLevelType w:val="hybridMultilevel"/>
    <w:tmpl w:val="D0BAE47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65831FD7"/>
    <w:multiLevelType w:val="hybridMultilevel"/>
    <w:tmpl w:val="5BAEA7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79B66A1"/>
    <w:multiLevelType w:val="hybridMultilevel"/>
    <w:tmpl w:val="DC08A4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8067349"/>
    <w:multiLevelType w:val="hybridMultilevel"/>
    <w:tmpl w:val="101089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8281B9E"/>
    <w:multiLevelType w:val="hybridMultilevel"/>
    <w:tmpl w:val="726E47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B921FEE"/>
    <w:multiLevelType w:val="hybridMultilevel"/>
    <w:tmpl w:val="4448ED6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36E1F62"/>
    <w:multiLevelType w:val="hybridMultilevel"/>
    <w:tmpl w:val="56F6A6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7E96AD4"/>
    <w:multiLevelType w:val="hybridMultilevel"/>
    <w:tmpl w:val="2EF248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A501A93"/>
    <w:multiLevelType w:val="hybridMultilevel"/>
    <w:tmpl w:val="65D29C5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7C7C78EB"/>
    <w:multiLevelType w:val="hybridMultilevel"/>
    <w:tmpl w:val="221E52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E7C2258"/>
    <w:multiLevelType w:val="hybridMultilevel"/>
    <w:tmpl w:val="69FA2224"/>
    <w:lvl w:ilvl="0">
      <w:start w:val="1"/>
      <w:numFmt w:val="lowerRoman"/>
      <w:lvlText w:val="%1."/>
      <w:lvlJc w:val="righ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8"/>
  </w:num>
  <w:num w:numId="2">
    <w:abstractNumId w:val="8"/>
  </w:num>
  <w:num w:numId="3">
    <w:abstractNumId w:val="24"/>
  </w:num>
  <w:num w:numId="4">
    <w:abstractNumId w:val="7"/>
  </w:num>
  <w:num w:numId="5">
    <w:abstractNumId w:val="3"/>
  </w:num>
  <w:num w:numId="6">
    <w:abstractNumId w:val="33"/>
  </w:num>
  <w:num w:numId="7">
    <w:abstractNumId w:val="36"/>
  </w:num>
  <w:num w:numId="8">
    <w:abstractNumId w:val="16"/>
  </w:num>
  <w:num w:numId="9">
    <w:abstractNumId w:val="30"/>
  </w:num>
  <w:num w:numId="10">
    <w:abstractNumId w:val="6"/>
  </w:num>
  <w:num w:numId="11">
    <w:abstractNumId w:val="31"/>
  </w:num>
  <w:num w:numId="12">
    <w:abstractNumId w:val="4"/>
  </w:num>
  <w:num w:numId="13">
    <w:abstractNumId w:val="27"/>
  </w:num>
  <w:num w:numId="14">
    <w:abstractNumId w:val="34"/>
  </w:num>
  <w:num w:numId="15">
    <w:abstractNumId w:val="20"/>
  </w:num>
  <w:num w:numId="16">
    <w:abstractNumId w:val="26"/>
  </w:num>
  <w:num w:numId="17">
    <w:abstractNumId w:val="25"/>
  </w:num>
  <w:num w:numId="18">
    <w:abstractNumId w:val="22"/>
  </w:num>
  <w:num w:numId="19">
    <w:abstractNumId w:val="10"/>
  </w:num>
  <w:num w:numId="20">
    <w:abstractNumId w:val="23"/>
  </w:num>
  <w:num w:numId="21">
    <w:abstractNumId w:val="28"/>
  </w:num>
  <w:num w:numId="22">
    <w:abstractNumId w:val="29"/>
  </w:num>
  <w:num w:numId="23">
    <w:abstractNumId w:val="0"/>
  </w:num>
  <w:num w:numId="24">
    <w:abstractNumId w:val="11"/>
  </w:num>
  <w:num w:numId="25">
    <w:abstractNumId w:val="14"/>
  </w:num>
  <w:num w:numId="26">
    <w:abstractNumId w:val="17"/>
  </w:num>
  <w:num w:numId="27">
    <w:abstractNumId w:val="19"/>
  </w:num>
  <w:num w:numId="28">
    <w:abstractNumId w:val="1"/>
  </w:num>
  <w:num w:numId="29">
    <w:abstractNumId w:val="5"/>
  </w:num>
  <w:num w:numId="30">
    <w:abstractNumId w:val="37"/>
  </w:num>
  <w:num w:numId="31">
    <w:abstractNumId w:val="35"/>
  </w:num>
  <w:num w:numId="32">
    <w:abstractNumId w:val="15"/>
  </w:num>
  <w:num w:numId="33">
    <w:abstractNumId w:val="21"/>
  </w:num>
  <w:num w:numId="34">
    <w:abstractNumId w:val="32"/>
  </w:num>
  <w:num w:numId="35">
    <w:abstractNumId w:val="9"/>
  </w:num>
  <w:num w:numId="36">
    <w:abstractNumId w:val="12"/>
  </w:num>
  <w:num w:numId="37">
    <w:abstractNumId w:val="13"/>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5BFD"/>
  </w:style>
  <w:style w:type="paragraph" w:styleId="Heading1">
    <w:name w:val="heading 1"/>
    <w:basedOn w:val="Normal"/>
    <w:next w:val="Normal"/>
    <w:link w:val="Heading1Char"/>
    <w:uiPriority w:val="9"/>
    <w:qFormat/>
    <w:rsid w:val="00EE5B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5BFD"/>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EE5BFD"/>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unhideWhenUsed/>
    <w:qFormat/>
    <w:rsid w:val="00EE5BF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E5BF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EE5BFD"/>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rsid w:val="00EE5BFD"/>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EE5BF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EE5BF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BF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E5BFD"/>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rsid w:val="00EE5BFD"/>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rsid w:val="00EE5BF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EE5BF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EE5BFD"/>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semiHidden/>
    <w:rsid w:val="00EE5BFD"/>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EE5BFD"/>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EE5BFD"/>
    <w:rPr>
      <w:rFonts w:asciiTheme="majorHAnsi" w:eastAsiaTheme="majorEastAsia" w:hAnsiTheme="majorHAnsi" w:cstheme="majorBidi"/>
      <w:i/>
      <w:iCs/>
      <w:color w:val="262626" w:themeColor="text1" w:themeTint="D9"/>
      <w:sz w:val="21"/>
      <w:szCs w:val="21"/>
    </w:rPr>
  </w:style>
  <w:style w:type="paragraph" w:customStyle="1" w:styleId="appendixparacontinued">
    <w:name w:val="appendixparacontinued"/>
    <w:basedOn w:val="Normal"/>
    <w:rsid w:val="00740C96"/>
    <w:pPr>
      <w:spacing w:after="180" w:line="288"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5BFD"/>
    <w:rPr>
      <w:b/>
      <w:bCs/>
      <w:color w:val="auto"/>
    </w:rPr>
  </w:style>
  <w:style w:type="character" w:customStyle="1" w:styleId="strong-frutiger1">
    <w:name w:val="strong-frutiger1"/>
    <w:basedOn w:val="DefaultParagraphFont"/>
    <w:rsid w:val="00740C96"/>
  </w:style>
  <w:style w:type="paragraph" w:customStyle="1" w:styleId="jcsipara-1-1">
    <w:name w:val="jcsi_para-1-1"/>
    <w:basedOn w:val="Normal"/>
    <w:rsid w:val="00740C96"/>
    <w:pPr>
      <w:spacing w:after="180" w:line="288" w:lineRule="auto"/>
    </w:pPr>
    <w:rPr>
      <w:rFonts w:ascii="Times New Roman" w:eastAsia="Times New Roman" w:hAnsi="Times New Roman" w:cs="Times New Roman"/>
      <w:sz w:val="24"/>
      <w:szCs w:val="24"/>
      <w:lang w:eastAsia="en-GB"/>
    </w:rPr>
  </w:style>
  <w:style w:type="paragraph" w:customStyle="1" w:styleId="tablefrutiger-table-header-white">
    <w:name w:val="table_frutiger-table-header-white"/>
    <w:basedOn w:val="Normal"/>
    <w:rsid w:val="00740C96"/>
    <w:pPr>
      <w:spacing w:after="180" w:line="288" w:lineRule="auto"/>
    </w:pPr>
    <w:rPr>
      <w:rFonts w:ascii="Times New Roman" w:eastAsia="Times New Roman" w:hAnsi="Times New Roman" w:cs="Times New Roman"/>
      <w:sz w:val="24"/>
      <w:szCs w:val="24"/>
      <w:lang w:eastAsia="en-GB"/>
    </w:rPr>
  </w:style>
  <w:style w:type="paragraph" w:customStyle="1" w:styleId="pastreportstitles">
    <w:name w:val="pastreportstitles"/>
    <w:basedOn w:val="Normal"/>
    <w:rsid w:val="00740C96"/>
    <w:pPr>
      <w:spacing w:after="180" w:line="288"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325FE"/>
    <w:pPr>
      <w:ind w:left="720"/>
      <w:contextualSpacing/>
    </w:pPr>
  </w:style>
  <w:style w:type="table" w:styleId="TableGrid">
    <w:name w:val="Table Grid"/>
    <w:basedOn w:val="TableNormal"/>
    <w:uiPriority w:val="39"/>
    <w:rsid w:val="00D5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E6379"/>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9E6379"/>
  </w:style>
  <w:style w:type="character" w:customStyle="1" w:styleId="eop">
    <w:name w:val="eop"/>
    <w:basedOn w:val="DefaultParagraphFont"/>
    <w:rsid w:val="009E6379"/>
  </w:style>
  <w:style w:type="character" w:customStyle="1" w:styleId="advancedproofingissue">
    <w:name w:val="advancedproofingissue"/>
    <w:basedOn w:val="DefaultParagraphFont"/>
    <w:rsid w:val="006F30CB"/>
  </w:style>
  <w:style w:type="paragraph" w:styleId="Header">
    <w:name w:val="header"/>
    <w:basedOn w:val="Normal"/>
    <w:link w:val="HeaderChar"/>
    <w:uiPriority w:val="99"/>
    <w:unhideWhenUsed/>
    <w:rsid w:val="00EF63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3D2"/>
  </w:style>
  <w:style w:type="paragraph" w:styleId="Footer">
    <w:name w:val="footer"/>
    <w:basedOn w:val="Normal"/>
    <w:link w:val="FooterChar"/>
    <w:uiPriority w:val="99"/>
    <w:unhideWhenUsed/>
    <w:rsid w:val="00EF63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3D2"/>
  </w:style>
  <w:style w:type="character" w:styleId="Hyperlink">
    <w:name w:val="Hyperlink"/>
    <w:basedOn w:val="DefaultParagraphFont"/>
    <w:uiPriority w:val="99"/>
    <w:unhideWhenUsed/>
    <w:rsid w:val="00D3514F"/>
    <w:rPr>
      <w:color w:val="0000FF"/>
      <w:u w:val="single"/>
    </w:rPr>
  </w:style>
  <w:style w:type="character" w:customStyle="1" w:styleId="gem-c-contents-listnumber">
    <w:name w:val="gem-c-contents-list__number"/>
    <w:basedOn w:val="DefaultParagraphFont"/>
    <w:rsid w:val="00D3514F"/>
  </w:style>
  <w:style w:type="character" w:customStyle="1" w:styleId="gem-c-contents-listnumbered-text">
    <w:name w:val="gem-c-contents-list__numbered-text"/>
    <w:basedOn w:val="DefaultParagraphFont"/>
    <w:rsid w:val="00D3514F"/>
  </w:style>
  <w:style w:type="paragraph" w:styleId="Subtitle">
    <w:name w:val="Subtitle"/>
    <w:basedOn w:val="Normal"/>
    <w:next w:val="Normal"/>
    <w:link w:val="SubtitleChar"/>
    <w:uiPriority w:val="11"/>
    <w:qFormat/>
    <w:rsid w:val="00EE5BFD"/>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EE5BFD"/>
    <w:rPr>
      <w:color w:val="5A5A5A" w:themeColor="text1" w:themeTint="A5"/>
      <w:spacing w:val="15"/>
    </w:rPr>
  </w:style>
  <w:style w:type="character" w:styleId="CommentReference">
    <w:name w:val="annotation reference"/>
    <w:basedOn w:val="DefaultParagraphFont"/>
    <w:uiPriority w:val="99"/>
    <w:semiHidden/>
    <w:unhideWhenUsed/>
    <w:rsid w:val="00561797"/>
    <w:rPr>
      <w:sz w:val="16"/>
      <w:szCs w:val="16"/>
    </w:rPr>
  </w:style>
  <w:style w:type="paragraph" w:styleId="CommentText">
    <w:name w:val="annotation text"/>
    <w:basedOn w:val="Normal"/>
    <w:link w:val="CommentTextChar"/>
    <w:uiPriority w:val="99"/>
    <w:unhideWhenUsed/>
    <w:rsid w:val="00561797"/>
    <w:pPr>
      <w:spacing w:line="240" w:lineRule="auto"/>
    </w:pPr>
    <w:rPr>
      <w:sz w:val="20"/>
      <w:szCs w:val="20"/>
    </w:rPr>
  </w:style>
  <w:style w:type="character" w:customStyle="1" w:styleId="CommentTextChar">
    <w:name w:val="Comment Text Char"/>
    <w:basedOn w:val="DefaultParagraphFont"/>
    <w:link w:val="CommentText"/>
    <w:uiPriority w:val="99"/>
    <w:rsid w:val="00561797"/>
    <w:rPr>
      <w:sz w:val="20"/>
      <w:szCs w:val="20"/>
    </w:rPr>
  </w:style>
  <w:style w:type="paragraph" w:styleId="CommentSubject">
    <w:name w:val="annotation subject"/>
    <w:basedOn w:val="CommentText"/>
    <w:next w:val="CommentText"/>
    <w:link w:val="CommentSubjectChar"/>
    <w:uiPriority w:val="99"/>
    <w:semiHidden/>
    <w:unhideWhenUsed/>
    <w:rsid w:val="00561797"/>
    <w:rPr>
      <w:b/>
      <w:bCs/>
    </w:rPr>
  </w:style>
  <w:style w:type="character" w:customStyle="1" w:styleId="CommentSubjectChar">
    <w:name w:val="Comment Subject Char"/>
    <w:basedOn w:val="CommentTextChar"/>
    <w:link w:val="CommentSubject"/>
    <w:uiPriority w:val="99"/>
    <w:semiHidden/>
    <w:rsid w:val="00561797"/>
    <w:rPr>
      <w:b/>
      <w:bCs/>
      <w:sz w:val="20"/>
      <w:szCs w:val="20"/>
    </w:rPr>
  </w:style>
  <w:style w:type="paragraph" w:styleId="BalloonText">
    <w:name w:val="Balloon Text"/>
    <w:basedOn w:val="Normal"/>
    <w:link w:val="BalloonTextChar"/>
    <w:uiPriority w:val="99"/>
    <w:semiHidden/>
    <w:unhideWhenUsed/>
    <w:rsid w:val="005617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797"/>
    <w:rPr>
      <w:rFonts w:ascii="Segoe UI" w:hAnsi="Segoe UI" w:cs="Segoe UI"/>
      <w:sz w:val="18"/>
      <w:szCs w:val="18"/>
    </w:rPr>
  </w:style>
  <w:style w:type="character" w:customStyle="1" w:styleId="number">
    <w:name w:val="number"/>
    <w:basedOn w:val="DefaultParagraphFont"/>
    <w:rsid w:val="007A4142"/>
  </w:style>
  <w:style w:type="character" w:customStyle="1" w:styleId="UnresolvedMention1">
    <w:name w:val="Unresolved Mention1"/>
    <w:basedOn w:val="DefaultParagraphFont"/>
    <w:uiPriority w:val="99"/>
    <w:semiHidden/>
    <w:unhideWhenUsed/>
    <w:rsid w:val="001A0DB4"/>
    <w:rPr>
      <w:color w:val="808080"/>
      <w:shd w:val="clear" w:color="auto" w:fill="E6E6E6"/>
    </w:rPr>
  </w:style>
  <w:style w:type="paragraph" w:customStyle="1" w:styleId="Default">
    <w:name w:val="Default"/>
    <w:rsid w:val="008302F2"/>
    <w:pPr>
      <w:autoSpaceDE w:val="0"/>
      <w:autoSpaceDN w:val="0"/>
      <w:adjustRightInd w:val="0"/>
      <w:spacing w:after="0" w:line="240" w:lineRule="auto"/>
    </w:pPr>
    <w:rPr>
      <w:rFonts w:ascii="Humnst777 Lt BT" w:hAnsi="Humnst777 Lt BT" w:cs="Humnst777 Lt BT"/>
      <w:color w:val="000000"/>
      <w:sz w:val="24"/>
      <w:szCs w:val="24"/>
    </w:rPr>
  </w:style>
  <w:style w:type="paragraph" w:styleId="FootnoteText">
    <w:name w:val="footnote text"/>
    <w:basedOn w:val="Normal"/>
    <w:link w:val="FootnoteTextChar"/>
    <w:rsid w:val="004D18B6"/>
    <w:pPr>
      <w:widowControl w:val="0"/>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4D18B6"/>
    <w:rPr>
      <w:rFonts w:ascii="Arial" w:eastAsia="Times New Roman" w:hAnsi="Arial" w:cs="Times New Roman"/>
      <w:sz w:val="20"/>
      <w:szCs w:val="20"/>
    </w:rPr>
  </w:style>
  <w:style w:type="character" w:styleId="FootnoteReference">
    <w:name w:val="footnote reference"/>
    <w:basedOn w:val="DefaultParagraphFont"/>
    <w:rsid w:val="004D18B6"/>
    <w:rPr>
      <w:vertAlign w:val="superscript"/>
    </w:rPr>
  </w:style>
  <w:style w:type="table" w:customStyle="1" w:styleId="TableGrid1">
    <w:name w:val="Table Grid1"/>
    <w:basedOn w:val="TableNormal"/>
    <w:next w:val="TableGrid"/>
    <w:rsid w:val="004D18B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EE5BF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EE5BFD"/>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EE5BFD"/>
    <w:rPr>
      <w:rFonts w:asciiTheme="majorHAnsi" w:eastAsiaTheme="majorEastAsia" w:hAnsiTheme="majorHAnsi" w:cstheme="majorBidi"/>
      <w:spacing w:val="-10"/>
      <w:sz w:val="56"/>
      <w:szCs w:val="56"/>
    </w:rPr>
  </w:style>
  <w:style w:type="character" w:styleId="Emphasis">
    <w:name w:val="Emphasis"/>
    <w:basedOn w:val="DefaultParagraphFont"/>
    <w:uiPriority w:val="20"/>
    <w:qFormat/>
    <w:rsid w:val="00EE5BFD"/>
    <w:rPr>
      <w:i/>
      <w:iCs/>
      <w:color w:val="auto"/>
    </w:rPr>
  </w:style>
  <w:style w:type="paragraph" w:styleId="NoSpacing">
    <w:name w:val="No Spacing"/>
    <w:uiPriority w:val="1"/>
    <w:qFormat/>
    <w:rsid w:val="00EE5BFD"/>
    <w:pPr>
      <w:spacing w:after="0" w:line="240" w:lineRule="auto"/>
    </w:pPr>
  </w:style>
  <w:style w:type="paragraph" w:styleId="Quote">
    <w:name w:val="Quote"/>
    <w:basedOn w:val="Normal"/>
    <w:next w:val="Normal"/>
    <w:link w:val="QuoteChar"/>
    <w:uiPriority w:val="29"/>
    <w:qFormat/>
    <w:rsid w:val="00EE5BFD"/>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EE5BFD"/>
    <w:rPr>
      <w:i/>
      <w:iCs/>
      <w:color w:val="404040" w:themeColor="text1" w:themeTint="BF"/>
    </w:rPr>
  </w:style>
  <w:style w:type="paragraph" w:styleId="IntenseQuote">
    <w:name w:val="Intense Quote"/>
    <w:basedOn w:val="Normal"/>
    <w:next w:val="Normal"/>
    <w:link w:val="IntenseQuoteChar"/>
    <w:uiPriority w:val="30"/>
    <w:qFormat/>
    <w:rsid w:val="00EE5BF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E5BFD"/>
    <w:rPr>
      <w:i/>
      <w:iCs/>
      <w:color w:val="4472C4" w:themeColor="accent1"/>
    </w:rPr>
  </w:style>
  <w:style w:type="character" w:styleId="SubtleEmphasis">
    <w:name w:val="Subtle Emphasis"/>
    <w:basedOn w:val="DefaultParagraphFont"/>
    <w:uiPriority w:val="19"/>
    <w:qFormat/>
    <w:rsid w:val="00EE5BFD"/>
    <w:rPr>
      <w:i/>
      <w:iCs/>
      <w:color w:val="404040" w:themeColor="text1" w:themeTint="BF"/>
    </w:rPr>
  </w:style>
  <w:style w:type="character" w:styleId="IntenseEmphasis">
    <w:name w:val="Intense Emphasis"/>
    <w:basedOn w:val="DefaultParagraphFont"/>
    <w:uiPriority w:val="21"/>
    <w:qFormat/>
    <w:rsid w:val="00EE5BFD"/>
    <w:rPr>
      <w:i/>
      <w:iCs/>
      <w:color w:val="4472C4" w:themeColor="accent1"/>
    </w:rPr>
  </w:style>
  <w:style w:type="character" w:styleId="SubtleReference">
    <w:name w:val="Subtle Reference"/>
    <w:basedOn w:val="DefaultParagraphFont"/>
    <w:uiPriority w:val="31"/>
    <w:qFormat/>
    <w:rsid w:val="00EE5BFD"/>
    <w:rPr>
      <w:smallCaps/>
      <w:color w:val="404040" w:themeColor="text1" w:themeTint="BF"/>
    </w:rPr>
  </w:style>
  <w:style w:type="character" w:styleId="IntenseReference">
    <w:name w:val="Intense Reference"/>
    <w:basedOn w:val="DefaultParagraphFont"/>
    <w:uiPriority w:val="32"/>
    <w:qFormat/>
    <w:rsid w:val="00EE5BFD"/>
    <w:rPr>
      <w:b/>
      <w:bCs/>
      <w:smallCaps/>
      <w:color w:val="4472C4" w:themeColor="accent1"/>
      <w:spacing w:val="5"/>
    </w:rPr>
  </w:style>
  <w:style w:type="character" w:styleId="BookTitle">
    <w:name w:val="Book Title"/>
    <w:basedOn w:val="DefaultParagraphFont"/>
    <w:uiPriority w:val="33"/>
    <w:qFormat/>
    <w:rsid w:val="00EE5BFD"/>
    <w:rPr>
      <w:b/>
      <w:bCs/>
      <w:i/>
      <w:iCs/>
      <w:spacing w:val="5"/>
    </w:rPr>
  </w:style>
  <w:style w:type="paragraph" w:styleId="TOCHeading">
    <w:name w:val="TOC Heading"/>
    <w:basedOn w:val="Heading1"/>
    <w:next w:val="Normal"/>
    <w:uiPriority w:val="39"/>
    <w:unhideWhenUsed/>
    <w:qFormat/>
    <w:rsid w:val="00EE5BFD"/>
    <w:pPr>
      <w:outlineLvl w:val="9"/>
    </w:pPr>
  </w:style>
  <w:style w:type="paragraph" w:styleId="NormalWeb">
    <w:name w:val="Normal (Web)"/>
    <w:basedOn w:val="Normal"/>
    <w:uiPriority w:val="99"/>
    <w:semiHidden/>
    <w:unhideWhenUsed/>
    <w:rsid w:val="005C5F37"/>
    <w:pPr>
      <w:spacing w:after="533" w:line="240" w:lineRule="auto"/>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unhideWhenUsed/>
    <w:rsid w:val="00C24983"/>
    <w:pPr>
      <w:tabs>
        <w:tab w:val="right" w:leader="dot" w:pos="9010"/>
      </w:tabs>
      <w:spacing w:after="100"/>
      <w:ind w:left="-284" w:firstLine="284"/>
    </w:pPr>
  </w:style>
  <w:style w:type="character" w:styleId="PageNumber">
    <w:name w:val="page number"/>
    <w:basedOn w:val="DefaultParagraphFont"/>
    <w:uiPriority w:val="99"/>
    <w:semiHidden/>
    <w:unhideWhenUsed/>
    <w:rsid w:val="00314885"/>
  </w:style>
  <w:style w:type="character" w:styleId="PlaceholderText">
    <w:name w:val="Placeholder Text"/>
    <w:basedOn w:val="DefaultParagraphFont"/>
    <w:uiPriority w:val="99"/>
    <w:semiHidden/>
    <w:rsid w:val="00314885"/>
    <w:rPr>
      <w:color w:val="808080"/>
    </w:rPr>
  </w:style>
  <w:style w:type="paragraph" w:styleId="TOC2">
    <w:name w:val="toc 2"/>
    <w:basedOn w:val="Normal"/>
    <w:next w:val="Normal"/>
    <w:autoRedefine/>
    <w:uiPriority w:val="39"/>
    <w:unhideWhenUsed/>
    <w:rsid w:val="003F2CB3"/>
    <w:pPr>
      <w:spacing w:after="100"/>
      <w:ind w:left="220"/>
    </w:pPr>
  </w:style>
  <w:style w:type="paragraph" w:styleId="TOC3">
    <w:name w:val="toc 3"/>
    <w:basedOn w:val="Normal"/>
    <w:next w:val="Normal"/>
    <w:autoRedefine/>
    <w:uiPriority w:val="39"/>
    <w:unhideWhenUsed/>
    <w:rsid w:val="003F2CB3"/>
    <w:pPr>
      <w:spacing w:after="100"/>
      <w:ind w:left="440"/>
    </w:pPr>
  </w:style>
  <w:style w:type="character" w:styleId="FollowedHyperlink">
    <w:name w:val="FollowedHyperlink"/>
    <w:basedOn w:val="DefaultParagraphFont"/>
    <w:uiPriority w:val="99"/>
    <w:semiHidden/>
    <w:unhideWhenUsed/>
    <w:rsid w:val="00502A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header" Target="header6.xml" /><Relationship Id="rId17" Type="http://schemas.openxmlformats.org/officeDocument/2006/relationships/chart" Target="charts/chart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charts/_rels/chart1.xml.rels>&#65279;<?xml version="1.0" encoding="utf-8" standalone="yes"?><Relationships xmlns="http://schemas.openxmlformats.org/package/2006/relationships"><Relationship Id="rId1" Type="http://schemas.openxmlformats.org/officeDocument/2006/relationships/package" Target="../embeddings/Microsoft_Office_Excel_Worksheet1.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5090151110829867E-2"/>
          <c:y val="3.4619630520694042E-2"/>
          <c:w val="0.89129195638110004"/>
          <c:h val="0.84839793751237524"/>
        </c:manualLayout>
      </c:layout>
      <c:lineChart>
        <c:grouping val="standard"/>
        <c:varyColors val="0"/>
        <c:ser>
          <c:idx val="2"/>
          <c:order val="2"/>
          <c:tx>
            <c:strRef>
              <c:f>'Tables for Memorandum'!$J$21</c:f>
              <c:strCache>
                <c:ptCount val="1"/>
                <c:pt idx="0">
                  <c:v>Admin RDEL</c:v>
                </c:pt>
              </c:strCache>
            </c:strRef>
          </c:tx>
          <c:spPr>
            <a:ln w="28575" cap="rnd">
              <a:solidFill>
                <a:schemeClr val="accent3"/>
              </a:solidFill>
              <a:round/>
            </a:ln>
            <a:effectLst/>
          </c:spPr>
          <c:marker>
            <c:symbol val="none"/>
          </c:marker>
          <c:cat>
            <c:strRef>
              <c:f>'Tables for Memorandum'!$K$18:$P$18</c:f>
              <c:strCache>
                <c:ptCount val="5"/>
                <c:pt idx="0">
                  <c:v>2016/17 Outturn</c:v>
                </c:pt>
                <c:pt idx="1">
                  <c:v>2017/18 Outturn</c:v>
                </c:pt>
                <c:pt idx="2">
                  <c:v>2018/19 Outturn</c:v>
                </c:pt>
                <c:pt idx="3">
                  <c:v>2019/20 Forecast</c:v>
                </c:pt>
                <c:pt idx="4">
                  <c:v>2020/21 Planned</c:v>
                </c:pt>
              </c:strCache>
            </c:strRef>
          </c:cat>
          <c:val>
            <c:numRef>
              <c:f>'Tables for Memorandum'!$K$21:$P$21</c:f>
              <c:numCache>
                <c:formatCode>General</c:formatCode>
                <c:ptCount val="5"/>
                <c:pt idx="0">
                  <c:v>13.733000000000001</c:v>
                </c:pt>
                <c:pt idx="1">
                  <c:v>14.677999999999999</c:v>
                </c:pt>
                <c:pt idx="2">
                  <c:v>16.440000000000001</c:v>
                </c:pt>
                <c:pt idx="3" formatCode="0.000">
                  <c:v>14.86</c:v>
                </c:pt>
                <c:pt idx="4" formatCode="0.000">
                  <c:v>14.971</c:v>
                </c:pt>
              </c:numCache>
            </c:numRef>
          </c:val>
          <c:smooth val="0"/>
          <c:extLst>
            <c:ext xmlns:c16="http://schemas.microsoft.com/office/drawing/2014/chart" uri="{C3380CC4-5D6E-409C-BE32-E72D297353CC}">
              <c16:uniqueId val="{00000000-B513-46A2-BF48-ABA08EDCB042}"/>
            </c:ext>
          </c:extLst>
        </c:ser>
        <c:ser>
          <c:idx val="3"/>
          <c:order val="3"/>
          <c:tx>
            <c:strRef>
              <c:f>'Tables for Memorandum'!$J$22</c:f>
              <c:strCache>
                <c:ptCount val="1"/>
                <c:pt idx="0">
                  <c:v>Admin Settlement</c:v>
                </c:pt>
              </c:strCache>
            </c:strRef>
          </c:tx>
          <c:spPr>
            <a:ln w="28575" cap="rnd">
              <a:solidFill>
                <a:schemeClr val="accent4"/>
              </a:solidFill>
              <a:round/>
            </a:ln>
            <a:effectLst/>
          </c:spPr>
          <c:marker>
            <c:symbol val="none"/>
          </c:marker>
          <c:cat>
            <c:strRef>
              <c:f>'Tables for Memorandum'!$K$18:$P$18</c:f>
              <c:strCache>
                <c:ptCount val="5"/>
                <c:pt idx="0">
                  <c:v>2016/17 Outturn</c:v>
                </c:pt>
                <c:pt idx="1">
                  <c:v>2017/18 Outturn</c:v>
                </c:pt>
                <c:pt idx="2">
                  <c:v>2018/19 Outturn</c:v>
                </c:pt>
                <c:pt idx="3">
                  <c:v>2019/20 Forecast</c:v>
                </c:pt>
                <c:pt idx="4">
                  <c:v>2020/21 Planned</c:v>
                </c:pt>
              </c:strCache>
            </c:strRef>
          </c:cat>
          <c:val>
            <c:numRef>
              <c:f>'Tables for Memorandum'!$K$22:$P$22</c:f>
              <c:numCache>
                <c:formatCode>General</c:formatCode>
                <c:ptCount val="5"/>
                <c:pt idx="0">
                  <c:v>15.542</c:v>
                </c:pt>
                <c:pt idx="1">
                  <c:v>15.266999999999999</c:v>
                </c:pt>
                <c:pt idx="2">
                  <c:v>15.061</c:v>
                </c:pt>
                <c:pt idx="3">
                  <c:v>15.02</c:v>
                </c:pt>
                <c:pt idx="4">
                  <c:v>14.971</c:v>
                </c:pt>
              </c:numCache>
            </c:numRef>
          </c:val>
          <c:smooth val="0"/>
          <c:extLst>
            <c:ext xmlns:c16="http://schemas.microsoft.com/office/drawing/2014/chart" uri="{C3380CC4-5D6E-409C-BE32-E72D297353CC}">
              <c16:uniqueId val="{00000001-B513-46A2-BF48-ABA08EDCB042}"/>
            </c:ext>
          </c:extLst>
        </c:ser>
        <c:ser>
          <c:idx val="4"/>
          <c:order val="4"/>
          <c:tx>
            <c:strRef>
              <c:f>'Tables for Memorandum'!$J$23</c:f>
              <c:strCache>
                <c:ptCount val="1"/>
                <c:pt idx="0">
                  <c:v>TME</c:v>
                </c:pt>
              </c:strCache>
            </c:strRef>
          </c:tx>
          <c:spPr>
            <a:ln w="28575" cap="rnd">
              <a:solidFill>
                <a:schemeClr val="accent5"/>
              </a:solidFill>
              <a:round/>
            </a:ln>
            <a:effectLst/>
          </c:spPr>
          <c:marker>
            <c:symbol val="none"/>
          </c:marker>
          <c:cat>
            <c:strRef>
              <c:f>'Tables for Memorandum'!$K$18:$P$18</c:f>
              <c:strCache>
                <c:ptCount val="5"/>
                <c:pt idx="0">
                  <c:v>2016/17 Outturn</c:v>
                </c:pt>
                <c:pt idx="1">
                  <c:v>2017/18 Outturn</c:v>
                </c:pt>
                <c:pt idx="2">
                  <c:v>2018/19 Outturn</c:v>
                </c:pt>
                <c:pt idx="3">
                  <c:v>2019/20 Forecast</c:v>
                </c:pt>
                <c:pt idx="4">
                  <c:v>2020/21 Planned</c:v>
                </c:pt>
              </c:strCache>
            </c:strRef>
          </c:cat>
          <c:val>
            <c:numRef>
              <c:f>'Tables for Memorandum'!$K$23:$P$23</c:f>
              <c:numCache>
                <c:formatCode>General</c:formatCode>
                <c:ptCount val="5"/>
                <c:pt idx="0">
                  <c:v>18.922000000000001</c:v>
                </c:pt>
                <c:pt idx="1">
                  <c:v>18.036999999999999</c:v>
                </c:pt>
                <c:pt idx="2">
                  <c:v>18.576000000000001</c:v>
                </c:pt>
                <c:pt idx="3">
                  <c:v>19.436</c:v>
                </c:pt>
                <c:pt idx="4">
                  <c:v>23.026000000000003</c:v>
                </c:pt>
              </c:numCache>
            </c:numRef>
          </c:val>
          <c:smooth val="0"/>
          <c:extLst>
            <c:ext xmlns:c16="http://schemas.microsoft.com/office/drawing/2014/chart" uri="{C3380CC4-5D6E-409C-BE32-E72D297353CC}">
              <c16:uniqueId val="{00000002-B513-46A2-BF48-ABA08EDCB042}"/>
            </c:ext>
          </c:extLst>
        </c:ser>
        <c:dLbls>
          <c:showLegendKey val="0"/>
          <c:showVal val="0"/>
          <c:showCatName val="0"/>
          <c:showSerName val="0"/>
          <c:showPercent val="0"/>
          <c:showBubbleSize val="0"/>
        </c:dLbls>
        <c:smooth val="0"/>
        <c:axId val="408699328"/>
        <c:axId val="408697360"/>
        <c:extLst>
          <c:ext xmlns:c15="http://schemas.microsoft.com/office/drawing/2012/chart" uri="{02D57815-91ED-43cb-92C2-25804820EDAC}">
            <c15:filteredLineSeries>
              <c15:ser>
                <c:idx val="0"/>
                <c:order val="0"/>
                <c:tx>
                  <c:strRef>
                    <c:extLst>
                      <c:ext uri="{02D57815-91ED-43cb-92C2-25804820EDAC}">
                        <c15:formulaRef>
                          <c15:sqref>'Tables for Memorandum'!$J$19</c15:sqref>
                        </c15:formulaRef>
                      </c:ext>
                    </c:extLst>
                    <c:strCache>
                      <c:ptCount val="1"/>
                      <c:pt idx="0">
                        <c:v>Gross Expenditure</c:v>
                      </c:pt>
                    </c:strCache>
                  </c:strRef>
                </c:tx>
                <c:spPr>
                  <a:ln w="28575" cap="rnd">
                    <a:solidFill>
                      <a:schemeClr val="accent1"/>
                    </a:solidFill>
                    <a:round/>
                  </a:ln>
                  <a:effectLst/>
                </c:spPr>
                <c:marker>
                  <c:symbol val="none"/>
                </c:marker>
                <c:cat>
                  <c:strRef>
                    <c:extLst>
                      <c:ext uri="{02D57815-91ED-43cb-92C2-25804820EDAC}">
                        <c15:formulaRef>
                          <c15:sqref>'Tables for Memorandum'!$K$18:$P$18</c15:sqref>
                        </c15:formulaRef>
                      </c:ext>
                    </c:extLst>
                    <c:strCache>
                      <c:ptCount val="5"/>
                      <c:pt idx="0">
                        <c:v>2016/17 Outturn</c:v>
                      </c:pt>
                      <c:pt idx="1">
                        <c:v>2017/18 Outturn</c:v>
                      </c:pt>
                      <c:pt idx="2">
                        <c:v>2018/19 Outturn</c:v>
                      </c:pt>
                      <c:pt idx="3">
                        <c:v>2019/20 Forecast</c:v>
                      </c:pt>
                      <c:pt idx="4">
                        <c:v>2020/21 Planned</c:v>
                      </c:pt>
                    </c:strCache>
                  </c:strRef>
                </c:cat>
                <c:val>
                  <c:numRef>
                    <c:extLst>
                      <c:ext uri="{02D57815-91ED-43cb-92C2-25804820EDAC}">
                        <c15:formulaRef>
                          <c15:sqref>'Tables for Memorandum'!$K$19:$P$19</c15:sqref>
                        </c15:formulaRef>
                      </c:ext>
                    </c:extLst>
                    <c:numCache>
                      <c:formatCode>General</c:formatCode>
                      <c:ptCount val="5"/>
                      <c:pt idx="0">
                        <c:v>14.083</c:v>
                      </c:pt>
                      <c:pt idx="1">
                        <c:v>15.02</c:v>
                      </c:pt>
                      <c:pt idx="2">
                        <c:v>15.653</c:v>
                      </c:pt>
                      <c:pt idx="3" formatCode="0.000">
                        <c:v>15.1197</c:v>
                      </c:pt>
                      <c:pt idx="4" formatCode="0.000">
                        <c:v>15.026</c:v>
                      </c:pt>
                    </c:numCache>
                  </c:numRef>
                </c:val>
                <c:smooth val="0"/>
                <c:extLst>
                  <c:ext xmlns:c16="http://schemas.microsoft.com/office/drawing/2014/chart" uri="{C3380CC4-5D6E-409C-BE32-E72D297353CC}">
                    <c16:uniqueId val="{00000003-B513-46A2-BF48-ABA08EDCB042}"/>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'Tables for Memorandum'!$J$20</c15:sqref>
                        </c15:formulaRef>
                      </c:ext>
                    </c:extLst>
                    <c:strCache>
                      <c:ptCount val="1"/>
                      <c:pt idx="0">
                        <c:v>Income</c:v>
                      </c:pt>
                    </c:strCache>
                  </c:strRef>
                </c:tx>
                <c:spPr>
                  <a:ln w="28575" cap="rnd">
                    <a:solidFill>
                      <a:schemeClr val="accent2"/>
                    </a:solidFill>
                    <a:round/>
                  </a:ln>
                  <a:effectLst/>
                </c:spPr>
                <c:marker>
                  <c:symbol val="none"/>
                </c:marker>
                <c:cat>
                  <c:strRef>
                    <c:extLst xmlns:c15="http://schemas.microsoft.com/office/drawing/2012/chart">
                      <c:ext xmlns:c15="http://schemas.microsoft.com/office/drawing/2012/chart" uri="{02D57815-91ED-43cb-92C2-25804820EDAC}">
                        <c15:formulaRef>
                          <c15:sqref>'Tables for Memorandum'!$K$18:$P$18</c15:sqref>
                        </c15:formulaRef>
                      </c:ext>
                    </c:extLst>
                    <c:strCache>
                      <c:ptCount val="5"/>
                      <c:pt idx="0">
                        <c:v>2016/17 Outturn</c:v>
                      </c:pt>
                      <c:pt idx="1">
                        <c:v>2017/18 Outturn</c:v>
                      </c:pt>
                      <c:pt idx="2">
                        <c:v>2018/19 Outturn</c:v>
                      </c:pt>
                      <c:pt idx="3">
                        <c:v>2019/20 Forecast</c:v>
                      </c:pt>
                      <c:pt idx="4">
                        <c:v>2020/21 Planned</c:v>
                      </c:pt>
                    </c:strCache>
                  </c:strRef>
                </c:cat>
                <c:val>
                  <c:numRef>
                    <c:extLst xmlns:c15="http://schemas.microsoft.com/office/drawing/2012/chart">
                      <c:ext xmlns:c15="http://schemas.microsoft.com/office/drawing/2012/chart" uri="{02D57815-91ED-43cb-92C2-25804820EDAC}">
                        <c15:formulaRef>
                          <c15:sqref>'Tables for Memorandum'!$K$20:$P$20</c15:sqref>
                        </c15:formulaRef>
                      </c:ext>
                    </c:extLst>
                    <c:numCache>
                      <c:formatCode>General</c:formatCode>
                      <c:ptCount val="5"/>
                      <c:pt idx="0">
                        <c:v>0.35</c:v>
                      </c:pt>
                      <c:pt idx="1">
                        <c:v>0.34200000000000003</c:v>
                      </c:pt>
                      <c:pt idx="2">
                        <c:v>-0.78700000000000003</c:v>
                      </c:pt>
                      <c:pt idx="3" formatCode="0.000">
                        <c:v>-9.9699999999999997E-2</c:v>
                      </c:pt>
                      <c:pt idx="4" formatCode="0.000">
                        <c:v>-5.5E-2</c:v>
                      </c:pt>
                    </c:numCache>
                  </c:numRef>
                </c:val>
                <c:smooth val="0"/>
                <c:extLst xmlns:c15="http://schemas.microsoft.com/office/drawing/2012/chart">
                  <c:ext xmlns:c16="http://schemas.microsoft.com/office/drawing/2014/chart" uri="{C3380CC4-5D6E-409C-BE32-E72D297353CC}">
                    <c16:uniqueId val="{00000004-B513-46A2-BF48-ABA08EDCB042}"/>
                  </c:ext>
                </c:extLst>
              </c15:ser>
            </c15:filteredLineSeries>
          </c:ext>
        </c:extLst>
      </c:lineChart>
      <c:catAx>
        <c:axId val="40869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08697360"/>
        <c:crosses val="autoZero"/>
        <c:auto val="1"/>
        <c:lblAlgn val="ctr"/>
        <c:lblOffset val="100"/>
        <c:noMultiLvlLbl val="0"/>
      </c:catAx>
      <c:valAx>
        <c:axId val="408697360"/>
        <c:scaling>
          <c:orientation val="minMax"/>
          <c:min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 million</a:t>
                </a:r>
              </a:p>
            </c:rich>
          </c:tx>
          <c:layout>
            <c:manualLayout>
              <c:xMode val="edge"/>
              <c:yMode val="edge"/>
              <c:x val="7.9439551921294798E-3"/>
              <c:y val="0.3393904215297235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086993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4a87f12-a67a-4444-9ef2-9205ec373cbf">
      <UserInfo>
        <DisplayName>Chris Shadforth</DisplayName>
        <AccountId>61</AccountId>
        <AccountType/>
      </UserInfo>
      <UserInfo>
        <DisplayName>Michael Hanton</DisplayName>
        <AccountId>206</AccountId>
        <AccountType/>
      </UserInfo>
      <UserInfo>
        <DisplayName>Sean Pearce</DisplayName>
        <AccountId>7590</AccountId>
        <AccountType/>
      </UserInfo>
      <UserInfo>
        <DisplayName>Andy Lester</DisplayName>
        <AccountId>5483</AccountId>
        <AccountType/>
      </UserInfo>
    </SharedWithUsers>
    <_ip_UnifiedCompliancePolicyUIAction xmlns="http://schemas.microsoft.com/sharepoint/v3" xsi:nil="true"/>
    <IconOverlay xmlns="http://schemas.microsoft.com/sharepoint/v4" xsi:nil="true"/>
    <Description xmlns="http://schemas.microsoft.com/sharepoint/v3/fields" xsi:nil="true"/>
    <_ip_UnifiedCompliancePolicyProperties xmlns="http://schemas.microsoft.com/sharepoint/v3" xsi:nil="true"/>
    <ex5r xmlns="47a768c3-65f6-4f96-8895-e806d6b1b0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95B79B60067D4F8782C968801B0E20" ma:contentTypeVersion="28" ma:contentTypeDescription="Create a new document." ma:contentTypeScope="" ma:versionID="ebcb438e402c0211ffaeb8bd4aaacad9">
  <xsd:schema xmlns:xsd="http://www.w3.org/2001/XMLSchema" xmlns:xs="http://www.w3.org/2001/XMLSchema" xmlns:p="http://schemas.microsoft.com/office/2006/metadata/properties" xmlns:ns1="http://schemas.microsoft.com/sharepoint/v3" xmlns:ns2="http://schemas.microsoft.com/sharepoint/v3/fields" xmlns:ns3="a4a87f12-a67a-4444-9ef2-9205ec373cbf" xmlns:ns4="http://schemas.microsoft.com/sharepoint/v4" xmlns:ns5="47a768c3-65f6-4f96-8895-e806d6b1b076" xmlns:ns6="a1ec63a3-afdb-478c-96bc-cd5b572b27eb" targetNamespace="http://schemas.microsoft.com/office/2006/metadata/properties" ma:root="true" ma:fieldsID="b6a010aeeca921ecb71ad03eaa9c0a48" ns1:_="" ns2:_="" ns3:_="" ns4:_="" ns5:_="" ns6:_="">
    <xsd:import namespace="http://schemas.microsoft.com/sharepoint/v3"/>
    <xsd:import namespace="http://schemas.microsoft.com/sharepoint/v3/fields"/>
    <xsd:import namespace="a4a87f12-a67a-4444-9ef2-9205ec373cbf"/>
    <xsd:import namespace="http://schemas.microsoft.com/sharepoint/v4"/>
    <xsd:import namespace="47a768c3-65f6-4f96-8895-e806d6b1b076"/>
    <xsd:import namespace="a1ec63a3-afdb-478c-96bc-cd5b572b27eb"/>
    <xsd:element name="properties">
      <xsd:complexType>
        <xsd:sequence>
          <xsd:element name="documentManagement">
            <xsd:complexType>
              <xsd:all>
                <xsd:element ref="ns2:Description" minOccurs="0"/>
                <xsd:element ref="ns3:SharedWithUsers" minOccurs="0"/>
                <xsd:element ref="ns3:SharedWithDetails" minOccurs="0"/>
                <xsd:element ref="ns4:IconOverlay" minOccurs="0"/>
                <xsd:element ref="ns5:ex5r" minOccurs="0"/>
                <xsd:element ref="ns6:LastSharedByUser" minOccurs="0"/>
                <xsd:element ref="ns6:LastSharedByTime" minOccurs="0"/>
                <xsd:element ref="ns5:MediaServiceMetadata" minOccurs="0"/>
                <xsd:element ref="ns5:MediaServiceFastMetadata" minOccurs="0"/>
                <xsd:element ref="ns5:MediaServiceDateTaken" minOccurs="0"/>
                <xsd:element ref="ns5:MediaServiceAutoTags" minOccurs="0"/>
                <xsd:element ref="ns5:MediaServiceEventHashCode" minOccurs="0"/>
                <xsd:element ref="ns5:MediaServiceGenerationTime" minOccurs="0"/>
                <xsd:element ref="ns5:MediaServiceLocation" minOccurs="0"/>
                <xsd:element ref="ns5:MediaServiceOCR" minOccurs="0"/>
                <xsd:element ref="ns1:_ip_UnifiedCompliancePolicyProperties" minOccurs="0"/>
                <xsd:element ref="ns1:_ip_UnifiedCompliancePolicyUIAction"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escription" ma:index="5" nillable="true" ma:displayName="Description" ma:description="" ma:internalName="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a87f12-a67a-4444-9ef2-9205ec373cbf"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a768c3-65f6-4f96-8895-e806d6b1b076" elementFormDefault="qualified">
    <xsd:import namespace="http://schemas.microsoft.com/office/2006/documentManagement/types"/>
    <xsd:import namespace="http://schemas.microsoft.com/office/infopath/2007/PartnerControls"/>
    <xsd:element name="ex5r" ma:index="12" nillable="true" ma:displayName="Text" ma:internalName="ex5r">
      <xsd:simpleType>
        <xsd:restriction base="dms:Text"/>
      </xsd:simpleType>
    </xsd:element>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internalName="MediaServiceAutoTags"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Location" ma:index="21" nillable="true" ma:displayName="MediaServiceLocation" ma:internalName="MediaServiceLocation"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ec63a3-afdb-478c-96bc-cd5b572b27eb" elementFormDefault="qualified">
    <xsd:import namespace="http://schemas.microsoft.com/office/2006/documentManagement/types"/>
    <xsd:import namespace="http://schemas.microsoft.com/office/infopath/2007/PartnerControls"/>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783CB-23D7-4B0F-B4EE-B1096E771E5D}">
  <ds:schemaRefs>
    <ds:schemaRef ds:uri="http://schemas.microsoft.com/sharepoint/v3/contenttype/forms"/>
  </ds:schemaRefs>
</ds:datastoreItem>
</file>

<file path=customXml/itemProps2.xml><?xml version="1.0" encoding="utf-8"?>
<ds:datastoreItem xmlns:ds="http://schemas.openxmlformats.org/officeDocument/2006/customXml" ds:itemID="{38F30C08-7298-4512-9030-F4AE4CE4F31D}">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a4a87f12-a67a-4444-9ef2-9205ec373cbf"/>
    <ds:schemaRef ds:uri="a1ec63a3-afdb-478c-96bc-cd5b572b27eb"/>
    <ds:schemaRef ds:uri="47a768c3-65f6-4f96-8895-e806d6b1b076"/>
    <ds:schemaRef ds:uri="http://schemas.microsoft.com/sharepoint/v3/fields"/>
    <ds:schemaRef ds:uri="http://www.w3.org/XML/1998/namespace"/>
  </ds:schemaRefs>
</ds:datastoreItem>
</file>

<file path=customXml/itemProps3.xml><?xml version="1.0" encoding="utf-8"?>
<ds:datastoreItem xmlns:ds="http://schemas.openxmlformats.org/officeDocument/2006/customXml" ds:itemID="{E3AF5A87-7DDD-4B43-949D-F625B81B42BB}">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http://schemas.microsoft.com/sharepoint/v3/fields"/>
    <ds:schemaRef ds:uri="a4a87f12-a67a-4444-9ef2-9205ec373cbf"/>
    <ds:schemaRef ds:uri="http://schemas.microsoft.com/sharepoint/v4"/>
    <ds:schemaRef ds:uri="47a768c3-65f6-4f96-8895-e806d6b1b076"/>
    <ds:schemaRef ds:uri="a1ec63a3-afdb-478c-96bc-cd5b572b27eb"/>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137E17-E8A0-4EDF-9AC0-D919C6141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