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6.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744F7A" w:rsidP="00744F7A">
      <w:pPr>
        <w:spacing w:before="240"/>
        <w:rPr>
          <w:rFonts w:cs="Arial"/>
          <w:b/>
          <w:bCs/>
          <w:color w:val="17365D" w:themeColor="text2" w:themeShade="BF"/>
          <w:sz w:val="22"/>
          <w:szCs w:val="22"/>
        </w:rPr>
      </w:pPr>
      <w:r>
        <w:rPr>
          <w:rFonts w:cs="Arial"/>
          <w:b/>
          <w:bCs/>
          <w:noProof/>
          <w:color w:val="1F497D" w:themeColor="text2"/>
        </w:rPr>
        <w:drawing>
          <wp:inline distT="0" distB="0" distL="0" distR="0">
            <wp:extent cx="1347470" cy="1054735"/>
            <wp:effectExtent l="0" t="0" r="508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xmlns:r="http://schemas.openxmlformats.org/officeDocument/2006/relationships" r:embed="rId10">
                      <a:extLst>
                        <a:ext uri="{28A0092B-C50C-407E-A947-70E740481C1C}">
                          <a14:useLocalDpi xmlns:a14="http://schemas.microsoft.com/office/drawing/2010/main" val="0"/>
                        </a:ext>
                      </a:extLst>
                    </a:blip>
                    <a:srcRect/>
                    <a:stretch>
                      <a:fillRect/>
                    </a:stretch>
                  </pic:blipFill>
                  <pic:spPr bwMode="auto">
                    <a:xfrm>
                      <a:off x="0" y="0"/>
                      <a:ext cx="1347470" cy="1054735"/>
                    </a:xfrm>
                    <a:prstGeom prst="rect">
                      <a:avLst/>
                    </a:prstGeom>
                    <a:noFill/>
                  </pic:spPr>
                </pic:pic>
              </a:graphicData>
            </a:graphic>
          </wp:inline>
        </w:drawing>
      </w:r>
    </w:p>
    <w:p w:rsidR="00744F7A" w:rsidP="00744F7A">
      <w:pPr>
        <w:spacing w:before="240"/>
        <w:jc w:val="center"/>
        <w:rPr>
          <w:rFonts w:cs="Arial"/>
          <w:b/>
          <w:bCs/>
          <w:color w:val="17365D" w:themeColor="text2" w:themeShade="BF"/>
          <w:sz w:val="22"/>
          <w:szCs w:val="22"/>
        </w:rPr>
      </w:pPr>
    </w:p>
    <w:p w:rsidR="002A0B33" w:rsidP="00744F7A">
      <w:pPr>
        <w:spacing w:before="240"/>
        <w:jc w:val="center"/>
        <w:rPr>
          <w:rFonts w:cs="Arial"/>
          <w:b/>
          <w:bCs/>
          <w:color w:val="17365D" w:themeColor="text2" w:themeShade="BF"/>
          <w:sz w:val="22"/>
          <w:szCs w:val="22"/>
        </w:rPr>
      </w:pPr>
    </w:p>
    <w:p w:rsidR="002A0B33" w:rsidP="00744F7A">
      <w:pPr>
        <w:spacing w:before="240"/>
        <w:jc w:val="center"/>
        <w:rPr>
          <w:rFonts w:cs="Arial"/>
          <w:b/>
          <w:bCs/>
          <w:color w:val="17365D" w:themeColor="text2" w:themeShade="BF"/>
          <w:sz w:val="22"/>
          <w:szCs w:val="22"/>
        </w:rPr>
      </w:pPr>
    </w:p>
    <w:p w:rsidR="00744F7A" w:rsidP="00744F7A">
      <w:pPr>
        <w:spacing w:before="240"/>
        <w:jc w:val="center"/>
        <w:rPr>
          <w:rFonts w:cs="Arial"/>
          <w:b/>
          <w:bCs/>
          <w:color w:val="17365D" w:themeColor="text2" w:themeShade="BF"/>
          <w:sz w:val="22"/>
          <w:szCs w:val="22"/>
        </w:rPr>
      </w:pPr>
    </w:p>
    <w:p w:rsidR="00744F7A" w:rsidRPr="00565172" w:rsidP="00744F7A">
      <w:pPr>
        <w:spacing w:after="60" w:line="259" w:lineRule="auto"/>
        <w:jc w:val="center"/>
        <w:rPr>
          <w:rFonts w:cs="Arial"/>
          <w:b/>
          <w:bCs/>
          <w:sz w:val="28"/>
          <w:szCs w:val="28"/>
        </w:rPr>
      </w:pPr>
      <w:r w:rsidRPr="00565172">
        <w:rPr>
          <w:rFonts w:cs="Arial"/>
          <w:b/>
          <w:bCs/>
          <w:sz w:val="28"/>
          <w:szCs w:val="28"/>
        </w:rPr>
        <w:t>ESTIMATES MEMORANDUM</w:t>
      </w:r>
    </w:p>
    <w:p w:rsidR="00744F7A" w:rsidRPr="00565172" w:rsidP="00744F7A">
      <w:pPr>
        <w:spacing w:after="60" w:line="259" w:lineRule="auto"/>
        <w:jc w:val="center"/>
        <w:rPr>
          <w:rFonts w:cs="Arial"/>
          <w:b/>
          <w:bCs/>
          <w:sz w:val="28"/>
          <w:szCs w:val="28"/>
        </w:rPr>
      </w:pPr>
      <w:r w:rsidRPr="00565172">
        <w:rPr>
          <w:rFonts w:cs="Arial"/>
          <w:b/>
          <w:bCs/>
          <w:sz w:val="28"/>
          <w:szCs w:val="28"/>
        </w:rPr>
        <w:t>DEPARTMENT OF HEALTH AND SOCIAL CARE</w:t>
      </w:r>
    </w:p>
    <w:p w:rsidR="00744F7A" w:rsidRPr="00565172" w:rsidP="00744F7A">
      <w:pPr>
        <w:spacing w:after="160" w:line="259" w:lineRule="auto"/>
        <w:contextualSpacing/>
        <w:jc w:val="center"/>
        <w:rPr>
          <w:rFonts w:cs="Arial"/>
          <w:b/>
          <w:bCs/>
          <w:sz w:val="28"/>
          <w:szCs w:val="28"/>
        </w:rPr>
      </w:pPr>
      <w:r w:rsidRPr="00565172">
        <w:rPr>
          <w:rFonts w:cs="Arial"/>
          <w:b/>
          <w:bCs/>
          <w:sz w:val="28"/>
          <w:szCs w:val="28"/>
        </w:rPr>
        <w:t xml:space="preserve">2020-21 </w:t>
      </w:r>
      <w:r>
        <w:rPr>
          <w:rFonts w:cs="Arial"/>
          <w:b/>
          <w:bCs/>
          <w:sz w:val="28"/>
          <w:szCs w:val="28"/>
        </w:rPr>
        <w:t xml:space="preserve">SUPPLEMENTARY </w:t>
      </w:r>
      <w:r w:rsidRPr="00565172">
        <w:rPr>
          <w:rFonts w:cs="Arial"/>
          <w:b/>
          <w:bCs/>
          <w:sz w:val="28"/>
          <w:szCs w:val="28"/>
        </w:rPr>
        <w:t>ESTIMATE</w:t>
      </w:r>
    </w:p>
    <w:p w:rsidR="00744F7A" w:rsidRPr="00565172" w:rsidP="00744F7A">
      <w:pPr>
        <w:contextualSpacing/>
        <w:jc w:val="center"/>
        <w:rPr>
          <w:rFonts w:cs="Arial"/>
          <w:b/>
          <w:bCs/>
          <w:sz w:val="28"/>
          <w:szCs w:val="28"/>
        </w:rPr>
      </w:pPr>
    </w:p>
    <w:p w:rsidR="002A0B33" w:rsidP="002A0B33">
      <w:pPr>
        <w:keepNext/>
        <w:keepLines/>
        <w:rPr>
          <w:rFonts w:cs="Arial"/>
          <w:b/>
          <w:bCs/>
          <w:color w:val="17365D" w:themeColor="text2" w:themeShade="BF"/>
          <w:sz w:val="22"/>
          <w:szCs w:val="22"/>
        </w:rPr>
      </w:pPr>
      <w:r>
        <w:rPr>
          <w:rFonts w:cs="Arial"/>
          <w:b/>
          <w:bCs/>
          <w:color w:val="17365D" w:themeColor="text2" w:themeShade="BF"/>
          <w:sz w:val="22"/>
          <w:szCs w:val="22"/>
        </w:rPr>
        <w:br w:type="page"/>
      </w:r>
    </w:p>
    <w:sdt>
      <w:sdtPr>
        <w:rPr>
          <w:rFonts w:eastAsiaTheme="minorEastAsia" w:cs="Arial"/>
          <w:sz w:val="22"/>
          <w:szCs w:val="22"/>
          <w:lang w:val="en-US" w:eastAsia="en-US"/>
        </w:rPr>
        <w:id w:val="-133187863"/>
        <w:docPartObj>
          <w:docPartGallery w:val="Table of Contents"/>
          <w:docPartUnique/>
        </w:docPartObj>
      </w:sdtPr>
      <w:sdtContent>
        <w:p w:rsidR="00700D1B" w:rsidRPr="00866B2B" w:rsidP="002A0B33">
          <w:pPr>
            <w:rPr>
              <w:rFonts w:eastAsiaTheme="majorEastAsia" w:cs="Arial"/>
              <w:b/>
              <w:color w:val="FF0000"/>
              <w:sz w:val="16"/>
              <w:szCs w:val="16"/>
              <w:lang w:val="en-US" w:eastAsia="en-US"/>
            </w:rPr>
          </w:pPr>
          <w:r w:rsidRPr="00565172">
            <w:rPr>
              <w:rFonts w:eastAsiaTheme="majorEastAsia" w:cs="Arial"/>
              <w:b/>
              <w:lang w:val="en-US" w:eastAsia="en-US"/>
            </w:rPr>
            <w:t>TABLE OF CONTENTS</w:t>
          </w:r>
        </w:p>
        <w:p w:rsidR="00700D1B" w:rsidRPr="00565172" w:rsidP="00700D1B">
          <w:pPr>
            <w:keepNext/>
            <w:keepLines/>
            <w:rPr>
              <w:rFonts w:eastAsiaTheme="majorEastAsia" w:cs="Arial"/>
              <w:b/>
              <w:lang w:val="en-US" w:eastAsia="en-US"/>
            </w:rPr>
          </w:pPr>
        </w:p>
        <w:p w:rsidR="00700D1B" w:rsidRPr="00565172" w:rsidP="00700D1B">
          <w:pPr>
            <w:numPr>
              <w:ilvl w:val="0"/>
              <w:numId w:val="14"/>
            </w:numPr>
            <w:spacing w:after="100"/>
            <w:rPr>
              <w:rFonts w:eastAsiaTheme="minorEastAsia" w:cs="Arial"/>
              <w:sz w:val="22"/>
              <w:szCs w:val="22"/>
              <w:lang w:val="en-US" w:eastAsia="en-US"/>
            </w:rPr>
          </w:pPr>
          <w:r w:rsidRPr="00565172">
            <w:rPr>
              <w:rFonts w:eastAsiaTheme="minorEastAsia" w:cs="Arial"/>
              <w:b/>
              <w:bCs/>
              <w:sz w:val="22"/>
              <w:szCs w:val="22"/>
              <w:lang w:val="en-US" w:eastAsia="en-US"/>
            </w:rPr>
            <w:t>Overview</w:t>
          </w:r>
          <w:r>
            <w:ptab w:relativeTo="margin" w:alignment="right" w:leader="dot"/>
          </w:r>
          <w:r w:rsidR="00D071B3">
            <w:rPr>
              <w:rFonts w:eastAsiaTheme="minorEastAsia" w:cs="Arial"/>
              <w:bCs/>
              <w:sz w:val="22"/>
              <w:szCs w:val="22"/>
              <w:lang w:val="en-US" w:eastAsia="en-US"/>
            </w:rPr>
            <w:t>3</w:t>
          </w:r>
        </w:p>
        <w:p w:rsidR="00700D1B" w:rsidRPr="00565172" w:rsidP="00700D1B">
          <w:pPr>
            <w:spacing w:after="100"/>
            <w:ind w:left="720"/>
            <w:rPr>
              <w:rFonts w:eastAsiaTheme="minorEastAsia" w:cs="Arial"/>
              <w:sz w:val="22"/>
              <w:szCs w:val="22"/>
              <w:lang w:val="en-US" w:eastAsia="en-US"/>
            </w:rPr>
          </w:pPr>
          <w:r w:rsidRPr="00565172">
            <w:rPr>
              <w:rFonts w:eastAsiaTheme="minorEastAsia" w:cs="Arial"/>
              <w:sz w:val="22"/>
              <w:szCs w:val="22"/>
              <w:lang w:val="en-US" w:eastAsia="en-US"/>
            </w:rPr>
            <w:t>1.1 Objectives</w:t>
          </w:r>
          <w:r>
            <w:ptab w:relativeTo="margin" w:alignment="right" w:leader="dot"/>
          </w:r>
          <w:r w:rsidR="00D071B3">
            <w:rPr>
              <w:rFonts w:eastAsiaTheme="minorEastAsia" w:cs="Arial"/>
              <w:sz w:val="22"/>
              <w:szCs w:val="22"/>
              <w:lang w:val="en-US" w:eastAsia="en-US"/>
            </w:rPr>
            <w:t>3</w:t>
          </w:r>
        </w:p>
        <w:p w:rsidR="00700D1B" w:rsidRPr="00565172" w:rsidP="00700D1B">
          <w:pPr>
            <w:spacing w:after="100"/>
            <w:ind w:left="720"/>
            <w:rPr>
              <w:rFonts w:eastAsiaTheme="minorEastAsia" w:cs="Arial"/>
              <w:sz w:val="22"/>
              <w:szCs w:val="22"/>
              <w:lang w:val="en-US" w:eastAsia="en-US"/>
            </w:rPr>
          </w:pPr>
          <w:r w:rsidRPr="00565172">
            <w:rPr>
              <w:rFonts w:eastAsiaTheme="minorEastAsia" w:cs="Arial"/>
              <w:sz w:val="22"/>
              <w:szCs w:val="22"/>
              <w:lang w:val="en-US" w:eastAsia="en-US"/>
            </w:rPr>
            <w:t>1.2 Spending Controls</w:t>
          </w:r>
          <w:r>
            <w:ptab w:relativeTo="margin" w:alignment="right" w:leader="dot"/>
          </w:r>
          <w:r w:rsidR="00D071B3">
            <w:rPr>
              <w:rFonts w:eastAsiaTheme="minorEastAsia" w:cs="Arial"/>
              <w:sz w:val="22"/>
              <w:szCs w:val="22"/>
              <w:lang w:val="en-US" w:eastAsia="en-US"/>
            </w:rPr>
            <w:t>3</w:t>
          </w:r>
        </w:p>
        <w:p w:rsidR="00700D1B" w:rsidRPr="00565172" w:rsidP="00700D1B">
          <w:pPr>
            <w:spacing w:after="100"/>
            <w:ind w:left="720"/>
            <w:rPr>
              <w:rFonts w:eastAsiaTheme="minorEastAsia" w:cs="Arial"/>
              <w:sz w:val="22"/>
              <w:szCs w:val="22"/>
              <w:lang w:val="en-US" w:eastAsia="en-US"/>
            </w:rPr>
          </w:pPr>
          <w:r w:rsidRPr="00565172">
            <w:rPr>
              <w:rFonts w:eastAsiaTheme="minorEastAsia" w:cs="Arial"/>
              <w:sz w:val="22"/>
              <w:szCs w:val="22"/>
              <w:lang w:val="en-US" w:eastAsia="en-US"/>
            </w:rPr>
            <w:t>1.3 Main Areas of Spending</w:t>
          </w:r>
          <w:r>
            <w:ptab w:relativeTo="margin" w:alignment="right" w:leader="dot"/>
          </w:r>
          <w:r w:rsidR="00D071B3">
            <w:rPr>
              <w:rFonts w:eastAsiaTheme="minorEastAsia" w:cs="Arial"/>
              <w:sz w:val="22"/>
              <w:szCs w:val="22"/>
              <w:lang w:val="en-US" w:eastAsia="en-US"/>
            </w:rPr>
            <w:t>4</w:t>
          </w:r>
        </w:p>
        <w:p w:rsidR="00700D1B" w:rsidRPr="00565172" w:rsidP="00700D1B">
          <w:pPr>
            <w:spacing w:after="100"/>
            <w:ind w:left="720"/>
            <w:rPr>
              <w:rFonts w:eastAsiaTheme="minorEastAsia" w:cs="Arial"/>
              <w:sz w:val="22"/>
              <w:szCs w:val="22"/>
              <w:lang w:val="en-US" w:eastAsia="en-US"/>
            </w:rPr>
          </w:pPr>
          <w:r w:rsidRPr="00565172">
            <w:rPr>
              <w:rFonts w:eastAsiaTheme="minorEastAsia" w:cs="Arial"/>
              <w:sz w:val="22"/>
              <w:szCs w:val="22"/>
              <w:lang w:val="en-US" w:eastAsia="en-US"/>
            </w:rPr>
            <w:t>1.4 Comparison of Spending Totals Sought</w:t>
          </w:r>
          <w:r>
            <w:ptab w:relativeTo="margin" w:alignment="right" w:leader="dot"/>
          </w:r>
          <w:r w:rsidR="00D071B3">
            <w:rPr>
              <w:rFonts w:eastAsiaTheme="minorEastAsia" w:cs="Arial"/>
              <w:sz w:val="22"/>
              <w:szCs w:val="22"/>
              <w:lang w:val="en-US" w:eastAsia="en-US"/>
            </w:rPr>
            <w:t>6</w:t>
          </w:r>
        </w:p>
        <w:p w:rsidR="00700D1B" w:rsidRPr="00565172" w:rsidP="00700D1B">
          <w:pPr>
            <w:spacing w:after="100"/>
            <w:ind w:left="720"/>
            <w:rPr>
              <w:rFonts w:eastAsiaTheme="minorEastAsia" w:cs="Arial"/>
              <w:sz w:val="22"/>
              <w:szCs w:val="22"/>
              <w:lang w:val="en-US" w:eastAsia="en-US"/>
            </w:rPr>
          </w:pPr>
          <w:r w:rsidRPr="00565172">
            <w:rPr>
              <w:rFonts w:eastAsiaTheme="minorEastAsia" w:cs="Arial"/>
              <w:sz w:val="22"/>
              <w:szCs w:val="22"/>
              <w:lang w:val="en-US" w:eastAsia="en-US"/>
            </w:rPr>
            <w:t>1.5 Key Drivers of Spending Changes Since Last Year</w:t>
          </w:r>
          <w:r>
            <w:ptab w:relativeTo="margin" w:alignment="right" w:leader="dot"/>
          </w:r>
          <w:r w:rsidR="006C00B6">
            <w:rPr>
              <w:rFonts w:eastAsiaTheme="minorEastAsia" w:cs="Arial"/>
              <w:sz w:val="22"/>
              <w:szCs w:val="22"/>
              <w:lang w:val="en-US" w:eastAsia="en-US"/>
            </w:rPr>
            <w:t>6</w:t>
          </w:r>
        </w:p>
        <w:p w:rsidR="00700D1B" w:rsidRPr="00565172" w:rsidP="00700D1B">
          <w:pPr>
            <w:spacing w:after="100"/>
            <w:ind w:left="720"/>
            <w:rPr>
              <w:rFonts w:eastAsiaTheme="minorEastAsia" w:cs="Arial"/>
              <w:sz w:val="22"/>
              <w:szCs w:val="22"/>
              <w:lang w:val="en-US" w:eastAsia="en-US"/>
            </w:rPr>
          </w:pPr>
          <w:r w:rsidRPr="00565172">
            <w:rPr>
              <w:rFonts w:eastAsiaTheme="minorEastAsia" w:cs="Arial"/>
              <w:sz w:val="22"/>
              <w:szCs w:val="22"/>
              <w:lang w:val="en-US" w:eastAsia="en-US"/>
            </w:rPr>
            <w:t xml:space="preserve">1.6 New Policies and </w:t>
          </w:r>
          <w:r w:rsidRPr="00565172">
            <w:rPr>
              <w:rFonts w:eastAsia="Calibri" w:cs="Arial"/>
              <w:sz w:val="22"/>
              <w:szCs w:val="22"/>
            </w:rPr>
            <w:t>Programmes</w:t>
          </w:r>
          <w:r w:rsidRPr="00565172">
            <w:rPr>
              <w:rFonts w:eastAsia="Calibri" w:cs="Arial"/>
              <w:b/>
              <w:sz w:val="22"/>
              <w:szCs w:val="22"/>
            </w:rPr>
            <w:t xml:space="preserve"> </w:t>
          </w:r>
          <w:r>
            <w:ptab w:relativeTo="margin" w:alignment="right" w:leader="dot"/>
          </w:r>
          <w:r w:rsidR="006C00B6">
            <w:rPr>
              <w:rFonts w:eastAsiaTheme="minorEastAsia" w:cs="Arial"/>
              <w:sz w:val="22"/>
              <w:szCs w:val="22"/>
              <w:lang w:val="en-US" w:eastAsia="en-US"/>
            </w:rPr>
            <w:t>6</w:t>
          </w:r>
          <w:r w:rsidRPr="00565172">
            <w:rPr>
              <w:rFonts w:eastAsiaTheme="minorEastAsia" w:cs="Arial"/>
              <w:sz w:val="22"/>
              <w:szCs w:val="22"/>
              <w:lang w:val="en-US" w:eastAsia="en-US"/>
            </w:rPr>
            <w:t xml:space="preserve">  </w:t>
          </w:r>
        </w:p>
        <w:p w:rsidR="00700D1B" w:rsidRPr="00565172" w:rsidP="00700D1B">
          <w:pPr>
            <w:spacing w:after="100"/>
            <w:ind w:left="720"/>
            <w:rPr>
              <w:rFonts w:eastAsiaTheme="minorEastAsia" w:cs="Arial"/>
              <w:sz w:val="22"/>
              <w:szCs w:val="22"/>
              <w:lang w:val="en-US" w:eastAsia="en-US"/>
            </w:rPr>
          </w:pPr>
          <w:r w:rsidRPr="00565172">
            <w:rPr>
              <w:rFonts w:eastAsiaTheme="minorEastAsia" w:cs="Arial"/>
              <w:sz w:val="22"/>
              <w:szCs w:val="22"/>
              <w:lang w:val="en-US" w:eastAsia="en-US"/>
            </w:rPr>
            <w:t>1.7 Spending Trends</w:t>
          </w:r>
          <w:r>
            <w:ptab w:relativeTo="margin" w:alignment="right" w:leader="dot"/>
          </w:r>
          <w:r w:rsidR="006C00B6">
            <w:rPr>
              <w:rFonts w:eastAsiaTheme="minorEastAsia" w:cs="Arial"/>
              <w:sz w:val="22"/>
              <w:szCs w:val="22"/>
              <w:lang w:val="en-US" w:eastAsia="en-US"/>
            </w:rPr>
            <w:t>7</w:t>
          </w:r>
        </w:p>
        <w:p w:rsidR="00700D1B" w:rsidRPr="00565172" w:rsidP="00700D1B">
          <w:pPr>
            <w:spacing w:after="100"/>
            <w:ind w:left="720"/>
            <w:rPr>
              <w:rFonts w:eastAsiaTheme="minorEastAsia" w:cs="Arial"/>
              <w:sz w:val="22"/>
              <w:szCs w:val="22"/>
              <w:lang w:val="en-US" w:eastAsia="en-US"/>
            </w:rPr>
          </w:pPr>
          <w:r w:rsidRPr="00565172">
            <w:rPr>
              <w:rFonts w:eastAsiaTheme="minorEastAsia" w:cs="Arial"/>
              <w:sz w:val="22"/>
              <w:szCs w:val="22"/>
              <w:lang w:val="en-US" w:eastAsia="en-US"/>
            </w:rPr>
            <w:t>1.8 Funding: Spending Review and Budgets and other spending announcements</w:t>
          </w:r>
          <w:r>
            <w:ptab w:relativeTo="margin" w:alignment="right" w:leader="dot"/>
          </w:r>
          <w:r w:rsidR="006C00B6">
            <w:rPr>
              <w:rFonts w:eastAsiaTheme="minorEastAsia" w:cs="Arial"/>
              <w:sz w:val="22"/>
              <w:szCs w:val="22"/>
              <w:lang w:val="en-US" w:eastAsia="en-US"/>
            </w:rPr>
            <w:t>9</w:t>
          </w:r>
        </w:p>
        <w:p w:rsidR="00700D1B" w:rsidRPr="00565172" w:rsidP="00700D1B">
          <w:pPr>
            <w:numPr>
              <w:ilvl w:val="0"/>
              <w:numId w:val="14"/>
            </w:numPr>
            <w:spacing w:after="100"/>
            <w:rPr>
              <w:rFonts w:eastAsiaTheme="minorEastAsia" w:cs="Arial"/>
              <w:b/>
              <w:bCs/>
              <w:sz w:val="22"/>
              <w:szCs w:val="22"/>
              <w:lang w:val="en-US" w:eastAsia="en-US"/>
            </w:rPr>
          </w:pPr>
          <w:r w:rsidRPr="00565172">
            <w:rPr>
              <w:rFonts w:eastAsiaTheme="minorEastAsia" w:cs="Arial"/>
              <w:b/>
              <w:sz w:val="22"/>
              <w:szCs w:val="22"/>
              <w:lang w:val="en-US" w:eastAsia="en-US"/>
            </w:rPr>
            <w:t>Spending Detail</w:t>
          </w:r>
          <w:r>
            <w:ptab w:relativeTo="margin" w:alignment="right" w:leader="dot"/>
          </w:r>
          <w:r w:rsidRPr="00565172">
            <w:rPr>
              <w:rFonts w:eastAsiaTheme="minorEastAsia" w:cs="Arial"/>
              <w:sz w:val="22"/>
              <w:szCs w:val="22"/>
              <w:lang w:val="en-US" w:eastAsia="en-US"/>
            </w:rPr>
            <w:t>1</w:t>
          </w:r>
          <w:r w:rsidR="006C00B6">
            <w:rPr>
              <w:rFonts w:eastAsiaTheme="minorEastAsia" w:cs="Arial"/>
              <w:sz w:val="22"/>
              <w:szCs w:val="22"/>
              <w:lang w:val="en-US" w:eastAsia="en-US"/>
            </w:rPr>
            <w:t>4</w:t>
          </w:r>
        </w:p>
        <w:p w:rsidR="00700D1B" w:rsidRPr="00565172" w:rsidP="00700D1B">
          <w:pPr>
            <w:spacing w:after="100"/>
            <w:ind w:left="720"/>
            <w:rPr>
              <w:rFonts w:eastAsiaTheme="minorEastAsia" w:cs="Arial"/>
              <w:sz w:val="22"/>
              <w:szCs w:val="22"/>
              <w:lang w:val="en-US" w:eastAsia="en-US"/>
            </w:rPr>
          </w:pPr>
          <w:r w:rsidRPr="00565172">
            <w:rPr>
              <w:rFonts w:eastAsiaTheme="minorEastAsia" w:cs="Arial"/>
              <w:sz w:val="22"/>
              <w:szCs w:val="22"/>
              <w:lang w:val="en-US" w:eastAsia="en-US"/>
            </w:rPr>
            <w:t>2.1 Resource DEL</w:t>
          </w:r>
          <w:r>
            <w:ptab w:relativeTo="margin" w:alignment="right" w:leader="dot"/>
          </w:r>
          <w:r w:rsidRPr="00565172">
            <w:rPr>
              <w:rFonts w:eastAsiaTheme="minorEastAsia" w:cs="Arial"/>
              <w:sz w:val="22"/>
              <w:szCs w:val="22"/>
              <w:lang w:val="en-US" w:eastAsia="en-US"/>
            </w:rPr>
            <w:t>1</w:t>
          </w:r>
          <w:r w:rsidR="006C00B6">
            <w:rPr>
              <w:rFonts w:eastAsiaTheme="minorEastAsia" w:cs="Arial"/>
              <w:sz w:val="22"/>
              <w:szCs w:val="22"/>
              <w:lang w:val="en-US" w:eastAsia="en-US"/>
            </w:rPr>
            <w:t>4</w:t>
          </w:r>
        </w:p>
        <w:p w:rsidR="00700D1B" w:rsidRPr="00565172" w:rsidP="00700D1B">
          <w:pPr>
            <w:spacing w:after="100"/>
            <w:ind w:left="720"/>
            <w:rPr>
              <w:rFonts w:eastAsiaTheme="minorEastAsia" w:cs="Arial"/>
              <w:sz w:val="22"/>
              <w:szCs w:val="22"/>
              <w:lang w:val="en-US" w:eastAsia="en-US"/>
            </w:rPr>
          </w:pPr>
          <w:r w:rsidRPr="00565172">
            <w:rPr>
              <w:rFonts w:eastAsiaTheme="minorEastAsia" w:cs="Arial"/>
              <w:sz w:val="22"/>
              <w:szCs w:val="22"/>
              <w:lang w:val="en-US" w:eastAsia="en-US"/>
            </w:rPr>
            <w:t>2.2 Capital DEL</w:t>
          </w:r>
          <w:r>
            <w:ptab w:relativeTo="margin" w:alignment="right" w:leader="dot"/>
          </w:r>
          <w:r w:rsidRPr="00565172">
            <w:rPr>
              <w:rFonts w:eastAsiaTheme="minorEastAsia" w:cs="Arial"/>
              <w:sz w:val="22"/>
              <w:szCs w:val="22"/>
              <w:lang w:val="en-US" w:eastAsia="en-US"/>
            </w:rPr>
            <w:t>1</w:t>
          </w:r>
          <w:r w:rsidR="006C00B6">
            <w:rPr>
              <w:rFonts w:eastAsiaTheme="minorEastAsia" w:cs="Arial"/>
              <w:sz w:val="22"/>
              <w:szCs w:val="22"/>
              <w:lang w:val="en-US" w:eastAsia="en-US"/>
            </w:rPr>
            <w:t>6</w:t>
          </w:r>
        </w:p>
        <w:p w:rsidR="00700D1B" w:rsidRPr="00565172" w:rsidP="00700D1B">
          <w:pPr>
            <w:spacing w:after="100"/>
            <w:ind w:left="720"/>
            <w:rPr>
              <w:rFonts w:eastAsiaTheme="minorEastAsia" w:cs="Arial"/>
              <w:sz w:val="22"/>
              <w:szCs w:val="22"/>
              <w:lang w:val="en-US" w:eastAsia="en-US"/>
            </w:rPr>
          </w:pPr>
          <w:r w:rsidRPr="00565172">
            <w:rPr>
              <w:rFonts w:eastAsiaTheme="minorEastAsia" w:cs="Arial"/>
              <w:sz w:val="22"/>
              <w:szCs w:val="22"/>
              <w:lang w:val="en-US" w:eastAsia="en-US"/>
            </w:rPr>
            <w:t>2.3 Resource AME</w:t>
          </w:r>
          <w:r>
            <w:ptab w:relativeTo="margin" w:alignment="right" w:leader="dot"/>
          </w:r>
          <w:r w:rsidRPr="00565172">
            <w:rPr>
              <w:rFonts w:eastAsiaTheme="minorEastAsia" w:cs="Arial"/>
              <w:sz w:val="22"/>
              <w:szCs w:val="22"/>
              <w:lang w:val="en-US" w:eastAsia="en-US"/>
            </w:rPr>
            <w:t>1</w:t>
          </w:r>
          <w:r w:rsidR="006C00B6">
            <w:rPr>
              <w:rFonts w:eastAsiaTheme="minorEastAsia" w:cs="Arial"/>
              <w:sz w:val="22"/>
              <w:szCs w:val="22"/>
              <w:lang w:val="en-US" w:eastAsia="en-US"/>
            </w:rPr>
            <w:t>7</w:t>
          </w:r>
        </w:p>
        <w:p w:rsidR="00700D1B" w:rsidRPr="00565172" w:rsidP="00700D1B">
          <w:pPr>
            <w:spacing w:after="100"/>
            <w:ind w:left="720"/>
            <w:rPr>
              <w:rFonts w:eastAsiaTheme="minorEastAsia" w:cs="Arial"/>
              <w:sz w:val="22"/>
              <w:szCs w:val="22"/>
              <w:lang w:val="en-US" w:eastAsia="en-US"/>
            </w:rPr>
          </w:pPr>
          <w:r w:rsidRPr="00565172">
            <w:rPr>
              <w:rFonts w:eastAsiaTheme="minorEastAsia" w:cs="Arial"/>
              <w:sz w:val="22"/>
              <w:szCs w:val="22"/>
              <w:lang w:val="en-US" w:eastAsia="en-US"/>
            </w:rPr>
            <w:t>2.4 Ring Fenced Budgets</w:t>
          </w:r>
          <w:r>
            <w:ptab w:relativeTo="margin" w:alignment="right" w:leader="dot"/>
          </w:r>
          <w:r w:rsidRPr="00565172">
            <w:rPr>
              <w:rFonts w:eastAsiaTheme="minorEastAsia" w:cs="Arial"/>
              <w:sz w:val="22"/>
              <w:szCs w:val="22"/>
              <w:lang w:val="en-US" w:eastAsia="en-US"/>
            </w:rPr>
            <w:t>1</w:t>
          </w:r>
          <w:r w:rsidR="006C00B6">
            <w:rPr>
              <w:rFonts w:eastAsiaTheme="minorEastAsia" w:cs="Arial"/>
              <w:sz w:val="22"/>
              <w:szCs w:val="22"/>
              <w:lang w:val="en-US" w:eastAsia="en-US"/>
            </w:rPr>
            <w:t>8</w:t>
          </w:r>
        </w:p>
        <w:p w:rsidR="00700D1B" w:rsidRPr="00565172" w:rsidP="00700D1B">
          <w:pPr>
            <w:spacing w:after="100"/>
            <w:ind w:left="720"/>
            <w:rPr>
              <w:rFonts w:eastAsiaTheme="minorEastAsia" w:cs="Arial"/>
              <w:sz w:val="22"/>
              <w:szCs w:val="22"/>
              <w:lang w:val="en-US" w:eastAsia="en-US"/>
            </w:rPr>
          </w:pPr>
          <w:r w:rsidRPr="00565172">
            <w:rPr>
              <w:rFonts w:eastAsiaTheme="minorEastAsia" w:cs="Arial"/>
              <w:sz w:val="22"/>
              <w:szCs w:val="22"/>
              <w:lang w:val="en-US" w:eastAsia="en-US"/>
            </w:rPr>
            <w:t>2.5 Changes to Contingent Liabilities</w:t>
          </w:r>
          <w:r>
            <w:ptab w:relativeTo="margin" w:alignment="right" w:leader="dot"/>
          </w:r>
          <w:r w:rsidR="006C00B6">
            <w:rPr>
              <w:rFonts w:eastAsiaTheme="minorEastAsia" w:cs="Arial"/>
              <w:sz w:val="22"/>
              <w:szCs w:val="22"/>
              <w:lang w:val="en-US" w:eastAsia="en-US"/>
            </w:rPr>
            <w:t>18</w:t>
          </w:r>
        </w:p>
        <w:p w:rsidR="00700D1B" w:rsidRPr="00565172" w:rsidP="00700D1B">
          <w:pPr>
            <w:numPr>
              <w:ilvl w:val="0"/>
              <w:numId w:val="14"/>
            </w:numPr>
            <w:spacing w:after="100"/>
            <w:rPr>
              <w:rFonts w:eastAsiaTheme="minorEastAsia" w:cs="Arial"/>
              <w:b/>
              <w:bCs/>
              <w:sz w:val="22"/>
              <w:szCs w:val="22"/>
              <w:lang w:val="en-US" w:eastAsia="en-US"/>
            </w:rPr>
          </w:pPr>
          <w:r w:rsidRPr="00565172">
            <w:rPr>
              <w:rFonts w:eastAsiaTheme="minorEastAsia" w:cs="Arial"/>
              <w:b/>
              <w:bCs/>
              <w:sz w:val="22"/>
              <w:szCs w:val="22"/>
              <w:lang w:val="en-US" w:eastAsia="en-US"/>
            </w:rPr>
            <w:t>Priorities and Performance</w:t>
          </w:r>
          <w:r>
            <w:ptab w:relativeTo="margin" w:alignment="right" w:leader="dot"/>
          </w:r>
          <w:r w:rsidR="006C00B6">
            <w:rPr>
              <w:rFonts w:eastAsiaTheme="minorEastAsia" w:cs="Arial"/>
              <w:bCs/>
              <w:sz w:val="22"/>
              <w:szCs w:val="22"/>
              <w:lang w:val="en-US" w:eastAsia="en-US"/>
            </w:rPr>
            <w:t>20</w:t>
          </w:r>
        </w:p>
        <w:p w:rsidR="00700D1B" w:rsidRPr="00565172" w:rsidP="00700D1B">
          <w:pPr>
            <w:spacing w:after="100"/>
            <w:ind w:left="720"/>
            <w:rPr>
              <w:rFonts w:eastAsiaTheme="minorEastAsia" w:cs="Arial"/>
              <w:sz w:val="22"/>
              <w:szCs w:val="22"/>
              <w:lang w:val="en-US" w:eastAsia="en-US"/>
            </w:rPr>
          </w:pPr>
          <w:r w:rsidRPr="00565172">
            <w:rPr>
              <w:rFonts w:eastAsiaTheme="minorEastAsia" w:cs="Arial"/>
              <w:sz w:val="22"/>
              <w:szCs w:val="22"/>
              <w:lang w:val="en-US" w:eastAsia="en-US"/>
            </w:rPr>
            <w:t>3.1 Major Projects</w:t>
          </w:r>
          <w:r>
            <w:ptab w:relativeTo="margin" w:alignment="right" w:leader="dot"/>
          </w:r>
          <w:r w:rsidR="006C00B6">
            <w:rPr>
              <w:rFonts w:eastAsiaTheme="minorEastAsia" w:cs="Arial"/>
              <w:sz w:val="22"/>
              <w:szCs w:val="22"/>
              <w:lang w:val="en-US" w:eastAsia="en-US"/>
            </w:rPr>
            <w:t>20</w:t>
          </w:r>
        </w:p>
        <w:p w:rsidR="00700D1B" w:rsidRPr="00565172" w:rsidP="00700D1B">
          <w:pPr>
            <w:numPr>
              <w:ilvl w:val="0"/>
              <w:numId w:val="14"/>
            </w:numPr>
            <w:spacing w:after="100"/>
            <w:rPr>
              <w:rFonts w:eastAsiaTheme="minorEastAsia" w:cs="Arial"/>
              <w:sz w:val="22"/>
              <w:szCs w:val="22"/>
              <w:lang w:val="en-US" w:eastAsia="en-US"/>
            </w:rPr>
          </w:pPr>
          <w:r w:rsidRPr="00565172">
            <w:rPr>
              <w:rFonts w:eastAsiaTheme="minorEastAsia" w:cs="Arial"/>
              <w:b/>
              <w:bCs/>
              <w:sz w:val="22"/>
              <w:szCs w:val="22"/>
              <w:lang w:val="en-US" w:eastAsia="en-US"/>
            </w:rPr>
            <w:t>Other Information</w:t>
          </w:r>
          <w:r>
            <w:ptab w:relativeTo="margin" w:alignment="right" w:leader="dot"/>
          </w:r>
          <w:r w:rsidR="006C00B6">
            <w:rPr>
              <w:rFonts w:eastAsiaTheme="minorEastAsia" w:cs="Arial"/>
              <w:bCs/>
              <w:sz w:val="22"/>
              <w:szCs w:val="22"/>
              <w:lang w:val="en-US" w:eastAsia="en-US"/>
            </w:rPr>
            <w:t>21</w:t>
          </w:r>
        </w:p>
        <w:p w:rsidR="00700D1B" w:rsidRPr="00565172" w:rsidP="00700D1B">
          <w:pPr>
            <w:spacing w:after="100"/>
            <w:ind w:left="720"/>
            <w:rPr>
              <w:rFonts w:eastAsiaTheme="minorEastAsia" w:cs="Arial"/>
              <w:sz w:val="22"/>
              <w:szCs w:val="22"/>
              <w:lang w:val="en-US" w:eastAsia="en-US"/>
            </w:rPr>
          </w:pPr>
          <w:r w:rsidRPr="00565172">
            <w:rPr>
              <w:rFonts w:eastAsiaTheme="minorEastAsia" w:cs="Arial"/>
              <w:sz w:val="22"/>
              <w:szCs w:val="22"/>
              <w:lang w:val="en-US" w:eastAsia="en-US"/>
            </w:rPr>
            <w:t>4.1 NHS England</w:t>
          </w:r>
          <w:r>
            <w:ptab w:relativeTo="margin" w:alignment="right" w:leader="dot"/>
          </w:r>
          <w:r w:rsidR="006C00B6">
            <w:rPr>
              <w:rFonts w:eastAsiaTheme="minorEastAsia" w:cs="Arial"/>
              <w:sz w:val="22"/>
              <w:szCs w:val="22"/>
              <w:lang w:val="en-US" w:eastAsia="en-US"/>
            </w:rPr>
            <w:t>21</w:t>
          </w:r>
        </w:p>
        <w:p w:rsidR="00700D1B" w:rsidRPr="00565172" w:rsidP="00700D1B">
          <w:pPr>
            <w:spacing w:after="100"/>
            <w:ind w:left="720"/>
            <w:rPr>
              <w:rFonts w:eastAsiaTheme="minorEastAsia" w:cs="Arial"/>
              <w:sz w:val="22"/>
              <w:szCs w:val="22"/>
              <w:lang w:val="en-US" w:eastAsia="en-US"/>
            </w:rPr>
          </w:pPr>
          <w:r w:rsidRPr="00565172">
            <w:rPr>
              <w:rFonts w:eastAsiaTheme="minorEastAsia" w:cs="Arial"/>
              <w:sz w:val="22"/>
              <w:szCs w:val="22"/>
              <w:lang w:val="en-US" w:eastAsia="en-US"/>
            </w:rPr>
            <w:t>4.2 DHSC Inter-Group Transactions</w:t>
          </w:r>
          <w:r>
            <w:ptab w:relativeTo="margin" w:alignment="right" w:leader="dot"/>
          </w:r>
          <w:r w:rsidR="006C00B6">
            <w:rPr>
              <w:rFonts w:eastAsiaTheme="minorEastAsia" w:cs="Arial"/>
              <w:sz w:val="22"/>
              <w:szCs w:val="22"/>
              <w:lang w:val="en-US" w:eastAsia="en-US"/>
            </w:rPr>
            <w:t>21</w:t>
          </w:r>
        </w:p>
        <w:p w:rsidR="00700D1B" w:rsidRPr="00565172" w:rsidP="00700D1B">
          <w:pPr>
            <w:spacing w:after="100"/>
            <w:ind w:left="720"/>
            <w:rPr>
              <w:rFonts w:eastAsiaTheme="minorEastAsia" w:cs="Arial"/>
              <w:sz w:val="22"/>
              <w:szCs w:val="22"/>
              <w:lang w:val="en-US" w:eastAsia="en-US"/>
            </w:rPr>
          </w:pPr>
          <w:r w:rsidRPr="00565172">
            <w:rPr>
              <w:rFonts w:eastAsiaTheme="minorEastAsia" w:cs="Arial"/>
              <w:sz w:val="22"/>
              <w:szCs w:val="22"/>
              <w:lang w:val="en-US" w:eastAsia="en-US"/>
            </w:rPr>
            <w:t>4.3 DHSC Revenue Expenditure Analysis</w:t>
          </w:r>
          <w:r>
            <w:ptab w:relativeTo="margin" w:alignment="right" w:leader="dot"/>
          </w:r>
          <w:r w:rsidR="006C00B6">
            <w:rPr>
              <w:rFonts w:eastAsiaTheme="minorEastAsia" w:cs="Arial"/>
              <w:sz w:val="22"/>
              <w:szCs w:val="22"/>
              <w:lang w:val="en-US" w:eastAsia="en-US"/>
            </w:rPr>
            <w:t>23</w:t>
          </w:r>
        </w:p>
      </w:sdtContent>
    </w:sdt>
    <w:p w:rsidR="00700D1B" w:rsidRPr="00565172" w:rsidP="00700D1B">
      <w:pPr>
        <w:spacing w:after="200" w:line="276" w:lineRule="auto"/>
        <w:ind w:left="567"/>
        <w:contextualSpacing/>
        <w:rPr>
          <w:rFonts w:eastAsiaTheme="minorHAnsi" w:cs="Arial"/>
          <w:b/>
          <w:sz w:val="22"/>
          <w:szCs w:val="22"/>
          <w:lang w:eastAsia="en-US"/>
        </w:rPr>
      </w:pPr>
    </w:p>
    <w:p w:rsidR="00700D1B" w:rsidP="00700D1B">
      <w:pPr>
        <w:rPr>
          <w:rFonts w:eastAsiaTheme="minorHAnsi" w:cs="Arial"/>
          <w:b/>
          <w:sz w:val="22"/>
          <w:szCs w:val="22"/>
          <w:lang w:eastAsia="en-US"/>
        </w:rPr>
      </w:pPr>
      <w:r>
        <w:rPr>
          <w:rFonts w:eastAsiaTheme="minorHAnsi" w:cs="Arial"/>
          <w:b/>
          <w:sz w:val="22"/>
          <w:szCs w:val="22"/>
          <w:lang w:eastAsia="en-US"/>
        </w:rPr>
        <w:br w:type="page"/>
      </w:r>
    </w:p>
    <w:p w:rsidR="00700D1B" w:rsidP="00700D1B">
      <w:pPr>
        <w:numPr>
          <w:ilvl w:val="0"/>
          <w:numId w:val="7"/>
        </w:numPr>
        <w:spacing w:after="200" w:line="276" w:lineRule="auto"/>
        <w:ind w:left="567" w:hanging="567"/>
        <w:contextualSpacing/>
        <w:rPr>
          <w:rFonts w:eastAsiaTheme="minorHAnsi" w:cs="Arial"/>
          <w:b/>
          <w:sz w:val="22"/>
          <w:szCs w:val="22"/>
          <w:lang w:eastAsia="en-US"/>
        </w:rPr>
      </w:pPr>
      <w:r w:rsidRPr="005210B3">
        <w:rPr>
          <w:rFonts w:eastAsiaTheme="minorHAnsi" w:cs="Arial"/>
          <w:b/>
          <w:sz w:val="22"/>
          <w:szCs w:val="22"/>
          <w:lang w:eastAsia="en-US"/>
        </w:rPr>
        <w:t>OVERVIEW</w:t>
      </w:r>
    </w:p>
    <w:p w:rsidR="00990083" w:rsidRPr="005210B3" w:rsidP="00990083">
      <w:pPr>
        <w:spacing w:after="200" w:line="276" w:lineRule="auto"/>
        <w:ind w:left="567"/>
        <w:contextualSpacing/>
        <w:rPr>
          <w:rFonts w:eastAsiaTheme="minorHAnsi" w:cs="Arial"/>
          <w:b/>
          <w:sz w:val="22"/>
          <w:szCs w:val="22"/>
          <w:lang w:eastAsia="en-US"/>
        </w:rPr>
      </w:pPr>
    </w:p>
    <w:p w:rsidR="00700D1B" w:rsidRPr="005210B3" w:rsidP="00700D1B">
      <w:pPr>
        <w:spacing w:line="276" w:lineRule="auto"/>
        <w:rPr>
          <w:rFonts w:eastAsiaTheme="minorHAnsi" w:cs="Arial"/>
          <w:b/>
          <w:sz w:val="22"/>
          <w:szCs w:val="22"/>
          <w:lang w:eastAsia="en-US"/>
        </w:rPr>
      </w:pPr>
    </w:p>
    <w:p w:rsidR="00700D1B" w:rsidRPr="005210B3" w:rsidP="00700D1B">
      <w:pPr>
        <w:numPr>
          <w:ilvl w:val="1"/>
          <w:numId w:val="8"/>
        </w:numPr>
        <w:spacing w:after="120" w:line="276" w:lineRule="auto"/>
        <w:ind w:left="567" w:hanging="567"/>
        <w:rPr>
          <w:rFonts w:eastAsia="Calibri" w:cs="Arial"/>
          <w:bCs/>
          <w:sz w:val="22"/>
          <w:szCs w:val="22"/>
        </w:rPr>
      </w:pPr>
      <w:bookmarkStart w:id="0" w:name="_Hlk63776998"/>
      <w:r w:rsidRPr="005210B3">
        <w:rPr>
          <w:rFonts w:eastAsia="Calibri" w:cs="Arial"/>
          <w:b/>
          <w:sz w:val="22"/>
          <w:szCs w:val="22"/>
        </w:rPr>
        <w:t>Objective</w:t>
      </w:r>
      <w:r w:rsidRPr="005210B3" w:rsidR="00AE4FF3">
        <w:rPr>
          <w:rFonts w:eastAsia="Calibri" w:cs="Arial"/>
          <w:b/>
          <w:sz w:val="22"/>
          <w:szCs w:val="22"/>
        </w:rPr>
        <w:t xml:space="preserve"> </w:t>
      </w:r>
    </w:p>
    <w:p w:rsidR="00700D1B" w:rsidRPr="008A08B5" w:rsidP="00700D1B">
      <w:pPr>
        <w:ind w:left="567"/>
        <w:jc w:val="both"/>
        <w:rPr>
          <w:rFonts w:eastAsia="Calibri" w:cs="Arial"/>
          <w:sz w:val="22"/>
          <w:szCs w:val="22"/>
        </w:rPr>
      </w:pPr>
      <w:r w:rsidRPr="008A08B5">
        <w:rPr>
          <w:sz w:val="22"/>
          <w:szCs w:val="22"/>
        </w:rPr>
        <w:t xml:space="preserve">The Department of Health and Social Care (DHSC) supports ministers in leading the nation’s health and social care to help people live more independent, healthier lives for longer. </w:t>
      </w:r>
    </w:p>
    <w:p w:rsidR="00700D1B" w:rsidRPr="008A08B5" w:rsidP="00700D1B">
      <w:pPr>
        <w:ind w:left="567"/>
        <w:jc w:val="both"/>
        <w:rPr>
          <w:rFonts w:eastAsia="Calibri" w:cs="Arial"/>
          <w:sz w:val="22"/>
          <w:szCs w:val="22"/>
        </w:rPr>
      </w:pPr>
    </w:p>
    <w:p w:rsidR="00805090" w:rsidRPr="008A08B5" w:rsidP="00805090">
      <w:pPr>
        <w:ind w:left="567"/>
        <w:jc w:val="both"/>
        <w:rPr>
          <w:rFonts w:eastAsia="Calibri" w:cs="Arial"/>
          <w:sz w:val="22"/>
          <w:szCs w:val="22"/>
        </w:rPr>
      </w:pPr>
      <w:bookmarkStart w:id="1" w:name="_Hlk63765603"/>
      <w:r w:rsidRPr="008A08B5">
        <w:rPr>
          <w:rFonts w:eastAsia="Calibri" w:cs="Arial"/>
          <w:sz w:val="22"/>
          <w:szCs w:val="22"/>
        </w:rPr>
        <w:t xml:space="preserve">Departmental </w:t>
      </w:r>
      <w:r w:rsidR="00882837">
        <w:rPr>
          <w:rFonts w:eastAsia="Calibri" w:cs="Arial"/>
          <w:sz w:val="22"/>
          <w:szCs w:val="22"/>
        </w:rPr>
        <w:t>priorities for 2020-21 are summarised below:</w:t>
      </w:r>
    </w:p>
    <w:p w:rsidR="00805090" w:rsidRPr="008A08B5" w:rsidP="00805090">
      <w:pPr>
        <w:ind w:left="360"/>
        <w:jc w:val="both"/>
        <w:rPr>
          <w:rFonts w:eastAsia="Calibri" w:cs="Arial"/>
          <w:sz w:val="22"/>
          <w:szCs w:val="22"/>
        </w:rPr>
      </w:pPr>
    </w:p>
    <w:p w:rsidR="00805090" w:rsidRPr="008A08B5" w:rsidP="00700D1B">
      <w:pPr>
        <w:ind w:left="567"/>
        <w:jc w:val="both"/>
        <w:rPr>
          <w:rFonts w:cs="Arial"/>
          <w:sz w:val="22"/>
          <w:szCs w:val="22"/>
        </w:rPr>
      </w:pPr>
    </w:p>
    <w:p w:rsidR="00805090" w:rsidRPr="008A08B5" w:rsidP="00805090">
      <w:pPr>
        <w:numPr>
          <w:ilvl w:val="0"/>
          <w:numId w:val="45"/>
        </w:numPr>
        <w:spacing w:after="200" w:line="276" w:lineRule="auto"/>
        <w:contextualSpacing/>
        <w:jc w:val="both"/>
        <w:rPr>
          <w:sz w:val="22"/>
          <w:szCs w:val="22"/>
        </w:rPr>
      </w:pPr>
      <w:r>
        <w:rPr>
          <w:sz w:val="22"/>
          <w:szCs w:val="22"/>
        </w:rPr>
        <w:t>R</w:t>
      </w:r>
      <w:r w:rsidRPr="008A08B5">
        <w:rPr>
          <w:sz w:val="22"/>
          <w:szCs w:val="22"/>
        </w:rPr>
        <w:t>espon</w:t>
      </w:r>
      <w:r>
        <w:rPr>
          <w:sz w:val="22"/>
          <w:szCs w:val="22"/>
        </w:rPr>
        <w:t>d</w:t>
      </w:r>
      <w:r w:rsidRPr="008A08B5">
        <w:rPr>
          <w:sz w:val="22"/>
          <w:szCs w:val="22"/>
        </w:rPr>
        <w:t xml:space="preserve"> to C</w:t>
      </w:r>
      <w:r>
        <w:rPr>
          <w:sz w:val="22"/>
          <w:szCs w:val="22"/>
        </w:rPr>
        <w:t>ovid</w:t>
      </w:r>
      <w:r w:rsidRPr="008A08B5">
        <w:rPr>
          <w:sz w:val="22"/>
          <w:szCs w:val="22"/>
        </w:rPr>
        <w:t>-19 and health protection</w:t>
      </w:r>
      <w:r>
        <w:rPr>
          <w:sz w:val="22"/>
          <w:szCs w:val="22"/>
        </w:rPr>
        <w:t>;</w:t>
      </w:r>
      <w:r w:rsidRPr="008A08B5">
        <w:rPr>
          <w:sz w:val="22"/>
          <w:szCs w:val="22"/>
        </w:rPr>
        <w:t xml:space="preserve"> </w:t>
      </w:r>
    </w:p>
    <w:p w:rsidR="00805090" w:rsidRPr="008A08B5" w:rsidP="00805090">
      <w:pPr>
        <w:numPr>
          <w:ilvl w:val="0"/>
          <w:numId w:val="45"/>
        </w:numPr>
        <w:spacing w:after="200" w:line="276" w:lineRule="auto"/>
        <w:contextualSpacing/>
        <w:jc w:val="both"/>
        <w:rPr>
          <w:sz w:val="22"/>
          <w:szCs w:val="22"/>
        </w:rPr>
      </w:pPr>
      <w:r>
        <w:rPr>
          <w:sz w:val="22"/>
          <w:szCs w:val="22"/>
        </w:rPr>
        <w:t>A</w:t>
      </w:r>
      <w:r w:rsidRPr="008A08B5">
        <w:rPr>
          <w:sz w:val="22"/>
          <w:szCs w:val="22"/>
        </w:rPr>
        <w:t xml:space="preserve"> </w:t>
      </w:r>
      <w:r>
        <w:rPr>
          <w:sz w:val="22"/>
          <w:szCs w:val="22"/>
        </w:rPr>
        <w:t>stronger and more integrated health and care system;</w:t>
      </w:r>
    </w:p>
    <w:p w:rsidR="00805090" w:rsidRPr="008A08B5" w:rsidP="00805090">
      <w:pPr>
        <w:numPr>
          <w:ilvl w:val="0"/>
          <w:numId w:val="45"/>
        </w:numPr>
        <w:spacing w:after="200" w:line="276" w:lineRule="auto"/>
        <w:contextualSpacing/>
        <w:jc w:val="both"/>
        <w:rPr>
          <w:sz w:val="22"/>
          <w:szCs w:val="22"/>
        </w:rPr>
      </w:pPr>
      <w:r>
        <w:rPr>
          <w:sz w:val="22"/>
          <w:szCs w:val="22"/>
        </w:rPr>
        <w:t>T</w:t>
      </w:r>
      <w:r w:rsidRPr="008A08B5">
        <w:rPr>
          <w:sz w:val="22"/>
          <w:szCs w:val="22"/>
        </w:rPr>
        <w:t xml:space="preserve">ransformation in social </w:t>
      </w:r>
      <w:r>
        <w:rPr>
          <w:sz w:val="22"/>
          <w:szCs w:val="22"/>
        </w:rPr>
        <w:t>care;</w:t>
      </w:r>
    </w:p>
    <w:p w:rsidR="00882837" w:rsidP="00882837">
      <w:pPr>
        <w:numPr>
          <w:ilvl w:val="0"/>
          <w:numId w:val="45"/>
        </w:numPr>
        <w:spacing w:after="200" w:line="276" w:lineRule="auto"/>
        <w:contextualSpacing/>
        <w:jc w:val="both"/>
        <w:rPr>
          <w:sz w:val="22"/>
          <w:szCs w:val="22"/>
        </w:rPr>
      </w:pPr>
      <w:r w:rsidRPr="00882837">
        <w:rPr>
          <w:sz w:val="22"/>
          <w:szCs w:val="22"/>
        </w:rPr>
        <w:t>Healthier nation;</w:t>
      </w:r>
    </w:p>
    <w:p w:rsidR="00805090" w:rsidRPr="008A08B5" w:rsidP="00805090">
      <w:pPr>
        <w:numPr>
          <w:ilvl w:val="0"/>
          <w:numId w:val="45"/>
        </w:numPr>
        <w:spacing w:after="200" w:line="276" w:lineRule="auto"/>
        <w:contextualSpacing/>
        <w:jc w:val="both"/>
        <w:rPr>
          <w:sz w:val="22"/>
          <w:szCs w:val="22"/>
        </w:rPr>
      </w:pPr>
      <w:r>
        <w:rPr>
          <w:sz w:val="22"/>
          <w:szCs w:val="22"/>
        </w:rPr>
        <w:t>D</w:t>
      </w:r>
      <w:r w:rsidRPr="008A08B5">
        <w:rPr>
          <w:sz w:val="22"/>
          <w:szCs w:val="22"/>
        </w:rPr>
        <w:t>igital revolution</w:t>
      </w:r>
      <w:r>
        <w:rPr>
          <w:sz w:val="22"/>
          <w:szCs w:val="22"/>
        </w:rPr>
        <w:t>;</w:t>
      </w:r>
      <w:r w:rsidRPr="008A08B5">
        <w:rPr>
          <w:sz w:val="22"/>
          <w:szCs w:val="22"/>
        </w:rPr>
        <w:t xml:space="preserve"> </w:t>
      </w:r>
    </w:p>
    <w:p w:rsidR="00805090" w:rsidRPr="008A08B5" w:rsidP="00805090">
      <w:pPr>
        <w:numPr>
          <w:ilvl w:val="0"/>
          <w:numId w:val="45"/>
        </w:numPr>
        <w:spacing w:after="200" w:line="276" w:lineRule="auto"/>
        <w:contextualSpacing/>
        <w:jc w:val="both"/>
        <w:rPr>
          <w:sz w:val="22"/>
          <w:szCs w:val="22"/>
        </w:rPr>
      </w:pPr>
      <w:r>
        <w:rPr>
          <w:sz w:val="22"/>
          <w:szCs w:val="22"/>
        </w:rPr>
        <w:t>Workforce that is fit for the future;</w:t>
      </w:r>
    </w:p>
    <w:p w:rsidR="00882837" w:rsidP="00805090">
      <w:pPr>
        <w:numPr>
          <w:ilvl w:val="0"/>
          <w:numId w:val="45"/>
        </w:numPr>
        <w:spacing w:after="200" w:line="276" w:lineRule="auto"/>
        <w:contextualSpacing/>
        <w:jc w:val="both"/>
        <w:rPr>
          <w:sz w:val="22"/>
          <w:szCs w:val="22"/>
        </w:rPr>
      </w:pPr>
      <w:bookmarkEnd w:id="1"/>
      <w:r w:rsidRPr="008A08B5">
        <w:rPr>
          <w:sz w:val="22"/>
          <w:szCs w:val="22"/>
        </w:rPr>
        <w:t>Building infrastructure for the future</w:t>
      </w:r>
      <w:r>
        <w:rPr>
          <w:sz w:val="22"/>
          <w:szCs w:val="22"/>
        </w:rPr>
        <w:t xml:space="preserve">; and </w:t>
      </w:r>
    </w:p>
    <w:p w:rsidR="00805090" w:rsidP="00805090">
      <w:pPr>
        <w:numPr>
          <w:ilvl w:val="0"/>
          <w:numId w:val="45"/>
        </w:numPr>
        <w:spacing w:after="200" w:line="276" w:lineRule="auto"/>
        <w:contextualSpacing/>
        <w:jc w:val="both"/>
        <w:rPr>
          <w:sz w:val="22"/>
          <w:szCs w:val="22"/>
        </w:rPr>
      </w:pPr>
      <w:r>
        <w:rPr>
          <w:sz w:val="22"/>
          <w:szCs w:val="22"/>
        </w:rPr>
        <w:t>Well-managed end to EU transition</w:t>
      </w:r>
      <w:r w:rsidR="00990083">
        <w:rPr>
          <w:sz w:val="22"/>
          <w:szCs w:val="22"/>
        </w:rPr>
        <w:t>.</w:t>
      </w:r>
    </w:p>
    <w:p w:rsidR="00990083" w:rsidP="00990083">
      <w:pPr>
        <w:spacing w:after="200" w:line="276" w:lineRule="auto"/>
        <w:ind w:left="1080"/>
        <w:contextualSpacing/>
        <w:jc w:val="both"/>
        <w:rPr>
          <w:sz w:val="22"/>
          <w:szCs w:val="22"/>
        </w:rPr>
      </w:pPr>
    </w:p>
    <w:p w:rsidR="00990083" w:rsidRPr="008A08B5" w:rsidP="00990083">
      <w:pPr>
        <w:spacing w:after="200" w:line="276" w:lineRule="auto"/>
        <w:ind w:left="1080"/>
        <w:contextualSpacing/>
        <w:jc w:val="both"/>
        <w:rPr>
          <w:sz w:val="22"/>
          <w:szCs w:val="22"/>
        </w:rPr>
      </w:pPr>
    </w:p>
    <w:p w:rsidR="00700D1B" w:rsidRPr="005210B3" w:rsidP="00700D1B">
      <w:pPr>
        <w:spacing w:after="200"/>
        <w:contextualSpacing/>
        <w:rPr>
          <w:rFonts w:eastAsiaTheme="minorHAnsi" w:cs="Arial"/>
          <w:sz w:val="22"/>
          <w:szCs w:val="22"/>
          <w:lang w:eastAsia="en-US"/>
        </w:rPr>
      </w:pPr>
      <w:bookmarkEnd w:id="0"/>
    </w:p>
    <w:p w:rsidR="00700D1B" w:rsidRPr="00565172" w:rsidP="00700D1B">
      <w:pPr>
        <w:numPr>
          <w:ilvl w:val="1"/>
          <w:numId w:val="8"/>
        </w:numPr>
        <w:spacing w:after="120" w:line="276" w:lineRule="auto"/>
        <w:ind w:left="567" w:hanging="567"/>
        <w:rPr>
          <w:rFonts w:eastAsia="Calibri" w:cs="Arial"/>
          <w:sz w:val="22"/>
          <w:szCs w:val="22"/>
        </w:rPr>
      </w:pPr>
      <w:r w:rsidRPr="00565172">
        <w:rPr>
          <w:rFonts w:eastAsia="Calibri" w:cs="Arial"/>
          <w:b/>
          <w:sz w:val="22"/>
          <w:szCs w:val="22"/>
        </w:rPr>
        <w:t>Spending Controls</w:t>
      </w:r>
    </w:p>
    <w:p w:rsidR="00700D1B" w:rsidRPr="00565172" w:rsidP="00700D1B">
      <w:pPr>
        <w:ind w:left="567"/>
        <w:jc w:val="both"/>
        <w:rPr>
          <w:rFonts w:eastAsia="Calibri" w:cs="Arial"/>
          <w:sz w:val="22"/>
          <w:szCs w:val="22"/>
        </w:rPr>
      </w:pPr>
      <w:r w:rsidRPr="00565172">
        <w:rPr>
          <w:rFonts w:eastAsia="Calibri" w:cs="Arial"/>
          <w:sz w:val="22"/>
          <w:szCs w:val="22"/>
        </w:rPr>
        <w:t>DHSC’s spending is broken down into the different spending totals, for which Parliament’s approval is sought.  The spending totals which Parliament votes are:</w:t>
      </w:r>
    </w:p>
    <w:p w:rsidR="00700D1B" w:rsidRPr="00565172" w:rsidP="00700D1B">
      <w:pPr>
        <w:ind w:left="567"/>
        <w:jc w:val="both"/>
        <w:rPr>
          <w:rFonts w:eastAsia="Calibri" w:cs="Arial"/>
          <w:sz w:val="22"/>
          <w:szCs w:val="22"/>
        </w:rPr>
      </w:pPr>
    </w:p>
    <w:p w:rsidR="00700D1B" w:rsidRPr="00565172" w:rsidP="00700D1B">
      <w:pPr>
        <w:numPr>
          <w:ilvl w:val="0"/>
          <w:numId w:val="10"/>
        </w:numPr>
        <w:spacing w:after="200" w:line="276" w:lineRule="auto"/>
        <w:contextualSpacing/>
        <w:jc w:val="both"/>
        <w:rPr>
          <w:rFonts w:eastAsia="Calibri" w:cs="Arial"/>
          <w:sz w:val="22"/>
          <w:szCs w:val="22"/>
        </w:rPr>
      </w:pPr>
      <w:r w:rsidRPr="00565172">
        <w:rPr>
          <w:rFonts w:eastAsia="Calibri" w:cs="Arial"/>
          <w:sz w:val="22"/>
          <w:szCs w:val="22"/>
        </w:rPr>
        <w:t>Resource Departmental Expenditure Limit (Resource DEL) – day to day running costs;</w:t>
      </w:r>
    </w:p>
    <w:p w:rsidR="00700D1B" w:rsidRPr="00565172" w:rsidP="00700D1B">
      <w:pPr>
        <w:numPr>
          <w:ilvl w:val="0"/>
          <w:numId w:val="10"/>
        </w:numPr>
        <w:spacing w:after="200" w:line="276" w:lineRule="auto"/>
        <w:contextualSpacing/>
        <w:jc w:val="both"/>
        <w:rPr>
          <w:rFonts w:eastAsia="Calibri" w:cs="Arial"/>
          <w:sz w:val="22"/>
          <w:szCs w:val="22"/>
        </w:rPr>
      </w:pPr>
      <w:r w:rsidRPr="00565172">
        <w:rPr>
          <w:rFonts w:eastAsia="Calibri" w:cs="Arial"/>
          <w:sz w:val="22"/>
          <w:szCs w:val="22"/>
        </w:rPr>
        <w:t>Capital Departmental Expenditure Limit (Capital DEL) – investment in infrastructure;</w:t>
      </w:r>
    </w:p>
    <w:p w:rsidR="00700D1B" w:rsidRPr="00565172" w:rsidP="00700D1B">
      <w:pPr>
        <w:numPr>
          <w:ilvl w:val="0"/>
          <w:numId w:val="10"/>
        </w:numPr>
        <w:spacing w:after="200" w:line="276" w:lineRule="auto"/>
        <w:contextualSpacing/>
        <w:jc w:val="both"/>
        <w:rPr>
          <w:rFonts w:eastAsia="Calibri" w:cs="Arial"/>
          <w:sz w:val="22"/>
          <w:szCs w:val="22"/>
        </w:rPr>
      </w:pPr>
      <w:r w:rsidRPr="00565172">
        <w:rPr>
          <w:rFonts w:eastAsia="Calibri" w:cs="Arial"/>
          <w:sz w:val="22"/>
          <w:szCs w:val="22"/>
        </w:rPr>
        <w:t>Resource Annually Managed Expenditure (Resource AME) –</w:t>
      </w:r>
      <w:r>
        <w:rPr>
          <w:rFonts w:eastAsia="Calibri" w:cs="Arial"/>
          <w:sz w:val="22"/>
          <w:szCs w:val="22"/>
        </w:rPr>
        <w:t xml:space="preserve"> non-fiscal less predictable expenditure,</w:t>
      </w:r>
      <w:r w:rsidRPr="00565172">
        <w:rPr>
          <w:rFonts w:eastAsia="Calibri" w:cs="Arial"/>
          <w:sz w:val="22"/>
          <w:szCs w:val="22"/>
        </w:rPr>
        <w:t xml:space="preserve"> in DHSC</w:t>
      </w:r>
      <w:r>
        <w:rPr>
          <w:rFonts w:eastAsia="Calibri" w:cs="Arial"/>
          <w:sz w:val="22"/>
          <w:szCs w:val="22"/>
        </w:rPr>
        <w:t>’</w:t>
      </w:r>
      <w:r w:rsidRPr="00565172">
        <w:rPr>
          <w:rFonts w:eastAsia="Calibri" w:cs="Arial"/>
          <w:sz w:val="22"/>
          <w:szCs w:val="22"/>
        </w:rPr>
        <w:t>s case this is mainly litigation provisions for clinical negligence cases managed by NHS Resolution (NHSR); and</w:t>
      </w:r>
    </w:p>
    <w:p w:rsidR="00700D1B" w:rsidRPr="00565172" w:rsidP="00700D1B">
      <w:pPr>
        <w:numPr>
          <w:ilvl w:val="0"/>
          <w:numId w:val="10"/>
        </w:numPr>
        <w:spacing w:after="200" w:line="276" w:lineRule="auto"/>
        <w:contextualSpacing/>
        <w:jc w:val="both"/>
        <w:rPr>
          <w:rFonts w:eastAsia="Calibri" w:cs="Arial"/>
          <w:sz w:val="22"/>
          <w:szCs w:val="22"/>
        </w:rPr>
      </w:pPr>
      <w:r w:rsidRPr="00565172">
        <w:rPr>
          <w:rFonts w:eastAsia="Calibri" w:cs="Arial"/>
          <w:sz w:val="22"/>
          <w:szCs w:val="22"/>
        </w:rPr>
        <w:t>Capital Annually Managed Expenditure (Capital AME) – in DHSC’s case this covers the specific budgeting treatment relating to Credit Guarantee Finance.</w:t>
      </w:r>
    </w:p>
    <w:p w:rsidR="00700D1B" w:rsidRPr="00565172" w:rsidP="00700D1B">
      <w:pPr>
        <w:ind w:left="567"/>
        <w:jc w:val="both"/>
        <w:rPr>
          <w:rFonts w:eastAsia="Calibri" w:cs="Arial"/>
          <w:sz w:val="22"/>
          <w:szCs w:val="22"/>
        </w:rPr>
      </w:pPr>
    </w:p>
    <w:p w:rsidR="00700D1B" w:rsidRPr="00565172" w:rsidP="00700D1B">
      <w:pPr>
        <w:ind w:left="567"/>
        <w:jc w:val="both"/>
        <w:rPr>
          <w:rFonts w:eastAsia="Calibri" w:cs="Arial"/>
          <w:sz w:val="22"/>
          <w:szCs w:val="22"/>
        </w:rPr>
      </w:pPr>
      <w:r w:rsidRPr="00565172">
        <w:rPr>
          <w:rFonts w:eastAsia="Calibri" w:cs="Arial"/>
          <w:sz w:val="22"/>
          <w:szCs w:val="22"/>
        </w:rPr>
        <w:t>In addition, Parliament votes a net cash requirement, designed to cover the elements of the above budgets which require the DHSC Departmental group to pay out cash in year.</w:t>
      </w:r>
      <w:r>
        <w:rPr>
          <w:rFonts w:eastAsia="Calibri" w:cs="Arial"/>
          <w:sz w:val="22"/>
          <w:szCs w:val="22"/>
        </w:rPr>
        <w:t xml:space="preserve"> </w:t>
      </w:r>
    </w:p>
    <w:p w:rsidR="00700D1B" w:rsidP="00700D1B">
      <w:pPr>
        <w:ind w:left="567"/>
        <w:rPr>
          <w:rFonts w:eastAsia="Calibri" w:cs="Arial"/>
          <w:sz w:val="22"/>
          <w:szCs w:val="22"/>
        </w:rPr>
      </w:pPr>
    </w:p>
    <w:p w:rsidR="00700D1B" w:rsidP="00700D1B">
      <w:pPr>
        <w:rPr>
          <w:rFonts w:eastAsia="Calibri" w:cs="Arial"/>
          <w:sz w:val="22"/>
          <w:szCs w:val="22"/>
        </w:rPr>
      </w:pPr>
      <w:r>
        <w:rPr>
          <w:rFonts w:eastAsia="Calibri" w:cs="Arial"/>
          <w:sz w:val="22"/>
          <w:szCs w:val="22"/>
        </w:rPr>
        <w:br w:type="page"/>
      </w:r>
    </w:p>
    <w:p w:rsidR="00700D1B" w:rsidP="00700D1B">
      <w:pPr>
        <w:ind w:left="567"/>
        <w:rPr>
          <w:rFonts w:eastAsia="Calibri" w:cs="Arial"/>
          <w:sz w:val="22"/>
          <w:szCs w:val="22"/>
        </w:rPr>
      </w:pPr>
    </w:p>
    <w:p w:rsidR="00700D1B" w:rsidRPr="00565172" w:rsidP="00700D1B">
      <w:pPr>
        <w:numPr>
          <w:ilvl w:val="1"/>
          <w:numId w:val="8"/>
        </w:numPr>
        <w:spacing w:after="120" w:line="276" w:lineRule="auto"/>
        <w:ind w:left="567" w:hanging="567"/>
        <w:rPr>
          <w:rFonts w:eastAsia="Calibri" w:cs="Arial"/>
          <w:sz w:val="22"/>
          <w:szCs w:val="22"/>
        </w:rPr>
      </w:pPr>
      <w:r w:rsidRPr="00565172">
        <w:rPr>
          <w:rFonts w:eastAsia="Calibri" w:cs="Arial"/>
          <w:b/>
          <w:sz w:val="22"/>
          <w:szCs w:val="22"/>
        </w:rPr>
        <w:t>Main Areas of Spending</w:t>
      </w:r>
    </w:p>
    <w:p w:rsidR="00700D1B" w:rsidP="00700D1B">
      <w:pPr>
        <w:ind w:left="567"/>
        <w:jc w:val="both"/>
        <w:rPr>
          <w:rFonts w:eastAsia="Calibri" w:cs="Arial"/>
          <w:sz w:val="22"/>
          <w:szCs w:val="22"/>
        </w:rPr>
      </w:pPr>
      <w:r w:rsidRPr="00565172">
        <w:rPr>
          <w:rFonts w:eastAsia="Calibri" w:cs="Arial"/>
          <w:sz w:val="22"/>
          <w:szCs w:val="22"/>
        </w:rPr>
        <w:t>The graphics below show the main components of DHSC’s proposed Resource DEL, Capital DEL and Resource AME spending plans, included in the latest</w:t>
      </w:r>
      <w:r>
        <w:rPr>
          <w:rFonts w:eastAsia="Calibri" w:cs="Arial"/>
          <w:sz w:val="22"/>
          <w:szCs w:val="22"/>
        </w:rPr>
        <w:t xml:space="preserve"> Supplementary</w:t>
      </w:r>
      <w:r w:rsidRPr="00565172">
        <w:rPr>
          <w:rFonts w:eastAsia="Calibri" w:cs="Arial"/>
          <w:sz w:val="22"/>
          <w:szCs w:val="22"/>
        </w:rPr>
        <w:t xml:space="preserve"> Estimate, and the proportions spent by the different bodies within the group. The letters in the graphics below denote the letter attributed to each Estimate Subhead.</w:t>
      </w:r>
    </w:p>
    <w:p w:rsidR="00700D1B" w:rsidP="00700D1B">
      <w:pPr>
        <w:ind w:left="567"/>
        <w:jc w:val="both"/>
        <w:rPr>
          <w:rFonts w:eastAsia="Calibri" w:cs="Arial"/>
          <w:sz w:val="22"/>
          <w:szCs w:val="22"/>
        </w:rPr>
      </w:pPr>
    </w:p>
    <w:p w:rsidR="00700D1B" w:rsidRPr="00565172" w:rsidP="00700D1B">
      <w:pPr>
        <w:ind w:left="567"/>
        <w:jc w:val="both"/>
        <w:rPr>
          <w:rFonts w:eastAsia="Calibri" w:cs="Arial"/>
          <w:sz w:val="22"/>
          <w:szCs w:val="22"/>
        </w:rPr>
      </w:pPr>
      <w:r>
        <w:rPr>
          <w:rFonts w:eastAsia="Calibri" w:cs="Arial"/>
          <w:sz w:val="22"/>
          <w:szCs w:val="22"/>
        </w:rPr>
        <w:t xml:space="preserve">The RDEL budget allocated to the core department has increased significantly since Main Estimate, this is due to increases for Covid-19 – this includes funding for NHS Test and Trace, personal protective equipment and Covid-19 vaccines deployment. Further details are included in paragraphs 1.8 and 2.1. </w:t>
      </w:r>
    </w:p>
    <w:p w:rsidR="00700D1B" w:rsidP="00700D1B">
      <w:pPr>
        <w:ind w:left="567"/>
        <w:rPr>
          <w:rFonts w:eastAsia="Calibri" w:cs="Arial"/>
          <w:sz w:val="22"/>
          <w:szCs w:val="22"/>
        </w:rPr>
      </w:pPr>
    </w:p>
    <w:p w:rsidR="00700D1B" w:rsidP="00700D1B">
      <w:pPr>
        <w:ind w:left="567"/>
        <w:rPr>
          <w:rFonts w:eastAsia="Calibri" w:cs="Arial"/>
          <w:sz w:val="22"/>
          <w:szCs w:val="22"/>
        </w:rPr>
      </w:pPr>
      <w:r>
        <w:rPr>
          <w:rFonts w:eastAsia="Calibri" w:cs="Arial"/>
          <w:noProof/>
          <w:sz w:val="22"/>
          <w:szCs w:val="22"/>
        </w:rPr>
        <w:drawing>
          <wp:anchor distT="0" distB="0" distL="114300" distR="114300" simplePos="0" relativeHeight="251659264" behindDoc="0" locked="0" layoutInCell="1" allowOverlap="1">
            <wp:simplePos x="0" y="0"/>
            <wp:positionH relativeFrom="margin">
              <wp:align>center</wp:align>
            </wp:positionH>
            <wp:positionV relativeFrom="paragraph">
              <wp:posOffset>30054</wp:posOffset>
            </wp:positionV>
            <wp:extent cx="5767070" cy="3316605"/>
            <wp:effectExtent l="0" t="0" r="508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xmlns:r="http://schemas.openxmlformats.org/officeDocument/2006/relationships" r:embed="rId11">
                      <a:extLst>
                        <a:ext uri="{28A0092B-C50C-407E-A947-70E740481C1C}">
                          <a14:useLocalDpi xmlns:a14="http://schemas.microsoft.com/office/drawing/2010/main" val="0"/>
                        </a:ext>
                      </a:extLst>
                    </a:blip>
                    <a:srcRect/>
                    <a:stretch>
                      <a:fillRect/>
                    </a:stretch>
                  </pic:blipFill>
                  <pic:spPr bwMode="auto">
                    <a:xfrm>
                      <a:off x="0" y="0"/>
                      <a:ext cx="5767070" cy="3316605"/>
                    </a:xfrm>
                    <a:prstGeom prst="rect">
                      <a:avLst/>
                    </a:prstGeom>
                    <a:noFill/>
                  </pic:spPr>
                </pic:pic>
              </a:graphicData>
            </a:graphic>
          </wp:anchor>
        </w:drawing>
      </w:r>
    </w:p>
    <w:p w:rsidR="00700D1B" w:rsidP="00700D1B">
      <w:pPr>
        <w:ind w:left="567"/>
        <w:rPr>
          <w:rFonts w:eastAsia="Calibri" w:cs="Arial"/>
          <w:sz w:val="22"/>
          <w:szCs w:val="22"/>
        </w:rPr>
      </w:pPr>
    </w:p>
    <w:p w:rsidR="00700D1B" w:rsidP="00700D1B">
      <w:pPr>
        <w:ind w:left="567"/>
        <w:rPr>
          <w:rFonts w:eastAsia="Calibri" w:cs="Arial"/>
          <w:sz w:val="22"/>
          <w:szCs w:val="22"/>
        </w:rPr>
      </w:pPr>
    </w:p>
    <w:p w:rsidR="00700D1B" w:rsidRPr="00565172" w:rsidP="00700D1B">
      <w:pPr>
        <w:ind w:left="567"/>
        <w:rPr>
          <w:rFonts w:eastAsia="Calibri" w:cs="Arial"/>
          <w:sz w:val="22"/>
          <w:szCs w:val="22"/>
        </w:rPr>
      </w:pPr>
    </w:p>
    <w:p w:rsidR="00700D1B" w:rsidRPr="00565172" w:rsidP="00700D1B">
      <w:pPr>
        <w:ind w:left="567"/>
        <w:rPr>
          <w:rFonts w:eastAsiaTheme="minorHAnsi" w:cs="Arial"/>
          <w:sz w:val="22"/>
          <w:szCs w:val="22"/>
          <w:lang w:eastAsia="en-US"/>
        </w:rPr>
      </w:pPr>
    </w:p>
    <w:p w:rsidR="00700D1B" w:rsidRPr="00565172" w:rsidP="00700D1B">
      <w:pPr>
        <w:ind w:left="720"/>
        <w:rPr>
          <w:rFonts w:eastAsiaTheme="minorHAnsi" w:cs="Arial"/>
          <w:sz w:val="22"/>
          <w:szCs w:val="22"/>
          <w:lang w:eastAsia="en-US"/>
        </w:rPr>
      </w:pPr>
      <w:r w:rsidRPr="00565172">
        <w:rPr>
          <w:rFonts w:eastAsiaTheme="minorHAnsi" w:cs="Arial"/>
          <w:sz w:val="22"/>
          <w:szCs w:val="22"/>
          <w:lang w:eastAsia="en-US"/>
        </w:rPr>
        <w:t xml:space="preserve">           </w:t>
      </w:r>
    </w:p>
    <w:p w:rsidR="00700D1B" w:rsidRPr="00565172" w:rsidP="00700D1B">
      <w:pPr>
        <w:ind w:left="720"/>
        <w:rPr>
          <w:rFonts w:eastAsiaTheme="minorHAnsi" w:cs="Arial"/>
          <w:sz w:val="22"/>
          <w:szCs w:val="22"/>
          <w:lang w:eastAsia="en-US"/>
        </w:rPr>
      </w:pPr>
    </w:p>
    <w:p w:rsidR="00700D1B" w:rsidP="00700D1B">
      <w:pPr>
        <w:ind w:left="720"/>
        <w:jc w:val="both"/>
        <w:rPr>
          <w:rFonts w:eastAsiaTheme="minorHAnsi" w:cs="Arial"/>
          <w:sz w:val="22"/>
          <w:szCs w:val="22"/>
          <w:lang w:eastAsia="en-US"/>
        </w:rPr>
      </w:pPr>
    </w:p>
    <w:p w:rsidR="00700D1B" w:rsidP="00700D1B">
      <w:pPr>
        <w:ind w:left="720"/>
        <w:jc w:val="both"/>
        <w:rPr>
          <w:rFonts w:eastAsiaTheme="minorHAnsi" w:cs="Arial"/>
          <w:sz w:val="22"/>
          <w:szCs w:val="22"/>
          <w:lang w:eastAsia="en-US"/>
        </w:rPr>
      </w:pPr>
    </w:p>
    <w:p w:rsidR="00700D1B" w:rsidP="00700D1B">
      <w:pPr>
        <w:ind w:left="720"/>
        <w:jc w:val="both"/>
        <w:rPr>
          <w:rFonts w:eastAsiaTheme="minorHAnsi" w:cs="Arial"/>
          <w:sz w:val="22"/>
          <w:szCs w:val="22"/>
          <w:lang w:eastAsia="en-US"/>
        </w:rPr>
      </w:pPr>
    </w:p>
    <w:p w:rsidR="00700D1B" w:rsidP="00700D1B">
      <w:pPr>
        <w:ind w:left="720"/>
        <w:jc w:val="both"/>
        <w:rPr>
          <w:rFonts w:eastAsiaTheme="minorHAnsi" w:cs="Arial"/>
          <w:sz w:val="22"/>
          <w:szCs w:val="22"/>
          <w:lang w:eastAsia="en-US"/>
        </w:rPr>
      </w:pPr>
    </w:p>
    <w:p w:rsidR="00700D1B" w:rsidP="00700D1B">
      <w:pPr>
        <w:ind w:left="720"/>
        <w:jc w:val="both"/>
        <w:rPr>
          <w:rFonts w:eastAsiaTheme="minorHAnsi" w:cs="Arial"/>
          <w:sz w:val="22"/>
          <w:szCs w:val="22"/>
          <w:lang w:eastAsia="en-US"/>
        </w:rPr>
      </w:pPr>
    </w:p>
    <w:p w:rsidR="00700D1B" w:rsidP="00700D1B">
      <w:pPr>
        <w:ind w:left="720"/>
        <w:jc w:val="both"/>
        <w:rPr>
          <w:rFonts w:eastAsiaTheme="minorHAnsi" w:cs="Arial"/>
          <w:sz w:val="22"/>
          <w:szCs w:val="22"/>
          <w:lang w:eastAsia="en-US"/>
        </w:rPr>
      </w:pPr>
    </w:p>
    <w:p w:rsidR="00700D1B" w:rsidP="00700D1B">
      <w:pPr>
        <w:ind w:left="720"/>
        <w:jc w:val="both"/>
        <w:rPr>
          <w:rFonts w:eastAsiaTheme="minorHAnsi" w:cs="Arial"/>
          <w:sz w:val="22"/>
          <w:szCs w:val="22"/>
          <w:lang w:eastAsia="en-US"/>
        </w:rPr>
      </w:pPr>
    </w:p>
    <w:p w:rsidR="00700D1B" w:rsidP="00700D1B">
      <w:pPr>
        <w:ind w:left="720"/>
        <w:jc w:val="both"/>
        <w:rPr>
          <w:rFonts w:eastAsiaTheme="minorHAnsi" w:cs="Arial"/>
          <w:sz w:val="22"/>
          <w:szCs w:val="22"/>
          <w:lang w:eastAsia="en-US"/>
        </w:rPr>
      </w:pPr>
    </w:p>
    <w:p w:rsidR="00700D1B" w:rsidP="00700D1B">
      <w:pPr>
        <w:ind w:left="720"/>
        <w:jc w:val="both"/>
        <w:rPr>
          <w:rFonts w:eastAsiaTheme="minorHAnsi" w:cs="Arial"/>
          <w:sz w:val="22"/>
          <w:szCs w:val="22"/>
          <w:lang w:eastAsia="en-US"/>
        </w:rPr>
      </w:pPr>
    </w:p>
    <w:p w:rsidR="00700D1B" w:rsidP="00700D1B">
      <w:pPr>
        <w:ind w:left="720"/>
        <w:jc w:val="both"/>
        <w:rPr>
          <w:rFonts w:eastAsiaTheme="minorHAnsi" w:cs="Arial"/>
          <w:sz w:val="22"/>
          <w:szCs w:val="22"/>
          <w:lang w:eastAsia="en-US"/>
        </w:rPr>
      </w:pPr>
    </w:p>
    <w:p w:rsidR="00700D1B" w:rsidP="00700D1B">
      <w:pPr>
        <w:ind w:left="720"/>
        <w:jc w:val="both"/>
        <w:rPr>
          <w:rFonts w:eastAsiaTheme="minorHAnsi" w:cs="Arial"/>
          <w:sz w:val="22"/>
          <w:szCs w:val="22"/>
          <w:lang w:eastAsia="en-US"/>
        </w:rPr>
      </w:pPr>
    </w:p>
    <w:p w:rsidR="00700D1B" w:rsidP="00700D1B">
      <w:pPr>
        <w:ind w:left="720"/>
        <w:jc w:val="both"/>
        <w:rPr>
          <w:rFonts w:eastAsiaTheme="minorHAnsi" w:cs="Arial"/>
          <w:sz w:val="22"/>
          <w:szCs w:val="22"/>
          <w:lang w:eastAsia="en-US"/>
        </w:rPr>
      </w:pPr>
    </w:p>
    <w:p w:rsidR="00700D1B" w:rsidP="00700D1B">
      <w:pPr>
        <w:ind w:left="720"/>
        <w:jc w:val="both"/>
        <w:rPr>
          <w:rFonts w:eastAsiaTheme="minorHAnsi" w:cs="Arial"/>
          <w:sz w:val="22"/>
          <w:szCs w:val="22"/>
          <w:lang w:eastAsia="en-US"/>
        </w:rPr>
      </w:pPr>
    </w:p>
    <w:p w:rsidR="00700D1B" w:rsidP="00700D1B">
      <w:pPr>
        <w:ind w:left="720"/>
        <w:jc w:val="both"/>
        <w:rPr>
          <w:rFonts w:eastAsiaTheme="minorHAnsi" w:cs="Arial"/>
          <w:sz w:val="22"/>
          <w:szCs w:val="22"/>
          <w:lang w:eastAsia="en-US"/>
        </w:rPr>
      </w:pPr>
    </w:p>
    <w:p w:rsidR="00700D1B" w:rsidP="00700D1B">
      <w:pPr>
        <w:ind w:left="720"/>
        <w:jc w:val="both"/>
        <w:rPr>
          <w:rFonts w:eastAsiaTheme="minorHAnsi" w:cs="Arial"/>
          <w:sz w:val="22"/>
          <w:szCs w:val="22"/>
          <w:lang w:eastAsia="en-US"/>
        </w:rPr>
      </w:pPr>
      <w:r>
        <w:rPr>
          <w:rFonts w:eastAsia="Calibri" w:cs="Arial"/>
          <w:noProof/>
          <w:sz w:val="22"/>
          <w:szCs w:val="22"/>
        </w:rPr>
        <w:drawing>
          <wp:anchor distT="0" distB="0" distL="114300" distR="114300" simplePos="0" relativeHeight="251658240" behindDoc="0" locked="0" layoutInCell="1" allowOverlap="1">
            <wp:simplePos x="0" y="0"/>
            <wp:positionH relativeFrom="margin">
              <wp:align>center</wp:align>
            </wp:positionH>
            <wp:positionV relativeFrom="paragraph">
              <wp:posOffset>7773</wp:posOffset>
            </wp:positionV>
            <wp:extent cx="4798060" cy="975360"/>
            <wp:effectExtent l="0" t="0" r="254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xmlns:r="http://schemas.openxmlformats.org/officeDocument/2006/relationships" r:embed="rId12">
                      <a:extLst>
                        <a:ext uri="{28A0092B-C50C-407E-A947-70E740481C1C}">
                          <a14:useLocalDpi xmlns:a14="http://schemas.microsoft.com/office/drawing/2010/main" val="0"/>
                        </a:ext>
                      </a:extLst>
                    </a:blip>
                    <a:srcRect/>
                    <a:stretch>
                      <a:fillRect/>
                    </a:stretch>
                  </pic:blipFill>
                  <pic:spPr bwMode="auto">
                    <a:xfrm>
                      <a:off x="0" y="0"/>
                      <a:ext cx="4798060" cy="975360"/>
                    </a:xfrm>
                    <a:prstGeom prst="rect">
                      <a:avLst/>
                    </a:prstGeom>
                    <a:noFill/>
                  </pic:spPr>
                </pic:pic>
              </a:graphicData>
            </a:graphic>
          </wp:anchor>
        </w:drawing>
      </w:r>
    </w:p>
    <w:p w:rsidR="00700D1B" w:rsidP="00700D1B">
      <w:pPr>
        <w:ind w:left="720"/>
        <w:jc w:val="both"/>
        <w:rPr>
          <w:rFonts w:eastAsiaTheme="minorHAnsi" w:cs="Arial"/>
          <w:sz w:val="22"/>
          <w:szCs w:val="22"/>
          <w:lang w:eastAsia="en-US"/>
        </w:rPr>
      </w:pPr>
    </w:p>
    <w:p w:rsidR="00700D1B" w:rsidP="00700D1B">
      <w:pPr>
        <w:ind w:left="720"/>
        <w:jc w:val="both"/>
        <w:rPr>
          <w:rFonts w:eastAsiaTheme="minorHAnsi" w:cs="Arial"/>
          <w:sz w:val="22"/>
          <w:szCs w:val="22"/>
          <w:lang w:eastAsia="en-US"/>
        </w:rPr>
      </w:pPr>
    </w:p>
    <w:p w:rsidR="00700D1B" w:rsidP="00700D1B">
      <w:pPr>
        <w:ind w:left="720"/>
        <w:jc w:val="both"/>
        <w:rPr>
          <w:rFonts w:eastAsiaTheme="minorHAnsi" w:cs="Arial"/>
          <w:sz w:val="22"/>
          <w:szCs w:val="22"/>
          <w:lang w:eastAsia="en-US"/>
        </w:rPr>
      </w:pPr>
    </w:p>
    <w:p w:rsidR="00700D1B" w:rsidP="00700D1B">
      <w:pPr>
        <w:ind w:left="720"/>
        <w:jc w:val="both"/>
        <w:rPr>
          <w:rFonts w:eastAsiaTheme="minorHAnsi" w:cs="Arial"/>
          <w:sz w:val="22"/>
          <w:szCs w:val="22"/>
          <w:lang w:eastAsia="en-US"/>
        </w:rPr>
      </w:pPr>
    </w:p>
    <w:p w:rsidR="00700D1B" w:rsidP="00700D1B">
      <w:pPr>
        <w:ind w:left="720"/>
        <w:jc w:val="both"/>
        <w:rPr>
          <w:rFonts w:eastAsiaTheme="minorHAnsi" w:cs="Arial"/>
          <w:sz w:val="22"/>
          <w:szCs w:val="22"/>
          <w:lang w:eastAsia="en-US"/>
        </w:rPr>
      </w:pPr>
    </w:p>
    <w:p w:rsidR="00700D1B" w:rsidP="00700D1B">
      <w:pPr>
        <w:ind w:left="720"/>
        <w:jc w:val="both"/>
        <w:rPr>
          <w:rFonts w:eastAsiaTheme="minorHAnsi" w:cs="Arial"/>
          <w:sz w:val="22"/>
          <w:szCs w:val="22"/>
          <w:lang w:eastAsia="en-US"/>
        </w:rPr>
      </w:pPr>
    </w:p>
    <w:p w:rsidR="00700D1B" w:rsidRPr="00565172" w:rsidP="00700D1B">
      <w:pPr>
        <w:ind w:left="720"/>
        <w:jc w:val="both"/>
        <w:rPr>
          <w:rFonts w:eastAsiaTheme="minorHAnsi" w:cs="Arial"/>
          <w:sz w:val="22"/>
          <w:szCs w:val="22"/>
          <w:lang w:eastAsia="en-US"/>
        </w:rPr>
      </w:pPr>
      <w:r w:rsidRPr="00565172">
        <w:rPr>
          <w:rFonts w:eastAsiaTheme="minorHAnsi" w:cs="Arial"/>
          <w:sz w:val="22"/>
          <w:szCs w:val="22"/>
          <w:lang w:eastAsia="en-US"/>
        </w:rPr>
        <w:t>* NHS – this section represents the funding available for the NHS and consists of the following Estimate lines:</w:t>
      </w:r>
    </w:p>
    <w:p w:rsidR="00700D1B" w:rsidRPr="00565172" w:rsidP="00700D1B">
      <w:pPr>
        <w:ind w:left="720"/>
        <w:jc w:val="both"/>
        <w:rPr>
          <w:rFonts w:eastAsiaTheme="minorHAnsi" w:cs="Arial"/>
          <w:sz w:val="22"/>
          <w:szCs w:val="22"/>
          <w:lang w:eastAsia="en-US"/>
        </w:rPr>
      </w:pPr>
    </w:p>
    <w:p w:rsidR="00700D1B" w:rsidRPr="00565172" w:rsidP="00700D1B">
      <w:pPr>
        <w:numPr>
          <w:ilvl w:val="0"/>
          <w:numId w:val="11"/>
        </w:numPr>
        <w:spacing w:after="200" w:line="276" w:lineRule="auto"/>
        <w:ind w:left="1440"/>
        <w:contextualSpacing/>
        <w:jc w:val="both"/>
        <w:rPr>
          <w:rFonts w:eastAsiaTheme="minorHAnsi" w:cs="Arial"/>
          <w:sz w:val="22"/>
          <w:szCs w:val="22"/>
          <w:lang w:eastAsia="en-US"/>
        </w:rPr>
      </w:pPr>
      <w:r w:rsidRPr="00565172">
        <w:rPr>
          <w:rFonts w:eastAsiaTheme="minorHAnsi" w:cs="Arial"/>
          <w:sz w:val="22"/>
          <w:szCs w:val="22"/>
          <w:lang w:eastAsia="en-US"/>
        </w:rPr>
        <w:t>A – NHS Commissioning Board (known as NHS England);</w:t>
      </w:r>
    </w:p>
    <w:p w:rsidR="00700D1B" w:rsidRPr="00565172" w:rsidP="00700D1B">
      <w:pPr>
        <w:numPr>
          <w:ilvl w:val="0"/>
          <w:numId w:val="11"/>
        </w:numPr>
        <w:spacing w:after="200" w:line="276" w:lineRule="auto"/>
        <w:ind w:left="1440"/>
        <w:contextualSpacing/>
        <w:jc w:val="both"/>
        <w:rPr>
          <w:rFonts w:eastAsiaTheme="minorHAnsi" w:cs="Arial"/>
          <w:sz w:val="22"/>
          <w:szCs w:val="22"/>
          <w:lang w:eastAsia="en-US"/>
        </w:rPr>
      </w:pPr>
      <w:r w:rsidRPr="00565172">
        <w:rPr>
          <w:rFonts w:eastAsiaTheme="minorHAnsi" w:cs="Arial"/>
          <w:sz w:val="22"/>
          <w:szCs w:val="22"/>
          <w:lang w:eastAsia="en-US"/>
        </w:rPr>
        <w:t>B – NHS Providers; and</w:t>
      </w:r>
    </w:p>
    <w:p w:rsidR="00700D1B" w:rsidRPr="00565172" w:rsidP="00700D1B">
      <w:pPr>
        <w:numPr>
          <w:ilvl w:val="0"/>
          <w:numId w:val="11"/>
        </w:numPr>
        <w:spacing w:after="200" w:line="276" w:lineRule="auto"/>
        <w:ind w:left="1440"/>
        <w:contextualSpacing/>
        <w:jc w:val="both"/>
        <w:rPr>
          <w:rFonts w:eastAsiaTheme="minorHAnsi" w:cs="Arial"/>
          <w:sz w:val="22"/>
          <w:szCs w:val="22"/>
          <w:lang w:eastAsia="en-US"/>
        </w:rPr>
      </w:pPr>
      <w:r w:rsidRPr="00565172">
        <w:rPr>
          <w:rFonts w:eastAsiaTheme="minorHAnsi" w:cs="Arial"/>
          <w:sz w:val="22"/>
          <w:szCs w:val="22"/>
          <w:lang w:eastAsia="en-US"/>
        </w:rPr>
        <w:t>J – NHS Commissioning Board (known as NHS England) net expenditure financed from National Insurance Contributions.</w:t>
      </w:r>
    </w:p>
    <w:p w:rsidR="00700D1B" w:rsidRPr="00565172" w:rsidP="00700D1B">
      <w:pPr>
        <w:ind w:left="720"/>
        <w:jc w:val="both"/>
        <w:rPr>
          <w:rFonts w:eastAsiaTheme="minorHAnsi" w:cs="Arial"/>
          <w:sz w:val="22"/>
          <w:szCs w:val="22"/>
          <w:lang w:eastAsia="en-US"/>
        </w:rPr>
      </w:pPr>
    </w:p>
    <w:p w:rsidR="00700D1B" w:rsidRPr="00565172" w:rsidP="00700D1B">
      <w:pPr>
        <w:ind w:left="720"/>
        <w:jc w:val="both"/>
        <w:rPr>
          <w:rFonts w:eastAsiaTheme="minorHAnsi" w:cs="Arial"/>
          <w:sz w:val="22"/>
          <w:szCs w:val="22"/>
          <w:lang w:eastAsia="en-US"/>
        </w:rPr>
      </w:pPr>
      <w:r w:rsidRPr="00565172">
        <w:rPr>
          <w:rFonts w:eastAsiaTheme="minorHAnsi" w:cs="Arial"/>
          <w:sz w:val="22"/>
          <w:szCs w:val="22"/>
          <w:lang w:eastAsia="en-US"/>
        </w:rPr>
        <w:t>Details of the spending plans for each Estimate line can be found in section 2.1.</w:t>
      </w:r>
    </w:p>
    <w:p w:rsidR="00700D1B" w:rsidRPr="00565172" w:rsidP="00700D1B">
      <w:pPr>
        <w:ind w:left="720"/>
        <w:jc w:val="both"/>
        <w:rPr>
          <w:rFonts w:eastAsiaTheme="minorHAnsi" w:cs="Arial"/>
          <w:sz w:val="22"/>
          <w:szCs w:val="22"/>
          <w:lang w:eastAsia="en-US"/>
        </w:rPr>
      </w:pPr>
    </w:p>
    <w:p w:rsidR="00700D1B" w:rsidP="00700D1B">
      <w:pPr>
        <w:ind w:left="720"/>
        <w:jc w:val="both"/>
        <w:rPr>
          <w:rFonts w:eastAsiaTheme="minorHAnsi" w:cs="Arial"/>
          <w:sz w:val="22"/>
          <w:szCs w:val="22"/>
          <w:lang w:eastAsia="en-US"/>
        </w:rPr>
      </w:pPr>
      <w:r w:rsidRPr="00565172">
        <w:rPr>
          <w:rFonts w:eastAsiaTheme="minorHAnsi" w:cs="Arial"/>
          <w:sz w:val="22"/>
          <w:szCs w:val="22"/>
          <w:lang w:eastAsia="en-US"/>
        </w:rPr>
        <w:t>Please note the core funding for NHS Improvement (NHS TDA and Monitor) is not currently included in the *NHS funding block above. Instead it is included in block G (NHS TDA) and block H (Monitor).</w:t>
      </w:r>
    </w:p>
    <w:p w:rsidR="00700D1B" w:rsidRPr="00565172" w:rsidP="00700D1B">
      <w:pPr>
        <w:ind w:firstLine="567"/>
        <w:contextualSpacing/>
        <w:rPr>
          <w:rFonts w:eastAsiaTheme="minorHAnsi" w:cs="Arial"/>
          <w:sz w:val="22"/>
          <w:szCs w:val="22"/>
          <w:lang w:eastAsia="en-US"/>
        </w:rPr>
      </w:pPr>
      <w:r>
        <w:rPr>
          <w:rFonts w:eastAsiaTheme="minorHAnsi" w:cs="Arial"/>
          <w:noProof/>
          <w:sz w:val="22"/>
          <w:szCs w:val="22"/>
          <w:lang w:eastAsia="en-US"/>
        </w:rPr>
        <w:drawing>
          <wp:anchor distT="0" distB="0" distL="114300" distR="114300" simplePos="0" relativeHeight="251661312" behindDoc="0" locked="0" layoutInCell="1" allowOverlap="1">
            <wp:simplePos x="0" y="0"/>
            <wp:positionH relativeFrom="margin">
              <wp:posOffset>1027430</wp:posOffset>
            </wp:positionH>
            <wp:positionV relativeFrom="paragraph">
              <wp:posOffset>9525</wp:posOffset>
            </wp:positionV>
            <wp:extent cx="5049520" cy="2673985"/>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xmlns:r="http://schemas.openxmlformats.org/officeDocument/2006/relationships" r:embed="rId13">
                      <a:extLst>
                        <a:ext uri="{28A0092B-C50C-407E-A947-70E740481C1C}">
                          <a14:useLocalDpi xmlns:a14="http://schemas.microsoft.com/office/drawing/2010/main" val="0"/>
                        </a:ext>
                      </a:extLst>
                    </a:blip>
                    <a:srcRect/>
                    <a:stretch>
                      <a:fillRect/>
                    </a:stretch>
                  </pic:blipFill>
                  <pic:spPr bwMode="auto">
                    <a:xfrm>
                      <a:off x="0" y="0"/>
                      <a:ext cx="5049520" cy="2673985"/>
                    </a:xfrm>
                    <a:prstGeom prst="rect">
                      <a:avLst/>
                    </a:prstGeom>
                    <a:noFill/>
                  </pic:spPr>
                </pic:pic>
              </a:graphicData>
            </a:graphic>
          </wp:anchor>
        </w:drawing>
      </w:r>
    </w:p>
    <w:p w:rsidR="00700D1B" w:rsidRPr="00565172" w:rsidP="00700D1B">
      <w:pPr>
        <w:ind w:left="567"/>
        <w:rPr>
          <w:rFonts w:eastAsiaTheme="minorHAnsi" w:cs="Arial"/>
          <w:sz w:val="22"/>
          <w:szCs w:val="22"/>
          <w:highlight w:val="yellow"/>
          <w:lang w:eastAsia="en-US"/>
        </w:rPr>
      </w:pPr>
      <w:r w:rsidRPr="00565172">
        <w:rPr>
          <w:rFonts w:eastAsiaTheme="minorHAnsi" w:cs="Arial"/>
          <w:sz w:val="22"/>
          <w:szCs w:val="22"/>
          <w:lang w:eastAsia="en-US"/>
        </w:rPr>
        <w:t xml:space="preserve">                 </w:t>
      </w:r>
    </w:p>
    <w:p w:rsidR="00700D1B" w:rsidRPr="00565172" w:rsidP="00700D1B">
      <w:pPr>
        <w:ind w:left="720"/>
        <w:rPr>
          <w:rFonts w:eastAsiaTheme="minorHAnsi" w:cs="Arial"/>
          <w:sz w:val="22"/>
          <w:szCs w:val="22"/>
          <w:lang w:eastAsia="en-US"/>
        </w:rPr>
      </w:pPr>
    </w:p>
    <w:p w:rsidR="00700D1B" w:rsidP="00700D1B">
      <w:pPr>
        <w:ind w:left="720"/>
        <w:jc w:val="both"/>
        <w:rPr>
          <w:rFonts w:eastAsiaTheme="minorHAnsi" w:cs="Arial"/>
          <w:sz w:val="22"/>
          <w:szCs w:val="22"/>
          <w:lang w:eastAsia="en-US"/>
        </w:rPr>
      </w:pPr>
    </w:p>
    <w:p w:rsidR="00700D1B" w:rsidP="00700D1B">
      <w:pPr>
        <w:ind w:left="720"/>
        <w:jc w:val="both"/>
        <w:rPr>
          <w:rFonts w:eastAsiaTheme="minorHAnsi" w:cs="Arial"/>
          <w:sz w:val="22"/>
          <w:szCs w:val="22"/>
          <w:lang w:eastAsia="en-US"/>
        </w:rPr>
      </w:pPr>
    </w:p>
    <w:p w:rsidR="00700D1B" w:rsidP="00700D1B">
      <w:pPr>
        <w:ind w:left="720"/>
        <w:jc w:val="both"/>
        <w:rPr>
          <w:rFonts w:eastAsiaTheme="minorHAnsi" w:cs="Arial"/>
          <w:sz w:val="22"/>
          <w:szCs w:val="22"/>
          <w:lang w:eastAsia="en-US"/>
        </w:rPr>
      </w:pPr>
    </w:p>
    <w:p w:rsidR="00700D1B" w:rsidP="00700D1B">
      <w:pPr>
        <w:ind w:left="720"/>
        <w:jc w:val="both"/>
        <w:rPr>
          <w:rFonts w:eastAsiaTheme="minorHAnsi" w:cs="Arial"/>
          <w:sz w:val="22"/>
          <w:szCs w:val="22"/>
          <w:lang w:eastAsia="en-US"/>
        </w:rPr>
      </w:pPr>
    </w:p>
    <w:p w:rsidR="00700D1B" w:rsidP="00700D1B">
      <w:pPr>
        <w:ind w:left="720"/>
        <w:jc w:val="both"/>
        <w:rPr>
          <w:rFonts w:eastAsiaTheme="minorHAnsi" w:cs="Arial"/>
          <w:sz w:val="22"/>
          <w:szCs w:val="22"/>
          <w:lang w:eastAsia="en-US"/>
        </w:rPr>
      </w:pPr>
    </w:p>
    <w:p w:rsidR="00700D1B" w:rsidP="00700D1B">
      <w:pPr>
        <w:ind w:left="720"/>
        <w:jc w:val="both"/>
        <w:rPr>
          <w:rFonts w:eastAsiaTheme="minorHAnsi" w:cs="Arial"/>
          <w:sz w:val="22"/>
          <w:szCs w:val="22"/>
          <w:lang w:eastAsia="en-US"/>
        </w:rPr>
      </w:pPr>
    </w:p>
    <w:p w:rsidR="00700D1B" w:rsidP="00700D1B">
      <w:pPr>
        <w:ind w:left="720"/>
        <w:jc w:val="both"/>
        <w:rPr>
          <w:rFonts w:eastAsiaTheme="minorHAnsi" w:cs="Arial"/>
          <w:sz w:val="22"/>
          <w:szCs w:val="22"/>
          <w:lang w:eastAsia="en-US"/>
        </w:rPr>
      </w:pPr>
    </w:p>
    <w:p w:rsidR="00700D1B" w:rsidP="00700D1B">
      <w:pPr>
        <w:ind w:left="720"/>
        <w:jc w:val="both"/>
        <w:rPr>
          <w:rFonts w:eastAsiaTheme="minorHAnsi" w:cs="Arial"/>
          <w:sz w:val="22"/>
          <w:szCs w:val="22"/>
          <w:lang w:eastAsia="en-US"/>
        </w:rPr>
      </w:pPr>
    </w:p>
    <w:p w:rsidR="00700D1B" w:rsidP="00700D1B">
      <w:pPr>
        <w:ind w:left="720"/>
        <w:jc w:val="both"/>
        <w:rPr>
          <w:rFonts w:eastAsiaTheme="minorHAnsi" w:cs="Arial"/>
          <w:sz w:val="22"/>
          <w:szCs w:val="22"/>
          <w:lang w:eastAsia="en-US"/>
        </w:rPr>
      </w:pPr>
    </w:p>
    <w:p w:rsidR="00700D1B" w:rsidP="00700D1B">
      <w:pPr>
        <w:ind w:left="720"/>
        <w:jc w:val="both"/>
        <w:rPr>
          <w:rFonts w:eastAsiaTheme="minorHAnsi" w:cs="Arial"/>
          <w:sz w:val="22"/>
          <w:szCs w:val="22"/>
          <w:lang w:eastAsia="en-US"/>
        </w:rPr>
      </w:pPr>
    </w:p>
    <w:p w:rsidR="00700D1B" w:rsidP="00700D1B">
      <w:pPr>
        <w:ind w:left="720"/>
        <w:jc w:val="both"/>
        <w:rPr>
          <w:rFonts w:eastAsiaTheme="minorHAnsi" w:cs="Arial"/>
          <w:sz w:val="22"/>
          <w:szCs w:val="22"/>
          <w:lang w:eastAsia="en-US"/>
        </w:rPr>
      </w:pPr>
    </w:p>
    <w:p w:rsidR="00700D1B" w:rsidP="00700D1B">
      <w:pPr>
        <w:ind w:left="720"/>
        <w:jc w:val="both"/>
        <w:rPr>
          <w:rFonts w:eastAsiaTheme="minorHAnsi" w:cs="Arial"/>
          <w:sz w:val="22"/>
          <w:szCs w:val="22"/>
          <w:lang w:eastAsia="en-US"/>
        </w:rPr>
      </w:pPr>
    </w:p>
    <w:p w:rsidR="00700D1B" w:rsidP="00700D1B">
      <w:pPr>
        <w:ind w:left="720"/>
        <w:jc w:val="both"/>
        <w:rPr>
          <w:rFonts w:eastAsiaTheme="minorHAnsi" w:cs="Arial"/>
          <w:sz w:val="22"/>
          <w:szCs w:val="22"/>
          <w:lang w:eastAsia="en-US"/>
        </w:rPr>
      </w:pPr>
    </w:p>
    <w:p w:rsidR="00700D1B" w:rsidP="00700D1B">
      <w:pPr>
        <w:ind w:left="720"/>
        <w:jc w:val="both"/>
        <w:rPr>
          <w:rFonts w:eastAsiaTheme="minorHAnsi" w:cs="Arial"/>
          <w:sz w:val="22"/>
          <w:szCs w:val="22"/>
          <w:lang w:eastAsia="en-US"/>
        </w:rPr>
      </w:pPr>
      <w:r>
        <w:rPr>
          <w:rFonts w:eastAsiaTheme="minorHAnsi" w:cs="Arial"/>
          <w:noProof/>
          <w:sz w:val="22"/>
          <w:szCs w:val="22"/>
          <w:lang w:eastAsia="en-US"/>
        </w:rPr>
        <w:drawing>
          <wp:anchor distT="0" distB="0" distL="114300" distR="114300" simplePos="0" relativeHeight="251660288" behindDoc="0" locked="0" layoutInCell="1" allowOverlap="1">
            <wp:simplePos x="0" y="0"/>
            <wp:positionH relativeFrom="margin">
              <wp:posOffset>1638564</wp:posOffset>
            </wp:positionH>
            <wp:positionV relativeFrom="paragraph">
              <wp:posOffset>113114</wp:posOffset>
            </wp:positionV>
            <wp:extent cx="3964305" cy="842010"/>
            <wp:effectExtent l="0" t="0" r="0" b="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xmlns:r="http://schemas.openxmlformats.org/officeDocument/2006/relationships" r:embed="rId14">
                      <a:extLst>
                        <a:ext uri="{28A0092B-C50C-407E-A947-70E740481C1C}">
                          <a14:useLocalDpi xmlns:a14="http://schemas.microsoft.com/office/drawing/2010/main" val="0"/>
                        </a:ext>
                      </a:extLst>
                    </a:blip>
                    <a:srcRect/>
                    <a:stretch>
                      <a:fillRect/>
                    </a:stretch>
                  </pic:blipFill>
                  <pic:spPr bwMode="auto">
                    <a:xfrm>
                      <a:off x="0" y="0"/>
                      <a:ext cx="3964305" cy="842010"/>
                    </a:xfrm>
                    <a:prstGeom prst="rect">
                      <a:avLst/>
                    </a:prstGeom>
                    <a:noFill/>
                  </pic:spPr>
                </pic:pic>
              </a:graphicData>
            </a:graphic>
          </wp:anchor>
        </w:drawing>
      </w:r>
    </w:p>
    <w:p w:rsidR="00700D1B" w:rsidP="00700D1B">
      <w:pPr>
        <w:ind w:left="720"/>
        <w:jc w:val="both"/>
        <w:rPr>
          <w:rFonts w:eastAsiaTheme="minorHAnsi" w:cs="Arial"/>
          <w:sz w:val="22"/>
          <w:szCs w:val="22"/>
          <w:lang w:eastAsia="en-US"/>
        </w:rPr>
      </w:pPr>
    </w:p>
    <w:p w:rsidR="00700D1B" w:rsidP="00700D1B">
      <w:pPr>
        <w:ind w:left="720"/>
        <w:jc w:val="both"/>
        <w:rPr>
          <w:rFonts w:eastAsiaTheme="minorHAnsi" w:cs="Arial"/>
          <w:sz w:val="22"/>
          <w:szCs w:val="22"/>
          <w:lang w:eastAsia="en-US"/>
        </w:rPr>
      </w:pPr>
    </w:p>
    <w:p w:rsidR="00700D1B" w:rsidP="00700D1B">
      <w:pPr>
        <w:ind w:left="720"/>
        <w:jc w:val="both"/>
        <w:rPr>
          <w:rFonts w:eastAsiaTheme="minorHAnsi" w:cs="Arial"/>
          <w:sz w:val="22"/>
          <w:szCs w:val="22"/>
          <w:lang w:eastAsia="en-US"/>
        </w:rPr>
      </w:pPr>
    </w:p>
    <w:p w:rsidR="00700D1B" w:rsidP="00700D1B">
      <w:pPr>
        <w:ind w:left="720"/>
        <w:jc w:val="both"/>
        <w:rPr>
          <w:rFonts w:eastAsiaTheme="minorHAnsi" w:cs="Arial"/>
          <w:sz w:val="22"/>
          <w:szCs w:val="22"/>
          <w:lang w:eastAsia="en-US"/>
        </w:rPr>
      </w:pPr>
    </w:p>
    <w:p w:rsidR="00700D1B" w:rsidP="00700D1B">
      <w:pPr>
        <w:ind w:left="720"/>
        <w:jc w:val="both"/>
        <w:rPr>
          <w:rFonts w:eastAsiaTheme="minorHAnsi" w:cs="Arial"/>
          <w:sz w:val="22"/>
          <w:szCs w:val="22"/>
          <w:lang w:eastAsia="en-US"/>
        </w:rPr>
      </w:pPr>
    </w:p>
    <w:p w:rsidR="00700D1B" w:rsidP="00700D1B">
      <w:pPr>
        <w:ind w:left="720"/>
        <w:jc w:val="both"/>
        <w:rPr>
          <w:rFonts w:eastAsiaTheme="minorHAnsi" w:cs="Arial"/>
          <w:sz w:val="22"/>
          <w:szCs w:val="22"/>
          <w:lang w:eastAsia="en-US"/>
        </w:rPr>
      </w:pPr>
    </w:p>
    <w:p w:rsidR="00700D1B" w:rsidRPr="00565172" w:rsidP="00700D1B">
      <w:pPr>
        <w:ind w:left="720"/>
        <w:jc w:val="both"/>
        <w:rPr>
          <w:rFonts w:eastAsiaTheme="minorHAnsi" w:cs="Arial"/>
          <w:sz w:val="22"/>
          <w:szCs w:val="22"/>
          <w:lang w:eastAsia="en-US"/>
        </w:rPr>
      </w:pPr>
      <w:r w:rsidRPr="00565172">
        <w:rPr>
          <w:rFonts w:eastAsiaTheme="minorHAnsi" w:cs="Arial"/>
          <w:sz w:val="22"/>
          <w:szCs w:val="22"/>
          <w:lang w:eastAsia="en-US"/>
        </w:rPr>
        <w:t>Please note the capital for Health Education England (line F) is not shown in this illustration due to relatively small size of the budget (£2m).  Details of the spending plans for each Estimate line can be found in section 2.1.</w:t>
      </w:r>
    </w:p>
    <w:p w:rsidR="00700D1B" w:rsidRPr="00565172" w:rsidP="00700D1B">
      <w:pPr>
        <w:ind w:left="567"/>
        <w:rPr>
          <w:rFonts w:eastAsiaTheme="minorHAnsi" w:cs="Arial"/>
          <w:sz w:val="22"/>
          <w:szCs w:val="22"/>
          <w:lang w:eastAsia="en-US"/>
        </w:rPr>
      </w:pPr>
      <w:r>
        <w:rPr>
          <w:rFonts w:eastAsiaTheme="minorHAnsi" w:cs="Arial"/>
          <w:noProof/>
          <w:sz w:val="22"/>
          <w:szCs w:val="22"/>
          <w:lang w:eastAsia="en-US"/>
        </w:rPr>
        <w:drawing>
          <wp:anchor distT="0" distB="0" distL="114300" distR="114300" simplePos="0" relativeHeight="251662336" behindDoc="0" locked="0" layoutInCell="1" allowOverlap="1">
            <wp:simplePos x="0" y="0"/>
            <wp:positionH relativeFrom="margin">
              <wp:posOffset>982824</wp:posOffset>
            </wp:positionH>
            <wp:positionV relativeFrom="paragraph">
              <wp:posOffset>60373</wp:posOffset>
            </wp:positionV>
            <wp:extent cx="5102225" cy="2831465"/>
            <wp:effectExtent l="0" t="0" r="3175" b="6985"/>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xmlns:r="http://schemas.openxmlformats.org/officeDocument/2006/relationships" r:embed="rId15">
                      <a:extLst>
                        <a:ext uri="{28A0092B-C50C-407E-A947-70E740481C1C}">
                          <a14:useLocalDpi xmlns:a14="http://schemas.microsoft.com/office/drawing/2010/main" val="0"/>
                        </a:ext>
                      </a:extLst>
                    </a:blip>
                    <a:srcRect/>
                    <a:stretch>
                      <a:fillRect/>
                    </a:stretch>
                  </pic:blipFill>
                  <pic:spPr bwMode="auto">
                    <a:xfrm>
                      <a:off x="0" y="0"/>
                      <a:ext cx="5102225" cy="2831465"/>
                    </a:xfrm>
                    <a:prstGeom prst="rect">
                      <a:avLst/>
                    </a:prstGeom>
                    <a:noFill/>
                  </pic:spPr>
                </pic:pic>
              </a:graphicData>
            </a:graphic>
          </wp:anchor>
        </w:drawing>
      </w:r>
    </w:p>
    <w:p w:rsidR="00700D1B" w:rsidRPr="00565172" w:rsidP="00700D1B">
      <w:pPr>
        <w:ind w:left="567"/>
        <w:rPr>
          <w:rFonts w:eastAsiaTheme="minorHAnsi" w:cs="Arial"/>
          <w:sz w:val="22"/>
          <w:szCs w:val="22"/>
          <w:lang w:eastAsia="en-US"/>
        </w:rPr>
      </w:pPr>
    </w:p>
    <w:p w:rsidR="00700D1B" w:rsidRPr="00565172" w:rsidP="00700D1B">
      <w:pPr>
        <w:ind w:left="720"/>
        <w:rPr>
          <w:rFonts w:eastAsiaTheme="minorHAnsi" w:cs="Arial"/>
          <w:sz w:val="22"/>
          <w:szCs w:val="22"/>
          <w:lang w:eastAsia="en-US"/>
        </w:rPr>
      </w:pPr>
    </w:p>
    <w:p w:rsidR="00700D1B" w:rsidRPr="00565172" w:rsidP="00700D1B">
      <w:pPr>
        <w:ind w:left="567"/>
        <w:rPr>
          <w:rFonts w:eastAsiaTheme="minorHAnsi" w:cs="Arial"/>
          <w:sz w:val="22"/>
          <w:szCs w:val="22"/>
          <w:highlight w:val="yellow"/>
          <w:lang w:eastAsia="en-US"/>
        </w:rPr>
      </w:pPr>
      <w:r w:rsidRPr="00565172">
        <w:rPr>
          <w:rFonts w:eastAsiaTheme="minorHAnsi" w:cs="Arial"/>
          <w:sz w:val="22"/>
          <w:szCs w:val="22"/>
          <w:lang w:eastAsia="en-US"/>
        </w:rPr>
        <w:t xml:space="preserve">                    </w:t>
      </w:r>
    </w:p>
    <w:p w:rsidR="00700D1B" w:rsidRPr="00565172" w:rsidP="00700D1B">
      <w:pPr>
        <w:ind w:left="567"/>
        <w:rPr>
          <w:rFonts w:eastAsiaTheme="minorHAnsi" w:cs="Arial"/>
          <w:sz w:val="22"/>
          <w:szCs w:val="22"/>
          <w:lang w:eastAsia="en-US"/>
        </w:rPr>
      </w:pPr>
      <w:r w:rsidRPr="00565172">
        <w:rPr>
          <w:rFonts w:eastAsiaTheme="minorHAnsi" w:cs="Arial"/>
          <w:sz w:val="22"/>
          <w:szCs w:val="22"/>
          <w:lang w:eastAsia="en-US"/>
        </w:rPr>
        <w:t xml:space="preserve">          </w:t>
      </w:r>
    </w:p>
    <w:p w:rsidR="00700D1B" w:rsidRPr="00565172" w:rsidP="00700D1B">
      <w:pPr>
        <w:rPr>
          <w:rFonts w:eastAsiaTheme="minorHAnsi" w:cs="Arial"/>
          <w:sz w:val="22"/>
          <w:szCs w:val="22"/>
          <w:lang w:eastAsia="en-US"/>
        </w:rPr>
      </w:pPr>
      <w:r>
        <w:rPr>
          <w:noProof/>
        </w:rPr>
        <w:drawing>
          <wp:anchor distT="0" distB="0" distL="114300" distR="114300" simplePos="0" relativeHeight="251666432" behindDoc="1" locked="0" layoutInCell="1" allowOverlap="1">
            <wp:simplePos x="0" y="0"/>
            <wp:positionH relativeFrom="margin">
              <wp:posOffset>1491986</wp:posOffset>
            </wp:positionH>
            <wp:positionV relativeFrom="paragraph">
              <wp:posOffset>2086046</wp:posOffset>
            </wp:positionV>
            <wp:extent cx="3941445" cy="792480"/>
            <wp:effectExtent l="19050" t="19050" r="20955" b="26670"/>
            <wp:wrapTight wrapText="bothSides">
              <wp:wrapPolygon>
                <wp:start x="-104" y="-519"/>
                <wp:lineTo x="-104" y="21808"/>
                <wp:lineTo x="21610" y="21808"/>
                <wp:lineTo x="21610" y="-519"/>
                <wp:lineTo x="-104" y="-519"/>
              </wp:wrapPolygon>
            </wp:wrapTight>
            <wp:docPr id="11"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9">
                      <a:extLst>
                        <a:ext uri="{FF2B5EF4-FFF2-40B4-BE49-F238E27FC236}">
                          <a16:creationId xmlns:a16="http://schemas.microsoft.com/office/drawing/2014/main" id="{91207FD5-FBE0-4A64-AF21-EBBA1E2BE4D4}"/>
                        </a:ext>
                      </a:extLst>
                    </pic:cNvPr>
                    <pic:cNvPicPr>
                      <a:picLocks noChangeAspect="1"/>
                    </pic:cNvPicPr>
                  </pic:nvPicPr>
                  <pic:blipFill>
                    <a:blip xmlns:r="http://schemas.openxmlformats.org/officeDocument/2006/relationships" r:embed="rId16">
                      <a:extLst>
                        <a:ext uri="{28A0092B-C50C-407E-A947-70E740481C1C}">
                          <a14:useLocalDpi xmlns:a14="http://schemas.microsoft.com/office/drawing/2010/main" val="0"/>
                        </a:ext>
                      </a:extLst>
                    </a:blip>
                    <a:stretch>
                      <a:fillRect/>
                    </a:stretch>
                  </pic:blipFill>
                  <pic:spPr>
                    <a:xfrm>
                      <a:off x="0" y="0"/>
                      <a:ext cx="3941445" cy="792480"/>
                    </a:xfrm>
                    <a:prstGeom prst="rect">
                      <a:avLst/>
                    </a:prstGeom>
                    <a:ln>
                      <a:solidFill>
                        <a:schemeClr val="bg1">
                          <a:lumMod val="85000"/>
                        </a:schemeClr>
                      </a:solidFill>
                    </a:ln>
                  </pic:spPr>
                </pic:pic>
              </a:graphicData>
            </a:graphic>
          </wp:anchor>
        </w:drawing>
      </w:r>
      <w:r w:rsidRPr="7695B729">
        <w:rPr>
          <w:rFonts w:eastAsiaTheme="minorEastAsia" w:cs="Arial"/>
          <w:sz w:val="22"/>
          <w:szCs w:val="22"/>
          <w:lang w:eastAsia="en-US"/>
        </w:rPr>
        <w:br w:type="page"/>
      </w:r>
    </w:p>
    <w:p w:rsidR="00700D1B" w:rsidRPr="00565172" w:rsidP="00700D1B">
      <w:pPr>
        <w:numPr>
          <w:ilvl w:val="1"/>
          <w:numId w:val="8"/>
        </w:numPr>
        <w:spacing w:after="120" w:line="276" w:lineRule="auto"/>
        <w:ind w:left="567" w:hanging="567"/>
        <w:rPr>
          <w:rFonts w:eastAsia="Calibri" w:cs="Arial"/>
          <w:sz w:val="22"/>
          <w:szCs w:val="22"/>
        </w:rPr>
      </w:pPr>
      <w:r w:rsidRPr="00565172">
        <w:rPr>
          <w:rFonts w:eastAsia="Calibri" w:cs="Arial"/>
          <w:b/>
          <w:sz w:val="22"/>
          <w:szCs w:val="22"/>
        </w:rPr>
        <w:t>Comparison of Spending Totals Sought</w:t>
      </w:r>
    </w:p>
    <w:p w:rsidR="00700D1B" w:rsidP="00700D1B">
      <w:pPr>
        <w:ind w:left="567"/>
        <w:rPr>
          <w:rFonts w:eastAsiaTheme="minorHAnsi" w:cs="Arial"/>
          <w:sz w:val="22"/>
          <w:szCs w:val="22"/>
          <w:lang w:eastAsia="en-US"/>
        </w:rPr>
      </w:pPr>
      <w:r w:rsidRPr="00565172">
        <w:rPr>
          <w:rFonts w:eastAsiaTheme="minorHAnsi" w:cs="Arial"/>
          <w:sz w:val="22"/>
          <w:szCs w:val="22"/>
          <w:lang w:eastAsia="en-US"/>
        </w:rPr>
        <w:t xml:space="preserve">The table below shows how the 2020-21 </w:t>
      </w:r>
      <w:r>
        <w:rPr>
          <w:rFonts w:eastAsiaTheme="minorHAnsi" w:cs="Arial"/>
          <w:sz w:val="22"/>
          <w:szCs w:val="22"/>
          <w:lang w:eastAsia="en-US"/>
        </w:rPr>
        <w:t xml:space="preserve">Supplementary </w:t>
      </w:r>
      <w:r w:rsidRPr="00565172">
        <w:rPr>
          <w:rFonts w:eastAsiaTheme="minorHAnsi" w:cs="Arial"/>
          <w:sz w:val="22"/>
          <w:szCs w:val="22"/>
          <w:lang w:eastAsia="en-US"/>
        </w:rPr>
        <w:t>Supply Estimate (</w:t>
      </w:r>
      <w:r>
        <w:rPr>
          <w:rFonts w:eastAsiaTheme="minorHAnsi" w:cs="Arial"/>
          <w:sz w:val="22"/>
          <w:szCs w:val="22"/>
          <w:lang w:eastAsia="en-US"/>
        </w:rPr>
        <w:t>SS</w:t>
      </w:r>
      <w:r w:rsidRPr="00565172">
        <w:rPr>
          <w:rFonts w:eastAsiaTheme="minorHAnsi" w:cs="Arial"/>
          <w:sz w:val="22"/>
          <w:szCs w:val="22"/>
          <w:lang w:eastAsia="en-US"/>
        </w:rPr>
        <w:t xml:space="preserve">E) spending plans compare with the </w:t>
      </w:r>
      <w:r>
        <w:rPr>
          <w:rFonts w:eastAsiaTheme="minorHAnsi" w:cs="Arial"/>
          <w:sz w:val="22"/>
          <w:szCs w:val="22"/>
          <w:lang w:eastAsia="en-US"/>
        </w:rPr>
        <w:t xml:space="preserve">2020-21 </w:t>
      </w:r>
      <w:r w:rsidRPr="00565172">
        <w:rPr>
          <w:rFonts w:eastAsiaTheme="minorHAnsi" w:cs="Arial"/>
          <w:sz w:val="22"/>
          <w:szCs w:val="22"/>
          <w:lang w:eastAsia="en-US"/>
        </w:rPr>
        <w:t>Main Estimates</w:t>
      </w:r>
      <w:r>
        <w:rPr>
          <w:rFonts w:eastAsiaTheme="minorHAnsi" w:cs="Arial"/>
          <w:sz w:val="22"/>
          <w:szCs w:val="22"/>
          <w:lang w:eastAsia="en-US"/>
        </w:rPr>
        <w:t xml:space="preserve"> and the 2019-20 Outturn</w:t>
      </w:r>
      <w:r w:rsidRPr="00565172">
        <w:rPr>
          <w:rFonts w:eastAsiaTheme="minorHAnsi" w:cs="Arial"/>
          <w:sz w:val="22"/>
          <w:szCs w:val="22"/>
          <w:lang w:eastAsia="en-US"/>
        </w:rPr>
        <w:t>.</w:t>
      </w:r>
    </w:p>
    <w:p w:rsidR="00700D1B" w:rsidP="00700D1B">
      <w:pPr>
        <w:rPr>
          <w:rFonts w:eastAsiaTheme="minorHAnsi" w:cs="Arial"/>
          <w:b/>
          <w:sz w:val="22"/>
          <w:szCs w:val="22"/>
          <w:lang w:eastAsia="en-US"/>
        </w:rPr>
      </w:pPr>
    </w:p>
    <w:tbl>
      <w:tblPr>
        <w:tblW w:w="10348" w:type="dxa"/>
        <w:tblInd w:w="279" w:type="dxa"/>
        <w:tblLayout w:type="fixed"/>
        <w:tblLook w:val="04A0"/>
      </w:tblPr>
      <w:tblGrid>
        <w:gridCol w:w="1843"/>
        <w:gridCol w:w="1842"/>
        <w:gridCol w:w="1418"/>
        <w:gridCol w:w="1134"/>
        <w:gridCol w:w="850"/>
        <w:gridCol w:w="1276"/>
        <w:gridCol w:w="992"/>
        <w:gridCol w:w="993"/>
      </w:tblGrid>
      <w:tr w:rsidTr="00700D1B">
        <w:tblPrEx>
          <w:tblW w:w="10348" w:type="dxa"/>
          <w:tblInd w:w="279" w:type="dxa"/>
          <w:tblLayout w:type="fixed"/>
          <w:tblLook w:val="04A0"/>
        </w:tblPrEx>
        <w:trPr>
          <w:trHeight w:val="900"/>
        </w:trPr>
        <w:tc>
          <w:tcPr>
            <w:tcW w:w="1843" w:type="dxa"/>
            <w:vMerge w:val="restart"/>
            <w:tcBorders>
              <w:top w:val="single" w:sz="4" w:space="0" w:color="auto"/>
              <w:left w:val="single" w:sz="4" w:space="0" w:color="auto"/>
              <w:bottom w:val="single" w:sz="4" w:space="0" w:color="000000"/>
              <w:right w:val="single" w:sz="4" w:space="0" w:color="auto"/>
            </w:tcBorders>
            <w:shd w:val="clear" w:color="000000" w:fill="16365C"/>
            <w:noWrap/>
            <w:vAlign w:val="center"/>
            <w:hideMark/>
          </w:tcPr>
          <w:p w:rsidR="00700D1B" w:rsidRPr="00035C1A" w:rsidP="00700D1B">
            <w:pPr>
              <w:rPr>
                <w:rFonts w:cs="Arial"/>
                <w:b/>
                <w:bCs/>
                <w:color w:val="FFFFFF"/>
                <w:sz w:val="22"/>
                <w:szCs w:val="22"/>
              </w:rPr>
            </w:pPr>
            <w:r w:rsidRPr="00035C1A">
              <w:rPr>
                <w:rFonts w:cs="Arial"/>
                <w:b/>
                <w:bCs/>
                <w:color w:val="FFFFFF"/>
                <w:sz w:val="22"/>
                <w:szCs w:val="22"/>
              </w:rPr>
              <w:t>DEL Type</w:t>
            </w:r>
          </w:p>
        </w:tc>
        <w:tc>
          <w:tcPr>
            <w:tcW w:w="1842" w:type="dxa"/>
            <w:tcBorders>
              <w:top w:val="single" w:sz="4" w:space="0" w:color="auto"/>
              <w:left w:val="single" w:sz="4" w:space="0" w:color="auto"/>
              <w:bottom w:val="single" w:sz="4" w:space="0" w:color="auto"/>
              <w:right w:val="single" w:sz="4" w:space="0" w:color="auto"/>
            </w:tcBorders>
            <w:shd w:val="clear" w:color="000000" w:fill="16365C"/>
            <w:vAlign w:val="center"/>
            <w:hideMark/>
          </w:tcPr>
          <w:p w:rsidR="00700D1B" w:rsidRPr="00035C1A" w:rsidP="00700D1B">
            <w:pPr>
              <w:jc w:val="center"/>
              <w:rPr>
                <w:rFonts w:cs="Arial"/>
                <w:b/>
                <w:bCs/>
                <w:color w:val="FFFFFF"/>
                <w:sz w:val="22"/>
                <w:szCs w:val="22"/>
              </w:rPr>
            </w:pPr>
            <w:r w:rsidRPr="00035C1A">
              <w:rPr>
                <w:rFonts w:cs="Arial"/>
                <w:b/>
                <w:bCs/>
                <w:color w:val="FFFFFF"/>
                <w:sz w:val="22"/>
                <w:szCs w:val="22"/>
              </w:rPr>
              <w:t xml:space="preserve">2020-21 Supplementary Estimate </w:t>
            </w:r>
          </w:p>
        </w:tc>
        <w:tc>
          <w:tcPr>
            <w:tcW w:w="1418" w:type="dxa"/>
            <w:tcBorders>
              <w:top w:val="single" w:sz="4" w:space="0" w:color="auto"/>
              <w:left w:val="nil"/>
              <w:bottom w:val="single" w:sz="4" w:space="0" w:color="auto"/>
              <w:right w:val="single" w:sz="4" w:space="0" w:color="auto"/>
            </w:tcBorders>
            <w:shd w:val="clear" w:color="000000" w:fill="16365C"/>
            <w:vAlign w:val="center"/>
            <w:hideMark/>
          </w:tcPr>
          <w:p w:rsidR="00700D1B" w:rsidRPr="00035C1A" w:rsidP="00700D1B">
            <w:pPr>
              <w:jc w:val="center"/>
              <w:rPr>
                <w:rFonts w:cs="Arial"/>
                <w:b/>
                <w:bCs/>
                <w:color w:val="FFFFFF"/>
                <w:sz w:val="22"/>
                <w:szCs w:val="22"/>
              </w:rPr>
            </w:pPr>
            <w:r w:rsidRPr="00035C1A">
              <w:rPr>
                <w:rFonts w:cs="Arial"/>
                <w:b/>
                <w:bCs/>
                <w:color w:val="FFFFFF"/>
                <w:sz w:val="22"/>
                <w:szCs w:val="22"/>
              </w:rPr>
              <w:t xml:space="preserve">2020 Main Estimate </w:t>
            </w:r>
          </w:p>
        </w:tc>
        <w:tc>
          <w:tcPr>
            <w:tcW w:w="1984" w:type="dxa"/>
            <w:gridSpan w:val="2"/>
            <w:tcBorders>
              <w:top w:val="single" w:sz="4" w:space="0" w:color="auto"/>
              <w:left w:val="nil"/>
              <w:bottom w:val="single" w:sz="4" w:space="0" w:color="auto"/>
              <w:right w:val="single" w:sz="4" w:space="0" w:color="auto"/>
            </w:tcBorders>
            <w:shd w:val="clear" w:color="000000" w:fill="16365C"/>
            <w:vAlign w:val="center"/>
            <w:hideMark/>
          </w:tcPr>
          <w:p w:rsidR="00700D1B" w:rsidRPr="00035C1A" w:rsidP="00700D1B">
            <w:pPr>
              <w:jc w:val="center"/>
              <w:rPr>
                <w:rFonts w:cs="Arial"/>
                <w:b/>
                <w:bCs/>
                <w:i/>
                <w:iCs/>
                <w:color w:val="FFFFFF"/>
                <w:sz w:val="22"/>
                <w:szCs w:val="22"/>
              </w:rPr>
            </w:pPr>
            <w:r w:rsidRPr="00035C1A">
              <w:rPr>
                <w:rFonts w:cs="Arial"/>
                <w:b/>
                <w:bCs/>
                <w:i/>
                <w:iCs/>
                <w:color w:val="FFFFFF"/>
                <w:sz w:val="22"/>
                <w:szCs w:val="22"/>
              </w:rPr>
              <w:t xml:space="preserve">Variance to </w:t>
            </w:r>
            <w:r w:rsidRPr="00035C1A">
              <w:rPr>
                <w:rFonts w:cs="Arial"/>
                <w:b/>
                <w:bCs/>
                <w:i/>
                <w:iCs/>
                <w:color w:val="FFFFFF"/>
                <w:sz w:val="22"/>
                <w:szCs w:val="22"/>
              </w:rPr>
              <w:br/>
              <w:t>2020-21 Main Estimate</w:t>
            </w:r>
          </w:p>
        </w:tc>
        <w:tc>
          <w:tcPr>
            <w:tcW w:w="1276" w:type="dxa"/>
            <w:tcBorders>
              <w:top w:val="single" w:sz="4" w:space="0" w:color="auto"/>
              <w:left w:val="nil"/>
              <w:bottom w:val="single" w:sz="4" w:space="0" w:color="auto"/>
              <w:right w:val="single" w:sz="4" w:space="0" w:color="auto"/>
            </w:tcBorders>
            <w:shd w:val="clear" w:color="000000" w:fill="16365C"/>
            <w:vAlign w:val="center"/>
            <w:hideMark/>
          </w:tcPr>
          <w:p w:rsidR="00700D1B" w:rsidRPr="00035C1A" w:rsidP="00700D1B">
            <w:pPr>
              <w:jc w:val="center"/>
              <w:rPr>
                <w:rFonts w:cs="Arial"/>
                <w:b/>
                <w:bCs/>
                <w:color w:val="FFFFFF"/>
                <w:sz w:val="22"/>
                <w:szCs w:val="22"/>
              </w:rPr>
            </w:pPr>
            <w:r w:rsidRPr="00035C1A">
              <w:rPr>
                <w:rFonts w:cs="Arial"/>
                <w:b/>
                <w:bCs/>
                <w:color w:val="FFFFFF"/>
                <w:sz w:val="22"/>
                <w:szCs w:val="22"/>
              </w:rPr>
              <w:t xml:space="preserve">2019-20 Outturn </w:t>
            </w:r>
          </w:p>
        </w:tc>
        <w:tc>
          <w:tcPr>
            <w:tcW w:w="1985" w:type="dxa"/>
            <w:gridSpan w:val="2"/>
            <w:tcBorders>
              <w:top w:val="single" w:sz="4" w:space="0" w:color="auto"/>
              <w:left w:val="nil"/>
              <w:bottom w:val="single" w:sz="4" w:space="0" w:color="auto"/>
              <w:right w:val="single" w:sz="4" w:space="0" w:color="auto"/>
            </w:tcBorders>
            <w:shd w:val="clear" w:color="000000" w:fill="16365C"/>
            <w:vAlign w:val="center"/>
            <w:hideMark/>
          </w:tcPr>
          <w:p w:rsidR="00700D1B" w:rsidRPr="00035C1A" w:rsidP="00700D1B">
            <w:pPr>
              <w:jc w:val="center"/>
              <w:rPr>
                <w:rFonts w:cs="Arial"/>
                <w:b/>
                <w:bCs/>
                <w:i/>
                <w:iCs/>
                <w:color w:val="FFFFFF"/>
                <w:sz w:val="22"/>
                <w:szCs w:val="22"/>
              </w:rPr>
            </w:pPr>
            <w:r w:rsidRPr="00035C1A">
              <w:rPr>
                <w:rFonts w:cs="Arial"/>
                <w:b/>
                <w:bCs/>
                <w:i/>
                <w:iCs/>
                <w:color w:val="FFFFFF"/>
                <w:sz w:val="22"/>
                <w:szCs w:val="22"/>
              </w:rPr>
              <w:t xml:space="preserve">Variance to </w:t>
            </w:r>
            <w:r w:rsidRPr="00035C1A">
              <w:rPr>
                <w:rFonts w:cs="Arial"/>
                <w:b/>
                <w:bCs/>
                <w:i/>
                <w:iCs/>
                <w:color w:val="FFFFFF"/>
                <w:sz w:val="22"/>
                <w:szCs w:val="22"/>
              </w:rPr>
              <w:br/>
              <w:t>2019-20 Outturn</w:t>
            </w:r>
          </w:p>
        </w:tc>
      </w:tr>
      <w:tr w:rsidTr="00700D1B">
        <w:tblPrEx>
          <w:tblW w:w="10348" w:type="dxa"/>
          <w:tblInd w:w="279" w:type="dxa"/>
          <w:tblLayout w:type="fixed"/>
          <w:tblLook w:val="04A0"/>
        </w:tblPrEx>
        <w:trPr>
          <w:trHeight w:val="300"/>
        </w:trPr>
        <w:tc>
          <w:tcPr>
            <w:tcW w:w="1843" w:type="dxa"/>
            <w:vMerge/>
            <w:tcBorders>
              <w:top w:val="single" w:sz="4" w:space="0" w:color="auto"/>
              <w:left w:val="single" w:sz="4" w:space="0" w:color="auto"/>
              <w:bottom w:val="single" w:sz="4" w:space="0" w:color="000000"/>
              <w:right w:val="single" w:sz="4" w:space="0" w:color="auto"/>
            </w:tcBorders>
            <w:vAlign w:val="center"/>
            <w:hideMark/>
          </w:tcPr>
          <w:p w:rsidR="00700D1B" w:rsidRPr="00035C1A" w:rsidP="00700D1B">
            <w:pPr>
              <w:rPr>
                <w:rFonts w:cs="Arial"/>
                <w:b/>
                <w:bCs/>
                <w:color w:val="FFFFFF"/>
                <w:sz w:val="22"/>
                <w:szCs w:val="22"/>
              </w:rPr>
            </w:pPr>
          </w:p>
        </w:tc>
        <w:tc>
          <w:tcPr>
            <w:tcW w:w="1842" w:type="dxa"/>
            <w:tcBorders>
              <w:top w:val="nil"/>
              <w:left w:val="single" w:sz="4" w:space="0" w:color="auto"/>
              <w:bottom w:val="single" w:sz="4" w:space="0" w:color="auto"/>
              <w:right w:val="single" w:sz="4" w:space="0" w:color="auto"/>
            </w:tcBorders>
            <w:shd w:val="clear" w:color="000000" w:fill="16365C"/>
            <w:noWrap/>
            <w:vAlign w:val="bottom"/>
            <w:hideMark/>
          </w:tcPr>
          <w:p w:rsidR="00700D1B" w:rsidRPr="00035C1A" w:rsidP="00700D1B">
            <w:pPr>
              <w:jc w:val="right"/>
              <w:rPr>
                <w:rFonts w:cs="Arial"/>
                <w:b/>
                <w:bCs/>
                <w:color w:val="FFFFFF"/>
                <w:sz w:val="22"/>
                <w:szCs w:val="22"/>
              </w:rPr>
            </w:pPr>
            <w:r w:rsidRPr="00035C1A">
              <w:rPr>
                <w:rFonts w:cs="Arial"/>
                <w:b/>
                <w:bCs/>
                <w:color w:val="FFFFFF"/>
                <w:sz w:val="22"/>
                <w:szCs w:val="22"/>
              </w:rPr>
              <w:t>£m</w:t>
            </w:r>
          </w:p>
        </w:tc>
        <w:tc>
          <w:tcPr>
            <w:tcW w:w="1418" w:type="dxa"/>
            <w:tcBorders>
              <w:top w:val="nil"/>
              <w:left w:val="nil"/>
              <w:bottom w:val="single" w:sz="4" w:space="0" w:color="auto"/>
              <w:right w:val="single" w:sz="4" w:space="0" w:color="auto"/>
            </w:tcBorders>
            <w:shd w:val="clear" w:color="000000" w:fill="16365C"/>
            <w:noWrap/>
            <w:vAlign w:val="bottom"/>
            <w:hideMark/>
          </w:tcPr>
          <w:p w:rsidR="00700D1B" w:rsidRPr="00035C1A" w:rsidP="00700D1B">
            <w:pPr>
              <w:jc w:val="right"/>
              <w:rPr>
                <w:rFonts w:cs="Arial"/>
                <w:b/>
                <w:bCs/>
                <w:color w:val="FFFFFF"/>
                <w:sz w:val="22"/>
                <w:szCs w:val="22"/>
              </w:rPr>
            </w:pPr>
            <w:r w:rsidRPr="00035C1A">
              <w:rPr>
                <w:rFonts w:cs="Arial"/>
                <w:b/>
                <w:bCs/>
                <w:color w:val="FFFFFF"/>
                <w:sz w:val="22"/>
                <w:szCs w:val="22"/>
              </w:rPr>
              <w:t>£m</w:t>
            </w:r>
          </w:p>
        </w:tc>
        <w:tc>
          <w:tcPr>
            <w:tcW w:w="1134" w:type="dxa"/>
            <w:tcBorders>
              <w:top w:val="nil"/>
              <w:left w:val="nil"/>
              <w:bottom w:val="single" w:sz="4" w:space="0" w:color="auto"/>
              <w:right w:val="single" w:sz="4" w:space="0" w:color="auto"/>
            </w:tcBorders>
            <w:shd w:val="clear" w:color="000000" w:fill="16365C"/>
            <w:noWrap/>
            <w:vAlign w:val="bottom"/>
            <w:hideMark/>
          </w:tcPr>
          <w:p w:rsidR="00700D1B" w:rsidRPr="00035C1A" w:rsidP="00700D1B">
            <w:pPr>
              <w:jc w:val="right"/>
              <w:rPr>
                <w:rFonts w:cs="Arial"/>
                <w:b/>
                <w:bCs/>
                <w:i/>
                <w:iCs/>
                <w:color w:val="FFFFFF"/>
                <w:sz w:val="22"/>
                <w:szCs w:val="22"/>
              </w:rPr>
            </w:pPr>
            <w:r w:rsidRPr="00035C1A">
              <w:rPr>
                <w:rFonts w:cs="Arial"/>
                <w:b/>
                <w:bCs/>
                <w:i/>
                <w:iCs/>
                <w:color w:val="FFFFFF"/>
                <w:sz w:val="22"/>
                <w:szCs w:val="22"/>
              </w:rPr>
              <w:t>£m</w:t>
            </w:r>
          </w:p>
        </w:tc>
        <w:tc>
          <w:tcPr>
            <w:tcW w:w="850" w:type="dxa"/>
            <w:tcBorders>
              <w:top w:val="nil"/>
              <w:left w:val="nil"/>
              <w:bottom w:val="single" w:sz="4" w:space="0" w:color="auto"/>
              <w:right w:val="single" w:sz="4" w:space="0" w:color="auto"/>
            </w:tcBorders>
            <w:shd w:val="clear" w:color="000000" w:fill="16365C"/>
            <w:noWrap/>
            <w:vAlign w:val="bottom"/>
            <w:hideMark/>
          </w:tcPr>
          <w:p w:rsidR="00700D1B" w:rsidRPr="00035C1A" w:rsidP="00700D1B">
            <w:pPr>
              <w:jc w:val="right"/>
              <w:rPr>
                <w:rFonts w:cs="Arial"/>
                <w:b/>
                <w:bCs/>
                <w:i/>
                <w:iCs/>
                <w:color w:val="FFFFFF"/>
                <w:sz w:val="22"/>
                <w:szCs w:val="22"/>
              </w:rPr>
            </w:pPr>
            <w:r w:rsidRPr="00035C1A">
              <w:rPr>
                <w:rFonts w:cs="Arial"/>
                <w:b/>
                <w:bCs/>
                <w:i/>
                <w:iCs/>
                <w:color w:val="FFFFFF"/>
                <w:sz w:val="22"/>
                <w:szCs w:val="22"/>
              </w:rPr>
              <w:t>%</w:t>
            </w:r>
          </w:p>
        </w:tc>
        <w:tc>
          <w:tcPr>
            <w:tcW w:w="1276" w:type="dxa"/>
            <w:tcBorders>
              <w:top w:val="nil"/>
              <w:left w:val="nil"/>
              <w:bottom w:val="single" w:sz="4" w:space="0" w:color="auto"/>
              <w:right w:val="single" w:sz="4" w:space="0" w:color="auto"/>
            </w:tcBorders>
            <w:shd w:val="clear" w:color="000000" w:fill="16365C"/>
            <w:noWrap/>
            <w:vAlign w:val="bottom"/>
            <w:hideMark/>
          </w:tcPr>
          <w:p w:rsidR="00700D1B" w:rsidRPr="00035C1A" w:rsidP="00700D1B">
            <w:pPr>
              <w:jc w:val="right"/>
              <w:rPr>
                <w:rFonts w:cs="Arial"/>
                <w:b/>
                <w:bCs/>
                <w:color w:val="FFFFFF"/>
                <w:sz w:val="22"/>
                <w:szCs w:val="22"/>
              </w:rPr>
            </w:pPr>
            <w:r w:rsidRPr="00035C1A">
              <w:rPr>
                <w:rFonts w:cs="Arial"/>
                <w:b/>
                <w:bCs/>
                <w:color w:val="FFFFFF"/>
                <w:sz w:val="22"/>
                <w:szCs w:val="22"/>
              </w:rPr>
              <w:t>£m</w:t>
            </w:r>
          </w:p>
        </w:tc>
        <w:tc>
          <w:tcPr>
            <w:tcW w:w="992" w:type="dxa"/>
            <w:tcBorders>
              <w:top w:val="nil"/>
              <w:left w:val="nil"/>
              <w:bottom w:val="single" w:sz="4" w:space="0" w:color="auto"/>
              <w:right w:val="single" w:sz="4" w:space="0" w:color="auto"/>
            </w:tcBorders>
            <w:shd w:val="clear" w:color="000000" w:fill="16365C"/>
            <w:noWrap/>
            <w:vAlign w:val="bottom"/>
            <w:hideMark/>
          </w:tcPr>
          <w:p w:rsidR="00700D1B" w:rsidRPr="00035C1A" w:rsidP="00700D1B">
            <w:pPr>
              <w:jc w:val="right"/>
              <w:rPr>
                <w:rFonts w:cs="Arial"/>
                <w:b/>
                <w:bCs/>
                <w:i/>
                <w:iCs/>
                <w:color w:val="FFFFFF"/>
                <w:sz w:val="22"/>
                <w:szCs w:val="22"/>
              </w:rPr>
            </w:pPr>
            <w:r w:rsidRPr="00035C1A">
              <w:rPr>
                <w:rFonts w:cs="Arial"/>
                <w:b/>
                <w:bCs/>
                <w:i/>
                <w:iCs/>
                <w:color w:val="FFFFFF"/>
                <w:sz w:val="22"/>
                <w:szCs w:val="22"/>
              </w:rPr>
              <w:t>£m</w:t>
            </w:r>
          </w:p>
        </w:tc>
        <w:tc>
          <w:tcPr>
            <w:tcW w:w="993" w:type="dxa"/>
            <w:tcBorders>
              <w:top w:val="nil"/>
              <w:left w:val="nil"/>
              <w:bottom w:val="single" w:sz="4" w:space="0" w:color="auto"/>
              <w:right w:val="single" w:sz="4" w:space="0" w:color="auto"/>
            </w:tcBorders>
            <w:shd w:val="clear" w:color="000000" w:fill="16365C"/>
            <w:noWrap/>
            <w:vAlign w:val="bottom"/>
            <w:hideMark/>
          </w:tcPr>
          <w:p w:rsidR="00700D1B" w:rsidRPr="00035C1A" w:rsidP="00700D1B">
            <w:pPr>
              <w:jc w:val="right"/>
              <w:rPr>
                <w:rFonts w:cs="Arial"/>
                <w:b/>
                <w:bCs/>
                <w:i/>
                <w:iCs/>
                <w:color w:val="FFFFFF"/>
                <w:sz w:val="22"/>
                <w:szCs w:val="22"/>
              </w:rPr>
            </w:pPr>
            <w:r w:rsidRPr="00035C1A">
              <w:rPr>
                <w:rFonts w:cs="Arial"/>
                <w:b/>
                <w:bCs/>
                <w:i/>
                <w:iCs/>
                <w:color w:val="FFFFFF"/>
                <w:sz w:val="22"/>
                <w:szCs w:val="22"/>
              </w:rPr>
              <w:t>%</w:t>
            </w:r>
          </w:p>
        </w:tc>
      </w:tr>
      <w:tr w:rsidTr="00700D1B">
        <w:tblPrEx>
          <w:tblW w:w="10348" w:type="dxa"/>
          <w:tblInd w:w="279" w:type="dxa"/>
          <w:tblLayout w:type="fixed"/>
          <w:tblLook w:val="04A0"/>
        </w:tblPrEx>
        <w:trPr>
          <w:trHeight w:val="285"/>
        </w:trPr>
        <w:tc>
          <w:tcPr>
            <w:tcW w:w="184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00D1B" w:rsidRPr="00035C1A" w:rsidP="00700D1B">
            <w:pPr>
              <w:rPr>
                <w:rFonts w:cs="Arial"/>
                <w:color w:val="000000"/>
                <w:sz w:val="22"/>
                <w:szCs w:val="22"/>
              </w:rPr>
            </w:pPr>
            <w:r w:rsidRPr="00035C1A">
              <w:rPr>
                <w:rFonts w:cs="Arial"/>
                <w:color w:val="000000"/>
                <w:sz w:val="22"/>
                <w:szCs w:val="22"/>
              </w:rPr>
              <w:t>Resource DEL</w:t>
            </w:r>
          </w:p>
        </w:tc>
        <w:tc>
          <w:tcPr>
            <w:tcW w:w="1842" w:type="dxa"/>
            <w:tcBorders>
              <w:top w:val="nil"/>
              <w:left w:val="nil"/>
              <w:bottom w:val="single" w:sz="4" w:space="0" w:color="auto"/>
              <w:right w:val="single" w:sz="4" w:space="0" w:color="auto"/>
            </w:tcBorders>
            <w:shd w:val="clear" w:color="auto" w:fill="auto"/>
            <w:noWrap/>
            <w:vAlign w:val="bottom"/>
            <w:hideMark/>
          </w:tcPr>
          <w:p w:rsidR="00700D1B" w:rsidRPr="00035C1A" w:rsidP="00700D1B">
            <w:pPr>
              <w:jc w:val="right"/>
              <w:rPr>
                <w:rFonts w:cs="Arial"/>
                <w:color w:val="000000"/>
                <w:sz w:val="22"/>
                <w:szCs w:val="22"/>
              </w:rPr>
            </w:pPr>
            <w:r w:rsidRPr="00035C1A">
              <w:rPr>
                <w:rFonts w:cs="Arial"/>
                <w:color w:val="000000"/>
                <w:sz w:val="22"/>
                <w:szCs w:val="22"/>
              </w:rPr>
              <w:t>200,755</w:t>
            </w:r>
          </w:p>
        </w:tc>
        <w:tc>
          <w:tcPr>
            <w:tcW w:w="1418" w:type="dxa"/>
            <w:tcBorders>
              <w:top w:val="nil"/>
              <w:left w:val="nil"/>
              <w:bottom w:val="single" w:sz="4" w:space="0" w:color="auto"/>
              <w:right w:val="single" w:sz="4" w:space="0" w:color="auto"/>
            </w:tcBorders>
            <w:shd w:val="clear" w:color="auto" w:fill="auto"/>
            <w:noWrap/>
            <w:vAlign w:val="bottom"/>
            <w:hideMark/>
          </w:tcPr>
          <w:p w:rsidR="00700D1B" w:rsidRPr="00035C1A" w:rsidP="00700D1B">
            <w:pPr>
              <w:jc w:val="right"/>
              <w:rPr>
                <w:rFonts w:cs="Arial"/>
                <w:color w:val="000000"/>
                <w:sz w:val="22"/>
                <w:szCs w:val="22"/>
              </w:rPr>
            </w:pPr>
            <w:r w:rsidRPr="00035C1A">
              <w:rPr>
                <w:rFonts w:cs="Arial"/>
                <w:color w:val="000000"/>
                <w:sz w:val="22"/>
                <w:szCs w:val="22"/>
              </w:rPr>
              <w:t>144,836</w:t>
            </w:r>
          </w:p>
        </w:tc>
        <w:tc>
          <w:tcPr>
            <w:tcW w:w="1134" w:type="dxa"/>
            <w:tcBorders>
              <w:top w:val="nil"/>
              <w:left w:val="nil"/>
              <w:bottom w:val="single" w:sz="4" w:space="0" w:color="auto"/>
              <w:right w:val="single" w:sz="4" w:space="0" w:color="auto"/>
            </w:tcBorders>
            <w:shd w:val="clear" w:color="auto" w:fill="auto"/>
            <w:noWrap/>
            <w:vAlign w:val="bottom"/>
            <w:hideMark/>
          </w:tcPr>
          <w:p w:rsidR="00700D1B" w:rsidRPr="00035C1A" w:rsidP="00700D1B">
            <w:pPr>
              <w:jc w:val="right"/>
              <w:rPr>
                <w:rFonts w:cs="Arial"/>
                <w:i/>
                <w:iCs/>
                <w:color w:val="000000"/>
                <w:sz w:val="22"/>
                <w:szCs w:val="22"/>
              </w:rPr>
            </w:pPr>
            <w:r w:rsidRPr="00035C1A">
              <w:rPr>
                <w:rFonts w:cs="Arial"/>
                <w:i/>
                <w:iCs/>
                <w:color w:val="000000"/>
                <w:sz w:val="22"/>
                <w:szCs w:val="22"/>
              </w:rPr>
              <w:t>55,920</w:t>
            </w:r>
          </w:p>
        </w:tc>
        <w:tc>
          <w:tcPr>
            <w:tcW w:w="850" w:type="dxa"/>
            <w:tcBorders>
              <w:top w:val="nil"/>
              <w:left w:val="nil"/>
              <w:bottom w:val="single" w:sz="4" w:space="0" w:color="auto"/>
              <w:right w:val="single" w:sz="4" w:space="0" w:color="auto"/>
            </w:tcBorders>
            <w:shd w:val="clear" w:color="auto" w:fill="auto"/>
            <w:noWrap/>
            <w:vAlign w:val="bottom"/>
            <w:hideMark/>
          </w:tcPr>
          <w:p w:rsidR="00700D1B" w:rsidRPr="00035C1A" w:rsidP="00700D1B">
            <w:pPr>
              <w:jc w:val="right"/>
              <w:rPr>
                <w:rFonts w:cs="Arial"/>
                <w:i/>
                <w:iCs/>
                <w:color w:val="000000"/>
                <w:sz w:val="22"/>
                <w:szCs w:val="22"/>
              </w:rPr>
            </w:pPr>
            <w:r w:rsidRPr="00035C1A">
              <w:rPr>
                <w:rFonts w:cs="Arial"/>
                <w:i/>
                <w:iCs/>
                <w:color w:val="000000"/>
                <w:sz w:val="22"/>
                <w:szCs w:val="22"/>
              </w:rPr>
              <w:t>38.6%</w:t>
            </w:r>
          </w:p>
        </w:tc>
        <w:tc>
          <w:tcPr>
            <w:tcW w:w="1276" w:type="dxa"/>
            <w:tcBorders>
              <w:top w:val="nil"/>
              <w:left w:val="nil"/>
              <w:bottom w:val="single" w:sz="4" w:space="0" w:color="auto"/>
              <w:right w:val="single" w:sz="4" w:space="0" w:color="auto"/>
            </w:tcBorders>
            <w:shd w:val="clear" w:color="auto" w:fill="auto"/>
            <w:noWrap/>
            <w:vAlign w:val="bottom"/>
            <w:hideMark/>
          </w:tcPr>
          <w:p w:rsidR="00700D1B" w:rsidRPr="00035C1A" w:rsidP="00700D1B">
            <w:pPr>
              <w:jc w:val="right"/>
              <w:rPr>
                <w:rFonts w:cs="Arial"/>
                <w:color w:val="000000"/>
                <w:sz w:val="22"/>
                <w:szCs w:val="22"/>
              </w:rPr>
            </w:pPr>
            <w:r w:rsidRPr="00035C1A">
              <w:rPr>
                <w:rFonts w:cs="Arial"/>
                <w:color w:val="000000"/>
                <w:sz w:val="22"/>
                <w:szCs w:val="22"/>
              </w:rPr>
              <w:t>134,183</w:t>
            </w:r>
          </w:p>
        </w:tc>
        <w:tc>
          <w:tcPr>
            <w:tcW w:w="992" w:type="dxa"/>
            <w:tcBorders>
              <w:top w:val="nil"/>
              <w:left w:val="nil"/>
              <w:bottom w:val="single" w:sz="4" w:space="0" w:color="auto"/>
              <w:right w:val="single" w:sz="4" w:space="0" w:color="auto"/>
            </w:tcBorders>
            <w:shd w:val="clear" w:color="auto" w:fill="auto"/>
            <w:noWrap/>
            <w:vAlign w:val="bottom"/>
            <w:hideMark/>
          </w:tcPr>
          <w:p w:rsidR="00700D1B" w:rsidRPr="00035C1A" w:rsidP="00700D1B">
            <w:pPr>
              <w:jc w:val="right"/>
              <w:rPr>
                <w:rFonts w:cs="Arial"/>
                <w:i/>
                <w:iCs/>
                <w:color w:val="000000"/>
                <w:sz w:val="22"/>
                <w:szCs w:val="22"/>
              </w:rPr>
            </w:pPr>
            <w:r w:rsidRPr="00035C1A">
              <w:rPr>
                <w:rFonts w:cs="Arial"/>
                <w:i/>
                <w:iCs/>
                <w:color w:val="000000"/>
                <w:sz w:val="22"/>
                <w:szCs w:val="22"/>
              </w:rPr>
              <w:t>66,572</w:t>
            </w:r>
          </w:p>
        </w:tc>
        <w:tc>
          <w:tcPr>
            <w:tcW w:w="993" w:type="dxa"/>
            <w:tcBorders>
              <w:top w:val="nil"/>
              <w:left w:val="nil"/>
              <w:bottom w:val="single" w:sz="4" w:space="0" w:color="auto"/>
              <w:right w:val="single" w:sz="4" w:space="0" w:color="auto"/>
            </w:tcBorders>
            <w:shd w:val="clear" w:color="auto" w:fill="auto"/>
            <w:noWrap/>
            <w:vAlign w:val="bottom"/>
            <w:hideMark/>
          </w:tcPr>
          <w:p w:rsidR="00700D1B" w:rsidRPr="00035C1A" w:rsidP="00700D1B">
            <w:pPr>
              <w:jc w:val="right"/>
              <w:rPr>
                <w:rFonts w:cs="Arial"/>
                <w:i/>
                <w:iCs/>
                <w:color w:val="000000"/>
                <w:sz w:val="22"/>
                <w:szCs w:val="22"/>
              </w:rPr>
            </w:pPr>
            <w:r w:rsidRPr="00035C1A">
              <w:rPr>
                <w:rFonts w:cs="Arial"/>
                <w:i/>
                <w:iCs/>
                <w:color w:val="000000"/>
                <w:sz w:val="22"/>
                <w:szCs w:val="22"/>
              </w:rPr>
              <w:t>49.6%</w:t>
            </w:r>
          </w:p>
        </w:tc>
      </w:tr>
      <w:tr w:rsidTr="00700D1B">
        <w:tblPrEx>
          <w:tblW w:w="10348" w:type="dxa"/>
          <w:tblInd w:w="279" w:type="dxa"/>
          <w:tblLayout w:type="fixed"/>
          <w:tblLook w:val="04A0"/>
        </w:tblPrEx>
        <w:trPr>
          <w:trHeight w:val="285"/>
        </w:trPr>
        <w:tc>
          <w:tcPr>
            <w:tcW w:w="1843" w:type="dxa"/>
            <w:tcBorders>
              <w:top w:val="nil"/>
              <w:left w:val="single" w:sz="4" w:space="0" w:color="auto"/>
              <w:bottom w:val="single" w:sz="4" w:space="0" w:color="auto"/>
              <w:right w:val="single" w:sz="4" w:space="0" w:color="auto"/>
            </w:tcBorders>
            <w:shd w:val="clear" w:color="auto" w:fill="auto"/>
            <w:noWrap/>
            <w:vAlign w:val="bottom"/>
            <w:hideMark/>
          </w:tcPr>
          <w:p w:rsidR="00700D1B" w:rsidRPr="00035C1A" w:rsidP="00700D1B">
            <w:pPr>
              <w:rPr>
                <w:rFonts w:cs="Arial"/>
                <w:color w:val="000000"/>
                <w:sz w:val="22"/>
                <w:szCs w:val="22"/>
              </w:rPr>
            </w:pPr>
            <w:r w:rsidRPr="00035C1A">
              <w:rPr>
                <w:rFonts w:cs="Arial"/>
                <w:color w:val="000000"/>
                <w:sz w:val="22"/>
                <w:szCs w:val="22"/>
              </w:rPr>
              <w:t>Capital DEL</w:t>
            </w:r>
          </w:p>
        </w:tc>
        <w:tc>
          <w:tcPr>
            <w:tcW w:w="1842" w:type="dxa"/>
            <w:tcBorders>
              <w:top w:val="nil"/>
              <w:left w:val="nil"/>
              <w:bottom w:val="single" w:sz="4" w:space="0" w:color="auto"/>
              <w:right w:val="single" w:sz="4" w:space="0" w:color="auto"/>
            </w:tcBorders>
            <w:shd w:val="clear" w:color="auto" w:fill="auto"/>
            <w:noWrap/>
            <w:vAlign w:val="bottom"/>
            <w:hideMark/>
          </w:tcPr>
          <w:p w:rsidR="00700D1B" w:rsidRPr="00035C1A" w:rsidP="00700D1B">
            <w:pPr>
              <w:jc w:val="right"/>
              <w:rPr>
                <w:rFonts w:cs="Arial"/>
                <w:color w:val="000000"/>
                <w:sz w:val="22"/>
                <w:szCs w:val="22"/>
              </w:rPr>
            </w:pPr>
            <w:r w:rsidRPr="00035C1A">
              <w:rPr>
                <w:rFonts w:cs="Arial"/>
                <w:color w:val="000000"/>
                <w:sz w:val="22"/>
                <w:szCs w:val="22"/>
              </w:rPr>
              <w:t>12,918</w:t>
            </w:r>
          </w:p>
        </w:tc>
        <w:tc>
          <w:tcPr>
            <w:tcW w:w="1418" w:type="dxa"/>
            <w:tcBorders>
              <w:top w:val="nil"/>
              <w:left w:val="nil"/>
              <w:bottom w:val="single" w:sz="4" w:space="0" w:color="auto"/>
              <w:right w:val="single" w:sz="4" w:space="0" w:color="auto"/>
            </w:tcBorders>
            <w:shd w:val="clear" w:color="auto" w:fill="auto"/>
            <w:noWrap/>
            <w:vAlign w:val="bottom"/>
            <w:hideMark/>
          </w:tcPr>
          <w:p w:rsidR="00700D1B" w:rsidRPr="00035C1A" w:rsidP="00700D1B">
            <w:pPr>
              <w:jc w:val="right"/>
              <w:rPr>
                <w:rFonts w:cs="Arial"/>
                <w:color w:val="000000"/>
                <w:sz w:val="22"/>
                <w:szCs w:val="22"/>
              </w:rPr>
            </w:pPr>
            <w:r w:rsidRPr="00035C1A">
              <w:rPr>
                <w:rFonts w:cs="Arial"/>
                <w:color w:val="000000"/>
                <w:sz w:val="22"/>
                <w:szCs w:val="22"/>
              </w:rPr>
              <w:t>8,231</w:t>
            </w:r>
          </w:p>
        </w:tc>
        <w:tc>
          <w:tcPr>
            <w:tcW w:w="1134" w:type="dxa"/>
            <w:tcBorders>
              <w:top w:val="nil"/>
              <w:left w:val="nil"/>
              <w:bottom w:val="single" w:sz="4" w:space="0" w:color="auto"/>
              <w:right w:val="single" w:sz="4" w:space="0" w:color="auto"/>
            </w:tcBorders>
            <w:shd w:val="clear" w:color="auto" w:fill="auto"/>
            <w:noWrap/>
            <w:vAlign w:val="bottom"/>
            <w:hideMark/>
          </w:tcPr>
          <w:p w:rsidR="00700D1B" w:rsidRPr="00035C1A" w:rsidP="00700D1B">
            <w:pPr>
              <w:jc w:val="right"/>
              <w:rPr>
                <w:rFonts w:cs="Arial"/>
                <w:i/>
                <w:iCs/>
                <w:color w:val="000000"/>
                <w:sz w:val="22"/>
                <w:szCs w:val="22"/>
              </w:rPr>
            </w:pPr>
            <w:r w:rsidRPr="00035C1A">
              <w:rPr>
                <w:rFonts w:cs="Arial"/>
                <w:i/>
                <w:iCs/>
                <w:color w:val="000000"/>
                <w:sz w:val="22"/>
                <w:szCs w:val="22"/>
              </w:rPr>
              <w:t>4,687</w:t>
            </w:r>
          </w:p>
        </w:tc>
        <w:tc>
          <w:tcPr>
            <w:tcW w:w="850" w:type="dxa"/>
            <w:tcBorders>
              <w:top w:val="nil"/>
              <w:left w:val="nil"/>
              <w:bottom w:val="single" w:sz="4" w:space="0" w:color="auto"/>
              <w:right w:val="single" w:sz="4" w:space="0" w:color="auto"/>
            </w:tcBorders>
            <w:shd w:val="clear" w:color="auto" w:fill="auto"/>
            <w:noWrap/>
            <w:vAlign w:val="bottom"/>
            <w:hideMark/>
          </w:tcPr>
          <w:p w:rsidR="00700D1B" w:rsidRPr="00035C1A" w:rsidP="00700D1B">
            <w:pPr>
              <w:jc w:val="right"/>
              <w:rPr>
                <w:rFonts w:cs="Arial"/>
                <w:i/>
                <w:iCs/>
                <w:sz w:val="22"/>
                <w:szCs w:val="22"/>
              </w:rPr>
            </w:pPr>
            <w:r w:rsidRPr="00035C1A">
              <w:rPr>
                <w:rFonts w:cs="Arial"/>
                <w:i/>
                <w:iCs/>
                <w:sz w:val="22"/>
                <w:szCs w:val="22"/>
              </w:rPr>
              <w:t>56.9%</w:t>
            </w:r>
          </w:p>
        </w:tc>
        <w:tc>
          <w:tcPr>
            <w:tcW w:w="1276" w:type="dxa"/>
            <w:tcBorders>
              <w:top w:val="nil"/>
              <w:left w:val="nil"/>
              <w:bottom w:val="single" w:sz="4" w:space="0" w:color="auto"/>
              <w:right w:val="single" w:sz="4" w:space="0" w:color="auto"/>
            </w:tcBorders>
            <w:shd w:val="clear" w:color="auto" w:fill="auto"/>
            <w:noWrap/>
            <w:vAlign w:val="bottom"/>
            <w:hideMark/>
          </w:tcPr>
          <w:p w:rsidR="00700D1B" w:rsidRPr="00035C1A" w:rsidP="00700D1B">
            <w:pPr>
              <w:jc w:val="right"/>
              <w:rPr>
                <w:rFonts w:cs="Arial"/>
                <w:color w:val="000000"/>
                <w:sz w:val="22"/>
                <w:szCs w:val="22"/>
              </w:rPr>
            </w:pPr>
            <w:r w:rsidRPr="00035C1A">
              <w:rPr>
                <w:rFonts w:cs="Arial"/>
                <w:color w:val="000000"/>
                <w:sz w:val="22"/>
                <w:szCs w:val="22"/>
              </w:rPr>
              <w:t>7,015</w:t>
            </w:r>
          </w:p>
        </w:tc>
        <w:tc>
          <w:tcPr>
            <w:tcW w:w="992" w:type="dxa"/>
            <w:tcBorders>
              <w:top w:val="nil"/>
              <w:left w:val="nil"/>
              <w:bottom w:val="single" w:sz="4" w:space="0" w:color="auto"/>
              <w:right w:val="single" w:sz="4" w:space="0" w:color="auto"/>
            </w:tcBorders>
            <w:shd w:val="clear" w:color="auto" w:fill="auto"/>
            <w:noWrap/>
            <w:vAlign w:val="bottom"/>
            <w:hideMark/>
          </w:tcPr>
          <w:p w:rsidR="00700D1B" w:rsidRPr="00035C1A" w:rsidP="00700D1B">
            <w:pPr>
              <w:jc w:val="right"/>
              <w:rPr>
                <w:rFonts w:cs="Arial"/>
                <w:i/>
                <w:iCs/>
                <w:color w:val="000000"/>
                <w:sz w:val="22"/>
                <w:szCs w:val="22"/>
              </w:rPr>
            </w:pPr>
            <w:r w:rsidRPr="00035C1A">
              <w:rPr>
                <w:rFonts w:cs="Arial"/>
                <w:i/>
                <w:iCs/>
                <w:color w:val="000000"/>
                <w:sz w:val="22"/>
                <w:szCs w:val="22"/>
              </w:rPr>
              <w:t>5,903</w:t>
            </w:r>
          </w:p>
        </w:tc>
        <w:tc>
          <w:tcPr>
            <w:tcW w:w="993" w:type="dxa"/>
            <w:tcBorders>
              <w:top w:val="nil"/>
              <w:left w:val="nil"/>
              <w:bottom w:val="single" w:sz="4" w:space="0" w:color="auto"/>
              <w:right w:val="single" w:sz="4" w:space="0" w:color="auto"/>
            </w:tcBorders>
            <w:shd w:val="clear" w:color="auto" w:fill="auto"/>
            <w:noWrap/>
            <w:vAlign w:val="bottom"/>
            <w:hideMark/>
          </w:tcPr>
          <w:p w:rsidR="00700D1B" w:rsidRPr="00035C1A" w:rsidP="00700D1B">
            <w:pPr>
              <w:jc w:val="right"/>
              <w:rPr>
                <w:rFonts w:cs="Arial"/>
                <w:i/>
                <w:iCs/>
                <w:sz w:val="22"/>
                <w:szCs w:val="22"/>
              </w:rPr>
            </w:pPr>
            <w:r w:rsidRPr="00035C1A">
              <w:rPr>
                <w:rFonts w:cs="Arial"/>
                <w:i/>
                <w:iCs/>
                <w:sz w:val="22"/>
                <w:szCs w:val="22"/>
              </w:rPr>
              <w:t>84.1%</w:t>
            </w:r>
          </w:p>
        </w:tc>
      </w:tr>
      <w:tr w:rsidTr="00700D1B">
        <w:tblPrEx>
          <w:tblW w:w="10348" w:type="dxa"/>
          <w:tblInd w:w="279" w:type="dxa"/>
          <w:tblLayout w:type="fixed"/>
          <w:tblLook w:val="04A0"/>
        </w:tblPrEx>
        <w:trPr>
          <w:trHeight w:val="285"/>
        </w:trPr>
        <w:tc>
          <w:tcPr>
            <w:tcW w:w="1843" w:type="dxa"/>
            <w:tcBorders>
              <w:top w:val="nil"/>
              <w:left w:val="single" w:sz="4" w:space="0" w:color="auto"/>
              <w:bottom w:val="single" w:sz="4" w:space="0" w:color="auto"/>
              <w:right w:val="single" w:sz="4" w:space="0" w:color="auto"/>
            </w:tcBorders>
            <w:shd w:val="clear" w:color="auto" w:fill="auto"/>
            <w:noWrap/>
            <w:vAlign w:val="bottom"/>
            <w:hideMark/>
          </w:tcPr>
          <w:p w:rsidR="00700D1B" w:rsidRPr="00035C1A" w:rsidP="00700D1B">
            <w:pPr>
              <w:rPr>
                <w:rFonts w:cs="Arial"/>
                <w:color w:val="000000"/>
                <w:sz w:val="22"/>
                <w:szCs w:val="22"/>
              </w:rPr>
            </w:pPr>
            <w:r w:rsidRPr="00035C1A">
              <w:rPr>
                <w:rFonts w:cs="Arial"/>
                <w:color w:val="000000"/>
                <w:sz w:val="22"/>
                <w:szCs w:val="22"/>
              </w:rPr>
              <w:t>Resource AME</w:t>
            </w:r>
          </w:p>
        </w:tc>
        <w:tc>
          <w:tcPr>
            <w:tcW w:w="1842" w:type="dxa"/>
            <w:tcBorders>
              <w:top w:val="nil"/>
              <w:left w:val="nil"/>
              <w:bottom w:val="single" w:sz="4" w:space="0" w:color="auto"/>
              <w:right w:val="single" w:sz="4" w:space="0" w:color="auto"/>
            </w:tcBorders>
            <w:shd w:val="clear" w:color="auto" w:fill="auto"/>
            <w:noWrap/>
            <w:vAlign w:val="bottom"/>
            <w:hideMark/>
          </w:tcPr>
          <w:p w:rsidR="00700D1B" w:rsidRPr="00035C1A" w:rsidP="00700D1B">
            <w:pPr>
              <w:jc w:val="right"/>
              <w:rPr>
                <w:rFonts w:cs="Arial"/>
                <w:color w:val="000000"/>
                <w:sz w:val="22"/>
                <w:szCs w:val="22"/>
              </w:rPr>
            </w:pPr>
            <w:r w:rsidRPr="00035C1A">
              <w:rPr>
                <w:rFonts w:cs="Arial"/>
                <w:color w:val="000000"/>
                <w:sz w:val="22"/>
                <w:szCs w:val="22"/>
              </w:rPr>
              <w:t>10,002</w:t>
            </w:r>
          </w:p>
        </w:tc>
        <w:tc>
          <w:tcPr>
            <w:tcW w:w="1418" w:type="dxa"/>
            <w:tcBorders>
              <w:top w:val="nil"/>
              <w:left w:val="nil"/>
              <w:bottom w:val="single" w:sz="4" w:space="0" w:color="auto"/>
              <w:right w:val="single" w:sz="4" w:space="0" w:color="auto"/>
            </w:tcBorders>
            <w:shd w:val="clear" w:color="auto" w:fill="auto"/>
            <w:noWrap/>
            <w:vAlign w:val="bottom"/>
            <w:hideMark/>
          </w:tcPr>
          <w:p w:rsidR="00700D1B" w:rsidRPr="00035C1A" w:rsidP="00700D1B">
            <w:pPr>
              <w:jc w:val="right"/>
              <w:rPr>
                <w:rFonts w:cs="Arial"/>
                <w:color w:val="000000"/>
                <w:sz w:val="22"/>
                <w:szCs w:val="22"/>
              </w:rPr>
            </w:pPr>
            <w:r w:rsidRPr="00035C1A">
              <w:rPr>
                <w:rFonts w:cs="Arial"/>
                <w:color w:val="000000"/>
                <w:sz w:val="22"/>
                <w:szCs w:val="22"/>
              </w:rPr>
              <w:t>10,002</w:t>
            </w:r>
          </w:p>
        </w:tc>
        <w:tc>
          <w:tcPr>
            <w:tcW w:w="1134" w:type="dxa"/>
            <w:tcBorders>
              <w:top w:val="nil"/>
              <w:left w:val="nil"/>
              <w:bottom w:val="single" w:sz="4" w:space="0" w:color="auto"/>
              <w:right w:val="single" w:sz="4" w:space="0" w:color="auto"/>
            </w:tcBorders>
            <w:shd w:val="clear" w:color="auto" w:fill="auto"/>
            <w:noWrap/>
            <w:vAlign w:val="bottom"/>
            <w:hideMark/>
          </w:tcPr>
          <w:p w:rsidR="00700D1B" w:rsidRPr="00035C1A" w:rsidP="00700D1B">
            <w:pPr>
              <w:jc w:val="right"/>
              <w:rPr>
                <w:rFonts w:cs="Arial"/>
                <w:i/>
                <w:iCs/>
                <w:color w:val="000000"/>
                <w:sz w:val="22"/>
                <w:szCs w:val="22"/>
              </w:rPr>
            </w:pPr>
            <w:r w:rsidRPr="00035C1A">
              <w:rPr>
                <w:rFonts w:cs="Arial"/>
                <w:i/>
                <w:iCs/>
                <w:color w:val="000000"/>
                <w:sz w:val="22"/>
                <w:szCs w:val="22"/>
              </w:rPr>
              <w:t>0</w:t>
            </w:r>
          </w:p>
        </w:tc>
        <w:tc>
          <w:tcPr>
            <w:tcW w:w="850" w:type="dxa"/>
            <w:tcBorders>
              <w:top w:val="nil"/>
              <w:left w:val="nil"/>
              <w:bottom w:val="single" w:sz="4" w:space="0" w:color="auto"/>
              <w:right w:val="single" w:sz="4" w:space="0" w:color="auto"/>
            </w:tcBorders>
            <w:shd w:val="clear" w:color="auto" w:fill="auto"/>
            <w:noWrap/>
            <w:vAlign w:val="bottom"/>
            <w:hideMark/>
          </w:tcPr>
          <w:p w:rsidR="00700D1B" w:rsidRPr="00035C1A" w:rsidP="00700D1B">
            <w:pPr>
              <w:jc w:val="right"/>
              <w:rPr>
                <w:rFonts w:cs="Arial"/>
                <w:i/>
                <w:iCs/>
                <w:color w:val="FF0000"/>
                <w:sz w:val="22"/>
                <w:szCs w:val="22"/>
              </w:rPr>
            </w:pPr>
            <w:r w:rsidRPr="00035C1A">
              <w:rPr>
                <w:rFonts w:cs="Arial"/>
                <w:i/>
                <w:iCs/>
                <w:color w:val="FF0000"/>
                <w:sz w:val="22"/>
                <w:szCs w:val="22"/>
              </w:rPr>
              <w:t>0.0%</w:t>
            </w:r>
          </w:p>
        </w:tc>
        <w:tc>
          <w:tcPr>
            <w:tcW w:w="1276" w:type="dxa"/>
            <w:tcBorders>
              <w:top w:val="nil"/>
              <w:left w:val="nil"/>
              <w:bottom w:val="single" w:sz="4" w:space="0" w:color="auto"/>
              <w:right w:val="single" w:sz="4" w:space="0" w:color="auto"/>
            </w:tcBorders>
            <w:shd w:val="clear" w:color="auto" w:fill="auto"/>
            <w:noWrap/>
            <w:vAlign w:val="bottom"/>
            <w:hideMark/>
          </w:tcPr>
          <w:p w:rsidR="00700D1B" w:rsidRPr="00035C1A" w:rsidP="00700D1B">
            <w:pPr>
              <w:jc w:val="right"/>
              <w:rPr>
                <w:rFonts w:cs="Arial"/>
                <w:color w:val="000000"/>
                <w:sz w:val="22"/>
                <w:szCs w:val="22"/>
              </w:rPr>
            </w:pPr>
            <w:r w:rsidRPr="00035C1A">
              <w:rPr>
                <w:rFonts w:cs="Arial"/>
                <w:color w:val="000000"/>
                <w:sz w:val="22"/>
                <w:szCs w:val="22"/>
              </w:rPr>
              <w:t>2,848</w:t>
            </w:r>
          </w:p>
        </w:tc>
        <w:tc>
          <w:tcPr>
            <w:tcW w:w="992" w:type="dxa"/>
            <w:tcBorders>
              <w:top w:val="nil"/>
              <w:left w:val="nil"/>
              <w:bottom w:val="single" w:sz="4" w:space="0" w:color="auto"/>
              <w:right w:val="single" w:sz="4" w:space="0" w:color="auto"/>
            </w:tcBorders>
            <w:shd w:val="clear" w:color="auto" w:fill="auto"/>
            <w:noWrap/>
            <w:vAlign w:val="bottom"/>
            <w:hideMark/>
          </w:tcPr>
          <w:p w:rsidR="00700D1B" w:rsidRPr="00035C1A" w:rsidP="00700D1B">
            <w:pPr>
              <w:jc w:val="right"/>
              <w:rPr>
                <w:rFonts w:cs="Arial"/>
                <w:i/>
                <w:iCs/>
                <w:color w:val="000000"/>
                <w:sz w:val="22"/>
                <w:szCs w:val="22"/>
              </w:rPr>
            </w:pPr>
            <w:r w:rsidRPr="00035C1A">
              <w:rPr>
                <w:rFonts w:cs="Arial"/>
                <w:i/>
                <w:iCs/>
                <w:color w:val="000000"/>
                <w:sz w:val="22"/>
                <w:szCs w:val="22"/>
              </w:rPr>
              <w:t>7,154</w:t>
            </w:r>
          </w:p>
        </w:tc>
        <w:tc>
          <w:tcPr>
            <w:tcW w:w="993" w:type="dxa"/>
            <w:tcBorders>
              <w:top w:val="nil"/>
              <w:left w:val="nil"/>
              <w:bottom w:val="single" w:sz="4" w:space="0" w:color="auto"/>
              <w:right w:val="single" w:sz="4" w:space="0" w:color="auto"/>
            </w:tcBorders>
            <w:shd w:val="clear" w:color="auto" w:fill="auto"/>
            <w:noWrap/>
            <w:vAlign w:val="bottom"/>
            <w:hideMark/>
          </w:tcPr>
          <w:p w:rsidR="00700D1B" w:rsidRPr="00035C1A" w:rsidP="00700D1B">
            <w:pPr>
              <w:jc w:val="right"/>
              <w:rPr>
                <w:rFonts w:cs="Arial"/>
                <w:i/>
                <w:iCs/>
                <w:color w:val="FF0000"/>
                <w:sz w:val="22"/>
                <w:szCs w:val="22"/>
              </w:rPr>
            </w:pPr>
            <w:r w:rsidRPr="00035C1A">
              <w:rPr>
                <w:rFonts w:cs="Arial"/>
                <w:i/>
                <w:iCs/>
                <w:color w:val="FF0000"/>
                <w:sz w:val="22"/>
                <w:szCs w:val="22"/>
              </w:rPr>
              <w:t>251.2%</w:t>
            </w:r>
          </w:p>
        </w:tc>
      </w:tr>
    </w:tbl>
    <w:p w:rsidR="00700D1B" w:rsidRPr="00565172" w:rsidP="00700D1B">
      <w:pPr>
        <w:ind w:left="567"/>
        <w:rPr>
          <w:rFonts w:eastAsiaTheme="minorHAnsi" w:cs="Arial"/>
          <w:b/>
          <w:sz w:val="22"/>
          <w:szCs w:val="22"/>
          <w:lang w:eastAsia="en-US"/>
        </w:rPr>
      </w:pPr>
    </w:p>
    <w:p w:rsidR="00700D1B" w:rsidRPr="00565172" w:rsidP="00700D1B">
      <w:pPr>
        <w:numPr>
          <w:ilvl w:val="1"/>
          <w:numId w:val="8"/>
        </w:numPr>
        <w:spacing w:after="120" w:line="276" w:lineRule="auto"/>
        <w:ind w:left="567" w:hanging="567"/>
        <w:rPr>
          <w:rFonts w:eastAsia="Calibri" w:cs="Arial"/>
          <w:b/>
          <w:sz w:val="22"/>
          <w:szCs w:val="22"/>
        </w:rPr>
      </w:pPr>
      <w:r w:rsidRPr="00565172">
        <w:rPr>
          <w:rFonts w:eastAsia="Calibri" w:cs="Arial"/>
          <w:b/>
          <w:sz w:val="22"/>
          <w:szCs w:val="22"/>
        </w:rPr>
        <w:t>Key Drivers of Spending Changes Since Original Budget</w:t>
      </w:r>
    </w:p>
    <w:p w:rsidR="00700D1B" w:rsidRPr="00565172" w:rsidP="00700D1B">
      <w:pPr>
        <w:ind w:left="567"/>
        <w:jc w:val="both"/>
        <w:rPr>
          <w:rFonts w:eastAsia="Calibri" w:cs="Arial"/>
          <w:sz w:val="22"/>
          <w:szCs w:val="22"/>
        </w:rPr>
      </w:pPr>
      <w:r w:rsidRPr="00565172">
        <w:rPr>
          <w:rFonts w:eastAsia="Calibri" w:cs="Arial"/>
          <w:sz w:val="22"/>
          <w:szCs w:val="22"/>
        </w:rPr>
        <w:t xml:space="preserve">This section identifies the key drivers of change since </w:t>
      </w:r>
      <w:r>
        <w:rPr>
          <w:rFonts w:eastAsia="Calibri" w:cs="Arial"/>
          <w:sz w:val="22"/>
          <w:szCs w:val="22"/>
        </w:rPr>
        <w:t xml:space="preserve">the 2020-21 Main Estimate </w:t>
      </w:r>
      <w:r w:rsidRPr="00565172">
        <w:rPr>
          <w:rFonts w:eastAsia="Calibri" w:cs="Arial"/>
          <w:sz w:val="22"/>
          <w:szCs w:val="22"/>
        </w:rPr>
        <w:t>for Resource DEL, Capital DEL and Resource AME.  Further analysis of changes between 2020-21 Main Estimate and 20</w:t>
      </w:r>
      <w:r>
        <w:rPr>
          <w:rFonts w:eastAsia="Calibri" w:cs="Arial"/>
          <w:sz w:val="22"/>
          <w:szCs w:val="22"/>
        </w:rPr>
        <w:t>20</w:t>
      </w:r>
      <w:r w:rsidRPr="00565172">
        <w:rPr>
          <w:rFonts w:eastAsia="Calibri" w:cs="Arial"/>
          <w:sz w:val="22"/>
          <w:szCs w:val="22"/>
        </w:rPr>
        <w:t>-2</w:t>
      </w:r>
      <w:r>
        <w:rPr>
          <w:rFonts w:eastAsia="Calibri" w:cs="Arial"/>
          <w:sz w:val="22"/>
          <w:szCs w:val="22"/>
        </w:rPr>
        <w:t>1</w:t>
      </w:r>
      <w:r w:rsidRPr="00565172">
        <w:rPr>
          <w:rFonts w:eastAsia="Calibri" w:cs="Arial"/>
          <w:sz w:val="22"/>
          <w:szCs w:val="22"/>
        </w:rPr>
        <w:t xml:space="preserve"> Supplementary Supply Estimate can be found in section 2.</w:t>
      </w:r>
    </w:p>
    <w:p w:rsidR="00700D1B" w:rsidRPr="00565172" w:rsidP="00700D1B">
      <w:pPr>
        <w:ind w:left="567"/>
        <w:jc w:val="both"/>
        <w:rPr>
          <w:rFonts w:eastAsia="Calibri" w:cs="Arial"/>
          <w:sz w:val="22"/>
          <w:szCs w:val="22"/>
        </w:rPr>
      </w:pPr>
    </w:p>
    <w:p w:rsidR="00700D1B" w:rsidP="00700D1B">
      <w:pPr>
        <w:ind w:left="927"/>
        <w:contextualSpacing/>
        <w:jc w:val="both"/>
        <w:rPr>
          <w:rFonts w:eastAsia="Calibri" w:cs="Arial"/>
          <w:sz w:val="22"/>
          <w:szCs w:val="22"/>
        </w:rPr>
      </w:pPr>
    </w:p>
    <w:p w:rsidR="00700D1B" w:rsidRPr="0012158D" w:rsidP="00700D1B">
      <w:pPr>
        <w:numPr>
          <w:ilvl w:val="0"/>
          <w:numId w:val="12"/>
        </w:numPr>
        <w:spacing w:after="200" w:line="276" w:lineRule="auto"/>
        <w:ind w:left="927"/>
        <w:contextualSpacing/>
        <w:jc w:val="both"/>
        <w:rPr>
          <w:rFonts w:cs="Arial"/>
          <w:sz w:val="22"/>
          <w:szCs w:val="22"/>
        </w:rPr>
      </w:pPr>
      <w:r w:rsidRPr="0012158D">
        <w:rPr>
          <w:rFonts w:cs="Arial"/>
          <w:sz w:val="22"/>
          <w:szCs w:val="22"/>
          <w:u w:val="single"/>
        </w:rPr>
        <w:t>Resource DEL</w:t>
      </w:r>
      <w:r w:rsidRPr="0012158D">
        <w:rPr>
          <w:rFonts w:cs="Arial"/>
          <w:sz w:val="22"/>
          <w:szCs w:val="22"/>
        </w:rPr>
        <w:t xml:space="preserve"> - the Resource DEL increase of </w:t>
      </w:r>
      <w:r w:rsidRPr="001A5059">
        <w:rPr>
          <w:rFonts w:cs="Arial"/>
          <w:sz w:val="22"/>
          <w:szCs w:val="22"/>
        </w:rPr>
        <w:t>circa £55.9 billion includes</w:t>
      </w:r>
      <w:r w:rsidRPr="0012158D">
        <w:rPr>
          <w:rFonts w:cs="Arial"/>
          <w:sz w:val="22"/>
          <w:szCs w:val="22"/>
        </w:rPr>
        <w:t>:</w:t>
      </w:r>
    </w:p>
    <w:p w:rsidR="00700D1B" w:rsidRPr="00380F35" w:rsidP="00700D1B">
      <w:pPr>
        <w:pStyle w:val="ListParagraph"/>
        <w:numPr>
          <w:ilvl w:val="1"/>
          <w:numId w:val="18"/>
        </w:numPr>
        <w:contextualSpacing/>
        <w:jc w:val="both"/>
        <w:rPr>
          <w:rFonts w:ascii="Arial" w:hAnsi="Arial" w:cs="Arial"/>
        </w:rPr>
      </w:pPr>
      <w:r w:rsidRPr="0012158D">
        <w:rPr>
          <w:rFonts w:ascii="Arial" w:hAnsi="Arial" w:cs="Arial"/>
        </w:rPr>
        <w:t>£55.</w:t>
      </w:r>
      <w:r w:rsidRPr="00380F35">
        <w:rPr>
          <w:rFonts w:ascii="Arial" w:hAnsi="Arial" w:cs="Arial"/>
        </w:rPr>
        <w:t xml:space="preserve">8 billion additional funding allocated for the Department’s response to Covid-19; </w:t>
      </w:r>
    </w:p>
    <w:p w:rsidR="00700D1B" w:rsidRPr="00380F35" w:rsidP="00700D1B">
      <w:pPr>
        <w:pStyle w:val="ListParagraph"/>
        <w:numPr>
          <w:ilvl w:val="1"/>
          <w:numId w:val="18"/>
        </w:numPr>
        <w:contextualSpacing/>
        <w:jc w:val="both"/>
        <w:rPr>
          <w:rFonts w:ascii="Arial" w:hAnsi="Arial" w:cs="Arial"/>
        </w:rPr>
      </w:pPr>
      <w:r w:rsidRPr="00380F35">
        <w:rPr>
          <w:rFonts w:ascii="Arial" w:hAnsi="Arial" w:cs="Arial"/>
        </w:rPr>
        <w:t xml:space="preserve">Additional funding of £445 million primarily for technical budget adjustments such as expected credit loss, depreciation and impairments; </w:t>
      </w:r>
    </w:p>
    <w:p w:rsidR="00700D1B" w:rsidRPr="0012158D" w:rsidP="00700D1B">
      <w:pPr>
        <w:pStyle w:val="ListParagraph"/>
        <w:numPr>
          <w:ilvl w:val="1"/>
          <w:numId w:val="18"/>
        </w:numPr>
        <w:contextualSpacing/>
        <w:jc w:val="both"/>
        <w:rPr>
          <w:rFonts w:ascii="Arial" w:hAnsi="Arial" w:cs="Arial"/>
        </w:rPr>
      </w:pPr>
      <w:r w:rsidRPr="0012158D">
        <w:rPr>
          <w:rFonts w:ascii="Arial" w:hAnsi="Arial" w:cs="Arial"/>
        </w:rPr>
        <w:t xml:space="preserve">a £43m RDEL to CDEL budget switch; and </w:t>
      </w:r>
    </w:p>
    <w:p w:rsidR="00700D1B" w:rsidRPr="0012158D" w:rsidP="00700D1B">
      <w:pPr>
        <w:pStyle w:val="ListParagraph"/>
        <w:numPr>
          <w:ilvl w:val="1"/>
          <w:numId w:val="18"/>
        </w:numPr>
        <w:contextualSpacing/>
        <w:jc w:val="both"/>
        <w:rPr>
          <w:rFonts w:ascii="Arial" w:hAnsi="Arial" w:cs="Arial"/>
        </w:rPr>
      </w:pPr>
      <w:r w:rsidRPr="0012158D">
        <w:rPr>
          <w:rFonts w:ascii="Arial" w:hAnsi="Arial" w:cs="Arial"/>
        </w:rPr>
        <w:t xml:space="preserve">budget transfers to other government departments of £244 million </w:t>
      </w:r>
    </w:p>
    <w:p w:rsidR="00700D1B" w:rsidRPr="0012158D" w:rsidP="00700D1B">
      <w:pPr>
        <w:ind w:left="927"/>
        <w:contextualSpacing/>
        <w:jc w:val="both"/>
        <w:rPr>
          <w:rFonts w:cs="Arial"/>
          <w:sz w:val="22"/>
          <w:szCs w:val="22"/>
        </w:rPr>
      </w:pPr>
      <w:r w:rsidRPr="0012158D">
        <w:rPr>
          <w:rFonts w:cs="Arial"/>
          <w:sz w:val="22"/>
          <w:szCs w:val="22"/>
        </w:rPr>
        <w:t>further details can be found in paragraph 1.8</w:t>
      </w:r>
    </w:p>
    <w:p w:rsidR="00700D1B" w:rsidRPr="00565172" w:rsidP="00700D1B">
      <w:pPr>
        <w:ind w:left="927"/>
        <w:contextualSpacing/>
        <w:jc w:val="both"/>
        <w:rPr>
          <w:rFonts w:eastAsia="Calibri" w:cs="Arial"/>
          <w:sz w:val="22"/>
          <w:szCs w:val="22"/>
        </w:rPr>
      </w:pPr>
    </w:p>
    <w:p w:rsidR="00700D1B" w:rsidRPr="006B7742" w:rsidP="00700D1B">
      <w:pPr>
        <w:numPr>
          <w:ilvl w:val="0"/>
          <w:numId w:val="12"/>
        </w:numPr>
        <w:spacing w:after="200" w:line="276" w:lineRule="auto"/>
        <w:ind w:left="927"/>
        <w:contextualSpacing/>
        <w:jc w:val="both"/>
        <w:rPr>
          <w:rFonts w:eastAsia="Calibri" w:cs="Arial"/>
          <w:sz w:val="22"/>
          <w:szCs w:val="22"/>
        </w:rPr>
      </w:pPr>
      <w:r w:rsidRPr="006B7742">
        <w:rPr>
          <w:rFonts w:eastAsia="Calibri" w:cs="Arial"/>
          <w:sz w:val="22"/>
          <w:szCs w:val="22"/>
          <w:u w:val="single"/>
        </w:rPr>
        <w:t xml:space="preserve">Capital DEL </w:t>
      </w:r>
    </w:p>
    <w:p w:rsidR="00700D1B" w:rsidRPr="006B7742" w:rsidP="00700D1B">
      <w:pPr>
        <w:ind w:left="927"/>
        <w:rPr>
          <w:rFonts w:eastAsia="Calibri" w:cs="Arial"/>
          <w:sz w:val="22"/>
          <w:szCs w:val="22"/>
        </w:rPr>
      </w:pPr>
      <w:r w:rsidRPr="006B7742">
        <w:rPr>
          <w:rFonts w:eastAsia="Calibri" w:cs="Arial"/>
          <w:sz w:val="22"/>
          <w:szCs w:val="22"/>
        </w:rPr>
        <w:t>The Capital DEL increase represents of circa £4.7 billion includes:</w:t>
      </w:r>
    </w:p>
    <w:p w:rsidR="00700D1B" w:rsidRPr="006B7742" w:rsidP="00700D1B">
      <w:pPr>
        <w:pStyle w:val="ListParagraph"/>
        <w:numPr>
          <w:ilvl w:val="1"/>
          <w:numId w:val="12"/>
        </w:numPr>
        <w:rPr>
          <w:rFonts w:ascii="Arial" w:hAnsi="Arial" w:cs="Arial"/>
        </w:rPr>
      </w:pPr>
      <w:bookmarkStart w:id="2" w:name="_Hlk63423572"/>
      <w:r w:rsidRPr="006B7742">
        <w:rPr>
          <w:rFonts w:ascii="Arial" w:hAnsi="Arial" w:cs="Arial"/>
        </w:rPr>
        <w:t xml:space="preserve">£3.29 billion additional funding allocated for the Department’s response to Covid-19, net of £684m NHS Provider and Non-NHS savings; </w:t>
      </w:r>
    </w:p>
    <w:p w:rsidR="00700D1B" w:rsidRPr="006B7742" w:rsidP="00700D1B">
      <w:pPr>
        <w:pStyle w:val="ListParagraph"/>
        <w:numPr>
          <w:ilvl w:val="1"/>
          <w:numId w:val="12"/>
        </w:numPr>
        <w:rPr>
          <w:rFonts w:ascii="Arial" w:hAnsi="Arial" w:cs="Arial"/>
        </w:rPr>
      </w:pPr>
      <w:r w:rsidRPr="006B7742">
        <w:rPr>
          <w:rFonts w:ascii="Arial" w:hAnsi="Arial" w:cs="Arial"/>
        </w:rPr>
        <w:t xml:space="preserve">£1.39 billion net additional funding allocated as part of Plan for Jobs 2020, net of £112m NHS Provider savings; </w:t>
      </w:r>
    </w:p>
    <w:p w:rsidR="00700D1B" w:rsidRPr="006B7742" w:rsidP="00700D1B">
      <w:pPr>
        <w:pStyle w:val="ListParagraph"/>
        <w:numPr>
          <w:ilvl w:val="1"/>
          <w:numId w:val="12"/>
        </w:numPr>
        <w:rPr>
          <w:rFonts w:ascii="Arial" w:hAnsi="Arial" w:cs="Arial"/>
        </w:rPr>
      </w:pPr>
      <w:r w:rsidRPr="006B7742">
        <w:rPr>
          <w:rFonts w:ascii="Arial" w:hAnsi="Arial" w:cs="Arial"/>
        </w:rPr>
        <w:t>a £43m RDEL to CDEL budget switch; and</w:t>
      </w:r>
    </w:p>
    <w:p w:rsidR="00700D1B" w:rsidRPr="006B7742" w:rsidP="00700D1B">
      <w:pPr>
        <w:pStyle w:val="ListParagraph"/>
        <w:numPr>
          <w:ilvl w:val="1"/>
          <w:numId w:val="12"/>
        </w:numPr>
        <w:contextualSpacing/>
        <w:jc w:val="both"/>
        <w:rPr>
          <w:rFonts w:ascii="Arial" w:hAnsi="Arial" w:cs="Arial"/>
        </w:rPr>
      </w:pPr>
      <w:r w:rsidRPr="006B7742">
        <w:rPr>
          <w:rFonts w:ascii="Arial" w:hAnsi="Arial" w:cs="Arial"/>
        </w:rPr>
        <w:t>budget transfers to other government departments of £29 million.</w:t>
      </w:r>
    </w:p>
    <w:p w:rsidR="00700D1B" w:rsidRPr="002062D2" w:rsidP="00700D1B">
      <w:pPr>
        <w:ind w:left="927"/>
        <w:rPr>
          <w:rFonts w:cs="Arial"/>
          <w:sz w:val="22"/>
          <w:szCs w:val="22"/>
        </w:rPr>
      </w:pPr>
      <w:bookmarkEnd w:id="2"/>
      <w:r w:rsidRPr="006B7742">
        <w:rPr>
          <w:rFonts w:eastAsia="Calibri" w:cs="Arial"/>
          <w:sz w:val="22"/>
          <w:szCs w:val="22"/>
        </w:rPr>
        <w:t>further details can be found in paragraph 1.8</w:t>
      </w:r>
    </w:p>
    <w:p w:rsidR="00700D1B" w:rsidRPr="001A5059" w:rsidP="00700D1B">
      <w:pPr>
        <w:ind w:left="927"/>
        <w:jc w:val="both"/>
        <w:rPr>
          <w:rFonts w:eastAsia="Calibri" w:cs="Arial"/>
          <w:sz w:val="22"/>
          <w:szCs w:val="22"/>
        </w:rPr>
      </w:pPr>
    </w:p>
    <w:p w:rsidR="00700D1B" w:rsidRPr="001A5059" w:rsidP="00700D1B">
      <w:pPr>
        <w:numPr>
          <w:ilvl w:val="0"/>
          <w:numId w:val="12"/>
        </w:numPr>
        <w:spacing w:after="200" w:line="276" w:lineRule="auto"/>
        <w:ind w:left="927"/>
        <w:contextualSpacing/>
        <w:jc w:val="both"/>
        <w:rPr>
          <w:rFonts w:eastAsia="Calibri" w:cs="Arial"/>
          <w:sz w:val="22"/>
          <w:szCs w:val="22"/>
          <w:u w:val="single"/>
        </w:rPr>
      </w:pPr>
      <w:r w:rsidRPr="001A5059">
        <w:rPr>
          <w:rFonts w:eastAsia="Calibri" w:cs="Arial"/>
          <w:sz w:val="22"/>
          <w:szCs w:val="22"/>
          <w:u w:val="single"/>
        </w:rPr>
        <w:t>Resource AME</w:t>
      </w:r>
    </w:p>
    <w:p w:rsidR="00700D1B" w:rsidRPr="00A77F08" w:rsidP="00700D1B">
      <w:pPr>
        <w:ind w:left="927"/>
        <w:jc w:val="both"/>
        <w:rPr>
          <w:rFonts w:eastAsiaTheme="minorHAnsi" w:cs="Arial"/>
          <w:sz w:val="22"/>
          <w:szCs w:val="22"/>
          <w:lang w:eastAsia="en-US"/>
        </w:rPr>
      </w:pPr>
      <w:r w:rsidRPr="001A5059">
        <w:rPr>
          <w:rFonts w:eastAsia="Calibri" w:cs="Arial"/>
          <w:sz w:val="22"/>
          <w:szCs w:val="22"/>
        </w:rPr>
        <w:t>The Departments Resource AME is demand led and the 2020-21 £10 billion reflects our best estimate of provisions and impairments expenditure for the DHSC group.</w:t>
      </w:r>
      <w:r w:rsidRPr="00A77F08">
        <w:rPr>
          <w:rFonts w:eastAsia="Calibri" w:cs="Arial"/>
          <w:sz w:val="22"/>
          <w:szCs w:val="22"/>
        </w:rPr>
        <w:t xml:space="preserve">  </w:t>
      </w:r>
    </w:p>
    <w:p w:rsidR="00700D1B" w:rsidRPr="00565172" w:rsidP="00700D1B">
      <w:pPr>
        <w:ind w:left="927"/>
        <w:jc w:val="both"/>
        <w:rPr>
          <w:rFonts w:eastAsia="Calibri" w:cs="Arial"/>
          <w:sz w:val="22"/>
          <w:szCs w:val="22"/>
        </w:rPr>
      </w:pPr>
    </w:p>
    <w:p w:rsidR="00700D1B" w:rsidRPr="00565172" w:rsidP="00700D1B">
      <w:pPr>
        <w:rPr>
          <w:rFonts w:eastAsia="Calibri" w:cs="Arial"/>
          <w:sz w:val="22"/>
          <w:szCs w:val="22"/>
        </w:rPr>
      </w:pPr>
    </w:p>
    <w:p w:rsidR="00700D1B" w:rsidRPr="00565172" w:rsidP="00700D1B">
      <w:pPr>
        <w:numPr>
          <w:ilvl w:val="1"/>
          <w:numId w:val="8"/>
        </w:numPr>
        <w:spacing w:after="120" w:line="276" w:lineRule="auto"/>
        <w:ind w:left="567" w:hanging="567"/>
        <w:rPr>
          <w:rFonts w:eastAsia="Calibri" w:cs="Arial"/>
          <w:b/>
          <w:sz w:val="22"/>
          <w:szCs w:val="22"/>
        </w:rPr>
      </w:pPr>
      <w:r w:rsidRPr="00565172">
        <w:rPr>
          <w:rFonts w:eastAsia="Calibri" w:cs="Arial"/>
          <w:b/>
          <w:sz w:val="22"/>
          <w:szCs w:val="22"/>
        </w:rPr>
        <w:t>New Policies and Programmes</w:t>
      </w:r>
    </w:p>
    <w:p w:rsidR="00700D1B" w:rsidRPr="00565172" w:rsidP="00700D1B">
      <w:pPr>
        <w:ind w:left="567"/>
        <w:jc w:val="both"/>
        <w:rPr>
          <w:rFonts w:eastAsiaTheme="minorHAnsi" w:cs="Arial"/>
          <w:sz w:val="22"/>
          <w:szCs w:val="22"/>
          <w:lang w:eastAsia="en-US"/>
        </w:rPr>
      </w:pPr>
      <w:r w:rsidRPr="00565172">
        <w:rPr>
          <w:rFonts w:eastAsia="Calibri" w:cs="Arial"/>
          <w:sz w:val="22"/>
          <w:szCs w:val="22"/>
        </w:rPr>
        <w:t xml:space="preserve">The DHSC makes all announcements on new policies and programmes during the year on the government website, details can be found at </w:t>
      </w:r>
      <w:r>
        <w:fldChar w:fldCharType="begin"/>
      </w:r>
      <w:r>
        <w:instrText xml:space="preserve"> HYPERLINK "https://www.gov.uk/government/organisations/department-of-health-and-social-care" </w:instrText>
      </w:r>
      <w:r>
        <w:fldChar w:fldCharType="separate"/>
      </w:r>
      <w:r w:rsidRPr="00565172">
        <w:rPr>
          <w:rFonts w:eastAsiaTheme="minorHAnsi" w:cs="Arial"/>
          <w:color w:val="0000FF" w:themeColor="hyperlink"/>
          <w:sz w:val="22"/>
          <w:szCs w:val="22"/>
          <w:u w:val="single"/>
          <w:lang w:eastAsia="en-US"/>
        </w:rPr>
        <w:t>DHSC announcements</w:t>
      </w:r>
      <w:r>
        <w:fldChar w:fldCharType="end"/>
      </w:r>
      <w:r w:rsidRPr="00565172">
        <w:rPr>
          <w:rFonts w:eastAsiaTheme="minorHAnsi" w:cs="Arial"/>
          <w:sz w:val="22"/>
          <w:szCs w:val="22"/>
          <w:lang w:eastAsia="en-US"/>
        </w:rPr>
        <w:t>.</w:t>
      </w:r>
      <w:r>
        <w:rPr>
          <w:rFonts w:eastAsiaTheme="minorHAnsi" w:cs="Arial"/>
          <w:sz w:val="22"/>
          <w:szCs w:val="22"/>
          <w:lang w:eastAsia="en-US"/>
        </w:rPr>
        <w:t xml:space="preserve"> </w:t>
      </w:r>
      <w:r w:rsidRPr="00565172">
        <w:rPr>
          <w:rFonts w:eastAsiaTheme="minorHAnsi" w:cs="Arial"/>
          <w:sz w:val="22"/>
          <w:szCs w:val="22"/>
          <w:lang w:eastAsia="en-US"/>
        </w:rPr>
        <w:t>Information on the latest announcements on Covid-19 can be found on the above website</w:t>
      </w:r>
      <w:r>
        <w:rPr>
          <w:rFonts w:eastAsiaTheme="minorHAnsi" w:cs="Arial"/>
          <w:sz w:val="22"/>
          <w:szCs w:val="22"/>
          <w:lang w:eastAsia="en-US"/>
        </w:rPr>
        <w:t xml:space="preserve"> and further details on the funding requirement for these policies are included in paragraph 1.8 and within the accompanying Table B</w:t>
      </w:r>
      <w:r w:rsidRPr="00565172">
        <w:rPr>
          <w:rFonts w:eastAsiaTheme="minorHAnsi" w:cs="Arial"/>
          <w:sz w:val="22"/>
          <w:szCs w:val="22"/>
          <w:lang w:eastAsia="en-US"/>
        </w:rPr>
        <w:t>.</w:t>
      </w:r>
    </w:p>
    <w:p w:rsidR="00700D1B" w:rsidP="00700D1B">
      <w:pPr>
        <w:rPr>
          <w:rFonts w:eastAsiaTheme="minorHAnsi" w:cs="Arial"/>
          <w:sz w:val="22"/>
          <w:szCs w:val="22"/>
          <w:lang w:eastAsia="en-US"/>
        </w:rPr>
      </w:pPr>
      <w:r>
        <w:rPr>
          <w:rFonts w:eastAsiaTheme="minorHAnsi" w:cs="Arial"/>
          <w:sz w:val="22"/>
          <w:szCs w:val="22"/>
          <w:lang w:eastAsia="en-US"/>
        </w:rPr>
        <w:br w:type="page"/>
      </w:r>
    </w:p>
    <w:p w:rsidR="00700D1B" w:rsidRPr="00565172" w:rsidP="00700D1B">
      <w:pPr>
        <w:ind w:left="567"/>
        <w:jc w:val="both"/>
        <w:rPr>
          <w:rFonts w:eastAsiaTheme="minorHAnsi" w:cs="Arial"/>
          <w:sz w:val="22"/>
          <w:szCs w:val="22"/>
          <w:lang w:eastAsia="en-US"/>
        </w:rPr>
      </w:pPr>
    </w:p>
    <w:p w:rsidR="00700D1B" w:rsidRPr="00565172" w:rsidP="00700D1B">
      <w:pPr>
        <w:numPr>
          <w:ilvl w:val="1"/>
          <w:numId w:val="8"/>
        </w:numPr>
        <w:spacing w:after="120" w:line="276" w:lineRule="auto"/>
        <w:ind w:left="567" w:hanging="567"/>
        <w:rPr>
          <w:rFonts w:eastAsia="Calibri" w:cs="Arial"/>
          <w:b/>
          <w:sz w:val="22"/>
          <w:szCs w:val="22"/>
        </w:rPr>
      </w:pPr>
      <w:r w:rsidRPr="00565172">
        <w:rPr>
          <w:rFonts w:eastAsia="Calibri" w:cs="Arial"/>
          <w:b/>
          <w:sz w:val="22"/>
          <w:szCs w:val="22"/>
        </w:rPr>
        <w:t>Spending Trends</w:t>
      </w:r>
    </w:p>
    <w:p w:rsidR="00700D1B" w:rsidRPr="00565172" w:rsidP="00700D1B">
      <w:pPr>
        <w:ind w:left="567"/>
        <w:jc w:val="both"/>
        <w:rPr>
          <w:rFonts w:eastAsia="Calibri" w:cs="Arial"/>
          <w:sz w:val="22"/>
          <w:szCs w:val="22"/>
          <w:u w:val="single"/>
        </w:rPr>
      </w:pPr>
      <w:r w:rsidRPr="00565172">
        <w:rPr>
          <w:rFonts w:eastAsiaTheme="minorHAnsi" w:cs="Arial"/>
          <w:sz w:val="22"/>
          <w:szCs w:val="22"/>
          <w:lang w:eastAsia="en-US"/>
        </w:rPr>
        <w:t>The graphs show the outturn for the last 3 years (</w:t>
      </w:r>
      <w:r>
        <w:rPr>
          <w:rFonts w:eastAsiaTheme="minorHAnsi" w:cs="Arial"/>
          <w:sz w:val="22"/>
          <w:szCs w:val="22"/>
          <w:lang w:eastAsia="en-US"/>
        </w:rPr>
        <w:t>2017-18 to 2019-20</w:t>
      </w:r>
      <w:r w:rsidRPr="00565172">
        <w:rPr>
          <w:rFonts w:eastAsiaTheme="minorHAnsi" w:cs="Arial"/>
          <w:sz w:val="22"/>
          <w:szCs w:val="22"/>
          <w:lang w:eastAsia="en-US"/>
        </w:rPr>
        <w:t xml:space="preserve">), plans presented in Estimates for </w:t>
      </w:r>
      <w:r>
        <w:rPr>
          <w:rFonts w:eastAsiaTheme="minorHAnsi" w:cs="Arial"/>
          <w:sz w:val="22"/>
          <w:szCs w:val="22"/>
          <w:lang w:eastAsia="en-US"/>
        </w:rPr>
        <w:t>2020-21</w:t>
      </w:r>
      <w:r w:rsidRPr="00565172">
        <w:rPr>
          <w:rFonts w:eastAsiaTheme="minorHAnsi" w:cs="Arial"/>
          <w:sz w:val="22"/>
          <w:szCs w:val="22"/>
          <w:lang w:eastAsia="en-US"/>
        </w:rPr>
        <w:t xml:space="preserve">, and future spending plans for </w:t>
      </w:r>
      <w:r>
        <w:rPr>
          <w:rFonts w:eastAsiaTheme="minorHAnsi" w:cs="Arial"/>
          <w:sz w:val="22"/>
          <w:szCs w:val="22"/>
          <w:lang w:eastAsia="en-US"/>
        </w:rPr>
        <w:t xml:space="preserve">2021-22 </w:t>
      </w:r>
      <w:r w:rsidRPr="00565172">
        <w:rPr>
          <w:rFonts w:eastAsiaTheme="minorHAnsi" w:cs="Arial"/>
          <w:sz w:val="22"/>
          <w:szCs w:val="22"/>
          <w:lang w:eastAsia="en-US"/>
        </w:rPr>
        <w:t>for Resource DEL</w:t>
      </w:r>
      <w:r>
        <w:rPr>
          <w:rFonts w:eastAsiaTheme="minorHAnsi" w:cs="Arial"/>
          <w:sz w:val="22"/>
          <w:szCs w:val="22"/>
          <w:lang w:eastAsia="en-US"/>
        </w:rPr>
        <w:t xml:space="preserve"> and</w:t>
      </w:r>
      <w:r w:rsidRPr="00565172">
        <w:rPr>
          <w:rFonts w:eastAsiaTheme="minorHAnsi" w:cs="Arial"/>
          <w:sz w:val="22"/>
          <w:szCs w:val="22"/>
          <w:lang w:eastAsia="en-US"/>
        </w:rPr>
        <w:t xml:space="preserve"> Capital DEL</w:t>
      </w:r>
      <w:r>
        <w:rPr>
          <w:rFonts w:eastAsiaTheme="minorHAnsi" w:cs="Arial"/>
          <w:sz w:val="22"/>
          <w:szCs w:val="22"/>
          <w:lang w:eastAsia="en-US"/>
        </w:rPr>
        <w:t>, future</w:t>
      </w:r>
      <w:r w:rsidRPr="00565172">
        <w:rPr>
          <w:rFonts w:eastAsiaTheme="minorHAnsi" w:cs="Arial"/>
          <w:sz w:val="22"/>
          <w:szCs w:val="22"/>
          <w:lang w:eastAsia="en-US"/>
        </w:rPr>
        <w:t xml:space="preserve"> Resource AME</w:t>
      </w:r>
      <w:r>
        <w:rPr>
          <w:rFonts w:eastAsiaTheme="minorHAnsi" w:cs="Arial"/>
          <w:sz w:val="22"/>
          <w:szCs w:val="22"/>
          <w:lang w:eastAsia="en-US"/>
        </w:rPr>
        <w:t xml:space="preserve"> spend was not considered as part of the Spending Review 20 and will be set at Main Estimate 2021-22. </w:t>
      </w:r>
    </w:p>
    <w:p w:rsidR="00700D1B" w:rsidRPr="00565172" w:rsidP="00700D1B">
      <w:pPr>
        <w:ind w:left="567"/>
        <w:rPr>
          <w:rFonts w:eastAsia="Calibri" w:cs="Arial"/>
          <w:sz w:val="22"/>
          <w:szCs w:val="22"/>
          <w:u w:val="single"/>
        </w:rPr>
      </w:pPr>
    </w:p>
    <w:p w:rsidR="00700D1B" w:rsidRPr="00565172" w:rsidP="00700D1B">
      <w:pPr>
        <w:ind w:left="567"/>
        <w:rPr>
          <w:rFonts w:eastAsia="Calibri" w:cs="Arial"/>
          <w:sz w:val="22"/>
          <w:szCs w:val="22"/>
          <w:u w:val="single"/>
        </w:rPr>
      </w:pPr>
    </w:p>
    <w:p w:rsidR="00700D1B" w:rsidP="00700D1B">
      <w:pPr>
        <w:numPr>
          <w:ilvl w:val="0"/>
          <w:numId w:val="12"/>
        </w:numPr>
        <w:spacing w:after="120" w:line="276" w:lineRule="auto"/>
        <w:ind w:left="924" w:hanging="357"/>
        <w:rPr>
          <w:rFonts w:eastAsia="Calibri" w:cs="Arial"/>
          <w:sz w:val="22"/>
          <w:szCs w:val="22"/>
          <w:u w:val="single"/>
        </w:rPr>
      </w:pPr>
      <w:r w:rsidRPr="00565172">
        <w:rPr>
          <w:rFonts w:eastAsia="Calibri" w:cs="Arial"/>
          <w:sz w:val="22"/>
          <w:szCs w:val="22"/>
          <w:u w:val="single"/>
        </w:rPr>
        <w:t xml:space="preserve">Resource DEL </w:t>
      </w:r>
    </w:p>
    <w:p w:rsidR="00700D1B" w:rsidRPr="00565172" w:rsidP="00700D1B">
      <w:pPr>
        <w:spacing w:after="120" w:line="276" w:lineRule="auto"/>
        <w:ind w:left="567"/>
        <w:rPr>
          <w:rFonts w:eastAsia="Calibri" w:cs="Arial"/>
          <w:sz w:val="22"/>
          <w:szCs w:val="22"/>
          <w:u w:val="single"/>
        </w:rPr>
      </w:pPr>
      <w:r>
        <w:rPr>
          <w:rFonts w:eastAsia="Calibri" w:cs="Arial"/>
          <w:noProof/>
          <w:sz w:val="22"/>
          <w:szCs w:val="22"/>
          <w:u w:val="single"/>
        </w:rPr>
        <w:drawing>
          <wp:anchor distT="0" distB="0" distL="114300" distR="114300" simplePos="0" relativeHeight="251663360" behindDoc="0" locked="0" layoutInCell="1" allowOverlap="1">
            <wp:simplePos x="0" y="0"/>
            <wp:positionH relativeFrom="column">
              <wp:posOffset>509246</wp:posOffset>
            </wp:positionH>
            <wp:positionV relativeFrom="paragraph">
              <wp:posOffset>19267</wp:posOffset>
            </wp:positionV>
            <wp:extent cx="5949950" cy="2346960"/>
            <wp:effectExtent l="0" t="0" r="0" b="0"/>
            <wp:wrapSquare wrapText="bothSides"/>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xmlns:r="http://schemas.openxmlformats.org/officeDocument/2006/relationships" r:embed="rId17">
                      <a:extLst>
                        <a:ext uri="{28A0092B-C50C-407E-A947-70E740481C1C}">
                          <a14:useLocalDpi xmlns:a14="http://schemas.microsoft.com/office/drawing/2010/main" val="0"/>
                        </a:ext>
                      </a:extLst>
                    </a:blip>
                    <a:srcRect/>
                    <a:stretch>
                      <a:fillRect/>
                    </a:stretch>
                  </pic:blipFill>
                  <pic:spPr bwMode="auto">
                    <a:xfrm>
                      <a:off x="0" y="0"/>
                      <a:ext cx="5949950" cy="2346960"/>
                    </a:xfrm>
                    <a:prstGeom prst="rect">
                      <a:avLst/>
                    </a:prstGeom>
                    <a:noFill/>
                  </pic:spPr>
                </pic:pic>
              </a:graphicData>
            </a:graphic>
          </wp:anchor>
        </w:drawing>
      </w:r>
    </w:p>
    <w:p w:rsidR="00700D1B" w:rsidRPr="00565172" w:rsidP="00700D1B">
      <w:pPr>
        <w:spacing w:after="120" w:line="276" w:lineRule="auto"/>
        <w:ind w:left="924"/>
        <w:rPr>
          <w:rFonts w:cs="Arial"/>
          <w:sz w:val="22"/>
          <w:szCs w:val="22"/>
        </w:rPr>
      </w:pPr>
    </w:p>
    <w:p w:rsidR="00700D1B" w:rsidP="00700D1B">
      <w:pPr>
        <w:ind w:left="924"/>
        <w:contextualSpacing/>
        <w:rPr>
          <w:rFonts w:eastAsiaTheme="minorHAnsi" w:cs="Arial"/>
          <w:sz w:val="22"/>
          <w:szCs w:val="22"/>
          <w:lang w:eastAsia="en-US"/>
        </w:rPr>
      </w:pPr>
      <w:r>
        <w:rPr>
          <w:rFonts w:eastAsiaTheme="minorHAnsi" w:cs="Arial"/>
          <w:sz w:val="22"/>
          <w:szCs w:val="22"/>
          <w:lang w:eastAsia="en-US"/>
        </w:rPr>
        <w:t xml:space="preserve">At Main Estimate 2020-21, </w:t>
      </w:r>
      <w:r w:rsidRPr="00565172">
        <w:rPr>
          <w:rFonts w:eastAsiaTheme="minorHAnsi" w:cs="Arial"/>
          <w:sz w:val="22"/>
          <w:szCs w:val="22"/>
          <w:lang w:eastAsia="en-US"/>
        </w:rPr>
        <w:t xml:space="preserve">DHSC </w:t>
      </w:r>
      <w:r>
        <w:rPr>
          <w:rFonts w:eastAsiaTheme="minorHAnsi" w:cs="Arial"/>
          <w:sz w:val="22"/>
          <w:szCs w:val="22"/>
          <w:lang w:eastAsia="en-US"/>
        </w:rPr>
        <w:t>was given an additional</w:t>
      </w:r>
      <w:r w:rsidRPr="00565172">
        <w:rPr>
          <w:rFonts w:eastAsiaTheme="minorHAnsi" w:cs="Arial"/>
          <w:sz w:val="22"/>
          <w:szCs w:val="22"/>
          <w:lang w:eastAsia="en-US"/>
        </w:rPr>
        <w:t xml:space="preserve"> £3.37 billion </w:t>
      </w:r>
      <w:r>
        <w:rPr>
          <w:rFonts w:eastAsiaTheme="minorHAnsi" w:cs="Arial"/>
          <w:sz w:val="22"/>
          <w:szCs w:val="22"/>
          <w:lang w:eastAsia="en-US"/>
        </w:rPr>
        <w:t>for the emergency response to Covid-19</w:t>
      </w:r>
      <w:r w:rsidRPr="00565172">
        <w:rPr>
          <w:rFonts w:eastAsiaTheme="minorHAnsi" w:cs="Arial"/>
          <w:sz w:val="22"/>
          <w:szCs w:val="22"/>
          <w:lang w:eastAsia="en-US"/>
        </w:rPr>
        <w:t>.</w:t>
      </w:r>
      <w:r>
        <w:rPr>
          <w:rFonts w:eastAsiaTheme="minorHAnsi" w:cs="Arial"/>
          <w:sz w:val="22"/>
          <w:szCs w:val="22"/>
          <w:lang w:eastAsia="en-US"/>
        </w:rPr>
        <w:t xml:space="preserve">  Due to the timing of Main Estimates, it was agreed that further budget cover would be provided at Supplementary Estimates. The Government continues to support the NHS and other public services to access the resources they need to tackle Covid-19 and a further £55.8 billion has been provided at Supplementary Estimate in response to the Covid-19 Pandemic. Further details of the programmes this additional funding covers are provided in para 1.8. </w:t>
      </w:r>
    </w:p>
    <w:p w:rsidR="00700D1B" w:rsidP="00700D1B">
      <w:pPr>
        <w:ind w:left="924"/>
        <w:contextualSpacing/>
        <w:rPr>
          <w:rFonts w:eastAsiaTheme="minorHAnsi" w:cs="Arial"/>
          <w:sz w:val="22"/>
          <w:szCs w:val="22"/>
          <w:lang w:eastAsia="en-US"/>
        </w:rPr>
      </w:pPr>
    </w:p>
    <w:p w:rsidR="00700D1B" w:rsidRPr="00565172" w:rsidP="00700D1B">
      <w:pPr>
        <w:ind w:left="924"/>
        <w:jc w:val="both"/>
        <w:rPr>
          <w:rFonts w:eastAsiaTheme="minorHAnsi" w:cs="Arial"/>
          <w:color w:val="0000FF" w:themeColor="hyperlink"/>
          <w:sz w:val="22"/>
          <w:szCs w:val="22"/>
          <w:highlight w:val="yellow"/>
          <w:u w:val="single"/>
          <w:lang w:eastAsia="en-US"/>
        </w:rPr>
      </w:pPr>
      <w:r>
        <w:rPr>
          <w:rFonts w:cs="Arial"/>
          <w:sz w:val="22"/>
          <w:szCs w:val="22"/>
        </w:rPr>
        <w:t xml:space="preserve">Increases from </w:t>
      </w:r>
      <w:r w:rsidRPr="00565172">
        <w:rPr>
          <w:rFonts w:cs="Arial"/>
          <w:sz w:val="22"/>
          <w:szCs w:val="22"/>
        </w:rPr>
        <w:t>2019-20 follow the multi-year funding commitment announced by the Prime Minister in June 2018 and the NHS Long</w:t>
      </w:r>
      <w:r>
        <w:rPr>
          <w:rFonts w:cs="Arial"/>
          <w:sz w:val="22"/>
          <w:szCs w:val="22"/>
        </w:rPr>
        <w:t xml:space="preserve"> </w:t>
      </w:r>
      <w:r w:rsidRPr="00565172">
        <w:rPr>
          <w:rFonts w:cs="Arial"/>
          <w:sz w:val="22"/>
          <w:szCs w:val="22"/>
        </w:rPr>
        <w:t xml:space="preserve">Term plan, published in January 2019.  This plan was published </w:t>
      </w:r>
      <w:r w:rsidRPr="00565172">
        <w:rPr>
          <w:rFonts w:cs="Arial"/>
          <w:sz w:val="22"/>
          <w:szCs w:val="22"/>
        </w:rPr>
        <w:t>on the basis of</w:t>
      </w:r>
      <w:r w:rsidRPr="00565172">
        <w:rPr>
          <w:rFonts w:cs="Arial"/>
          <w:sz w:val="22"/>
          <w:szCs w:val="22"/>
        </w:rPr>
        <w:t xml:space="preserve"> it being affordable and deliverable within the final cash settlement that was provided to the NHS. </w:t>
      </w:r>
      <w:r w:rsidRPr="00565172">
        <w:rPr>
          <w:rFonts w:eastAsiaTheme="minorHAnsi" w:cs="Arial"/>
          <w:sz w:val="22"/>
          <w:szCs w:val="22"/>
          <w:lang w:eastAsia="en-US"/>
        </w:rPr>
        <w:t xml:space="preserve">More details can be found in the </w:t>
      </w:r>
      <w:r>
        <w:fldChar w:fldCharType="begin"/>
      </w:r>
      <w:r>
        <w:instrText xml:space="preserve"> HYPERLINK "https://www.gov.uk/government/news/nhs-long-term-plan-launched" </w:instrText>
      </w:r>
      <w:r>
        <w:fldChar w:fldCharType="separate"/>
      </w:r>
      <w:r w:rsidRPr="00565172">
        <w:rPr>
          <w:rFonts w:eastAsiaTheme="minorHAnsi" w:cs="Arial"/>
          <w:color w:val="0000FF" w:themeColor="hyperlink"/>
          <w:sz w:val="22"/>
          <w:szCs w:val="22"/>
          <w:u w:val="single"/>
          <w:lang w:eastAsia="en-US"/>
        </w:rPr>
        <w:t>NHS Long Term Plan</w:t>
      </w:r>
      <w:r>
        <w:fldChar w:fldCharType="end"/>
      </w:r>
      <w:r w:rsidRPr="00565172">
        <w:rPr>
          <w:rFonts w:eastAsiaTheme="minorHAnsi" w:cs="Arial"/>
          <w:sz w:val="22"/>
          <w:szCs w:val="22"/>
          <w:lang w:eastAsia="en-US"/>
        </w:rPr>
        <w:t>.</w:t>
      </w:r>
      <w:r>
        <w:rPr>
          <w:rFonts w:eastAsiaTheme="minorHAnsi" w:cs="Arial"/>
          <w:sz w:val="22"/>
          <w:szCs w:val="22"/>
          <w:lang w:eastAsia="en-US"/>
        </w:rPr>
        <w:t xml:space="preserve"> </w:t>
      </w:r>
    </w:p>
    <w:p w:rsidR="00700D1B" w:rsidRPr="00565172" w:rsidP="00700D1B">
      <w:pPr>
        <w:ind w:left="924"/>
        <w:contextualSpacing/>
        <w:rPr>
          <w:sz w:val="22"/>
          <w:szCs w:val="22"/>
        </w:rPr>
      </w:pPr>
      <w:r w:rsidRPr="00565172">
        <w:rPr>
          <w:rFonts w:cs="Arial"/>
          <w:sz w:val="22"/>
          <w:szCs w:val="22"/>
        </w:rPr>
        <w:t>Details on how the NHS’s Long Term Plan will be implemented can be found at</w:t>
      </w:r>
      <w:r w:rsidRPr="00565172">
        <w:rPr>
          <w:sz w:val="22"/>
          <w:szCs w:val="22"/>
        </w:rPr>
        <w:t xml:space="preserve"> </w:t>
      </w:r>
      <w:r>
        <w:fldChar w:fldCharType="begin"/>
      </w:r>
      <w:r>
        <w:instrText xml:space="preserve"> HYPERLINK "https://www.longtermplan.nhs.uk/implementation-framework/" </w:instrText>
      </w:r>
      <w:r>
        <w:fldChar w:fldCharType="separate"/>
      </w:r>
      <w:r w:rsidRPr="00565172">
        <w:rPr>
          <w:color w:val="0000FF"/>
          <w:sz w:val="22"/>
          <w:szCs w:val="22"/>
          <w:u w:val="single"/>
        </w:rPr>
        <w:t>NHS Long Term Plan implementation</w:t>
      </w:r>
      <w:r>
        <w:fldChar w:fldCharType="end"/>
      </w:r>
      <w:r w:rsidRPr="00565172">
        <w:rPr>
          <w:sz w:val="22"/>
          <w:szCs w:val="22"/>
        </w:rPr>
        <w:t>.</w:t>
      </w:r>
    </w:p>
    <w:p w:rsidR="00700D1B" w:rsidRPr="00565172" w:rsidP="00700D1B">
      <w:pPr>
        <w:ind w:left="924"/>
        <w:contextualSpacing/>
        <w:rPr>
          <w:rFonts w:eastAsiaTheme="minorHAnsi" w:cs="Arial"/>
          <w:color w:val="0000FF" w:themeColor="hyperlink"/>
          <w:sz w:val="22"/>
          <w:szCs w:val="22"/>
          <w:u w:val="single"/>
          <w:lang w:eastAsia="en-US"/>
        </w:rPr>
      </w:pPr>
    </w:p>
    <w:p w:rsidR="00700D1B" w:rsidRPr="00565172" w:rsidP="00700D1B">
      <w:pPr>
        <w:ind w:left="924"/>
        <w:contextualSpacing/>
        <w:rPr>
          <w:rFonts w:eastAsiaTheme="minorHAnsi" w:cs="Arial"/>
          <w:sz w:val="22"/>
          <w:szCs w:val="22"/>
          <w:lang w:eastAsia="en-US"/>
        </w:rPr>
      </w:pPr>
      <w:r w:rsidRPr="00565172">
        <w:rPr>
          <w:rFonts w:eastAsiaTheme="minorHAnsi" w:cs="Arial"/>
          <w:sz w:val="22"/>
          <w:szCs w:val="22"/>
          <w:lang w:eastAsia="en-US"/>
        </w:rPr>
        <w:t xml:space="preserve">2019-20 and 2020-21 also include an additional £2.85 billion in each year for NHS pensions, and this is funding that is over and above the </w:t>
      </w:r>
      <w:r w:rsidRPr="00565172">
        <w:rPr>
          <w:rFonts w:eastAsiaTheme="minorHAnsi" w:cs="Arial"/>
          <w:sz w:val="22"/>
          <w:szCs w:val="22"/>
          <w:lang w:eastAsia="en-US"/>
        </w:rPr>
        <w:t>Long Term</w:t>
      </w:r>
      <w:r w:rsidRPr="00565172">
        <w:rPr>
          <w:rFonts w:eastAsiaTheme="minorHAnsi" w:cs="Arial"/>
          <w:sz w:val="22"/>
          <w:szCs w:val="22"/>
          <w:lang w:eastAsia="en-US"/>
        </w:rPr>
        <w:t xml:space="preserve"> Plan Settlement</w:t>
      </w:r>
      <w:r>
        <w:rPr>
          <w:rFonts w:eastAsiaTheme="minorHAnsi" w:cs="Arial"/>
          <w:sz w:val="22"/>
          <w:szCs w:val="22"/>
          <w:lang w:eastAsia="en-US"/>
        </w:rPr>
        <w:t>, further details were set out in the Main Estimate Memorandum</w:t>
      </w:r>
      <w:r w:rsidRPr="00565172">
        <w:rPr>
          <w:rFonts w:eastAsiaTheme="minorHAnsi" w:cs="Arial"/>
          <w:sz w:val="22"/>
          <w:szCs w:val="22"/>
          <w:lang w:eastAsia="en-US"/>
        </w:rPr>
        <w:t xml:space="preserve">.  </w:t>
      </w:r>
    </w:p>
    <w:p w:rsidR="00700D1B" w:rsidRPr="00565172" w:rsidP="00700D1B">
      <w:pPr>
        <w:ind w:left="924"/>
        <w:contextualSpacing/>
        <w:rPr>
          <w:rFonts w:eastAsiaTheme="minorHAnsi" w:cs="Arial"/>
          <w:b/>
          <w:sz w:val="22"/>
          <w:szCs w:val="22"/>
          <w:lang w:eastAsia="en-US"/>
        </w:rPr>
      </w:pPr>
    </w:p>
    <w:p w:rsidR="00700D1B" w:rsidRPr="000C5490" w:rsidP="00700D1B">
      <w:pPr>
        <w:ind w:left="924"/>
        <w:contextualSpacing/>
        <w:rPr>
          <w:rFonts w:eastAsiaTheme="minorHAnsi" w:cs="Arial"/>
          <w:sz w:val="22"/>
          <w:szCs w:val="22"/>
          <w:lang w:eastAsia="en-US"/>
        </w:rPr>
      </w:pPr>
      <w:r w:rsidRPr="000C5490">
        <w:rPr>
          <w:rFonts w:eastAsiaTheme="minorHAnsi" w:cs="Arial"/>
          <w:sz w:val="22"/>
          <w:szCs w:val="22"/>
          <w:lang w:eastAsia="en-US"/>
        </w:rPr>
        <w:t xml:space="preserve">The DHSC Spending Review 2020 settlement included £147.1 billion core revenue </w:t>
      </w:r>
      <w:r>
        <w:rPr>
          <w:rFonts w:eastAsiaTheme="minorHAnsi" w:cs="Arial"/>
          <w:sz w:val="22"/>
          <w:szCs w:val="22"/>
          <w:lang w:eastAsia="en-US"/>
        </w:rPr>
        <w:t>funding</w:t>
      </w:r>
      <w:r w:rsidRPr="000C5490">
        <w:rPr>
          <w:rFonts w:eastAsiaTheme="minorHAnsi" w:cs="Arial"/>
          <w:sz w:val="22"/>
          <w:szCs w:val="22"/>
          <w:lang w:eastAsia="en-US"/>
        </w:rPr>
        <w:t xml:space="preserve"> and £20.3 billion Covid-19 funding for 2021-22. </w:t>
      </w:r>
    </w:p>
    <w:p w:rsidR="00700D1B" w:rsidRPr="000C5490" w:rsidP="00700D1B">
      <w:pPr>
        <w:ind w:left="924"/>
        <w:contextualSpacing/>
        <w:rPr>
          <w:rFonts w:eastAsiaTheme="minorHAnsi" w:cs="Arial"/>
          <w:sz w:val="22"/>
          <w:szCs w:val="22"/>
          <w:lang w:eastAsia="en-US"/>
        </w:rPr>
      </w:pPr>
    </w:p>
    <w:p w:rsidR="00700D1B" w:rsidRPr="000C5490" w:rsidP="00700D1B">
      <w:pPr>
        <w:ind w:left="924"/>
        <w:contextualSpacing/>
        <w:rPr>
          <w:rFonts w:eastAsiaTheme="minorHAnsi" w:cs="Arial"/>
          <w:sz w:val="22"/>
          <w:szCs w:val="22"/>
          <w:lang w:eastAsia="en-US"/>
        </w:rPr>
      </w:pPr>
      <w:r w:rsidRPr="000C5490">
        <w:rPr>
          <w:rFonts w:eastAsiaTheme="minorHAnsi" w:cs="Arial"/>
          <w:sz w:val="22"/>
          <w:szCs w:val="22"/>
          <w:lang w:eastAsia="en-US"/>
        </w:rPr>
        <w:t xml:space="preserve">The core revenue settlement provides a £6.6 billion cash increase from 2020-21 to 2021-22, delivering a 3.5 per cent average real terms increase per year since 2019-20. The government remains committed to the </w:t>
      </w:r>
      <w:r w:rsidR="00BE765F">
        <w:rPr>
          <w:rFonts w:eastAsiaTheme="minorHAnsi" w:cs="Arial"/>
          <w:sz w:val="22"/>
          <w:szCs w:val="22"/>
          <w:lang w:eastAsia="en-US"/>
        </w:rPr>
        <w:t xml:space="preserve">previously agreed plans included in the </w:t>
      </w:r>
      <w:r w:rsidRPr="00BE765F">
        <w:rPr>
          <w:rFonts w:eastAsiaTheme="minorHAnsi" w:cs="Arial"/>
          <w:sz w:val="22"/>
          <w:szCs w:val="22"/>
          <w:lang w:eastAsia="en-US"/>
        </w:rPr>
        <w:t>historic long-term settlement for the NHS which provides a cash increase of £33.9 billion a year by</w:t>
      </w:r>
      <w:r w:rsidRPr="000C5490">
        <w:rPr>
          <w:rFonts w:eastAsiaTheme="minorHAnsi" w:cs="Arial"/>
          <w:sz w:val="22"/>
          <w:szCs w:val="22"/>
          <w:lang w:eastAsia="en-US"/>
        </w:rPr>
        <w:t xml:space="preserve"> 2023-24. This takes the NHS England budget from £114.6 billion in 2018-19 to £148.5 billion in 2023-24, with an increase of £6.3 billion in 2021-22.</w:t>
      </w:r>
    </w:p>
    <w:p w:rsidR="00700D1B" w:rsidRPr="000C5490" w:rsidP="00700D1B">
      <w:pPr>
        <w:ind w:left="924"/>
        <w:contextualSpacing/>
        <w:rPr>
          <w:rFonts w:eastAsiaTheme="minorHAnsi" w:cs="Arial"/>
          <w:sz w:val="22"/>
          <w:szCs w:val="22"/>
          <w:lang w:eastAsia="en-US"/>
        </w:rPr>
      </w:pPr>
    </w:p>
    <w:p w:rsidR="00700D1B" w:rsidRPr="000C5490" w:rsidP="00700D1B">
      <w:pPr>
        <w:ind w:left="924"/>
        <w:contextualSpacing/>
        <w:rPr>
          <w:rFonts w:eastAsiaTheme="minorHAnsi" w:cs="Arial"/>
          <w:sz w:val="22"/>
          <w:szCs w:val="22"/>
          <w:lang w:eastAsia="en-US"/>
        </w:rPr>
      </w:pPr>
      <w:r w:rsidRPr="000C5490">
        <w:rPr>
          <w:rFonts w:eastAsiaTheme="minorHAnsi" w:cs="Arial"/>
          <w:sz w:val="22"/>
          <w:szCs w:val="22"/>
          <w:lang w:eastAsia="en-US"/>
        </w:rPr>
        <w:t>Spending Review 2020 supports the country’s ongoing response to Covid-19, providing funding of £20.3 billion. This includes; £15 billion for Test and Trace, £2.1 billion to continue to maintain and distribute stocks of personal protective equipment, and £163 million for medicines and therapeutics. It also provides an additional £3 billion to support the NHS’s recovery from the impact of Covid-19:</w:t>
      </w:r>
    </w:p>
    <w:p w:rsidR="00700D1B" w:rsidRPr="000C5490" w:rsidP="00700D1B">
      <w:pPr>
        <w:pStyle w:val="ListParagraph"/>
        <w:numPr>
          <w:ilvl w:val="1"/>
          <w:numId w:val="12"/>
        </w:numPr>
        <w:contextualSpacing/>
        <w:rPr>
          <w:rFonts w:ascii="Arial" w:hAnsi="Arial" w:eastAsiaTheme="minorHAnsi" w:cs="Arial"/>
          <w:lang w:eastAsia="en-US"/>
        </w:rPr>
      </w:pPr>
      <w:r w:rsidRPr="000C5490">
        <w:rPr>
          <w:rFonts w:ascii="Arial" w:hAnsi="Arial" w:eastAsiaTheme="minorHAnsi" w:cs="Arial"/>
          <w:lang w:eastAsia="en-US"/>
        </w:rPr>
        <w:t>this includes around £1 billion to begin tackling the elective backlog, enough funding to enable hospitals to cut long waits for care by carrying out up to one million extra checks, scans and additional operations or other procedures</w:t>
      </w:r>
    </w:p>
    <w:p w:rsidR="00700D1B" w:rsidRPr="000C5490" w:rsidP="00700D1B">
      <w:pPr>
        <w:pStyle w:val="ListParagraph"/>
        <w:numPr>
          <w:ilvl w:val="1"/>
          <w:numId w:val="12"/>
        </w:numPr>
        <w:contextualSpacing/>
        <w:rPr>
          <w:rFonts w:ascii="Arial" w:hAnsi="Arial" w:eastAsiaTheme="minorHAnsi" w:cs="Arial"/>
          <w:lang w:eastAsia="en-US"/>
        </w:rPr>
      </w:pPr>
      <w:r w:rsidRPr="000C5490">
        <w:rPr>
          <w:rFonts w:ascii="Arial" w:hAnsi="Arial" w:eastAsiaTheme="minorHAnsi" w:cs="Arial"/>
          <w:lang w:eastAsia="en-US"/>
        </w:rPr>
        <w:t>around £500 million to address waiting times for mental health services, give more people the mental health support they need, and invest in the NHS workforce</w:t>
      </w:r>
    </w:p>
    <w:p w:rsidR="00700D1B" w:rsidRPr="000C5490" w:rsidP="00700D1B">
      <w:pPr>
        <w:pStyle w:val="ListParagraph"/>
        <w:numPr>
          <w:ilvl w:val="1"/>
          <w:numId w:val="12"/>
        </w:numPr>
        <w:contextualSpacing/>
        <w:rPr>
          <w:rFonts w:ascii="Arial" w:hAnsi="Arial" w:eastAsiaTheme="minorHAnsi" w:cs="Arial"/>
          <w:lang w:eastAsia="en-US"/>
        </w:rPr>
      </w:pPr>
      <w:r w:rsidRPr="000C5490">
        <w:rPr>
          <w:rFonts w:ascii="Arial" w:hAnsi="Arial" w:eastAsiaTheme="minorHAnsi" w:cs="Arial"/>
          <w:lang w:eastAsia="en-US"/>
        </w:rPr>
        <w:t>around £1.5 billion to help ease existing pressures in the NHS caused by Covid-19.</w:t>
      </w:r>
    </w:p>
    <w:p w:rsidR="00700D1B" w:rsidP="00700D1B">
      <w:pPr>
        <w:ind w:left="924"/>
        <w:contextualSpacing/>
        <w:rPr>
          <w:rFonts w:eastAsiaTheme="minorHAnsi" w:cs="Arial"/>
          <w:sz w:val="22"/>
          <w:szCs w:val="22"/>
          <w:lang w:eastAsia="en-US"/>
        </w:rPr>
      </w:pPr>
      <w:r>
        <w:rPr>
          <w:rFonts w:eastAsiaTheme="minorHAnsi" w:cs="Arial"/>
          <w:sz w:val="22"/>
          <w:szCs w:val="22"/>
          <w:lang w:eastAsia="en-US"/>
        </w:rPr>
        <w:t xml:space="preserve"> </w:t>
      </w:r>
    </w:p>
    <w:p w:rsidR="00700D1B" w:rsidP="00700D1B">
      <w:pPr>
        <w:ind w:left="924"/>
        <w:contextualSpacing/>
        <w:rPr>
          <w:rFonts w:cs="Arial"/>
          <w:color w:val="0B0C0C"/>
          <w:sz w:val="22"/>
          <w:szCs w:val="22"/>
          <w:shd w:val="clear" w:color="auto" w:fill="FFFFFF"/>
        </w:rPr>
      </w:pPr>
      <w:r w:rsidRPr="008A08B5">
        <w:rPr>
          <w:rFonts w:eastAsiaTheme="minorHAnsi" w:cs="Arial"/>
          <w:sz w:val="22"/>
          <w:szCs w:val="22"/>
          <w:lang w:eastAsia="en-US"/>
        </w:rPr>
        <w:t xml:space="preserve">Spending Review 2020 </w:t>
      </w:r>
      <w:r w:rsidRPr="008A08B5" w:rsidR="00BE765F">
        <w:rPr>
          <w:rFonts w:eastAsiaTheme="minorHAnsi" w:cs="Arial"/>
          <w:sz w:val="22"/>
          <w:szCs w:val="22"/>
          <w:lang w:eastAsia="en-US"/>
        </w:rPr>
        <w:t xml:space="preserve">indicated </w:t>
      </w:r>
      <w:r w:rsidRPr="008A08B5">
        <w:rPr>
          <w:rFonts w:eastAsiaTheme="minorHAnsi" w:cs="Arial"/>
          <w:sz w:val="22"/>
          <w:szCs w:val="22"/>
          <w:lang w:eastAsia="en-US"/>
        </w:rPr>
        <w:t>t</w:t>
      </w:r>
      <w:r w:rsidRPr="008A08B5" w:rsidR="00BE765F">
        <w:rPr>
          <w:rFonts w:cs="Arial"/>
          <w:color w:val="0B0C0C"/>
          <w:sz w:val="22"/>
          <w:szCs w:val="22"/>
          <w:shd w:val="clear" w:color="auto" w:fill="FFFFFF"/>
        </w:rPr>
        <w:t>he government</w:t>
      </w:r>
      <w:r w:rsidRPr="008A08B5">
        <w:rPr>
          <w:rFonts w:cs="Arial"/>
          <w:color w:val="0B0C0C"/>
          <w:sz w:val="22"/>
          <w:szCs w:val="22"/>
          <w:shd w:val="clear" w:color="auto" w:fill="FFFFFF"/>
        </w:rPr>
        <w:t>’s</w:t>
      </w:r>
      <w:r w:rsidRPr="008A08B5" w:rsidR="00BE765F">
        <w:rPr>
          <w:rFonts w:cs="Arial"/>
          <w:color w:val="0B0C0C"/>
          <w:sz w:val="22"/>
          <w:szCs w:val="22"/>
          <w:shd w:val="clear" w:color="auto" w:fill="FFFFFF"/>
        </w:rPr>
        <w:t xml:space="preserve"> </w:t>
      </w:r>
      <w:r w:rsidRPr="008A08B5">
        <w:rPr>
          <w:rFonts w:cs="Arial"/>
          <w:color w:val="0B0C0C"/>
          <w:sz w:val="22"/>
          <w:szCs w:val="22"/>
          <w:shd w:val="clear" w:color="auto" w:fill="FFFFFF"/>
        </w:rPr>
        <w:t xml:space="preserve">commitment </w:t>
      </w:r>
      <w:r w:rsidRPr="008A08B5" w:rsidR="00BE765F">
        <w:rPr>
          <w:rFonts w:cs="Arial"/>
          <w:color w:val="0B0C0C"/>
          <w:sz w:val="22"/>
          <w:szCs w:val="22"/>
          <w:shd w:val="clear" w:color="auto" w:fill="FFFFFF"/>
        </w:rPr>
        <w:t>to ensur</w:t>
      </w:r>
      <w:r w:rsidRPr="008A08B5">
        <w:rPr>
          <w:rFonts w:cs="Arial"/>
          <w:color w:val="0B0C0C"/>
          <w:sz w:val="22"/>
          <w:szCs w:val="22"/>
          <w:shd w:val="clear" w:color="auto" w:fill="FFFFFF"/>
        </w:rPr>
        <w:t>e</w:t>
      </w:r>
      <w:r w:rsidRPr="008A08B5" w:rsidR="00BE765F">
        <w:rPr>
          <w:rFonts w:cs="Arial"/>
          <w:color w:val="0B0C0C"/>
          <w:sz w:val="22"/>
          <w:szCs w:val="22"/>
          <w:shd w:val="clear" w:color="auto" w:fill="FFFFFF"/>
        </w:rPr>
        <w:t xml:space="preserve"> the NHS has the certainty it needs to plan and further funding for operationally necessary direct Covid-19 costs </w:t>
      </w:r>
      <w:r w:rsidRPr="008A08B5">
        <w:rPr>
          <w:rFonts w:cs="Arial"/>
          <w:color w:val="0B0C0C"/>
          <w:sz w:val="22"/>
          <w:szCs w:val="22"/>
          <w:shd w:val="clear" w:color="auto" w:fill="FFFFFF"/>
        </w:rPr>
        <w:t xml:space="preserve">will be agreed </w:t>
      </w:r>
      <w:r w:rsidRPr="008A08B5" w:rsidR="00BE765F">
        <w:rPr>
          <w:rFonts w:cs="Arial"/>
          <w:color w:val="0B0C0C"/>
          <w:sz w:val="22"/>
          <w:szCs w:val="22"/>
          <w:shd w:val="clear" w:color="auto" w:fill="FFFFFF"/>
        </w:rPr>
        <w:t>with the NHS</w:t>
      </w:r>
      <w:r w:rsidRPr="008A08B5">
        <w:rPr>
          <w:rFonts w:cs="Arial"/>
          <w:color w:val="0B0C0C"/>
          <w:sz w:val="22"/>
          <w:szCs w:val="22"/>
          <w:shd w:val="clear" w:color="auto" w:fill="FFFFFF"/>
        </w:rPr>
        <w:t>.</w:t>
      </w:r>
    </w:p>
    <w:p w:rsidR="00701C6A" w:rsidRPr="00701C6A" w:rsidP="00700D1B">
      <w:pPr>
        <w:ind w:left="924"/>
        <w:contextualSpacing/>
        <w:rPr>
          <w:rFonts w:eastAsiaTheme="minorHAnsi" w:cs="Arial"/>
          <w:sz w:val="22"/>
          <w:szCs w:val="22"/>
          <w:lang w:eastAsia="en-US"/>
        </w:rPr>
      </w:pPr>
    </w:p>
    <w:p w:rsidR="00700D1B" w:rsidRPr="00565172" w:rsidP="00700D1B">
      <w:pPr>
        <w:numPr>
          <w:ilvl w:val="0"/>
          <w:numId w:val="12"/>
        </w:numPr>
        <w:spacing w:after="120" w:line="276" w:lineRule="auto"/>
        <w:ind w:left="924" w:hanging="357"/>
        <w:rPr>
          <w:rFonts w:eastAsia="Calibri" w:cs="Arial"/>
          <w:sz w:val="22"/>
          <w:szCs w:val="22"/>
          <w:u w:val="single"/>
        </w:rPr>
      </w:pPr>
      <w:r w:rsidRPr="00565172">
        <w:rPr>
          <w:rFonts w:eastAsia="Calibri" w:cs="Arial"/>
          <w:sz w:val="22"/>
          <w:szCs w:val="22"/>
          <w:u w:val="single"/>
        </w:rPr>
        <w:t>Capital DEL</w:t>
      </w:r>
      <w:r>
        <w:rPr>
          <w:rFonts w:eastAsia="Calibri" w:cs="Arial"/>
          <w:sz w:val="22"/>
          <w:szCs w:val="22"/>
          <w:u w:val="single"/>
        </w:rPr>
        <w:t xml:space="preserve"> </w:t>
      </w:r>
    </w:p>
    <w:p w:rsidR="00700D1B" w:rsidRPr="00565172" w:rsidP="00700D1B">
      <w:pPr>
        <w:spacing w:after="120" w:line="276" w:lineRule="auto"/>
        <w:ind w:left="924"/>
        <w:rPr>
          <w:rFonts w:eastAsia="Calibri" w:cs="Arial"/>
          <w:sz w:val="22"/>
          <w:szCs w:val="22"/>
          <w:u w:val="single"/>
        </w:rPr>
      </w:pPr>
      <w:r>
        <w:rPr>
          <w:rFonts w:eastAsia="Calibri" w:cs="Arial"/>
          <w:noProof/>
          <w:sz w:val="22"/>
          <w:szCs w:val="22"/>
          <w:u w:val="single"/>
        </w:rPr>
        <w:drawing>
          <wp:anchor distT="0" distB="0" distL="114300" distR="114300" simplePos="0" relativeHeight="251664384" behindDoc="0" locked="0" layoutInCell="1" allowOverlap="1">
            <wp:simplePos x="0" y="0"/>
            <wp:positionH relativeFrom="column">
              <wp:posOffset>584522</wp:posOffset>
            </wp:positionH>
            <wp:positionV relativeFrom="paragraph">
              <wp:posOffset>603</wp:posOffset>
            </wp:positionV>
            <wp:extent cx="5956300" cy="2536190"/>
            <wp:effectExtent l="0" t="0" r="6350" b="0"/>
            <wp:wrapSquare wrapText="bothSides"/>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xmlns:r="http://schemas.openxmlformats.org/officeDocument/2006/relationships" r:embed="rId18">
                      <a:extLst>
                        <a:ext uri="{28A0092B-C50C-407E-A947-70E740481C1C}">
                          <a14:useLocalDpi xmlns:a14="http://schemas.microsoft.com/office/drawing/2010/main" val="0"/>
                        </a:ext>
                      </a:extLst>
                    </a:blip>
                    <a:srcRect/>
                    <a:stretch>
                      <a:fillRect/>
                    </a:stretch>
                  </pic:blipFill>
                  <pic:spPr bwMode="auto">
                    <a:xfrm>
                      <a:off x="0" y="0"/>
                      <a:ext cx="5956300" cy="2536190"/>
                    </a:xfrm>
                    <a:prstGeom prst="rect">
                      <a:avLst/>
                    </a:prstGeom>
                    <a:noFill/>
                  </pic:spPr>
                </pic:pic>
              </a:graphicData>
            </a:graphic>
          </wp:anchor>
        </w:drawing>
      </w:r>
    </w:p>
    <w:p w:rsidR="00700D1B" w:rsidP="00700D1B">
      <w:pPr>
        <w:ind w:left="924"/>
        <w:contextualSpacing/>
        <w:jc w:val="both"/>
        <w:rPr>
          <w:rFonts w:eastAsia="Calibri" w:cs="Arial"/>
          <w:sz w:val="22"/>
          <w:szCs w:val="22"/>
        </w:rPr>
      </w:pPr>
      <w:r>
        <w:rPr>
          <w:rFonts w:eastAsia="Calibri" w:cs="Arial"/>
          <w:sz w:val="22"/>
          <w:szCs w:val="22"/>
        </w:rPr>
        <w:t>I</w:t>
      </w:r>
      <w:r w:rsidRPr="00565172">
        <w:rPr>
          <w:rFonts w:eastAsia="Calibri" w:cs="Arial"/>
          <w:sz w:val="22"/>
          <w:szCs w:val="22"/>
        </w:rPr>
        <w:t>n the 2020 Spring Budget the Chancellor announced an additional £1.16 billion of capital funding</w:t>
      </w:r>
      <w:r>
        <w:rPr>
          <w:rFonts w:eastAsia="Calibri" w:cs="Arial"/>
          <w:sz w:val="22"/>
          <w:szCs w:val="22"/>
        </w:rPr>
        <w:t xml:space="preserve"> for 2020</w:t>
      </w:r>
      <w:r w:rsidR="008A08B5">
        <w:rPr>
          <w:rFonts w:eastAsia="Calibri" w:cs="Arial"/>
          <w:sz w:val="22"/>
          <w:szCs w:val="22"/>
        </w:rPr>
        <w:t>-</w:t>
      </w:r>
      <w:r>
        <w:rPr>
          <w:rFonts w:eastAsia="Calibri" w:cs="Arial"/>
          <w:sz w:val="22"/>
          <w:szCs w:val="22"/>
        </w:rPr>
        <w:t xml:space="preserve">21.  £1.11 billion </w:t>
      </w:r>
      <w:r w:rsidRPr="00565172">
        <w:rPr>
          <w:rFonts w:eastAsia="Calibri" w:cs="Arial"/>
          <w:sz w:val="22"/>
          <w:szCs w:val="22"/>
        </w:rPr>
        <w:t xml:space="preserve">to allow NHS </w:t>
      </w:r>
      <w:r>
        <w:rPr>
          <w:rFonts w:eastAsia="Calibri" w:cs="Arial"/>
          <w:sz w:val="22"/>
          <w:szCs w:val="22"/>
        </w:rPr>
        <w:t>P</w:t>
      </w:r>
      <w:r w:rsidRPr="00565172">
        <w:rPr>
          <w:rFonts w:eastAsia="Calibri" w:cs="Arial"/>
          <w:sz w:val="22"/>
          <w:szCs w:val="22"/>
        </w:rPr>
        <w:t>roviders to continue investing in estate refurbishment and building maintenance</w:t>
      </w:r>
      <w:r>
        <w:rPr>
          <w:rFonts w:eastAsia="Calibri" w:cs="Arial"/>
          <w:sz w:val="22"/>
          <w:szCs w:val="22"/>
        </w:rPr>
        <w:t xml:space="preserve">.  This includes funding for </w:t>
      </w:r>
      <w:r w:rsidRPr="00565172">
        <w:rPr>
          <w:rFonts w:eastAsia="Calibri" w:cs="Arial"/>
          <w:sz w:val="22"/>
          <w:szCs w:val="22"/>
        </w:rPr>
        <w:t>20 hospital upgrades</w:t>
      </w:r>
      <w:r>
        <w:rPr>
          <w:rFonts w:eastAsia="Calibri" w:cs="Arial"/>
          <w:sz w:val="22"/>
          <w:szCs w:val="22"/>
        </w:rPr>
        <w:t xml:space="preserve"> and to kick start the delivery of 40 new hospitals, £40 million is for Covid-19 related workstreams.</w:t>
      </w:r>
      <w:r w:rsidRPr="00565172">
        <w:rPr>
          <w:rFonts w:eastAsia="Calibri" w:cs="Arial"/>
          <w:sz w:val="22"/>
          <w:szCs w:val="22"/>
        </w:rPr>
        <w:t xml:space="preserve"> </w:t>
      </w:r>
      <w:r>
        <w:rPr>
          <w:rFonts w:eastAsia="Calibri" w:cs="Arial"/>
          <w:sz w:val="22"/>
          <w:szCs w:val="22"/>
        </w:rPr>
        <w:t xml:space="preserve"> M</w:t>
      </w:r>
      <w:r w:rsidRPr="00565172">
        <w:rPr>
          <w:rFonts w:eastAsia="Calibri" w:cs="Arial"/>
          <w:sz w:val="22"/>
          <w:szCs w:val="22"/>
        </w:rPr>
        <w:t xml:space="preserve">ulti-year capital funding </w:t>
      </w:r>
      <w:r>
        <w:rPr>
          <w:rFonts w:eastAsia="Calibri" w:cs="Arial"/>
          <w:sz w:val="22"/>
          <w:szCs w:val="22"/>
        </w:rPr>
        <w:t xml:space="preserve">will be </w:t>
      </w:r>
      <w:r w:rsidRPr="00565172">
        <w:rPr>
          <w:rFonts w:eastAsia="Calibri" w:cs="Arial"/>
          <w:sz w:val="22"/>
          <w:szCs w:val="22"/>
        </w:rPr>
        <w:t>provided through the spending review later this year.</w:t>
      </w:r>
    </w:p>
    <w:p w:rsidR="00700D1B" w:rsidRPr="00565172" w:rsidP="00700D1B">
      <w:pPr>
        <w:ind w:left="924"/>
        <w:contextualSpacing/>
        <w:jc w:val="both"/>
        <w:rPr>
          <w:rFonts w:eastAsia="Calibri" w:cs="Arial"/>
          <w:sz w:val="22"/>
          <w:szCs w:val="22"/>
        </w:rPr>
      </w:pPr>
    </w:p>
    <w:p w:rsidR="00700D1B" w:rsidRPr="00565172" w:rsidP="00700D1B">
      <w:pPr>
        <w:ind w:left="924"/>
        <w:contextualSpacing/>
        <w:jc w:val="both"/>
        <w:rPr>
          <w:rFonts w:eastAsia="Calibri" w:cs="Arial"/>
          <w:sz w:val="22"/>
          <w:szCs w:val="22"/>
        </w:rPr>
      </w:pPr>
      <w:r w:rsidRPr="00C95AA7">
        <w:rPr>
          <w:rFonts w:eastAsia="Calibri" w:cs="Arial"/>
          <w:bCs/>
          <w:sz w:val="22"/>
          <w:szCs w:val="22"/>
        </w:rPr>
        <w:t>As part of</w:t>
      </w:r>
      <w:r>
        <w:rPr>
          <w:rFonts w:eastAsia="Calibri" w:cs="Arial"/>
          <w:bCs/>
          <w:sz w:val="22"/>
          <w:szCs w:val="22"/>
        </w:rPr>
        <w:t xml:space="preserve"> a Plan for Jobs 2020</w:t>
      </w:r>
      <w:r w:rsidRPr="00C95AA7">
        <w:rPr>
          <w:rFonts w:eastAsia="Calibri" w:cs="Arial"/>
          <w:bCs/>
          <w:sz w:val="22"/>
          <w:szCs w:val="22"/>
        </w:rPr>
        <w:t xml:space="preserve"> £1.5 billion additional capital for 2020-21 was awarded as follows:</w:t>
      </w:r>
    </w:p>
    <w:p w:rsidR="00700D1B" w:rsidRPr="005B2C56" w:rsidP="00700D1B">
      <w:pPr>
        <w:numPr>
          <w:ilvl w:val="0"/>
          <w:numId w:val="12"/>
        </w:numPr>
        <w:contextualSpacing/>
        <w:jc w:val="both"/>
        <w:rPr>
          <w:rFonts w:eastAsia="Calibri" w:cs="Arial"/>
          <w:sz w:val="22"/>
          <w:szCs w:val="22"/>
        </w:rPr>
      </w:pPr>
      <w:r w:rsidRPr="005B2C56">
        <w:rPr>
          <w:rFonts w:eastAsia="Calibri" w:cs="Arial"/>
          <w:sz w:val="22"/>
          <w:szCs w:val="22"/>
        </w:rPr>
        <w:t>£1.05 billion for NHS critical maintenance and A&amp;E Capacity across England;</w:t>
      </w:r>
    </w:p>
    <w:p w:rsidR="00700D1B" w:rsidRPr="005B2C56" w:rsidP="00700D1B">
      <w:pPr>
        <w:numPr>
          <w:ilvl w:val="0"/>
          <w:numId w:val="12"/>
        </w:numPr>
        <w:contextualSpacing/>
        <w:jc w:val="both"/>
        <w:rPr>
          <w:rFonts w:eastAsia="Calibri" w:cs="Arial"/>
          <w:sz w:val="22"/>
          <w:szCs w:val="22"/>
        </w:rPr>
      </w:pPr>
      <w:r w:rsidRPr="005B2C56">
        <w:rPr>
          <w:rFonts w:eastAsia="Calibri" w:cs="Arial"/>
          <w:sz w:val="22"/>
          <w:szCs w:val="22"/>
        </w:rPr>
        <w:t xml:space="preserve">£250 million for Mental Health Dormitories; and </w:t>
      </w:r>
    </w:p>
    <w:p w:rsidR="00700D1B" w:rsidRPr="005B2C56" w:rsidP="00700D1B">
      <w:pPr>
        <w:numPr>
          <w:ilvl w:val="0"/>
          <w:numId w:val="12"/>
        </w:numPr>
        <w:contextualSpacing/>
        <w:jc w:val="both"/>
        <w:rPr>
          <w:rFonts w:eastAsia="Calibri" w:cs="Arial"/>
          <w:sz w:val="22"/>
          <w:szCs w:val="22"/>
        </w:rPr>
      </w:pPr>
      <w:r w:rsidRPr="005B2C56">
        <w:rPr>
          <w:rFonts w:eastAsia="Calibri" w:cs="Arial"/>
          <w:sz w:val="22"/>
          <w:szCs w:val="22"/>
        </w:rPr>
        <w:t>£200 million for accelerating the Health Infrastructure Plan.</w:t>
      </w:r>
    </w:p>
    <w:p w:rsidR="00700D1B" w:rsidP="00700D1B">
      <w:pPr>
        <w:ind w:left="924"/>
        <w:contextualSpacing/>
        <w:jc w:val="both"/>
        <w:rPr>
          <w:rFonts w:eastAsia="Calibri" w:cs="Arial"/>
          <w:sz w:val="22"/>
          <w:szCs w:val="22"/>
        </w:rPr>
      </w:pPr>
    </w:p>
    <w:p w:rsidR="00700D1B" w:rsidP="00700D1B">
      <w:pPr>
        <w:ind w:left="924"/>
        <w:contextualSpacing/>
        <w:jc w:val="both"/>
        <w:rPr>
          <w:rFonts w:eastAsiaTheme="minorHAnsi" w:cs="Arial"/>
          <w:sz w:val="22"/>
          <w:szCs w:val="22"/>
          <w:lang w:eastAsia="en-US"/>
        </w:rPr>
      </w:pPr>
      <w:r>
        <w:rPr>
          <w:rFonts w:eastAsia="Calibri" w:cs="Arial"/>
          <w:sz w:val="22"/>
          <w:szCs w:val="22"/>
        </w:rPr>
        <w:t xml:space="preserve">Funding to cover the department’s response to Covid-19 of £3.9 billion is included within the 2020-21 Supplementary Estimate, this is in addition to the £40 million included at Main Estimate. </w:t>
      </w:r>
      <w:r>
        <w:rPr>
          <w:rFonts w:eastAsiaTheme="minorHAnsi" w:cs="Arial"/>
          <w:sz w:val="22"/>
          <w:szCs w:val="22"/>
          <w:lang w:eastAsia="en-US"/>
        </w:rPr>
        <w:t>Further details of the programmes this additional funding covers are provided in para 1.8.</w:t>
      </w:r>
    </w:p>
    <w:p w:rsidR="00700D1B" w:rsidP="00700D1B">
      <w:pPr>
        <w:ind w:left="924"/>
        <w:contextualSpacing/>
        <w:jc w:val="both"/>
        <w:rPr>
          <w:rFonts w:eastAsiaTheme="minorHAnsi" w:cs="Arial"/>
          <w:sz w:val="22"/>
          <w:szCs w:val="22"/>
          <w:lang w:eastAsia="en-US"/>
        </w:rPr>
      </w:pPr>
    </w:p>
    <w:p w:rsidR="00700D1B" w:rsidRPr="005B2C56" w:rsidP="00700D1B">
      <w:pPr>
        <w:ind w:left="924"/>
        <w:contextualSpacing/>
        <w:jc w:val="both"/>
        <w:rPr>
          <w:rFonts w:eastAsia="Calibri" w:cs="Arial"/>
          <w:sz w:val="22"/>
          <w:szCs w:val="22"/>
        </w:rPr>
      </w:pPr>
      <w:r w:rsidRPr="005B2C56">
        <w:rPr>
          <w:rFonts w:eastAsia="Calibri" w:cs="Arial"/>
          <w:sz w:val="22"/>
          <w:szCs w:val="22"/>
        </w:rPr>
        <w:t>S</w:t>
      </w:r>
      <w:r>
        <w:rPr>
          <w:rFonts w:eastAsia="Calibri" w:cs="Arial"/>
          <w:sz w:val="22"/>
          <w:szCs w:val="22"/>
        </w:rPr>
        <w:t xml:space="preserve">pending </w:t>
      </w:r>
      <w:r w:rsidRPr="005B2C56">
        <w:rPr>
          <w:rFonts w:eastAsia="Calibri" w:cs="Arial"/>
          <w:sz w:val="22"/>
          <w:szCs w:val="22"/>
        </w:rPr>
        <w:t>R</w:t>
      </w:r>
      <w:r>
        <w:rPr>
          <w:rFonts w:eastAsia="Calibri" w:cs="Arial"/>
          <w:sz w:val="22"/>
          <w:szCs w:val="22"/>
        </w:rPr>
        <w:t xml:space="preserve">eview </w:t>
      </w:r>
      <w:r w:rsidRPr="005B2C56">
        <w:rPr>
          <w:rFonts w:eastAsia="Calibri" w:cs="Arial"/>
          <w:sz w:val="22"/>
          <w:szCs w:val="22"/>
        </w:rPr>
        <w:t>20 provides capital investment to continue to improve the NHS estate, including:</w:t>
      </w:r>
    </w:p>
    <w:p w:rsidR="00700D1B" w:rsidRPr="005B2C56" w:rsidP="00700D1B">
      <w:pPr>
        <w:numPr>
          <w:ilvl w:val="0"/>
          <w:numId w:val="19"/>
        </w:numPr>
        <w:tabs>
          <w:tab w:val="num" w:pos="720"/>
        </w:tabs>
        <w:contextualSpacing/>
        <w:jc w:val="both"/>
        <w:rPr>
          <w:rFonts w:eastAsia="Calibri" w:cs="Arial"/>
          <w:sz w:val="22"/>
          <w:szCs w:val="22"/>
        </w:rPr>
      </w:pPr>
      <w:r w:rsidRPr="005B2C56">
        <w:rPr>
          <w:rFonts w:eastAsia="Calibri" w:cs="Arial"/>
          <w:sz w:val="22"/>
          <w:szCs w:val="22"/>
        </w:rPr>
        <w:t>multi-year capital funding commitments of £3.7 billion until 2024-25 to make progress on building 40 new hospitals by 2030 and £1.7 billion until 2024-25 for over 70 hospital upgrades to improve health infrastructure across the country over the long term. These projects will span the length and breadth of England, supporting the government’s levelling up agenda</w:t>
      </w:r>
    </w:p>
    <w:p w:rsidR="00700D1B" w:rsidRPr="005B2C56" w:rsidP="00700D1B">
      <w:pPr>
        <w:numPr>
          <w:ilvl w:val="0"/>
          <w:numId w:val="19"/>
        </w:numPr>
        <w:tabs>
          <w:tab w:val="num" w:pos="720"/>
        </w:tabs>
        <w:contextualSpacing/>
        <w:jc w:val="both"/>
        <w:rPr>
          <w:rFonts w:eastAsia="Calibri" w:cs="Arial"/>
          <w:sz w:val="22"/>
          <w:szCs w:val="22"/>
        </w:rPr>
      </w:pPr>
      <w:r w:rsidRPr="005B2C56">
        <w:rPr>
          <w:rFonts w:eastAsia="Calibri" w:cs="Arial"/>
          <w:sz w:val="22"/>
          <w:szCs w:val="22"/>
        </w:rPr>
        <w:t xml:space="preserve">£4.2 billion in 2021-22 for NHS operational capital investment to allow hospitals to refurbish and maintain their infrastructure. Additionally, the government will provide £165 million in 2021-22, ringfenced to replace outdated mental health dormitories with single </w:t>
      </w:r>
      <w:r w:rsidRPr="005B2C56">
        <w:rPr>
          <w:rFonts w:eastAsia="Calibri" w:cs="Arial"/>
          <w:sz w:val="22"/>
          <w:szCs w:val="22"/>
        </w:rPr>
        <w:t>en</w:t>
      </w:r>
      <w:r>
        <w:rPr>
          <w:rFonts w:eastAsia="Calibri" w:cs="Arial"/>
          <w:sz w:val="22"/>
          <w:szCs w:val="22"/>
        </w:rPr>
        <w:t>-</w:t>
      </w:r>
      <w:r w:rsidRPr="005B2C56">
        <w:rPr>
          <w:rFonts w:eastAsia="Calibri" w:cs="Arial"/>
          <w:sz w:val="22"/>
          <w:szCs w:val="22"/>
        </w:rPr>
        <w:t>suite rooms.</w:t>
      </w:r>
    </w:p>
    <w:p w:rsidR="00700D1B" w:rsidP="00700D1B">
      <w:pPr>
        <w:ind w:left="924"/>
        <w:contextualSpacing/>
        <w:jc w:val="both"/>
        <w:rPr>
          <w:rFonts w:eastAsia="Calibri" w:cs="Arial"/>
          <w:sz w:val="22"/>
          <w:szCs w:val="22"/>
        </w:rPr>
      </w:pPr>
    </w:p>
    <w:p w:rsidR="00700D1B" w:rsidP="00700D1B">
      <w:pPr>
        <w:ind w:left="924"/>
        <w:contextualSpacing/>
        <w:jc w:val="both"/>
        <w:rPr>
          <w:rFonts w:eastAsia="Calibri" w:cs="Arial"/>
          <w:sz w:val="22"/>
          <w:szCs w:val="22"/>
        </w:rPr>
      </w:pPr>
    </w:p>
    <w:p w:rsidR="006C00B6" w:rsidP="00700D1B">
      <w:pPr>
        <w:ind w:left="924"/>
        <w:contextualSpacing/>
        <w:jc w:val="both"/>
        <w:rPr>
          <w:rFonts w:eastAsia="Calibri" w:cs="Arial"/>
          <w:sz w:val="22"/>
          <w:szCs w:val="22"/>
        </w:rPr>
      </w:pPr>
    </w:p>
    <w:p w:rsidR="006C00B6" w:rsidP="00700D1B">
      <w:pPr>
        <w:ind w:left="924"/>
        <w:contextualSpacing/>
        <w:jc w:val="both"/>
        <w:rPr>
          <w:rFonts w:eastAsia="Calibri" w:cs="Arial"/>
          <w:sz w:val="22"/>
          <w:szCs w:val="22"/>
        </w:rPr>
      </w:pPr>
    </w:p>
    <w:p w:rsidR="006C00B6" w:rsidRPr="00565172" w:rsidP="00700D1B">
      <w:pPr>
        <w:ind w:left="924"/>
        <w:contextualSpacing/>
        <w:jc w:val="both"/>
        <w:rPr>
          <w:rFonts w:eastAsia="Calibri" w:cs="Arial"/>
          <w:sz w:val="22"/>
          <w:szCs w:val="22"/>
        </w:rPr>
      </w:pPr>
    </w:p>
    <w:p w:rsidR="00700D1B" w:rsidP="00700D1B">
      <w:pPr>
        <w:numPr>
          <w:ilvl w:val="0"/>
          <w:numId w:val="12"/>
        </w:numPr>
        <w:spacing w:after="120"/>
        <w:ind w:left="924" w:hanging="357"/>
        <w:rPr>
          <w:rFonts w:eastAsia="Calibri" w:cs="Arial"/>
          <w:sz w:val="22"/>
          <w:szCs w:val="22"/>
          <w:u w:val="single"/>
        </w:rPr>
      </w:pPr>
      <w:r w:rsidRPr="00565172">
        <w:rPr>
          <w:rFonts w:eastAsia="Calibri" w:cs="Arial"/>
          <w:sz w:val="22"/>
          <w:szCs w:val="22"/>
          <w:u w:val="single"/>
        </w:rPr>
        <w:t>Resource AME</w:t>
      </w:r>
    </w:p>
    <w:p w:rsidR="00700D1B" w:rsidRPr="00565172" w:rsidP="00700D1B">
      <w:pPr>
        <w:spacing w:after="120"/>
        <w:ind w:left="924"/>
        <w:rPr>
          <w:rFonts w:eastAsia="Calibri" w:cs="Arial"/>
          <w:sz w:val="22"/>
          <w:szCs w:val="22"/>
          <w:u w:val="single"/>
        </w:rPr>
      </w:pPr>
      <w:r>
        <w:rPr>
          <w:noProof/>
        </w:rPr>
        <w:drawing>
          <wp:inline distT="0" distB="0" distL="0" distR="0">
            <wp:extent cx="5968366" cy="2822575"/>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pic:nvPicPr>
                  <pic:blipFill>
                    <a:blip xmlns:r="http://schemas.openxmlformats.org/officeDocument/2006/relationships" r:embed="rId19">
                      <a:extLst>
                        <a:ext uri="{28A0092B-C50C-407E-A947-70E740481C1C}">
                          <a14:useLocalDpi xmlns:a14="http://schemas.microsoft.com/office/drawing/2010/main" val="0"/>
                        </a:ext>
                      </a:extLst>
                    </a:blip>
                    <a:stretch>
                      <a:fillRect/>
                    </a:stretch>
                  </pic:blipFill>
                  <pic:spPr>
                    <a:xfrm>
                      <a:off x="0" y="0"/>
                      <a:ext cx="5968366" cy="2822575"/>
                    </a:xfrm>
                    <a:prstGeom prst="rect">
                      <a:avLst/>
                    </a:prstGeom>
                  </pic:spPr>
                </pic:pic>
              </a:graphicData>
            </a:graphic>
          </wp:inline>
        </w:drawing>
      </w:r>
    </w:p>
    <w:p w:rsidR="00700D1B" w:rsidRPr="00565172" w:rsidP="00700D1B">
      <w:pPr>
        <w:spacing w:after="120"/>
        <w:ind w:left="924"/>
        <w:rPr>
          <w:rFonts w:eastAsia="Calibri" w:cs="Arial"/>
          <w:sz w:val="22"/>
          <w:szCs w:val="22"/>
          <w:u w:val="single"/>
        </w:rPr>
      </w:pPr>
    </w:p>
    <w:p w:rsidR="00700D1B" w:rsidRPr="00A069A9" w:rsidP="00700D1B">
      <w:pPr>
        <w:ind w:left="924"/>
        <w:jc w:val="both"/>
        <w:rPr>
          <w:rFonts w:eastAsiaTheme="minorHAnsi" w:cs="Arial"/>
          <w:color w:val="FF0000"/>
          <w:sz w:val="22"/>
          <w:szCs w:val="22"/>
          <w:lang w:eastAsia="en-US"/>
        </w:rPr>
      </w:pPr>
      <w:bookmarkStart w:id="3" w:name="_Hlk63413450"/>
      <w:r w:rsidRPr="00565172">
        <w:rPr>
          <w:rFonts w:eastAsiaTheme="minorHAnsi" w:cs="Arial"/>
          <w:sz w:val="22"/>
          <w:szCs w:val="22"/>
          <w:lang w:eastAsia="en-US"/>
        </w:rPr>
        <w:t xml:space="preserve">The Department’s AME </w:t>
      </w:r>
      <w:r>
        <w:rPr>
          <w:rFonts w:eastAsiaTheme="minorHAnsi" w:cs="Arial"/>
          <w:sz w:val="22"/>
          <w:szCs w:val="22"/>
          <w:lang w:eastAsia="en-US"/>
        </w:rPr>
        <w:t xml:space="preserve">doesn’t have an immediate impact on the fiscal framework or need for taxes to be raised to cover spending. It </w:t>
      </w:r>
      <w:r w:rsidRPr="00565172">
        <w:rPr>
          <w:rFonts w:eastAsiaTheme="minorHAnsi" w:cs="Arial"/>
          <w:sz w:val="22"/>
          <w:szCs w:val="22"/>
          <w:lang w:eastAsia="en-US"/>
        </w:rPr>
        <w:t>relates to provisions and impairments</w:t>
      </w:r>
      <w:r>
        <w:rPr>
          <w:rFonts w:eastAsiaTheme="minorHAnsi" w:cs="Arial"/>
          <w:sz w:val="22"/>
          <w:szCs w:val="22"/>
          <w:lang w:eastAsia="en-US"/>
        </w:rPr>
        <w:t xml:space="preserve"> that </w:t>
      </w:r>
      <w:r w:rsidR="006651A1">
        <w:rPr>
          <w:rFonts w:eastAsiaTheme="minorHAnsi" w:cs="Arial"/>
          <w:sz w:val="22"/>
          <w:szCs w:val="22"/>
          <w:lang w:eastAsia="en-US"/>
        </w:rPr>
        <w:t>are</w:t>
      </w:r>
      <w:r>
        <w:rPr>
          <w:rFonts w:eastAsiaTheme="minorHAnsi" w:cs="Arial"/>
          <w:sz w:val="22"/>
          <w:szCs w:val="22"/>
          <w:lang w:eastAsia="en-US"/>
        </w:rPr>
        <w:t xml:space="preserve"> </w:t>
      </w:r>
      <w:r w:rsidRPr="00565172">
        <w:rPr>
          <w:rFonts w:eastAsiaTheme="minorHAnsi" w:cs="Arial"/>
          <w:sz w:val="22"/>
          <w:szCs w:val="22"/>
          <w:lang w:eastAsia="en-US"/>
        </w:rPr>
        <w:t>demand-led and volatile, being subject to many variables outside the Department’s direct control, such as changes to the discount rates to measure the value of long-term provisions liabilities</w:t>
      </w:r>
      <w:bookmarkEnd w:id="3"/>
      <w:r w:rsidRPr="00565172">
        <w:rPr>
          <w:rFonts w:eastAsiaTheme="minorHAnsi" w:cs="Arial"/>
          <w:sz w:val="22"/>
          <w:szCs w:val="22"/>
          <w:lang w:eastAsia="en-US"/>
        </w:rPr>
        <w:t>.</w:t>
      </w:r>
      <w:r>
        <w:rPr>
          <w:rFonts w:eastAsiaTheme="minorHAnsi" w:cs="Arial"/>
          <w:sz w:val="22"/>
          <w:szCs w:val="22"/>
          <w:lang w:eastAsia="en-US"/>
        </w:rPr>
        <w:t xml:space="preserve"> </w:t>
      </w:r>
    </w:p>
    <w:p w:rsidR="00700D1B" w:rsidP="00700D1B">
      <w:pPr>
        <w:rPr>
          <w:rFonts w:eastAsiaTheme="minorHAnsi" w:cs="Arial"/>
          <w:sz w:val="22"/>
          <w:szCs w:val="22"/>
          <w:lang w:eastAsia="en-US"/>
        </w:rPr>
      </w:pPr>
    </w:p>
    <w:p w:rsidR="006C00B6" w:rsidP="00700D1B">
      <w:pPr>
        <w:rPr>
          <w:rFonts w:eastAsiaTheme="minorHAnsi" w:cs="Arial"/>
          <w:sz w:val="22"/>
          <w:szCs w:val="22"/>
          <w:lang w:eastAsia="en-US"/>
        </w:rPr>
      </w:pPr>
    </w:p>
    <w:p w:rsidR="00700D1B" w:rsidRPr="00565172" w:rsidP="001407A2">
      <w:pPr>
        <w:numPr>
          <w:ilvl w:val="1"/>
          <w:numId w:val="8"/>
        </w:numPr>
        <w:spacing w:after="120" w:line="276" w:lineRule="auto"/>
        <w:ind w:left="567" w:hanging="567"/>
        <w:rPr>
          <w:rFonts w:eastAsia="Calibri" w:cs="Arial"/>
          <w:b/>
          <w:sz w:val="22"/>
          <w:szCs w:val="22"/>
        </w:rPr>
      </w:pPr>
      <w:r>
        <w:rPr>
          <w:rFonts w:eastAsia="Calibri" w:cs="Arial"/>
          <w:b/>
          <w:sz w:val="22"/>
          <w:szCs w:val="22"/>
        </w:rPr>
        <w:t xml:space="preserve">Changes to 2020-21 </w:t>
      </w:r>
      <w:r w:rsidRPr="00565172">
        <w:rPr>
          <w:rFonts w:eastAsia="Calibri" w:cs="Arial"/>
          <w:b/>
          <w:sz w:val="22"/>
          <w:szCs w:val="22"/>
        </w:rPr>
        <w:t>Funding:</w:t>
      </w:r>
      <w:r w:rsidR="001407A2">
        <w:rPr>
          <w:rFonts w:eastAsia="Calibri" w:cs="Arial"/>
          <w:b/>
          <w:sz w:val="22"/>
          <w:szCs w:val="22"/>
        </w:rPr>
        <w:t xml:space="preserve"> </w:t>
      </w:r>
      <w:r w:rsidRPr="00565172">
        <w:rPr>
          <w:rFonts w:eastAsia="Calibri" w:cs="Arial"/>
          <w:b/>
          <w:sz w:val="22"/>
          <w:szCs w:val="22"/>
        </w:rPr>
        <w:t>Spending Review</w:t>
      </w:r>
      <w:r w:rsidR="001407A2">
        <w:rPr>
          <w:rFonts w:eastAsia="Calibri" w:cs="Arial"/>
          <w:b/>
          <w:sz w:val="22"/>
          <w:szCs w:val="22"/>
        </w:rPr>
        <w:t xml:space="preserve"> and </w:t>
      </w:r>
      <w:r w:rsidRPr="00565172">
        <w:rPr>
          <w:rFonts w:eastAsia="Calibri" w:cs="Arial"/>
          <w:b/>
          <w:sz w:val="22"/>
          <w:szCs w:val="22"/>
        </w:rPr>
        <w:t>Fiscal Events and other Spending Announcements</w:t>
      </w:r>
    </w:p>
    <w:p w:rsidR="00700D1B" w:rsidRPr="00565172" w:rsidP="00700D1B">
      <w:pPr>
        <w:ind w:left="567"/>
        <w:jc w:val="both"/>
        <w:rPr>
          <w:sz w:val="22"/>
          <w:szCs w:val="22"/>
        </w:rPr>
      </w:pPr>
      <w:r w:rsidRPr="00565172">
        <w:rPr>
          <w:rFonts w:eastAsiaTheme="minorHAnsi" w:cs="Arial"/>
          <w:sz w:val="22"/>
          <w:szCs w:val="22"/>
          <w:lang w:eastAsia="en-US"/>
        </w:rPr>
        <w:t>The Department’s 2020-21 spending plans were announced in the 2019 Spending R</w:t>
      </w:r>
      <w:r>
        <w:rPr>
          <w:rFonts w:eastAsiaTheme="minorHAnsi" w:cs="Arial"/>
          <w:sz w:val="22"/>
          <w:szCs w:val="22"/>
          <w:lang w:eastAsia="en-US"/>
        </w:rPr>
        <w:t>ound</w:t>
      </w:r>
      <w:r w:rsidRPr="00565172">
        <w:rPr>
          <w:rFonts w:eastAsiaTheme="minorHAnsi" w:cs="Arial"/>
          <w:sz w:val="22"/>
          <w:szCs w:val="22"/>
          <w:lang w:eastAsia="en-US"/>
        </w:rPr>
        <w:t xml:space="preserve">, see paragraph 2.1 of the </w:t>
      </w:r>
      <w:r>
        <w:fldChar w:fldCharType="begin"/>
      </w:r>
      <w:r>
        <w:instrText xml:space="preserve"> HYPERLINK "https://www.gov.uk/government/publications/spending-round-2019-document/spending-round-2019" </w:instrText>
      </w:r>
      <w:r>
        <w:fldChar w:fldCharType="separate"/>
      </w:r>
      <w:r w:rsidRPr="00565172">
        <w:rPr>
          <w:color w:val="0000FF"/>
          <w:sz w:val="22"/>
          <w:szCs w:val="22"/>
          <w:u w:val="single"/>
        </w:rPr>
        <w:t>Government announcement</w:t>
      </w:r>
      <w:r>
        <w:fldChar w:fldCharType="end"/>
      </w:r>
      <w:r w:rsidRPr="00565172">
        <w:rPr>
          <w:sz w:val="22"/>
          <w:szCs w:val="22"/>
        </w:rPr>
        <w:t xml:space="preserve"> in September 2019.  Since that time, changes to 2020-21 spending plans includ</w:t>
      </w:r>
      <w:r>
        <w:rPr>
          <w:sz w:val="22"/>
          <w:szCs w:val="22"/>
        </w:rPr>
        <w:t>e</w:t>
      </w:r>
      <w:r w:rsidRPr="00565172">
        <w:rPr>
          <w:sz w:val="22"/>
          <w:szCs w:val="22"/>
        </w:rPr>
        <w:t xml:space="preserve"> announcements of additional funding in the 2020 Spring Budget and for the Covid-19 outbreak.  A summary of the changes can be found below, and further details of funding changes are set out in the excel tables at Annex B.</w:t>
      </w:r>
    </w:p>
    <w:p w:rsidR="00700D1B" w:rsidP="00700D1B">
      <w:pPr>
        <w:ind w:left="567"/>
        <w:contextualSpacing/>
        <w:jc w:val="both"/>
        <w:rPr>
          <w:rFonts w:eastAsiaTheme="minorHAnsi" w:cs="Arial"/>
          <w:b/>
          <w:sz w:val="22"/>
          <w:szCs w:val="22"/>
          <w:u w:val="single"/>
          <w:lang w:eastAsia="en-US"/>
        </w:rPr>
      </w:pPr>
    </w:p>
    <w:p w:rsidR="00700D1B" w:rsidP="00700D1B">
      <w:pPr>
        <w:ind w:left="567"/>
        <w:contextualSpacing/>
        <w:jc w:val="both"/>
        <w:rPr>
          <w:rFonts w:eastAsiaTheme="minorHAnsi" w:cs="Arial"/>
          <w:b/>
          <w:sz w:val="22"/>
          <w:szCs w:val="22"/>
          <w:u w:val="single"/>
          <w:lang w:eastAsia="en-US"/>
        </w:rPr>
      </w:pPr>
      <w:r w:rsidRPr="00565172">
        <w:rPr>
          <w:rFonts w:eastAsiaTheme="minorHAnsi" w:cs="Arial"/>
          <w:b/>
          <w:sz w:val="22"/>
          <w:szCs w:val="22"/>
          <w:u w:val="single"/>
          <w:lang w:eastAsia="en-US"/>
        </w:rPr>
        <w:t>Resource DEL</w:t>
      </w:r>
      <w:r>
        <w:rPr>
          <w:rFonts w:eastAsiaTheme="minorHAnsi" w:cs="Arial"/>
          <w:b/>
          <w:sz w:val="22"/>
          <w:szCs w:val="22"/>
          <w:u w:val="single"/>
          <w:lang w:eastAsia="en-US"/>
        </w:rPr>
        <w:t xml:space="preserve"> </w:t>
      </w:r>
    </w:p>
    <w:p w:rsidR="002A3815" w:rsidRPr="00565172" w:rsidP="00700D1B">
      <w:pPr>
        <w:ind w:left="567"/>
        <w:contextualSpacing/>
        <w:jc w:val="both"/>
        <w:rPr>
          <w:rFonts w:eastAsiaTheme="minorHAnsi" w:cs="Arial"/>
          <w:b/>
          <w:sz w:val="22"/>
          <w:szCs w:val="22"/>
          <w:u w:val="single"/>
          <w:lang w:eastAsia="en-US"/>
        </w:rPr>
      </w:pPr>
    </w:p>
    <w:tbl>
      <w:tblPr>
        <w:tblW w:w="9100" w:type="dxa"/>
        <w:tblInd w:w="680" w:type="dxa"/>
        <w:tblLook w:val="04A0"/>
      </w:tblPr>
      <w:tblGrid>
        <w:gridCol w:w="7780"/>
        <w:gridCol w:w="1320"/>
      </w:tblGrid>
      <w:tr w:rsidTr="00700D1B">
        <w:tblPrEx>
          <w:tblW w:w="9100" w:type="dxa"/>
          <w:tblInd w:w="680" w:type="dxa"/>
          <w:tblLook w:val="04A0"/>
        </w:tblPrEx>
        <w:trPr>
          <w:trHeight w:val="420"/>
        </w:trPr>
        <w:tc>
          <w:tcPr>
            <w:tcW w:w="7780" w:type="dxa"/>
            <w:tcBorders>
              <w:top w:val="single" w:sz="4" w:space="0" w:color="auto"/>
              <w:left w:val="single" w:sz="4" w:space="0" w:color="auto"/>
              <w:bottom w:val="single" w:sz="4" w:space="0" w:color="auto"/>
              <w:right w:val="single" w:sz="4" w:space="0" w:color="auto"/>
            </w:tcBorders>
            <w:shd w:val="clear" w:color="auto" w:fill="16365C"/>
            <w:vAlign w:val="center"/>
            <w:hideMark/>
          </w:tcPr>
          <w:p w:rsidR="00700D1B" w:rsidRPr="00352222" w:rsidP="00700D1B">
            <w:pPr>
              <w:rPr>
                <w:rFonts w:cs="Arial"/>
                <w:b/>
                <w:bCs/>
                <w:color w:val="FFFFFF"/>
                <w:sz w:val="21"/>
                <w:szCs w:val="21"/>
              </w:rPr>
            </w:pPr>
            <w:r w:rsidRPr="00352222">
              <w:rPr>
                <w:rFonts w:cs="Arial"/>
                <w:b/>
                <w:bCs/>
                <w:color w:val="FFFFFF"/>
                <w:sz w:val="21"/>
                <w:szCs w:val="21"/>
              </w:rPr>
              <w:t>Resource DEL - main changes since 2019 Spending Review</w:t>
            </w:r>
          </w:p>
        </w:tc>
        <w:tc>
          <w:tcPr>
            <w:tcW w:w="1320" w:type="dxa"/>
            <w:tcBorders>
              <w:top w:val="single" w:sz="4" w:space="0" w:color="auto"/>
              <w:left w:val="nil"/>
              <w:bottom w:val="single" w:sz="4" w:space="0" w:color="auto"/>
              <w:right w:val="single" w:sz="4" w:space="0" w:color="auto"/>
            </w:tcBorders>
            <w:shd w:val="clear" w:color="auto" w:fill="16365C"/>
            <w:noWrap/>
            <w:vAlign w:val="center"/>
            <w:hideMark/>
          </w:tcPr>
          <w:p w:rsidR="00700D1B" w:rsidRPr="00352222" w:rsidP="00700D1B">
            <w:pPr>
              <w:jc w:val="right"/>
              <w:rPr>
                <w:rFonts w:cs="Arial"/>
                <w:b/>
                <w:bCs/>
                <w:color w:val="FFFFFF"/>
                <w:sz w:val="21"/>
                <w:szCs w:val="21"/>
              </w:rPr>
            </w:pPr>
            <w:r w:rsidRPr="00352222">
              <w:rPr>
                <w:rFonts w:cs="Arial"/>
                <w:b/>
                <w:bCs/>
                <w:color w:val="FFFFFF"/>
                <w:sz w:val="21"/>
                <w:szCs w:val="21"/>
              </w:rPr>
              <w:t>£m</w:t>
            </w:r>
          </w:p>
        </w:tc>
      </w:tr>
      <w:tr w:rsidTr="00700D1B">
        <w:tblPrEx>
          <w:tblW w:w="9100" w:type="dxa"/>
          <w:tblInd w:w="680" w:type="dxa"/>
          <w:tblLook w:val="04A0"/>
        </w:tblPrEx>
        <w:trPr>
          <w:trHeight w:val="285"/>
        </w:trPr>
        <w:tc>
          <w:tcPr>
            <w:tcW w:w="7780" w:type="dxa"/>
            <w:tcBorders>
              <w:top w:val="nil"/>
              <w:left w:val="single" w:sz="4" w:space="0" w:color="auto"/>
              <w:bottom w:val="single" w:sz="4" w:space="0" w:color="auto"/>
              <w:right w:val="single" w:sz="4" w:space="0" w:color="auto"/>
            </w:tcBorders>
            <w:shd w:val="clear" w:color="auto" w:fill="auto"/>
            <w:vAlign w:val="center"/>
            <w:hideMark/>
          </w:tcPr>
          <w:p w:rsidR="00700D1B" w:rsidRPr="00352222" w:rsidP="00700D1B">
            <w:pPr>
              <w:rPr>
                <w:rFonts w:cs="Arial"/>
                <w:color w:val="000000"/>
                <w:sz w:val="21"/>
                <w:szCs w:val="21"/>
              </w:rPr>
            </w:pPr>
            <w:r w:rsidRPr="00352222">
              <w:rPr>
                <w:rFonts w:cs="Arial"/>
                <w:color w:val="000000"/>
                <w:sz w:val="21"/>
                <w:szCs w:val="21"/>
              </w:rPr>
              <w:t>2019 Spending Review</w:t>
            </w:r>
          </w:p>
        </w:tc>
        <w:tc>
          <w:tcPr>
            <w:tcW w:w="1320" w:type="dxa"/>
            <w:tcBorders>
              <w:top w:val="nil"/>
              <w:left w:val="nil"/>
              <w:bottom w:val="single" w:sz="4" w:space="0" w:color="auto"/>
              <w:right w:val="single" w:sz="4" w:space="0" w:color="auto"/>
            </w:tcBorders>
            <w:shd w:val="clear" w:color="auto" w:fill="auto"/>
            <w:noWrap/>
            <w:vAlign w:val="center"/>
            <w:hideMark/>
          </w:tcPr>
          <w:p w:rsidR="00700D1B" w:rsidRPr="00352222" w:rsidP="00700D1B">
            <w:pPr>
              <w:jc w:val="right"/>
              <w:rPr>
                <w:rFonts w:cs="Arial"/>
                <w:color w:val="000000"/>
                <w:sz w:val="22"/>
                <w:szCs w:val="22"/>
              </w:rPr>
            </w:pPr>
            <w:r w:rsidRPr="00352222">
              <w:rPr>
                <w:rFonts w:cs="Arial"/>
                <w:color w:val="000000"/>
                <w:sz w:val="22"/>
                <w:szCs w:val="22"/>
              </w:rPr>
              <w:t>139,823</w:t>
            </w:r>
          </w:p>
        </w:tc>
      </w:tr>
      <w:tr w:rsidTr="00700D1B">
        <w:tblPrEx>
          <w:tblW w:w="9100" w:type="dxa"/>
          <w:tblInd w:w="680" w:type="dxa"/>
          <w:tblLook w:val="04A0"/>
        </w:tblPrEx>
        <w:trPr>
          <w:trHeight w:val="285"/>
        </w:trPr>
        <w:tc>
          <w:tcPr>
            <w:tcW w:w="7780" w:type="dxa"/>
            <w:tcBorders>
              <w:top w:val="nil"/>
              <w:left w:val="single" w:sz="4" w:space="0" w:color="auto"/>
              <w:bottom w:val="single" w:sz="4" w:space="0" w:color="auto"/>
              <w:right w:val="single" w:sz="4" w:space="0" w:color="auto"/>
            </w:tcBorders>
            <w:shd w:val="clear" w:color="auto" w:fill="auto"/>
            <w:vAlign w:val="center"/>
            <w:hideMark/>
          </w:tcPr>
          <w:p w:rsidR="00700D1B" w:rsidRPr="00352222" w:rsidP="00700D1B">
            <w:pPr>
              <w:rPr>
                <w:rFonts w:cs="Arial"/>
                <w:color w:val="000000"/>
                <w:sz w:val="21"/>
                <w:szCs w:val="21"/>
              </w:rPr>
            </w:pPr>
            <w:r w:rsidRPr="00352222">
              <w:rPr>
                <w:rFonts w:cs="Arial"/>
                <w:color w:val="000000"/>
                <w:sz w:val="21"/>
                <w:szCs w:val="21"/>
              </w:rPr>
              <w:t>2020 Spring Budget (a)</w:t>
            </w:r>
          </w:p>
        </w:tc>
        <w:tc>
          <w:tcPr>
            <w:tcW w:w="1320" w:type="dxa"/>
            <w:tcBorders>
              <w:top w:val="nil"/>
              <w:left w:val="nil"/>
              <w:bottom w:val="single" w:sz="4" w:space="0" w:color="auto"/>
              <w:right w:val="single" w:sz="4" w:space="0" w:color="auto"/>
            </w:tcBorders>
            <w:shd w:val="clear" w:color="auto" w:fill="auto"/>
            <w:noWrap/>
            <w:vAlign w:val="center"/>
            <w:hideMark/>
          </w:tcPr>
          <w:p w:rsidR="00700D1B" w:rsidRPr="00352222" w:rsidP="00700D1B">
            <w:pPr>
              <w:jc w:val="right"/>
              <w:rPr>
                <w:rFonts w:cs="Arial"/>
                <w:color w:val="000000"/>
                <w:sz w:val="22"/>
                <w:szCs w:val="22"/>
              </w:rPr>
            </w:pPr>
            <w:r w:rsidRPr="00352222">
              <w:rPr>
                <w:rFonts w:cs="Arial"/>
                <w:color w:val="000000"/>
                <w:sz w:val="22"/>
                <w:szCs w:val="22"/>
              </w:rPr>
              <w:t>1,062</w:t>
            </w:r>
          </w:p>
        </w:tc>
      </w:tr>
      <w:tr w:rsidTr="00700D1B">
        <w:tblPrEx>
          <w:tblW w:w="9100" w:type="dxa"/>
          <w:tblInd w:w="680" w:type="dxa"/>
          <w:tblLook w:val="04A0"/>
        </w:tblPrEx>
        <w:trPr>
          <w:trHeight w:val="285"/>
        </w:trPr>
        <w:tc>
          <w:tcPr>
            <w:tcW w:w="7780" w:type="dxa"/>
            <w:tcBorders>
              <w:top w:val="nil"/>
              <w:left w:val="single" w:sz="4" w:space="0" w:color="auto"/>
              <w:bottom w:val="single" w:sz="4" w:space="0" w:color="auto"/>
              <w:right w:val="single" w:sz="4" w:space="0" w:color="auto"/>
            </w:tcBorders>
            <w:shd w:val="clear" w:color="auto" w:fill="auto"/>
            <w:vAlign w:val="bottom"/>
            <w:hideMark/>
          </w:tcPr>
          <w:p w:rsidR="00700D1B" w:rsidRPr="00352222" w:rsidP="00700D1B">
            <w:pPr>
              <w:rPr>
                <w:rFonts w:cs="Arial"/>
                <w:color w:val="000000"/>
                <w:sz w:val="21"/>
                <w:szCs w:val="21"/>
              </w:rPr>
            </w:pPr>
            <w:r w:rsidRPr="00352222">
              <w:rPr>
                <w:rFonts w:cs="Arial"/>
                <w:color w:val="000000"/>
                <w:sz w:val="21"/>
                <w:szCs w:val="21"/>
              </w:rPr>
              <w:t xml:space="preserve">2020-21 Routine transfers of funding from other Government Departments (b) </w:t>
            </w:r>
          </w:p>
        </w:tc>
        <w:tc>
          <w:tcPr>
            <w:tcW w:w="1320" w:type="dxa"/>
            <w:tcBorders>
              <w:top w:val="nil"/>
              <w:left w:val="nil"/>
              <w:bottom w:val="single" w:sz="4" w:space="0" w:color="auto"/>
              <w:right w:val="single" w:sz="4" w:space="0" w:color="auto"/>
            </w:tcBorders>
            <w:shd w:val="clear" w:color="auto" w:fill="auto"/>
            <w:noWrap/>
            <w:vAlign w:val="center"/>
            <w:hideMark/>
          </w:tcPr>
          <w:p w:rsidR="00700D1B" w:rsidRPr="00352222" w:rsidP="00700D1B">
            <w:pPr>
              <w:jc w:val="right"/>
              <w:rPr>
                <w:rFonts w:cs="Arial"/>
                <w:color w:val="000000"/>
                <w:sz w:val="22"/>
                <w:szCs w:val="22"/>
              </w:rPr>
            </w:pPr>
            <w:r w:rsidRPr="00352222">
              <w:rPr>
                <w:rFonts w:cs="Arial"/>
                <w:color w:val="000000"/>
                <w:sz w:val="22"/>
                <w:szCs w:val="22"/>
              </w:rPr>
              <w:t>566</w:t>
            </w:r>
          </w:p>
        </w:tc>
      </w:tr>
      <w:tr w:rsidTr="00700D1B">
        <w:tblPrEx>
          <w:tblW w:w="9100" w:type="dxa"/>
          <w:tblInd w:w="680" w:type="dxa"/>
          <w:tblLook w:val="04A0"/>
        </w:tblPrEx>
        <w:trPr>
          <w:trHeight w:val="300"/>
        </w:trPr>
        <w:tc>
          <w:tcPr>
            <w:tcW w:w="7780" w:type="dxa"/>
            <w:tcBorders>
              <w:top w:val="nil"/>
              <w:left w:val="single" w:sz="4" w:space="0" w:color="auto"/>
              <w:bottom w:val="single" w:sz="4" w:space="0" w:color="auto"/>
              <w:right w:val="single" w:sz="4" w:space="0" w:color="auto"/>
            </w:tcBorders>
            <w:shd w:val="clear" w:color="auto" w:fill="auto"/>
            <w:vAlign w:val="center"/>
            <w:hideMark/>
          </w:tcPr>
          <w:p w:rsidR="00700D1B" w:rsidRPr="00352222" w:rsidP="00700D1B">
            <w:pPr>
              <w:rPr>
                <w:rFonts w:cs="Arial"/>
                <w:color w:val="000000"/>
                <w:sz w:val="21"/>
                <w:szCs w:val="21"/>
              </w:rPr>
            </w:pPr>
            <w:r w:rsidRPr="00352222">
              <w:rPr>
                <w:rFonts w:cs="Arial"/>
                <w:color w:val="000000"/>
                <w:sz w:val="21"/>
                <w:szCs w:val="21"/>
              </w:rPr>
              <w:t xml:space="preserve">2020-21 Supplementary Estimate in-year funding (c) </w:t>
            </w:r>
          </w:p>
        </w:tc>
        <w:tc>
          <w:tcPr>
            <w:tcW w:w="1320" w:type="dxa"/>
            <w:tcBorders>
              <w:top w:val="nil"/>
              <w:left w:val="nil"/>
              <w:bottom w:val="single" w:sz="4" w:space="0" w:color="auto"/>
              <w:right w:val="single" w:sz="4" w:space="0" w:color="auto"/>
            </w:tcBorders>
            <w:shd w:val="clear" w:color="auto" w:fill="auto"/>
            <w:noWrap/>
            <w:vAlign w:val="center"/>
            <w:hideMark/>
          </w:tcPr>
          <w:p w:rsidR="00700D1B" w:rsidRPr="00352222" w:rsidP="00700D1B">
            <w:pPr>
              <w:jc w:val="right"/>
              <w:rPr>
                <w:rFonts w:cs="Arial"/>
                <w:color w:val="000000"/>
                <w:sz w:val="22"/>
                <w:szCs w:val="22"/>
              </w:rPr>
            </w:pPr>
            <w:r w:rsidRPr="00352222">
              <w:rPr>
                <w:rFonts w:cs="Arial"/>
                <w:color w:val="000000"/>
                <w:sz w:val="22"/>
                <w:szCs w:val="22"/>
              </w:rPr>
              <w:t>445</w:t>
            </w:r>
          </w:p>
        </w:tc>
      </w:tr>
      <w:tr w:rsidTr="00700D1B">
        <w:tblPrEx>
          <w:tblW w:w="9100" w:type="dxa"/>
          <w:tblInd w:w="680" w:type="dxa"/>
          <w:tblLook w:val="04A0"/>
        </w:tblPrEx>
        <w:trPr>
          <w:trHeight w:val="300"/>
        </w:trPr>
        <w:tc>
          <w:tcPr>
            <w:tcW w:w="7780" w:type="dxa"/>
            <w:tcBorders>
              <w:top w:val="nil"/>
              <w:left w:val="single" w:sz="4" w:space="0" w:color="auto"/>
              <w:bottom w:val="single" w:sz="4" w:space="0" w:color="auto"/>
              <w:right w:val="single" w:sz="4" w:space="0" w:color="auto"/>
            </w:tcBorders>
            <w:shd w:val="clear" w:color="auto" w:fill="auto"/>
            <w:vAlign w:val="center"/>
            <w:hideMark/>
          </w:tcPr>
          <w:p w:rsidR="00700D1B" w:rsidRPr="00352222" w:rsidP="00700D1B">
            <w:pPr>
              <w:rPr>
                <w:rFonts w:cs="Arial"/>
                <w:color w:val="000000"/>
                <w:sz w:val="21"/>
                <w:szCs w:val="21"/>
              </w:rPr>
            </w:pPr>
            <w:r w:rsidRPr="00352222">
              <w:rPr>
                <w:rFonts w:cs="Arial"/>
                <w:color w:val="000000"/>
                <w:sz w:val="21"/>
                <w:szCs w:val="21"/>
              </w:rPr>
              <w:t>2020-21 Supplementary Estimate Revenue to Capital transfer (d)</w:t>
            </w:r>
          </w:p>
        </w:tc>
        <w:tc>
          <w:tcPr>
            <w:tcW w:w="1320" w:type="dxa"/>
            <w:tcBorders>
              <w:top w:val="nil"/>
              <w:left w:val="nil"/>
              <w:bottom w:val="single" w:sz="4" w:space="0" w:color="auto"/>
              <w:right w:val="single" w:sz="4" w:space="0" w:color="auto"/>
            </w:tcBorders>
            <w:shd w:val="clear" w:color="auto" w:fill="auto"/>
            <w:noWrap/>
            <w:vAlign w:val="center"/>
            <w:hideMark/>
          </w:tcPr>
          <w:p w:rsidR="00700D1B" w:rsidRPr="00352222" w:rsidP="00700D1B">
            <w:pPr>
              <w:jc w:val="right"/>
              <w:rPr>
                <w:rFonts w:cs="Arial"/>
                <w:color w:val="000000"/>
                <w:sz w:val="22"/>
                <w:szCs w:val="22"/>
              </w:rPr>
            </w:pPr>
            <w:r w:rsidRPr="00352222">
              <w:rPr>
                <w:rFonts w:cs="Arial"/>
                <w:color w:val="FF0000"/>
                <w:sz w:val="22"/>
                <w:szCs w:val="22"/>
              </w:rPr>
              <w:t>(43)</w:t>
            </w:r>
          </w:p>
        </w:tc>
      </w:tr>
      <w:tr w:rsidTr="00700D1B">
        <w:tblPrEx>
          <w:tblW w:w="9100" w:type="dxa"/>
          <w:tblInd w:w="680" w:type="dxa"/>
          <w:tblLook w:val="04A0"/>
        </w:tblPrEx>
        <w:trPr>
          <w:trHeight w:val="300"/>
        </w:trPr>
        <w:tc>
          <w:tcPr>
            <w:tcW w:w="7780" w:type="dxa"/>
            <w:tcBorders>
              <w:top w:val="nil"/>
              <w:left w:val="single" w:sz="4" w:space="0" w:color="auto"/>
              <w:bottom w:val="single" w:sz="4" w:space="0" w:color="auto"/>
              <w:right w:val="single" w:sz="4" w:space="0" w:color="auto"/>
            </w:tcBorders>
            <w:shd w:val="clear" w:color="auto" w:fill="auto"/>
            <w:noWrap/>
            <w:vAlign w:val="center"/>
            <w:hideMark/>
          </w:tcPr>
          <w:p w:rsidR="00700D1B" w:rsidRPr="00352222" w:rsidP="00700D1B">
            <w:pPr>
              <w:rPr>
                <w:rFonts w:cs="Arial"/>
                <w:color w:val="000000"/>
                <w:sz w:val="21"/>
                <w:szCs w:val="21"/>
              </w:rPr>
            </w:pPr>
            <w:r w:rsidRPr="00352222">
              <w:rPr>
                <w:rFonts w:cs="Arial"/>
                <w:color w:val="000000"/>
                <w:sz w:val="21"/>
                <w:szCs w:val="21"/>
              </w:rPr>
              <w:t xml:space="preserve">2020-21 Main Estimate Covid-19 (e) </w:t>
            </w:r>
          </w:p>
        </w:tc>
        <w:tc>
          <w:tcPr>
            <w:tcW w:w="1320" w:type="dxa"/>
            <w:tcBorders>
              <w:top w:val="nil"/>
              <w:left w:val="nil"/>
              <w:bottom w:val="single" w:sz="4" w:space="0" w:color="auto"/>
              <w:right w:val="single" w:sz="4" w:space="0" w:color="auto"/>
            </w:tcBorders>
            <w:shd w:val="clear" w:color="auto" w:fill="auto"/>
            <w:noWrap/>
            <w:vAlign w:val="center"/>
            <w:hideMark/>
          </w:tcPr>
          <w:p w:rsidR="00700D1B" w:rsidRPr="00352222" w:rsidP="00700D1B">
            <w:pPr>
              <w:jc w:val="right"/>
              <w:rPr>
                <w:rFonts w:cs="Arial"/>
                <w:color w:val="000000"/>
                <w:sz w:val="22"/>
                <w:szCs w:val="22"/>
              </w:rPr>
            </w:pPr>
            <w:r w:rsidRPr="00352222">
              <w:rPr>
                <w:rFonts w:cs="Arial"/>
                <w:color w:val="000000"/>
                <w:sz w:val="22"/>
                <w:szCs w:val="22"/>
              </w:rPr>
              <w:t>3,373</w:t>
            </w:r>
          </w:p>
        </w:tc>
      </w:tr>
      <w:tr w:rsidTr="00700D1B">
        <w:tblPrEx>
          <w:tblW w:w="9100" w:type="dxa"/>
          <w:tblInd w:w="680" w:type="dxa"/>
          <w:tblLook w:val="04A0"/>
        </w:tblPrEx>
        <w:trPr>
          <w:trHeight w:val="300"/>
        </w:trPr>
        <w:tc>
          <w:tcPr>
            <w:tcW w:w="7780" w:type="dxa"/>
            <w:tcBorders>
              <w:top w:val="nil"/>
              <w:left w:val="single" w:sz="4" w:space="0" w:color="auto"/>
              <w:bottom w:val="single" w:sz="4" w:space="0" w:color="auto"/>
              <w:right w:val="single" w:sz="4" w:space="0" w:color="auto"/>
            </w:tcBorders>
            <w:shd w:val="clear" w:color="auto" w:fill="auto"/>
            <w:noWrap/>
            <w:vAlign w:val="center"/>
            <w:hideMark/>
          </w:tcPr>
          <w:p w:rsidR="00700D1B" w:rsidRPr="00352222" w:rsidP="00700D1B">
            <w:pPr>
              <w:rPr>
                <w:rFonts w:cs="Arial"/>
                <w:color w:val="000000"/>
                <w:sz w:val="21"/>
                <w:szCs w:val="21"/>
              </w:rPr>
            </w:pPr>
            <w:r w:rsidRPr="00352222">
              <w:rPr>
                <w:rFonts w:cs="Arial"/>
                <w:color w:val="000000"/>
                <w:sz w:val="21"/>
                <w:szCs w:val="21"/>
              </w:rPr>
              <w:t xml:space="preserve">2020-21 Supplementary Estimate Covid-19 (e) </w:t>
            </w:r>
          </w:p>
        </w:tc>
        <w:tc>
          <w:tcPr>
            <w:tcW w:w="1320" w:type="dxa"/>
            <w:tcBorders>
              <w:top w:val="nil"/>
              <w:left w:val="nil"/>
              <w:bottom w:val="single" w:sz="4" w:space="0" w:color="auto"/>
              <w:right w:val="single" w:sz="4" w:space="0" w:color="auto"/>
            </w:tcBorders>
            <w:shd w:val="clear" w:color="auto" w:fill="auto"/>
            <w:noWrap/>
            <w:vAlign w:val="center"/>
            <w:hideMark/>
          </w:tcPr>
          <w:p w:rsidR="00700D1B" w:rsidRPr="00352222" w:rsidP="00700D1B">
            <w:pPr>
              <w:jc w:val="right"/>
              <w:rPr>
                <w:rFonts w:cs="Arial"/>
                <w:color w:val="000000"/>
                <w:sz w:val="22"/>
                <w:szCs w:val="22"/>
              </w:rPr>
            </w:pPr>
            <w:r w:rsidRPr="00352222">
              <w:rPr>
                <w:rFonts w:cs="Arial"/>
                <w:color w:val="000000"/>
                <w:sz w:val="22"/>
                <w:szCs w:val="22"/>
              </w:rPr>
              <w:t>55,762</w:t>
            </w:r>
          </w:p>
        </w:tc>
      </w:tr>
      <w:tr w:rsidTr="00700D1B">
        <w:tblPrEx>
          <w:tblW w:w="9100" w:type="dxa"/>
          <w:tblInd w:w="680" w:type="dxa"/>
          <w:tblLook w:val="04A0"/>
        </w:tblPrEx>
        <w:trPr>
          <w:trHeight w:val="273"/>
        </w:trPr>
        <w:tc>
          <w:tcPr>
            <w:tcW w:w="7780" w:type="dxa"/>
            <w:tcBorders>
              <w:top w:val="nil"/>
              <w:left w:val="single" w:sz="4" w:space="0" w:color="auto"/>
              <w:bottom w:val="single" w:sz="4" w:space="0" w:color="auto"/>
              <w:right w:val="single" w:sz="4" w:space="0" w:color="auto"/>
            </w:tcBorders>
            <w:shd w:val="clear" w:color="auto" w:fill="auto"/>
            <w:vAlign w:val="bottom"/>
            <w:hideMark/>
          </w:tcPr>
          <w:p w:rsidR="00700D1B" w:rsidRPr="00352222" w:rsidP="00700D1B">
            <w:pPr>
              <w:rPr>
                <w:rFonts w:cs="Arial"/>
                <w:color w:val="000000"/>
                <w:sz w:val="21"/>
                <w:szCs w:val="21"/>
              </w:rPr>
            </w:pPr>
            <w:r w:rsidRPr="00352222">
              <w:rPr>
                <w:rFonts w:cs="Arial"/>
                <w:color w:val="000000"/>
                <w:sz w:val="21"/>
                <w:szCs w:val="21"/>
              </w:rPr>
              <w:t xml:space="preserve">2020-21 Covid-19 transfers of funding </w:t>
            </w:r>
            <w:r>
              <w:rPr>
                <w:rFonts w:cs="Arial"/>
                <w:color w:val="000000"/>
                <w:sz w:val="21"/>
                <w:szCs w:val="21"/>
              </w:rPr>
              <w:t>to</w:t>
            </w:r>
            <w:r w:rsidRPr="00352222">
              <w:rPr>
                <w:rFonts w:cs="Arial"/>
                <w:color w:val="000000"/>
                <w:sz w:val="21"/>
                <w:szCs w:val="21"/>
              </w:rPr>
              <w:t xml:space="preserve"> other Government Departments (f) </w:t>
            </w:r>
          </w:p>
        </w:tc>
        <w:tc>
          <w:tcPr>
            <w:tcW w:w="1320" w:type="dxa"/>
            <w:tcBorders>
              <w:top w:val="nil"/>
              <w:left w:val="nil"/>
              <w:bottom w:val="single" w:sz="4" w:space="0" w:color="auto"/>
              <w:right w:val="single" w:sz="4" w:space="0" w:color="auto"/>
            </w:tcBorders>
            <w:shd w:val="clear" w:color="auto" w:fill="auto"/>
            <w:noWrap/>
            <w:vAlign w:val="center"/>
            <w:hideMark/>
          </w:tcPr>
          <w:p w:rsidR="00700D1B" w:rsidRPr="00352222" w:rsidP="00700D1B">
            <w:pPr>
              <w:jc w:val="right"/>
              <w:rPr>
                <w:rFonts w:cs="Arial"/>
                <w:color w:val="000000"/>
                <w:sz w:val="22"/>
                <w:szCs w:val="22"/>
              </w:rPr>
            </w:pPr>
            <w:r w:rsidRPr="00352222">
              <w:rPr>
                <w:rFonts w:cs="Arial"/>
                <w:color w:val="FF0000"/>
                <w:sz w:val="22"/>
                <w:szCs w:val="22"/>
              </w:rPr>
              <w:t>(232)</w:t>
            </w:r>
          </w:p>
        </w:tc>
      </w:tr>
      <w:tr w:rsidTr="00700D1B">
        <w:tblPrEx>
          <w:tblW w:w="9100" w:type="dxa"/>
          <w:tblInd w:w="680" w:type="dxa"/>
          <w:tblLook w:val="04A0"/>
        </w:tblPrEx>
        <w:trPr>
          <w:trHeight w:val="315"/>
        </w:trPr>
        <w:tc>
          <w:tcPr>
            <w:tcW w:w="7780" w:type="dxa"/>
            <w:tcBorders>
              <w:top w:val="nil"/>
              <w:left w:val="single" w:sz="4" w:space="0" w:color="auto"/>
              <w:bottom w:val="single" w:sz="4" w:space="0" w:color="auto"/>
              <w:right w:val="single" w:sz="4" w:space="0" w:color="auto"/>
            </w:tcBorders>
            <w:shd w:val="clear" w:color="auto" w:fill="auto"/>
            <w:noWrap/>
            <w:vAlign w:val="bottom"/>
            <w:hideMark/>
          </w:tcPr>
          <w:p w:rsidR="00700D1B" w:rsidRPr="00352222" w:rsidP="00700D1B">
            <w:pPr>
              <w:rPr>
                <w:rFonts w:cs="Arial"/>
                <w:b/>
                <w:bCs/>
                <w:color w:val="000000"/>
                <w:sz w:val="21"/>
                <w:szCs w:val="21"/>
              </w:rPr>
            </w:pPr>
            <w:r w:rsidRPr="00352222">
              <w:rPr>
                <w:rFonts w:cs="Arial"/>
                <w:b/>
                <w:bCs/>
                <w:color w:val="000000"/>
                <w:sz w:val="21"/>
                <w:szCs w:val="21"/>
              </w:rPr>
              <w:t>TOTAL</w:t>
            </w:r>
          </w:p>
        </w:tc>
        <w:tc>
          <w:tcPr>
            <w:tcW w:w="1320" w:type="dxa"/>
            <w:tcBorders>
              <w:top w:val="nil"/>
              <w:left w:val="nil"/>
              <w:bottom w:val="single" w:sz="4" w:space="0" w:color="auto"/>
              <w:right w:val="single" w:sz="4" w:space="0" w:color="auto"/>
            </w:tcBorders>
            <w:shd w:val="clear" w:color="auto" w:fill="auto"/>
            <w:noWrap/>
            <w:vAlign w:val="center"/>
            <w:hideMark/>
          </w:tcPr>
          <w:p w:rsidR="00700D1B" w:rsidRPr="00352222" w:rsidP="00700D1B">
            <w:pPr>
              <w:jc w:val="right"/>
              <w:rPr>
                <w:rFonts w:cs="Arial"/>
                <w:b/>
                <w:bCs/>
                <w:color w:val="000000"/>
                <w:sz w:val="22"/>
                <w:szCs w:val="22"/>
              </w:rPr>
            </w:pPr>
            <w:r w:rsidRPr="00352222">
              <w:rPr>
                <w:rFonts w:cs="Arial"/>
                <w:b/>
                <w:bCs/>
                <w:color w:val="000000"/>
                <w:sz w:val="22"/>
                <w:szCs w:val="22"/>
              </w:rPr>
              <w:t>200,755</w:t>
            </w:r>
          </w:p>
        </w:tc>
      </w:tr>
    </w:tbl>
    <w:p w:rsidR="00700D1B" w:rsidRPr="00565172" w:rsidP="00700D1B">
      <w:pPr>
        <w:ind w:left="567"/>
        <w:contextualSpacing/>
        <w:jc w:val="both"/>
        <w:rPr>
          <w:rFonts w:eastAsiaTheme="minorHAnsi" w:cs="Arial"/>
          <w:b/>
          <w:sz w:val="22"/>
          <w:szCs w:val="22"/>
          <w:u w:val="single"/>
          <w:lang w:eastAsia="en-US"/>
        </w:rPr>
      </w:pPr>
    </w:p>
    <w:p w:rsidR="00700D1B" w:rsidRPr="00565172" w:rsidP="002A3815">
      <w:pPr>
        <w:numPr>
          <w:ilvl w:val="0"/>
          <w:numId w:val="15"/>
        </w:numPr>
        <w:spacing w:before="240" w:after="120"/>
        <w:ind w:left="918" w:hanging="357"/>
        <w:jc w:val="both"/>
        <w:rPr>
          <w:rFonts w:eastAsia="Calibri" w:cs="Arial"/>
          <w:sz w:val="22"/>
          <w:szCs w:val="22"/>
        </w:rPr>
      </w:pPr>
      <w:r w:rsidRPr="00565172">
        <w:rPr>
          <w:rFonts w:eastAsia="Calibri" w:cs="Arial"/>
          <w:b/>
          <w:sz w:val="22"/>
          <w:szCs w:val="22"/>
        </w:rPr>
        <w:t>2020 Spring Budget:</w:t>
      </w:r>
      <w:r w:rsidRPr="00565172">
        <w:rPr>
          <w:rFonts w:eastAsia="Calibri" w:cs="Arial"/>
          <w:sz w:val="22"/>
          <w:szCs w:val="22"/>
        </w:rPr>
        <w:t xml:space="preserve"> DHSC was allocated £1,062 </w:t>
      </w:r>
      <w:r>
        <w:rPr>
          <w:rFonts w:eastAsia="Calibri" w:cs="Arial"/>
          <w:sz w:val="22"/>
          <w:szCs w:val="22"/>
        </w:rPr>
        <w:t>m</w:t>
      </w:r>
      <w:r w:rsidRPr="00565172">
        <w:rPr>
          <w:rFonts w:eastAsia="Calibri" w:cs="Arial"/>
          <w:sz w:val="22"/>
          <w:szCs w:val="22"/>
        </w:rPr>
        <w:t>illion revenue funding to cover Manifesto commitments in the 2020 Spring Budget</w:t>
      </w:r>
      <w:r>
        <w:rPr>
          <w:rFonts w:eastAsia="Calibri" w:cs="Arial"/>
          <w:sz w:val="22"/>
          <w:szCs w:val="22"/>
        </w:rPr>
        <w:t xml:space="preserve">, which </w:t>
      </w:r>
      <w:r w:rsidRPr="00565172">
        <w:rPr>
          <w:rFonts w:eastAsia="Calibri" w:cs="Arial"/>
          <w:sz w:val="22"/>
          <w:szCs w:val="22"/>
        </w:rPr>
        <w:t>includ</w:t>
      </w:r>
      <w:r>
        <w:rPr>
          <w:rFonts w:eastAsia="Calibri" w:cs="Arial"/>
          <w:sz w:val="22"/>
          <w:szCs w:val="22"/>
        </w:rPr>
        <w:t>es</w:t>
      </w:r>
      <w:r w:rsidRPr="00565172">
        <w:rPr>
          <w:rFonts w:eastAsia="Calibri" w:cs="Arial"/>
          <w:sz w:val="22"/>
          <w:szCs w:val="22"/>
        </w:rPr>
        <w:t>:</w:t>
      </w:r>
    </w:p>
    <w:p w:rsidR="00700D1B" w:rsidRPr="00565172" w:rsidP="002A3815">
      <w:pPr>
        <w:numPr>
          <w:ilvl w:val="1"/>
          <w:numId w:val="15"/>
        </w:numPr>
        <w:spacing w:before="240"/>
        <w:jc w:val="both"/>
        <w:rPr>
          <w:rFonts w:eastAsia="Calibri" w:cs="Arial"/>
          <w:sz w:val="22"/>
          <w:szCs w:val="22"/>
        </w:rPr>
      </w:pPr>
      <w:r w:rsidRPr="00565172">
        <w:rPr>
          <w:rFonts w:eastAsia="Calibri" w:cs="Arial"/>
          <w:sz w:val="22"/>
          <w:szCs w:val="22"/>
        </w:rPr>
        <w:t>£638.5 million for nurse recruitment, training and retention;</w:t>
      </w:r>
    </w:p>
    <w:p w:rsidR="00700D1B" w:rsidRPr="00565172" w:rsidP="002A3815">
      <w:pPr>
        <w:numPr>
          <w:ilvl w:val="1"/>
          <w:numId w:val="15"/>
        </w:numPr>
        <w:spacing w:before="240"/>
        <w:jc w:val="both"/>
        <w:rPr>
          <w:rFonts w:eastAsia="Calibri" w:cs="Arial"/>
          <w:sz w:val="22"/>
          <w:szCs w:val="22"/>
        </w:rPr>
      </w:pPr>
      <w:r w:rsidRPr="00565172">
        <w:rPr>
          <w:rFonts w:eastAsia="Calibri" w:cs="Arial"/>
          <w:sz w:val="22"/>
          <w:szCs w:val="22"/>
        </w:rPr>
        <w:t>£335.6 million for 50 million more appointments in General Practice; and</w:t>
      </w:r>
    </w:p>
    <w:p w:rsidR="00700D1B" w:rsidRPr="00565172" w:rsidP="002A3815">
      <w:pPr>
        <w:numPr>
          <w:ilvl w:val="1"/>
          <w:numId w:val="15"/>
        </w:numPr>
        <w:spacing w:before="240" w:after="120"/>
        <w:ind w:left="1638" w:hanging="357"/>
        <w:jc w:val="both"/>
        <w:rPr>
          <w:rFonts w:eastAsia="Calibri" w:cs="Arial"/>
          <w:sz w:val="22"/>
          <w:szCs w:val="22"/>
        </w:rPr>
      </w:pPr>
      <w:r w:rsidRPr="00565172">
        <w:rPr>
          <w:rFonts w:eastAsia="Calibri" w:cs="Arial"/>
          <w:sz w:val="22"/>
          <w:szCs w:val="22"/>
        </w:rPr>
        <w:t xml:space="preserve">£78.2 million for hospital car parking.  </w:t>
      </w:r>
    </w:p>
    <w:p w:rsidR="00700D1B" w:rsidRPr="00C35FFD" w:rsidP="002A3815">
      <w:pPr>
        <w:numPr>
          <w:ilvl w:val="0"/>
          <w:numId w:val="15"/>
        </w:numPr>
        <w:spacing w:before="240" w:after="120"/>
        <w:ind w:left="918" w:hanging="357"/>
        <w:jc w:val="both"/>
        <w:rPr>
          <w:rFonts w:eastAsiaTheme="minorHAnsi" w:cs="Arial"/>
          <w:sz w:val="22"/>
          <w:szCs w:val="22"/>
          <w:lang w:eastAsia="en-US"/>
        </w:rPr>
      </w:pPr>
      <w:r w:rsidRPr="00C35FFD">
        <w:rPr>
          <w:rFonts w:eastAsiaTheme="minorHAnsi" w:cs="Arial"/>
          <w:sz w:val="22"/>
          <w:szCs w:val="22"/>
          <w:lang w:eastAsia="en-US"/>
        </w:rPr>
        <w:t xml:space="preserve">£566 million routine transfers from other Government departments; </w:t>
      </w:r>
    </w:p>
    <w:p w:rsidR="00700D1B" w:rsidRPr="00C35FFD" w:rsidP="002A3815">
      <w:pPr>
        <w:numPr>
          <w:ilvl w:val="0"/>
          <w:numId w:val="15"/>
        </w:numPr>
        <w:spacing w:before="240" w:after="120"/>
        <w:ind w:hanging="357"/>
        <w:jc w:val="both"/>
        <w:rPr>
          <w:sz w:val="22"/>
          <w:szCs w:val="22"/>
        </w:rPr>
      </w:pPr>
      <w:r w:rsidRPr="00C35FFD">
        <w:rPr>
          <w:sz w:val="22"/>
          <w:szCs w:val="22"/>
        </w:rPr>
        <w:t xml:space="preserve">In year funding of £445 million primarily for technical budget adjustments </w:t>
      </w:r>
      <w:r>
        <w:rPr>
          <w:sz w:val="22"/>
          <w:szCs w:val="22"/>
        </w:rPr>
        <w:t>such as expected credit loss, depreciation and impairments.</w:t>
      </w:r>
      <w:r w:rsidRPr="00C35FFD">
        <w:rPr>
          <w:sz w:val="22"/>
          <w:szCs w:val="22"/>
        </w:rPr>
        <w:t xml:space="preserve"> </w:t>
      </w:r>
    </w:p>
    <w:p w:rsidR="00700D1B" w:rsidRPr="007E2E5D" w:rsidP="002A3815">
      <w:pPr>
        <w:numPr>
          <w:ilvl w:val="0"/>
          <w:numId w:val="15"/>
        </w:numPr>
        <w:spacing w:before="240" w:after="120"/>
        <w:ind w:hanging="357"/>
        <w:jc w:val="both"/>
        <w:rPr>
          <w:sz w:val="22"/>
          <w:szCs w:val="22"/>
        </w:rPr>
      </w:pPr>
      <w:r>
        <w:rPr>
          <w:rFonts w:eastAsiaTheme="minorHAnsi" w:cs="Arial"/>
          <w:b/>
          <w:sz w:val="22"/>
          <w:szCs w:val="22"/>
          <w:lang w:eastAsia="en-US"/>
        </w:rPr>
        <w:t xml:space="preserve">Revenue to Capital switch: </w:t>
      </w:r>
      <w:r>
        <w:rPr>
          <w:rFonts w:eastAsiaTheme="minorHAnsi" w:cs="Arial"/>
          <w:bCs/>
          <w:sz w:val="22"/>
          <w:szCs w:val="22"/>
          <w:lang w:eastAsia="en-US"/>
        </w:rPr>
        <w:t xml:space="preserve">£43 million transfer from revenue to capital in line with HMT convention to score R&amp;D costs as capital for budgeting purposes. </w:t>
      </w:r>
    </w:p>
    <w:p w:rsidR="001059A3" w:rsidRPr="008A08B5" w:rsidP="002A3815">
      <w:pPr>
        <w:numPr>
          <w:ilvl w:val="0"/>
          <w:numId w:val="15"/>
        </w:numPr>
        <w:spacing w:before="240" w:after="120"/>
        <w:ind w:hanging="357"/>
        <w:jc w:val="both"/>
        <w:rPr>
          <w:sz w:val="22"/>
          <w:szCs w:val="22"/>
        </w:rPr>
      </w:pPr>
      <w:r w:rsidRPr="008A08B5">
        <w:rPr>
          <w:rFonts w:eastAsiaTheme="minorHAnsi" w:cs="Arial"/>
          <w:b/>
          <w:sz w:val="22"/>
          <w:szCs w:val="22"/>
          <w:lang w:eastAsia="en-US"/>
        </w:rPr>
        <w:t>Covid-19:</w:t>
      </w:r>
      <w:r w:rsidRPr="008A08B5">
        <w:rPr>
          <w:rFonts w:eastAsiaTheme="minorHAnsi" w:cs="Arial"/>
          <w:sz w:val="22"/>
          <w:szCs w:val="22"/>
          <w:lang w:eastAsia="en-US"/>
        </w:rPr>
        <w:t xml:space="preserve"> </w:t>
      </w:r>
      <w:r w:rsidRPr="008A08B5">
        <w:rPr>
          <w:rFonts w:eastAsiaTheme="minorHAnsi" w:cs="Arial"/>
          <w:sz w:val="22"/>
          <w:szCs w:val="22"/>
          <w:lang w:eastAsia="en-US"/>
        </w:rPr>
        <w:t>Government committed to provide the NHS what was needed to tackle the pandemic and i</w:t>
      </w:r>
      <w:r w:rsidRPr="008A08B5">
        <w:rPr>
          <w:rFonts w:eastAsiaTheme="minorHAnsi" w:cs="Arial"/>
          <w:sz w:val="22"/>
          <w:szCs w:val="22"/>
          <w:lang w:eastAsia="en-US"/>
        </w:rPr>
        <w:t>n the Main Supply Estimate £3.373 billion (revenue) funding was allocated for Covid-19</w:t>
      </w:r>
      <w:r w:rsidRPr="008A08B5">
        <w:rPr>
          <w:rFonts w:eastAsiaTheme="minorHAnsi" w:cs="Arial"/>
          <w:sz w:val="22"/>
          <w:szCs w:val="22"/>
          <w:lang w:eastAsia="en-US"/>
        </w:rPr>
        <w:t>, with the commitment to finalise funding for the year in the Supplementary Supply Estimate</w:t>
      </w:r>
      <w:r w:rsidRPr="008A08B5" w:rsidR="002A3815">
        <w:rPr>
          <w:rFonts w:eastAsiaTheme="minorHAnsi" w:cs="Arial"/>
          <w:sz w:val="22"/>
          <w:szCs w:val="22"/>
          <w:lang w:eastAsia="en-US"/>
        </w:rPr>
        <w:t xml:space="preserve"> and the Chancellor’s indicative funding announced in the 2020 Spending Review 2020. </w:t>
      </w:r>
    </w:p>
    <w:p w:rsidR="002A3815" w:rsidRPr="008A08B5" w:rsidP="00271DB3">
      <w:pPr>
        <w:spacing w:after="120"/>
        <w:ind w:left="873"/>
        <w:jc w:val="both"/>
        <w:rPr>
          <w:rFonts w:eastAsiaTheme="minorHAnsi" w:cs="Arial"/>
          <w:sz w:val="22"/>
          <w:szCs w:val="22"/>
          <w:lang w:eastAsia="en-US"/>
        </w:rPr>
      </w:pPr>
      <w:r w:rsidRPr="008A08B5">
        <w:rPr>
          <w:rFonts w:eastAsiaTheme="minorHAnsi" w:cs="Arial"/>
          <w:sz w:val="22"/>
          <w:szCs w:val="22"/>
          <w:lang w:eastAsia="en-US"/>
        </w:rPr>
        <w:t xml:space="preserve">The Supplementary Supply Estimate </w:t>
      </w:r>
      <w:r w:rsidRPr="008A08B5">
        <w:rPr>
          <w:rFonts w:eastAsiaTheme="minorHAnsi" w:cs="Arial"/>
          <w:sz w:val="22"/>
          <w:szCs w:val="22"/>
          <w:lang w:eastAsia="en-US"/>
        </w:rPr>
        <w:t xml:space="preserve">provides </w:t>
      </w:r>
      <w:r w:rsidRPr="008A08B5">
        <w:rPr>
          <w:rFonts w:eastAsiaTheme="minorHAnsi" w:cs="Arial"/>
          <w:b/>
          <w:bCs/>
          <w:sz w:val="22"/>
          <w:szCs w:val="22"/>
          <w:lang w:eastAsia="en-US"/>
        </w:rPr>
        <w:t xml:space="preserve">further </w:t>
      </w:r>
      <w:r w:rsidRPr="008A08B5">
        <w:rPr>
          <w:rFonts w:eastAsiaTheme="minorHAnsi" w:cs="Arial"/>
          <w:b/>
          <w:bCs/>
          <w:sz w:val="22"/>
          <w:szCs w:val="22"/>
          <w:lang w:eastAsia="en-US"/>
        </w:rPr>
        <w:t xml:space="preserve">revenue </w:t>
      </w:r>
      <w:r w:rsidRPr="008A08B5" w:rsidR="00700D1B">
        <w:rPr>
          <w:rFonts w:eastAsiaTheme="minorHAnsi" w:cs="Arial"/>
          <w:b/>
          <w:bCs/>
          <w:sz w:val="22"/>
          <w:szCs w:val="22"/>
          <w:lang w:eastAsia="en-US"/>
        </w:rPr>
        <w:t>budget cover of £55.762 billion</w:t>
      </w:r>
      <w:r w:rsidRPr="008A08B5" w:rsidR="00700D1B">
        <w:rPr>
          <w:rFonts w:eastAsiaTheme="minorHAnsi" w:cs="Arial"/>
          <w:sz w:val="22"/>
          <w:szCs w:val="22"/>
          <w:lang w:eastAsia="en-US"/>
        </w:rPr>
        <w:t xml:space="preserve"> </w:t>
      </w:r>
      <w:r w:rsidRPr="008A08B5">
        <w:rPr>
          <w:rFonts w:eastAsiaTheme="minorHAnsi" w:cs="Arial"/>
          <w:sz w:val="22"/>
          <w:szCs w:val="22"/>
          <w:lang w:eastAsia="en-US"/>
        </w:rPr>
        <w:t xml:space="preserve">based on a taut and realistic </w:t>
      </w:r>
      <w:r w:rsidRPr="008A08B5" w:rsidR="00271DB3">
        <w:rPr>
          <w:rFonts w:eastAsiaTheme="minorHAnsi" w:cs="Arial"/>
          <w:sz w:val="22"/>
          <w:szCs w:val="22"/>
          <w:lang w:eastAsia="en-US"/>
        </w:rPr>
        <w:t>forecast of cost</w:t>
      </w:r>
      <w:r w:rsidRPr="008A08B5">
        <w:rPr>
          <w:rFonts w:eastAsiaTheme="minorHAnsi" w:cs="Arial"/>
          <w:sz w:val="22"/>
          <w:szCs w:val="22"/>
          <w:lang w:eastAsia="en-US"/>
        </w:rPr>
        <w:t xml:space="preserve"> available at the time the Estimate was produced. </w:t>
      </w:r>
      <w:r w:rsidRPr="008A08B5" w:rsidR="008E62E0">
        <w:rPr>
          <w:rFonts w:eastAsiaTheme="minorHAnsi" w:cs="Arial"/>
          <w:sz w:val="22"/>
          <w:szCs w:val="22"/>
          <w:lang w:eastAsia="en-US"/>
        </w:rPr>
        <w:t>As the course</w:t>
      </w:r>
      <w:r w:rsidRPr="008A08B5" w:rsidR="00271DB3">
        <w:rPr>
          <w:rFonts w:eastAsiaTheme="minorHAnsi" w:cs="Arial"/>
          <w:sz w:val="22"/>
          <w:szCs w:val="22"/>
          <w:lang w:eastAsia="en-US"/>
        </w:rPr>
        <w:t xml:space="preserve"> of the</w:t>
      </w:r>
      <w:r w:rsidRPr="008A08B5" w:rsidR="008E62E0">
        <w:rPr>
          <w:rFonts w:eastAsiaTheme="minorHAnsi" w:cs="Arial"/>
          <w:sz w:val="22"/>
          <w:szCs w:val="22"/>
          <w:lang w:eastAsia="en-US"/>
        </w:rPr>
        <w:t xml:space="preserve"> pandemic changes, Government’s strategic response is required to adapt and evolve, i</w:t>
      </w:r>
      <w:r w:rsidRPr="008A08B5">
        <w:rPr>
          <w:rFonts w:eastAsiaTheme="minorHAnsi" w:cs="Arial"/>
          <w:sz w:val="22"/>
          <w:szCs w:val="22"/>
          <w:lang w:eastAsia="en-US"/>
        </w:rPr>
        <w:t xml:space="preserve">t is acknowledged that actual costs for 2020-21 could be </w:t>
      </w:r>
      <w:r w:rsidRPr="008A08B5" w:rsidR="008E62E0">
        <w:rPr>
          <w:rFonts w:eastAsiaTheme="minorHAnsi" w:cs="Arial"/>
          <w:sz w:val="22"/>
          <w:szCs w:val="22"/>
          <w:lang w:eastAsia="en-US"/>
        </w:rPr>
        <w:t xml:space="preserve">significantly </w:t>
      </w:r>
      <w:r w:rsidRPr="008A08B5">
        <w:rPr>
          <w:rFonts w:eastAsiaTheme="minorHAnsi" w:cs="Arial"/>
          <w:sz w:val="22"/>
          <w:szCs w:val="22"/>
          <w:lang w:eastAsia="en-US"/>
        </w:rPr>
        <w:t>different.</w:t>
      </w:r>
    </w:p>
    <w:p w:rsidR="001059A3" w:rsidRPr="001059A3" w:rsidP="002A3815">
      <w:pPr>
        <w:spacing w:after="120"/>
        <w:ind w:left="873"/>
        <w:jc w:val="both"/>
        <w:rPr>
          <w:sz w:val="22"/>
          <w:szCs w:val="22"/>
        </w:rPr>
      </w:pPr>
      <w:r w:rsidRPr="008A08B5">
        <w:rPr>
          <w:sz w:val="22"/>
          <w:szCs w:val="22"/>
        </w:rPr>
        <w:t xml:space="preserve">Information on the Departments Covid-19 response and any announcements can be found at </w:t>
      </w:r>
      <w:r>
        <w:fldChar w:fldCharType="begin"/>
      </w:r>
      <w:r>
        <w:instrText xml:space="preserve"> HYPERLINK "https://www.gov.uk/government/organisations/department-of-health-and-social-care" </w:instrText>
      </w:r>
      <w:r>
        <w:fldChar w:fldCharType="separate"/>
      </w:r>
      <w:r w:rsidRPr="008A08B5">
        <w:rPr>
          <w:rFonts w:eastAsiaTheme="minorHAnsi" w:cs="Arial"/>
          <w:color w:val="0000FF"/>
          <w:sz w:val="22"/>
          <w:szCs w:val="22"/>
          <w:u w:val="single"/>
          <w:lang w:eastAsia="en-US"/>
        </w:rPr>
        <w:t>DHSC announcements</w:t>
      </w:r>
      <w:r>
        <w:fldChar w:fldCharType="end"/>
      </w:r>
      <w:r w:rsidRPr="008A08B5">
        <w:rPr>
          <w:rFonts w:eastAsiaTheme="minorHAnsi" w:cs="Arial"/>
          <w:sz w:val="22"/>
          <w:szCs w:val="22"/>
          <w:lang w:eastAsia="en-US"/>
        </w:rPr>
        <w:t>.</w:t>
      </w:r>
      <w:r>
        <w:rPr>
          <w:rFonts w:eastAsiaTheme="minorHAnsi" w:cs="Arial"/>
          <w:sz w:val="22"/>
          <w:szCs w:val="22"/>
          <w:lang w:eastAsia="en-US"/>
        </w:rPr>
        <w:t xml:space="preserve">  </w:t>
      </w:r>
    </w:p>
    <w:p w:rsidR="001059A3" w:rsidRPr="002A3815" w:rsidP="002A3815">
      <w:pPr>
        <w:spacing w:after="120"/>
        <w:ind w:left="720" w:firstLine="153"/>
        <w:jc w:val="both"/>
        <w:rPr>
          <w:rFonts w:eastAsiaTheme="minorHAnsi" w:cs="Arial"/>
          <w:b/>
          <w:bCs/>
          <w:sz w:val="22"/>
          <w:szCs w:val="22"/>
          <w:lang w:eastAsia="en-US"/>
        </w:rPr>
      </w:pPr>
      <w:r w:rsidRPr="002A3815">
        <w:rPr>
          <w:rFonts w:eastAsiaTheme="minorHAnsi" w:cs="Arial"/>
          <w:b/>
          <w:bCs/>
          <w:sz w:val="22"/>
          <w:szCs w:val="22"/>
          <w:lang w:eastAsia="en-US"/>
        </w:rPr>
        <w:t xml:space="preserve">Covid-19 funding </w:t>
      </w:r>
      <w:r w:rsidRPr="002A3815">
        <w:rPr>
          <w:rFonts w:eastAsiaTheme="minorHAnsi" w:cs="Arial"/>
          <w:b/>
          <w:bCs/>
          <w:sz w:val="22"/>
          <w:szCs w:val="22"/>
          <w:lang w:eastAsia="en-US"/>
        </w:rPr>
        <w:t>illustrated below, includes</w:t>
      </w:r>
    </w:p>
    <w:p w:rsidR="001059A3" w:rsidP="001059A3">
      <w:pPr>
        <w:spacing w:after="120"/>
        <w:ind w:left="567"/>
        <w:jc w:val="both"/>
        <w:rPr>
          <w:sz w:val="22"/>
          <w:szCs w:val="22"/>
        </w:rPr>
      </w:pPr>
      <w:r>
        <w:rPr>
          <w:noProof/>
          <w:sz w:val="22"/>
          <w:szCs w:val="22"/>
        </w:rPr>
        <w:drawing>
          <wp:anchor distT="0" distB="0" distL="114300" distR="114300" simplePos="0" relativeHeight="251667456" behindDoc="0" locked="0" layoutInCell="1" allowOverlap="1">
            <wp:simplePos x="0" y="0"/>
            <wp:positionH relativeFrom="column">
              <wp:posOffset>-2540</wp:posOffset>
            </wp:positionH>
            <wp:positionV relativeFrom="paragraph">
              <wp:posOffset>240030</wp:posOffset>
            </wp:positionV>
            <wp:extent cx="6389370" cy="3649345"/>
            <wp:effectExtent l="0" t="0" r="0" b="8255"/>
            <wp:wrapSquare wrapText="bothSides"/>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xmlns:r="http://schemas.openxmlformats.org/officeDocument/2006/relationships" r:embed="rId20">
                      <a:extLst>
                        <a:ext uri="{28A0092B-C50C-407E-A947-70E740481C1C}">
                          <a14:useLocalDpi xmlns:a14="http://schemas.microsoft.com/office/drawing/2010/main" val="0"/>
                        </a:ext>
                      </a:extLst>
                    </a:blip>
                    <a:srcRect/>
                    <a:stretch>
                      <a:fillRect/>
                    </a:stretch>
                  </pic:blipFill>
                  <pic:spPr bwMode="auto">
                    <a:xfrm>
                      <a:off x="0" y="0"/>
                      <a:ext cx="6389370" cy="3649345"/>
                    </a:xfrm>
                    <a:prstGeom prst="rect">
                      <a:avLst/>
                    </a:prstGeom>
                    <a:noFill/>
                  </pic:spPr>
                </pic:pic>
              </a:graphicData>
            </a:graphic>
          </wp:anchor>
        </w:drawing>
      </w:r>
    </w:p>
    <w:p w:rsidR="00700D1B" w:rsidRPr="00622C69" w:rsidP="00700D1B">
      <w:pPr>
        <w:pStyle w:val="ListParagraph"/>
        <w:numPr>
          <w:ilvl w:val="0"/>
          <w:numId w:val="22"/>
        </w:numPr>
        <w:contextualSpacing/>
        <w:jc w:val="both"/>
        <w:rPr>
          <w:rFonts w:ascii="Arial" w:hAnsi="Arial" w:eastAsiaTheme="minorHAnsi" w:cs="Arial"/>
          <w:lang w:eastAsia="en-US"/>
        </w:rPr>
      </w:pPr>
      <w:r w:rsidRPr="00622C69">
        <w:rPr>
          <w:rStyle w:val="normaltextrun1"/>
          <w:rFonts w:ascii="Arial" w:hAnsi="Arial" w:cs="Arial"/>
          <w:b/>
          <w:bCs/>
          <w:lang w:val="en-US"/>
        </w:rPr>
        <w:t>NHS £15.021 billion</w:t>
      </w:r>
      <w:r w:rsidRPr="00622C69">
        <w:rPr>
          <w:rStyle w:val="normaltextrun1"/>
          <w:rFonts w:ascii="Arial" w:hAnsi="Arial" w:cs="Arial"/>
          <w:lang w:val="en-US"/>
        </w:rPr>
        <w:t xml:space="preserve">, </w:t>
      </w:r>
      <w:r w:rsidRPr="00622C69">
        <w:rPr>
          <w:rFonts w:ascii="Arial" w:eastAsia="Times New Roman" w:hAnsi="Arial" w:cs="Arial"/>
          <w:lang w:eastAsia="en-US"/>
        </w:rPr>
        <w:t>this is in addition to the c£3</w:t>
      </w:r>
      <w:r>
        <w:rPr>
          <w:rFonts w:ascii="Arial" w:eastAsia="Times New Roman" w:hAnsi="Arial" w:cs="Arial"/>
          <w:lang w:eastAsia="en-US"/>
        </w:rPr>
        <w:t xml:space="preserve"> </w:t>
      </w:r>
      <w:r w:rsidRPr="00622C69">
        <w:rPr>
          <w:rFonts w:ascii="Arial" w:eastAsia="Times New Roman" w:hAnsi="Arial" w:cs="Arial"/>
          <w:lang w:eastAsia="en-US"/>
        </w:rPr>
        <w:t>b</w:t>
      </w:r>
      <w:r>
        <w:rPr>
          <w:rFonts w:ascii="Arial" w:eastAsia="Times New Roman" w:hAnsi="Arial" w:cs="Arial"/>
          <w:lang w:eastAsia="en-US"/>
        </w:rPr>
        <w:t>illio</w:t>
      </w:r>
      <w:r w:rsidRPr="00622C69">
        <w:rPr>
          <w:rFonts w:ascii="Arial" w:eastAsia="Times New Roman" w:hAnsi="Arial" w:cs="Arial"/>
          <w:lang w:eastAsia="en-US"/>
        </w:rPr>
        <w:t xml:space="preserve">n included in Main Estimates. This will support the frontline response to the pandemic by funding the consequences of the adjusted and simplified financial regime, implemented to allow maximum operational focus on </w:t>
      </w:r>
      <w:r>
        <w:rPr>
          <w:rFonts w:ascii="Arial" w:eastAsia="Times New Roman" w:hAnsi="Arial" w:cs="Arial"/>
          <w:lang w:eastAsia="en-US"/>
        </w:rPr>
        <w:t>C</w:t>
      </w:r>
      <w:r w:rsidRPr="00622C69">
        <w:rPr>
          <w:rFonts w:ascii="Arial" w:eastAsia="Times New Roman" w:hAnsi="Arial" w:cs="Arial"/>
          <w:lang w:eastAsia="en-US"/>
        </w:rPr>
        <w:t>ovid</w:t>
      </w:r>
      <w:r>
        <w:rPr>
          <w:rFonts w:ascii="Arial" w:eastAsia="Times New Roman" w:hAnsi="Arial" w:cs="Arial"/>
          <w:lang w:eastAsia="en-US"/>
        </w:rPr>
        <w:t>-19</w:t>
      </w:r>
      <w:r w:rsidRPr="00622C69">
        <w:rPr>
          <w:rFonts w:ascii="Arial" w:eastAsia="Times New Roman" w:hAnsi="Arial" w:cs="Arial"/>
          <w:lang w:eastAsia="en-US"/>
        </w:rPr>
        <w:t>. The funding also supports specific initiatives to temporarily increase NHS capacity, such as increasing staffing numbers, extending the use of Independent Sector providers, enhancing patient discharge schemes and the Nightingales programme. Additionally, NHS commissioners will provide support to primary care providers, such as GPs, Dentists and Pharmacists, to compensate for the impact of the pandemic on their service provision</w:t>
      </w:r>
    </w:p>
    <w:p w:rsidR="00700D1B" w:rsidP="00700D1B">
      <w:pPr>
        <w:ind w:left="567"/>
        <w:contextualSpacing/>
        <w:jc w:val="both"/>
        <w:rPr>
          <w:rFonts w:eastAsiaTheme="minorHAnsi" w:cs="Arial"/>
          <w:b/>
          <w:sz w:val="22"/>
          <w:szCs w:val="22"/>
          <w:u w:val="single"/>
          <w:lang w:eastAsia="en-US"/>
        </w:rPr>
      </w:pPr>
    </w:p>
    <w:p w:rsidR="00700D1B" w:rsidRPr="008329E0" w:rsidP="00700D1B">
      <w:pPr>
        <w:pStyle w:val="ListParagraph"/>
        <w:numPr>
          <w:ilvl w:val="0"/>
          <w:numId w:val="22"/>
        </w:numPr>
        <w:contextualSpacing/>
        <w:jc w:val="both"/>
        <w:rPr>
          <w:rFonts w:ascii="Arial" w:eastAsia="Times New Roman" w:hAnsi="Arial" w:cs="Arial"/>
          <w:b/>
          <w:sz w:val="24"/>
          <w:szCs w:val="24"/>
          <w:lang w:val="en-US"/>
        </w:rPr>
      </w:pPr>
      <w:r w:rsidRPr="008329E0">
        <w:rPr>
          <w:rStyle w:val="normaltextrun1"/>
          <w:rFonts w:ascii="Arial" w:eastAsia="Times New Roman" w:hAnsi="Arial"/>
          <w:b/>
          <w:lang w:val="en-US"/>
        </w:rPr>
        <w:t>Test and Trace £20.1 billion,</w:t>
      </w:r>
      <w:r w:rsidRPr="008329E0">
        <w:rPr>
          <w:rStyle w:val="normaltextrun1"/>
          <w:rFonts w:ascii="Arial" w:eastAsia="Times New Roman" w:hAnsi="Arial"/>
          <w:bCs/>
          <w:lang w:val="en-US"/>
        </w:rPr>
        <w:t xml:space="preserve"> this is in addition to £300 million already included in Main Estimate. </w:t>
      </w:r>
      <w:r w:rsidRPr="008329E0">
        <w:rPr>
          <w:rFonts w:ascii="Arial" w:hAnsi="Arial" w:cs="Arial"/>
          <w:bCs/>
          <w:lang w:val="en-US"/>
        </w:rPr>
        <w:t xml:space="preserve">This budget cover has been secured to fund </w:t>
      </w:r>
      <w:r w:rsidRPr="008329E0">
        <w:rPr>
          <w:rFonts w:ascii="Arial" w:hAnsi="Arial" w:cs="Arial"/>
          <w:bCs/>
        </w:rPr>
        <w:t xml:space="preserve">the wider roll out of mass testing, </w:t>
      </w:r>
      <w:r w:rsidRPr="008329E0">
        <w:rPr>
          <w:rFonts w:ascii="Arial" w:hAnsi="Arial" w:cs="Arial"/>
          <w:bCs/>
          <w:lang w:val="en-US"/>
        </w:rPr>
        <w:t xml:space="preserve">the </w:t>
      </w:r>
      <w:r w:rsidRPr="008329E0">
        <w:rPr>
          <w:rFonts w:ascii="Arial" w:hAnsi="Arial" w:cs="Arial"/>
          <w:bCs/>
        </w:rPr>
        <w:t xml:space="preserve">scale up of testing to meet demand over the winter, contact tracing, the Joint Biosecurity Centre </w:t>
      </w:r>
      <w:r w:rsidRPr="008329E0">
        <w:rPr>
          <w:rFonts w:ascii="Arial" w:hAnsi="Arial" w:cs="Arial"/>
          <w:bCs/>
        </w:rPr>
        <w:t>and additional support provided to Local Authorities via the Contain Outbreak Management Fund.</w:t>
      </w:r>
      <w:r w:rsidRPr="008329E0">
        <w:rPr>
          <w:rFonts w:ascii="Arial" w:hAnsi="Arial" w:cs="Arial"/>
          <w:bCs/>
          <w:lang w:val="en-US"/>
        </w:rPr>
        <w:t> </w:t>
      </w:r>
      <w:r w:rsidRPr="008329E0">
        <w:rPr>
          <w:rFonts w:ascii="Arial" w:eastAsia="Times New Roman" w:hAnsi="Arial" w:cs="Arial"/>
          <w:bCs/>
          <w:lang w:val="en-US"/>
        </w:rPr>
        <w:t xml:space="preserve"> </w:t>
      </w:r>
      <w:r w:rsidRPr="008329E0">
        <w:rPr>
          <w:rFonts w:ascii="Arial" w:hAnsi="Arial" w:cs="Arial"/>
          <w:bCs/>
        </w:rPr>
        <w:t>£22 billion of Test and Trace funding was announced by the Chancellor as part of Spending Review</w:t>
      </w:r>
      <w:r>
        <w:rPr>
          <w:rFonts w:ascii="Arial" w:hAnsi="Arial" w:cs="Arial"/>
          <w:bCs/>
        </w:rPr>
        <w:t xml:space="preserve"> 2020</w:t>
      </w:r>
      <w:r w:rsidRPr="008329E0">
        <w:rPr>
          <w:rFonts w:ascii="Arial" w:hAnsi="Arial" w:cs="Arial"/>
          <w:bCs/>
        </w:rPr>
        <w:t>, the announced funding has since; increased to £23.1 billion (including £300m ME) and has been apportioned between revenue £20.4 billion and capital £2.7 billion</w:t>
      </w:r>
      <w:r w:rsidRPr="008329E0">
        <w:rPr>
          <w:rFonts w:ascii="Arial" w:hAnsi="Arial" w:cs="Arial"/>
          <w:bCs/>
          <w:sz w:val="24"/>
          <w:szCs w:val="24"/>
        </w:rPr>
        <w:t xml:space="preserve">. </w:t>
      </w:r>
    </w:p>
    <w:p w:rsidR="00700D1B" w:rsidRPr="00766B99" w:rsidP="00700D1B">
      <w:pPr>
        <w:pStyle w:val="ListParagraph"/>
        <w:ind w:left="1284"/>
        <w:contextualSpacing/>
        <w:jc w:val="both"/>
        <w:rPr>
          <w:rFonts w:ascii="Arial" w:eastAsia="Times New Roman" w:hAnsi="Arial"/>
          <w:b/>
          <w:lang w:val="en-US"/>
        </w:rPr>
      </w:pPr>
    </w:p>
    <w:p w:rsidR="00700D1B" w:rsidRPr="00724FE5" w:rsidP="00700D1B">
      <w:pPr>
        <w:pStyle w:val="ListParagraph"/>
        <w:numPr>
          <w:ilvl w:val="0"/>
          <w:numId w:val="22"/>
        </w:numPr>
        <w:contextualSpacing/>
        <w:jc w:val="both"/>
        <w:rPr>
          <w:rFonts w:ascii="Arial" w:eastAsia="Times New Roman" w:hAnsi="Arial"/>
          <w:b/>
          <w:lang w:val="en-US"/>
        </w:rPr>
      </w:pPr>
      <w:r>
        <w:rPr>
          <w:rStyle w:val="normaltextrun1"/>
          <w:rFonts w:ascii="Arial" w:eastAsia="Times New Roman" w:hAnsi="Arial"/>
          <w:b/>
          <w:lang w:val="en-US"/>
        </w:rPr>
        <w:t xml:space="preserve">Personal Protective Equipment £14.8 billion, </w:t>
      </w:r>
      <w:r>
        <w:rPr>
          <w:rStyle w:val="normaltextrun1"/>
          <w:rFonts w:ascii="Arial" w:eastAsia="Times New Roman" w:hAnsi="Arial"/>
          <w:bCs/>
          <w:lang w:val="en-US"/>
        </w:rPr>
        <w:t xml:space="preserve">for the purchase of PPE and the freight and logistic costs of delivery, this funding is in addition to £100m already included in Main Estimate. </w:t>
      </w:r>
      <w:r w:rsidRPr="00E11730">
        <w:rPr>
          <w:rFonts w:ascii="Arial" w:hAnsi="Arial" w:cs="Arial"/>
          <w:bCs/>
        </w:rPr>
        <w:t xml:space="preserve">This funding was announced in the Chancellor’s Summer Economic </w:t>
      </w:r>
      <w:r>
        <w:rPr>
          <w:rFonts w:ascii="Arial" w:hAnsi="Arial" w:cs="Arial"/>
          <w:bCs/>
        </w:rPr>
        <w:t>Update</w:t>
      </w:r>
      <w:r w:rsidRPr="00E11730">
        <w:rPr>
          <w:rFonts w:ascii="Arial" w:hAnsi="Arial" w:cs="Arial"/>
          <w:bCs/>
        </w:rPr>
        <w:t>.</w:t>
      </w:r>
    </w:p>
    <w:p w:rsidR="00700D1B" w:rsidRPr="00724FE5" w:rsidP="00700D1B">
      <w:pPr>
        <w:pStyle w:val="ListParagraph"/>
        <w:rPr>
          <w:rStyle w:val="normaltextrun1"/>
          <w:rFonts w:ascii="Arial" w:eastAsia="Times New Roman" w:hAnsi="Arial"/>
          <w:b/>
          <w:lang w:val="en-US"/>
        </w:rPr>
      </w:pPr>
    </w:p>
    <w:p w:rsidR="00700D1B" w:rsidP="00700D1B">
      <w:pPr>
        <w:pStyle w:val="ListParagraph"/>
        <w:numPr>
          <w:ilvl w:val="0"/>
          <w:numId w:val="22"/>
        </w:numPr>
        <w:contextualSpacing/>
        <w:jc w:val="both"/>
        <w:rPr>
          <w:rStyle w:val="normaltextrun1"/>
          <w:rFonts w:ascii="Arial" w:eastAsia="Times New Roman" w:hAnsi="Arial"/>
          <w:b/>
          <w:lang w:val="en-US"/>
        </w:rPr>
      </w:pPr>
      <w:r>
        <w:rPr>
          <w:rStyle w:val="normaltextrun1"/>
          <w:rFonts w:ascii="Arial" w:eastAsia="Times New Roman" w:hAnsi="Arial"/>
          <w:b/>
          <w:lang w:val="en-US"/>
        </w:rPr>
        <w:t xml:space="preserve">Covid-19 vaccine deployment £3.045 billion, </w:t>
      </w:r>
      <w:r>
        <w:rPr>
          <w:rStyle w:val="normaltextrun1"/>
          <w:rFonts w:ascii="Arial" w:eastAsia="Times New Roman" w:hAnsi="Arial"/>
          <w:bCs/>
          <w:lang w:val="en-US"/>
        </w:rPr>
        <w:t>this funding has not previously been announced and covers the roll out costs of deploying the Covid-19 vaccines. This funding does not cover the purchase of the vaccines, the costs of which are covered by the Department for Business, Energy and Industrial Strategy.</w:t>
      </w:r>
    </w:p>
    <w:p w:rsidR="00700D1B" w:rsidRPr="00724FE5" w:rsidP="00700D1B">
      <w:pPr>
        <w:pStyle w:val="ListParagraph"/>
        <w:rPr>
          <w:rStyle w:val="normaltextrun1"/>
          <w:rFonts w:ascii="Arial" w:eastAsia="Times New Roman" w:hAnsi="Arial"/>
          <w:b/>
          <w:lang w:val="en-US"/>
        </w:rPr>
      </w:pPr>
    </w:p>
    <w:p w:rsidR="00700D1B" w:rsidP="00700D1B">
      <w:pPr>
        <w:pStyle w:val="ListParagraph"/>
        <w:numPr>
          <w:ilvl w:val="0"/>
          <w:numId w:val="22"/>
        </w:numPr>
        <w:contextualSpacing/>
        <w:jc w:val="both"/>
        <w:rPr>
          <w:rStyle w:val="normaltextrun1"/>
          <w:rFonts w:ascii="Arial" w:eastAsia="Times New Roman" w:hAnsi="Arial"/>
          <w:b/>
          <w:lang w:val="en-US"/>
        </w:rPr>
      </w:pPr>
      <w:r>
        <w:rPr>
          <w:rStyle w:val="normaltextrun1"/>
          <w:rFonts w:ascii="Arial" w:eastAsia="Times New Roman" w:hAnsi="Arial"/>
          <w:b/>
          <w:lang w:val="en-US"/>
        </w:rPr>
        <w:t>Infection Control and other grants £1.144 billion,</w:t>
      </w:r>
      <w:r>
        <w:rPr>
          <w:rStyle w:val="normaltextrun1"/>
          <w:rFonts w:ascii="Arial" w:eastAsia="Times New Roman" w:hAnsi="Arial"/>
          <w:bCs/>
          <w:lang w:val="en-US"/>
        </w:rPr>
        <w:t xml:space="preserve"> funding predominantly </w:t>
      </w:r>
      <w:r w:rsidRPr="00401938">
        <w:rPr>
          <w:rFonts w:ascii="Arial" w:eastAsia="Times New Roman" w:hAnsi="Arial" w:cs="Arial"/>
        </w:rPr>
        <w:t xml:space="preserve">given to local authorities to help cover the costs of implementing measures to reduce transmission. </w:t>
      </w:r>
      <w:r>
        <w:rPr>
          <w:rFonts w:ascii="Arial" w:eastAsia="Times New Roman" w:hAnsi="Arial" w:cs="Arial"/>
        </w:rPr>
        <w:t xml:space="preserve">This was first introduced in May 2020 and was then extended to March 2021. </w:t>
      </w:r>
    </w:p>
    <w:p w:rsidR="00700D1B" w:rsidRPr="00433AD1" w:rsidP="00700D1B">
      <w:pPr>
        <w:pStyle w:val="ListParagraph"/>
        <w:rPr>
          <w:rStyle w:val="normaltextrun1"/>
          <w:rFonts w:ascii="Arial" w:eastAsia="Times New Roman" w:hAnsi="Arial"/>
          <w:b/>
          <w:lang w:val="en-US"/>
        </w:rPr>
      </w:pPr>
    </w:p>
    <w:p w:rsidR="00700D1B" w:rsidP="00700D1B">
      <w:pPr>
        <w:pStyle w:val="ListParagraph"/>
        <w:numPr>
          <w:ilvl w:val="0"/>
          <w:numId w:val="22"/>
        </w:numPr>
        <w:contextualSpacing/>
        <w:jc w:val="both"/>
        <w:rPr>
          <w:rStyle w:val="normaltextrun1"/>
          <w:rFonts w:ascii="Arial" w:eastAsia="Times New Roman" w:hAnsi="Arial"/>
          <w:b/>
          <w:lang w:val="en-US"/>
        </w:rPr>
      </w:pPr>
      <w:r>
        <w:rPr>
          <w:rStyle w:val="normaltextrun1"/>
          <w:rFonts w:ascii="Arial" w:eastAsia="Times New Roman" w:hAnsi="Arial"/>
          <w:b/>
          <w:lang w:val="en-US"/>
        </w:rPr>
        <w:t>Covid-19 research and development and therapeutic treatments £946 million,</w:t>
      </w:r>
      <w:r>
        <w:rPr>
          <w:rStyle w:val="normaltextrun1"/>
          <w:rFonts w:ascii="Arial" w:eastAsia="Times New Roman" w:hAnsi="Arial"/>
          <w:bCs/>
          <w:lang w:val="en-US"/>
        </w:rPr>
        <w:t xml:space="preserve"> this funding has not previously been announced and covers the research &amp; development and purchase costs of therapeutic Covid-19 treatments. </w:t>
      </w:r>
    </w:p>
    <w:p w:rsidR="00700D1B" w:rsidRPr="00724FE5" w:rsidP="00700D1B">
      <w:pPr>
        <w:contextualSpacing/>
        <w:jc w:val="both"/>
        <w:rPr>
          <w:rStyle w:val="normaltextrun1"/>
          <w:b/>
          <w:lang w:val="en-US"/>
        </w:rPr>
      </w:pPr>
    </w:p>
    <w:p w:rsidR="00700D1B" w:rsidP="00700D1B">
      <w:pPr>
        <w:pStyle w:val="ListParagraph"/>
        <w:numPr>
          <w:ilvl w:val="0"/>
          <w:numId w:val="22"/>
        </w:numPr>
        <w:contextualSpacing/>
        <w:jc w:val="both"/>
        <w:rPr>
          <w:rStyle w:val="normaltextrun1"/>
          <w:rFonts w:ascii="Arial" w:eastAsia="Times New Roman" w:hAnsi="Arial" w:cs="Times New Roman"/>
          <w:b/>
          <w:sz w:val="24"/>
          <w:szCs w:val="24"/>
          <w:lang w:val="en-US"/>
        </w:rPr>
      </w:pPr>
      <w:r>
        <w:rPr>
          <w:rStyle w:val="normaltextrun1"/>
          <w:rFonts w:ascii="Arial" w:eastAsia="Times New Roman" w:hAnsi="Arial"/>
          <w:b/>
          <w:lang w:val="en-US"/>
        </w:rPr>
        <w:t>Ventilators and Critical Care National Stockpile £145 million,</w:t>
      </w:r>
      <w:r>
        <w:rPr>
          <w:rStyle w:val="normaltextrun1"/>
          <w:rFonts w:ascii="Arial" w:eastAsia="Times New Roman" w:hAnsi="Arial"/>
          <w:bCs/>
          <w:lang w:val="en-US"/>
        </w:rPr>
        <w:t xml:space="preserve"> £600 million </w:t>
      </w:r>
      <w:r w:rsidRPr="00433AD1">
        <w:rPr>
          <w:rStyle w:val="normaltextrun1"/>
          <w:rFonts w:ascii="Arial" w:eastAsia="Times New Roman" w:hAnsi="Arial"/>
          <w:bCs/>
          <w:lang w:val="en-US"/>
        </w:rPr>
        <w:t>of this funding was announced for purchases of ventilators in the Summer Economic Statement</w:t>
      </w:r>
      <w:r>
        <w:rPr>
          <w:rStyle w:val="normaltextrun1"/>
          <w:rFonts w:ascii="Arial" w:eastAsia="Times New Roman" w:hAnsi="Arial"/>
          <w:bCs/>
          <w:lang w:val="en-US"/>
        </w:rPr>
        <w:t xml:space="preserve">, the required funding has since; reduced by £16 million, due to a HM Treasury decision as to when this spend hits the resource budget, and been apportioned between revenue £145 million and capital £439 million. </w:t>
      </w:r>
    </w:p>
    <w:p w:rsidR="00700D1B" w:rsidRPr="00433AD1" w:rsidP="00700D1B">
      <w:pPr>
        <w:contextualSpacing/>
        <w:jc w:val="both"/>
        <w:rPr>
          <w:rStyle w:val="normaltextrun1"/>
          <w:b/>
          <w:lang w:val="en-US"/>
        </w:rPr>
      </w:pPr>
    </w:p>
    <w:p w:rsidR="00700D1B" w:rsidRPr="001407A2" w:rsidP="00AE4FF3">
      <w:pPr>
        <w:pStyle w:val="ListParagraph"/>
        <w:numPr>
          <w:ilvl w:val="0"/>
          <w:numId w:val="22"/>
        </w:numPr>
        <w:contextualSpacing/>
        <w:jc w:val="both"/>
        <w:rPr>
          <w:rStyle w:val="normaltextrun1"/>
          <w:rFonts w:ascii="Arial" w:eastAsia="Times New Roman" w:hAnsi="Arial"/>
          <w:b/>
          <w:lang w:val="en-US"/>
        </w:rPr>
      </w:pPr>
      <w:r w:rsidRPr="001407A2">
        <w:rPr>
          <w:rStyle w:val="normaltextrun1"/>
          <w:rFonts w:ascii="Arial" w:eastAsia="Times New Roman" w:hAnsi="Arial"/>
          <w:b/>
          <w:lang w:val="en-US"/>
        </w:rPr>
        <w:t>Other Covid-19 Costs £531 million,</w:t>
      </w:r>
      <w:r w:rsidRPr="001407A2">
        <w:rPr>
          <w:rStyle w:val="normaltextrun1"/>
          <w:rFonts w:ascii="Arial" w:eastAsia="Times New Roman" w:hAnsi="Arial"/>
          <w:bCs/>
          <w:lang w:val="en-US"/>
        </w:rPr>
        <w:t xml:space="preserve"> this </w:t>
      </w:r>
      <w:r w:rsidRPr="001407A2" w:rsidR="001407A2">
        <w:rPr>
          <w:rStyle w:val="normaltextrun1"/>
          <w:rFonts w:ascii="Arial" w:eastAsia="Times New Roman" w:hAnsi="Arial"/>
          <w:bCs/>
          <w:lang w:val="en-US"/>
        </w:rPr>
        <w:t xml:space="preserve">mainly </w:t>
      </w:r>
      <w:r w:rsidRPr="001407A2">
        <w:rPr>
          <w:rStyle w:val="normaltextrun1"/>
          <w:rFonts w:ascii="Arial" w:eastAsia="Times New Roman" w:hAnsi="Arial"/>
          <w:bCs/>
          <w:lang w:val="en-US"/>
        </w:rPr>
        <w:t xml:space="preserve">includes: £290m funding to cover the depreciation of assets purchased in response to Covid-19 and £120m for adult social care. </w:t>
      </w:r>
    </w:p>
    <w:p w:rsidR="001407A2" w:rsidRPr="001407A2" w:rsidP="001407A2">
      <w:pPr>
        <w:pStyle w:val="ListParagraph"/>
        <w:rPr>
          <w:rStyle w:val="normaltextrun1"/>
          <w:rFonts w:ascii="Arial" w:eastAsia="Times New Roman" w:hAnsi="Arial"/>
          <w:b/>
          <w:lang w:val="en-US"/>
        </w:rPr>
      </w:pPr>
    </w:p>
    <w:p w:rsidR="00700D1B" w:rsidRPr="00A069A9" w:rsidP="00700D1B">
      <w:pPr>
        <w:numPr>
          <w:ilvl w:val="0"/>
          <w:numId w:val="15"/>
        </w:numPr>
        <w:spacing w:after="120"/>
        <w:ind w:hanging="357"/>
        <w:jc w:val="both"/>
        <w:rPr>
          <w:rStyle w:val="normaltextrun1"/>
          <w:b/>
          <w:sz w:val="22"/>
          <w:szCs w:val="22"/>
          <w:lang w:val="en-US"/>
        </w:rPr>
      </w:pPr>
      <w:r w:rsidRPr="00F97906">
        <w:rPr>
          <w:rFonts w:eastAsiaTheme="minorHAnsi" w:cs="Arial"/>
          <w:sz w:val="22"/>
          <w:szCs w:val="22"/>
          <w:lang w:eastAsia="en-US"/>
        </w:rPr>
        <w:t xml:space="preserve">£232 million Covid-19 transfers to other Government departments, </w:t>
      </w:r>
      <w:r>
        <w:rPr>
          <w:rFonts w:eastAsiaTheme="minorHAnsi" w:cs="Arial"/>
          <w:sz w:val="22"/>
          <w:szCs w:val="22"/>
          <w:lang w:eastAsia="en-US"/>
        </w:rPr>
        <w:t xml:space="preserve">mainly </w:t>
      </w:r>
      <w:r w:rsidRPr="00F97906">
        <w:rPr>
          <w:rFonts w:eastAsiaTheme="minorHAnsi" w:cs="Arial"/>
          <w:sz w:val="22"/>
          <w:szCs w:val="22"/>
          <w:lang w:eastAsia="en-US"/>
        </w:rPr>
        <w:t>DHSC</w:t>
      </w:r>
      <w:r>
        <w:rPr>
          <w:rFonts w:eastAsiaTheme="minorHAnsi" w:cs="Arial"/>
          <w:sz w:val="22"/>
          <w:szCs w:val="22"/>
          <w:lang w:eastAsia="en-US"/>
        </w:rPr>
        <w:t>’s</w:t>
      </w:r>
      <w:r w:rsidRPr="00F97906">
        <w:rPr>
          <w:rFonts w:eastAsiaTheme="minorHAnsi" w:cs="Arial"/>
          <w:sz w:val="22"/>
          <w:szCs w:val="22"/>
          <w:lang w:eastAsia="en-US"/>
        </w:rPr>
        <w:t xml:space="preserve"> </w:t>
      </w:r>
      <w:r>
        <w:rPr>
          <w:rFonts w:eastAsiaTheme="minorHAnsi" w:cs="Arial"/>
          <w:sz w:val="22"/>
          <w:szCs w:val="22"/>
          <w:lang w:eastAsia="en-US"/>
        </w:rPr>
        <w:t xml:space="preserve">reimbursement </w:t>
      </w:r>
      <w:r w:rsidRPr="00F97906">
        <w:rPr>
          <w:rFonts w:eastAsiaTheme="minorHAnsi" w:cs="Arial"/>
          <w:sz w:val="22"/>
          <w:szCs w:val="22"/>
          <w:lang w:eastAsia="en-US"/>
        </w:rPr>
        <w:t>for PPE purchases.</w:t>
      </w:r>
      <w:r w:rsidRPr="00F97906">
        <w:rPr>
          <w:rStyle w:val="normaltextrun1"/>
          <w:bCs/>
          <w:sz w:val="22"/>
          <w:szCs w:val="22"/>
          <w:lang w:val="en-US"/>
        </w:rPr>
        <w:t xml:space="preserve"> </w:t>
      </w:r>
    </w:p>
    <w:p w:rsidR="00700D1B" w:rsidP="00700D1B">
      <w:pPr>
        <w:ind w:left="567"/>
        <w:contextualSpacing/>
        <w:jc w:val="both"/>
        <w:rPr>
          <w:rFonts w:eastAsiaTheme="minorHAnsi" w:cs="Arial"/>
          <w:b/>
          <w:sz w:val="22"/>
          <w:szCs w:val="22"/>
          <w:u w:val="single"/>
          <w:lang w:eastAsia="en-US"/>
        </w:rPr>
      </w:pPr>
    </w:p>
    <w:p w:rsidR="00700D1B" w:rsidRPr="00565172" w:rsidP="00700D1B">
      <w:pPr>
        <w:spacing w:after="120"/>
        <w:ind w:left="567"/>
        <w:jc w:val="both"/>
        <w:rPr>
          <w:rFonts w:eastAsiaTheme="minorHAnsi" w:cs="Arial"/>
          <w:b/>
          <w:sz w:val="22"/>
          <w:szCs w:val="22"/>
          <w:u w:val="single"/>
          <w:lang w:eastAsia="en-US"/>
        </w:rPr>
      </w:pPr>
      <w:r w:rsidRPr="00565172">
        <w:rPr>
          <w:rFonts w:eastAsiaTheme="minorHAnsi" w:cs="Arial"/>
          <w:b/>
          <w:sz w:val="22"/>
          <w:szCs w:val="22"/>
          <w:u w:val="single"/>
          <w:lang w:eastAsia="en-US"/>
        </w:rPr>
        <w:t>Capital DEL</w:t>
      </w:r>
    </w:p>
    <w:p w:rsidR="00700D1B" w:rsidRPr="006024DC" w:rsidP="00700D1B">
      <w:pPr>
        <w:spacing w:after="120"/>
        <w:ind w:left="564"/>
        <w:jc w:val="both"/>
        <w:rPr>
          <w:rFonts w:eastAsiaTheme="minorHAnsi" w:cs="Arial"/>
          <w:sz w:val="22"/>
          <w:szCs w:val="22"/>
          <w:lang w:eastAsia="en-US"/>
        </w:rPr>
      </w:pPr>
      <w:r w:rsidRPr="006024DC">
        <w:rPr>
          <w:rFonts w:eastAsiaTheme="minorHAnsi" w:cs="Arial"/>
          <w:sz w:val="22"/>
          <w:szCs w:val="22"/>
          <w:lang w:eastAsia="en-US"/>
        </w:rPr>
        <w:t xml:space="preserve">The extra capital resources provided by the Government since the 2019 Spending Review are set out in the table below. The government has provided further funding for NHS infrastructure, investment for the response to Covid-19 and has reflected the impact the pandemic has had on the NHS’s capital plans, priorities and levels of expenditure, including national delivery programmes through redistributing forecast underspends.  </w:t>
      </w:r>
    </w:p>
    <w:p w:rsidR="00700D1B" w:rsidP="00700D1B">
      <w:pPr>
        <w:ind w:left="564"/>
        <w:rPr>
          <w:rFonts w:eastAsiaTheme="minorHAnsi"/>
          <w:sz w:val="22"/>
          <w:szCs w:val="22"/>
          <w:lang w:eastAsia="en-US"/>
        </w:rPr>
      </w:pPr>
      <w:r w:rsidRPr="006024DC">
        <w:rPr>
          <w:rFonts w:eastAsiaTheme="minorHAnsi" w:cs="Arial"/>
          <w:sz w:val="22"/>
          <w:szCs w:val="22"/>
          <w:lang w:eastAsia="en-US"/>
        </w:rPr>
        <w:t xml:space="preserve"> </w:t>
      </w:r>
      <w:r w:rsidRPr="006024DC">
        <w:rPr>
          <w:rFonts w:eastAsiaTheme="minorHAnsi"/>
          <w:sz w:val="22"/>
          <w:szCs w:val="22"/>
          <w:lang w:eastAsia="en-US"/>
        </w:rPr>
        <w:t>The</w:t>
      </w:r>
      <w:r w:rsidRPr="00AF0847">
        <w:rPr>
          <w:rFonts w:eastAsiaTheme="minorHAnsi"/>
          <w:sz w:val="22"/>
          <w:szCs w:val="22"/>
          <w:lang w:eastAsia="en-US"/>
        </w:rPr>
        <w:t xml:space="preserve"> main</w:t>
      </w:r>
      <w:r>
        <w:rPr>
          <w:rFonts w:eastAsiaTheme="minorHAnsi"/>
          <w:sz w:val="22"/>
          <w:szCs w:val="22"/>
          <w:lang w:eastAsia="en-US"/>
        </w:rPr>
        <w:t xml:space="preserve"> changes since the 2019 Spending Review are: </w:t>
      </w:r>
    </w:p>
    <w:tbl>
      <w:tblPr>
        <w:tblW w:w="9100" w:type="dxa"/>
        <w:tblInd w:w="680" w:type="dxa"/>
        <w:tblLook w:val="04A0"/>
      </w:tblPr>
      <w:tblGrid>
        <w:gridCol w:w="7780"/>
        <w:gridCol w:w="1320"/>
      </w:tblGrid>
      <w:tr w:rsidTr="00700D1B">
        <w:tblPrEx>
          <w:tblW w:w="9100" w:type="dxa"/>
          <w:tblInd w:w="680" w:type="dxa"/>
          <w:tblLook w:val="04A0"/>
        </w:tblPrEx>
        <w:trPr>
          <w:trHeight w:val="300"/>
        </w:trPr>
        <w:tc>
          <w:tcPr>
            <w:tcW w:w="7780" w:type="dxa"/>
            <w:tcBorders>
              <w:top w:val="single" w:sz="4" w:space="0" w:color="auto"/>
              <w:left w:val="single" w:sz="4" w:space="0" w:color="auto"/>
              <w:bottom w:val="single" w:sz="4" w:space="0" w:color="auto"/>
              <w:right w:val="single" w:sz="4" w:space="0" w:color="auto"/>
            </w:tcBorders>
            <w:shd w:val="clear" w:color="000000" w:fill="16365C"/>
            <w:vAlign w:val="center"/>
            <w:hideMark/>
          </w:tcPr>
          <w:p w:rsidR="00700D1B" w:rsidRPr="0062507E" w:rsidP="00700D1B">
            <w:pPr>
              <w:rPr>
                <w:rFonts w:cs="Arial"/>
                <w:b/>
                <w:bCs/>
                <w:color w:val="FFFFFF"/>
                <w:sz w:val="21"/>
                <w:szCs w:val="21"/>
              </w:rPr>
            </w:pPr>
            <w:r w:rsidRPr="0062507E">
              <w:rPr>
                <w:rFonts w:cs="Arial"/>
                <w:b/>
                <w:bCs/>
                <w:color w:val="FFFFFF"/>
                <w:sz w:val="21"/>
                <w:szCs w:val="21"/>
              </w:rPr>
              <w:t>Capital DEL - main changes since 2019 Spending Review</w:t>
            </w:r>
          </w:p>
        </w:tc>
        <w:tc>
          <w:tcPr>
            <w:tcW w:w="1320" w:type="dxa"/>
            <w:tcBorders>
              <w:top w:val="single" w:sz="4" w:space="0" w:color="auto"/>
              <w:left w:val="nil"/>
              <w:bottom w:val="single" w:sz="4" w:space="0" w:color="auto"/>
              <w:right w:val="single" w:sz="4" w:space="0" w:color="auto"/>
            </w:tcBorders>
            <w:shd w:val="clear" w:color="000000" w:fill="16365C"/>
            <w:noWrap/>
            <w:vAlign w:val="center"/>
            <w:hideMark/>
          </w:tcPr>
          <w:p w:rsidR="00700D1B" w:rsidRPr="0062507E" w:rsidP="00700D1B">
            <w:pPr>
              <w:jc w:val="right"/>
              <w:rPr>
                <w:rFonts w:cs="Arial"/>
                <w:b/>
                <w:bCs/>
                <w:color w:val="FFFFFF"/>
                <w:sz w:val="21"/>
                <w:szCs w:val="21"/>
              </w:rPr>
            </w:pPr>
            <w:r w:rsidRPr="0062507E">
              <w:rPr>
                <w:rFonts w:cs="Arial"/>
                <w:b/>
                <w:bCs/>
                <w:color w:val="FFFFFF"/>
                <w:sz w:val="21"/>
                <w:szCs w:val="21"/>
              </w:rPr>
              <w:t>£m</w:t>
            </w:r>
          </w:p>
        </w:tc>
      </w:tr>
      <w:tr w:rsidTr="00700D1B">
        <w:tblPrEx>
          <w:tblW w:w="9100" w:type="dxa"/>
          <w:tblInd w:w="680" w:type="dxa"/>
          <w:tblLook w:val="04A0"/>
        </w:tblPrEx>
        <w:trPr>
          <w:trHeight w:val="420"/>
        </w:trPr>
        <w:tc>
          <w:tcPr>
            <w:tcW w:w="7780" w:type="dxa"/>
            <w:tcBorders>
              <w:top w:val="nil"/>
              <w:left w:val="single" w:sz="4" w:space="0" w:color="auto"/>
              <w:bottom w:val="single" w:sz="4" w:space="0" w:color="auto"/>
              <w:right w:val="single" w:sz="4" w:space="0" w:color="auto"/>
            </w:tcBorders>
            <w:shd w:val="clear" w:color="auto" w:fill="auto"/>
            <w:vAlign w:val="center"/>
            <w:hideMark/>
          </w:tcPr>
          <w:p w:rsidR="00700D1B" w:rsidRPr="0062507E" w:rsidP="00700D1B">
            <w:pPr>
              <w:rPr>
                <w:rFonts w:cs="Arial"/>
                <w:color w:val="000000"/>
                <w:sz w:val="21"/>
                <w:szCs w:val="21"/>
              </w:rPr>
            </w:pPr>
            <w:r w:rsidRPr="0062507E">
              <w:rPr>
                <w:rFonts w:cs="Arial"/>
                <w:color w:val="000000"/>
                <w:sz w:val="21"/>
                <w:szCs w:val="21"/>
              </w:rPr>
              <w:t>2019 Spending Review</w:t>
            </w:r>
          </w:p>
        </w:tc>
        <w:tc>
          <w:tcPr>
            <w:tcW w:w="1320" w:type="dxa"/>
            <w:tcBorders>
              <w:top w:val="nil"/>
              <w:left w:val="nil"/>
              <w:bottom w:val="single" w:sz="4" w:space="0" w:color="auto"/>
              <w:right w:val="single" w:sz="4" w:space="0" w:color="auto"/>
            </w:tcBorders>
            <w:shd w:val="clear" w:color="auto" w:fill="auto"/>
            <w:noWrap/>
            <w:vAlign w:val="center"/>
            <w:hideMark/>
          </w:tcPr>
          <w:p w:rsidR="00700D1B" w:rsidRPr="0062507E" w:rsidP="00700D1B">
            <w:pPr>
              <w:jc w:val="right"/>
              <w:rPr>
                <w:rFonts w:cs="Arial"/>
                <w:color w:val="000000"/>
                <w:sz w:val="22"/>
                <w:szCs w:val="22"/>
              </w:rPr>
            </w:pPr>
            <w:r w:rsidRPr="0062507E">
              <w:rPr>
                <w:rFonts w:cs="Arial"/>
                <w:color w:val="000000"/>
                <w:sz w:val="22"/>
                <w:szCs w:val="22"/>
              </w:rPr>
              <w:t>7,060</w:t>
            </w:r>
          </w:p>
        </w:tc>
      </w:tr>
      <w:tr w:rsidTr="00700D1B">
        <w:tblPrEx>
          <w:tblW w:w="9100" w:type="dxa"/>
          <w:tblInd w:w="680" w:type="dxa"/>
          <w:tblLook w:val="04A0"/>
        </w:tblPrEx>
        <w:trPr>
          <w:trHeight w:val="300"/>
        </w:trPr>
        <w:tc>
          <w:tcPr>
            <w:tcW w:w="7780" w:type="dxa"/>
            <w:tcBorders>
              <w:top w:val="nil"/>
              <w:left w:val="single" w:sz="4" w:space="0" w:color="auto"/>
              <w:bottom w:val="single" w:sz="4" w:space="0" w:color="auto"/>
              <w:right w:val="single" w:sz="4" w:space="0" w:color="auto"/>
            </w:tcBorders>
            <w:shd w:val="clear" w:color="auto" w:fill="auto"/>
            <w:vAlign w:val="center"/>
            <w:hideMark/>
          </w:tcPr>
          <w:p w:rsidR="00700D1B" w:rsidRPr="0062507E" w:rsidP="00700D1B">
            <w:pPr>
              <w:rPr>
                <w:rFonts w:cs="Arial"/>
                <w:color w:val="000000"/>
                <w:sz w:val="21"/>
                <w:szCs w:val="21"/>
              </w:rPr>
            </w:pPr>
            <w:r w:rsidRPr="0062507E">
              <w:rPr>
                <w:rFonts w:cs="Arial"/>
                <w:color w:val="000000"/>
                <w:sz w:val="21"/>
                <w:szCs w:val="21"/>
              </w:rPr>
              <w:t>2020 Spring Budget (a)</w:t>
            </w:r>
          </w:p>
        </w:tc>
        <w:tc>
          <w:tcPr>
            <w:tcW w:w="1320" w:type="dxa"/>
            <w:tcBorders>
              <w:top w:val="nil"/>
              <w:left w:val="nil"/>
              <w:bottom w:val="single" w:sz="4" w:space="0" w:color="auto"/>
              <w:right w:val="single" w:sz="4" w:space="0" w:color="auto"/>
            </w:tcBorders>
            <w:shd w:val="clear" w:color="auto" w:fill="auto"/>
            <w:noWrap/>
            <w:vAlign w:val="center"/>
            <w:hideMark/>
          </w:tcPr>
          <w:p w:rsidR="00700D1B" w:rsidRPr="0062507E" w:rsidP="00700D1B">
            <w:pPr>
              <w:jc w:val="right"/>
              <w:rPr>
                <w:rFonts w:cs="Arial"/>
                <w:color w:val="000000"/>
                <w:sz w:val="22"/>
                <w:szCs w:val="22"/>
              </w:rPr>
            </w:pPr>
            <w:r w:rsidRPr="0062507E">
              <w:rPr>
                <w:rFonts w:cs="Arial"/>
                <w:color w:val="000000"/>
                <w:sz w:val="22"/>
                <w:szCs w:val="22"/>
              </w:rPr>
              <w:t>1,155</w:t>
            </w:r>
          </w:p>
        </w:tc>
      </w:tr>
      <w:tr w:rsidTr="00700D1B">
        <w:tblPrEx>
          <w:tblW w:w="9100" w:type="dxa"/>
          <w:tblInd w:w="680" w:type="dxa"/>
          <w:tblLook w:val="04A0"/>
        </w:tblPrEx>
        <w:trPr>
          <w:trHeight w:val="300"/>
        </w:trPr>
        <w:tc>
          <w:tcPr>
            <w:tcW w:w="7780" w:type="dxa"/>
            <w:tcBorders>
              <w:top w:val="nil"/>
              <w:left w:val="single" w:sz="4" w:space="0" w:color="auto"/>
              <w:bottom w:val="single" w:sz="4" w:space="0" w:color="auto"/>
              <w:right w:val="single" w:sz="4" w:space="0" w:color="auto"/>
            </w:tcBorders>
            <w:shd w:val="clear" w:color="auto" w:fill="auto"/>
            <w:vAlign w:val="bottom"/>
            <w:hideMark/>
          </w:tcPr>
          <w:p w:rsidR="00700D1B" w:rsidRPr="0062507E" w:rsidP="00700D1B">
            <w:pPr>
              <w:rPr>
                <w:rFonts w:cs="Arial"/>
                <w:color w:val="000000"/>
                <w:sz w:val="21"/>
                <w:szCs w:val="21"/>
              </w:rPr>
            </w:pPr>
            <w:r w:rsidRPr="0062507E">
              <w:rPr>
                <w:rFonts w:cs="Arial"/>
                <w:color w:val="000000"/>
                <w:sz w:val="21"/>
                <w:szCs w:val="21"/>
              </w:rPr>
              <w:t xml:space="preserve">2020-21 Routine transfers of funding from other Government Departments (b) </w:t>
            </w:r>
          </w:p>
        </w:tc>
        <w:tc>
          <w:tcPr>
            <w:tcW w:w="1320" w:type="dxa"/>
            <w:tcBorders>
              <w:top w:val="nil"/>
              <w:left w:val="nil"/>
              <w:bottom w:val="single" w:sz="4" w:space="0" w:color="auto"/>
              <w:right w:val="single" w:sz="4" w:space="0" w:color="auto"/>
            </w:tcBorders>
            <w:shd w:val="clear" w:color="auto" w:fill="auto"/>
            <w:noWrap/>
            <w:vAlign w:val="center"/>
            <w:hideMark/>
          </w:tcPr>
          <w:p w:rsidR="00700D1B" w:rsidRPr="0062507E" w:rsidP="00700D1B">
            <w:pPr>
              <w:jc w:val="right"/>
              <w:rPr>
                <w:rFonts w:cs="Arial"/>
                <w:color w:val="000000"/>
                <w:sz w:val="22"/>
                <w:szCs w:val="22"/>
              </w:rPr>
            </w:pPr>
            <w:r w:rsidRPr="0062507E">
              <w:rPr>
                <w:rFonts w:cs="Arial"/>
                <w:color w:val="000000"/>
                <w:sz w:val="22"/>
                <w:szCs w:val="22"/>
              </w:rPr>
              <w:t>15</w:t>
            </w:r>
          </w:p>
        </w:tc>
      </w:tr>
      <w:tr w:rsidTr="00700D1B">
        <w:tblPrEx>
          <w:tblW w:w="9100" w:type="dxa"/>
          <w:tblInd w:w="680" w:type="dxa"/>
          <w:tblLook w:val="04A0"/>
        </w:tblPrEx>
        <w:trPr>
          <w:trHeight w:val="285"/>
        </w:trPr>
        <w:tc>
          <w:tcPr>
            <w:tcW w:w="7780" w:type="dxa"/>
            <w:tcBorders>
              <w:top w:val="nil"/>
              <w:left w:val="single" w:sz="4" w:space="0" w:color="auto"/>
              <w:bottom w:val="single" w:sz="4" w:space="0" w:color="auto"/>
              <w:right w:val="single" w:sz="4" w:space="0" w:color="auto"/>
            </w:tcBorders>
            <w:shd w:val="clear" w:color="auto" w:fill="auto"/>
            <w:vAlign w:val="center"/>
            <w:hideMark/>
          </w:tcPr>
          <w:p w:rsidR="00700D1B" w:rsidRPr="0062507E" w:rsidP="00700D1B">
            <w:pPr>
              <w:rPr>
                <w:rFonts w:cs="Arial"/>
                <w:color w:val="000000"/>
                <w:sz w:val="21"/>
                <w:szCs w:val="21"/>
              </w:rPr>
            </w:pPr>
            <w:r w:rsidRPr="0062507E">
              <w:rPr>
                <w:rFonts w:cs="Arial"/>
                <w:color w:val="000000"/>
                <w:sz w:val="21"/>
                <w:szCs w:val="21"/>
              </w:rPr>
              <w:t xml:space="preserve">2020-21 Supplementary Estimate in-year funding (c) </w:t>
            </w:r>
          </w:p>
        </w:tc>
        <w:tc>
          <w:tcPr>
            <w:tcW w:w="1320" w:type="dxa"/>
            <w:tcBorders>
              <w:top w:val="nil"/>
              <w:left w:val="nil"/>
              <w:bottom w:val="single" w:sz="4" w:space="0" w:color="auto"/>
              <w:right w:val="single" w:sz="4" w:space="0" w:color="auto"/>
            </w:tcBorders>
            <w:shd w:val="clear" w:color="auto" w:fill="auto"/>
            <w:noWrap/>
            <w:vAlign w:val="center"/>
            <w:hideMark/>
          </w:tcPr>
          <w:p w:rsidR="00700D1B" w:rsidRPr="0062507E" w:rsidP="00700D1B">
            <w:pPr>
              <w:jc w:val="right"/>
              <w:rPr>
                <w:rFonts w:cs="Arial"/>
                <w:color w:val="000000"/>
                <w:sz w:val="22"/>
                <w:szCs w:val="22"/>
              </w:rPr>
            </w:pPr>
            <w:r w:rsidRPr="0062507E">
              <w:rPr>
                <w:rFonts w:cs="Arial"/>
                <w:color w:val="000000"/>
                <w:sz w:val="22"/>
                <w:szCs w:val="22"/>
              </w:rPr>
              <w:t>1,</w:t>
            </w:r>
            <w:r>
              <w:rPr>
                <w:rFonts w:cs="Arial"/>
                <w:color w:val="000000"/>
                <w:sz w:val="22"/>
                <w:szCs w:val="22"/>
              </w:rPr>
              <w:t>500</w:t>
            </w:r>
          </w:p>
        </w:tc>
      </w:tr>
      <w:tr w:rsidTr="00700D1B">
        <w:tblPrEx>
          <w:tblW w:w="9100" w:type="dxa"/>
          <w:tblInd w:w="680" w:type="dxa"/>
          <w:tblLook w:val="04A0"/>
        </w:tblPrEx>
        <w:trPr>
          <w:trHeight w:val="285"/>
        </w:trPr>
        <w:tc>
          <w:tcPr>
            <w:tcW w:w="7780" w:type="dxa"/>
            <w:tcBorders>
              <w:top w:val="nil"/>
              <w:left w:val="single" w:sz="4" w:space="0" w:color="auto"/>
              <w:bottom w:val="single" w:sz="4" w:space="0" w:color="auto"/>
              <w:right w:val="single" w:sz="4" w:space="0" w:color="auto"/>
            </w:tcBorders>
            <w:shd w:val="clear" w:color="auto" w:fill="auto"/>
            <w:vAlign w:val="center"/>
          </w:tcPr>
          <w:p w:rsidR="00700D1B" w:rsidRPr="0062507E" w:rsidP="00700D1B">
            <w:pPr>
              <w:rPr>
                <w:rFonts w:cs="Arial"/>
                <w:color w:val="000000"/>
                <w:sz w:val="21"/>
                <w:szCs w:val="21"/>
              </w:rPr>
            </w:pPr>
            <w:r w:rsidRPr="0062507E">
              <w:rPr>
                <w:rFonts w:cs="Arial"/>
                <w:color w:val="000000"/>
                <w:sz w:val="21"/>
                <w:szCs w:val="21"/>
              </w:rPr>
              <w:t xml:space="preserve">2020-21 Supplementary Estimate </w:t>
            </w:r>
            <w:r>
              <w:rPr>
                <w:rFonts w:cs="Arial"/>
                <w:color w:val="000000"/>
                <w:sz w:val="21"/>
                <w:szCs w:val="21"/>
              </w:rPr>
              <w:t>surrender of in-year underspends</w:t>
            </w:r>
            <w:r w:rsidRPr="0062507E">
              <w:rPr>
                <w:rFonts w:cs="Arial"/>
                <w:color w:val="000000"/>
                <w:sz w:val="21"/>
                <w:szCs w:val="21"/>
              </w:rPr>
              <w:t xml:space="preserve"> (c) </w:t>
            </w:r>
          </w:p>
        </w:tc>
        <w:tc>
          <w:tcPr>
            <w:tcW w:w="1320" w:type="dxa"/>
            <w:tcBorders>
              <w:top w:val="nil"/>
              <w:left w:val="nil"/>
              <w:bottom w:val="single" w:sz="4" w:space="0" w:color="auto"/>
              <w:right w:val="single" w:sz="4" w:space="0" w:color="auto"/>
            </w:tcBorders>
            <w:shd w:val="clear" w:color="auto" w:fill="auto"/>
            <w:noWrap/>
            <w:vAlign w:val="center"/>
          </w:tcPr>
          <w:p w:rsidR="00700D1B" w:rsidRPr="004110D0" w:rsidP="00700D1B">
            <w:pPr>
              <w:jc w:val="right"/>
              <w:rPr>
                <w:rFonts w:cs="Arial"/>
                <w:color w:val="FF0000"/>
                <w:sz w:val="22"/>
                <w:szCs w:val="22"/>
              </w:rPr>
            </w:pPr>
            <w:r w:rsidRPr="004110D0">
              <w:rPr>
                <w:rFonts w:cs="Arial"/>
                <w:color w:val="FF0000"/>
                <w:sz w:val="22"/>
                <w:szCs w:val="22"/>
              </w:rPr>
              <w:t>(</w:t>
            </w:r>
            <w:r>
              <w:rPr>
                <w:rFonts w:cs="Arial"/>
                <w:color w:val="FF0000"/>
                <w:sz w:val="22"/>
                <w:szCs w:val="22"/>
              </w:rPr>
              <w:t>824</w:t>
            </w:r>
            <w:r w:rsidRPr="004110D0">
              <w:rPr>
                <w:rFonts w:cs="Arial"/>
                <w:color w:val="FF0000"/>
                <w:sz w:val="22"/>
                <w:szCs w:val="22"/>
              </w:rPr>
              <w:t>)</w:t>
            </w:r>
          </w:p>
        </w:tc>
      </w:tr>
      <w:tr w:rsidTr="00700D1B">
        <w:tblPrEx>
          <w:tblW w:w="9100" w:type="dxa"/>
          <w:tblInd w:w="680" w:type="dxa"/>
          <w:tblLook w:val="04A0"/>
        </w:tblPrEx>
        <w:trPr>
          <w:trHeight w:val="285"/>
        </w:trPr>
        <w:tc>
          <w:tcPr>
            <w:tcW w:w="7780" w:type="dxa"/>
            <w:tcBorders>
              <w:top w:val="nil"/>
              <w:left w:val="single" w:sz="4" w:space="0" w:color="auto"/>
              <w:bottom w:val="single" w:sz="4" w:space="0" w:color="auto"/>
              <w:right w:val="single" w:sz="4" w:space="0" w:color="auto"/>
            </w:tcBorders>
            <w:shd w:val="clear" w:color="auto" w:fill="auto"/>
            <w:vAlign w:val="center"/>
            <w:hideMark/>
          </w:tcPr>
          <w:p w:rsidR="00700D1B" w:rsidRPr="0062507E" w:rsidP="00700D1B">
            <w:pPr>
              <w:rPr>
                <w:rFonts w:cs="Arial"/>
                <w:color w:val="000000"/>
                <w:sz w:val="21"/>
                <w:szCs w:val="21"/>
              </w:rPr>
            </w:pPr>
            <w:r w:rsidRPr="0062507E">
              <w:rPr>
                <w:rFonts w:cs="Arial"/>
                <w:color w:val="000000"/>
                <w:sz w:val="21"/>
                <w:szCs w:val="21"/>
              </w:rPr>
              <w:t>2020-21 Supplementary Estimate Revenue to Capital transfer (d)</w:t>
            </w:r>
          </w:p>
        </w:tc>
        <w:tc>
          <w:tcPr>
            <w:tcW w:w="1320" w:type="dxa"/>
            <w:tcBorders>
              <w:top w:val="nil"/>
              <w:left w:val="nil"/>
              <w:bottom w:val="single" w:sz="4" w:space="0" w:color="auto"/>
              <w:right w:val="single" w:sz="4" w:space="0" w:color="auto"/>
            </w:tcBorders>
            <w:shd w:val="clear" w:color="auto" w:fill="auto"/>
            <w:noWrap/>
            <w:vAlign w:val="center"/>
            <w:hideMark/>
          </w:tcPr>
          <w:p w:rsidR="00700D1B" w:rsidRPr="0062507E" w:rsidP="00700D1B">
            <w:pPr>
              <w:jc w:val="right"/>
              <w:rPr>
                <w:rFonts w:cs="Arial"/>
                <w:color w:val="000000"/>
                <w:sz w:val="22"/>
                <w:szCs w:val="22"/>
              </w:rPr>
            </w:pPr>
            <w:r w:rsidRPr="0062507E">
              <w:rPr>
                <w:rFonts w:cs="Arial"/>
                <w:color w:val="000000"/>
                <w:sz w:val="22"/>
                <w:szCs w:val="22"/>
              </w:rPr>
              <w:t>43</w:t>
            </w:r>
          </w:p>
        </w:tc>
      </w:tr>
      <w:tr w:rsidTr="00700D1B">
        <w:tblPrEx>
          <w:tblW w:w="9100" w:type="dxa"/>
          <w:tblInd w:w="680" w:type="dxa"/>
          <w:tblLook w:val="04A0"/>
        </w:tblPrEx>
        <w:trPr>
          <w:trHeight w:val="285"/>
        </w:trPr>
        <w:tc>
          <w:tcPr>
            <w:tcW w:w="7780" w:type="dxa"/>
            <w:tcBorders>
              <w:top w:val="nil"/>
              <w:left w:val="single" w:sz="4" w:space="0" w:color="auto"/>
              <w:bottom w:val="single" w:sz="4" w:space="0" w:color="auto"/>
              <w:right w:val="single" w:sz="4" w:space="0" w:color="auto"/>
            </w:tcBorders>
            <w:shd w:val="clear" w:color="auto" w:fill="auto"/>
            <w:noWrap/>
            <w:vAlign w:val="center"/>
            <w:hideMark/>
          </w:tcPr>
          <w:p w:rsidR="00700D1B" w:rsidRPr="0062507E" w:rsidP="00700D1B">
            <w:pPr>
              <w:rPr>
                <w:rFonts w:cs="Arial"/>
                <w:color w:val="000000"/>
                <w:sz w:val="21"/>
                <w:szCs w:val="21"/>
              </w:rPr>
            </w:pPr>
            <w:r w:rsidRPr="0062507E">
              <w:rPr>
                <w:rFonts w:cs="Arial"/>
                <w:color w:val="000000"/>
                <w:sz w:val="21"/>
                <w:szCs w:val="21"/>
              </w:rPr>
              <w:t xml:space="preserve">2020-21 Supplementary Estimate Covid-19 (e) </w:t>
            </w:r>
          </w:p>
        </w:tc>
        <w:tc>
          <w:tcPr>
            <w:tcW w:w="1320" w:type="dxa"/>
            <w:tcBorders>
              <w:top w:val="nil"/>
              <w:left w:val="nil"/>
              <w:bottom w:val="single" w:sz="4" w:space="0" w:color="auto"/>
              <w:right w:val="single" w:sz="4" w:space="0" w:color="auto"/>
            </w:tcBorders>
            <w:shd w:val="clear" w:color="auto" w:fill="auto"/>
            <w:noWrap/>
            <w:vAlign w:val="center"/>
            <w:hideMark/>
          </w:tcPr>
          <w:p w:rsidR="00700D1B" w:rsidRPr="0062507E" w:rsidP="00700D1B">
            <w:pPr>
              <w:jc w:val="right"/>
              <w:rPr>
                <w:rFonts w:cs="Arial"/>
                <w:color w:val="000000"/>
                <w:sz w:val="22"/>
                <w:szCs w:val="22"/>
              </w:rPr>
            </w:pPr>
            <w:r w:rsidRPr="0062507E">
              <w:rPr>
                <w:rFonts w:cs="Arial"/>
                <w:color w:val="000000"/>
                <w:sz w:val="22"/>
                <w:szCs w:val="22"/>
              </w:rPr>
              <w:t>3,</w:t>
            </w:r>
            <w:r>
              <w:rPr>
                <w:rFonts w:cs="Arial"/>
                <w:color w:val="000000"/>
                <w:sz w:val="22"/>
                <w:szCs w:val="22"/>
              </w:rPr>
              <w:t>969</w:t>
            </w:r>
          </w:p>
        </w:tc>
      </w:tr>
      <w:tr w:rsidTr="00700D1B">
        <w:tblPrEx>
          <w:tblW w:w="9100" w:type="dxa"/>
          <w:tblInd w:w="680" w:type="dxa"/>
          <w:tblLook w:val="04A0"/>
        </w:tblPrEx>
        <w:trPr>
          <w:trHeight w:val="315"/>
        </w:trPr>
        <w:tc>
          <w:tcPr>
            <w:tcW w:w="7780" w:type="dxa"/>
            <w:tcBorders>
              <w:top w:val="nil"/>
              <w:left w:val="single" w:sz="4" w:space="0" w:color="auto"/>
              <w:bottom w:val="single" w:sz="4" w:space="0" w:color="auto"/>
              <w:right w:val="single" w:sz="4" w:space="0" w:color="auto"/>
            </w:tcBorders>
            <w:shd w:val="clear" w:color="auto" w:fill="auto"/>
            <w:noWrap/>
            <w:vAlign w:val="bottom"/>
            <w:hideMark/>
          </w:tcPr>
          <w:p w:rsidR="00700D1B" w:rsidRPr="0062507E" w:rsidP="00700D1B">
            <w:pPr>
              <w:rPr>
                <w:rFonts w:cs="Arial"/>
                <w:b/>
                <w:bCs/>
                <w:color w:val="000000"/>
                <w:sz w:val="21"/>
                <w:szCs w:val="21"/>
              </w:rPr>
            </w:pPr>
            <w:r w:rsidRPr="0062507E">
              <w:rPr>
                <w:rFonts w:cs="Arial"/>
                <w:b/>
                <w:bCs/>
                <w:color w:val="000000"/>
                <w:sz w:val="21"/>
                <w:szCs w:val="21"/>
              </w:rPr>
              <w:t>TOTAL</w:t>
            </w:r>
          </w:p>
        </w:tc>
        <w:tc>
          <w:tcPr>
            <w:tcW w:w="1320" w:type="dxa"/>
            <w:tcBorders>
              <w:top w:val="nil"/>
              <w:left w:val="nil"/>
              <w:bottom w:val="single" w:sz="4" w:space="0" w:color="auto"/>
              <w:right w:val="single" w:sz="4" w:space="0" w:color="auto"/>
            </w:tcBorders>
            <w:shd w:val="clear" w:color="auto" w:fill="auto"/>
            <w:noWrap/>
            <w:vAlign w:val="center"/>
            <w:hideMark/>
          </w:tcPr>
          <w:p w:rsidR="00700D1B" w:rsidRPr="0062507E" w:rsidP="00700D1B">
            <w:pPr>
              <w:jc w:val="right"/>
              <w:rPr>
                <w:rFonts w:cs="Arial"/>
                <w:b/>
                <w:bCs/>
                <w:color w:val="000000"/>
                <w:sz w:val="22"/>
                <w:szCs w:val="22"/>
              </w:rPr>
            </w:pPr>
            <w:r w:rsidRPr="0062507E">
              <w:rPr>
                <w:rFonts w:cs="Arial"/>
                <w:b/>
                <w:bCs/>
                <w:color w:val="000000"/>
                <w:sz w:val="22"/>
                <w:szCs w:val="22"/>
              </w:rPr>
              <w:t>12,918</w:t>
            </w:r>
          </w:p>
        </w:tc>
      </w:tr>
    </w:tbl>
    <w:p w:rsidR="00700D1B" w:rsidP="00700D1B">
      <w:pPr>
        <w:ind w:left="564"/>
        <w:contextualSpacing/>
        <w:jc w:val="both"/>
        <w:rPr>
          <w:rFonts w:ascii="Calibri" w:hAnsi="Calibri" w:eastAsiaTheme="minorHAnsi" w:cs="Arial"/>
          <w:sz w:val="22"/>
          <w:szCs w:val="22"/>
          <w:lang w:eastAsia="en-US"/>
        </w:rPr>
      </w:pPr>
    </w:p>
    <w:p w:rsidR="00700D1B" w:rsidRPr="00565172" w:rsidP="00700D1B">
      <w:pPr>
        <w:numPr>
          <w:ilvl w:val="0"/>
          <w:numId w:val="16"/>
        </w:numPr>
        <w:spacing w:after="120"/>
        <w:jc w:val="both"/>
        <w:rPr>
          <w:rFonts w:eastAsiaTheme="minorHAnsi" w:cs="Arial"/>
          <w:sz w:val="22"/>
          <w:szCs w:val="22"/>
          <w:lang w:eastAsia="en-US"/>
        </w:rPr>
      </w:pPr>
      <w:r w:rsidRPr="00565172">
        <w:rPr>
          <w:rFonts w:eastAsiaTheme="minorHAnsi" w:cs="Arial"/>
          <w:b/>
          <w:sz w:val="22"/>
          <w:szCs w:val="22"/>
          <w:lang w:eastAsia="en-US"/>
        </w:rPr>
        <w:t xml:space="preserve">2020 Spring Budget:  </w:t>
      </w:r>
      <w:r w:rsidRPr="00565172">
        <w:rPr>
          <w:rFonts w:eastAsiaTheme="minorHAnsi" w:cs="Arial"/>
          <w:sz w:val="22"/>
          <w:szCs w:val="22"/>
          <w:lang w:eastAsia="en-US"/>
        </w:rPr>
        <w:t>The Government announ</w:t>
      </w:r>
      <w:r>
        <w:rPr>
          <w:rFonts w:eastAsiaTheme="minorHAnsi" w:cs="Arial"/>
          <w:sz w:val="22"/>
          <w:szCs w:val="22"/>
          <w:lang w:eastAsia="en-US"/>
        </w:rPr>
        <w:t>c</w:t>
      </w:r>
      <w:r w:rsidRPr="00565172">
        <w:rPr>
          <w:rFonts w:eastAsiaTheme="minorHAnsi" w:cs="Arial"/>
          <w:sz w:val="22"/>
          <w:szCs w:val="22"/>
          <w:lang w:eastAsia="en-US"/>
        </w:rPr>
        <w:t>e</w:t>
      </w:r>
      <w:r>
        <w:rPr>
          <w:rFonts w:eastAsiaTheme="minorHAnsi" w:cs="Arial"/>
          <w:sz w:val="22"/>
          <w:szCs w:val="22"/>
          <w:lang w:eastAsia="en-US"/>
        </w:rPr>
        <w:t>d</w:t>
      </w:r>
      <w:r w:rsidRPr="00565172">
        <w:rPr>
          <w:rFonts w:eastAsiaTheme="minorHAnsi" w:cs="Arial"/>
          <w:sz w:val="22"/>
          <w:szCs w:val="22"/>
          <w:lang w:eastAsia="en-US"/>
        </w:rPr>
        <w:t xml:space="preserve"> an additional £1</w:t>
      </w:r>
      <w:r>
        <w:rPr>
          <w:rFonts w:eastAsiaTheme="minorHAnsi" w:cs="Arial"/>
          <w:sz w:val="22"/>
          <w:szCs w:val="22"/>
          <w:lang w:eastAsia="en-US"/>
        </w:rPr>
        <w:t>,</w:t>
      </w:r>
      <w:r w:rsidRPr="00565172">
        <w:rPr>
          <w:rFonts w:eastAsiaTheme="minorHAnsi" w:cs="Arial"/>
          <w:sz w:val="22"/>
          <w:szCs w:val="22"/>
          <w:lang w:eastAsia="en-US"/>
        </w:rPr>
        <w:t>1</w:t>
      </w:r>
      <w:r>
        <w:rPr>
          <w:rFonts w:eastAsiaTheme="minorHAnsi" w:cs="Arial"/>
          <w:sz w:val="22"/>
          <w:szCs w:val="22"/>
          <w:lang w:eastAsia="en-US"/>
        </w:rPr>
        <w:t>55</w:t>
      </w:r>
      <w:r w:rsidRPr="00565172">
        <w:rPr>
          <w:rFonts w:eastAsiaTheme="minorHAnsi" w:cs="Arial"/>
          <w:sz w:val="22"/>
          <w:szCs w:val="22"/>
          <w:lang w:eastAsia="en-US"/>
        </w:rPr>
        <w:t xml:space="preserve"> </w:t>
      </w:r>
      <w:r>
        <w:rPr>
          <w:rFonts w:eastAsiaTheme="minorHAnsi" w:cs="Arial"/>
          <w:sz w:val="22"/>
          <w:szCs w:val="22"/>
          <w:lang w:eastAsia="en-US"/>
        </w:rPr>
        <w:t>m</w:t>
      </w:r>
      <w:r w:rsidRPr="00565172">
        <w:rPr>
          <w:rFonts w:eastAsiaTheme="minorHAnsi" w:cs="Arial"/>
          <w:sz w:val="22"/>
          <w:szCs w:val="22"/>
          <w:lang w:eastAsia="en-US"/>
        </w:rPr>
        <w:t>illion in the 2020 Spring Budget</w:t>
      </w:r>
      <w:r>
        <w:rPr>
          <w:bCs/>
          <w:sz w:val="22"/>
          <w:szCs w:val="22"/>
        </w:rPr>
        <w:t>, £1,115 million is for</w:t>
      </w:r>
      <w:r w:rsidRPr="003E36EB">
        <w:rPr>
          <w:bCs/>
          <w:sz w:val="22"/>
          <w:szCs w:val="22"/>
        </w:rPr>
        <w:t xml:space="preserve"> Manifesto commitments </w:t>
      </w:r>
      <w:r>
        <w:rPr>
          <w:bCs/>
          <w:sz w:val="22"/>
          <w:szCs w:val="22"/>
        </w:rPr>
        <w:t>and £40 million is for Covid-19.</w:t>
      </w:r>
    </w:p>
    <w:p w:rsidR="00700D1B" w:rsidP="00700D1B">
      <w:pPr>
        <w:numPr>
          <w:ilvl w:val="0"/>
          <w:numId w:val="16"/>
        </w:numPr>
        <w:ind w:left="918" w:hanging="357"/>
        <w:jc w:val="both"/>
        <w:rPr>
          <w:rFonts w:eastAsiaTheme="minorHAnsi" w:cs="Arial"/>
          <w:sz w:val="22"/>
          <w:szCs w:val="22"/>
          <w:lang w:eastAsia="en-US"/>
        </w:rPr>
      </w:pPr>
      <w:r w:rsidRPr="00565172">
        <w:rPr>
          <w:rFonts w:eastAsiaTheme="minorHAnsi" w:cs="Arial"/>
          <w:sz w:val="22"/>
          <w:szCs w:val="22"/>
          <w:lang w:eastAsia="en-US"/>
        </w:rPr>
        <w:t>£1</w:t>
      </w:r>
      <w:r>
        <w:rPr>
          <w:rFonts w:eastAsiaTheme="minorHAnsi" w:cs="Arial"/>
          <w:sz w:val="22"/>
          <w:szCs w:val="22"/>
          <w:lang w:eastAsia="en-US"/>
        </w:rPr>
        <w:t>5</w:t>
      </w:r>
      <w:r w:rsidRPr="00565172">
        <w:rPr>
          <w:rFonts w:eastAsiaTheme="minorHAnsi" w:cs="Arial"/>
          <w:sz w:val="22"/>
          <w:szCs w:val="22"/>
          <w:lang w:eastAsia="en-US"/>
        </w:rPr>
        <w:t xml:space="preserve"> million of routine transfer of funding from other Government departments.</w:t>
      </w:r>
    </w:p>
    <w:p w:rsidR="00700D1B" w:rsidP="00700D1B">
      <w:pPr>
        <w:ind w:left="918"/>
        <w:jc w:val="both"/>
        <w:rPr>
          <w:rFonts w:eastAsiaTheme="minorHAnsi" w:cs="Arial"/>
          <w:sz w:val="22"/>
          <w:szCs w:val="22"/>
          <w:lang w:eastAsia="en-US"/>
        </w:rPr>
      </w:pPr>
    </w:p>
    <w:p w:rsidR="00700D1B" w:rsidRPr="005B2C56" w:rsidP="00700D1B">
      <w:pPr>
        <w:numPr>
          <w:ilvl w:val="0"/>
          <w:numId w:val="16"/>
        </w:numPr>
        <w:spacing w:after="120"/>
        <w:jc w:val="both"/>
        <w:rPr>
          <w:rFonts w:eastAsiaTheme="minorHAnsi" w:cs="Arial"/>
          <w:sz w:val="22"/>
          <w:szCs w:val="22"/>
          <w:lang w:eastAsia="en-US"/>
        </w:rPr>
      </w:pPr>
      <w:r w:rsidRPr="005B2C56">
        <w:rPr>
          <w:rFonts w:eastAsiaTheme="minorHAnsi" w:cs="Arial"/>
          <w:b/>
          <w:sz w:val="22"/>
          <w:szCs w:val="22"/>
          <w:lang w:eastAsia="en-US"/>
        </w:rPr>
        <w:t xml:space="preserve">In-year funding: </w:t>
      </w:r>
      <w:r w:rsidRPr="005B2C56">
        <w:rPr>
          <w:rFonts w:eastAsiaTheme="minorHAnsi" w:cs="Arial"/>
          <w:sz w:val="22"/>
          <w:szCs w:val="22"/>
          <w:lang w:eastAsia="en-US"/>
        </w:rPr>
        <w:t>The Government announced an additional £1.5 billion as part of a Plan for Jobs in July 2020, this is to fund</w:t>
      </w:r>
      <w:r w:rsidRPr="005B2C56">
        <w:rPr>
          <w:rFonts w:cs="Arial"/>
          <w:sz w:val="22"/>
          <w:szCs w:val="22"/>
        </w:rPr>
        <w:t xml:space="preserve"> NHS maintenance and A&amp;E capacity, modernising the mental health estate and accelerating the Health Infrastructure Plan</w:t>
      </w:r>
      <w:r w:rsidRPr="005B2C56">
        <w:rPr>
          <w:rFonts w:eastAsiaTheme="minorHAnsi" w:cs="Arial"/>
          <w:sz w:val="22"/>
          <w:szCs w:val="22"/>
          <w:lang w:eastAsia="en-US"/>
        </w:rPr>
        <w:t>. The funding provided at Supplementary Estimate is net of underspends of £761 million against NHS Providers initial 2020-21 capital plan,</w:t>
      </w:r>
      <w:r w:rsidRPr="005B2C56">
        <w:rPr>
          <w:rFonts w:cs="Arial"/>
        </w:rPr>
        <w:t xml:space="preserve"> </w:t>
      </w:r>
      <w:r w:rsidRPr="005B2C56">
        <w:rPr>
          <w:rFonts w:eastAsiaTheme="minorHAnsi" w:cs="Arial"/>
          <w:sz w:val="22"/>
          <w:szCs w:val="22"/>
          <w:lang w:eastAsia="en-US"/>
        </w:rPr>
        <w:t>with some expenditure delayed due to Covid-19; £28 million against DHSC Official Development Assistance budget and £35 million against the non-NHS initial capital plan.</w:t>
      </w:r>
    </w:p>
    <w:p w:rsidR="00700D1B" w:rsidRPr="002535FC" w:rsidP="00700D1B">
      <w:pPr>
        <w:pStyle w:val="ListParagraph"/>
        <w:numPr>
          <w:ilvl w:val="0"/>
          <w:numId w:val="16"/>
        </w:numPr>
        <w:rPr>
          <w:rFonts w:ascii="Arial" w:hAnsi="Arial" w:eastAsiaTheme="minorHAnsi" w:cs="Arial"/>
          <w:lang w:eastAsia="en-US"/>
        </w:rPr>
      </w:pPr>
      <w:r w:rsidRPr="002535FC">
        <w:rPr>
          <w:rFonts w:ascii="Arial" w:hAnsi="Arial" w:eastAsiaTheme="minorHAnsi" w:cs="Arial"/>
          <w:b/>
          <w:bCs/>
          <w:lang w:eastAsia="en-US"/>
        </w:rPr>
        <w:t>Revenue to Capital switch</w:t>
      </w:r>
      <w:r w:rsidRPr="002535FC">
        <w:rPr>
          <w:rFonts w:ascii="Arial" w:hAnsi="Arial" w:eastAsiaTheme="minorHAnsi" w:cs="Arial"/>
          <w:lang w:eastAsia="en-US"/>
        </w:rPr>
        <w:t xml:space="preserve">: £43 million transfer from revenue to capital in line with HMT convention to score R&amp;D costs as capital for budgeting purposes. </w:t>
      </w:r>
    </w:p>
    <w:p w:rsidR="00700D1B" w:rsidRPr="002535FC" w:rsidP="00700D1B">
      <w:pPr>
        <w:pStyle w:val="ListParagraph"/>
        <w:ind w:left="924"/>
        <w:rPr>
          <w:rFonts w:ascii="Arial" w:hAnsi="Arial" w:eastAsiaTheme="minorHAnsi" w:cs="Arial"/>
          <w:lang w:eastAsia="en-US"/>
        </w:rPr>
      </w:pPr>
    </w:p>
    <w:p w:rsidR="002A3815" w:rsidRPr="008A08B5" w:rsidP="008E62E0">
      <w:pPr>
        <w:pStyle w:val="ListParagraph"/>
        <w:numPr>
          <w:ilvl w:val="0"/>
          <w:numId w:val="16"/>
        </w:numPr>
        <w:rPr>
          <w:rFonts w:ascii="Arial" w:hAnsi="Arial" w:cs="Arial"/>
        </w:rPr>
      </w:pPr>
      <w:r w:rsidRPr="008A08B5">
        <w:rPr>
          <w:rFonts w:ascii="Arial" w:hAnsi="Arial" w:eastAsiaTheme="minorHAnsi" w:cs="Arial"/>
          <w:b/>
          <w:lang w:eastAsia="en-US"/>
        </w:rPr>
        <w:t>Covid-19:</w:t>
      </w:r>
      <w:r w:rsidRPr="008A08B5">
        <w:rPr>
          <w:rFonts w:ascii="Arial" w:hAnsi="Arial" w:eastAsiaTheme="minorHAnsi" w:cs="Arial"/>
          <w:lang w:eastAsia="en-US"/>
        </w:rPr>
        <w:t xml:space="preserve"> Government committed to provide the NHS what was needed to tackle the pandemic and in the Main Supply Estimate £</w:t>
      </w:r>
      <w:r w:rsidRPr="008A08B5" w:rsidR="008E62E0">
        <w:rPr>
          <w:rFonts w:ascii="Arial" w:hAnsi="Arial" w:eastAsiaTheme="minorHAnsi" w:cs="Arial"/>
          <w:lang w:eastAsia="en-US"/>
        </w:rPr>
        <w:t xml:space="preserve">40 million </w:t>
      </w:r>
      <w:r w:rsidRPr="008A08B5">
        <w:rPr>
          <w:rFonts w:ascii="Arial" w:hAnsi="Arial" w:eastAsiaTheme="minorHAnsi" w:cs="Arial"/>
          <w:lang w:eastAsia="en-US"/>
        </w:rPr>
        <w:t>(</w:t>
      </w:r>
      <w:r w:rsidRPr="008A08B5" w:rsidR="008E62E0">
        <w:rPr>
          <w:rFonts w:ascii="Arial" w:hAnsi="Arial" w:eastAsiaTheme="minorHAnsi" w:cs="Arial"/>
          <w:lang w:eastAsia="en-US"/>
        </w:rPr>
        <w:t>capital</w:t>
      </w:r>
      <w:r w:rsidRPr="008A08B5">
        <w:rPr>
          <w:rFonts w:ascii="Arial" w:hAnsi="Arial" w:eastAsiaTheme="minorHAnsi" w:cs="Arial"/>
          <w:lang w:eastAsia="en-US"/>
        </w:rPr>
        <w:t xml:space="preserve">) funding was allocated for Covid-19, with the commitment to finalise funding for the year in the Supplementary Supply Estimate and the Chancellor’s indicative funding announced in the 2020 Spending Review 2020. </w:t>
      </w:r>
    </w:p>
    <w:p w:rsidR="008E62E0" w:rsidRPr="008A08B5" w:rsidP="002A3815">
      <w:pPr>
        <w:spacing w:after="120"/>
        <w:ind w:left="873" w:firstLine="51"/>
        <w:jc w:val="both"/>
        <w:rPr>
          <w:rFonts w:eastAsiaTheme="minorHAnsi" w:cs="Arial"/>
          <w:sz w:val="22"/>
          <w:szCs w:val="22"/>
          <w:lang w:eastAsia="en-US"/>
        </w:rPr>
      </w:pPr>
    </w:p>
    <w:p w:rsidR="002A3815" w:rsidRPr="008A08B5" w:rsidP="00F914AA">
      <w:pPr>
        <w:spacing w:after="120"/>
        <w:ind w:left="873"/>
        <w:jc w:val="both"/>
        <w:rPr>
          <w:rFonts w:eastAsiaTheme="minorHAnsi" w:cs="Arial"/>
          <w:sz w:val="22"/>
          <w:szCs w:val="22"/>
          <w:lang w:eastAsia="en-US"/>
        </w:rPr>
      </w:pPr>
      <w:r w:rsidRPr="008A08B5">
        <w:rPr>
          <w:rFonts w:eastAsiaTheme="minorHAnsi" w:cs="Arial"/>
          <w:sz w:val="22"/>
          <w:szCs w:val="22"/>
          <w:lang w:eastAsia="en-US"/>
        </w:rPr>
        <w:t>T</w:t>
      </w:r>
      <w:r w:rsidRPr="008A08B5">
        <w:rPr>
          <w:rFonts w:eastAsiaTheme="minorHAnsi" w:cs="Arial"/>
          <w:sz w:val="22"/>
          <w:szCs w:val="22"/>
          <w:lang w:eastAsia="en-US"/>
        </w:rPr>
        <w:t xml:space="preserve">he Supplementary Supply Estimate provides </w:t>
      </w:r>
      <w:r w:rsidRPr="008A08B5">
        <w:rPr>
          <w:rFonts w:eastAsiaTheme="minorHAnsi" w:cs="Arial"/>
          <w:b/>
          <w:bCs/>
          <w:sz w:val="22"/>
          <w:szCs w:val="22"/>
          <w:lang w:eastAsia="en-US"/>
        </w:rPr>
        <w:t xml:space="preserve">further </w:t>
      </w:r>
      <w:r w:rsidRPr="008A08B5">
        <w:rPr>
          <w:rFonts w:eastAsiaTheme="minorHAnsi" w:cs="Arial"/>
          <w:b/>
          <w:bCs/>
          <w:sz w:val="22"/>
          <w:szCs w:val="22"/>
          <w:lang w:eastAsia="en-US"/>
        </w:rPr>
        <w:t>capital</w:t>
      </w:r>
      <w:r w:rsidRPr="008A08B5">
        <w:rPr>
          <w:rFonts w:eastAsiaTheme="minorHAnsi" w:cs="Arial"/>
          <w:b/>
          <w:bCs/>
          <w:sz w:val="22"/>
          <w:szCs w:val="22"/>
          <w:lang w:eastAsia="en-US"/>
        </w:rPr>
        <w:t xml:space="preserve"> budget cover of </w:t>
      </w:r>
      <w:r w:rsidRPr="008A08B5">
        <w:rPr>
          <w:rFonts w:eastAsiaTheme="minorHAnsi" w:cs="Arial"/>
          <w:b/>
          <w:bCs/>
          <w:sz w:val="22"/>
          <w:szCs w:val="22"/>
          <w:lang w:eastAsia="en-US"/>
        </w:rPr>
        <w:t xml:space="preserve">£3.969 </w:t>
      </w:r>
      <w:r w:rsidRPr="008A08B5">
        <w:rPr>
          <w:rFonts w:eastAsiaTheme="minorHAnsi" w:cs="Arial"/>
          <w:b/>
          <w:bCs/>
          <w:sz w:val="22"/>
          <w:szCs w:val="22"/>
          <w:lang w:eastAsia="en-US"/>
        </w:rPr>
        <w:t>billion</w:t>
      </w:r>
      <w:r w:rsidRPr="008A08B5">
        <w:rPr>
          <w:rFonts w:eastAsiaTheme="minorHAnsi" w:cs="Arial"/>
          <w:sz w:val="22"/>
          <w:szCs w:val="22"/>
          <w:lang w:eastAsia="en-US"/>
        </w:rPr>
        <w:t xml:space="preserve"> based on a taut and realistic</w:t>
      </w:r>
      <w:r w:rsidRPr="008A08B5" w:rsidR="00F914AA">
        <w:rPr>
          <w:rFonts w:eastAsiaTheme="minorHAnsi" w:cs="Arial"/>
          <w:sz w:val="22"/>
          <w:szCs w:val="22"/>
          <w:lang w:eastAsia="en-US"/>
        </w:rPr>
        <w:t xml:space="preserve"> forecast of cost </w:t>
      </w:r>
      <w:r w:rsidRPr="008A08B5">
        <w:rPr>
          <w:rFonts w:eastAsiaTheme="minorHAnsi" w:cs="Arial"/>
          <w:sz w:val="22"/>
          <w:szCs w:val="22"/>
          <w:lang w:eastAsia="en-US"/>
        </w:rPr>
        <w:t xml:space="preserve">available at the time the Estimate was produced. </w:t>
      </w:r>
      <w:r w:rsidRPr="008A08B5">
        <w:rPr>
          <w:rFonts w:eastAsiaTheme="minorHAnsi" w:cs="Arial"/>
          <w:sz w:val="22"/>
          <w:szCs w:val="22"/>
          <w:lang w:eastAsia="en-US"/>
        </w:rPr>
        <w:t xml:space="preserve">As the course </w:t>
      </w:r>
      <w:r w:rsidRPr="008A08B5" w:rsidR="00F914AA">
        <w:rPr>
          <w:rFonts w:eastAsiaTheme="minorHAnsi" w:cs="Arial"/>
          <w:sz w:val="22"/>
          <w:szCs w:val="22"/>
          <w:lang w:eastAsia="en-US"/>
        </w:rPr>
        <w:t xml:space="preserve">of the </w:t>
      </w:r>
      <w:r w:rsidRPr="008A08B5">
        <w:rPr>
          <w:rFonts w:eastAsiaTheme="minorHAnsi" w:cs="Arial"/>
          <w:sz w:val="22"/>
          <w:szCs w:val="22"/>
          <w:lang w:eastAsia="en-US"/>
        </w:rPr>
        <w:t>pandemic changes, Government’s strategic response is required to adapt and evolve, i</w:t>
      </w:r>
      <w:r w:rsidRPr="008A08B5">
        <w:rPr>
          <w:rFonts w:eastAsiaTheme="minorHAnsi" w:cs="Arial"/>
          <w:sz w:val="22"/>
          <w:szCs w:val="22"/>
          <w:lang w:eastAsia="en-US"/>
        </w:rPr>
        <w:t xml:space="preserve">t is acknowledged that actual costs for 2020-21 could be </w:t>
      </w:r>
      <w:r w:rsidRPr="008A08B5">
        <w:rPr>
          <w:rFonts w:eastAsiaTheme="minorHAnsi" w:cs="Arial"/>
          <w:sz w:val="22"/>
          <w:szCs w:val="22"/>
          <w:lang w:eastAsia="en-US"/>
        </w:rPr>
        <w:t xml:space="preserve">significantly </w:t>
      </w:r>
      <w:r w:rsidRPr="008A08B5">
        <w:rPr>
          <w:rFonts w:eastAsiaTheme="minorHAnsi" w:cs="Arial"/>
          <w:sz w:val="22"/>
          <w:szCs w:val="22"/>
          <w:lang w:eastAsia="en-US"/>
        </w:rPr>
        <w:t>different.</w:t>
      </w:r>
    </w:p>
    <w:p w:rsidR="002A3815" w:rsidRPr="008A08B5" w:rsidP="002A3815">
      <w:pPr>
        <w:spacing w:after="120"/>
        <w:ind w:left="873"/>
        <w:jc w:val="both"/>
        <w:rPr>
          <w:sz w:val="22"/>
          <w:szCs w:val="22"/>
        </w:rPr>
      </w:pPr>
      <w:r w:rsidRPr="008A08B5">
        <w:rPr>
          <w:sz w:val="22"/>
          <w:szCs w:val="22"/>
        </w:rPr>
        <w:t xml:space="preserve">Information on the Departments Covid-19 response and any announcements can be found at </w:t>
      </w:r>
      <w:r>
        <w:fldChar w:fldCharType="begin"/>
      </w:r>
      <w:r>
        <w:instrText xml:space="preserve"> HYPERLINK "https://www.gov.uk/government/organisations/department-of-health-and-social-care" </w:instrText>
      </w:r>
      <w:r>
        <w:fldChar w:fldCharType="separate"/>
      </w:r>
      <w:r w:rsidRPr="008A08B5">
        <w:rPr>
          <w:rFonts w:eastAsiaTheme="minorHAnsi" w:cs="Arial"/>
          <w:color w:val="0000FF"/>
          <w:sz w:val="22"/>
          <w:szCs w:val="22"/>
          <w:u w:val="single"/>
          <w:lang w:eastAsia="en-US"/>
        </w:rPr>
        <w:t>DHSC announcements</w:t>
      </w:r>
      <w:r>
        <w:fldChar w:fldCharType="end"/>
      </w:r>
      <w:r w:rsidRPr="008A08B5">
        <w:rPr>
          <w:rFonts w:eastAsiaTheme="minorHAnsi" w:cs="Arial"/>
          <w:sz w:val="22"/>
          <w:szCs w:val="22"/>
          <w:lang w:eastAsia="en-US"/>
        </w:rPr>
        <w:t xml:space="preserve">.  </w:t>
      </w:r>
    </w:p>
    <w:p w:rsidR="00700D1B" w:rsidRPr="008A08B5" w:rsidP="00700D1B">
      <w:pPr>
        <w:pStyle w:val="ListParagraph"/>
        <w:rPr>
          <w:rFonts w:ascii="Arial" w:hAnsi="Arial" w:eastAsiaTheme="minorHAnsi" w:cs="Arial"/>
          <w:lang w:eastAsia="en-US"/>
        </w:rPr>
      </w:pPr>
    </w:p>
    <w:p w:rsidR="001059A3" w:rsidRPr="001059A3" w:rsidP="001059A3">
      <w:pPr>
        <w:ind w:left="564"/>
        <w:jc w:val="both"/>
        <w:rPr>
          <w:rFonts w:eastAsiaTheme="minorHAnsi" w:cs="Arial"/>
          <w:b/>
          <w:bCs/>
          <w:sz w:val="22"/>
          <w:szCs w:val="22"/>
          <w:lang w:eastAsia="en-US"/>
        </w:rPr>
      </w:pPr>
      <w:r w:rsidRPr="008A08B5">
        <w:rPr>
          <w:rFonts w:eastAsiaTheme="minorHAnsi" w:cs="Arial"/>
          <w:b/>
          <w:bCs/>
          <w:sz w:val="22"/>
          <w:szCs w:val="22"/>
          <w:lang w:eastAsia="en-US"/>
        </w:rPr>
        <w:t>Covid-19 funding illustrated below, includes:</w:t>
      </w:r>
    </w:p>
    <w:p w:rsidR="001059A3" w:rsidP="001059A3">
      <w:pPr>
        <w:ind w:left="564"/>
        <w:jc w:val="both"/>
        <w:rPr>
          <w:rFonts w:eastAsiaTheme="minorHAnsi" w:cs="Arial"/>
          <w:sz w:val="22"/>
          <w:szCs w:val="22"/>
          <w:lang w:eastAsia="en-US"/>
        </w:rPr>
      </w:pPr>
    </w:p>
    <w:p w:rsidR="001059A3" w:rsidP="001059A3">
      <w:pPr>
        <w:ind w:left="564"/>
        <w:jc w:val="both"/>
        <w:rPr>
          <w:rFonts w:eastAsiaTheme="minorHAnsi" w:cs="Arial"/>
          <w:sz w:val="22"/>
          <w:szCs w:val="22"/>
          <w:lang w:eastAsia="en-US"/>
        </w:rPr>
      </w:pPr>
      <w:r>
        <w:rPr>
          <w:rFonts w:eastAsiaTheme="minorHAnsi" w:cs="Arial"/>
          <w:noProof/>
          <w:sz w:val="22"/>
          <w:szCs w:val="22"/>
          <w:lang w:eastAsia="en-US"/>
        </w:rPr>
        <w:drawing>
          <wp:anchor distT="0" distB="0" distL="114300" distR="114300" simplePos="0" relativeHeight="251669504" behindDoc="0" locked="0" layoutInCell="1" allowOverlap="1">
            <wp:simplePos x="0" y="0"/>
            <wp:positionH relativeFrom="column">
              <wp:posOffset>361830</wp:posOffset>
            </wp:positionH>
            <wp:positionV relativeFrom="paragraph">
              <wp:posOffset>3103</wp:posOffset>
            </wp:positionV>
            <wp:extent cx="6730365" cy="4291965"/>
            <wp:effectExtent l="0" t="0" r="0" b="0"/>
            <wp:wrapSquare wrapText="bothSides"/>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xmlns:r="http://schemas.openxmlformats.org/officeDocument/2006/relationships" r:embed="rId21">
                      <a:extLst>
                        <a:ext uri="{28A0092B-C50C-407E-A947-70E740481C1C}">
                          <a14:useLocalDpi xmlns:a14="http://schemas.microsoft.com/office/drawing/2010/main" val="0"/>
                        </a:ext>
                      </a:extLst>
                    </a:blip>
                    <a:srcRect/>
                    <a:stretch>
                      <a:fillRect/>
                    </a:stretch>
                  </pic:blipFill>
                  <pic:spPr bwMode="auto">
                    <a:xfrm>
                      <a:off x="0" y="0"/>
                      <a:ext cx="6730365" cy="4291965"/>
                    </a:xfrm>
                    <a:prstGeom prst="rect">
                      <a:avLst/>
                    </a:prstGeom>
                    <a:noFill/>
                  </pic:spPr>
                </pic:pic>
              </a:graphicData>
            </a:graphic>
          </wp:anchor>
        </w:drawing>
      </w:r>
    </w:p>
    <w:p w:rsidR="00700D1B" w:rsidRPr="005B2C56" w:rsidP="00700D1B">
      <w:pPr>
        <w:pStyle w:val="paragraph"/>
        <w:numPr>
          <w:ilvl w:val="0"/>
          <w:numId w:val="17"/>
        </w:numPr>
        <w:spacing w:after="120"/>
        <w:textAlignment w:val="baseline"/>
        <w:rPr>
          <w:rFonts w:ascii="Arial" w:hAnsi="Arial" w:eastAsiaTheme="minorHAnsi" w:cs="Arial"/>
          <w:sz w:val="22"/>
          <w:szCs w:val="22"/>
          <w:u w:val="single"/>
          <w:lang w:eastAsia="en-US"/>
        </w:rPr>
      </w:pPr>
      <w:r w:rsidRPr="005B2C56">
        <w:rPr>
          <w:rStyle w:val="normaltextrun1"/>
          <w:rFonts w:ascii="Arial" w:hAnsi="Arial" w:cs="Arial"/>
          <w:b/>
          <w:bCs/>
          <w:sz w:val="22"/>
          <w:szCs w:val="22"/>
          <w:lang w:val="en-US"/>
        </w:rPr>
        <w:t>NHS £613 million</w:t>
      </w:r>
      <w:r w:rsidRPr="005B2C56">
        <w:rPr>
          <w:rStyle w:val="normaltextrun1"/>
          <w:rFonts w:ascii="Arial" w:hAnsi="Arial" w:cs="Arial"/>
          <w:sz w:val="22"/>
          <w:szCs w:val="22"/>
          <w:lang w:val="en-US"/>
        </w:rPr>
        <w:t xml:space="preserve">, </w:t>
      </w:r>
      <w:r w:rsidRPr="005B2C56">
        <w:rPr>
          <w:rFonts w:ascii="Arial" w:hAnsi="Arial" w:cs="Arial"/>
          <w:sz w:val="22"/>
          <w:szCs w:val="22"/>
          <w:lang w:val="en-US"/>
        </w:rPr>
        <w:t xml:space="preserve">funding for the locally incurred expenditure by NHS for minor capital modifications to existing premises for adapting facilities for Covid-19, </w:t>
      </w:r>
      <w:r>
        <w:rPr>
          <w:rFonts w:ascii="Arial" w:hAnsi="Arial" w:cs="Arial"/>
          <w:sz w:val="22"/>
          <w:szCs w:val="22"/>
          <w:lang w:val="en-US"/>
        </w:rPr>
        <w:t xml:space="preserve">including for example: </w:t>
      </w:r>
      <w:r w:rsidRPr="005B2C56">
        <w:rPr>
          <w:rFonts w:ascii="Arial" w:hAnsi="Arial" w:cs="Arial"/>
          <w:sz w:val="22"/>
          <w:szCs w:val="22"/>
          <w:lang w:val="en-US"/>
        </w:rPr>
        <w:t>improving oxygen infrastructure, purchasing medical equipment and IT assets to enable smarter working including remote consultations.</w:t>
      </w:r>
    </w:p>
    <w:p w:rsidR="00700D1B" w:rsidRPr="000159C9" w:rsidP="00700D1B">
      <w:pPr>
        <w:pStyle w:val="ListParagraph"/>
        <w:numPr>
          <w:ilvl w:val="0"/>
          <w:numId w:val="17"/>
        </w:numPr>
        <w:contextualSpacing/>
        <w:jc w:val="both"/>
        <w:rPr>
          <w:rFonts w:ascii="Arial" w:eastAsia="Times New Roman" w:hAnsi="Arial"/>
          <w:lang w:val="en-US"/>
        </w:rPr>
      </w:pPr>
      <w:r w:rsidRPr="000159C9">
        <w:rPr>
          <w:rStyle w:val="normaltextrun1"/>
          <w:rFonts w:ascii="Arial" w:eastAsia="Times New Roman" w:hAnsi="Arial" w:cs="Arial"/>
          <w:b/>
          <w:bCs/>
          <w:lang w:val="en-US"/>
        </w:rPr>
        <w:t>Test and Trace £2.716 billion</w:t>
      </w:r>
      <w:r w:rsidRPr="000159C9">
        <w:rPr>
          <w:rStyle w:val="normaltextrun1"/>
          <w:rFonts w:ascii="Arial" w:eastAsia="Times New Roman" w:hAnsi="Arial" w:cs="Arial"/>
          <w:lang w:val="en-US"/>
        </w:rPr>
        <w:t xml:space="preserve">, funding to cover </w:t>
      </w:r>
      <w:r>
        <w:rPr>
          <w:rStyle w:val="normaltextrun1"/>
          <w:rFonts w:ascii="Arial" w:eastAsia="Times New Roman" w:hAnsi="Arial" w:cs="Arial"/>
          <w:lang w:val="en-US"/>
        </w:rPr>
        <w:t xml:space="preserve">laboratory set up costs, </w:t>
      </w:r>
      <w:r w:rsidRPr="000159C9">
        <w:rPr>
          <w:rStyle w:val="normaltextrun1"/>
          <w:rFonts w:ascii="Arial" w:eastAsia="Times New Roman" w:hAnsi="Arial" w:cs="Arial"/>
          <w:lang w:val="en-US"/>
        </w:rPr>
        <w:t xml:space="preserve">the capital equipment purchased to enable </w:t>
      </w:r>
      <w:r w:rsidRPr="000159C9">
        <w:rPr>
          <w:rFonts w:ascii="Arial" w:eastAsia="Times New Roman" w:hAnsi="Arial" w:cs="Arial"/>
          <w:bCs/>
        </w:rPr>
        <w:t xml:space="preserve">the wider roll out of mass testing and to further increase the scale and </w:t>
      </w:r>
      <w:r w:rsidRPr="000159C9">
        <w:rPr>
          <w:rFonts w:ascii="Arial" w:eastAsia="Times New Roman" w:hAnsi="Arial" w:cs="Arial"/>
          <w:bCs/>
        </w:rPr>
        <w:t>speed</w:t>
      </w:r>
      <w:r>
        <w:rPr>
          <w:rFonts w:ascii="Arial" w:eastAsia="Times New Roman" w:hAnsi="Arial" w:cs="Arial"/>
          <w:bCs/>
        </w:rPr>
        <w:t xml:space="preserve"> of the programme</w:t>
      </w:r>
      <w:r w:rsidRPr="000159C9">
        <w:rPr>
          <w:rFonts w:ascii="Arial" w:eastAsia="Times New Roman" w:hAnsi="Arial" w:cs="Arial"/>
          <w:bCs/>
        </w:rPr>
        <w:t>. Capital budget is also required for the costs of unused inventory held at the year</w:t>
      </w:r>
      <w:r>
        <w:rPr>
          <w:rFonts w:ascii="Arial" w:eastAsia="Times New Roman" w:hAnsi="Arial" w:cs="Arial"/>
          <w:bCs/>
        </w:rPr>
        <w:t>-</w:t>
      </w:r>
      <w:r w:rsidRPr="000159C9">
        <w:rPr>
          <w:rFonts w:ascii="Arial" w:eastAsia="Times New Roman" w:hAnsi="Arial" w:cs="Arial"/>
          <w:bCs/>
        </w:rPr>
        <w:t xml:space="preserve">end in line with HMT convention for large inventory purchases. £22 billion of Test and Trace funding was announced by the Chancellor as part of the Spending Review, the announced funding has since; increased to £23.1 billion (including £300m ME) and been apportioned between revenue £20.4 billion and capital £2.7 billion. </w:t>
      </w:r>
    </w:p>
    <w:p w:rsidR="00700D1B" w:rsidRPr="00E202E2" w:rsidP="00700D1B">
      <w:pPr>
        <w:pStyle w:val="ListParagraph"/>
        <w:ind w:left="1284"/>
        <w:contextualSpacing/>
        <w:jc w:val="both"/>
        <w:rPr>
          <w:rFonts w:ascii="Arial" w:eastAsia="Times New Roman" w:hAnsi="Arial"/>
          <w:lang w:val="en-US"/>
        </w:rPr>
      </w:pPr>
    </w:p>
    <w:p w:rsidR="00700D1B" w:rsidRPr="00E202E2" w:rsidP="00700D1B">
      <w:pPr>
        <w:pStyle w:val="ListParagraph"/>
        <w:numPr>
          <w:ilvl w:val="0"/>
          <w:numId w:val="17"/>
        </w:numPr>
        <w:contextualSpacing/>
        <w:jc w:val="both"/>
        <w:rPr>
          <w:rFonts w:ascii="Arial" w:eastAsia="Times New Roman" w:hAnsi="Arial"/>
          <w:lang w:val="en-US"/>
        </w:rPr>
      </w:pPr>
      <w:r w:rsidRPr="00E202E2">
        <w:rPr>
          <w:rStyle w:val="normaltextrun1"/>
          <w:rFonts w:ascii="Arial" w:eastAsia="Times New Roman" w:hAnsi="Arial"/>
          <w:b/>
          <w:bCs/>
          <w:lang w:val="en-US"/>
        </w:rPr>
        <w:t>Personal Protective Equipment £60 million</w:t>
      </w:r>
      <w:r w:rsidRPr="00E202E2">
        <w:rPr>
          <w:rStyle w:val="normaltextrun1"/>
          <w:rFonts w:ascii="Arial" w:eastAsia="Times New Roman" w:hAnsi="Arial"/>
          <w:lang w:val="en-US"/>
        </w:rPr>
        <w:t>.</w:t>
      </w:r>
    </w:p>
    <w:p w:rsidR="00700D1B" w:rsidRPr="00E202E2" w:rsidP="00700D1B">
      <w:pPr>
        <w:pStyle w:val="ListParagraph"/>
        <w:rPr>
          <w:rStyle w:val="normaltextrun1"/>
          <w:rFonts w:ascii="Arial" w:eastAsia="Times New Roman" w:hAnsi="Arial"/>
          <w:lang w:val="en-US"/>
        </w:rPr>
      </w:pPr>
    </w:p>
    <w:p w:rsidR="00700D1B" w:rsidRPr="00E202E2" w:rsidP="00700D1B">
      <w:pPr>
        <w:pStyle w:val="ListParagraph"/>
        <w:numPr>
          <w:ilvl w:val="0"/>
          <w:numId w:val="17"/>
        </w:numPr>
        <w:rPr>
          <w:rStyle w:val="normaltextrun1"/>
          <w:rFonts w:ascii="Arial" w:eastAsia="Times New Roman" w:hAnsi="Arial"/>
          <w:lang w:val="en-US"/>
        </w:rPr>
      </w:pPr>
      <w:r w:rsidRPr="00E202E2">
        <w:rPr>
          <w:rStyle w:val="normaltextrun1"/>
          <w:rFonts w:ascii="Arial" w:eastAsia="Times New Roman" w:hAnsi="Arial"/>
          <w:b/>
          <w:bCs/>
          <w:lang w:val="en-US"/>
        </w:rPr>
        <w:t>Covid-19 vaccine deployment £10 million</w:t>
      </w:r>
      <w:r w:rsidRPr="00E202E2">
        <w:rPr>
          <w:rStyle w:val="normaltextrun1"/>
          <w:rFonts w:ascii="Arial" w:eastAsia="Times New Roman" w:hAnsi="Arial"/>
          <w:lang w:val="en-US"/>
        </w:rPr>
        <w:t>.</w:t>
      </w:r>
    </w:p>
    <w:p w:rsidR="00700D1B" w:rsidRPr="00E202E2" w:rsidP="00700D1B">
      <w:pPr>
        <w:rPr>
          <w:rStyle w:val="normaltextrun1"/>
          <w:lang w:val="en-US"/>
        </w:rPr>
      </w:pPr>
    </w:p>
    <w:p w:rsidR="00700D1B" w:rsidRPr="00E202E2" w:rsidP="00700D1B">
      <w:pPr>
        <w:pStyle w:val="ListParagraph"/>
        <w:numPr>
          <w:ilvl w:val="0"/>
          <w:numId w:val="17"/>
        </w:numPr>
        <w:contextualSpacing/>
        <w:jc w:val="both"/>
        <w:rPr>
          <w:rStyle w:val="normaltextrun1"/>
          <w:rFonts w:ascii="Arial" w:eastAsia="Times New Roman" w:hAnsi="Arial" w:cs="Times New Roman"/>
          <w:sz w:val="24"/>
          <w:szCs w:val="24"/>
          <w:lang w:val="en-US"/>
        </w:rPr>
      </w:pPr>
      <w:r w:rsidRPr="00E202E2">
        <w:rPr>
          <w:rStyle w:val="normaltextrun1"/>
          <w:rFonts w:ascii="Arial" w:eastAsia="Times New Roman" w:hAnsi="Arial"/>
          <w:b/>
          <w:bCs/>
          <w:lang w:val="en-US"/>
        </w:rPr>
        <w:t>Covid-19 research and development and therapeutic treatments £117 million</w:t>
      </w:r>
      <w:r w:rsidRPr="00E202E2">
        <w:rPr>
          <w:rStyle w:val="normaltextrun1"/>
          <w:rFonts w:ascii="Arial" w:eastAsia="Times New Roman" w:hAnsi="Arial"/>
          <w:lang w:val="en-US"/>
        </w:rPr>
        <w:t>.</w:t>
      </w:r>
    </w:p>
    <w:p w:rsidR="00700D1B" w:rsidRPr="00E202E2" w:rsidP="00700D1B">
      <w:pPr>
        <w:contextualSpacing/>
        <w:jc w:val="both"/>
        <w:rPr>
          <w:rStyle w:val="normaltextrun1"/>
          <w:lang w:val="en-US"/>
        </w:rPr>
      </w:pPr>
    </w:p>
    <w:p w:rsidR="00700D1B" w:rsidRPr="00E202E2" w:rsidP="00700D1B">
      <w:pPr>
        <w:pStyle w:val="ListParagraph"/>
        <w:numPr>
          <w:ilvl w:val="0"/>
          <w:numId w:val="17"/>
        </w:numPr>
        <w:contextualSpacing/>
        <w:jc w:val="both"/>
        <w:rPr>
          <w:rStyle w:val="normaltextrun1"/>
          <w:rFonts w:ascii="Arial" w:eastAsia="Times New Roman" w:hAnsi="Arial" w:cs="Times New Roman"/>
          <w:sz w:val="24"/>
          <w:szCs w:val="24"/>
          <w:lang w:val="en-US"/>
        </w:rPr>
      </w:pPr>
      <w:r w:rsidRPr="00E202E2">
        <w:rPr>
          <w:rStyle w:val="normaltextrun1"/>
          <w:rFonts w:ascii="Arial" w:eastAsia="Times New Roman" w:hAnsi="Arial"/>
          <w:b/>
          <w:bCs/>
          <w:lang w:val="en-US"/>
        </w:rPr>
        <w:t>Ventilators and Critical Care National Stockpile £439 million</w:t>
      </w:r>
      <w:r w:rsidRPr="00E202E2">
        <w:rPr>
          <w:rStyle w:val="normaltextrun1"/>
          <w:rFonts w:ascii="Arial" w:eastAsia="Times New Roman" w:hAnsi="Arial"/>
          <w:lang w:val="en-US"/>
        </w:rPr>
        <w:t xml:space="preserve">, £600 million of this funding was announced for purchases of ventilators in the Summer Economic </w:t>
      </w:r>
      <w:r>
        <w:rPr>
          <w:rStyle w:val="normaltextrun1"/>
          <w:rFonts w:ascii="Arial" w:eastAsia="Times New Roman" w:hAnsi="Arial"/>
          <w:lang w:val="en-US"/>
        </w:rPr>
        <w:t>Update</w:t>
      </w:r>
      <w:r w:rsidRPr="00E202E2">
        <w:rPr>
          <w:rStyle w:val="normaltextrun1"/>
          <w:rFonts w:ascii="Arial" w:eastAsia="Times New Roman" w:hAnsi="Arial"/>
          <w:lang w:val="en-US"/>
        </w:rPr>
        <w:t xml:space="preserve">, the </w:t>
      </w:r>
      <w:r>
        <w:rPr>
          <w:rStyle w:val="normaltextrun1"/>
          <w:rFonts w:ascii="Arial" w:eastAsia="Times New Roman" w:hAnsi="Arial"/>
          <w:lang w:val="en-US"/>
        </w:rPr>
        <w:t>required</w:t>
      </w:r>
      <w:r w:rsidRPr="00E202E2">
        <w:rPr>
          <w:rStyle w:val="normaltextrun1"/>
          <w:rFonts w:ascii="Arial" w:eastAsia="Times New Roman" w:hAnsi="Arial"/>
          <w:lang w:val="en-US"/>
        </w:rPr>
        <w:t xml:space="preserve"> funding has since reduced by £16 million and been apportioned between revenue £145 million and capital £439 million. </w:t>
      </w:r>
    </w:p>
    <w:p w:rsidR="00700D1B" w:rsidRPr="00E202E2" w:rsidP="00700D1B">
      <w:pPr>
        <w:contextualSpacing/>
        <w:jc w:val="both"/>
        <w:rPr>
          <w:rStyle w:val="normaltextrun1"/>
          <w:lang w:val="en-US"/>
        </w:rPr>
      </w:pPr>
    </w:p>
    <w:p w:rsidR="00700D1B" w:rsidRPr="00E202E2" w:rsidP="00700D1B">
      <w:pPr>
        <w:pStyle w:val="ListParagraph"/>
        <w:numPr>
          <w:ilvl w:val="0"/>
          <w:numId w:val="17"/>
        </w:numPr>
        <w:contextualSpacing/>
        <w:jc w:val="both"/>
        <w:rPr>
          <w:rStyle w:val="normaltextrun1"/>
          <w:rFonts w:ascii="Arial" w:eastAsia="Times New Roman" w:hAnsi="Arial" w:cs="Times New Roman"/>
          <w:sz w:val="24"/>
          <w:szCs w:val="24"/>
          <w:lang w:val="en-US"/>
        </w:rPr>
      </w:pPr>
      <w:r w:rsidRPr="00E202E2">
        <w:rPr>
          <w:rStyle w:val="normaltextrun1"/>
          <w:rFonts w:ascii="Arial" w:eastAsia="Times New Roman" w:hAnsi="Arial"/>
          <w:b/>
          <w:bCs/>
          <w:lang w:val="en-US"/>
        </w:rPr>
        <w:t>Other Covid-19 Costs £14 million</w:t>
      </w:r>
      <w:r w:rsidRPr="00E202E2">
        <w:rPr>
          <w:rStyle w:val="normaltextrun1"/>
          <w:rFonts w:ascii="Arial" w:eastAsia="Times New Roman" w:hAnsi="Arial"/>
          <w:lang w:val="en-US"/>
        </w:rPr>
        <w:t>.</w:t>
      </w:r>
    </w:p>
    <w:p w:rsidR="00F914AA">
      <w:pPr>
        <w:rPr>
          <w:rFonts w:eastAsiaTheme="minorHAnsi" w:cs="Arial"/>
          <w:b/>
          <w:sz w:val="22"/>
          <w:szCs w:val="22"/>
          <w:lang w:eastAsia="en-US"/>
        </w:rPr>
      </w:pPr>
      <w:r>
        <w:rPr>
          <w:rFonts w:eastAsiaTheme="minorHAnsi" w:cs="Arial"/>
          <w:b/>
          <w:sz w:val="22"/>
          <w:szCs w:val="22"/>
          <w:lang w:eastAsia="en-US"/>
        </w:rPr>
        <w:br w:type="page"/>
      </w:r>
    </w:p>
    <w:p w:rsidR="00700D1B" w:rsidRPr="00565172" w:rsidP="00700D1B">
      <w:pPr>
        <w:numPr>
          <w:ilvl w:val="0"/>
          <w:numId w:val="8"/>
        </w:numPr>
        <w:spacing w:after="200"/>
        <w:ind w:left="567" w:hanging="567"/>
        <w:contextualSpacing/>
        <w:rPr>
          <w:rFonts w:eastAsiaTheme="minorHAnsi" w:cs="Arial"/>
          <w:b/>
          <w:sz w:val="22"/>
          <w:szCs w:val="22"/>
          <w:lang w:eastAsia="en-US"/>
        </w:rPr>
      </w:pPr>
      <w:r w:rsidRPr="00565172">
        <w:rPr>
          <w:rFonts w:eastAsiaTheme="minorHAnsi" w:cs="Arial"/>
          <w:b/>
          <w:sz w:val="22"/>
          <w:szCs w:val="22"/>
          <w:lang w:eastAsia="en-US"/>
        </w:rPr>
        <w:t>SPENDING DETAIL</w:t>
      </w:r>
    </w:p>
    <w:p w:rsidR="00700D1B" w:rsidRPr="00565172" w:rsidP="00700D1B">
      <w:pPr>
        <w:ind w:left="567"/>
        <w:contextualSpacing/>
        <w:rPr>
          <w:rFonts w:eastAsiaTheme="minorHAnsi" w:cs="Arial"/>
          <w:b/>
          <w:sz w:val="22"/>
          <w:szCs w:val="22"/>
          <w:lang w:eastAsia="en-US"/>
        </w:rPr>
      </w:pPr>
    </w:p>
    <w:p w:rsidR="00700D1B" w:rsidRPr="00565172" w:rsidP="00700D1B">
      <w:pPr>
        <w:ind w:left="567"/>
        <w:contextualSpacing/>
        <w:jc w:val="both"/>
        <w:rPr>
          <w:rFonts w:eastAsiaTheme="minorHAnsi" w:cs="Arial"/>
          <w:sz w:val="22"/>
          <w:szCs w:val="22"/>
          <w:lang w:eastAsia="en-US"/>
        </w:rPr>
      </w:pPr>
      <w:r w:rsidRPr="00565172">
        <w:rPr>
          <w:rFonts w:eastAsiaTheme="minorHAnsi" w:cs="Arial"/>
          <w:sz w:val="22"/>
          <w:szCs w:val="22"/>
          <w:lang w:eastAsia="en-US"/>
        </w:rPr>
        <w:t xml:space="preserve">The tables below detail the changes in the 2020-21 </w:t>
      </w:r>
      <w:r w:rsidRPr="00941E97">
        <w:rPr>
          <w:rFonts w:eastAsiaTheme="minorHAnsi" w:cs="Arial"/>
          <w:sz w:val="22"/>
          <w:szCs w:val="22"/>
          <w:lang w:eastAsia="en-US"/>
        </w:rPr>
        <w:t xml:space="preserve">Supplementary </w:t>
      </w:r>
      <w:r w:rsidRPr="00565172">
        <w:rPr>
          <w:rFonts w:eastAsiaTheme="minorHAnsi" w:cs="Arial"/>
          <w:sz w:val="22"/>
          <w:szCs w:val="22"/>
          <w:lang w:eastAsia="en-US"/>
        </w:rPr>
        <w:t xml:space="preserve">Estimate compared to the </w:t>
      </w:r>
      <w:r>
        <w:rPr>
          <w:rFonts w:eastAsiaTheme="minorHAnsi" w:cs="Arial"/>
          <w:sz w:val="22"/>
          <w:szCs w:val="22"/>
          <w:lang w:eastAsia="en-US"/>
        </w:rPr>
        <w:t>2020-21 Main</w:t>
      </w:r>
      <w:r w:rsidRPr="00565172">
        <w:rPr>
          <w:rFonts w:eastAsiaTheme="minorHAnsi" w:cs="Arial"/>
          <w:sz w:val="22"/>
          <w:szCs w:val="22"/>
          <w:lang w:eastAsia="en-US"/>
        </w:rPr>
        <w:t xml:space="preserve"> Estimate.  As per Estimates Memorandum convention, explanations for any changes, which are over both £10 million and 10% or over £200 million and 5% are provided in a referenced note under each table.  </w:t>
      </w:r>
    </w:p>
    <w:p w:rsidR="00700D1B" w:rsidRPr="00565172" w:rsidP="00700D1B">
      <w:pPr>
        <w:ind w:left="567"/>
        <w:contextualSpacing/>
        <w:jc w:val="both"/>
        <w:rPr>
          <w:rFonts w:eastAsiaTheme="minorHAnsi" w:cs="Arial"/>
          <w:sz w:val="22"/>
          <w:szCs w:val="22"/>
          <w:lang w:eastAsia="en-US"/>
        </w:rPr>
      </w:pPr>
    </w:p>
    <w:p w:rsidR="00700D1B" w:rsidRPr="00565172" w:rsidP="00700D1B">
      <w:pPr>
        <w:ind w:left="567"/>
        <w:contextualSpacing/>
        <w:jc w:val="both"/>
        <w:rPr>
          <w:rFonts w:eastAsiaTheme="minorHAnsi" w:cs="Arial"/>
          <w:sz w:val="22"/>
          <w:szCs w:val="22"/>
          <w:lang w:eastAsia="en-US"/>
        </w:rPr>
      </w:pPr>
      <w:r w:rsidRPr="00565172">
        <w:rPr>
          <w:rFonts w:eastAsiaTheme="minorHAnsi" w:cs="Arial"/>
          <w:sz w:val="22"/>
          <w:szCs w:val="22"/>
          <w:lang w:eastAsia="en-US"/>
        </w:rPr>
        <w:t>Further details of what is included in each of the Estimate lines can be found in the excel Tables A (</w:t>
      </w:r>
      <w:r w:rsidRPr="00565172">
        <w:rPr>
          <w:rFonts w:eastAsiaTheme="minorHAnsi" w:cs="Arial"/>
          <w:sz w:val="22"/>
          <w:szCs w:val="22"/>
          <w:lang w:eastAsia="en-US"/>
        </w:rPr>
        <w:t>i</w:t>
      </w:r>
      <w:r w:rsidRPr="00565172">
        <w:rPr>
          <w:rFonts w:eastAsiaTheme="minorHAnsi" w:cs="Arial"/>
          <w:sz w:val="22"/>
          <w:szCs w:val="22"/>
          <w:lang w:eastAsia="en-US"/>
        </w:rPr>
        <w:t>) and (ii).</w:t>
      </w:r>
    </w:p>
    <w:p w:rsidR="00700D1B" w:rsidRPr="00565172" w:rsidP="00700D1B">
      <w:pPr>
        <w:ind w:left="567"/>
        <w:contextualSpacing/>
        <w:jc w:val="both"/>
        <w:rPr>
          <w:rFonts w:eastAsiaTheme="minorHAnsi" w:cs="Arial"/>
          <w:sz w:val="22"/>
          <w:szCs w:val="22"/>
          <w:lang w:eastAsia="en-US"/>
        </w:rPr>
      </w:pPr>
    </w:p>
    <w:p w:rsidR="00700D1B" w:rsidRPr="00565172" w:rsidP="00700D1B">
      <w:pPr>
        <w:numPr>
          <w:ilvl w:val="1"/>
          <w:numId w:val="8"/>
        </w:numPr>
        <w:spacing w:after="120" w:line="276" w:lineRule="auto"/>
        <w:ind w:left="567" w:hanging="567"/>
        <w:jc w:val="both"/>
        <w:rPr>
          <w:rFonts w:eastAsia="Calibri" w:cs="Arial"/>
          <w:b/>
          <w:sz w:val="22"/>
          <w:szCs w:val="22"/>
        </w:rPr>
      </w:pPr>
      <w:r w:rsidRPr="00565172">
        <w:rPr>
          <w:rFonts w:eastAsia="Calibri" w:cs="Arial"/>
          <w:b/>
          <w:sz w:val="22"/>
          <w:szCs w:val="22"/>
        </w:rPr>
        <w:t xml:space="preserve">Resource </w:t>
      </w:r>
      <w:r w:rsidRPr="00642D8D">
        <w:rPr>
          <w:rFonts w:eastAsia="Calibri" w:cs="Arial"/>
          <w:b/>
          <w:sz w:val="22"/>
          <w:szCs w:val="22"/>
        </w:rPr>
        <w:t xml:space="preserve">DEL </w:t>
      </w:r>
    </w:p>
    <w:p w:rsidR="00700D1B" w:rsidRPr="00565172" w:rsidP="00700D1B">
      <w:pPr>
        <w:ind w:left="567"/>
        <w:jc w:val="both"/>
        <w:rPr>
          <w:rFonts w:eastAsia="Calibri" w:cs="Arial"/>
          <w:color w:val="FF0000"/>
          <w:sz w:val="22"/>
          <w:szCs w:val="22"/>
        </w:rPr>
      </w:pPr>
      <w:r w:rsidRPr="00565172">
        <w:rPr>
          <w:rFonts w:eastAsia="Calibri" w:cs="Arial"/>
          <w:sz w:val="22"/>
          <w:szCs w:val="22"/>
        </w:rPr>
        <w:t xml:space="preserve">The table below shows how DHSC’s </w:t>
      </w:r>
      <w:r>
        <w:rPr>
          <w:rFonts w:eastAsia="Calibri" w:cs="Arial"/>
          <w:sz w:val="22"/>
          <w:szCs w:val="22"/>
        </w:rPr>
        <w:t>2020-21</w:t>
      </w:r>
      <w:r w:rsidRPr="00565172">
        <w:rPr>
          <w:rFonts w:eastAsia="Calibri" w:cs="Arial"/>
          <w:sz w:val="22"/>
          <w:szCs w:val="22"/>
        </w:rPr>
        <w:t xml:space="preserve">Supplementary Estimate spending plans for Resource DEL compare with the </w:t>
      </w:r>
      <w:r>
        <w:rPr>
          <w:rFonts w:eastAsia="Calibri" w:cs="Arial"/>
          <w:sz w:val="22"/>
          <w:szCs w:val="22"/>
        </w:rPr>
        <w:t xml:space="preserve">2020-21 </w:t>
      </w:r>
      <w:r w:rsidRPr="00565172">
        <w:rPr>
          <w:rFonts w:eastAsia="Calibri" w:cs="Arial"/>
          <w:sz w:val="22"/>
          <w:szCs w:val="22"/>
        </w:rPr>
        <w:t xml:space="preserve">Main Estimate. </w:t>
      </w:r>
    </w:p>
    <w:p w:rsidR="00700D1B" w:rsidRPr="00565172" w:rsidP="00700D1B">
      <w:pPr>
        <w:ind w:left="567"/>
        <w:jc w:val="both"/>
        <w:rPr>
          <w:rFonts w:eastAsia="Calibri" w:cs="Arial"/>
          <w:sz w:val="22"/>
          <w:szCs w:val="22"/>
        </w:rPr>
      </w:pPr>
    </w:p>
    <w:tbl>
      <w:tblPr>
        <w:tblW w:w="10536" w:type="dxa"/>
        <w:tblLayout w:type="fixed"/>
        <w:tblLook w:val="04A0"/>
      </w:tblPr>
      <w:tblGrid>
        <w:gridCol w:w="1076"/>
        <w:gridCol w:w="3125"/>
        <w:gridCol w:w="1688"/>
        <w:gridCol w:w="1197"/>
        <w:gridCol w:w="1556"/>
        <w:gridCol w:w="950"/>
        <w:gridCol w:w="944"/>
      </w:tblGrid>
      <w:tr w:rsidTr="00700D1B">
        <w:tblPrEx>
          <w:tblW w:w="10536" w:type="dxa"/>
          <w:tblLayout w:type="fixed"/>
          <w:tblLook w:val="04A0"/>
        </w:tblPrEx>
        <w:trPr>
          <w:trHeight w:val="300"/>
        </w:trPr>
        <w:tc>
          <w:tcPr>
            <w:tcW w:w="1076" w:type="dxa"/>
            <w:vMerge w:val="restart"/>
            <w:tcBorders>
              <w:top w:val="single" w:sz="4" w:space="0" w:color="auto"/>
              <w:left w:val="single" w:sz="4" w:space="0" w:color="auto"/>
              <w:bottom w:val="single" w:sz="4" w:space="0" w:color="auto"/>
              <w:right w:val="single" w:sz="4" w:space="0" w:color="auto"/>
            </w:tcBorders>
            <w:shd w:val="clear" w:color="auto" w:fill="16365C"/>
            <w:noWrap/>
            <w:vAlign w:val="center"/>
            <w:hideMark/>
          </w:tcPr>
          <w:p w:rsidR="00700D1B" w:rsidRPr="00615432" w:rsidP="00700D1B">
            <w:pPr>
              <w:rPr>
                <w:rFonts w:cs="Arial"/>
                <w:b/>
                <w:bCs/>
                <w:color w:val="FFFFFF"/>
                <w:sz w:val="22"/>
                <w:szCs w:val="22"/>
              </w:rPr>
            </w:pPr>
            <w:r w:rsidRPr="00615432">
              <w:rPr>
                <w:rFonts w:cs="Arial"/>
                <w:b/>
                <w:bCs/>
                <w:color w:val="FFFFFF"/>
                <w:sz w:val="22"/>
                <w:szCs w:val="22"/>
              </w:rPr>
              <w:t>Subhead</w:t>
            </w:r>
          </w:p>
        </w:tc>
        <w:tc>
          <w:tcPr>
            <w:tcW w:w="3125" w:type="dxa"/>
            <w:vMerge w:val="restart"/>
            <w:tcBorders>
              <w:top w:val="single" w:sz="4" w:space="0" w:color="auto"/>
              <w:left w:val="single" w:sz="4" w:space="0" w:color="auto"/>
              <w:bottom w:val="single" w:sz="4" w:space="0" w:color="auto"/>
              <w:right w:val="single" w:sz="4" w:space="0" w:color="auto"/>
            </w:tcBorders>
            <w:shd w:val="clear" w:color="auto" w:fill="16365C"/>
            <w:noWrap/>
            <w:vAlign w:val="center"/>
            <w:hideMark/>
          </w:tcPr>
          <w:p w:rsidR="00700D1B" w:rsidRPr="00615432" w:rsidP="00700D1B">
            <w:pPr>
              <w:rPr>
                <w:rFonts w:cs="Arial"/>
                <w:b/>
                <w:bCs/>
                <w:color w:val="FFFFFF"/>
                <w:sz w:val="22"/>
                <w:szCs w:val="22"/>
              </w:rPr>
            </w:pPr>
            <w:r w:rsidRPr="00615432">
              <w:rPr>
                <w:rFonts w:cs="Arial"/>
                <w:b/>
                <w:bCs/>
                <w:color w:val="FFFFFF"/>
                <w:sz w:val="22"/>
                <w:szCs w:val="22"/>
              </w:rPr>
              <w:t>Description</w:t>
            </w:r>
          </w:p>
        </w:tc>
        <w:tc>
          <w:tcPr>
            <w:tcW w:w="5391" w:type="dxa"/>
            <w:gridSpan w:val="4"/>
            <w:tcBorders>
              <w:top w:val="single" w:sz="4" w:space="0" w:color="auto"/>
              <w:left w:val="nil"/>
              <w:bottom w:val="single" w:sz="4" w:space="0" w:color="auto"/>
              <w:right w:val="single" w:sz="4" w:space="0" w:color="auto"/>
            </w:tcBorders>
            <w:shd w:val="clear" w:color="auto" w:fill="16365C"/>
            <w:noWrap/>
            <w:vAlign w:val="bottom"/>
            <w:hideMark/>
          </w:tcPr>
          <w:p w:rsidR="00700D1B" w:rsidRPr="00615432" w:rsidP="00700D1B">
            <w:pPr>
              <w:jc w:val="center"/>
              <w:rPr>
                <w:rFonts w:cs="Arial"/>
                <w:b/>
                <w:bCs/>
                <w:color w:val="FFFFFF"/>
                <w:sz w:val="22"/>
                <w:szCs w:val="22"/>
              </w:rPr>
            </w:pPr>
            <w:r w:rsidRPr="00615432">
              <w:rPr>
                <w:rFonts w:cs="Arial"/>
                <w:b/>
                <w:bCs/>
                <w:color w:val="FFFFFF"/>
                <w:sz w:val="22"/>
                <w:szCs w:val="22"/>
              </w:rPr>
              <w:t>Resource</w:t>
            </w:r>
          </w:p>
        </w:tc>
        <w:tc>
          <w:tcPr>
            <w:tcW w:w="944" w:type="dxa"/>
            <w:tcBorders>
              <w:top w:val="single" w:sz="4" w:space="0" w:color="auto"/>
              <w:left w:val="nil"/>
              <w:bottom w:val="single" w:sz="4" w:space="0" w:color="auto"/>
              <w:right w:val="single" w:sz="4" w:space="0" w:color="auto"/>
            </w:tcBorders>
            <w:shd w:val="clear" w:color="auto" w:fill="16365C"/>
            <w:noWrap/>
            <w:vAlign w:val="bottom"/>
            <w:hideMark/>
          </w:tcPr>
          <w:p w:rsidR="00700D1B" w:rsidRPr="00615432" w:rsidP="00700D1B">
            <w:pPr>
              <w:jc w:val="center"/>
              <w:rPr>
                <w:rFonts w:cs="Arial"/>
                <w:b/>
                <w:bCs/>
                <w:color w:val="FFFFFF"/>
                <w:sz w:val="22"/>
                <w:szCs w:val="22"/>
              </w:rPr>
            </w:pPr>
            <w:r w:rsidRPr="00615432">
              <w:rPr>
                <w:rFonts w:cs="Arial"/>
                <w:b/>
                <w:bCs/>
                <w:color w:val="FFFFFF"/>
                <w:sz w:val="22"/>
                <w:szCs w:val="22"/>
              </w:rPr>
              <w:t> </w:t>
            </w:r>
          </w:p>
        </w:tc>
      </w:tr>
      <w:tr w:rsidTr="00700D1B">
        <w:tblPrEx>
          <w:tblW w:w="10536" w:type="dxa"/>
          <w:tblLayout w:type="fixed"/>
          <w:tblLook w:val="04A0"/>
        </w:tblPrEx>
        <w:trPr>
          <w:trHeight w:val="1200"/>
        </w:trPr>
        <w:tc>
          <w:tcPr>
            <w:tcW w:w="1076" w:type="dxa"/>
            <w:vMerge/>
            <w:vAlign w:val="center"/>
            <w:hideMark/>
          </w:tcPr>
          <w:p w:rsidR="00700D1B" w:rsidRPr="00615432" w:rsidP="00700D1B">
            <w:pPr>
              <w:rPr>
                <w:rFonts w:cs="Arial"/>
                <w:b/>
                <w:bCs/>
                <w:color w:val="FFFFFF"/>
                <w:sz w:val="22"/>
                <w:szCs w:val="22"/>
              </w:rPr>
            </w:pPr>
          </w:p>
        </w:tc>
        <w:tc>
          <w:tcPr>
            <w:tcW w:w="3125" w:type="dxa"/>
            <w:vMerge/>
            <w:vAlign w:val="center"/>
            <w:hideMark/>
          </w:tcPr>
          <w:p w:rsidR="00700D1B" w:rsidRPr="00615432" w:rsidP="00700D1B">
            <w:pPr>
              <w:rPr>
                <w:rFonts w:cs="Arial"/>
                <w:b/>
                <w:bCs/>
                <w:color w:val="FFFFFF"/>
                <w:sz w:val="22"/>
                <w:szCs w:val="22"/>
              </w:rPr>
            </w:pPr>
          </w:p>
        </w:tc>
        <w:tc>
          <w:tcPr>
            <w:tcW w:w="1688" w:type="dxa"/>
            <w:tcBorders>
              <w:top w:val="nil"/>
              <w:left w:val="nil"/>
              <w:bottom w:val="single" w:sz="4" w:space="0" w:color="auto"/>
              <w:right w:val="single" w:sz="4" w:space="0" w:color="auto"/>
            </w:tcBorders>
            <w:shd w:val="clear" w:color="auto" w:fill="16365C"/>
            <w:vAlign w:val="center"/>
            <w:hideMark/>
          </w:tcPr>
          <w:p w:rsidR="00700D1B" w:rsidRPr="00615432" w:rsidP="00700D1B">
            <w:pPr>
              <w:jc w:val="right"/>
              <w:rPr>
                <w:rFonts w:cs="Arial"/>
                <w:b/>
                <w:bCs/>
                <w:color w:val="FFFFFF"/>
                <w:sz w:val="22"/>
                <w:szCs w:val="22"/>
              </w:rPr>
            </w:pPr>
            <w:r w:rsidRPr="00615432">
              <w:rPr>
                <w:rFonts w:cs="Arial"/>
                <w:b/>
                <w:bCs/>
                <w:color w:val="FFFFFF"/>
                <w:sz w:val="22"/>
                <w:szCs w:val="22"/>
              </w:rPr>
              <w:t>2020-21 Supplementary Estimate</w:t>
            </w:r>
          </w:p>
        </w:tc>
        <w:tc>
          <w:tcPr>
            <w:tcW w:w="1197" w:type="dxa"/>
            <w:tcBorders>
              <w:top w:val="nil"/>
              <w:left w:val="nil"/>
              <w:bottom w:val="single" w:sz="4" w:space="0" w:color="auto"/>
              <w:right w:val="single" w:sz="4" w:space="0" w:color="auto"/>
            </w:tcBorders>
            <w:shd w:val="clear" w:color="auto" w:fill="16365C"/>
            <w:vAlign w:val="center"/>
            <w:hideMark/>
          </w:tcPr>
          <w:p w:rsidR="00700D1B" w:rsidRPr="00615432" w:rsidP="00700D1B">
            <w:pPr>
              <w:jc w:val="right"/>
              <w:rPr>
                <w:rFonts w:cs="Arial"/>
                <w:b/>
                <w:bCs/>
                <w:color w:val="FFFFFF"/>
                <w:sz w:val="22"/>
                <w:szCs w:val="22"/>
              </w:rPr>
            </w:pPr>
            <w:r w:rsidRPr="00615432">
              <w:rPr>
                <w:rFonts w:cs="Arial"/>
                <w:b/>
                <w:bCs/>
                <w:color w:val="FFFFFF"/>
                <w:sz w:val="22"/>
                <w:szCs w:val="22"/>
              </w:rPr>
              <w:t>2020-21 Main Estimate</w:t>
            </w:r>
          </w:p>
        </w:tc>
        <w:tc>
          <w:tcPr>
            <w:tcW w:w="2506" w:type="dxa"/>
            <w:gridSpan w:val="2"/>
            <w:tcBorders>
              <w:top w:val="single" w:sz="4" w:space="0" w:color="auto"/>
              <w:left w:val="nil"/>
              <w:bottom w:val="single" w:sz="4" w:space="0" w:color="auto"/>
              <w:right w:val="single" w:sz="4" w:space="0" w:color="auto"/>
            </w:tcBorders>
            <w:shd w:val="clear" w:color="auto" w:fill="16365C"/>
            <w:vAlign w:val="center"/>
            <w:hideMark/>
          </w:tcPr>
          <w:p w:rsidR="00700D1B" w:rsidRPr="00615432" w:rsidP="00700D1B">
            <w:pPr>
              <w:jc w:val="center"/>
              <w:rPr>
                <w:rFonts w:cs="Arial"/>
                <w:b/>
                <w:bCs/>
                <w:color w:val="FFFFFF"/>
                <w:sz w:val="22"/>
                <w:szCs w:val="22"/>
              </w:rPr>
            </w:pPr>
            <w:r w:rsidRPr="00615432">
              <w:rPr>
                <w:rFonts w:cs="Arial"/>
                <w:b/>
                <w:bCs/>
                <w:color w:val="FFFFFF"/>
                <w:sz w:val="22"/>
                <w:szCs w:val="22"/>
              </w:rPr>
              <w:t>Change from</w:t>
            </w:r>
            <w:r w:rsidRPr="00615432">
              <w:rPr>
                <w:rFonts w:cs="Arial"/>
                <w:b/>
                <w:bCs/>
                <w:color w:val="FFFFFF"/>
                <w:sz w:val="22"/>
                <w:szCs w:val="22"/>
              </w:rPr>
              <w:br/>
              <w:t>2020-21 Main Estimate</w:t>
            </w:r>
          </w:p>
        </w:tc>
        <w:tc>
          <w:tcPr>
            <w:tcW w:w="944" w:type="dxa"/>
            <w:tcBorders>
              <w:top w:val="nil"/>
              <w:left w:val="nil"/>
              <w:bottom w:val="single" w:sz="4" w:space="0" w:color="auto"/>
              <w:right w:val="single" w:sz="4" w:space="0" w:color="auto"/>
            </w:tcBorders>
            <w:shd w:val="clear" w:color="auto" w:fill="16365C"/>
            <w:vAlign w:val="center"/>
            <w:hideMark/>
          </w:tcPr>
          <w:p w:rsidR="00700D1B" w:rsidRPr="00615432" w:rsidP="00700D1B">
            <w:pPr>
              <w:jc w:val="center"/>
              <w:rPr>
                <w:rFonts w:cs="Arial"/>
                <w:b/>
                <w:bCs/>
                <w:color w:val="FFFFFF"/>
                <w:sz w:val="22"/>
                <w:szCs w:val="22"/>
              </w:rPr>
            </w:pPr>
            <w:r w:rsidRPr="00615432">
              <w:rPr>
                <w:rFonts w:cs="Arial"/>
                <w:b/>
                <w:bCs/>
                <w:color w:val="FFFFFF"/>
                <w:sz w:val="22"/>
                <w:szCs w:val="22"/>
              </w:rPr>
              <w:t>See Note 2.1</w:t>
            </w:r>
          </w:p>
        </w:tc>
      </w:tr>
      <w:tr w:rsidTr="00700D1B">
        <w:tblPrEx>
          <w:tblW w:w="10536" w:type="dxa"/>
          <w:tblLayout w:type="fixed"/>
          <w:tblLook w:val="04A0"/>
        </w:tblPrEx>
        <w:trPr>
          <w:trHeight w:val="300"/>
        </w:trPr>
        <w:tc>
          <w:tcPr>
            <w:tcW w:w="1076" w:type="dxa"/>
            <w:vMerge/>
            <w:vAlign w:val="center"/>
            <w:hideMark/>
          </w:tcPr>
          <w:p w:rsidR="00700D1B" w:rsidRPr="00615432" w:rsidP="00700D1B">
            <w:pPr>
              <w:rPr>
                <w:rFonts w:cs="Arial"/>
                <w:b/>
                <w:bCs/>
                <w:color w:val="FFFFFF"/>
                <w:sz w:val="22"/>
                <w:szCs w:val="22"/>
              </w:rPr>
            </w:pPr>
          </w:p>
        </w:tc>
        <w:tc>
          <w:tcPr>
            <w:tcW w:w="3125" w:type="dxa"/>
            <w:vMerge/>
            <w:vAlign w:val="center"/>
            <w:hideMark/>
          </w:tcPr>
          <w:p w:rsidR="00700D1B" w:rsidRPr="00615432" w:rsidP="00700D1B">
            <w:pPr>
              <w:rPr>
                <w:rFonts w:cs="Arial"/>
                <w:b/>
                <w:bCs/>
                <w:color w:val="FFFFFF"/>
                <w:sz w:val="22"/>
                <w:szCs w:val="22"/>
              </w:rPr>
            </w:pPr>
          </w:p>
        </w:tc>
        <w:tc>
          <w:tcPr>
            <w:tcW w:w="1688" w:type="dxa"/>
            <w:tcBorders>
              <w:top w:val="nil"/>
              <w:left w:val="nil"/>
              <w:bottom w:val="single" w:sz="4" w:space="0" w:color="auto"/>
              <w:right w:val="single" w:sz="4" w:space="0" w:color="auto"/>
            </w:tcBorders>
            <w:shd w:val="clear" w:color="auto" w:fill="16365C"/>
            <w:noWrap/>
            <w:vAlign w:val="bottom"/>
            <w:hideMark/>
          </w:tcPr>
          <w:p w:rsidR="00700D1B" w:rsidRPr="00615432" w:rsidP="00700D1B">
            <w:pPr>
              <w:jc w:val="right"/>
              <w:rPr>
                <w:rFonts w:cs="Arial"/>
                <w:b/>
                <w:bCs/>
                <w:color w:val="FFFFFF"/>
                <w:sz w:val="22"/>
                <w:szCs w:val="22"/>
              </w:rPr>
            </w:pPr>
            <w:r w:rsidRPr="00615432">
              <w:rPr>
                <w:rFonts w:cs="Arial"/>
                <w:b/>
                <w:bCs/>
                <w:color w:val="FFFFFF"/>
                <w:sz w:val="22"/>
                <w:szCs w:val="22"/>
              </w:rPr>
              <w:t>£m</w:t>
            </w:r>
          </w:p>
        </w:tc>
        <w:tc>
          <w:tcPr>
            <w:tcW w:w="1197" w:type="dxa"/>
            <w:tcBorders>
              <w:top w:val="nil"/>
              <w:left w:val="nil"/>
              <w:bottom w:val="single" w:sz="4" w:space="0" w:color="auto"/>
              <w:right w:val="single" w:sz="4" w:space="0" w:color="auto"/>
            </w:tcBorders>
            <w:shd w:val="clear" w:color="auto" w:fill="16365C"/>
            <w:noWrap/>
            <w:vAlign w:val="bottom"/>
            <w:hideMark/>
          </w:tcPr>
          <w:p w:rsidR="00700D1B" w:rsidRPr="00615432" w:rsidP="00700D1B">
            <w:pPr>
              <w:jc w:val="right"/>
              <w:rPr>
                <w:rFonts w:cs="Arial"/>
                <w:b/>
                <w:bCs/>
                <w:color w:val="FFFFFF"/>
                <w:sz w:val="22"/>
                <w:szCs w:val="22"/>
              </w:rPr>
            </w:pPr>
            <w:r w:rsidRPr="00615432">
              <w:rPr>
                <w:rFonts w:cs="Arial"/>
                <w:b/>
                <w:bCs/>
                <w:color w:val="FFFFFF"/>
                <w:sz w:val="22"/>
                <w:szCs w:val="22"/>
              </w:rPr>
              <w:t>£m</w:t>
            </w:r>
          </w:p>
        </w:tc>
        <w:tc>
          <w:tcPr>
            <w:tcW w:w="1556" w:type="dxa"/>
            <w:tcBorders>
              <w:top w:val="nil"/>
              <w:left w:val="nil"/>
              <w:bottom w:val="single" w:sz="4" w:space="0" w:color="auto"/>
              <w:right w:val="single" w:sz="4" w:space="0" w:color="auto"/>
            </w:tcBorders>
            <w:shd w:val="clear" w:color="auto" w:fill="16365C"/>
            <w:noWrap/>
            <w:vAlign w:val="bottom"/>
            <w:hideMark/>
          </w:tcPr>
          <w:p w:rsidR="00700D1B" w:rsidRPr="00615432" w:rsidP="00700D1B">
            <w:pPr>
              <w:jc w:val="right"/>
              <w:rPr>
                <w:rFonts w:cs="Arial"/>
                <w:b/>
                <w:bCs/>
                <w:color w:val="FFFFFF"/>
                <w:sz w:val="22"/>
                <w:szCs w:val="22"/>
              </w:rPr>
            </w:pPr>
            <w:r w:rsidRPr="00615432">
              <w:rPr>
                <w:rFonts w:cs="Arial"/>
                <w:b/>
                <w:bCs/>
                <w:color w:val="FFFFFF"/>
                <w:sz w:val="22"/>
                <w:szCs w:val="22"/>
              </w:rPr>
              <w:t>£m</w:t>
            </w:r>
          </w:p>
        </w:tc>
        <w:tc>
          <w:tcPr>
            <w:tcW w:w="950" w:type="dxa"/>
            <w:tcBorders>
              <w:top w:val="nil"/>
              <w:left w:val="nil"/>
              <w:bottom w:val="single" w:sz="4" w:space="0" w:color="auto"/>
              <w:right w:val="single" w:sz="4" w:space="0" w:color="auto"/>
            </w:tcBorders>
            <w:shd w:val="clear" w:color="auto" w:fill="16365C"/>
            <w:noWrap/>
            <w:vAlign w:val="bottom"/>
            <w:hideMark/>
          </w:tcPr>
          <w:p w:rsidR="00700D1B" w:rsidRPr="00615432" w:rsidP="00700D1B">
            <w:pPr>
              <w:jc w:val="right"/>
              <w:rPr>
                <w:rFonts w:cs="Arial"/>
                <w:b/>
                <w:bCs/>
                <w:color w:val="FFFFFF"/>
                <w:sz w:val="22"/>
                <w:szCs w:val="22"/>
              </w:rPr>
            </w:pPr>
            <w:r w:rsidRPr="00615432">
              <w:rPr>
                <w:rFonts w:cs="Arial"/>
                <w:b/>
                <w:bCs/>
                <w:color w:val="FFFFFF"/>
                <w:sz w:val="22"/>
                <w:szCs w:val="22"/>
              </w:rPr>
              <w:t>%</w:t>
            </w:r>
          </w:p>
        </w:tc>
        <w:tc>
          <w:tcPr>
            <w:tcW w:w="944" w:type="dxa"/>
            <w:tcBorders>
              <w:top w:val="nil"/>
              <w:left w:val="nil"/>
              <w:bottom w:val="single" w:sz="4" w:space="0" w:color="auto"/>
              <w:right w:val="single" w:sz="4" w:space="0" w:color="auto"/>
            </w:tcBorders>
            <w:shd w:val="clear" w:color="auto" w:fill="16365C"/>
            <w:noWrap/>
            <w:vAlign w:val="bottom"/>
            <w:hideMark/>
          </w:tcPr>
          <w:p w:rsidR="00700D1B" w:rsidRPr="00615432" w:rsidP="00700D1B">
            <w:pPr>
              <w:jc w:val="center"/>
              <w:rPr>
                <w:rFonts w:cs="Arial"/>
                <w:b/>
                <w:bCs/>
                <w:color w:val="FFFFFF"/>
                <w:sz w:val="22"/>
                <w:szCs w:val="22"/>
              </w:rPr>
            </w:pPr>
            <w:r w:rsidRPr="00615432">
              <w:rPr>
                <w:rFonts w:cs="Arial"/>
                <w:b/>
                <w:bCs/>
                <w:color w:val="FFFFFF"/>
                <w:sz w:val="22"/>
                <w:szCs w:val="22"/>
              </w:rPr>
              <w:t> </w:t>
            </w:r>
          </w:p>
        </w:tc>
      </w:tr>
      <w:tr w:rsidTr="00700D1B">
        <w:tblPrEx>
          <w:tblW w:w="10536" w:type="dxa"/>
          <w:tblLayout w:type="fixed"/>
          <w:tblLook w:val="04A0"/>
        </w:tblPrEx>
        <w:trPr>
          <w:trHeight w:val="855"/>
        </w:trPr>
        <w:tc>
          <w:tcPr>
            <w:tcW w:w="1076" w:type="dxa"/>
            <w:tcBorders>
              <w:top w:val="nil"/>
              <w:left w:val="single" w:sz="4" w:space="0" w:color="auto"/>
              <w:bottom w:val="single" w:sz="4" w:space="0" w:color="auto"/>
              <w:right w:val="single" w:sz="4" w:space="0" w:color="auto"/>
            </w:tcBorders>
            <w:shd w:val="clear" w:color="auto" w:fill="auto"/>
            <w:vAlign w:val="center"/>
            <w:hideMark/>
          </w:tcPr>
          <w:p w:rsidR="00700D1B" w:rsidRPr="00615432" w:rsidP="00700D1B">
            <w:pPr>
              <w:jc w:val="center"/>
              <w:rPr>
                <w:rFonts w:cs="Arial"/>
                <w:color w:val="000000"/>
                <w:sz w:val="22"/>
                <w:szCs w:val="22"/>
              </w:rPr>
            </w:pPr>
            <w:r w:rsidRPr="00615432">
              <w:rPr>
                <w:rFonts w:cs="Arial"/>
                <w:color w:val="000000"/>
                <w:sz w:val="22"/>
                <w:szCs w:val="22"/>
              </w:rPr>
              <w:t>A</w:t>
            </w:r>
          </w:p>
        </w:tc>
        <w:tc>
          <w:tcPr>
            <w:tcW w:w="3125" w:type="dxa"/>
            <w:tcBorders>
              <w:top w:val="nil"/>
              <w:left w:val="nil"/>
              <w:bottom w:val="single" w:sz="4" w:space="0" w:color="auto"/>
              <w:right w:val="single" w:sz="4" w:space="0" w:color="auto"/>
            </w:tcBorders>
            <w:shd w:val="clear" w:color="auto" w:fill="auto"/>
            <w:vAlign w:val="center"/>
            <w:hideMark/>
          </w:tcPr>
          <w:p w:rsidR="00700D1B" w:rsidRPr="00615432" w:rsidP="00700D1B">
            <w:pPr>
              <w:rPr>
                <w:rFonts w:cs="Arial"/>
                <w:color w:val="000000"/>
                <w:sz w:val="22"/>
                <w:szCs w:val="22"/>
              </w:rPr>
            </w:pPr>
            <w:r w:rsidRPr="00615432">
              <w:rPr>
                <w:rFonts w:cs="Arial"/>
                <w:color w:val="000000"/>
                <w:sz w:val="22"/>
                <w:szCs w:val="22"/>
              </w:rPr>
              <w:t>NHS Commissioning Board (known as NHS England) net expenditure</w:t>
            </w:r>
          </w:p>
        </w:tc>
        <w:tc>
          <w:tcPr>
            <w:tcW w:w="1688" w:type="dxa"/>
            <w:tcBorders>
              <w:top w:val="nil"/>
              <w:left w:val="nil"/>
              <w:bottom w:val="single" w:sz="4" w:space="0" w:color="auto"/>
              <w:right w:val="single" w:sz="4" w:space="0" w:color="auto"/>
            </w:tcBorders>
            <w:shd w:val="clear" w:color="auto" w:fill="auto"/>
            <w:vAlign w:val="center"/>
            <w:hideMark/>
          </w:tcPr>
          <w:p w:rsidR="00700D1B" w:rsidRPr="00615432" w:rsidP="00700D1B">
            <w:pPr>
              <w:jc w:val="right"/>
              <w:rPr>
                <w:rFonts w:cs="Arial"/>
                <w:color w:val="000000"/>
                <w:sz w:val="22"/>
                <w:szCs w:val="22"/>
              </w:rPr>
            </w:pPr>
            <w:r w:rsidRPr="00615432">
              <w:rPr>
                <w:rFonts w:cs="Arial"/>
                <w:color w:val="000000"/>
                <w:sz w:val="22"/>
                <w:szCs w:val="22"/>
              </w:rPr>
              <w:t>33,757.5</w:t>
            </w:r>
          </w:p>
        </w:tc>
        <w:tc>
          <w:tcPr>
            <w:tcW w:w="1197" w:type="dxa"/>
            <w:tcBorders>
              <w:top w:val="nil"/>
              <w:left w:val="nil"/>
              <w:bottom w:val="single" w:sz="4" w:space="0" w:color="auto"/>
              <w:right w:val="single" w:sz="4" w:space="0" w:color="auto"/>
            </w:tcBorders>
            <w:shd w:val="clear" w:color="auto" w:fill="auto"/>
            <w:vAlign w:val="center"/>
            <w:hideMark/>
          </w:tcPr>
          <w:p w:rsidR="00700D1B" w:rsidRPr="00615432" w:rsidP="00700D1B">
            <w:pPr>
              <w:jc w:val="right"/>
              <w:rPr>
                <w:rFonts w:cs="Arial"/>
                <w:color w:val="000000"/>
                <w:sz w:val="22"/>
                <w:szCs w:val="22"/>
              </w:rPr>
            </w:pPr>
            <w:r w:rsidRPr="00615432">
              <w:rPr>
                <w:rFonts w:cs="Arial"/>
                <w:color w:val="000000"/>
                <w:sz w:val="22"/>
                <w:szCs w:val="22"/>
              </w:rPr>
              <w:t>21,811.9</w:t>
            </w:r>
          </w:p>
        </w:tc>
        <w:tc>
          <w:tcPr>
            <w:tcW w:w="1556" w:type="dxa"/>
            <w:tcBorders>
              <w:top w:val="nil"/>
              <w:left w:val="nil"/>
              <w:bottom w:val="single" w:sz="4" w:space="0" w:color="auto"/>
              <w:right w:val="single" w:sz="4" w:space="0" w:color="auto"/>
            </w:tcBorders>
            <w:shd w:val="clear" w:color="auto" w:fill="auto"/>
            <w:vAlign w:val="center"/>
            <w:hideMark/>
          </w:tcPr>
          <w:p w:rsidR="00700D1B" w:rsidRPr="00615432" w:rsidP="00700D1B">
            <w:pPr>
              <w:rPr>
                <w:rFonts w:cs="Arial"/>
                <w:color w:val="000000"/>
                <w:sz w:val="22"/>
                <w:szCs w:val="22"/>
              </w:rPr>
            </w:pPr>
            <w:r w:rsidRPr="00615432">
              <w:rPr>
                <w:rFonts w:cs="Arial"/>
                <w:color w:val="000000"/>
                <w:sz w:val="22"/>
                <w:szCs w:val="22"/>
              </w:rPr>
              <w:t> </w:t>
            </w:r>
          </w:p>
        </w:tc>
        <w:tc>
          <w:tcPr>
            <w:tcW w:w="950" w:type="dxa"/>
            <w:tcBorders>
              <w:top w:val="nil"/>
              <w:left w:val="nil"/>
              <w:bottom w:val="single" w:sz="4" w:space="0" w:color="auto"/>
              <w:right w:val="single" w:sz="4" w:space="0" w:color="auto"/>
            </w:tcBorders>
            <w:shd w:val="clear" w:color="auto" w:fill="auto"/>
            <w:vAlign w:val="center"/>
            <w:hideMark/>
          </w:tcPr>
          <w:p w:rsidR="00700D1B" w:rsidRPr="00615432" w:rsidP="00700D1B">
            <w:pPr>
              <w:rPr>
                <w:rFonts w:cs="Arial"/>
                <w:color w:val="000000"/>
                <w:sz w:val="22"/>
                <w:szCs w:val="22"/>
              </w:rPr>
            </w:pPr>
            <w:r w:rsidRPr="00615432">
              <w:rPr>
                <w:rFonts w:cs="Arial"/>
                <w:color w:val="000000"/>
                <w:sz w:val="22"/>
                <w:szCs w:val="22"/>
              </w:rPr>
              <w:t> </w:t>
            </w:r>
          </w:p>
        </w:tc>
        <w:tc>
          <w:tcPr>
            <w:tcW w:w="944" w:type="dxa"/>
            <w:tcBorders>
              <w:top w:val="nil"/>
              <w:left w:val="nil"/>
              <w:bottom w:val="single" w:sz="4" w:space="0" w:color="auto"/>
              <w:right w:val="single" w:sz="4" w:space="0" w:color="auto"/>
            </w:tcBorders>
            <w:shd w:val="clear" w:color="auto" w:fill="auto"/>
            <w:vAlign w:val="center"/>
            <w:hideMark/>
          </w:tcPr>
          <w:p w:rsidR="00700D1B" w:rsidRPr="00615432" w:rsidP="00700D1B">
            <w:pPr>
              <w:jc w:val="center"/>
              <w:rPr>
                <w:rFonts w:cs="Arial"/>
                <w:color w:val="000000"/>
                <w:sz w:val="22"/>
                <w:szCs w:val="22"/>
              </w:rPr>
            </w:pPr>
            <w:r w:rsidRPr="00615432">
              <w:rPr>
                <w:rFonts w:cs="Arial"/>
                <w:color w:val="000000"/>
                <w:sz w:val="22"/>
                <w:szCs w:val="22"/>
              </w:rPr>
              <w:t> </w:t>
            </w:r>
          </w:p>
        </w:tc>
      </w:tr>
      <w:tr w:rsidTr="00700D1B">
        <w:tblPrEx>
          <w:tblW w:w="10536" w:type="dxa"/>
          <w:tblLayout w:type="fixed"/>
          <w:tblLook w:val="04A0"/>
        </w:tblPrEx>
        <w:trPr>
          <w:trHeight w:val="285"/>
        </w:trPr>
        <w:tc>
          <w:tcPr>
            <w:tcW w:w="1076" w:type="dxa"/>
            <w:tcBorders>
              <w:top w:val="nil"/>
              <w:left w:val="single" w:sz="4" w:space="0" w:color="auto"/>
              <w:bottom w:val="single" w:sz="4" w:space="0" w:color="auto"/>
              <w:right w:val="single" w:sz="4" w:space="0" w:color="auto"/>
            </w:tcBorders>
            <w:shd w:val="clear" w:color="auto" w:fill="auto"/>
            <w:vAlign w:val="center"/>
            <w:hideMark/>
          </w:tcPr>
          <w:p w:rsidR="00700D1B" w:rsidRPr="00615432" w:rsidP="00700D1B">
            <w:pPr>
              <w:jc w:val="center"/>
              <w:rPr>
                <w:rFonts w:cs="Arial"/>
                <w:color w:val="000000"/>
                <w:sz w:val="22"/>
                <w:szCs w:val="22"/>
              </w:rPr>
            </w:pPr>
            <w:r w:rsidRPr="00615432">
              <w:rPr>
                <w:rFonts w:cs="Arial"/>
                <w:color w:val="000000"/>
                <w:sz w:val="22"/>
                <w:szCs w:val="22"/>
              </w:rPr>
              <w:t>B</w:t>
            </w:r>
          </w:p>
        </w:tc>
        <w:tc>
          <w:tcPr>
            <w:tcW w:w="3125" w:type="dxa"/>
            <w:tcBorders>
              <w:top w:val="nil"/>
              <w:left w:val="nil"/>
              <w:bottom w:val="single" w:sz="4" w:space="0" w:color="auto"/>
              <w:right w:val="single" w:sz="4" w:space="0" w:color="auto"/>
            </w:tcBorders>
            <w:shd w:val="clear" w:color="auto" w:fill="auto"/>
            <w:vAlign w:val="center"/>
            <w:hideMark/>
          </w:tcPr>
          <w:p w:rsidR="00700D1B" w:rsidRPr="00615432" w:rsidP="00700D1B">
            <w:pPr>
              <w:rPr>
                <w:rFonts w:cs="Arial"/>
                <w:color w:val="000000"/>
                <w:sz w:val="22"/>
                <w:szCs w:val="22"/>
              </w:rPr>
            </w:pPr>
            <w:r w:rsidRPr="00615432">
              <w:rPr>
                <w:rFonts w:cs="Arial"/>
                <w:color w:val="000000"/>
                <w:sz w:val="22"/>
                <w:szCs w:val="22"/>
              </w:rPr>
              <w:t>NHS Providers</w:t>
            </w:r>
          </w:p>
        </w:tc>
        <w:tc>
          <w:tcPr>
            <w:tcW w:w="1688" w:type="dxa"/>
            <w:tcBorders>
              <w:top w:val="nil"/>
              <w:left w:val="nil"/>
              <w:bottom w:val="single" w:sz="4" w:space="0" w:color="auto"/>
              <w:right w:val="single" w:sz="4" w:space="0" w:color="auto"/>
            </w:tcBorders>
            <w:shd w:val="clear" w:color="auto" w:fill="auto"/>
            <w:vAlign w:val="center"/>
            <w:hideMark/>
          </w:tcPr>
          <w:p w:rsidR="00700D1B" w:rsidRPr="00615432" w:rsidP="00700D1B">
            <w:pPr>
              <w:jc w:val="right"/>
              <w:rPr>
                <w:rFonts w:cs="Arial"/>
                <w:color w:val="000000"/>
                <w:sz w:val="22"/>
                <w:szCs w:val="22"/>
              </w:rPr>
            </w:pPr>
            <w:r w:rsidRPr="00615432">
              <w:rPr>
                <w:rFonts w:cs="Arial"/>
                <w:color w:val="000000"/>
                <w:sz w:val="22"/>
                <w:szCs w:val="22"/>
              </w:rPr>
              <w:t>89,240.0</w:t>
            </w:r>
          </w:p>
        </w:tc>
        <w:tc>
          <w:tcPr>
            <w:tcW w:w="1197" w:type="dxa"/>
            <w:tcBorders>
              <w:top w:val="nil"/>
              <w:left w:val="nil"/>
              <w:bottom w:val="single" w:sz="4" w:space="0" w:color="auto"/>
              <w:right w:val="single" w:sz="4" w:space="0" w:color="auto"/>
            </w:tcBorders>
            <w:shd w:val="clear" w:color="auto" w:fill="auto"/>
            <w:vAlign w:val="center"/>
            <w:hideMark/>
          </w:tcPr>
          <w:p w:rsidR="00700D1B" w:rsidRPr="00615432" w:rsidP="00700D1B">
            <w:pPr>
              <w:jc w:val="right"/>
              <w:rPr>
                <w:rFonts w:cs="Arial"/>
                <w:color w:val="000000"/>
                <w:sz w:val="22"/>
                <w:szCs w:val="22"/>
              </w:rPr>
            </w:pPr>
            <w:r w:rsidRPr="00615432">
              <w:rPr>
                <w:rFonts w:cs="Arial"/>
                <w:color w:val="000000"/>
                <w:sz w:val="22"/>
                <w:szCs w:val="22"/>
              </w:rPr>
              <w:t>81,538.0</w:t>
            </w:r>
          </w:p>
        </w:tc>
        <w:tc>
          <w:tcPr>
            <w:tcW w:w="1556" w:type="dxa"/>
            <w:tcBorders>
              <w:top w:val="nil"/>
              <w:left w:val="nil"/>
              <w:bottom w:val="single" w:sz="4" w:space="0" w:color="auto"/>
              <w:right w:val="single" w:sz="4" w:space="0" w:color="auto"/>
            </w:tcBorders>
            <w:shd w:val="clear" w:color="auto" w:fill="auto"/>
            <w:vAlign w:val="center"/>
            <w:hideMark/>
          </w:tcPr>
          <w:p w:rsidR="00700D1B" w:rsidRPr="00615432" w:rsidP="00700D1B">
            <w:pPr>
              <w:rPr>
                <w:rFonts w:cs="Arial"/>
                <w:color w:val="000000"/>
                <w:sz w:val="22"/>
                <w:szCs w:val="22"/>
              </w:rPr>
            </w:pPr>
            <w:r w:rsidRPr="00615432">
              <w:rPr>
                <w:rFonts w:cs="Arial"/>
                <w:color w:val="000000"/>
                <w:sz w:val="22"/>
                <w:szCs w:val="22"/>
              </w:rPr>
              <w:t> </w:t>
            </w:r>
          </w:p>
        </w:tc>
        <w:tc>
          <w:tcPr>
            <w:tcW w:w="950" w:type="dxa"/>
            <w:tcBorders>
              <w:top w:val="nil"/>
              <w:left w:val="nil"/>
              <w:bottom w:val="single" w:sz="4" w:space="0" w:color="auto"/>
              <w:right w:val="single" w:sz="4" w:space="0" w:color="auto"/>
            </w:tcBorders>
            <w:shd w:val="clear" w:color="auto" w:fill="auto"/>
            <w:vAlign w:val="center"/>
            <w:hideMark/>
          </w:tcPr>
          <w:p w:rsidR="00700D1B" w:rsidRPr="00615432" w:rsidP="00700D1B">
            <w:pPr>
              <w:rPr>
                <w:rFonts w:cs="Arial"/>
                <w:color w:val="000000"/>
                <w:sz w:val="22"/>
                <w:szCs w:val="22"/>
              </w:rPr>
            </w:pPr>
            <w:r w:rsidRPr="00615432">
              <w:rPr>
                <w:rFonts w:cs="Arial"/>
                <w:color w:val="000000"/>
                <w:sz w:val="22"/>
                <w:szCs w:val="22"/>
              </w:rPr>
              <w:t> </w:t>
            </w:r>
          </w:p>
        </w:tc>
        <w:tc>
          <w:tcPr>
            <w:tcW w:w="944" w:type="dxa"/>
            <w:tcBorders>
              <w:top w:val="nil"/>
              <w:left w:val="nil"/>
              <w:bottom w:val="single" w:sz="4" w:space="0" w:color="auto"/>
              <w:right w:val="single" w:sz="4" w:space="0" w:color="auto"/>
            </w:tcBorders>
            <w:shd w:val="clear" w:color="auto" w:fill="auto"/>
            <w:vAlign w:val="center"/>
            <w:hideMark/>
          </w:tcPr>
          <w:p w:rsidR="00700D1B" w:rsidRPr="00615432" w:rsidP="00700D1B">
            <w:pPr>
              <w:jc w:val="center"/>
              <w:rPr>
                <w:rFonts w:cs="Arial"/>
                <w:color w:val="000000"/>
                <w:sz w:val="22"/>
                <w:szCs w:val="22"/>
              </w:rPr>
            </w:pPr>
            <w:r w:rsidRPr="00615432">
              <w:rPr>
                <w:rFonts w:cs="Arial"/>
                <w:color w:val="000000"/>
                <w:sz w:val="22"/>
                <w:szCs w:val="22"/>
              </w:rPr>
              <w:t> </w:t>
            </w:r>
          </w:p>
        </w:tc>
      </w:tr>
      <w:tr w:rsidTr="00700D1B">
        <w:tblPrEx>
          <w:tblW w:w="10536" w:type="dxa"/>
          <w:tblLayout w:type="fixed"/>
          <w:tblLook w:val="04A0"/>
        </w:tblPrEx>
        <w:trPr>
          <w:trHeight w:val="1140"/>
        </w:trPr>
        <w:tc>
          <w:tcPr>
            <w:tcW w:w="1076" w:type="dxa"/>
            <w:tcBorders>
              <w:top w:val="nil"/>
              <w:left w:val="single" w:sz="4" w:space="0" w:color="auto"/>
              <w:bottom w:val="single" w:sz="4" w:space="0" w:color="auto"/>
              <w:right w:val="single" w:sz="4" w:space="0" w:color="auto"/>
            </w:tcBorders>
            <w:shd w:val="clear" w:color="auto" w:fill="auto"/>
            <w:vAlign w:val="center"/>
            <w:hideMark/>
          </w:tcPr>
          <w:p w:rsidR="00700D1B" w:rsidRPr="00615432" w:rsidP="00700D1B">
            <w:pPr>
              <w:jc w:val="center"/>
              <w:rPr>
                <w:rFonts w:cs="Arial"/>
                <w:color w:val="000000"/>
                <w:sz w:val="22"/>
                <w:szCs w:val="22"/>
              </w:rPr>
            </w:pPr>
            <w:r w:rsidRPr="00615432">
              <w:rPr>
                <w:rFonts w:cs="Arial"/>
                <w:color w:val="000000"/>
                <w:sz w:val="22"/>
                <w:szCs w:val="22"/>
              </w:rPr>
              <w:t>J</w:t>
            </w:r>
          </w:p>
        </w:tc>
        <w:tc>
          <w:tcPr>
            <w:tcW w:w="3125" w:type="dxa"/>
            <w:tcBorders>
              <w:top w:val="nil"/>
              <w:left w:val="nil"/>
              <w:bottom w:val="single" w:sz="4" w:space="0" w:color="auto"/>
              <w:right w:val="single" w:sz="4" w:space="0" w:color="auto"/>
            </w:tcBorders>
            <w:shd w:val="clear" w:color="auto" w:fill="auto"/>
            <w:vAlign w:val="center"/>
            <w:hideMark/>
          </w:tcPr>
          <w:p w:rsidR="00700D1B" w:rsidRPr="00615432" w:rsidP="00700D1B">
            <w:pPr>
              <w:rPr>
                <w:rFonts w:cs="Arial"/>
                <w:color w:val="000000"/>
                <w:sz w:val="22"/>
                <w:szCs w:val="22"/>
              </w:rPr>
            </w:pPr>
            <w:r w:rsidRPr="00615432">
              <w:rPr>
                <w:rFonts w:cs="Arial"/>
                <w:color w:val="000000"/>
                <w:sz w:val="22"/>
                <w:szCs w:val="22"/>
              </w:rPr>
              <w:t>NHS Commissioning Board (known as NHS England) net expenditure financed from National Insurance Contributions</w:t>
            </w:r>
          </w:p>
        </w:tc>
        <w:tc>
          <w:tcPr>
            <w:tcW w:w="1688" w:type="dxa"/>
            <w:tcBorders>
              <w:top w:val="nil"/>
              <w:left w:val="nil"/>
              <w:bottom w:val="single" w:sz="4" w:space="0" w:color="auto"/>
              <w:right w:val="single" w:sz="4" w:space="0" w:color="auto"/>
            </w:tcBorders>
            <w:shd w:val="clear" w:color="auto" w:fill="auto"/>
            <w:vAlign w:val="center"/>
            <w:hideMark/>
          </w:tcPr>
          <w:p w:rsidR="00700D1B" w:rsidRPr="00615432" w:rsidP="00700D1B">
            <w:pPr>
              <w:jc w:val="right"/>
              <w:rPr>
                <w:rFonts w:cs="Arial"/>
                <w:color w:val="000000"/>
                <w:sz w:val="22"/>
                <w:szCs w:val="22"/>
              </w:rPr>
            </w:pPr>
            <w:r w:rsidRPr="00615432">
              <w:rPr>
                <w:rFonts w:cs="Arial"/>
                <w:color w:val="000000"/>
                <w:sz w:val="22"/>
                <w:szCs w:val="22"/>
              </w:rPr>
              <w:t>22,823.2</w:t>
            </w:r>
          </w:p>
        </w:tc>
        <w:tc>
          <w:tcPr>
            <w:tcW w:w="1197" w:type="dxa"/>
            <w:tcBorders>
              <w:top w:val="nil"/>
              <w:left w:val="nil"/>
              <w:bottom w:val="single" w:sz="4" w:space="0" w:color="auto"/>
              <w:right w:val="single" w:sz="4" w:space="0" w:color="auto"/>
            </w:tcBorders>
            <w:shd w:val="clear" w:color="auto" w:fill="auto"/>
            <w:vAlign w:val="center"/>
            <w:hideMark/>
          </w:tcPr>
          <w:p w:rsidR="00700D1B" w:rsidRPr="00615432" w:rsidP="00700D1B">
            <w:pPr>
              <w:jc w:val="right"/>
              <w:rPr>
                <w:rFonts w:cs="Arial"/>
                <w:color w:val="000000"/>
                <w:sz w:val="22"/>
                <w:szCs w:val="22"/>
              </w:rPr>
            </w:pPr>
            <w:r w:rsidRPr="00615432">
              <w:rPr>
                <w:rFonts w:cs="Arial"/>
                <w:color w:val="000000"/>
                <w:sz w:val="22"/>
                <w:szCs w:val="22"/>
              </w:rPr>
              <w:t>23,676.5</w:t>
            </w:r>
          </w:p>
        </w:tc>
        <w:tc>
          <w:tcPr>
            <w:tcW w:w="1556" w:type="dxa"/>
            <w:tcBorders>
              <w:top w:val="nil"/>
              <w:left w:val="nil"/>
              <w:bottom w:val="single" w:sz="4" w:space="0" w:color="auto"/>
              <w:right w:val="single" w:sz="4" w:space="0" w:color="auto"/>
            </w:tcBorders>
            <w:shd w:val="clear" w:color="auto" w:fill="auto"/>
            <w:vAlign w:val="center"/>
            <w:hideMark/>
          </w:tcPr>
          <w:p w:rsidR="00700D1B" w:rsidRPr="00615432" w:rsidP="00700D1B">
            <w:pPr>
              <w:rPr>
                <w:rFonts w:cs="Arial"/>
                <w:color w:val="000000"/>
                <w:sz w:val="22"/>
                <w:szCs w:val="22"/>
              </w:rPr>
            </w:pPr>
            <w:r w:rsidRPr="00615432">
              <w:rPr>
                <w:rFonts w:cs="Arial"/>
                <w:color w:val="000000"/>
                <w:sz w:val="22"/>
                <w:szCs w:val="22"/>
              </w:rPr>
              <w:t> </w:t>
            </w:r>
          </w:p>
        </w:tc>
        <w:tc>
          <w:tcPr>
            <w:tcW w:w="950" w:type="dxa"/>
            <w:tcBorders>
              <w:top w:val="nil"/>
              <w:left w:val="nil"/>
              <w:bottom w:val="single" w:sz="4" w:space="0" w:color="auto"/>
              <w:right w:val="single" w:sz="4" w:space="0" w:color="auto"/>
            </w:tcBorders>
            <w:shd w:val="clear" w:color="auto" w:fill="auto"/>
            <w:vAlign w:val="center"/>
            <w:hideMark/>
          </w:tcPr>
          <w:p w:rsidR="00700D1B" w:rsidRPr="00615432" w:rsidP="00700D1B">
            <w:pPr>
              <w:rPr>
                <w:rFonts w:cs="Arial"/>
                <w:color w:val="000000"/>
                <w:sz w:val="22"/>
                <w:szCs w:val="22"/>
              </w:rPr>
            </w:pPr>
            <w:r w:rsidRPr="00615432">
              <w:rPr>
                <w:rFonts w:cs="Arial"/>
                <w:color w:val="000000"/>
                <w:sz w:val="22"/>
                <w:szCs w:val="22"/>
              </w:rPr>
              <w:t> </w:t>
            </w:r>
          </w:p>
        </w:tc>
        <w:tc>
          <w:tcPr>
            <w:tcW w:w="944" w:type="dxa"/>
            <w:tcBorders>
              <w:top w:val="nil"/>
              <w:left w:val="nil"/>
              <w:bottom w:val="single" w:sz="4" w:space="0" w:color="auto"/>
              <w:right w:val="single" w:sz="4" w:space="0" w:color="auto"/>
            </w:tcBorders>
            <w:shd w:val="clear" w:color="auto" w:fill="auto"/>
            <w:vAlign w:val="center"/>
            <w:hideMark/>
          </w:tcPr>
          <w:p w:rsidR="00700D1B" w:rsidRPr="00615432" w:rsidP="00700D1B">
            <w:pPr>
              <w:jc w:val="center"/>
              <w:rPr>
                <w:rFonts w:cs="Arial"/>
                <w:color w:val="000000"/>
                <w:sz w:val="22"/>
                <w:szCs w:val="22"/>
              </w:rPr>
            </w:pPr>
            <w:r w:rsidRPr="00615432">
              <w:rPr>
                <w:rFonts w:cs="Arial"/>
                <w:color w:val="000000"/>
                <w:sz w:val="22"/>
                <w:szCs w:val="22"/>
              </w:rPr>
              <w:t> </w:t>
            </w:r>
          </w:p>
        </w:tc>
      </w:tr>
      <w:tr w:rsidTr="00700D1B">
        <w:tblPrEx>
          <w:tblW w:w="10536" w:type="dxa"/>
          <w:tblLayout w:type="fixed"/>
          <w:tblLook w:val="04A0"/>
        </w:tblPrEx>
        <w:trPr>
          <w:trHeight w:val="300"/>
        </w:trPr>
        <w:tc>
          <w:tcPr>
            <w:tcW w:w="4201" w:type="dxa"/>
            <w:gridSpan w:val="2"/>
            <w:tcBorders>
              <w:top w:val="single" w:sz="4" w:space="0" w:color="auto"/>
              <w:left w:val="single" w:sz="4" w:space="0" w:color="auto"/>
              <w:bottom w:val="single" w:sz="4" w:space="0" w:color="auto"/>
              <w:right w:val="nil"/>
            </w:tcBorders>
            <w:shd w:val="clear" w:color="auto" w:fill="C5D9F1"/>
            <w:vAlign w:val="center"/>
            <w:hideMark/>
          </w:tcPr>
          <w:p w:rsidR="00700D1B" w:rsidRPr="00615432" w:rsidP="00700D1B">
            <w:pPr>
              <w:rPr>
                <w:rFonts w:cs="Arial"/>
                <w:b/>
                <w:bCs/>
                <w:color w:val="000000"/>
                <w:sz w:val="22"/>
                <w:szCs w:val="22"/>
              </w:rPr>
            </w:pPr>
            <w:r w:rsidRPr="00615432">
              <w:rPr>
                <w:rFonts w:cs="Arial"/>
                <w:b/>
                <w:bCs/>
                <w:color w:val="000000"/>
                <w:sz w:val="22"/>
                <w:szCs w:val="22"/>
              </w:rPr>
              <w:t>Sub Total - NHS</w:t>
            </w:r>
          </w:p>
        </w:tc>
        <w:tc>
          <w:tcPr>
            <w:tcW w:w="1688" w:type="dxa"/>
            <w:tcBorders>
              <w:top w:val="nil"/>
              <w:left w:val="single" w:sz="4" w:space="0" w:color="auto"/>
              <w:bottom w:val="single" w:sz="4" w:space="0" w:color="auto"/>
              <w:right w:val="single" w:sz="4" w:space="0" w:color="auto"/>
            </w:tcBorders>
            <w:shd w:val="clear" w:color="auto" w:fill="C5D9F1"/>
            <w:vAlign w:val="center"/>
            <w:hideMark/>
          </w:tcPr>
          <w:p w:rsidR="00700D1B" w:rsidRPr="00615432" w:rsidP="00700D1B">
            <w:pPr>
              <w:jc w:val="right"/>
              <w:rPr>
                <w:rFonts w:cs="Arial"/>
                <w:b/>
                <w:bCs/>
                <w:color w:val="000000"/>
                <w:sz w:val="22"/>
                <w:szCs w:val="22"/>
              </w:rPr>
            </w:pPr>
            <w:r w:rsidRPr="00615432">
              <w:rPr>
                <w:rFonts w:cs="Arial"/>
                <w:b/>
                <w:bCs/>
                <w:color w:val="000000"/>
                <w:sz w:val="22"/>
                <w:szCs w:val="22"/>
              </w:rPr>
              <w:t>145,820.6</w:t>
            </w:r>
          </w:p>
        </w:tc>
        <w:tc>
          <w:tcPr>
            <w:tcW w:w="1197" w:type="dxa"/>
            <w:tcBorders>
              <w:top w:val="nil"/>
              <w:left w:val="nil"/>
              <w:bottom w:val="single" w:sz="4" w:space="0" w:color="auto"/>
              <w:right w:val="single" w:sz="4" w:space="0" w:color="auto"/>
            </w:tcBorders>
            <w:shd w:val="clear" w:color="auto" w:fill="C5D9F1"/>
            <w:vAlign w:val="center"/>
            <w:hideMark/>
          </w:tcPr>
          <w:p w:rsidR="00700D1B" w:rsidRPr="00615432" w:rsidP="00700D1B">
            <w:pPr>
              <w:jc w:val="right"/>
              <w:rPr>
                <w:rFonts w:cs="Arial"/>
                <w:b/>
                <w:bCs/>
                <w:color w:val="000000"/>
                <w:sz w:val="22"/>
                <w:szCs w:val="22"/>
              </w:rPr>
            </w:pPr>
            <w:r w:rsidRPr="00615432">
              <w:rPr>
                <w:rFonts w:cs="Arial"/>
                <w:b/>
                <w:bCs/>
                <w:color w:val="000000"/>
                <w:sz w:val="22"/>
                <w:szCs w:val="22"/>
              </w:rPr>
              <w:t>127,026.4</w:t>
            </w:r>
          </w:p>
        </w:tc>
        <w:tc>
          <w:tcPr>
            <w:tcW w:w="1556" w:type="dxa"/>
            <w:tcBorders>
              <w:top w:val="nil"/>
              <w:left w:val="nil"/>
              <w:bottom w:val="single" w:sz="4" w:space="0" w:color="auto"/>
              <w:right w:val="single" w:sz="4" w:space="0" w:color="auto"/>
            </w:tcBorders>
            <w:shd w:val="clear" w:color="auto" w:fill="C5D9F1"/>
            <w:vAlign w:val="center"/>
            <w:hideMark/>
          </w:tcPr>
          <w:p w:rsidR="00700D1B" w:rsidRPr="00615432" w:rsidP="00700D1B">
            <w:pPr>
              <w:jc w:val="right"/>
              <w:rPr>
                <w:rFonts w:cs="Arial"/>
                <w:color w:val="000000"/>
                <w:sz w:val="22"/>
                <w:szCs w:val="22"/>
              </w:rPr>
            </w:pPr>
            <w:r w:rsidRPr="00615432">
              <w:rPr>
                <w:rFonts w:cs="Arial"/>
                <w:color w:val="000000"/>
                <w:sz w:val="22"/>
                <w:szCs w:val="22"/>
              </w:rPr>
              <w:t>18,794.2</w:t>
            </w:r>
          </w:p>
        </w:tc>
        <w:tc>
          <w:tcPr>
            <w:tcW w:w="950" w:type="dxa"/>
            <w:tcBorders>
              <w:top w:val="nil"/>
              <w:left w:val="nil"/>
              <w:bottom w:val="single" w:sz="4" w:space="0" w:color="auto"/>
              <w:right w:val="single" w:sz="4" w:space="0" w:color="auto"/>
            </w:tcBorders>
            <w:shd w:val="clear" w:color="auto" w:fill="C5D9F1"/>
            <w:vAlign w:val="center"/>
            <w:hideMark/>
          </w:tcPr>
          <w:p w:rsidR="00700D1B" w:rsidRPr="00615432" w:rsidP="00700D1B">
            <w:pPr>
              <w:jc w:val="right"/>
              <w:rPr>
                <w:rFonts w:cs="Arial"/>
                <w:color w:val="000000"/>
                <w:sz w:val="22"/>
                <w:szCs w:val="22"/>
              </w:rPr>
            </w:pPr>
            <w:r w:rsidRPr="00615432">
              <w:rPr>
                <w:rFonts w:cs="Arial"/>
                <w:color w:val="000000"/>
                <w:sz w:val="22"/>
                <w:szCs w:val="22"/>
              </w:rPr>
              <w:t>15%</w:t>
            </w:r>
          </w:p>
        </w:tc>
        <w:tc>
          <w:tcPr>
            <w:tcW w:w="944" w:type="dxa"/>
            <w:tcBorders>
              <w:top w:val="nil"/>
              <w:left w:val="nil"/>
              <w:bottom w:val="single" w:sz="4" w:space="0" w:color="auto"/>
              <w:right w:val="single" w:sz="4" w:space="0" w:color="auto"/>
            </w:tcBorders>
            <w:shd w:val="clear" w:color="auto" w:fill="C5D9F1"/>
            <w:vAlign w:val="center"/>
            <w:hideMark/>
          </w:tcPr>
          <w:p w:rsidR="00700D1B" w:rsidRPr="00615432" w:rsidP="00700D1B">
            <w:pPr>
              <w:jc w:val="center"/>
              <w:rPr>
                <w:rFonts w:cs="Arial"/>
                <w:color w:val="000000"/>
                <w:sz w:val="22"/>
                <w:szCs w:val="22"/>
              </w:rPr>
            </w:pPr>
            <w:r w:rsidRPr="00615432">
              <w:rPr>
                <w:rFonts w:cs="Arial"/>
                <w:color w:val="000000"/>
                <w:sz w:val="22"/>
                <w:szCs w:val="22"/>
              </w:rPr>
              <w:t>a)</w:t>
            </w:r>
          </w:p>
        </w:tc>
      </w:tr>
      <w:tr w:rsidTr="00700D1B">
        <w:tblPrEx>
          <w:tblW w:w="10536" w:type="dxa"/>
          <w:tblLayout w:type="fixed"/>
          <w:tblLook w:val="04A0"/>
        </w:tblPrEx>
        <w:trPr>
          <w:trHeight w:val="570"/>
        </w:trPr>
        <w:tc>
          <w:tcPr>
            <w:tcW w:w="1076" w:type="dxa"/>
            <w:tcBorders>
              <w:top w:val="nil"/>
              <w:left w:val="single" w:sz="4" w:space="0" w:color="auto"/>
              <w:bottom w:val="single" w:sz="4" w:space="0" w:color="auto"/>
              <w:right w:val="single" w:sz="4" w:space="0" w:color="auto"/>
            </w:tcBorders>
            <w:shd w:val="clear" w:color="auto" w:fill="auto"/>
            <w:vAlign w:val="center"/>
            <w:hideMark/>
          </w:tcPr>
          <w:p w:rsidR="00700D1B" w:rsidRPr="00615432" w:rsidP="00700D1B">
            <w:pPr>
              <w:jc w:val="center"/>
              <w:rPr>
                <w:rFonts w:cs="Arial"/>
                <w:color w:val="000000"/>
                <w:sz w:val="22"/>
                <w:szCs w:val="22"/>
              </w:rPr>
            </w:pPr>
            <w:r w:rsidRPr="00615432">
              <w:rPr>
                <w:rFonts w:cs="Arial"/>
                <w:color w:val="000000"/>
                <w:sz w:val="22"/>
                <w:szCs w:val="22"/>
              </w:rPr>
              <w:t>C</w:t>
            </w:r>
          </w:p>
        </w:tc>
        <w:tc>
          <w:tcPr>
            <w:tcW w:w="3125" w:type="dxa"/>
            <w:tcBorders>
              <w:top w:val="nil"/>
              <w:left w:val="nil"/>
              <w:bottom w:val="single" w:sz="4" w:space="0" w:color="auto"/>
              <w:right w:val="nil"/>
            </w:tcBorders>
            <w:shd w:val="clear" w:color="auto" w:fill="auto"/>
            <w:vAlign w:val="center"/>
            <w:hideMark/>
          </w:tcPr>
          <w:p w:rsidR="00700D1B" w:rsidRPr="00615432" w:rsidP="00700D1B">
            <w:pPr>
              <w:rPr>
                <w:rFonts w:cs="Arial"/>
                <w:color w:val="000000"/>
                <w:sz w:val="22"/>
                <w:szCs w:val="22"/>
              </w:rPr>
            </w:pPr>
            <w:r w:rsidRPr="00615432">
              <w:rPr>
                <w:rFonts w:cs="Arial"/>
                <w:color w:val="000000"/>
                <w:sz w:val="22"/>
                <w:szCs w:val="22"/>
              </w:rPr>
              <w:t>DHSC programme and admin expenditure</w:t>
            </w:r>
          </w:p>
        </w:tc>
        <w:tc>
          <w:tcPr>
            <w:tcW w:w="1688" w:type="dxa"/>
            <w:tcBorders>
              <w:top w:val="nil"/>
              <w:left w:val="single" w:sz="4" w:space="0" w:color="auto"/>
              <w:bottom w:val="single" w:sz="4" w:space="0" w:color="auto"/>
              <w:right w:val="single" w:sz="4" w:space="0" w:color="auto"/>
            </w:tcBorders>
            <w:shd w:val="clear" w:color="auto" w:fill="auto"/>
            <w:vAlign w:val="center"/>
            <w:hideMark/>
          </w:tcPr>
          <w:p w:rsidR="00700D1B" w:rsidRPr="00615432" w:rsidP="00700D1B">
            <w:pPr>
              <w:jc w:val="right"/>
              <w:rPr>
                <w:rFonts w:cs="Arial"/>
                <w:color w:val="000000"/>
                <w:sz w:val="22"/>
                <w:szCs w:val="22"/>
              </w:rPr>
            </w:pPr>
            <w:r w:rsidRPr="00615432">
              <w:rPr>
                <w:rFonts w:cs="Arial"/>
                <w:color w:val="000000"/>
                <w:sz w:val="22"/>
                <w:szCs w:val="22"/>
              </w:rPr>
              <w:t>40,429.7</w:t>
            </w:r>
          </w:p>
        </w:tc>
        <w:tc>
          <w:tcPr>
            <w:tcW w:w="1197" w:type="dxa"/>
            <w:tcBorders>
              <w:top w:val="nil"/>
              <w:left w:val="nil"/>
              <w:bottom w:val="single" w:sz="4" w:space="0" w:color="auto"/>
              <w:right w:val="single" w:sz="4" w:space="0" w:color="auto"/>
            </w:tcBorders>
            <w:shd w:val="clear" w:color="auto" w:fill="auto"/>
            <w:vAlign w:val="center"/>
            <w:hideMark/>
          </w:tcPr>
          <w:p w:rsidR="00700D1B" w:rsidRPr="00615432" w:rsidP="00700D1B">
            <w:pPr>
              <w:jc w:val="right"/>
              <w:rPr>
                <w:rFonts w:cs="Arial"/>
                <w:color w:val="000000"/>
                <w:sz w:val="22"/>
                <w:szCs w:val="22"/>
              </w:rPr>
            </w:pPr>
            <w:r w:rsidRPr="00615432">
              <w:rPr>
                <w:rFonts w:cs="Arial"/>
                <w:color w:val="000000"/>
                <w:sz w:val="22"/>
                <w:szCs w:val="22"/>
              </w:rPr>
              <w:t>5,628.6</w:t>
            </w:r>
          </w:p>
        </w:tc>
        <w:tc>
          <w:tcPr>
            <w:tcW w:w="1556" w:type="dxa"/>
            <w:tcBorders>
              <w:top w:val="nil"/>
              <w:left w:val="nil"/>
              <w:bottom w:val="single" w:sz="4" w:space="0" w:color="auto"/>
              <w:right w:val="single" w:sz="4" w:space="0" w:color="auto"/>
            </w:tcBorders>
            <w:shd w:val="clear" w:color="auto" w:fill="auto"/>
            <w:vAlign w:val="center"/>
            <w:hideMark/>
          </w:tcPr>
          <w:p w:rsidR="00700D1B" w:rsidRPr="00615432" w:rsidP="00700D1B">
            <w:pPr>
              <w:jc w:val="right"/>
              <w:rPr>
                <w:rFonts w:cs="Arial"/>
                <w:color w:val="000000"/>
                <w:sz w:val="22"/>
                <w:szCs w:val="22"/>
              </w:rPr>
            </w:pPr>
            <w:r w:rsidRPr="00615432">
              <w:rPr>
                <w:rFonts w:cs="Arial"/>
                <w:color w:val="000000"/>
                <w:sz w:val="22"/>
                <w:szCs w:val="22"/>
              </w:rPr>
              <w:t>34,801.1</w:t>
            </w:r>
          </w:p>
        </w:tc>
        <w:tc>
          <w:tcPr>
            <w:tcW w:w="950" w:type="dxa"/>
            <w:tcBorders>
              <w:top w:val="nil"/>
              <w:left w:val="nil"/>
              <w:bottom w:val="single" w:sz="4" w:space="0" w:color="auto"/>
              <w:right w:val="single" w:sz="4" w:space="0" w:color="auto"/>
            </w:tcBorders>
            <w:shd w:val="clear" w:color="auto" w:fill="auto"/>
            <w:vAlign w:val="center"/>
            <w:hideMark/>
          </w:tcPr>
          <w:p w:rsidR="00700D1B" w:rsidRPr="00615432" w:rsidP="00700D1B">
            <w:pPr>
              <w:jc w:val="right"/>
              <w:rPr>
                <w:rFonts w:cs="Arial"/>
                <w:color w:val="000000"/>
                <w:sz w:val="22"/>
                <w:szCs w:val="22"/>
              </w:rPr>
            </w:pPr>
            <w:r w:rsidRPr="00615432">
              <w:rPr>
                <w:rFonts w:cs="Arial"/>
                <w:color w:val="000000"/>
                <w:sz w:val="22"/>
                <w:szCs w:val="22"/>
              </w:rPr>
              <w:t>618%</w:t>
            </w:r>
          </w:p>
        </w:tc>
        <w:tc>
          <w:tcPr>
            <w:tcW w:w="944" w:type="dxa"/>
            <w:tcBorders>
              <w:top w:val="nil"/>
              <w:left w:val="nil"/>
              <w:bottom w:val="single" w:sz="4" w:space="0" w:color="auto"/>
              <w:right w:val="single" w:sz="4" w:space="0" w:color="auto"/>
            </w:tcBorders>
            <w:shd w:val="clear" w:color="auto" w:fill="auto"/>
            <w:vAlign w:val="center"/>
            <w:hideMark/>
          </w:tcPr>
          <w:p w:rsidR="00700D1B" w:rsidRPr="00615432" w:rsidP="00700D1B">
            <w:pPr>
              <w:jc w:val="center"/>
              <w:rPr>
                <w:rFonts w:cs="Arial"/>
                <w:color w:val="000000"/>
                <w:sz w:val="22"/>
                <w:szCs w:val="22"/>
              </w:rPr>
            </w:pPr>
            <w:r w:rsidRPr="00615432">
              <w:rPr>
                <w:rFonts w:cs="Arial"/>
                <w:color w:val="000000"/>
                <w:sz w:val="22"/>
                <w:szCs w:val="22"/>
              </w:rPr>
              <w:t>b)</w:t>
            </w:r>
          </w:p>
        </w:tc>
      </w:tr>
      <w:tr w:rsidTr="00700D1B">
        <w:tblPrEx>
          <w:tblW w:w="10536" w:type="dxa"/>
          <w:tblLayout w:type="fixed"/>
          <w:tblLook w:val="04A0"/>
        </w:tblPrEx>
        <w:trPr>
          <w:trHeight w:val="285"/>
        </w:trPr>
        <w:tc>
          <w:tcPr>
            <w:tcW w:w="10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00D1B" w:rsidRPr="00615432" w:rsidP="00700D1B">
            <w:pPr>
              <w:jc w:val="center"/>
              <w:rPr>
                <w:rFonts w:cs="Arial"/>
                <w:color w:val="000000"/>
                <w:sz w:val="22"/>
                <w:szCs w:val="22"/>
              </w:rPr>
            </w:pPr>
            <w:r w:rsidRPr="00615432">
              <w:rPr>
                <w:rFonts w:cs="Arial"/>
                <w:color w:val="000000"/>
                <w:sz w:val="22"/>
                <w:szCs w:val="22"/>
              </w:rPr>
              <w:t>D</w:t>
            </w:r>
          </w:p>
        </w:tc>
        <w:tc>
          <w:tcPr>
            <w:tcW w:w="3125" w:type="dxa"/>
            <w:tcBorders>
              <w:top w:val="single" w:sz="4" w:space="0" w:color="auto"/>
              <w:left w:val="nil"/>
              <w:bottom w:val="single" w:sz="4" w:space="0" w:color="auto"/>
              <w:right w:val="single" w:sz="4" w:space="0" w:color="auto"/>
            </w:tcBorders>
            <w:shd w:val="clear" w:color="auto" w:fill="auto"/>
            <w:vAlign w:val="center"/>
            <w:hideMark/>
          </w:tcPr>
          <w:p w:rsidR="00700D1B" w:rsidRPr="00615432" w:rsidP="00700D1B">
            <w:pPr>
              <w:rPr>
                <w:rFonts w:cs="Arial"/>
                <w:color w:val="000000"/>
                <w:sz w:val="22"/>
                <w:szCs w:val="22"/>
              </w:rPr>
            </w:pPr>
            <w:r w:rsidRPr="00615432">
              <w:rPr>
                <w:rFonts w:cs="Arial"/>
                <w:color w:val="000000"/>
                <w:sz w:val="22"/>
                <w:szCs w:val="22"/>
              </w:rPr>
              <w:t>Local Authorities (Public Health)</w:t>
            </w:r>
          </w:p>
        </w:tc>
        <w:tc>
          <w:tcPr>
            <w:tcW w:w="1688" w:type="dxa"/>
            <w:tcBorders>
              <w:top w:val="nil"/>
              <w:left w:val="nil"/>
              <w:bottom w:val="single" w:sz="4" w:space="0" w:color="auto"/>
              <w:right w:val="single" w:sz="4" w:space="0" w:color="auto"/>
            </w:tcBorders>
            <w:shd w:val="clear" w:color="auto" w:fill="auto"/>
            <w:vAlign w:val="center"/>
            <w:hideMark/>
          </w:tcPr>
          <w:p w:rsidR="00700D1B" w:rsidRPr="00615432" w:rsidP="00700D1B">
            <w:pPr>
              <w:jc w:val="right"/>
              <w:rPr>
                <w:rFonts w:cs="Arial"/>
                <w:color w:val="000000"/>
                <w:sz w:val="22"/>
                <w:szCs w:val="22"/>
              </w:rPr>
            </w:pPr>
            <w:r w:rsidRPr="00615432">
              <w:rPr>
                <w:rFonts w:cs="Arial"/>
                <w:color w:val="000000"/>
                <w:sz w:val="22"/>
                <w:szCs w:val="22"/>
              </w:rPr>
              <w:t>4,205.0</w:t>
            </w:r>
          </w:p>
        </w:tc>
        <w:tc>
          <w:tcPr>
            <w:tcW w:w="1197" w:type="dxa"/>
            <w:tcBorders>
              <w:top w:val="nil"/>
              <w:left w:val="nil"/>
              <w:bottom w:val="single" w:sz="4" w:space="0" w:color="auto"/>
              <w:right w:val="single" w:sz="4" w:space="0" w:color="auto"/>
            </w:tcBorders>
            <w:shd w:val="clear" w:color="auto" w:fill="auto"/>
            <w:vAlign w:val="center"/>
            <w:hideMark/>
          </w:tcPr>
          <w:p w:rsidR="00700D1B" w:rsidRPr="00615432" w:rsidP="00700D1B">
            <w:pPr>
              <w:jc w:val="right"/>
              <w:rPr>
                <w:rFonts w:cs="Arial"/>
                <w:color w:val="000000"/>
                <w:sz w:val="22"/>
                <w:szCs w:val="22"/>
              </w:rPr>
            </w:pPr>
            <w:r w:rsidRPr="00615432">
              <w:rPr>
                <w:rFonts w:cs="Arial"/>
                <w:color w:val="000000"/>
                <w:sz w:val="22"/>
                <w:szCs w:val="22"/>
              </w:rPr>
              <w:t>3,279.0</w:t>
            </w:r>
          </w:p>
        </w:tc>
        <w:tc>
          <w:tcPr>
            <w:tcW w:w="1556" w:type="dxa"/>
            <w:tcBorders>
              <w:top w:val="nil"/>
              <w:left w:val="nil"/>
              <w:bottom w:val="single" w:sz="4" w:space="0" w:color="auto"/>
              <w:right w:val="single" w:sz="4" w:space="0" w:color="auto"/>
            </w:tcBorders>
            <w:shd w:val="clear" w:color="auto" w:fill="auto"/>
            <w:vAlign w:val="center"/>
            <w:hideMark/>
          </w:tcPr>
          <w:p w:rsidR="00700D1B" w:rsidRPr="00615432" w:rsidP="00700D1B">
            <w:pPr>
              <w:jc w:val="right"/>
              <w:rPr>
                <w:rFonts w:cs="Arial"/>
                <w:color w:val="000000"/>
                <w:sz w:val="22"/>
                <w:szCs w:val="22"/>
              </w:rPr>
            </w:pPr>
            <w:r w:rsidRPr="00615432">
              <w:rPr>
                <w:rFonts w:cs="Arial"/>
                <w:color w:val="000000"/>
                <w:sz w:val="22"/>
                <w:szCs w:val="22"/>
              </w:rPr>
              <w:t>926.0</w:t>
            </w:r>
          </w:p>
        </w:tc>
        <w:tc>
          <w:tcPr>
            <w:tcW w:w="950" w:type="dxa"/>
            <w:tcBorders>
              <w:top w:val="nil"/>
              <w:left w:val="nil"/>
              <w:bottom w:val="single" w:sz="4" w:space="0" w:color="auto"/>
              <w:right w:val="single" w:sz="4" w:space="0" w:color="auto"/>
            </w:tcBorders>
            <w:shd w:val="clear" w:color="auto" w:fill="auto"/>
            <w:vAlign w:val="center"/>
            <w:hideMark/>
          </w:tcPr>
          <w:p w:rsidR="00700D1B" w:rsidRPr="00615432" w:rsidP="00700D1B">
            <w:pPr>
              <w:jc w:val="right"/>
              <w:rPr>
                <w:rFonts w:cs="Arial"/>
                <w:color w:val="000000"/>
                <w:sz w:val="22"/>
                <w:szCs w:val="22"/>
              </w:rPr>
            </w:pPr>
            <w:r w:rsidRPr="00615432">
              <w:rPr>
                <w:rFonts w:cs="Arial"/>
                <w:color w:val="000000"/>
                <w:sz w:val="22"/>
                <w:szCs w:val="22"/>
              </w:rPr>
              <w:t>28%</w:t>
            </w:r>
          </w:p>
        </w:tc>
        <w:tc>
          <w:tcPr>
            <w:tcW w:w="944" w:type="dxa"/>
            <w:tcBorders>
              <w:top w:val="nil"/>
              <w:left w:val="nil"/>
              <w:bottom w:val="single" w:sz="4" w:space="0" w:color="auto"/>
              <w:right w:val="single" w:sz="4" w:space="0" w:color="auto"/>
            </w:tcBorders>
            <w:shd w:val="clear" w:color="auto" w:fill="auto"/>
            <w:vAlign w:val="center"/>
            <w:hideMark/>
          </w:tcPr>
          <w:p w:rsidR="00700D1B" w:rsidRPr="00615432" w:rsidP="00700D1B">
            <w:pPr>
              <w:jc w:val="center"/>
              <w:rPr>
                <w:rFonts w:cs="Arial"/>
                <w:color w:val="000000"/>
                <w:sz w:val="22"/>
                <w:szCs w:val="22"/>
              </w:rPr>
            </w:pPr>
            <w:r w:rsidRPr="00615432">
              <w:rPr>
                <w:rFonts w:cs="Arial"/>
                <w:color w:val="000000"/>
                <w:sz w:val="22"/>
                <w:szCs w:val="22"/>
              </w:rPr>
              <w:t>c)</w:t>
            </w:r>
          </w:p>
        </w:tc>
      </w:tr>
      <w:tr w:rsidTr="00700D1B">
        <w:tblPrEx>
          <w:tblW w:w="10536" w:type="dxa"/>
          <w:tblLayout w:type="fixed"/>
          <w:tblLook w:val="04A0"/>
        </w:tblPrEx>
        <w:trPr>
          <w:trHeight w:val="570"/>
        </w:trPr>
        <w:tc>
          <w:tcPr>
            <w:tcW w:w="1076" w:type="dxa"/>
            <w:tcBorders>
              <w:top w:val="nil"/>
              <w:left w:val="single" w:sz="4" w:space="0" w:color="auto"/>
              <w:bottom w:val="single" w:sz="4" w:space="0" w:color="auto"/>
              <w:right w:val="single" w:sz="4" w:space="0" w:color="auto"/>
            </w:tcBorders>
            <w:shd w:val="clear" w:color="auto" w:fill="auto"/>
            <w:vAlign w:val="center"/>
            <w:hideMark/>
          </w:tcPr>
          <w:p w:rsidR="00700D1B" w:rsidRPr="00615432" w:rsidP="00700D1B">
            <w:pPr>
              <w:jc w:val="center"/>
              <w:rPr>
                <w:rFonts w:cs="Arial"/>
                <w:color w:val="000000"/>
                <w:sz w:val="22"/>
                <w:szCs w:val="22"/>
              </w:rPr>
            </w:pPr>
            <w:r w:rsidRPr="00615432">
              <w:rPr>
                <w:rFonts w:cs="Arial"/>
                <w:color w:val="000000"/>
                <w:sz w:val="22"/>
                <w:szCs w:val="22"/>
              </w:rPr>
              <w:t>E</w:t>
            </w:r>
          </w:p>
        </w:tc>
        <w:tc>
          <w:tcPr>
            <w:tcW w:w="3125" w:type="dxa"/>
            <w:tcBorders>
              <w:top w:val="nil"/>
              <w:left w:val="nil"/>
              <w:bottom w:val="single" w:sz="4" w:space="0" w:color="auto"/>
              <w:right w:val="single" w:sz="4" w:space="0" w:color="auto"/>
            </w:tcBorders>
            <w:shd w:val="clear" w:color="auto" w:fill="auto"/>
            <w:vAlign w:val="center"/>
            <w:hideMark/>
          </w:tcPr>
          <w:p w:rsidR="00700D1B" w:rsidRPr="00615432" w:rsidP="00700D1B">
            <w:pPr>
              <w:rPr>
                <w:rFonts w:cs="Arial"/>
                <w:color w:val="000000"/>
                <w:sz w:val="22"/>
                <w:szCs w:val="22"/>
              </w:rPr>
            </w:pPr>
            <w:r w:rsidRPr="00615432">
              <w:rPr>
                <w:rFonts w:cs="Arial"/>
                <w:color w:val="000000"/>
                <w:sz w:val="22"/>
                <w:szCs w:val="22"/>
              </w:rPr>
              <w:t>Public Health England (Executive Agency)</w:t>
            </w:r>
          </w:p>
        </w:tc>
        <w:tc>
          <w:tcPr>
            <w:tcW w:w="1688" w:type="dxa"/>
            <w:tcBorders>
              <w:top w:val="nil"/>
              <w:left w:val="nil"/>
              <w:bottom w:val="single" w:sz="4" w:space="0" w:color="auto"/>
              <w:right w:val="single" w:sz="4" w:space="0" w:color="auto"/>
            </w:tcBorders>
            <w:shd w:val="clear" w:color="auto" w:fill="auto"/>
            <w:vAlign w:val="center"/>
            <w:hideMark/>
          </w:tcPr>
          <w:p w:rsidR="00700D1B" w:rsidRPr="00615432" w:rsidP="00700D1B">
            <w:pPr>
              <w:jc w:val="right"/>
              <w:rPr>
                <w:rFonts w:cs="Arial"/>
                <w:color w:val="000000"/>
                <w:sz w:val="22"/>
                <w:szCs w:val="22"/>
              </w:rPr>
            </w:pPr>
            <w:r w:rsidRPr="00615432">
              <w:rPr>
                <w:rFonts w:cs="Arial"/>
                <w:color w:val="000000"/>
                <w:sz w:val="22"/>
                <w:szCs w:val="22"/>
              </w:rPr>
              <w:t>1,498.8</w:t>
            </w:r>
          </w:p>
        </w:tc>
        <w:tc>
          <w:tcPr>
            <w:tcW w:w="1197" w:type="dxa"/>
            <w:tcBorders>
              <w:top w:val="nil"/>
              <w:left w:val="nil"/>
              <w:bottom w:val="single" w:sz="4" w:space="0" w:color="auto"/>
              <w:right w:val="single" w:sz="4" w:space="0" w:color="auto"/>
            </w:tcBorders>
            <w:shd w:val="clear" w:color="auto" w:fill="auto"/>
            <w:vAlign w:val="center"/>
            <w:hideMark/>
          </w:tcPr>
          <w:p w:rsidR="00700D1B" w:rsidRPr="00615432" w:rsidP="00700D1B">
            <w:pPr>
              <w:jc w:val="right"/>
              <w:rPr>
                <w:rFonts w:cs="Arial"/>
                <w:color w:val="000000"/>
                <w:sz w:val="22"/>
                <w:szCs w:val="22"/>
              </w:rPr>
            </w:pPr>
            <w:r w:rsidRPr="00615432">
              <w:rPr>
                <w:rFonts w:cs="Arial"/>
                <w:color w:val="000000"/>
                <w:sz w:val="22"/>
                <w:szCs w:val="22"/>
              </w:rPr>
              <w:t>813.9</w:t>
            </w:r>
          </w:p>
        </w:tc>
        <w:tc>
          <w:tcPr>
            <w:tcW w:w="1556" w:type="dxa"/>
            <w:tcBorders>
              <w:top w:val="nil"/>
              <w:left w:val="nil"/>
              <w:bottom w:val="single" w:sz="4" w:space="0" w:color="auto"/>
              <w:right w:val="single" w:sz="4" w:space="0" w:color="auto"/>
            </w:tcBorders>
            <w:shd w:val="clear" w:color="auto" w:fill="auto"/>
            <w:vAlign w:val="center"/>
            <w:hideMark/>
          </w:tcPr>
          <w:p w:rsidR="00700D1B" w:rsidRPr="00615432" w:rsidP="00700D1B">
            <w:pPr>
              <w:jc w:val="right"/>
              <w:rPr>
                <w:rFonts w:cs="Arial"/>
                <w:color w:val="000000"/>
                <w:sz w:val="22"/>
                <w:szCs w:val="22"/>
              </w:rPr>
            </w:pPr>
            <w:r w:rsidRPr="00615432">
              <w:rPr>
                <w:rFonts w:cs="Arial"/>
                <w:color w:val="000000"/>
                <w:sz w:val="22"/>
                <w:szCs w:val="22"/>
              </w:rPr>
              <w:t>684.9</w:t>
            </w:r>
          </w:p>
        </w:tc>
        <w:tc>
          <w:tcPr>
            <w:tcW w:w="950" w:type="dxa"/>
            <w:tcBorders>
              <w:top w:val="nil"/>
              <w:left w:val="nil"/>
              <w:bottom w:val="single" w:sz="4" w:space="0" w:color="auto"/>
              <w:right w:val="single" w:sz="4" w:space="0" w:color="auto"/>
            </w:tcBorders>
            <w:shd w:val="clear" w:color="auto" w:fill="auto"/>
            <w:vAlign w:val="center"/>
            <w:hideMark/>
          </w:tcPr>
          <w:p w:rsidR="00700D1B" w:rsidRPr="00615432" w:rsidP="00700D1B">
            <w:pPr>
              <w:jc w:val="right"/>
              <w:rPr>
                <w:rFonts w:cs="Arial"/>
                <w:color w:val="000000"/>
                <w:sz w:val="22"/>
                <w:szCs w:val="22"/>
              </w:rPr>
            </w:pPr>
            <w:r w:rsidRPr="00615432">
              <w:rPr>
                <w:rFonts w:cs="Arial"/>
                <w:color w:val="000000"/>
                <w:sz w:val="22"/>
                <w:szCs w:val="22"/>
              </w:rPr>
              <w:t>84%</w:t>
            </w:r>
          </w:p>
        </w:tc>
        <w:tc>
          <w:tcPr>
            <w:tcW w:w="944" w:type="dxa"/>
            <w:tcBorders>
              <w:top w:val="nil"/>
              <w:left w:val="nil"/>
              <w:bottom w:val="single" w:sz="4" w:space="0" w:color="auto"/>
              <w:right w:val="single" w:sz="4" w:space="0" w:color="auto"/>
            </w:tcBorders>
            <w:shd w:val="clear" w:color="auto" w:fill="auto"/>
            <w:vAlign w:val="center"/>
            <w:hideMark/>
          </w:tcPr>
          <w:p w:rsidR="00700D1B" w:rsidRPr="00615432" w:rsidP="00700D1B">
            <w:pPr>
              <w:jc w:val="center"/>
              <w:rPr>
                <w:rFonts w:cs="Arial"/>
                <w:color w:val="000000"/>
                <w:sz w:val="22"/>
                <w:szCs w:val="22"/>
              </w:rPr>
            </w:pPr>
            <w:r w:rsidRPr="00615432">
              <w:rPr>
                <w:rFonts w:cs="Arial"/>
                <w:color w:val="000000"/>
                <w:sz w:val="22"/>
                <w:szCs w:val="22"/>
              </w:rPr>
              <w:t>d)</w:t>
            </w:r>
          </w:p>
        </w:tc>
      </w:tr>
      <w:tr w:rsidTr="00700D1B">
        <w:tblPrEx>
          <w:tblW w:w="10536" w:type="dxa"/>
          <w:tblLayout w:type="fixed"/>
          <w:tblLook w:val="04A0"/>
        </w:tblPrEx>
        <w:trPr>
          <w:trHeight w:val="285"/>
        </w:trPr>
        <w:tc>
          <w:tcPr>
            <w:tcW w:w="1076" w:type="dxa"/>
            <w:tcBorders>
              <w:top w:val="nil"/>
              <w:left w:val="single" w:sz="4" w:space="0" w:color="auto"/>
              <w:bottom w:val="single" w:sz="4" w:space="0" w:color="auto"/>
              <w:right w:val="single" w:sz="4" w:space="0" w:color="auto"/>
            </w:tcBorders>
            <w:shd w:val="clear" w:color="auto" w:fill="auto"/>
            <w:vAlign w:val="center"/>
            <w:hideMark/>
          </w:tcPr>
          <w:p w:rsidR="00700D1B" w:rsidRPr="00615432" w:rsidP="00700D1B">
            <w:pPr>
              <w:jc w:val="center"/>
              <w:rPr>
                <w:rFonts w:cs="Arial"/>
                <w:color w:val="000000"/>
                <w:sz w:val="22"/>
                <w:szCs w:val="22"/>
              </w:rPr>
            </w:pPr>
            <w:r w:rsidRPr="00615432">
              <w:rPr>
                <w:rFonts w:cs="Arial"/>
                <w:color w:val="000000"/>
                <w:sz w:val="22"/>
                <w:szCs w:val="22"/>
              </w:rPr>
              <w:t>F</w:t>
            </w:r>
          </w:p>
        </w:tc>
        <w:tc>
          <w:tcPr>
            <w:tcW w:w="3125" w:type="dxa"/>
            <w:tcBorders>
              <w:top w:val="nil"/>
              <w:left w:val="nil"/>
              <w:bottom w:val="single" w:sz="4" w:space="0" w:color="auto"/>
              <w:right w:val="single" w:sz="4" w:space="0" w:color="auto"/>
            </w:tcBorders>
            <w:shd w:val="clear" w:color="auto" w:fill="auto"/>
            <w:vAlign w:val="center"/>
            <w:hideMark/>
          </w:tcPr>
          <w:p w:rsidR="00700D1B" w:rsidRPr="00615432" w:rsidP="00700D1B">
            <w:pPr>
              <w:rPr>
                <w:rFonts w:cs="Arial"/>
                <w:color w:val="000000"/>
                <w:sz w:val="22"/>
                <w:szCs w:val="22"/>
              </w:rPr>
            </w:pPr>
            <w:r w:rsidRPr="00615432">
              <w:rPr>
                <w:rFonts w:cs="Arial"/>
                <w:color w:val="000000"/>
                <w:sz w:val="22"/>
                <w:szCs w:val="22"/>
              </w:rPr>
              <w:t>Health Education England</w:t>
            </w:r>
          </w:p>
        </w:tc>
        <w:tc>
          <w:tcPr>
            <w:tcW w:w="1688" w:type="dxa"/>
            <w:tcBorders>
              <w:top w:val="nil"/>
              <w:left w:val="nil"/>
              <w:bottom w:val="single" w:sz="4" w:space="0" w:color="auto"/>
              <w:right w:val="single" w:sz="4" w:space="0" w:color="auto"/>
            </w:tcBorders>
            <w:shd w:val="clear" w:color="auto" w:fill="auto"/>
            <w:vAlign w:val="center"/>
            <w:hideMark/>
          </w:tcPr>
          <w:p w:rsidR="00700D1B" w:rsidRPr="00615432" w:rsidP="00700D1B">
            <w:pPr>
              <w:jc w:val="right"/>
              <w:rPr>
                <w:rFonts w:cs="Arial"/>
                <w:color w:val="000000"/>
                <w:sz w:val="22"/>
                <w:szCs w:val="22"/>
              </w:rPr>
            </w:pPr>
            <w:r w:rsidRPr="00615432">
              <w:rPr>
                <w:rFonts w:cs="Arial"/>
                <w:color w:val="000000"/>
                <w:sz w:val="22"/>
                <w:szCs w:val="22"/>
              </w:rPr>
              <w:t>1,545.7</w:t>
            </w:r>
          </w:p>
        </w:tc>
        <w:tc>
          <w:tcPr>
            <w:tcW w:w="1197" w:type="dxa"/>
            <w:tcBorders>
              <w:top w:val="nil"/>
              <w:left w:val="nil"/>
              <w:bottom w:val="single" w:sz="4" w:space="0" w:color="auto"/>
              <w:right w:val="single" w:sz="4" w:space="0" w:color="auto"/>
            </w:tcBorders>
            <w:shd w:val="clear" w:color="auto" w:fill="auto"/>
            <w:vAlign w:val="center"/>
            <w:hideMark/>
          </w:tcPr>
          <w:p w:rsidR="00700D1B" w:rsidRPr="00615432" w:rsidP="00700D1B">
            <w:pPr>
              <w:jc w:val="right"/>
              <w:rPr>
                <w:rFonts w:cs="Arial"/>
                <w:color w:val="000000"/>
                <w:sz w:val="22"/>
                <w:szCs w:val="22"/>
              </w:rPr>
            </w:pPr>
            <w:r w:rsidRPr="00615432">
              <w:rPr>
                <w:rFonts w:cs="Arial"/>
                <w:color w:val="000000"/>
                <w:sz w:val="22"/>
                <w:szCs w:val="22"/>
              </w:rPr>
              <w:t>1,851.6</w:t>
            </w:r>
          </w:p>
        </w:tc>
        <w:tc>
          <w:tcPr>
            <w:tcW w:w="1556" w:type="dxa"/>
            <w:tcBorders>
              <w:top w:val="nil"/>
              <w:left w:val="nil"/>
              <w:bottom w:val="single" w:sz="4" w:space="0" w:color="auto"/>
              <w:right w:val="single" w:sz="4" w:space="0" w:color="auto"/>
            </w:tcBorders>
            <w:shd w:val="clear" w:color="auto" w:fill="auto"/>
            <w:vAlign w:val="center"/>
            <w:hideMark/>
          </w:tcPr>
          <w:p w:rsidR="00700D1B" w:rsidRPr="00615432" w:rsidP="00700D1B">
            <w:pPr>
              <w:jc w:val="right"/>
              <w:rPr>
                <w:rFonts w:cs="Arial"/>
                <w:color w:val="000000"/>
                <w:sz w:val="22"/>
                <w:szCs w:val="22"/>
              </w:rPr>
            </w:pPr>
            <w:r w:rsidRPr="00615432">
              <w:rPr>
                <w:rFonts w:cs="Arial"/>
                <w:color w:val="FF0000"/>
                <w:sz w:val="22"/>
                <w:szCs w:val="22"/>
              </w:rPr>
              <w:t>(306.0)</w:t>
            </w:r>
          </w:p>
        </w:tc>
        <w:tc>
          <w:tcPr>
            <w:tcW w:w="9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00D1B" w:rsidRPr="00615432" w:rsidP="00700D1B">
            <w:pPr>
              <w:jc w:val="right"/>
              <w:rPr>
                <w:rFonts w:cs="Arial"/>
                <w:color w:val="FF0000"/>
                <w:sz w:val="22"/>
                <w:szCs w:val="22"/>
              </w:rPr>
            </w:pPr>
            <w:r w:rsidRPr="00615432">
              <w:rPr>
                <w:rFonts w:cs="Arial"/>
                <w:color w:val="FF0000"/>
                <w:sz w:val="22"/>
                <w:szCs w:val="22"/>
              </w:rPr>
              <w:t>-17%</w:t>
            </w:r>
          </w:p>
        </w:tc>
        <w:tc>
          <w:tcPr>
            <w:tcW w:w="944" w:type="dxa"/>
            <w:tcBorders>
              <w:top w:val="nil"/>
              <w:left w:val="nil"/>
              <w:bottom w:val="single" w:sz="4" w:space="0" w:color="auto"/>
              <w:right w:val="single" w:sz="4" w:space="0" w:color="auto"/>
            </w:tcBorders>
            <w:shd w:val="clear" w:color="auto" w:fill="auto"/>
            <w:vAlign w:val="center"/>
            <w:hideMark/>
          </w:tcPr>
          <w:p w:rsidR="00700D1B" w:rsidRPr="00615432" w:rsidP="00700D1B">
            <w:pPr>
              <w:jc w:val="center"/>
              <w:rPr>
                <w:rFonts w:cs="Arial"/>
                <w:color w:val="000000"/>
                <w:sz w:val="22"/>
                <w:szCs w:val="22"/>
              </w:rPr>
            </w:pPr>
            <w:r w:rsidRPr="00615432">
              <w:rPr>
                <w:rFonts w:cs="Arial"/>
                <w:color w:val="000000"/>
                <w:sz w:val="22"/>
                <w:szCs w:val="22"/>
              </w:rPr>
              <w:t>e)</w:t>
            </w:r>
          </w:p>
        </w:tc>
      </w:tr>
      <w:tr w:rsidTr="00700D1B">
        <w:tblPrEx>
          <w:tblW w:w="10536" w:type="dxa"/>
          <w:tblLayout w:type="fixed"/>
          <w:tblLook w:val="04A0"/>
        </w:tblPrEx>
        <w:trPr>
          <w:trHeight w:val="855"/>
        </w:trPr>
        <w:tc>
          <w:tcPr>
            <w:tcW w:w="1076" w:type="dxa"/>
            <w:tcBorders>
              <w:top w:val="nil"/>
              <w:left w:val="single" w:sz="4" w:space="0" w:color="auto"/>
              <w:bottom w:val="single" w:sz="4" w:space="0" w:color="auto"/>
              <w:right w:val="single" w:sz="4" w:space="0" w:color="auto"/>
            </w:tcBorders>
            <w:shd w:val="clear" w:color="auto" w:fill="auto"/>
            <w:vAlign w:val="center"/>
            <w:hideMark/>
          </w:tcPr>
          <w:p w:rsidR="00700D1B" w:rsidRPr="00615432" w:rsidP="00700D1B">
            <w:pPr>
              <w:jc w:val="center"/>
              <w:rPr>
                <w:rFonts w:cs="Arial"/>
                <w:color w:val="000000"/>
                <w:sz w:val="22"/>
                <w:szCs w:val="22"/>
              </w:rPr>
            </w:pPr>
            <w:r w:rsidRPr="00615432">
              <w:rPr>
                <w:rFonts w:cs="Arial"/>
                <w:color w:val="000000"/>
                <w:sz w:val="22"/>
                <w:szCs w:val="22"/>
              </w:rPr>
              <w:t>G, H &amp; I</w:t>
            </w:r>
          </w:p>
        </w:tc>
        <w:tc>
          <w:tcPr>
            <w:tcW w:w="3125" w:type="dxa"/>
            <w:tcBorders>
              <w:top w:val="single" w:sz="4" w:space="0" w:color="auto"/>
              <w:left w:val="single" w:sz="4" w:space="0" w:color="auto"/>
              <w:bottom w:val="nil"/>
              <w:right w:val="single" w:sz="4" w:space="0" w:color="auto"/>
            </w:tcBorders>
            <w:shd w:val="clear" w:color="auto" w:fill="auto"/>
            <w:vAlign w:val="center"/>
            <w:hideMark/>
          </w:tcPr>
          <w:p w:rsidR="00700D1B" w:rsidRPr="00615432" w:rsidP="00700D1B">
            <w:pPr>
              <w:rPr>
                <w:rFonts w:cs="Arial"/>
                <w:color w:val="000000"/>
                <w:sz w:val="22"/>
                <w:szCs w:val="22"/>
              </w:rPr>
            </w:pPr>
            <w:r w:rsidRPr="00615432">
              <w:rPr>
                <w:rFonts w:cs="Arial"/>
                <w:color w:val="000000"/>
                <w:sz w:val="22"/>
                <w:szCs w:val="22"/>
              </w:rPr>
              <w:t>Special Health Authorities, NDPB's and ALB's and Other Bodies</w:t>
            </w:r>
          </w:p>
        </w:tc>
        <w:tc>
          <w:tcPr>
            <w:tcW w:w="1688" w:type="dxa"/>
            <w:tcBorders>
              <w:top w:val="nil"/>
              <w:left w:val="single" w:sz="4" w:space="0" w:color="auto"/>
              <w:bottom w:val="single" w:sz="4" w:space="0" w:color="auto"/>
              <w:right w:val="single" w:sz="4" w:space="0" w:color="auto"/>
            </w:tcBorders>
            <w:shd w:val="clear" w:color="auto" w:fill="auto"/>
            <w:vAlign w:val="center"/>
            <w:hideMark/>
          </w:tcPr>
          <w:p w:rsidR="00700D1B" w:rsidRPr="00615432" w:rsidP="00700D1B">
            <w:pPr>
              <w:jc w:val="right"/>
              <w:rPr>
                <w:rFonts w:cs="Arial"/>
                <w:color w:val="000000"/>
                <w:sz w:val="22"/>
                <w:szCs w:val="22"/>
              </w:rPr>
            </w:pPr>
            <w:r w:rsidRPr="00615432">
              <w:rPr>
                <w:rFonts w:cs="Arial"/>
                <w:color w:val="000000"/>
                <w:sz w:val="22"/>
                <w:szCs w:val="22"/>
              </w:rPr>
              <w:t>7,255.4</w:t>
            </w:r>
          </w:p>
        </w:tc>
        <w:tc>
          <w:tcPr>
            <w:tcW w:w="1197" w:type="dxa"/>
            <w:tcBorders>
              <w:top w:val="nil"/>
              <w:left w:val="nil"/>
              <w:bottom w:val="single" w:sz="4" w:space="0" w:color="auto"/>
              <w:right w:val="single" w:sz="4" w:space="0" w:color="auto"/>
            </w:tcBorders>
            <w:shd w:val="clear" w:color="auto" w:fill="auto"/>
            <w:vAlign w:val="center"/>
            <w:hideMark/>
          </w:tcPr>
          <w:p w:rsidR="00700D1B" w:rsidRPr="00615432" w:rsidP="00700D1B">
            <w:pPr>
              <w:jc w:val="right"/>
              <w:rPr>
                <w:rFonts w:cs="Arial"/>
                <w:color w:val="000000"/>
                <w:sz w:val="22"/>
                <w:szCs w:val="22"/>
              </w:rPr>
            </w:pPr>
            <w:r w:rsidRPr="00615432">
              <w:rPr>
                <w:rFonts w:cs="Arial"/>
                <w:color w:val="000000"/>
                <w:sz w:val="22"/>
                <w:szCs w:val="22"/>
              </w:rPr>
              <w:t>6,236.0</w:t>
            </w:r>
          </w:p>
        </w:tc>
        <w:tc>
          <w:tcPr>
            <w:tcW w:w="1556" w:type="dxa"/>
            <w:tcBorders>
              <w:top w:val="nil"/>
              <w:left w:val="nil"/>
              <w:bottom w:val="single" w:sz="4" w:space="0" w:color="auto"/>
              <w:right w:val="single" w:sz="4" w:space="0" w:color="auto"/>
            </w:tcBorders>
            <w:shd w:val="clear" w:color="auto" w:fill="auto"/>
            <w:vAlign w:val="center"/>
            <w:hideMark/>
          </w:tcPr>
          <w:p w:rsidR="00700D1B" w:rsidRPr="00615432" w:rsidP="00700D1B">
            <w:pPr>
              <w:jc w:val="right"/>
              <w:rPr>
                <w:rFonts w:cs="Arial"/>
                <w:color w:val="000000"/>
                <w:sz w:val="22"/>
                <w:szCs w:val="22"/>
              </w:rPr>
            </w:pPr>
            <w:r w:rsidRPr="00615432">
              <w:rPr>
                <w:rFonts w:cs="Arial"/>
                <w:color w:val="000000"/>
                <w:sz w:val="22"/>
                <w:szCs w:val="22"/>
              </w:rPr>
              <w:t>1,019.5</w:t>
            </w:r>
          </w:p>
        </w:tc>
        <w:tc>
          <w:tcPr>
            <w:tcW w:w="950" w:type="dxa"/>
            <w:tcBorders>
              <w:top w:val="nil"/>
              <w:left w:val="nil"/>
              <w:bottom w:val="single" w:sz="4" w:space="0" w:color="auto"/>
              <w:right w:val="single" w:sz="4" w:space="0" w:color="auto"/>
            </w:tcBorders>
            <w:shd w:val="clear" w:color="auto" w:fill="auto"/>
            <w:vAlign w:val="center"/>
            <w:hideMark/>
          </w:tcPr>
          <w:p w:rsidR="00700D1B" w:rsidRPr="00615432" w:rsidP="00700D1B">
            <w:pPr>
              <w:jc w:val="right"/>
              <w:rPr>
                <w:rFonts w:cs="Arial"/>
                <w:color w:val="000000"/>
                <w:sz w:val="22"/>
                <w:szCs w:val="22"/>
              </w:rPr>
            </w:pPr>
            <w:r w:rsidRPr="00615432">
              <w:rPr>
                <w:rFonts w:cs="Arial"/>
                <w:color w:val="000000"/>
                <w:sz w:val="22"/>
                <w:szCs w:val="22"/>
              </w:rPr>
              <w:t>16%</w:t>
            </w:r>
          </w:p>
        </w:tc>
        <w:tc>
          <w:tcPr>
            <w:tcW w:w="944" w:type="dxa"/>
            <w:tcBorders>
              <w:top w:val="nil"/>
              <w:left w:val="nil"/>
              <w:bottom w:val="single" w:sz="4" w:space="0" w:color="auto"/>
              <w:right w:val="single" w:sz="4" w:space="0" w:color="auto"/>
            </w:tcBorders>
            <w:shd w:val="clear" w:color="auto" w:fill="auto"/>
            <w:vAlign w:val="center"/>
            <w:hideMark/>
          </w:tcPr>
          <w:p w:rsidR="00700D1B" w:rsidRPr="00615432" w:rsidP="00700D1B">
            <w:pPr>
              <w:jc w:val="center"/>
              <w:rPr>
                <w:rFonts w:cs="Arial"/>
                <w:color w:val="000000"/>
                <w:sz w:val="22"/>
                <w:szCs w:val="22"/>
              </w:rPr>
            </w:pPr>
            <w:r>
              <w:rPr>
                <w:rFonts w:cs="Arial"/>
                <w:color w:val="000000"/>
                <w:sz w:val="22"/>
                <w:szCs w:val="22"/>
              </w:rPr>
              <w:t>f)</w:t>
            </w:r>
            <w:r w:rsidRPr="00615432">
              <w:rPr>
                <w:rFonts w:cs="Arial"/>
                <w:color w:val="000000"/>
                <w:sz w:val="22"/>
                <w:szCs w:val="22"/>
              </w:rPr>
              <w:t> </w:t>
            </w:r>
          </w:p>
        </w:tc>
      </w:tr>
      <w:tr w:rsidTr="00700D1B">
        <w:tblPrEx>
          <w:tblW w:w="10536" w:type="dxa"/>
          <w:tblLayout w:type="fixed"/>
          <w:tblLook w:val="04A0"/>
        </w:tblPrEx>
        <w:trPr>
          <w:trHeight w:val="300"/>
        </w:trPr>
        <w:tc>
          <w:tcPr>
            <w:tcW w:w="4201" w:type="dxa"/>
            <w:gridSpan w:val="2"/>
            <w:tcBorders>
              <w:top w:val="single" w:sz="4" w:space="0" w:color="auto"/>
              <w:left w:val="single" w:sz="4" w:space="0" w:color="auto"/>
              <w:bottom w:val="single" w:sz="4" w:space="0" w:color="auto"/>
              <w:right w:val="single" w:sz="4" w:space="0" w:color="000000" w:themeColor="text1"/>
            </w:tcBorders>
            <w:shd w:val="clear" w:color="auto" w:fill="B8CCE4" w:themeFill="accent1" w:themeFillTint="66"/>
            <w:vAlign w:val="bottom"/>
            <w:hideMark/>
          </w:tcPr>
          <w:p w:rsidR="00700D1B" w:rsidRPr="00615432" w:rsidP="00700D1B">
            <w:pPr>
              <w:rPr>
                <w:rFonts w:cs="Arial"/>
                <w:b/>
                <w:bCs/>
                <w:color w:val="000000"/>
                <w:sz w:val="22"/>
                <w:szCs w:val="22"/>
              </w:rPr>
            </w:pPr>
            <w:r w:rsidRPr="00615432">
              <w:rPr>
                <w:rFonts w:cs="Arial"/>
                <w:b/>
                <w:bCs/>
                <w:color w:val="000000"/>
                <w:sz w:val="22"/>
                <w:szCs w:val="22"/>
              </w:rPr>
              <w:t xml:space="preserve">TOTAL (Voted and </w:t>
            </w:r>
            <w:r w:rsidRPr="00615432">
              <w:rPr>
                <w:rFonts w:cs="Arial"/>
                <w:b/>
                <w:bCs/>
                <w:color w:val="000000"/>
                <w:sz w:val="22"/>
                <w:szCs w:val="22"/>
              </w:rPr>
              <w:t>Non Voted</w:t>
            </w:r>
            <w:r w:rsidRPr="00615432">
              <w:rPr>
                <w:rFonts w:cs="Arial"/>
                <w:b/>
                <w:bCs/>
                <w:color w:val="000000"/>
                <w:sz w:val="22"/>
                <w:szCs w:val="22"/>
              </w:rPr>
              <w:t>)</w:t>
            </w:r>
          </w:p>
        </w:tc>
        <w:tc>
          <w:tcPr>
            <w:tcW w:w="1688" w:type="dxa"/>
            <w:tcBorders>
              <w:top w:val="nil"/>
              <w:left w:val="nil"/>
              <w:bottom w:val="single" w:sz="4" w:space="0" w:color="auto"/>
              <w:right w:val="single" w:sz="4" w:space="0" w:color="auto"/>
            </w:tcBorders>
            <w:shd w:val="clear" w:color="auto" w:fill="B8CCE4" w:themeFill="accent1" w:themeFillTint="66"/>
            <w:vAlign w:val="bottom"/>
            <w:hideMark/>
          </w:tcPr>
          <w:p w:rsidR="00700D1B" w:rsidRPr="00615432" w:rsidP="00700D1B">
            <w:pPr>
              <w:jc w:val="right"/>
              <w:rPr>
                <w:rFonts w:cs="Arial"/>
                <w:b/>
                <w:bCs/>
                <w:color w:val="000000"/>
                <w:sz w:val="22"/>
                <w:szCs w:val="22"/>
              </w:rPr>
            </w:pPr>
            <w:r w:rsidRPr="00615432">
              <w:rPr>
                <w:rFonts w:cs="Arial"/>
                <w:b/>
                <w:bCs/>
                <w:color w:val="000000"/>
                <w:sz w:val="22"/>
                <w:szCs w:val="22"/>
              </w:rPr>
              <w:t>200,755.2</w:t>
            </w:r>
          </w:p>
        </w:tc>
        <w:tc>
          <w:tcPr>
            <w:tcW w:w="1197" w:type="dxa"/>
            <w:tcBorders>
              <w:top w:val="nil"/>
              <w:left w:val="nil"/>
              <w:bottom w:val="single" w:sz="4" w:space="0" w:color="auto"/>
              <w:right w:val="single" w:sz="4" w:space="0" w:color="auto"/>
            </w:tcBorders>
            <w:shd w:val="clear" w:color="auto" w:fill="B8CCE4" w:themeFill="accent1" w:themeFillTint="66"/>
            <w:vAlign w:val="bottom"/>
            <w:hideMark/>
          </w:tcPr>
          <w:p w:rsidR="00700D1B" w:rsidRPr="00615432" w:rsidP="00700D1B">
            <w:pPr>
              <w:jc w:val="right"/>
              <w:rPr>
                <w:rFonts w:cs="Arial"/>
                <w:b/>
                <w:bCs/>
                <w:color w:val="000000"/>
                <w:sz w:val="22"/>
                <w:szCs w:val="22"/>
              </w:rPr>
            </w:pPr>
            <w:r w:rsidRPr="00615432">
              <w:rPr>
                <w:rFonts w:cs="Arial"/>
                <w:b/>
                <w:bCs/>
                <w:color w:val="000000"/>
                <w:sz w:val="22"/>
                <w:szCs w:val="22"/>
              </w:rPr>
              <w:t>144,835.5</w:t>
            </w:r>
          </w:p>
        </w:tc>
        <w:tc>
          <w:tcPr>
            <w:tcW w:w="1556" w:type="dxa"/>
            <w:tcBorders>
              <w:top w:val="nil"/>
              <w:left w:val="nil"/>
              <w:bottom w:val="single" w:sz="4" w:space="0" w:color="auto"/>
              <w:right w:val="single" w:sz="4" w:space="0" w:color="auto"/>
            </w:tcBorders>
            <w:shd w:val="clear" w:color="auto" w:fill="B8CCE4" w:themeFill="accent1" w:themeFillTint="66"/>
            <w:vAlign w:val="bottom"/>
            <w:hideMark/>
          </w:tcPr>
          <w:p w:rsidR="00700D1B" w:rsidRPr="00615432" w:rsidP="00700D1B">
            <w:pPr>
              <w:jc w:val="right"/>
              <w:rPr>
                <w:rFonts w:cs="Arial"/>
                <w:b/>
                <w:bCs/>
                <w:color w:val="000000"/>
                <w:sz w:val="22"/>
                <w:szCs w:val="22"/>
              </w:rPr>
            </w:pPr>
            <w:r w:rsidRPr="00615432">
              <w:rPr>
                <w:rFonts w:cs="Arial"/>
                <w:b/>
                <w:bCs/>
                <w:color w:val="000000"/>
                <w:sz w:val="22"/>
                <w:szCs w:val="22"/>
              </w:rPr>
              <w:t>55,919.7</w:t>
            </w:r>
          </w:p>
        </w:tc>
        <w:tc>
          <w:tcPr>
            <w:tcW w:w="950" w:type="dxa"/>
            <w:tcBorders>
              <w:top w:val="nil"/>
              <w:left w:val="nil"/>
              <w:bottom w:val="single" w:sz="4" w:space="0" w:color="auto"/>
              <w:right w:val="single" w:sz="4" w:space="0" w:color="auto"/>
            </w:tcBorders>
            <w:shd w:val="clear" w:color="auto" w:fill="B8CCE4" w:themeFill="accent1" w:themeFillTint="66"/>
            <w:vAlign w:val="center"/>
            <w:hideMark/>
          </w:tcPr>
          <w:p w:rsidR="00700D1B" w:rsidRPr="00615432" w:rsidP="00700D1B">
            <w:pPr>
              <w:jc w:val="right"/>
              <w:rPr>
                <w:rFonts w:cs="Arial"/>
                <w:b/>
                <w:bCs/>
                <w:color w:val="000000"/>
                <w:sz w:val="22"/>
                <w:szCs w:val="22"/>
              </w:rPr>
            </w:pPr>
            <w:r w:rsidRPr="00615432">
              <w:rPr>
                <w:rFonts w:cs="Arial"/>
                <w:b/>
                <w:bCs/>
                <w:color w:val="000000"/>
                <w:sz w:val="22"/>
                <w:szCs w:val="22"/>
              </w:rPr>
              <w:t>39%</w:t>
            </w:r>
          </w:p>
        </w:tc>
        <w:tc>
          <w:tcPr>
            <w:tcW w:w="944" w:type="dxa"/>
            <w:tcBorders>
              <w:top w:val="nil"/>
              <w:left w:val="nil"/>
              <w:bottom w:val="single" w:sz="4" w:space="0" w:color="auto"/>
              <w:right w:val="single" w:sz="4" w:space="0" w:color="auto"/>
            </w:tcBorders>
            <w:shd w:val="clear" w:color="auto" w:fill="B8CCE4" w:themeFill="accent1" w:themeFillTint="66"/>
            <w:vAlign w:val="bottom"/>
            <w:hideMark/>
          </w:tcPr>
          <w:p w:rsidR="00700D1B" w:rsidRPr="00615432" w:rsidP="00700D1B">
            <w:pPr>
              <w:jc w:val="center"/>
              <w:rPr>
                <w:rFonts w:cs="Arial"/>
                <w:color w:val="000000"/>
                <w:sz w:val="22"/>
                <w:szCs w:val="22"/>
              </w:rPr>
            </w:pPr>
            <w:r w:rsidRPr="00615432">
              <w:rPr>
                <w:rFonts w:cs="Arial"/>
                <w:color w:val="000000"/>
                <w:sz w:val="22"/>
                <w:szCs w:val="22"/>
              </w:rPr>
              <w:t> </w:t>
            </w:r>
          </w:p>
        </w:tc>
      </w:tr>
    </w:tbl>
    <w:p w:rsidR="00700D1B" w:rsidRPr="00565172" w:rsidP="00700D1B">
      <w:pPr>
        <w:ind w:left="567"/>
        <w:jc w:val="both"/>
        <w:rPr>
          <w:rFonts w:eastAsia="Calibri" w:cs="Arial"/>
          <w:sz w:val="22"/>
          <w:szCs w:val="22"/>
        </w:rPr>
      </w:pPr>
    </w:p>
    <w:p w:rsidR="00700D1B" w:rsidRPr="00565172" w:rsidP="00700D1B">
      <w:pPr>
        <w:ind w:left="567"/>
        <w:jc w:val="both"/>
        <w:rPr>
          <w:rFonts w:eastAsia="Calibri" w:cs="Arial"/>
          <w:sz w:val="22"/>
          <w:szCs w:val="22"/>
        </w:rPr>
      </w:pPr>
      <w:r w:rsidRPr="00565172">
        <w:rPr>
          <w:rFonts w:eastAsia="Calibri" w:cs="Arial"/>
          <w:sz w:val="22"/>
          <w:szCs w:val="22"/>
        </w:rPr>
        <w:t xml:space="preserve">Estimate lines A, B and J represents the funding available to the NHS as detailed in section 1.3.  </w:t>
      </w:r>
    </w:p>
    <w:p w:rsidR="00700D1B" w:rsidRPr="00565172" w:rsidP="00700D1B">
      <w:pPr>
        <w:ind w:left="567"/>
        <w:jc w:val="both"/>
        <w:rPr>
          <w:rFonts w:eastAsia="Calibri" w:cs="Arial"/>
          <w:sz w:val="22"/>
          <w:szCs w:val="22"/>
        </w:rPr>
      </w:pPr>
    </w:p>
    <w:p w:rsidR="00700D1B" w:rsidP="00700D1B">
      <w:pPr>
        <w:ind w:left="567"/>
        <w:jc w:val="both"/>
        <w:rPr>
          <w:rFonts w:eastAsia="Calibri" w:cs="Arial"/>
          <w:sz w:val="22"/>
          <w:szCs w:val="22"/>
        </w:rPr>
      </w:pPr>
      <w:r w:rsidRPr="00565172">
        <w:rPr>
          <w:rFonts w:eastAsia="Calibri" w:cs="Arial"/>
          <w:sz w:val="22"/>
          <w:szCs w:val="22"/>
        </w:rPr>
        <w:t>For estimate line A, NHS England, an explanation of how the estimate spending plans reconcile to the NHS England Mandate can be found in section 4.1.</w:t>
      </w:r>
      <w:r>
        <w:rPr>
          <w:rFonts w:eastAsia="Calibri" w:cs="Arial"/>
          <w:sz w:val="22"/>
          <w:szCs w:val="22"/>
        </w:rPr>
        <w:t xml:space="preserve"> </w:t>
      </w:r>
    </w:p>
    <w:p w:rsidR="00700D1B" w:rsidP="00700D1B">
      <w:pPr>
        <w:ind w:left="567"/>
        <w:jc w:val="both"/>
        <w:rPr>
          <w:rFonts w:eastAsia="Calibri" w:cs="Arial"/>
          <w:sz w:val="22"/>
          <w:szCs w:val="22"/>
        </w:rPr>
      </w:pPr>
    </w:p>
    <w:p w:rsidR="00700D1B" w:rsidRPr="00565172" w:rsidP="00700D1B">
      <w:pPr>
        <w:ind w:left="567"/>
        <w:jc w:val="both"/>
        <w:rPr>
          <w:rFonts w:eastAsia="Calibri" w:cs="Arial"/>
          <w:sz w:val="22"/>
          <w:szCs w:val="22"/>
          <w:u w:val="single"/>
        </w:rPr>
      </w:pPr>
    </w:p>
    <w:p w:rsidR="00700D1B" w:rsidRPr="00404067" w:rsidP="00700D1B">
      <w:pPr>
        <w:numPr>
          <w:ilvl w:val="0"/>
          <w:numId w:val="9"/>
        </w:numPr>
        <w:spacing w:after="120"/>
        <w:ind w:left="1077" w:hanging="357"/>
        <w:jc w:val="both"/>
        <w:rPr>
          <w:rFonts w:eastAsia="Calibri" w:cs="Arial"/>
          <w:sz w:val="22"/>
          <w:szCs w:val="22"/>
        </w:rPr>
      </w:pPr>
      <w:r w:rsidRPr="00404067">
        <w:rPr>
          <w:rFonts w:eastAsia="Calibri" w:cs="Arial"/>
          <w:b/>
          <w:sz w:val="22"/>
          <w:szCs w:val="22"/>
        </w:rPr>
        <w:t>NHS:</w:t>
      </w:r>
      <w:r w:rsidRPr="00404067">
        <w:rPr>
          <w:rFonts w:eastAsia="Calibri" w:cs="Arial"/>
          <w:sz w:val="22"/>
          <w:szCs w:val="22"/>
        </w:rPr>
        <w:t xml:space="preserve">  The increase is in line with the NHS </w:t>
      </w:r>
      <w:r>
        <w:rPr>
          <w:rFonts w:eastAsia="Calibri" w:cs="Arial"/>
          <w:sz w:val="22"/>
          <w:szCs w:val="22"/>
        </w:rPr>
        <w:t xml:space="preserve">Covid-19 funding provided at Supplementary Estimate and the redistribution of Covid-19 funding provided at Main Estimate. </w:t>
      </w:r>
    </w:p>
    <w:p w:rsidR="00700D1B" w:rsidRPr="00565172" w:rsidP="00700D1B">
      <w:pPr>
        <w:numPr>
          <w:ilvl w:val="0"/>
          <w:numId w:val="9"/>
        </w:numPr>
        <w:spacing w:after="120"/>
        <w:ind w:left="1077" w:hanging="357"/>
        <w:jc w:val="both"/>
        <w:rPr>
          <w:rFonts w:eastAsia="Calibri" w:cs="Arial"/>
          <w:sz w:val="22"/>
          <w:szCs w:val="22"/>
          <w:u w:val="single"/>
        </w:rPr>
      </w:pPr>
      <w:r w:rsidRPr="00565172">
        <w:rPr>
          <w:rFonts w:eastAsia="Calibri" w:cs="Arial"/>
          <w:b/>
          <w:sz w:val="22"/>
          <w:szCs w:val="22"/>
        </w:rPr>
        <w:t>DHSC Programme and Admin Expenditure:</w:t>
      </w:r>
      <w:r w:rsidRPr="00565172">
        <w:rPr>
          <w:rFonts w:eastAsia="Calibri" w:cs="Arial"/>
          <w:sz w:val="22"/>
          <w:szCs w:val="22"/>
        </w:rPr>
        <w:t xml:space="preserve"> The increase </w:t>
      </w:r>
      <w:r>
        <w:rPr>
          <w:rFonts w:eastAsia="Calibri" w:cs="Arial"/>
          <w:sz w:val="22"/>
          <w:szCs w:val="22"/>
        </w:rPr>
        <w:t>since Main Estimate</w:t>
      </w:r>
      <w:r w:rsidRPr="00565172">
        <w:rPr>
          <w:rFonts w:eastAsia="Calibri" w:cs="Arial"/>
          <w:sz w:val="22"/>
          <w:szCs w:val="22"/>
        </w:rPr>
        <w:t xml:space="preserve"> relates to funding allocated by HM</w:t>
      </w:r>
      <w:r>
        <w:rPr>
          <w:rFonts w:eastAsia="Calibri" w:cs="Arial"/>
          <w:sz w:val="22"/>
          <w:szCs w:val="22"/>
        </w:rPr>
        <w:t xml:space="preserve"> </w:t>
      </w:r>
      <w:r w:rsidRPr="00565172">
        <w:rPr>
          <w:rFonts w:eastAsia="Calibri" w:cs="Arial"/>
          <w:sz w:val="22"/>
          <w:szCs w:val="22"/>
        </w:rPr>
        <w:t>T</w:t>
      </w:r>
      <w:r>
        <w:rPr>
          <w:rFonts w:eastAsia="Calibri" w:cs="Arial"/>
          <w:sz w:val="22"/>
          <w:szCs w:val="22"/>
        </w:rPr>
        <w:t>reasury of £38.2 billion</w:t>
      </w:r>
      <w:r w:rsidRPr="00565172">
        <w:rPr>
          <w:rFonts w:eastAsia="Calibri" w:cs="Arial"/>
          <w:sz w:val="22"/>
          <w:szCs w:val="22"/>
        </w:rPr>
        <w:t xml:space="preserve"> </w:t>
      </w:r>
      <w:r>
        <w:rPr>
          <w:rFonts w:eastAsia="Calibri" w:cs="Arial"/>
          <w:sz w:val="22"/>
          <w:szCs w:val="22"/>
        </w:rPr>
        <w:t>for the Department’s response to Covid-19 and in year funding of £603 million. This is offset by a change to the inter-group transaction forecast between Main and Supplementary Estimate (see paragraph 4.2)</w:t>
      </w:r>
      <w:r w:rsidRPr="00565172">
        <w:rPr>
          <w:rFonts w:eastAsia="Calibri" w:cs="Arial"/>
          <w:sz w:val="22"/>
          <w:szCs w:val="22"/>
        </w:rPr>
        <w:t xml:space="preserve">. </w:t>
      </w:r>
      <w:r>
        <w:rPr>
          <w:rFonts w:eastAsia="Calibri" w:cs="Arial"/>
          <w:sz w:val="22"/>
          <w:szCs w:val="22"/>
        </w:rPr>
        <w:t xml:space="preserve"> </w:t>
      </w:r>
    </w:p>
    <w:p w:rsidR="00700D1B" w:rsidP="00700D1B">
      <w:pPr>
        <w:numPr>
          <w:ilvl w:val="0"/>
          <w:numId w:val="9"/>
        </w:numPr>
        <w:spacing w:after="120"/>
        <w:ind w:left="1077" w:hanging="357"/>
        <w:jc w:val="both"/>
        <w:rPr>
          <w:rFonts w:eastAsia="Calibri" w:cs="Arial"/>
          <w:sz w:val="22"/>
          <w:szCs w:val="22"/>
        </w:rPr>
      </w:pPr>
      <w:r w:rsidRPr="00876DAA">
        <w:rPr>
          <w:rFonts w:eastAsia="Calibri" w:cs="Arial"/>
          <w:b/>
          <w:sz w:val="22"/>
          <w:szCs w:val="22"/>
        </w:rPr>
        <w:t>Local Authorities</w:t>
      </w:r>
      <w:r w:rsidRPr="00876DAA">
        <w:rPr>
          <w:rFonts w:eastAsia="Calibri" w:cs="Arial"/>
          <w:sz w:val="22"/>
          <w:szCs w:val="22"/>
        </w:rPr>
        <w:t xml:space="preserve">:  </w:t>
      </w:r>
      <w:r>
        <w:rPr>
          <w:rFonts w:eastAsia="Calibri" w:cs="Arial"/>
          <w:sz w:val="22"/>
          <w:szCs w:val="22"/>
        </w:rPr>
        <w:t xml:space="preserve">A net increase of £926 million comprising; </w:t>
      </w:r>
    </w:p>
    <w:p w:rsidR="00700D1B" w:rsidRPr="00EB0764" w:rsidP="00700D1B">
      <w:pPr>
        <w:numPr>
          <w:ilvl w:val="1"/>
          <w:numId w:val="9"/>
        </w:numPr>
        <w:spacing w:after="120"/>
        <w:jc w:val="both"/>
        <w:rPr>
          <w:rFonts w:eastAsia="Calibri" w:cs="Arial"/>
          <w:sz w:val="22"/>
          <w:szCs w:val="22"/>
        </w:rPr>
      </w:pPr>
      <w:r>
        <w:rPr>
          <w:rFonts w:eastAsia="Calibri" w:cs="Arial"/>
          <w:sz w:val="22"/>
          <w:szCs w:val="22"/>
        </w:rPr>
        <w:t xml:space="preserve">an </w:t>
      </w:r>
      <w:r w:rsidRPr="00876DAA">
        <w:rPr>
          <w:rFonts w:eastAsia="Calibri" w:cs="Arial"/>
          <w:sz w:val="22"/>
          <w:szCs w:val="22"/>
        </w:rPr>
        <w:t xml:space="preserve">increase </w:t>
      </w:r>
      <w:r>
        <w:rPr>
          <w:rFonts w:eastAsia="Calibri" w:cs="Arial"/>
          <w:sz w:val="22"/>
          <w:szCs w:val="22"/>
        </w:rPr>
        <w:t xml:space="preserve">of £1.1 billion </w:t>
      </w:r>
      <w:r w:rsidRPr="00876DAA">
        <w:rPr>
          <w:rFonts w:eastAsia="Calibri" w:cs="Arial"/>
          <w:sz w:val="22"/>
          <w:szCs w:val="22"/>
        </w:rPr>
        <w:t>in line with the Government’s</w:t>
      </w:r>
      <w:r>
        <w:rPr>
          <w:rFonts w:eastAsia="Calibri" w:cs="Arial"/>
          <w:sz w:val="22"/>
          <w:szCs w:val="22"/>
        </w:rPr>
        <w:t xml:space="preserve"> Covid-19</w:t>
      </w:r>
      <w:r w:rsidRPr="00876DAA">
        <w:rPr>
          <w:rFonts w:eastAsia="Calibri" w:cs="Arial"/>
          <w:sz w:val="22"/>
          <w:szCs w:val="22"/>
        </w:rPr>
        <w:t xml:space="preserve"> </w:t>
      </w:r>
      <w:r>
        <w:rPr>
          <w:rFonts w:eastAsia="Calibri" w:cs="Arial"/>
          <w:sz w:val="22"/>
          <w:szCs w:val="22"/>
        </w:rPr>
        <w:t xml:space="preserve">Infection </w:t>
      </w:r>
      <w:r w:rsidRPr="00615432">
        <w:rPr>
          <w:rFonts w:eastAsia="Calibri" w:cs="Arial"/>
          <w:sz w:val="22"/>
          <w:szCs w:val="22"/>
        </w:rPr>
        <w:t>Control Fund</w:t>
      </w:r>
      <w:r>
        <w:rPr>
          <w:rFonts w:eastAsia="Calibri" w:cs="Arial"/>
          <w:sz w:val="22"/>
          <w:szCs w:val="22"/>
        </w:rPr>
        <w:t xml:space="preserve"> in place to</w:t>
      </w:r>
      <w:r w:rsidRPr="00615432">
        <w:rPr>
          <w:rFonts w:eastAsia="Calibri" w:cs="Arial"/>
          <w:sz w:val="22"/>
          <w:szCs w:val="22"/>
        </w:rPr>
        <w:t xml:space="preserve"> </w:t>
      </w:r>
      <w:r w:rsidRPr="00615432">
        <w:rPr>
          <w:rFonts w:cs="Arial"/>
          <w:sz w:val="22"/>
          <w:szCs w:val="22"/>
        </w:rPr>
        <w:t>support adult social care providers</w:t>
      </w:r>
      <w:r>
        <w:rPr>
          <w:rFonts w:cs="Arial"/>
          <w:sz w:val="22"/>
          <w:szCs w:val="22"/>
        </w:rPr>
        <w:t>; and</w:t>
      </w:r>
    </w:p>
    <w:p w:rsidR="00700D1B" w:rsidRPr="00876DAA" w:rsidP="00700D1B">
      <w:pPr>
        <w:numPr>
          <w:ilvl w:val="1"/>
          <w:numId w:val="9"/>
        </w:numPr>
        <w:spacing w:after="120"/>
        <w:jc w:val="both"/>
        <w:rPr>
          <w:rFonts w:eastAsia="Calibri" w:cs="Arial"/>
          <w:sz w:val="22"/>
          <w:szCs w:val="22"/>
        </w:rPr>
      </w:pPr>
      <w:r>
        <w:rPr>
          <w:rFonts w:eastAsia="Calibri" w:cs="Arial"/>
          <w:sz w:val="22"/>
          <w:szCs w:val="22"/>
        </w:rPr>
        <w:t xml:space="preserve">a reduction of </w:t>
      </w:r>
      <w:r w:rsidRPr="00876DAA">
        <w:rPr>
          <w:rFonts w:eastAsia="Calibri" w:cs="Arial"/>
          <w:sz w:val="22"/>
          <w:szCs w:val="22"/>
        </w:rPr>
        <w:t>£2</w:t>
      </w:r>
      <w:r>
        <w:rPr>
          <w:rFonts w:eastAsia="Calibri" w:cs="Arial"/>
          <w:sz w:val="22"/>
          <w:szCs w:val="22"/>
        </w:rPr>
        <w:t>13</w:t>
      </w:r>
      <w:r w:rsidRPr="00876DAA">
        <w:rPr>
          <w:rFonts w:eastAsia="Calibri" w:cs="Arial"/>
          <w:sz w:val="22"/>
          <w:szCs w:val="22"/>
        </w:rPr>
        <w:t xml:space="preserve"> million </w:t>
      </w:r>
      <w:r>
        <w:rPr>
          <w:rFonts w:eastAsia="Calibri" w:cs="Arial"/>
          <w:sz w:val="22"/>
          <w:szCs w:val="22"/>
        </w:rPr>
        <w:t>to the Public Health Grant as Manchester received its funding instead via retention of business rates.</w:t>
      </w:r>
    </w:p>
    <w:p w:rsidR="00700D1B" w:rsidRPr="00876DAA" w:rsidP="00700D1B">
      <w:pPr>
        <w:spacing w:after="120"/>
        <w:ind w:left="1077"/>
        <w:jc w:val="both"/>
        <w:rPr>
          <w:rFonts w:eastAsia="Calibri" w:cs="Arial"/>
          <w:b/>
          <w:sz w:val="22"/>
          <w:szCs w:val="22"/>
        </w:rPr>
      </w:pPr>
      <w:r w:rsidRPr="00876DAA">
        <w:rPr>
          <w:rFonts w:eastAsia="Calibri" w:cs="Arial"/>
          <w:sz w:val="22"/>
          <w:szCs w:val="22"/>
        </w:rPr>
        <w:t xml:space="preserve">More details can be found in the 2020-21 </w:t>
      </w:r>
      <w:r>
        <w:fldChar w:fldCharType="begin"/>
      </w:r>
      <w:r>
        <w:instrText xml:space="preserve"> HYPERLINK "https://www.gov.uk/government/publications/public-health-grants-to-local-authorities-2020-to-2021" </w:instrText>
      </w:r>
      <w:r>
        <w:fldChar w:fldCharType="separate"/>
      </w:r>
      <w:r w:rsidRPr="00876DAA">
        <w:rPr>
          <w:sz w:val="22"/>
          <w:szCs w:val="22"/>
          <w:u w:val="single"/>
        </w:rPr>
        <w:t>grants to Local Authorities</w:t>
      </w:r>
      <w:r>
        <w:fldChar w:fldCharType="end"/>
      </w:r>
      <w:r w:rsidRPr="00876DAA">
        <w:rPr>
          <w:sz w:val="22"/>
          <w:szCs w:val="22"/>
        </w:rPr>
        <w:t xml:space="preserve"> publication.</w:t>
      </w:r>
    </w:p>
    <w:p w:rsidR="00700D1B" w:rsidRPr="00876DAA" w:rsidP="00700D1B">
      <w:pPr>
        <w:numPr>
          <w:ilvl w:val="0"/>
          <w:numId w:val="9"/>
        </w:numPr>
        <w:spacing w:after="120"/>
        <w:ind w:left="1077" w:hanging="357"/>
        <w:jc w:val="both"/>
        <w:rPr>
          <w:rFonts w:eastAsia="Calibri" w:cs="Arial"/>
          <w:sz w:val="22"/>
          <w:szCs w:val="22"/>
        </w:rPr>
      </w:pPr>
      <w:r w:rsidRPr="00876DAA">
        <w:rPr>
          <w:rFonts w:eastAsia="Calibri" w:cs="Arial"/>
          <w:b/>
          <w:sz w:val="22"/>
          <w:szCs w:val="22"/>
        </w:rPr>
        <w:t>Public Health England (PHE)</w:t>
      </w:r>
      <w:r w:rsidRPr="00876DAA">
        <w:rPr>
          <w:rFonts w:eastAsia="Calibri" w:cs="Arial"/>
          <w:sz w:val="22"/>
          <w:szCs w:val="22"/>
        </w:rPr>
        <w:t xml:space="preserve">:  The </w:t>
      </w:r>
      <w:r>
        <w:rPr>
          <w:rFonts w:eastAsia="Calibri" w:cs="Arial"/>
          <w:sz w:val="22"/>
          <w:szCs w:val="22"/>
        </w:rPr>
        <w:t xml:space="preserve">increase of £685 million is as a result of Covid-19 funding of £499m and £186 million other funding mainly because HM Treasury did not include </w:t>
      </w:r>
      <w:r w:rsidRPr="00876DAA">
        <w:rPr>
          <w:rFonts w:eastAsia="Calibri" w:cs="Arial"/>
          <w:sz w:val="22"/>
          <w:szCs w:val="22"/>
        </w:rPr>
        <w:t>RDEL ring-fence</w:t>
      </w:r>
      <w:r>
        <w:rPr>
          <w:rFonts w:eastAsia="Calibri" w:cs="Arial"/>
          <w:sz w:val="22"/>
          <w:szCs w:val="22"/>
        </w:rPr>
        <w:t>d</w:t>
      </w:r>
      <w:r w:rsidRPr="00876DAA">
        <w:rPr>
          <w:rFonts w:eastAsia="Calibri" w:cs="Arial"/>
          <w:sz w:val="22"/>
          <w:szCs w:val="22"/>
        </w:rPr>
        <w:t xml:space="preserve"> funding for impairments in 2020-21 Main Supply Estimates, </w:t>
      </w:r>
      <w:r>
        <w:rPr>
          <w:rFonts w:eastAsia="Calibri" w:cs="Arial"/>
          <w:sz w:val="22"/>
          <w:szCs w:val="22"/>
        </w:rPr>
        <w:t>as they planned</w:t>
      </w:r>
      <w:r w:rsidRPr="00876DAA">
        <w:rPr>
          <w:rFonts w:eastAsia="Calibri" w:cs="Arial"/>
          <w:sz w:val="22"/>
          <w:szCs w:val="22"/>
        </w:rPr>
        <w:t xml:space="preserve"> to allocate this </w:t>
      </w:r>
      <w:r>
        <w:rPr>
          <w:rFonts w:eastAsia="Calibri" w:cs="Arial"/>
          <w:sz w:val="22"/>
          <w:szCs w:val="22"/>
        </w:rPr>
        <w:t xml:space="preserve">as part of the </w:t>
      </w:r>
      <w:r w:rsidRPr="00876DAA">
        <w:rPr>
          <w:rFonts w:eastAsia="Calibri" w:cs="Arial"/>
          <w:sz w:val="22"/>
          <w:szCs w:val="22"/>
        </w:rPr>
        <w:t xml:space="preserve">2020-21 Supplementary Supply Estimate. </w:t>
      </w:r>
    </w:p>
    <w:p w:rsidR="00700D1B" w:rsidRPr="00615432" w:rsidP="00700D1B">
      <w:pPr>
        <w:numPr>
          <w:ilvl w:val="0"/>
          <w:numId w:val="9"/>
        </w:numPr>
        <w:spacing w:after="200"/>
        <w:ind w:left="1077" w:hanging="357"/>
        <w:contextualSpacing/>
        <w:jc w:val="both"/>
        <w:rPr>
          <w:rStyle w:val="Hyperlink"/>
          <w:rFonts w:cs="Arial"/>
          <w:color w:val="auto"/>
          <w:sz w:val="22"/>
          <w:szCs w:val="22"/>
          <w:u w:val="none"/>
        </w:rPr>
      </w:pPr>
      <w:r w:rsidRPr="00770234">
        <w:rPr>
          <w:rFonts w:eastAsia="Calibri" w:cs="Arial"/>
          <w:b/>
          <w:sz w:val="22"/>
          <w:szCs w:val="22"/>
        </w:rPr>
        <w:t>Health Education England (HEE):</w:t>
      </w:r>
      <w:r w:rsidRPr="00770234">
        <w:rPr>
          <w:rFonts w:eastAsia="Calibri" w:cs="Arial"/>
          <w:sz w:val="22"/>
          <w:szCs w:val="22"/>
        </w:rPr>
        <w:t xml:space="preserve">  HEE provide national leadership and coordination for the education and training within the health and public health workforce within England.  The </w:t>
      </w:r>
      <w:r>
        <w:rPr>
          <w:rFonts w:eastAsia="Calibri" w:cs="Arial"/>
          <w:sz w:val="22"/>
          <w:szCs w:val="22"/>
        </w:rPr>
        <w:t>decrease reflects a change to the inter-group transaction forecast between Main and Supplementary Estimate (see paragraph 4.2)</w:t>
      </w:r>
      <w:r w:rsidRPr="00565172">
        <w:rPr>
          <w:rFonts w:eastAsia="Calibri" w:cs="Arial"/>
          <w:sz w:val="22"/>
          <w:szCs w:val="22"/>
        </w:rPr>
        <w:t>.</w:t>
      </w:r>
    </w:p>
    <w:p w:rsidR="00700D1B" w:rsidP="00700D1B">
      <w:pPr>
        <w:jc w:val="both"/>
        <w:rPr>
          <w:rFonts w:eastAsia="Calibri" w:cs="Arial"/>
        </w:rPr>
      </w:pPr>
    </w:p>
    <w:p w:rsidR="00700D1B" w:rsidRPr="005C693A" w:rsidP="00700D1B">
      <w:pPr>
        <w:numPr>
          <w:ilvl w:val="0"/>
          <w:numId w:val="9"/>
        </w:numPr>
        <w:spacing w:after="200"/>
        <w:ind w:left="1077" w:hanging="357"/>
        <w:contextualSpacing/>
        <w:jc w:val="both"/>
        <w:rPr>
          <w:rFonts w:eastAsia="Calibri" w:cs="Arial"/>
          <w:b/>
          <w:sz w:val="22"/>
          <w:szCs w:val="22"/>
        </w:rPr>
      </w:pPr>
      <w:r w:rsidRPr="00683849">
        <w:rPr>
          <w:rFonts w:eastAsia="Calibri" w:cs="Arial"/>
          <w:b/>
          <w:sz w:val="22"/>
          <w:szCs w:val="22"/>
        </w:rPr>
        <w:t>Special Health Authorities, NDPB's and ALB's and Other Bodies</w:t>
      </w:r>
      <w:r>
        <w:rPr>
          <w:rFonts w:eastAsia="Calibri" w:cs="Arial"/>
          <w:b/>
          <w:sz w:val="22"/>
          <w:szCs w:val="22"/>
        </w:rPr>
        <w:t>:</w:t>
      </w:r>
      <w:r w:rsidRPr="00683849">
        <w:rPr>
          <w:rFonts w:eastAsia="Calibri" w:cs="Arial"/>
          <w:b/>
          <w:sz w:val="22"/>
          <w:szCs w:val="22"/>
        </w:rPr>
        <w:t xml:space="preserve"> </w:t>
      </w:r>
      <w:r w:rsidRPr="005C693A">
        <w:rPr>
          <w:rFonts w:eastAsia="Calibri" w:cs="Arial"/>
          <w:bCs/>
          <w:iCs/>
          <w:sz w:val="22"/>
          <w:szCs w:val="22"/>
        </w:rPr>
        <w:t>The changes in funding relate to a redistribution of resources</w:t>
      </w:r>
      <w:r>
        <w:rPr>
          <w:rFonts w:eastAsia="Calibri" w:cs="Arial"/>
          <w:bCs/>
          <w:iCs/>
          <w:sz w:val="22"/>
          <w:szCs w:val="22"/>
        </w:rPr>
        <w:t xml:space="preserve"> between Main and Supplementary Estimate (see paragraph 4.2)</w:t>
      </w:r>
      <w:r w:rsidRPr="005C693A">
        <w:rPr>
          <w:rFonts w:eastAsia="Calibri" w:cs="Arial"/>
          <w:bCs/>
          <w:iCs/>
          <w:sz w:val="22"/>
          <w:szCs w:val="22"/>
        </w:rPr>
        <w:t>, changes to the inter-group eliminations and additional funding of £</w:t>
      </w:r>
      <w:r>
        <w:rPr>
          <w:rFonts w:eastAsia="Calibri" w:cs="Arial"/>
          <w:bCs/>
          <w:iCs/>
          <w:sz w:val="22"/>
          <w:szCs w:val="22"/>
        </w:rPr>
        <w:t>258</w:t>
      </w:r>
      <w:r w:rsidRPr="005C693A">
        <w:rPr>
          <w:rFonts w:eastAsia="Calibri" w:cs="Arial"/>
          <w:bCs/>
          <w:iCs/>
          <w:sz w:val="22"/>
          <w:szCs w:val="22"/>
        </w:rPr>
        <w:t xml:space="preserve"> million allocated to NHS </w:t>
      </w:r>
      <w:r>
        <w:rPr>
          <w:rFonts w:eastAsia="Calibri" w:cs="Arial"/>
          <w:bCs/>
          <w:iCs/>
          <w:sz w:val="22"/>
          <w:szCs w:val="22"/>
        </w:rPr>
        <w:t>Digital</w:t>
      </w:r>
      <w:r w:rsidRPr="005C693A">
        <w:rPr>
          <w:rFonts w:eastAsia="Calibri" w:cs="Arial"/>
          <w:bCs/>
          <w:iCs/>
          <w:sz w:val="22"/>
          <w:szCs w:val="22"/>
        </w:rPr>
        <w:t xml:space="preserve"> to cover </w:t>
      </w:r>
      <w:r>
        <w:rPr>
          <w:rFonts w:eastAsia="Calibri" w:cs="Arial"/>
          <w:bCs/>
          <w:iCs/>
          <w:sz w:val="22"/>
          <w:szCs w:val="22"/>
        </w:rPr>
        <w:t xml:space="preserve">NHS Test and Trace activity. </w:t>
      </w:r>
      <w:r w:rsidRPr="005C693A">
        <w:rPr>
          <w:rFonts w:eastAsia="Calibri" w:cs="Arial"/>
          <w:b/>
          <w:iCs/>
          <w:sz w:val="22"/>
          <w:szCs w:val="22"/>
        </w:rPr>
        <w:t xml:space="preserve"> </w:t>
      </w:r>
    </w:p>
    <w:p w:rsidR="00700D1B" w:rsidRPr="00615432" w:rsidP="00700D1B">
      <w:pPr>
        <w:spacing w:after="200"/>
        <w:ind w:left="1077"/>
        <w:contextualSpacing/>
        <w:jc w:val="both"/>
        <w:rPr>
          <w:rStyle w:val="Hyperlink"/>
          <w:rFonts w:cs="Arial"/>
          <w:color w:val="auto"/>
          <w:sz w:val="22"/>
          <w:szCs w:val="22"/>
          <w:u w:val="none"/>
        </w:rPr>
      </w:pPr>
    </w:p>
    <w:p w:rsidR="00700D1B" w:rsidP="00700D1B">
      <w:pPr>
        <w:jc w:val="both"/>
        <w:rPr>
          <w:rFonts w:eastAsia="Calibri" w:cs="Arial"/>
        </w:rPr>
      </w:pPr>
    </w:p>
    <w:p w:rsidR="00700D1B" w:rsidRPr="00642D8D" w:rsidP="00700D1B">
      <w:pPr>
        <w:jc w:val="both"/>
        <w:rPr>
          <w:rFonts w:eastAsia="Calibri" w:cs="Arial"/>
          <w:sz w:val="22"/>
          <w:szCs w:val="22"/>
        </w:rPr>
      </w:pPr>
      <w:r w:rsidRPr="00642D8D">
        <w:rPr>
          <w:rFonts w:eastAsia="Calibri" w:cs="Arial"/>
          <w:sz w:val="22"/>
          <w:szCs w:val="22"/>
        </w:rPr>
        <w:t xml:space="preserve">Further details of the distribution of Covid-19 funding across the departmental group are included in </w:t>
      </w:r>
      <w:r>
        <w:rPr>
          <w:rFonts w:eastAsia="Calibri" w:cs="Arial"/>
          <w:sz w:val="22"/>
          <w:szCs w:val="22"/>
        </w:rPr>
        <w:t>Annex A.</w:t>
      </w:r>
    </w:p>
    <w:p w:rsidR="00700D1B" w:rsidRPr="00615432" w:rsidP="00700D1B">
      <w:pPr>
        <w:spacing w:after="200"/>
        <w:contextualSpacing/>
        <w:jc w:val="both"/>
        <w:rPr>
          <w:rStyle w:val="Hyperlink"/>
          <w:rFonts w:cs="Arial"/>
          <w:color w:val="auto"/>
          <w:sz w:val="22"/>
          <w:szCs w:val="22"/>
          <w:u w:val="none"/>
        </w:rPr>
      </w:pPr>
    </w:p>
    <w:p w:rsidR="00700D1B" w:rsidRPr="00770234" w:rsidP="00700D1B">
      <w:pPr>
        <w:spacing w:after="200"/>
        <w:ind w:left="720"/>
        <w:contextualSpacing/>
        <w:jc w:val="both"/>
        <w:rPr>
          <w:rFonts w:cs="Arial"/>
          <w:sz w:val="22"/>
          <w:szCs w:val="22"/>
        </w:rPr>
      </w:pPr>
    </w:p>
    <w:p w:rsidR="00700D1B" w:rsidP="00700D1B">
      <w:pPr>
        <w:rPr>
          <w:rFonts w:eastAsia="Calibri" w:cs="Arial"/>
          <w:b/>
          <w:sz w:val="22"/>
          <w:szCs w:val="22"/>
        </w:rPr>
      </w:pPr>
      <w:r>
        <w:rPr>
          <w:rFonts w:eastAsia="Calibri" w:cs="Arial"/>
          <w:b/>
          <w:sz w:val="22"/>
          <w:szCs w:val="22"/>
        </w:rPr>
        <w:br w:type="page"/>
      </w:r>
    </w:p>
    <w:p w:rsidR="00700D1B" w:rsidRPr="00CB5F6C" w:rsidP="00700D1B">
      <w:pPr>
        <w:numPr>
          <w:ilvl w:val="1"/>
          <w:numId w:val="8"/>
        </w:numPr>
        <w:spacing w:after="120" w:line="276" w:lineRule="auto"/>
        <w:ind w:left="567" w:hanging="567"/>
        <w:jc w:val="both"/>
        <w:rPr>
          <w:rFonts w:eastAsia="Calibri" w:cs="Arial"/>
          <w:b/>
          <w:sz w:val="22"/>
          <w:szCs w:val="22"/>
        </w:rPr>
      </w:pPr>
      <w:r w:rsidRPr="00CB5F6C">
        <w:rPr>
          <w:rFonts w:eastAsia="Calibri" w:cs="Arial"/>
          <w:b/>
          <w:sz w:val="22"/>
          <w:szCs w:val="22"/>
        </w:rPr>
        <w:t xml:space="preserve">Capital DEL </w:t>
      </w:r>
    </w:p>
    <w:p w:rsidR="00700D1B" w:rsidRPr="00565172" w:rsidP="00700D1B">
      <w:pPr>
        <w:ind w:left="567"/>
        <w:jc w:val="both"/>
        <w:rPr>
          <w:rFonts w:eastAsia="Calibri" w:cs="Arial"/>
          <w:sz w:val="22"/>
          <w:szCs w:val="22"/>
        </w:rPr>
      </w:pPr>
      <w:r w:rsidRPr="00565172">
        <w:rPr>
          <w:rFonts w:eastAsia="Calibri" w:cs="Arial"/>
          <w:sz w:val="22"/>
          <w:szCs w:val="22"/>
        </w:rPr>
        <w:t xml:space="preserve">The table below shows how DHSC’s 2020-21 </w:t>
      </w:r>
      <w:r>
        <w:rPr>
          <w:rFonts w:eastAsia="Calibri" w:cs="Arial"/>
          <w:sz w:val="22"/>
          <w:szCs w:val="22"/>
        </w:rPr>
        <w:t xml:space="preserve">Supplementary </w:t>
      </w:r>
      <w:r w:rsidRPr="00565172">
        <w:rPr>
          <w:rFonts w:eastAsia="Calibri" w:cs="Arial"/>
          <w:sz w:val="22"/>
          <w:szCs w:val="22"/>
        </w:rPr>
        <w:t xml:space="preserve">Estimate spending plans for Capital DEL compare with the </w:t>
      </w:r>
      <w:r>
        <w:rPr>
          <w:rFonts w:eastAsia="Calibri" w:cs="Arial"/>
          <w:sz w:val="22"/>
          <w:szCs w:val="22"/>
        </w:rPr>
        <w:t xml:space="preserve">2020-21 Main </w:t>
      </w:r>
      <w:r w:rsidRPr="00565172">
        <w:rPr>
          <w:rFonts w:eastAsia="Calibri" w:cs="Arial"/>
          <w:sz w:val="22"/>
          <w:szCs w:val="22"/>
        </w:rPr>
        <w:t>Estimate.</w:t>
      </w:r>
    </w:p>
    <w:p w:rsidR="00700D1B" w:rsidRPr="00565172" w:rsidP="00700D1B">
      <w:pPr>
        <w:ind w:left="567"/>
        <w:rPr>
          <w:rFonts w:eastAsia="Calibri" w:cs="Arial"/>
          <w:sz w:val="22"/>
          <w:szCs w:val="22"/>
        </w:rPr>
      </w:pPr>
    </w:p>
    <w:tbl>
      <w:tblPr>
        <w:tblW w:w="9601" w:type="dxa"/>
        <w:tblLook w:val="04A0"/>
      </w:tblPr>
      <w:tblGrid>
        <w:gridCol w:w="1145"/>
        <w:gridCol w:w="3460"/>
        <w:gridCol w:w="1806"/>
        <w:gridCol w:w="1220"/>
        <w:gridCol w:w="951"/>
        <w:gridCol w:w="779"/>
        <w:gridCol w:w="705"/>
      </w:tblGrid>
      <w:tr w:rsidTr="00700D1B">
        <w:tblPrEx>
          <w:tblW w:w="9601" w:type="dxa"/>
          <w:tblLook w:val="04A0"/>
        </w:tblPrEx>
        <w:trPr>
          <w:trHeight w:val="300"/>
        </w:trPr>
        <w:tc>
          <w:tcPr>
            <w:tcW w:w="1000" w:type="dxa"/>
            <w:vMerge w:val="restart"/>
            <w:tcBorders>
              <w:top w:val="single" w:sz="4" w:space="0" w:color="auto"/>
              <w:left w:val="single" w:sz="4" w:space="0" w:color="auto"/>
              <w:bottom w:val="single" w:sz="4" w:space="0" w:color="auto"/>
              <w:right w:val="single" w:sz="4" w:space="0" w:color="auto"/>
            </w:tcBorders>
            <w:shd w:val="clear" w:color="000000" w:fill="16365C"/>
            <w:noWrap/>
            <w:vAlign w:val="center"/>
            <w:hideMark/>
          </w:tcPr>
          <w:p w:rsidR="00700D1B" w:rsidRPr="00683849" w:rsidP="00700D1B">
            <w:pPr>
              <w:rPr>
                <w:rFonts w:cs="Arial"/>
                <w:b/>
                <w:bCs/>
                <w:color w:val="FFFFFF"/>
                <w:sz w:val="22"/>
                <w:szCs w:val="22"/>
              </w:rPr>
            </w:pPr>
            <w:r w:rsidRPr="00683849">
              <w:rPr>
                <w:rFonts w:cs="Arial"/>
                <w:b/>
                <w:bCs/>
                <w:color w:val="FFFFFF"/>
                <w:sz w:val="22"/>
                <w:szCs w:val="22"/>
              </w:rPr>
              <w:t>Subhead</w:t>
            </w:r>
          </w:p>
        </w:tc>
        <w:tc>
          <w:tcPr>
            <w:tcW w:w="3460" w:type="dxa"/>
            <w:vMerge w:val="restart"/>
            <w:tcBorders>
              <w:top w:val="single" w:sz="4" w:space="0" w:color="auto"/>
              <w:left w:val="single" w:sz="4" w:space="0" w:color="auto"/>
              <w:bottom w:val="single" w:sz="4" w:space="0" w:color="auto"/>
              <w:right w:val="single" w:sz="4" w:space="0" w:color="auto"/>
            </w:tcBorders>
            <w:shd w:val="clear" w:color="000000" w:fill="16365C"/>
            <w:noWrap/>
            <w:vAlign w:val="center"/>
            <w:hideMark/>
          </w:tcPr>
          <w:p w:rsidR="00700D1B" w:rsidRPr="00683849" w:rsidP="00700D1B">
            <w:pPr>
              <w:rPr>
                <w:rFonts w:cs="Arial"/>
                <w:b/>
                <w:bCs/>
                <w:color w:val="FFFFFF"/>
                <w:sz w:val="22"/>
                <w:szCs w:val="22"/>
              </w:rPr>
            </w:pPr>
            <w:r w:rsidRPr="00683849">
              <w:rPr>
                <w:rFonts w:cs="Arial"/>
                <w:b/>
                <w:bCs/>
                <w:color w:val="FFFFFF"/>
                <w:sz w:val="22"/>
                <w:szCs w:val="22"/>
              </w:rPr>
              <w:t>Description</w:t>
            </w:r>
          </w:p>
        </w:tc>
        <w:tc>
          <w:tcPr>
            <w:tcW w:w="4441" w:type="dxa"/>
            <w:gridSpan w:val="4"/>
            <w:tcBorders>
              <w:top w:val="single" w:sz="4" w:space="0" w:color="auto"/>
              <w:left w:val="single" w:sz="4" w:space="0" w:color="auto"/>
              <w:bottom w:val="single" w:sz="4" w:space="0" w:color="auto"/>
              <w:right w:val="single" w:sz="4" w:space="0" w:color="auto"/>
            </w:tcBorders>
            <w:shd w:val="clear" w:color="000000" w:fill="16365C"/>
            <w:noWrap/>
            <w:vAlign w:val="bottom"/>
            <w:hideMark/>
          </w:tcPr>
          <w:p w:rsidR="00700D1B" w:rsidRPr="00683849" w:rsidP="00700D1B">
            <w:pPr>
              <w:jc w:val="center"/>
              <w:rPr>
                <w:rFonts w:cs="Arial"/>
                <w:b/>
                <w:bCs/>
                <w:color w:val="FFFFFF"/>
                <w:sz w:val="22"/>
                <w:szCs w:val="22"/>
              </w:rPr>
            </w:pPr>
            <w:r w:rsidRPr="00683849">
              <w:rPr>
                <w:rFonts w:cs="Arial"/>
                <w:b/>
                <w:bCs/>
                <w:color w:val="FFFFFF"/>
                <w:sz w:val="22"/>
                <w:szCs w:val="22"/>
              </w:rPr>
              <w:t>Capital</w:t>
            </w:r>
          </w:p>
        </w:tc>
        <w:tc>
          <w:tcPr>
            <w:tcW w:w="700" w:type="dxa"/>
            <w:tcBorders>
              <w:top w:val="single" w:sz="4" w:space="0" w:color="auto"/>
              <w:left w:val="nil"/>
              <w:bottom w:val="single" w:sz="4" w:space="0" w:color="auto"/>
              <w:right w:val="single" w:sz="4" w:space="0" w:color="auto"/>
            </w:tcBorders>
            <w:shd w:val="clear" w:color="000000" w:fill="16365C"/>
            <w:noWrap/>
            <w:vAlign w:val="bottom"/>
            <w:hideMark/>
          </w:tcPr>
          <w:p w:rsidR="00700D1B" w:rsidRPr="00683849" w:rsidP="00700D1B">
            <w:pPr>
              <w:jc w:val="center"/>
              <w:rPr>
                <w:rFonts w:cs="Arial"/>
                <w:b/>
                <w:bCs/>
                <w:color w:val="FFFFFF"/>
                <w:sz w:val="22"/>
                <w:szCs w:val="22"/>
              </w:rPr>
            </w:pPr>
            <w:r w:rsidRPr="00683849">
              <w:rPr>
                <w:rFonts w:cs="Arial"/>
                <w:b/>
                <w:bCs/>
                <w:color w:val="FFFFFF"/>
                <w:sz w:val="22"/>
                <w:szCs w:val="22"/>
              </w:rPr>
              <w:t> </w:t>
            </w:r>
          </w:p>
        </w:tc>
      </w:tr>
      <w:tr w:rsidTr="00700D1B">
        <w:tblPrEx>
          <w:tblW w:w="9601" w:type="dxa"/>
          <w:tblLook w:val="04A0"/>
        </w:tblPrEx>
        <w:trPr>
          <w:trHeight w:val="1200"/>
        </w:trPr>
        <w:tc>
          <w:tcPr>
            <w:tcW w:w="1000" w:type="dxa"/>
            <w:vMerge/>
            <w:tcBorders>
              <w:top w:val="single" w:sz="4" w:space="0" w:color="auto"/>
              <w:left w:val="single" w:sz="4" w:space="0" w:color="auto"/>
              <w:bottom w:val="single" w:sz="4" w:space="0" w:color="auto"/>
              <w:right w:val="single" w:sz="4" w:space="0" w:color="auto"/>
            </w:tcBorders>
            <w:vAlign w:val="center"/>
            <w:hideMark/>
          </w:tcPr>
          <w:p w:rsidR="00700D1B" w:rsidRPr="00683849" w:rsidP="00700D1B">
            <w:pPr>
              <w:rPr>
                <w:rFonts w:cs="Arial"/>
                <w:b/>
                <w:bCs/>
                <w:color w:val="FFFFFF"/>
                <w:sz w:val="22"/>
                <w:szCs w:val="22"/>
              </w:rPr>
            </w:pPr>
          </w:p>
        </w:tc>
        <w:tc>
          <w:tcPr>
            <w:tcW w:w="3460" w:type="dxa"/>
            <w:vMerge/>
            <w:tcBorders>
              <w:top w:val="single" w:sz="4" w:space="0" w:color="auto"/>
              <w:left w:val="single" w:sz="4" w:space="0" w:color="auto"/>
              <w:bottom w:val="single" w:sz="4" w:space="0" w:color="auto"/>
              <w:right w:val="single" w:sz="4" w:space="0" w:color="auto"/>
            </w:tcBorders>
            <w:vAlign w:val="center"/>
            <w:hideMark/>
          </w:tcPr>
          <w:p w:rsidR="00700D1B" w:rsidRPr="00683849" w:rsidP="00700D1B">
            <w:pPr>
              <w:rPr>
                <w:rFonts w:cs="Arial"/>
                <w:b/>
                <w:bCs/>
                <w:color w:val="FFFFFF"/>
                <w:sz w:val="22"/>
                <w:szCs w:val="22"/>
              </w:rPr>
            </w:pPr>
          </w:p>
        </w:tc>
        <w:tc>
          <w:tcPr>
            <w:tcW w:w="1600" w:type="dxa"/>
            <w:tcBorders>
              <w:top w:val="nil"/>
              <w:left w:val="single" w:sz="4" w:space="0" w:color="auto"/>
              <w:bottom w:val="single" w:sz="4" w:space="0" w:color="auto"/>
              <w:right w:val="single" w:sz="4" w:space="0" w:color="auto"/>
            </w:tcBorders>
            <w:shd w:val="clear" w:color="000000" w:fill="16365C"/>
            <w:vAlign w:val="center"/>
            <w:hideMark/>
          </w:tcPr>
          <w:p w:rsidR="00700D1B" w:rsidRPr="00683849" w:rsidP="00700D1B">
            <w:pPr>
              <w:jc w:val="right"/>
              <w:rPr>
                <w:rFonts w:cs="Arial"/>
                <w:b/>
                <w:bCs/>
                <w:color w:val="FFFFFF"/>
                <w:sz w:val="22"/>
                <w:szCs w:val="22"/>
              </w:rPr>
            </w:pPr>
            <w:r w:rsidRPr="00683849">
              <w:rPr>
                <w:rFonts w:cs="Arial"/>
                <w:b/>
                <w:bCs/>
                <w:color w:val="FFFFFF"/>
                <w:sz w:val="22"/>
                <w:szCs w:val="22"/>
              </w:rPr>
              <w:t>2020-21 Supplementary Estimate</w:t>
            </w:r>
          </w:p>
        </w:tc>
        <w:tc>
          <w:tcPr>
            <w:tcW w:w="1220" w:type="dxa"/>
            <w:tcBorders>
              <w:top w:val="nil"/>
              <w:left w:val="nil"/>
              <w:bottom w:val="single" w:sz="4" w:space="0" w:color="auto"/>
              <w:right w:val="single" w:sz="4" w:space="0" w:color="auto"/>
            </w:tcBorders>
            <w:shd w:val="clear" w:color="000000" w:fill="16365C"/>
            <w:vAlign w:val="center"/>
            <w:hideMark/>
          </w:tcPr>
          <w:p w:rsidR="00700D1B" w:rsidRPr="00683849" w:rsidP="00700D1B">
            <w:pPr>
              <w:jc w:val="right"/>
              <w:rPr>
                <w:rFonts w:cs="Arial"/>
                <w:b/>
                <w:bCs/>
                <w:color w:val="FFFFFF"/>
                <w:sz w:val="22"/>
                <w:szCs w:val="22"/>
              </w:rPr>
            </w:pPr>
            <w:r w:rsidRPr="00683849">
              <w:rPr>
                <w:rFonts w:cs="Arial"/>
                <w:b/>
                <w:bCs/>
                <w:color w:val="FFFFFF"/>
                <w:sz w:val="22"/>
                <w:szCs w:val="22"/>
              </w:rPr>
              <w:t>2020-21 Main Estimate</w:t>
            </w:r>
          </w:p>
        </w:tc>
        <w:tc>
          <w:tcPr>
            <w:tcW w:w="1621" w:type="dxa"/>
            <w:gridSpan w:val="2"/>
            <w:tcBorders>
              <w:top w:val="single" w:sz="4" w:space="0" w:color="auto"/>
              <w:left w:val="nil"/>
              <w:bottom w:val="single" w:sz="4" w:space="0" w:color="auto"/>
              <w:right w:val="single" w:sz="4" w:space="0" w:color="auto"/>
            </w:tcBorders>
            <w:shd w:val="clear" w:color="000000" w:fill="16365C"/>
            <w:vAlign w:val="center"/>
            <w:hideMark/>
          </w:tcPr>
          <w:p w:rsidR="00700D1B" w:rsidRPr="00683849" w:rsidP="00700D1B">
            <w:pPr>
              <w:jc w:val="center"/>
              <w:rPr>
                <w:rFonts w:cs="Arial"/>
                <w:b/>
                <w:bCs/>
                <w:color w:val="FFFFFF"/>
                <w:sz w:val="22"/>
                <w:szCs w:val="22"/>
              </w:rPr>
            </w:pPr>
            <w:r w:rsidRPr="00683849">
              <w:rPr>
                <w:rFonts w:cs="Arial"/>
                <w:b/>
                <w:bCs/>
                <w:color w:val="FFFFFF"/>
                <w:sz w:val="22"/>
                <w:szCs w:val="22"/>
              </w:rPr>
              <w:t>Change from</w:t>
            </w:r>
            <w:r w:rsidRPr="00683849">
              <w:rPr>
                <w:rFonts w:cs="Arial"/>
                <w:b/>
                <w:bCs/>
                <w:color w:val="FFFFFF"/>
                <w:sz w:val="22"/>
                <w:szCs w:val="22"/>
              </w:rPr>
              <w:br/>
              <w:t>2020-21 Main Estimate</w:t>
            </w:r>
          </w:p>
        </w:tc>
        <w:tc>
          <w:tcPr>
            <w:tcW w:w="700" w:type="dxa"/>
            <w:tcBorders>
              <w:top w:val="nil"/>
              <w:left w:val="nil"/>
              <w:bottom w:val="single" w:sz="4" w:space="0" w:color="auto"/>
              <w:right w:val="single" w:sz="4" w:space="0" w:color="auto"/>
            </w:tcBorders>
            <w:shd w:val="clear" w:color="000000" w:fill="16365C"/>
            <w:vAlign w:val="center"/>
            <w:hideMark/>
          </w:tcPr>
          <w:p w:rsidR="00700D1B" w:rsidRPr="00683849" w:rsidP="00700D1B">
            <w:pPr>
              <w:jc w:val="center"/>
              <w:rPr>
                <w:rFonts w:cs="Arial"/>
                <w:b/>
                <w:bCs/>
                <w:color w:val="FFFFFF"/>
                <w:sz w:val="22"/>
                <w:szCs w:val="22"/>
              </w:rPr>
            </w:pPr>
            <w:r w:rsidRPr="00683849">
              <w:rPr>
                <w:rFonts w:cs="Arial"/>
                <w:b/>
                <w:bCs/>
                <w:color w:val="FFFFFF"/>
                <w:sz w:val="22"/>
                <w:szCs w:val="22"/>
              </w:rPr>
              <w:t>See Note 2.2</w:t>
            </w:r>
          </w:p>
        </w:tc>
      </w:tr>
      <w:tr w:rsidTr="00700D1B">
        <w:tblPrEx>
          <w:tblW w:w="9601" w:type="dxa"/>
          <w:tblLook w:val="04A0"/>
        </w:tblPrEx>
        <w:trPr>
          <w:trHeight w:val="300"/>
        </w:trPr>
        <w:tc>
          <w:tcPr>
            <w:tcW w:w="1000" w:type="dxa"/>
            <w:vMerge/>
            <w:tcBorders>
              <w:top w:val="single" w:sz="4" w:space="0" w:color="auto"/>
              <w:left w:val="single" w:sz="4" w:space="0" w:color="auto"/>
              <w:bottom w:val="single" w:sz="4" w:space="0" w:color="auto"/>
              <w:right w:val="single" w:sz="4" w:space="0" w:color="auto"/>
            </w:tcBorders>
            <w:vAlign w:val="center"/>
            <w:hideMark/>
          </w:tcPr>
          <w:p w:rsidR="00700D1B" w:rsidRPr="00683849" w:rsidP="00700D1B">
            <w:pPr>
              <w:rPr>
                <w:rFonts w:cs="Arial"/>
                <w:b/>
                <w:bCs/>
                <w:color w:val="FFFFFF"/>
                <w:sz w:val="22"/>
                <w:szCs w:val="22"/>
              </w:rPr>
            </w:pPr>
          </w:p>
        </w:tc>
        <w:tc>
          <w:tcPr>
            <w:tcW w:w="3460" w:type="dxa"/>
            <w:vMerge/>
            <w:tcBorders>
              <w:top w:val="single" w:sz="4" w:space="0" w:color="auto"/>
              <w:left w:val="single" w:sz="4" w:space="0" w:color="auto"/>
              <w:bottom w:val="single" w:sz="4" w:space="0" w:color="auto"/>
              <w:right w:val="single" w:sz="4" w:space="0" w:color="auto"/>
            </w:tcBorders>
            <w:vAlign w:val="center"/>
            <w:hideMark/>
          </w:tcPr>
          <w:p w:rsidR="00700D1B" w:rsidRPr="00683849" w:rsidP="00700D1B">
            <w:pPr>
              <w:rPr>
                <w:rFonts w:cs="Arial"/>
                <w:b/>
                <w:bCs/>
                <w:color w:val="FFFFFF"/>
                <w:sz w:val="22"/>
                <w:szCs w:val="22"/>
              </w:rPr>
            </w:pPr>
          </w:p>
        </w:tc>
        <w:tc>
          <w:tcPr>
            <w:tcW w:w="1600" w:type="dxa"/>
            <w:tcBorders>
              <w:top w:val="nil"/>
              <w:left w:val="single" w:sz="4" w:space="0" w:color="auto"/>
              <w:bottom w:val="single" w:sz="4" w:space="0" w:color="auto"/>
              <w:right w:val="single" w:sz="4" w:space="0" w:color="auto"/>
            </w:tcBorders>
            <w:shd w:val="clear" w:color="000000" w:fill="16365C"/>
            <w:noWrap/>
            <w:vAlign w:val="bottom"/>
            <w:hideMark/>
          </w:tcPr>
          <w:p w:rsidR="00700D1B" w:rsidRPr="00683849" w:rsidP="00700D1B">
            <w:pPr>
              <w:jc w:val="right"/>
              <w:rPr>
                <w:rFonts w:cs="Arial"/>
                <w:b/>
                <w:bCs/>
                <w:color w:val="FFFFFF"/>
                <w:sz w:val="22"/>
                <w:szCs w:val="22"/>
              </w:rPr>
            </w:pPr>
            <w:r w:rsidRPr="00683849">
              <w:rPr>
                <w:rFonts w:cs="Arial"/>
                <w:b/>
                <w:bCs/>
                <w:color w:val="FFFFFF"/>
                <w:sz w:val="22"/>
                <w:szCs w:val="22"/>
              </w:rPr>
              <w:t>£m</w:t>
            </w:r>
          </w:p>
        </w:tc>
        <w:tc>
          <w:tcPr>
            <w:tcW w:w="1220" w:type="dxa"/>
            <w:tcBorders>
              <w:top w:val="nil"/>
              <w:left w:val="nil"/>
              <w:bottom w:val="single" w:sz="4" w:space="0" w:color="auto"/>
              <w:right w:val="single" w:sz="4" w:space="0" w:color="auto"/>
            </w:tcBorders>
            <w:shd w:val="clear" w:color="000000" w:fill="16365C"/>
            <w:noWrap/>
            <w:vAlign w:val="bottom"/>
            <w:hideMark/>
          </w:tcPr>
          <w:p w:rsidR="00700D1B" w:rsidRPr="00683849" w:rsidP="00700D1B">
            <w:pPr>
              <w:jc w:val="right"/>
              <w:rPr>
                <w:rFonts w:cs="Arial"/>
                <w:b/>
                <w:bCs/>
                <w:color w:val="FFFFFF"/>
                <w:sz w:val="22"/>
                <w:szCs w:val="22"/>
              </w:rPr>
            </w:pPr>
            <w:r w:rsidRPr="00683849">
              <w:rPr>
                <w:rFonts w:cs="Arial"/>
                <w:b/>
                <w:bCs/>
                <w:color w:val="FFFFFF"/>
                <w:sz w:val="22"/>
                <w:szCs w:val="22"/>
              </w:rPr>
              <w:t>£m</w:t>
            </w:r>
          </w:p>
        </w:tc>
        <w:tc>
          <w:tcPr>
            <w:tcW w:w="919" w:type="dxa"/>
            <w:tcBorders>
              <w:top w:val="nil"/>
              <w:left w:val="nil"/>
              <w:bottom w:val="single" w:sz="4" w:space="0" w:color="auto"/>
              <w:right w:val="single" w:sz="4" w:space="0" w:color="auto"/>
            </w:tcBorders>
            <w:shd w:val="clear" w:color="000000" w:fill="16365C"/>
            <w:noWrap/>
            <w:vAlign w:val="bottom"/>
            <w:hideMark/>
          </w:tcPr>
          <w:p w:rsidR="00700D1B" w:rsidRPr="00683849" w:rsidP="00700D1B">
            <w:pPr>
              <w:jc w:val="right"/>
              <w:rPr>
                <w:rFonts w:cs="Arial"/>
                <w:b/>
                <w:bCs/>
                <w:color w:val="FFFFFF"/>
                <w:sz w:val="22"/>
                <w:szCs w:val="22"/>
              </w:rPr>
            </w:pPr>
            <w:r w:rsidRPr="00683849">
              <w:rPr>
                <w:rFonts w:cs="Arial"/>
                <w:b/>
                <w:bCs/>
                <w:color w:val="FFFFFF"/>
                <w:sz w:val="22"/>
                <w:szCs w:val="22"/>
              </w:rPr>
              <w:t>£m</w:t>
            </w:r>
          </w:p>
        </w:tc>
        <w:tc>
          <w:tcPr>
            <w:tcW w:w="702" w:type="dxa"/>
            <w:tcBorders>
              <w:top w:val="nil"/>
              <w:left w:val="nil"/>
              <w:bottom w:val="single" w:sz="4" w:space="0" w:color="auto"/>
              <w:right w:val="single" w:sz="4" w:space="0" w:color="auto"/>
            </w:tcBorders>
            <w:shd w:val="clear" w:color="000000" w:fill="16365C"/>
            <w:noWrap/>
            <w:vAlign w:val="bottom"/>
            <w:hideMark/>
          </w:tcPr>
          <w:p w:rsidR="00700D1B" w:rsidRPr="00683849" w:rsidP="00700D1B">
            <w:pPr>
              <w:jc w:val="right"/>
              <w:rPr>
                <w:rFonts w:cs="Arial"/>
                <w:b/>
                <w:bCs/>
                <w:color w:val="FFFFFF"/>
                <w:sz w:val="22"/>
                <w:szCs w:val="22"/>
              </w:rPr>
            </w:pPr>
            <w:r w:rsidRPr="00683849">
              <w:rPr>
                <w:rFonts w:cs="Arial"/>
                <w:b/>
                <w:bCs/>
                <w:color w:val="FFFFFF"/>
                <w:sz w:val="22"/>
                <w:szCs w:val="22"/>
              </w:rPr>
              <w:t>%</w:t>
            </w:r>
          </w:p>
        </w:tc>
        <w:tc>
          <w:tcPr>
            <w:tcW w:w="700" w:type="dxa"/>
            <w:tcBorders>
              <w:top w:val="nil"/>
              <w:left w:val="nil"/>
              <w:bottom w:val="single" w:sz="4" w:space="0" w:color="auto"/>
              <w:right w:val="single" w:sz="4" w:space="0" w:color="auto"/>
            </w:tcBorders>
            <w:shd w:val="clear" w:color="000000" w:fill="16365C"/>
            <w:noWrap/>
            <w:vAlign w:val="bottom"/>
            <w:hideMark/>
          </w:tcPr>
          <w:p w:rsidR="00700D1B" w:rsidRPr="00683849" w:rsidP="00700D1B">
            <w:pPr>
              <w:jc w:val="center"/>
              <w:rPr>
                <w:rFonts w:cs="Arial"/>
                <w:b/>
                <w:bCs/>
                <w:color w:val="FFFFFF"/>
                <w:sz w:val="22"/>
                <w:szCs w:val="22"/>
              </w:rPr>
            </w:pPr>
            <w:r w:rsidRPr="00683849">
              <w:rPr>
                <w:rFonts w:cs="Arial"/>
                <w:b/>
                <w:bCs/>
                <w:color w:val="FFFFFF"/>
                <w:sz w:val="22"/>
                <w:szCs w:val="22"/>
              </w:rPr>
              <w:t> </w:t>
            </w:r>
          </w:p>
        </w:tc>
      </w:tr>
      <w:tr w:rsidTr="00700D1B">
        <w:tblPrEx>
          <w:tblW w:w="9601" w:type="dxa"/>
          <w:tblLook w:val="04A0"/>
        </w:tblPrEx>
        <w:trPr>
          <w:trHeight w:val="855"/>
        </w:trPr>
        <w:tc>
          <w:tcPr>
            <w:tcW w:w="1000" w:type="dxa"/>
            <w:tcBorders>
              <w:top w:val="nil"/>
              <w:left w:val="single" w:sz="4" w:space="0" w:color="auto"/>
              <w:bottom w:val="single" w:sz="4" w:space="0" w:color="auto"/>
              <w:right w:val="single" w:sz="4" w:space="0" w:color="auto"/>
            </w:tcBorders>
            <w:shd w:val="clear" w:color="auto" w:fill="auto"/>
            <w:vAlign w:val="center"/>
            <w:hideMark/>
          </w:tcPr>
          <w:p w:rsidR="00700D1B" w:rsidRPr="00683849" w:rsidP="00700D1B">
            <w:pPr>
              <w:jc w:val="center"/>
              <w:rPr>
                <w:rFonts w:cs="Arial"/>
                <w:color w:val="000000"/>
                <w:sz w:val="22"/>
                <w:szCs w:val="22"/>
              </w:rPr>
            </w:pPr>
            <w:r w:rsidRPr="00683849">
              <w:rPr>
                <w:rFonts w:cs="Arial"/>
                <w:color w:val="000000"/>
                <w:sz w:val="22"/>
                <w:szCs w:val="22"/>
              </w:rPr>
              <w:t>A</w:t>
            </w:r>
          </w:p>
        </w:tc>
        <w:tc>
          <w:tcPr>
            <w:tcW w:w="3460" w:type="dxa"/>
            <w:tcBorders>
              <w:top w:val="nil"/>
              <w:left w:val="nil"/>
              <w:bottom w:val="single" w:sz="4" w:space="0" w:color="auto"/>
              <w:right w:val="single" w:sz="4" w:space="0" w:color="auto"/>
            </w:tcBorders>
            <w:shd w:val="clear" w:color="auto" w:fill="auto"/>
            <w:vAlign w:val="center"/>
            <w:hideMark/>
          </w:tcPr>
          <w:p w:rsidR="00700D1B" w:rsidRPr="00683849" w:rsidP="00700D1B">
            <w:pPr>
              <w:rPr>
                <w:rFonts w:cs="Arial"/>
                <w:color w:val="000000"/>
                <w:sz w:val="22"/>
                <w:szCs w:val="22"/>
              </w:rPr>
            </w:pPr>
            <w:r w:rsidRPr="00683849">
              <w:rPr>
                <w:rFonts w:cs="Arial"/>
                <w:color w:val="000000"/>
                <w:sz w:val="22"/>
                <w:szCs w:val="22"/>
              </w:rPr>
              <w:t>NHS Commissioning Board (known as NHS England) net expenditure</w:t>
            </w:r>
          </w:p>
        </w:tc>
        <w:tc>
          <w:tcPr>
            <w:tcW w:w="1600" w:type="dxa"/>
            <w:tcBorders>
              <w:top w:val="nil"/>
              <w:left w:val="single" w:sz="4" w:space="0" w:color="auto"/>
              <w:bottom w:val="single" w:sz="4" w:space="0" w:color="auto"/>
              <w:right w:val="single" w:sz="4" w:space="0" w:color="auto"/>
            </w:tcBorders>
            <w:shd w:val="clear" w:color="auto" w:fill="auto"/>
            <w:vAlign w:val="center"/>
            <w:hideMark/>
          </w:tcPr>
          <w:p w:rsidR="00700D1B" w:rsidRPr="00683849" w:rsidP="00700D1B">
            <w:pPr>
              <w:jc w:val="right"/>
              <w:rPr>
                <w:rFonts w:cs="Arial"/>
                <w:color w:val="000000"/>
                <w:sz w:val="22"/>
                <w:szCs w:val="22"/>
              </w:rPr>
            </w:pPr>
            <w:r w:rsidRPr="00683849">
              <w:rPr>
                <w:rFonts w:cs="Arial"/>
                <w:color w:val="000000"/>
                <w:sz w:val="22"/>
                <w:szCs w:val="22"/>
              </w:rPr>
              <w:t>475.7</w:t>
            </w:r>
          </w:p>
        </w:tc>
        <w:tc>
          <w:tcPr>
            <w:tcW w:w="1220" w:type="dxa"/>
            <w:tcBorders>
              <w:top w:val="nil"/>
              <w:left w:val="nil"/>
              <w:bottom w:val="single" w:sz="4" w:space="0" w:color="auto"/>
              <w:right w:val="single" w:sz="4" w:space="0" w:color="auto"/>
            </w:tcBorders>
            <w:shd w:val="clear" w:color="auto" w:fill="auto"/>
            <w:vAlign w:val="center"/>
            <w:hideMark/>
          </w:tcPr>
          <w:p w:rsidR="00700D1B" w:rsidRPr="00683849" w:rsidP="00700D1B">
            <w:pPr>
              <w:jc w:val="right"/>
              <w:rPr>
                <w:rFonts w:cs="Arial"/>
                <w:color w:val="000000"/>
                <w:sz w:val="22"/>
                <w:szCs w:val="22"/>
              </w:rPr>
            </w:pPr>
            <w:r w:rsidRPr="00683849">
              <w:rPr>
                <w:rFonts w:cs="Arial"/>
                <w:color w:val="000000"/>
                <w:sz w:val="22"/>
                <w:szCs w:val="22"/>
              </w:rPr>
              <w:t>305.0</w:t>
            </w:r>
          </w:p>
        </w:tc>
        <w:tc>
          <w:tcPr>
            <w:tcW w:w="919" w:type="dxa"/>
            <w:tcBorders>
              <w:top w:val="nil"/>
              <w:left w:val="nil"/>
              <w:bottom w:val="single" w:sz="4" w:space="0" w:color="auto"/>
              <w:right w:val="single" w:sz="4" w:space="0" w:color="auto"/>
            </w:tcBorders>
            <w:shd w:val="clear" w:color="auto" w:fill="auto"/>
            <w:vAlign w:val="center"/>
            <w:hideMark/>
          </w:tcPr>
          <w:p w:rsidR="00700D1B" w:rsidRPr="00683849" w:rsidP="00700D1B">
            <w:pPr>
              <w:rPr>
                <w:rFonts w:cs="Arial"/>
                <w:color w:val="000000"/>
                <w:sz w:val="22"/>
                <w:szCs w:val="22"/>
              </w:rPr>
            </w:pPr>
            <w:r w:rsidRPr="00683849">
              <w:rPr>
                <w:rFonts w:cs="Arial"/>
                <w:color w:val="000000"/>
                <w:sz w:val="22"/>
                <w:szCs w:val="22"/>
              </w:rPr>
              <w:t> </w:t>
            </w:r>
          </w:p>
        </w:tc>
        <w:tc>
          <w:tcPr>
            <w:tcW w:w="702" w:type="dxa"/>
            <w:tcBorders>
              <w:top w:val="nil"/>
              <w:left w:val="nil"/>
              <w:bottom w:val="single" w:sz="4" w:space="0" w:color="auto"/>
              <w:right w:val="single" w:sz="4" w:space="0" w:color="auto"/>
            </w:tcBorders>
            <w:shd w:val="clear" w:color="auto" w:fill="auto"/>
            <w:vAlign w:val="center"/>
            <w:hideMark/>
          </w:tcPr>
          <w:p w:rsidR="00700D1B" w:rsidRPr="00683849" w:rsidP="00700D1B">
            <w:pPr>
              <w:jc w:val="right"/>
              <w:rPr>
                <w:rFonts w:cs="Arial"/>
                <w:color w:val="000000"/>
                <w:sz w:val="22"/>
                <w:szCs w:val="22"/>
              </w:rPr>
            </w:pPr>
            <w:r w:rsidRPr="00683849">
              <w:rPr>
                <w:rFonts w:cs="Arial"/>
                <w:color w:val="000000"/>
                <w:sz w:val="22"/>
                <w:szCs w:val="22"/>
              </w:rPr>
              <w:t> </w:t>
            </w:r>
          </w:p>
        </w:tc>
        <w:tc>
          <w:tcPr>
            <w:tcW w:w="700" w:type="dxa"/>
            <w:tcBorders>
              <w:top w:val="nil"/>
              <w:left w:val="nil"/>
              <w:bottom w:val="single" w:sz="4" w:space="0" w:color="auto"/>
              <w:right w:val="single" w:sz="4" w:space="0" w:color="auto"/>
            </w:tcBorders>
            <w:shd w:val="clear" w:color="auto" w:fill="auto"/>
            <w:vAlign w:val="center"/>
            <w:hideMark/>
          </w:tcPr>
          <w:p w:rsidR="00700D1B" w:rsidRPr="00683849" w:rsidP="00700D1B">
            <w:pPr>
              <w:jc w:val="center"/>
              <w:rPr>
                <w:rFonts w:cs="Arial"/>
                <w:color w:val="000000"/>
                <w:sz w:val="22"/>
                <w:szCs w:val="22"/>
              </w:rPr>
            </w:pPr>
            <w:r w:rsidRPr="00683849">
              <w:rPr>
                <w:rFonts w:cs="Arial"/>
                <w:color w:val="000000"/>
                <w:sz w:val="22"/>
                <w:szCs w:val="22"/>
              </w:rPr>
              <w:t> </w:t>
            </w:r>
          </w:p>
        </w:tc>
      </w:tr>
      <w:tr w:rsidTr="00700D1B">
        <w:tblPrEx>
          <w:tblW w:w="9601" w:type="dxa"/>
          <w:tblLook w:val="04A0"/>
        </w:tblPrEx>
        <w:trPr>
          <w:trHeight w:val="285"/>
        </w:trPr>
        <w:tc>
          <w:tcPr>
            <w:tcW w:w="1000" w:type="dxa"/>
            <w:tcBorders>
              <w:top w:val="nil"/>
              <w:left w:val="single" w:sz="4" w:space="0" w:color="auto"/>
              <w:bottom w:val="single" w:sz="4" w:space="0" w:color="auto"/>
              <w:right w:val="single" w:sz="4" w:space="0" w:color="auto"/>
            </w:tcBorders>
            <w:shd w:val="clear" w:color="auto" w:fill="auto"/>
            <w:vAlign w:val="center"/>
            <w:hideMark/>
          </w:tcPr>
          <w:p w:rsidR="00700D1B" w:rsidRPr="00683849" w:rsidP="00700D1B">
            <w:pPr>
              <w:jc w:val="center"/>
              <w:rPr>
                <w:rFonts w:cs="Arial"/>
                <w:color w:val="000000"/>
                <w:sz w:val="22"/>
                <w:szCs w:val="22"/>
              </w:rPr>
            </w:pPr>
            <w:r w:rsidRPr="00683849">
              <w:rPr>
                <w:rFonts w:cs="Arial"/>
                <w:color w:val="000000"/>
                <w:sz w:val="22"/>
                <w:szCs w:val="22"/>
              </w:rPr>
              <w:t>B</w:t>
            </w:r>
          </w:p>
        </w:tc>
        <w:tc>
          <w:tcPr>
            <w:tcW w:w="3460" w:type="dxa"/>
            <w:tcBorders>
              <w:top w:val="nil"/>
              <w:left w:val="nil"/>
              <w:bottom w:val="single" w:sz="4" w:space="0" w:color="auto"/>
              <w:right w:val="single" w:sz="4" w:space="0" w:color="auto"/>
            </w:tcBorders>
            <w:shd w:val="clear" w:color="auto" w:fill="auto"/>
            <w:vAlign w:val="center"/>
            <w:hideMark/>
          </w:tcPr>
          <w:p w:rsidR="00700D1B" w:rsidRPr="00683849" w:rsidP="00700D1B">
            <w:pPr>
              <w:rPr>
                <w:rFonts w:cs="Arial"/>
                <w:color w:val="000000"/>
                <w:sz w:val="22"/>
                <w:szCs w:val="22"/>
              </w:rPr>
            </w:pPr>
            <w:r w:rsidRPr="00683849">
              <w:rPr>
                <w:rFonts w:cs="Arial"/>
                <w:color w:val="000000"/>
                <w:sz w:val="22"/>
                <w:szCs w:val="22"/>
              </w:rPr>
              <w:t>NHS Providers</w:t>
            </w:r>
          </w:p>
        </w:tc>
        <w:tc>
          <w:tcPr>
            <w:tcW w:w="1600" w:type="dxa"/>
            <w:tcBorders>
              <w:top w:val="nil"/>
              <w:left w:val="single" w:sz="4" w:space="0" w:color="auto"/>
              <w:bottom w:val="single" w:sz="4" w:space="0" w:color="auto"/>
              <w:right w:val="single" w:sz="4" w:space="0" w:color="auto"/>
            </w:tcBorders>
            <w:shd w:val="clear" w:color="auto" w:fill="auto"/>
            <w:vAlign w:val="center"/>
            <w:hideMark/>
          </w:tcPr>
          <w:p w:rsidR="00700D1B" w:rsidRPr="00683849" w:rsidP="00700D1B">
            <w:pPr>
              <w:jc w:val="right"/>
              <w:rPr>
                <w:rFonts w:cs="Arial"/>
                <w:color w:val="000000"/>
                <w:sz w:val="22"/>
                <w:szCs w:val="22"/>
              </w:rPr>
            </w:pPr>
            <w:r w:rsidRPr="00683849">
              <w:rPr>
                <w:rFonts w:cs="Arial"/>
                <w:color w:val="000000"/>
                <w:sz w:val="22"/>
                <w:szCs w:val="22"/>
              </w:rPr>
              <w:t>7,165.5</w:t>
            </w:r>
          </w:p>
        </w:tc>
        <w:tc>
          <w:tcPr>
            <w:tcW w:w="1220" w:type="dxa"/>
            <w:tcBorders>
              <w:top w:val="nil"/>
              <w:left w:val="nil"/>
              <w:bottom w:val="single" w:sz="4" w:space="0" w:color="auto"/>
              <w:right w:val="single" w:sz="4" w:space="0" w:color="auto"/>
            </w:tcBorders>
            <w:shd w:val="clear" w:color="auto" w:fill="auto"/>
            <w:vAlign w:val="center"/>
            <w:hideMark/>
          </w:tcPr>
          <w:p w:rsidR="00700D1B" w:rsidRPr="00683849" w:rsidP="00700D1B">
            <w:pPr>
              <w:jc w:val="right"/>
              <w:rPr>
                <w:rFonts w:cs="Arial"/>
                <w:color w:val="000000"/>
                <w:sz w:val="22"/>
                <w:szCs w:val="22"/>
              </w:rPr>
            </w:pPr>
            <w:r w:rsidRPr="00683849">
              <w:rPr>
                <w:rFonts w:cs="Arial"/>
                <w:color w:val="000000"/>
                <w:sz w:val="22"/>
                <w:szCs w:val="22"/>
              </w:rPr>
              <w:t>5,741.5</w:t>
            </w:r>
          </w:p>
        </w:tc>
        <w:tc>
          <w:tcPr>
            <w:tcW w:w="919" w:type="dxa"/>
            <w:tcBorders>
              <w:top w:val="nil"/>
              <w:left w:val="nil"/>
              <w:bottom w:val="single" w:sz="4" w:space="0" w:color="auto"/>
              <w:right w:val="single" w:sz="4" w:space="0" w:color="auto"/>
            </w:tcBorders>
            <w:shd w:val="clear" w:color="auto" w:fill="auto"/>
            <w:vAlign w:val="center"/>
            <w:hideMark/>
          </w:tcPr>
          <w:p w:rsidR="00700D1B" w:rsidRPr="00683849" w:rsidP="00700D1B">
            <w:pPr>
              <w:rPr>
                <w:rFonts w:cs="Arial"/>
                <w:color w:val="000000"/>
                <w:sz w:val="22"/>
                <w:szCs w:val="22"/>
              </w:rPr>
            </w:pPr>
            <w:r w:rsidRPr="00683849">
              <w:rPr>
                <w:rFonts w:cs="Arial"/>
                <w:color w:val="000000"/>
                <w:sz w:val="22"/>
                <w:szCs w:val="22"/>
              </w:rPr>
              <w:t> </w:t>
            </w:r>
          </w:p>
        </w:tc>
        <w:tc>
          <w:tcPr>
            <w:tcW w:w="702" w:type="dxa"/>
            <w:tcBorders>
              <w:top w:val="nil"/>
              <w:left w:val="nil"/>
              <w:bottom w:val="single" w:sz="4" w:space="0" w:color="auto"/>
              <w:right w:val="single" w:sz="4" w:space="0" w:color="auto"/>
            </w:tcBorders>
            <w:shd w:val="clear" w:color="auto" w:fill="auto"/>
            <w:vAlign w:val="center"/>
            <w:hideMark/>
          </w:tcPr>
          <w:p w:rsidR="00700D1B" w:rsidRPr="00683849" w:rsidP="00700D1B">
            <w:pPr>
              <w:jc w:val="right"/>
              <w:rPr>
                <w:rFonts w:cs="Arial"/>
                <w:color w:val="000000"/>
                <w:sz w:val="22"/>
                <w:szCs w:val="22"/>
              </w:rPr>
            </w:pPr>
            <w:r w:rsidRPr="00683849">
              <w:rPr>
                <w:rFonts w:cs="Arial"/>
                <w:color w:val="000000"/>
                <w:sz w:val="22"/>
                <w:szCs w:val="22"/>
              </w:rPr>
              <w:t> </w:t>
            </w:r>
          </w:p>
        </w:tc>
        <w:tc>
          <w:tcPr>
            <w:tcW w:w="700" w:type="dxa"/>
            <w:tcBorders>
              <w:top w:val="nil"/>
              <w:left w:val="nil"/>
              <w:bottom w:val="single" w:sz="4" w:space="0" w:color="auto"/>
              <w:right w:val="single" w:sz="4" w:space="0" w:color="auto"/>
            </w:tcBorders>
            <w:shd w:val="clear" w:color="auto" w:fill="auto"/>
            <w:vAlign w:val="center"/>
            <w:hideMark/>
          </w:tcPr>
          <w:p w:rsidR="00700D1B" w:rsidRPr="00683849" w:rsidP="00700D1B">
            <w:pPr>
              <w:jc w:val="center"/>
              <w:rPr>
                <w:rFonts w:cs="Arial"/>
                <w:color w:val="000000"/>
                <w:sz w:val="22"/>
                <w:szCs w:val="22"/>
              </w:rPr>
            </w:pPr>
            <w:r w:rsidRPr="00683849">
              <w:rPr>
                <w:rFonts w:cs="Arial"/>
                <w:color w:val="000000"/>
                <w:sz w:val="22"/>
                <w:szCs w:val="22"/>
              </w:rPr>
              <w:t> </w:t>
            </w:r>
          </w:p>
        </w:tc>
      </w:tr>
      <w:tr w:rsidTr="00700D1B">
        <w:tblPrEx>
          <w:tblW w:w="9601" w:type="dxa"/>
          <w:tblLook w:val="04A0"/>
        </w:tblPrEx>
        <w:trPr>
          <w:trHeight w:val="1140"/>
        </w:trPr>
        <w:tc>
          <w:tcPr>
            <w:tcW w:w="1000" w:type="dxa"/>
            <w:tcBorders>
              <w:top w:val="nil"/>
              <w:left w:val="single" w:sz="4" w:space="0" w:color="auto"/>
              <w:bottom w:val="single" w:sz="4" w:space="0" w:color="auto"/>
              <w:right w:val="single" w:sz="4" w:space="0" w:color="auto"/>
            </w:tcBorders>
            <w:shd w:val="clear" w:color="auto" w:fill="auto"/>
            <w:vAlign w:val="center"/>
            <w:hideMark/>
          </w:tcPr>
          <w:p w:rsidR="00700D1B" w:rsidRPr="00683849" w:rsidP="00700D1B">
            <w:pPr>
              <w:jc w:val="center"/>
              <w:rPr>
                <w:rFonts w:cs="Arial"/>
                <w:color w:val="000000"/>
                <w:sz w:val="22"/>
                <w:szCs w:val="22"/>
              </w:rPr>
            </w:pPr>
            <w:r w:rsidRPr="00683849">
              <w:rPr>
                <w:rFonts w:cs="Arial"/>
                <w:color w:val="000000"/>
                <w:sz w:val="22"/>
                <w:szCs w:val="22"/>
              </w:rPr>
              <w:t>J</w:t>
            </w:r>
          </w:p>
        </w:tc>
        <w:tc>
          <w:tcPr>
            <w:tcW w:w="3460" w:type="dxa"/>
            <w:tcBorders>
              <w:top w:val="nil"/>
              <w:left w:val="nil"/>
              <w:bottom w:val="single" w:sz="4" w:space="0" w:color="auto"/>
              <w:right w:val="single" w:sz="4" w:space="0" w:color="auto"/>
            </w:tcBorders>
            <w:shd w:val="clear" w:color="auto" w:fill="auto"/>
            <w:vAlign w:val="center"/>
            <w:hideMark/>
          </w:tcPr>
          <w:p w:rsidR="00700D1B" w:rsidRPr="00683849" w:rsidP="00700D1B">
            <w:pPr>
              <w:rPr>
                <w:rFonts w:cs="Arial"/>
                <w:color w:val="000000"/>
                <w:sz w:val="22"/>
                <w:szCs w:val="22"/>
              </w:rPr>
            </w:pPr>
            <w:r w:rsidRPr="00683849">
              <w:rPr>
                <w:rFonts w:cs="Arial"/>
                <w:color w:val="000000"/>
                <w:sz w:val="22"/>
                <w:szCs w:val="22"/>
              </w:rPr>
              <w:t>NHS Commissioning Board (known as NHS England) net expenditure financed from National Insurance Contributions</w:t>
            </w:r>
          </w:p>
        </w:tc>
        <w:tc>
          <w:tcPr>
            <w:tcW w:w="1600" w:type="dxa"/>
            <w:tcBorders>
              <w:top w:val="nil"/>
              <w:left w:val="single" w:sz="4" w:space="0" w:color="auto"/>
              <w:bottom w:val="single" w:sz="4" w:space="0" w:color="auto"/>
              <w:right w:val="single" w:sz="4" w:space="0" w:color="auto"/>
            </w:tcBorders>
            <w:shd w:val="clear" w:color="auto" w:fill="auto"/>
            <w:vAlign w:val="center"/>
            <w:hideMark/>
          </w:tcPr>
          <w:p w:rsidR="00700D1B" w:rsidRPr="00683849" w:rsidP="00700D1B">
            <w:pPr>
              <w:jc w:val="right"/>
              <w:rPr>
                <w:rFonts w:cs="Arial"/>
                <w:color w:val="000000"/>
                <w:sz w:val="22"/>
                <w:szCs w:val="22"/>
              </w:rPr>
            </w:pPr>
            <w:r w:rsidRPr="00683849">
              <w:rPr>
                <w:rFonts w:cs="Arial"/>
                <w:color w:val="000000"/>
                <w:sz w:val="22"/>
                <w:szCs w:val="22"/>
              </w:rPr>
              <w:t>0.0</w:t>
            </w:r>
          </w:p>
        </w:tc>
        <w:tc>
          <w:tcPr>
            <w:tcW w:w="1220" w:type="dxa"/>
            <w:tcBorders>
              <w:top w:val="nil"/>
              <w:left w:val="nil"/>
              <w:bottom w:val="single" w:sz="4" w:space="0" w:color="auto"/>
              <w:right w:val="single" w:sz="4" w:space="0" w:color="auto"/>
            </w:tcBorders>
            <w:shd w:val="clear" w:color="auto" w:fill="auto"/>
            <w:vAlign w:val="center"/>
            <w:hideMark/>
          </w:tcPr>
          <w:p w:rsidR="00700D1B" w:rsidRPr="00683849" w:rsidP="00700D1B">
            <w:pPr>
              <w:jc w:val="right"/>
              <w:rPr>
                <w:rFonts w:cs="Arial"/>
                <w:color w:val="000000"/>
                <w:sz w:val="22"/>
                <w:szCs w:val="22"/>
              </w:rPr>
            </w:pPr>
            <w:r w:rsidRPr="00683849">
              <w:rPr>
                <w:rFonts w:cs="Arial"/>
                <w:color w:val="000000"/>
                <w:sz w:val="22"/>
                <w:szCs w:val="22"/>
              </w:rPr>
              <w:t>0.0</w:t>
            </w:r>
          </w:p>
        </w:tc>
        <w:tc>
          <w:tcPr>
            <w:tcW w:w="919" w:type="dxa"/>
            <w:tcBorders>
              <w:top w:val="nil"/>
              <w:left w:val="nil"/>
              <w:bottom w:val="single" w:sz="4" w:space="0" w:color="auto"/>
              <w:right w:val="single" w:sz="4" w:space="0" w:color="auto"/>
            </w:tcBorders>
            <w:shd w:val="clear" w:color="auto" w:fill="auto"/>
            <w:vAlign w:val="center"/>
            <w:hideMark/>
          </w:tcPr>
          <w:p w:rsidR="00700D1B" w:rsidRPr="00683849" w:rsidP="00700D1B">
            <w:pPr>
              <w:rPr>
                <w:rFonts w:cs="Arial"/>
                <w:color w:val="000000"/>
                <w:sz w:val="22"/>
                <w:szCs w:val="22"/>
              </w:rPr>
            </w:pPr>
            <w:r w:rsidRPr="00683849">
              <w:rPr>
                <w:rFonts w:cs="Arial"/>
                <w:color w:val="000000"/>
                <w:sz w:val="22"/>
                <w:szCs w:val="22"/>
              </w:rPr>
              <w:t> </w:t>
            </w:r>
          </w:p>
        </w:tc>
        <w:tc>
          <w:tcPr>
            <w:tcW w:w="702" w:type="dxa"/>
            <w:tcBorders>
              <w:top w:val="nil"/>
              <w:left w:val="nil"/>
              <w:bottom w:val="single" w:sz="4" w:space="0" w:color="auto"/>
              <w:right w:val="single" w:sz="4" w:space="0" w:color="auto"/>
            </w:tcBorders>
            <w:shd w:val="clear" w:color="auto" w:fill="auto"/>
            <w:vAlign w:val="center"/>
            <w:hideMark/>
          </w:tcPr>
          <w:p w:rsidR="00700D1B" w:rsidRPr="00683849" w:rsidP="00700D1B">
            <w:pPr>
              <w:jc w:val="right"/>
              <w:rPr>
                <w:rFonts w:cs="Arial"/>
                <w:color w:val="000000"/>
                <w:sz w:val="22"/>
                <w:szCs w:val="22"/>
              </w:rPr>
            </w:pPr>
            <w:r w:rsidRPr="00683849">
              <w:rPr>
                <w:rFonts w:cs="Arial"/>
                <w:color w:val="000000"/>
                <w:sz w:val="22"/>
                <w:szCs w:val="22"/>
              </w:rPr>
              <w:t> </w:t>
            </w:r>
          </w:p>
        </w:tc>
        <w:tc>
          <w:tcPr>
            <w:tcW w:w="700" w:type="dxa"/>
            <w:tcBorders>
              <w:top w:val="nil"/>
              <w:left w:val="nil"/>
              <w:bottom w:val="single" w:sz="4" w:space="0" w:color="auto"/>
              <w:right w:val="single" w:sz="4" w:space="0" w:color="auto"/>
            </w:tcBorders>
            <w:shd w:val="clear" w:color="auto" w:fill="auto"/>
            <w:vAlign w:val="center"/>
            <w:hideMark/>
          </w:tcPr>
          <w:p w:rsidR="00700D1B" w:rsidRPr="00683849" w:rsidP="00700D1B">
            <w:pPr>
              <w:jc w:val="center"/>
              <w:rPr>
                <w:rFonts w:cs="Arial"/>
                <w:color w:val="000000"/>
                <w:sz w:val="22"/>
                <w:szCs w:val="22"/>
              </w:rPr>
            </w:pPr>
            <w:r w:rsidRPr="00683849">
              <w:rPr>
                <w:rFonts w:cs="Arial"/>
                <w:color w:val="000000"/>
                <w:sz w:val="22"/>
                <w:szCs w:val="22"/>
              </w:rPr>
              <w:t> </w:t>
            </w:r>
          </w:p>
        </w:tc>
      </w:tr>
      <w:tr w:rsidTr="00700D1B">
        <w:tblPrEx>
          <w:tblW w:w="9601" w:type="dxa"/>
          <w:tblLook w:val="04A0"/>
        </w:tblPrEx>
        <w:trPr>
          <w:trHeight w:val="300"/>
        </w:trPr>
        <w:tc>
          <w:tcPr>
            <w:tcW w:w="4460" w:type="dxa"/>
            <w:gridSpan w:val="2"/>
            <w:tcBorders>
              <w:top w:val="single" w:sz="4" w:space="0" w:color="auto"/>
              <w:left w:val="single" w:sz="4" w:space="0" w:color="auto"/>
              <w:bottom w:val="single" w:sz="4" w:space="0" w:color="auto"/>
              <w:right w:val="nil"/>
            </w:tcBorders>
            <w:shd w:val="clear" w:color="000000" w:fill="C5D9F1"/>
            <w:vAlign w:val="center"/>
            <w:hideMark/>
          </w:tcPr>
          <w:p w:rsidR="00700D1B" w:rsidRPr="00683849" w:rsidP="00700D1B">
            <w:pPr>
              <w:rPr>
                <w:rFonts w:cs="Arial"/>
                <w:b/>
                <w:bCs/>
                <w:color w:val="000000"/>
                <w:sz w:val="22"/>
                <w:szCs w:val="22"/>
              </w:rPr>
            </w:pPr>
            <w:r w:rsidRPr="00683849">
              <w:rPr>
                <w:rFonts w:cs="Arial"/>
                <w:b/>
                <w:bCs/>
                <w:color w:val="000000"/>
                <w:sz w:val="22"/>
                <w:szCs w:val="22"/>
              </w:rPr>
              <w:t>Sub Total - NHS</w:t>
            </w:r>
          </w:p>
        </w:tc>
        <w:tc>
          <w:tcPr>
            <w:tcW w:w="1600" w:type="dxa"/>
            <w:tcBorders>
              <w:top w:val="nil"/>
              <w:left w:val="single" w:sz="4" w:space="0" w:color="auto"/>
              <w:bottom w:val="single" w:sz="4" w:space="0" w:color="auto"/>
              <w:right w:val="single" w:sz="4" w:space="0" w:color="auto"/>
            </w:tcBorders>
            <w:shd w:val="clear" w:color="000000" w:fill="C5D9F1"/>
            <w:vAlign w:val="center"/>
            <w:hideMark/>
          </w:tcPr>
          <w:p w:rsidR="00700D1B" w:rsidRPr="00683849" w:rsidP="00700D1B">
            <w:pPr>
              <w:jc w:val="right"/>
              <w:rPr>
                <w:rFonts w:cs="Arial"/>
                <w:b/>
                <w:bCs/>
                <w:color w:val="000000"/>
                <w:sz w:val="22"/>
                <w:szCs w:val="22"/>
              </w:rPr>
            </w:pPr>
            <w:r w:rsidRPr="00683849">
              <w:rPr>
                <w:rFonts w:cs="Arial"/>
                <w:b/>
                <w:bCs/>
                <w:color w:val="000000"/>
                <w:sz w:val="22"/>
                <w:szCs w:val="22"/>
              </w:rPr>
              <w:t>7,641.2</w:t>
            </w:r>
          </w:p>
        </w:tc>
        <w:tc>
          <w:tcPr>
            <w:tcW w:w="1220" w:type="dxa"/>
            <w:tcBorders>
              <w:top w:val="nil"/>
              <w:left w:val="nil"/>
              <w:bottom w:val="single" w:sz="4" w:space="0" w:color="auto"/>
              <w:right w:val="single" w:sz="4" w:space="0" w:color="auto"/>
            </w:tcBorders>
            <w:shd w:val="clear" w:color="000000" w:fill="C5D9F1"/>
            <w:vAlign w:val="center"/>
            <w:hideMark/>
          </w:tcPr>
          <w:p w:rsidR="00700D1B" w:rsidRPr="00683849" w:rsidP="00700D1B">
            <w:pPr>
              <w:jc w:val="right"/>
              <w:rPr>
                <w:rFonts w:cs="Arial"/>
                <w:b/>
                <w:bCs/>
                <w:color w:val="000000"/>
                <w:sz w:val="22"/>
                <w:szCs w:val="22"/>
              </w:rPr>
            </w:pPr>
            <w:r w:rsidRPr="00683849">
              <w:rPr>
                <w:rFonts w:cs="Arial"/>
                <w:b/>
                <w:bCs/>
                <w:color w:val="000000"/>
                <w:sz w:val="22"/>
                <w:szCs w:val="22"/>
              </w:rPr>
              <w:t>6,046.5</w:t>
            </w:r>
          </w:p>
        </w:tc>
        <w:tc>
          <w:tcPr>
            <w:tcW w:w="919" w:type="dxa"/>
            <w:tcBorders>
              <w:top w:val="nil"/>
              <w:left w:val="nil"/>
              <w:bottom w:val="single" w:sz="4" w:space="0" w:color="auto"/>
              <w:right w:val="single" w:sz="4" w:space="0" w:color="auto"/>
            </w:tcBorders>
            <w:shd w:val="clear" w:color="000000" w:fill="C5D9F1"/>
            <w:vAlign w:val="center"/>
            <w:hideMark/>
          </w:tcPr>
          <w:p w:rsidR="00700D1B" w:rsidRPr="00683849" w:rsidP="00700D1B">
            <w:pPr>
              <w:jc w:val="right"/>
              <w:rPr>
                <w:rFonts w:cs="Arial"/>
                <w:color w:val="000000"/>
                <w:sz w:val="22"/>
                <w:szCs w:val="22"/>
              </w:rPr>
            </w:pPr>
            <w:r w:rsidRPr="00683849">
              <w:rPr>
                <w:rFonts w:cs="Arial"/>
                <w:color w:val="000000"/>
                <w:sz w:val="22"/>
                <w:szCs w:val="22"/>
              </w:rPr>
              <w:t>1,594.7</w:t>
            </w:r>
          </w:p>
        </w:tc>
        <w:tc>
          <w:tcPr>
            <w:tcW w:w="702" w:type="dxa"/>
            <w:tcBorders>
              <w:top w:val="nil"/>
              <w:left w:val="nil"/>
              <w:bottom w:val="single" w:sz="4" w:space="0" w:color="auto"/>
              <w:right w:val="single" w:sz="4" w:space="0" w:color="auto"/>
            </w:tcBorders>
            <w:shd w:val="clear" w:color="000000" w:fill="C5D9F1"/>
            <w:vAlign w:val="center"/>
            <w:hideMark/>
          </w:tcPr>
          <w:p w:rsidR="00700D1B" w:rsidRPr="00683849" w:rsidP="00700D1B">
            <w:pPr>
              <w:jc w:val="right"/>
              <w:rPr>
                <w:rFonts w:cs="Arial"/>
                <w:color w:val="000000"/>
                <w:sz w:val="22"/>
                <w:szCs w:val="22"/>
              </w:rPr>
            </w:pPr>
            <w:r w:rsidRPr="00683849">
              <w:rPr>
                <w:rFonts w:cs="Arial"/>
                <w:color w:val="000000"/>
                <w:sz w:val="22"/>
                <w:szCs w:val="22"/>
              </w:rPr>
              <w:t>26%</w:t>
            </w:r>
          </w:p>
        </w:tc>
        <w:tc>
          <w:tcPr>
            <w:tcW w:w="700" w:type="dxa"/>
            <w:tcBorders>
              <w:top w:val="nil"/>
              <w:left w:val="nil"/>
              <w:bottom w:val="single" w:sz="4" w:space="0" w:color="auto"/>
              <w:right w:val="single" w:sz="4" w:space="0" w:color="auto"/>
            </w:tcBorders>
            <w:shd w:val="clear" w:color="000000" w:fill="C5D9F1"/>
            <w:vAlign w:val="center"/>
            <w:hideMark/>
          </w:tcPr>
          <w:p w:rsidR="00700D1B" w:rsidRPr="00683849" w:rsidP="00700D1B">
            <w:pPr>
              <w:jc w:val="center"/>
              <w:rPr>
                <w:rFonts w:cs="Arial"/>
                <w:color w:val="000000"/>
                <w:sz w:val="22"/>
                <w:szCs w:val="22"/>
              </w:rPr>
            </w:pPr>
            <w:r>
              <w:rPr>
                <w:rFonts w:cs="Arial"/>
                <w:color w:val="000000"/>
                <w:sz w:val="22"/>
                <w:szCs w:val="22"/>
              </w:rPr>
              <w:t>g</w:t>
            </w:r>
            <w:r w:rsidRPr="00683849">
              <w:rPr>
                <w:rFonts w:cs="Arial"/>
                <w:color w:val="000000"/>
                <w:sz w:val="22"/>
                <w:szCs w:val="22"/>
              </w:rPr>
              <w:t>)</w:t>
            </w:r>
          </w:p>
        </w:tc>
      </w:tr>
      <w:tr w:rsidTr="00700D1B">
        <w:tblPrEx>
          <w:tblW w:w="9601" w:type="dxa"/>
          <w:tblLook w:val="04A0"/>
        </w:tblPrEx>
        <w:trPr>
          <w:trHeight w:val="570"/>
        </w:trPr>
        <w:tc>
          <w:tcPr>
            <w:tcW w:w="1000" w:type="dxa"/>
            <w:tcBorders>
              <w:top w:val="nil"/>
              <w:left w:val="single" w:sz="4" w:space="0" w:color="auto"/>
              <w:bottom w:val="single" w:sz="4" w:space="0" w:color="auto"/>
              <w:right w:val="single" w:sz="4" w:space="0" w:color="auto"/>
            </w:tcBorders>
            <w:shd w:val="clear" w:color="auto" w:fill="auto"/>
            <w:vAlign w:val="center"/>
            <w:hideMark/>
          </w:tcPr>
          <w:p w:rsidR="00700D1B" w:rsidRPr="00683849" w:rsidP="00700D1B">
            <w:pPr>
              <w:jc w:val="center"/>
              <w:rPr>
                <w:rFonts w:cs="Arial"/>
                <w:color w:val="000000"/>
                <w:sz w:val="22"/>
                <w:szCs w:val="22"/>
              </w:rPr>
            </w:pPr>
            <w:r w:rsidRPr="00683849">
              <w:rPr>
                <w:rFonts w:cs="Arial"/>
                <w:color w:val="000000"/>
                <w:sz w:val="22"/>
                <w:szCs w:val="22"/>
              </w:rPr>
              <w:t>C</w:t>
            </w:r>
          </w:p>
        </w:tc>
        <w:tc>
          <w:tcPr>
            <w:tcW w:w="3460" w:type="dxa"/>
            <w:tcBorders>
              <w:top w:val="nil"/>
              <w:left w:val="nil"/>
              <w:bottom w:val="single" w:sz="4" w:space="0" w:color="auto"/>
              <w:right w:val="nil"/>
            </w:tcBorders>
            <w:shd w:val="clear" w:color="auto" w:fill="auto"/>
            <w:vAlign w:val="center"/>
            <w:hideMark/>
          </w:tcPr>
          <w:p w:rsidR="00700D1B" w:rsidRPr="00683849" w:rsidP="00700D1B">
            <w:pPr>
              <w:rPr>
                <w:rFonts w:cs="Arial"/>
                <w:color w:val="000000"/>
                <w:sz w:val="22"/>
                <w:szCs w:val="22"/>
              </w:rPr>
            </w:pPr>
            <w:r w:rsidRPr="00683849">
              <w:rPr>
                <w:rFonts w:cs="Arial"/>
                <w:color w:val="000000"/>
                <w:sz w:val="22"/>
                <w:szCs w:val="22"/>
              </w:rPr>
              <w:t>DHSC programme and admin expenditure</w:t>
            </w:r>
          </w:p>
        </w:tc>
        <w:tc>
          <w:tcPr>
            <w:tcW w:w="1600" w:type="dxa"/>
            <w:tcBorders>
              <w:top w:val="nil"/>
              <w:left w:val="single" w:sz="4" w:space="0" w:color="auto"/>
              <w:bottom w:val="single" w:sz="4" w:space="0" w:color="auto"/>
              <w:right w:val="single" w:sz="4" w:space="0" w:color="auto"/>
            </w:tcBorders>
            <w:shd w:val="clear" w:color="auto" w:fill="auto"/>
            <w:vAlign w:val="center"/>
            <w:hideMark/>
          </w:tcPr>
          <w:p w:rsidR="00700D1B" w:rsidRPr="00683849" w:rsidP="00700D1B">
            <w:pPr>
              <w:jc w:val="right"/>
              <w:rPr>
                <w:rFonts w:cs="Arial"/>
                <w:color w:val="000000"/>
                <w:sz w:val="22"/>
                <w:szCs w:val="22"/>
              </w:rPr>
            </w:pPr>
            <w:r w:rsidRPr="00683849">
              <w:rPr>
                <w:rFonts w:cs="Arial"/>
                <w:color w:val="000000"/>
                <w:sz w:val="22"/>
                <w:szCs w:val="22"/>
              </w:rPr>
              <w:t>4,701.7</w:t>
            </w:r>
          </w:p>
        </w:tc>
        <w:tc>
          <w:tcPr>
            <w:tcW w:w="1220" w:type="dxa"/>
            <w:tcBorders>
              <w:top w:val="nil"/>
              <w:left w:val="nil"/>
              <w:bottom w:val="single" w:sz="4" w:space="0" w:color="auto"/>
              <w:right w:val="single" w:sz="4" w:space="0" w:color="auto"/>
            </w:tcBorders>
            <w:shd w:val="clear" w:color="auto" w:fill="auto"/>
            <w:vAlign w:val="center"/>
            <w:hideMark/>
          </w:tcPr>
          <w:p w:rsidR="00700D1B" w:rsidRPr="00683849" w:rsidP="00700D1B">
            <w:pPr>
              <w:jc w:val="right"/>
              <w:rPr>
                <w:rFonts w:cs="Arial"/>
                <w:color w:val="000000"/>
                <w:sz w:val="22"/>
                <w:szCs w:val="22"/>
              </w:rPr>
            </w:pPr>
            <w:r w:rsidRPr="00683849">
              <w:rPr>
                <w:rFonts w:cs="Arial"/>
                <w:color w:val="000000"/>
                <w:sz w:val="22"/>
                <w:szCs w:val="22"/>
              </w:rPr>
              <w:t>1,821.0</w:t>
            </w:r>
          </w:p>
        </w:tc>
        <w:tc>
          <w:tcPr>
            <w:tcW w:w="919" w:type="dxa"/>
            <w:tcBorders>
              <w:top w:val="nil"/>
              <w:left w:val="nil"/>
              <w:bottom w:val="single" w:sz="4" w:space="0" w:color="auto"/>
              <w:right w:val="single" w:sz="4" w:space="0" w:color="auto"/>
            </w:tcBorders>
            <w:shd w:val="clear" w:color="auto" w:fill="auto"/>
            <w:vAlign w:val="center"/>
            <w:hideMark/>
          </w:tcPr>
          <w:p w:rsidR="00700D1B" w:rsidRPr="00683849" w:rsidP="00700D1B">
            <w:pPr>
              <w:jc w:val="right"/>
              <w:rPr>
                <w:rFonts w:cs="Arial"/>
                <w:color w:val="000000"/>
                <w:sz w:val="22"/>
                <w:szCs w:val="22"/>
              </w:rPr>
            </w:pPr>
            <w:r w:rsidRPr="00683849">
              <w:rPr>
                <w:rFonts w:cs="Arial"/>
                <w:color w:val="000000"/>
                <w:sz w:val="22"/>
                <w:szCs w:val="22"/>
              </w:rPr>
              <w:t>2,880.7</w:t>
            </w:r>
          </w:p>
        </w:tc>
        <w:tc>
          <w:tcPr>
            <w:tcW w:w="702" w:type="dxa"/>
            <w:tcBorders>
              <w:top w:val="nil"/>
              <w:left w:val="nil"/>
              <w:bottom w:val="single" w:sz="4" w:space="0" w:color="auto"/>
              <w:right w:val="single" w:sz="4" w:space="0" w:color="auto"/>
            </w:tcBorders>
            <w:shd w:val="clear" w:color="auto" w:fill="auto"/>
            <w:vAlign w:val="center"/>
            <w:hideMark/>
          </w:tcPr>
          <w:p w:rsidR="00700D1B" w:rsidRPr="00683849" w:rsidP="00700D1B">
            <w:pPr>
              <w:jc w:val="right"/>
              <w:rPr>
                <w:rFonts w:cs="Arial"/>
                <w:color w:val="000000"/>
                <w:sz w:val="22"/>
                <w:szCs w:val="22"/>
              </w:rPr>
            </w:pPr>
            <w:r w:rsidRPr="00683849">
              <w:rPr>
                <w:rFonts w:cs="Arial"/>
                <w:color w:val="000000"/>
                <w:sz w:val="22"/>
                <w:szCs w:val="22"/>
              </w:rPr>
              <w:t>158%</w:t>
            </w:r>
          </w:p>
        </w:tc>
        <w:tc>
          <w:tcPr>
            <w:tcW w:w="700" w:type="dxa"/>
            <w:tcBorders>
              <w:top w:val="nil"/>
              <w:left w:val="nil"/>
              <w:bottom w:val="single" w:sz="4" w:space="0" w:color="auto"/>
              <w:right w:val="single" w:sz="4" w:space="0" w:color="auto"/>
            </w:tcBorders>
            <w:shd w:val="clear" w:color="auto" w:fill="auto"/>
            <w:vAlign w:val="center"/>
            <w:hideMark/>
          </w:tcPr>
          <w:p w:rsidR="00700D1B" w:rsidRPr="00683849" w:rsidP="00700D1B">
            <w:pPr>
              <w:jc w:val="center"/>
              <w:rPr>
                <w:rFonts w:cs="Arial"/>
                <w:color w:val="000000"/>
                <w:sz w:val="22"/>
                <w:szCs w:val="22"/>
              </w:rPr>
            </w:pPr>
            <w:r>
              <w:rPr>
                <w:rFonts w:cs="Arial"/>
                <w:color w:val="000000"/>
                <w:sz w:val="22"/>
                <w:szCs w:val="22"/>
              </w:rPr>
              <w:t>h</w:t>
            </w:r>
            <w:r w:rsidRPr="00683849">
              <w:rPr>
                <w:rFonts w:cs="Arial"/>
                <w:color w:val="000000"/>
                <w:sz w:val="22"/>
                <w:szCs w:val="22"/>
              </w:rPr>
              <w:t>)</w:t>
            </w:r>
          </w:p>
        </w:tc>
      </w:tr>
      <w:tr w:rsidTr="00700D1B">
        <w:tblPrEx>
          <w:tblW w:w="9601" w:type="dxa"/>
          <w:tblLook w:val="04A0"/>
        </w:tblPrEx>
        <w:trPr>
          <w:trHeight w:val="285"/>
        </w:trPr>
        <w:tc>
          <w:tcPr>
            <w:tcW w:w="10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00D1B" w:rsidRPr="00683849" w:rsidP="00700D1B">
            <w:pPr>
              <w:jc w:val="center"/>
              <w:rPr>
                <w:rFonts w:cs="Arial"/>
                <w:color w:val="000000"/>
                <w:sz w:val="22"/>
                <w:szCs w:val="22"/>
              </w:rPr>
            </w:pPr>
            <w:r w:rsidRPr="00683849">
              <w:rPr>
                <w:rFonts w:cs="Arial"/>
                <w:color w:val="000000"/>
                <w:sz w:val="22"/>
                <w:szCs w:val="22"/>
              </w:rPr>
              <w:t>D</w:t>
            </w:r>
          </w:p>
        </w:tc>
        <w:tc>
          <w:tcPr>
            <w:tcW w:w="3460" w:type="dxa"/>
            <w:tcBorders>
              <w:top w:val="single" w:sz="4" w:space="0" w:color="auto"/>
              <w:left w:val="nil"/>
              <w:bottom w:val="single" w:sz="4" w:space="0" w:color="auto"/>
              <w:right w:val="single" w:sz="4" w:space="0" w:color="auto"/>
            </w:tcBorders>
            <w:shd w:val="clear" w:color="auto" w:fill="auto"/>
            <w:vAlign w:val="center"/>
            <w:hideMark/>
          </w:tcPr>
          <w:p w:rsidR="00700D1B" w:rsidRPr="00683849" w:rsidP="00700D1B">
            <w:pPr>
              <w:rPr>
                <w:rFonts w:cs="Arial"/>
                <w:color w:val="000000"/>
                <w:sz w:val="22"/>
                <w:szCs w:val="22"/>
              </w:rPr>
            </w:pPr>
            <w:r w:rsidRPr="00683849">
              <w:rPr>
                <w:rFonts w:cs="Arial"/>
                <w:color w:val="000000"/>
                <w:sz w:val="22"/>
                <w:szCs w:val="22"/>
              </w:rPr>
              <w:t>Local Authorities (Public Health)</w:t>
            </w:r>
          </w:p>
        </w:tc>
        <w:tc>
          <w:tcPr>
            <w:tcW w:w="1600" w:type="dxa"/>
            <w:tcBorders>
              <w:top w:val="nil"/>
              <w:left w:val="single" w:sz="4" w:space="0" w:color="auto"/>
              <w:bottom w:val="single" w:sz="4" w:space="0" w:color="auto"/>
              <w:right w:val="single" w:sz="4" w:space="0" w:color="auto"/>
            </w:tcBorders>
            <w:shd w:val="clear" w:color="auto" w:fill="auto"/>
            <w:vAlign w:val="center"/>
            <w:hideMark/>
          </w:tcPr>
          <w:p w:rsidR="00700D1B" w:rsidRPr="00683849" w:rsidP="00700D1B">
            <w:pPr>
              <w:jc w:val="right"/>
              <w:rPr>
                <w:rFonts w:cs="Arial"/>
                <w:color w:val="000000"/>
                <w:sz w:val="22"/>
                <w:szCs w:val="22"/>
              </w:rPr>
            </w:pPr>
            <w:r w:rsidRPr="00683849">
              <w:rPr>
                <w:rFonts w:cs="Arial"/>
                <w:color w:val="000000"/>
                <w:sz w:val="22"/>
                <w:szCs w:val="22"/>
              </w:rPr>
              <w:t>0.0</w:t>
            </w:r>
          </w:p>
        </w:tc>
        <w:tc>
          <w:tcPr>
            <w:tcW w:w="1220" w:type="dxa"/>
            <w:tcBorders>
              <w:top w:val="nil"/>
              <w:left w:val="nil"/>
              <w:bottom w:val="single" w:sz="4" w:space="0" w:color="auto"/>
              <w:right w:val="single" w:sz="4" w:space="0" w:color="auto"/>
            </w:tcBorders>
            <w:shd w:val="clear" w:color="auto" w:fill="auto"/>
            <w:vAlign w:val="center"/>
            <w:hideMark/>
          </w:tcPr>
          <w:p w:rsidR="00700D1B" w:rsidRPr="00683849" w:rsidP="00700D1B">
            <w:pPr>
              <w:jc w:val="right"/>
              <w:rPr>
                <w:rFonts w:cs="Arial"/>
                <w:color w:val="000000"/>
                <w:sz w:val="22"/>
                <w:szCs w:val="22"/>
              </w:rPr>
            </w:pPr>
            <w:r w:rsidRPr="00683849">
              <w:rPr>
                <w:rFonts w:cs="Arial"/>
                <w:color w:val="000000"/>
                <w:sz w:val="22"/>
                <w:szCs w:val="22"/>
              </w:rPr>
              <w:t>0.0</w:t>
            </w:r>
          </w:p>
        </w:tc>
        <w:tc>
          <w:tcPr>
            <w:tcW w:w="919" w:type="dxa"/>
            <w:tcBorders>
              <w:top w:val="nil"/>
              <w:left w:val="nil"/>
              <w:bottom w:val="single" w:sz="4" w:space="0" w:color="auto"/>
              <w:right w:val="single" w:sz="4" w:space="0" w:color="auto"/>
            </w:tcBorders>
            <w:shd w:val="clear" w:color="auto" w:fill="auto"/>
            <w:vAlign w:val="center"/>
            <w:hideMark/>
          </w:tcPr>
          <w:p w:rsidR="00700D1B" w:rsidRPr="00683849" w:rsidP="00700D1B">
            <w:pPr>
              <w:jc w:val="right"/>
              <w:rPr>
                <w:rFonts w:cs="Arial"/>
                <w:color w:val="000000"/>
                <w:sz w:val="22"/>
                <w:szCs w:val="22"/>
              </w:rPr>
            </w:pPr>
            <w:r w:rsidRPr="00683849">
              <w:rPr>
                <w:rFonts w:cs="Arial"/>
                <w:color w:val="000000"/>
                <w:sz w:val="22"/>
                <w:szCs w:val="22"/>
              </w:rPr>
              <w:t>0.0</w:t>
            </w:r>
          </w:p>
        </w:tc>
        <w:tc>
          <w:tcPr>
            <w:tcW w:w="702" w:type="dxa"/>
            <w:tcBorders>
              <w:top w:val="nil"/>
              <w:left w:val="nil"/>
              <w:bottom w:val="single" w:sz="4" w:space="0" w:color="auto"/>
              <w:right w:val="single" w:sz="4" w:space="0" w:color="auto"/>
            </w:tcBorders>
            <w:shd w:val="clear" w:color="auto" w:fill="auto"/>
            <w:vAlign w:val="center"/>
            <w:hideMark/>
          </w:tcPr>
          <w:p w:rsidR="00700D1B" w:rsidRPr="00683849" w:rsidP="00700D1B">
            <w:pPr>
              <w:jc w:val="right"/>
              <w:rPr>
                <w:rFonts w:cs="Arial"/>
                <w:color w:val="000000"/>
                <w:sz w:val="22"/>
                <w:szCs w:val="22"/>
              </w:rPr>
            </w:pPr>
            <w:r w:rsidRPr="00683849">
              <w:rPr>
                <w:rFonts w:cs="Arial"/>
                <w:color w:val="000000"/>
                <w:sz w:val="22"/>
                <w:szCs w:val="22"/>
              </w:rPr>
              <w:t>0%</w:t>
            </w:r>
          </w:p>
        </w:tc>
        <w:tc>
          <w:tcPr>
            <w:tcW w:w="700" w:type="dxa"/>
            <w:tcBorders>
              <w:top w:val="nil"/>
              <w:left w:val="nil"/>
              <w:bottom w:val="single" w:sz="4" w:space="0" w:color="auto"/>
              <w:right w:val="single" w:sz="4" w:space="0" w:color="auto"/>
            </w:tcBorders>
            <w:shd w:val="clear" w:color="auto" w:fill="auto"/>
            <w:vAlign w:val="center"/>
            <w:hideMark/>
          </w:tcPr>
          <w:p w:rsidR="00700D1B" w:rsidRPr="00683849" w:rsidP="00700D1B">
            <w:pPr>
              <w:jc w:val="center"/>
              <w:rPr>
                <w:rFonts w:cs="Arial"/>
                <w:color w:val="000000"/>
                <w:sz w:val="22"/>
                <w:szCs w:val="22"/>
              </w:rPr>
            </w:pPr>
            <w:r w:rsidRPr="00683849">
              <w:rPr>
                <w:rFonts w:cs="Arial"/>
                <w:color w:val="000000"/>
                <w:sz w:val="22"/>
                <w:szCs w:val="22"/>
              </w:rPr>
              <w:t> </w:t>
            </w:r>
          </w:p>
        </w:tc>
      </w:tr>
      <w:tr w:rsidTr="00700D1B">
        <w:tblPrEx>
          <w:tblW w:w="9601" w:type="dxa"/>
          <w:tblLook w:val="04A0"/>
        </w:tblPrEx>
        <w:trPr>
          <w:trHeight w:val="570"/>
        </w:trPr>
        <w:tc>
          <w:tcPr>
            <w:tcW w:w="1000" w:type="dxa"/>
            <w:tcBorders>
              <w:top w:val="nil"/>
              <w:left w:val="single" w:sz="4" w:space="0" w:color="auto"/>
              <w:bottom w:val="single" w:sz="4" w:space="0" w:color="auto"/>
              <w:right w:val="single" w:sz="4" w:space="0" w:color="auto"/>
            </w:tcBorders>
            <w:shd w:val="clear" w:color="auto" w:fill="auto"/>
            <w:vAlign w:val="center"/>
            <w:hideMark/>
          </w:tcPr>
          <w:p w:rsidR="00700D1B" w:rsidRPr="00683849" w:rsidP="00700D1B">
            <w:pPr>
              <w:jc w:val="center"/>
              <w:rPr>
                <w:rFonts w:cs="Arial"/>
                <w:color w:val="000000"/>
                <w:sz w:val="22"/>
                <w:szCs w:val="22"/>
              </w:rPr>
            </w:pPr>
            <w:r w:rsidRPr="00683849">
              <w:rPr>
                <w:rFonts w:cs="Arial"/>
                <w:color w:val="000000"/>
                <w:sz w:val="22"/>
                <w:szCs w:val="22"/>
              </w:rPr>
              <w:t>E</w:t>
            </w:r>
          </w:p>
        </w:tc>
        <w:tc>
          <w:tcPr>
            <w:tcW w:w="3460" w:type="dxa"/>
            <w:tcBorders>
              <w:top w:val="nil"/>
              <w:left w:val="nil"/>
              <w:bottom w:val="single" w:sz="4" w:space="0" w:color="auto"/>
              <w:right w:val="single" w:sz="4" w:space="0" w:color="auto"/>
            </w:tcBorders>
            <w:shd w:val="clear" w:color="auto" w:fill="auto"/>
            <w:vAlign w:val="center"/>
            <w:hideMark/>
          </w:tcPr>
          <w:p w:rsidR="00700D1B" w:rsidRPr="00683849" w:rsidP="00700D1B">
            <w:pPr>
              <w:rPr>
                <w:rFonts w:cs="Arial"/>
                <w:color w:val="000000"/>
                <w:sz w:val="22"/>
                <w:szCs w:val="22"/>
              </w:rPr>
            </w:pPr>
            <w:r w:rsidRPr="00683849">
              <w:rPr>
                <w:rFonts w:cs="Arial"/>
                <w:color w:val="000000"/>
                <w:sz w:val="22"/>
                <w:szCs w:val="22"/>
              </w:rPr>
              <w:t>Public Health England (Executive Agency)</w:t>
            </w:r>
          </w:p>
        </w:tc>
        <w:tc>
          <w:tcPr>
            <w:tcW w:w="1600" w:type="dxa"/>
            <w:tcBorders>
              <w:top w:val="nil"/>
              <w:left w:val="single" w:sz="4" w:space="0" w:color="auto"/>
              <w:bottom w:val="single" w:sz="4" w:space="0" w:color="auto"/>
              <w:right w:val="single" w:sz="4" w:space="0" w:color="auto"/>
            </w:tcBorders>
            <w:shd w:val="clear" w:color="auto" w:fill="auto"/>
            <w:vAlign w:val="center"/>
            <w:hideMark/>
          </w:tcPr>
          <w:p w:rsidR="00700D1B" w:rsidRPr="00683849" w:rsidP="00700D1B">
            <w:pPr>
              <w:jc w:val="right"/>
              <w:rPr>
                <w:rFonts w:cs="Arial"/>
                <w:color w:val="000000"/>
                <w:sz w:val="22"/>
                <w:szCs w:val="22"/>
              </w:rPr>
            </w:pPr>
            <w:r w:rsidRPr="00683849">
              <w:rPr>
                <w:rFonts w:cs="Arial"/>
                <w:color w:val="000000"/>
                <w:sz w:val="22"/>
                <w:szCs w:val="22"/>
              </w:rPr>
              <w:t>235.7</w:t>
            </w:r>
          </w:p>
        </w:tc>
        <w:tc>
          <w:tcPr>
            <w:tcW w:w="1220" w:type="dxa"/>
            <w:tcBorders>
              <w:top w:val="nil"/>
              <w:left w:val="nil"/>
              <w:bottom w:val="single" w:sz="4" w:space="0" w:color="auto"/>
              <w:right w:val="single" w:sz="4" w:space="0" w:color="auto"/>
            </w:tcBorders>
            <w:shd w:val="clear" w:color="auto" w:fill="auto"/>
            <w:vAlign w:val="center"/>
            <w:hideMark/>
          </w:tcPr>
          <w:p w:rsidR="00700D1B" w:rsidRPr="00683849" w:rsidP="00700D1B">
            <w:pPr>
              <w:jc w:val="right"/>
              <w:rPr>
                <w:rFonts w:cs="Arial"/>
                <w:color w:val="000000"/>
                <w:sz w:val="22"/>
                <w:szCs w:val="22"/>
              </w:rPr>
            </w:pPr>
            <w:r w:rsidRPr="00683849">
              <w:rPr>
                <w:rFonts w:cs="Arial"/>
                <w:color w:val="000000"/>
                <w:sz w:val="22"/>
                <w:szCs w:val="22"/>
              </w:rPr>
              <w:t>124.9</w:t>
            </w:r>
          </w:p>
        </w:tc>
        <w:tc>
          <w:tcPr>
            <w:tcW w:w="919" w:type="dxa"/>
            <w:tcBorders>
              <w:top w:val="nil"/>
              <w:left w:val="nil"/>
              <w:bottom w:val="single" w:sz="4" w:space="0" w:color="auto"/>
              <w:right w:val="single" w:sz="4" w:space="0" w:color="auto"/>
            </w:tcBorders>
            <w:shd w:val="clear" w:color="auto" w:fill="auto"/>
            <w:vAlign w:val="center"/>
            <w:hideMark/>
          </w:tcPr>
          <w:p w:rsidR="00700D1B" w:rsidRPr="00683849" w:rsidP="00700D1B">
            <w:pPr>
              <w:jc w:val="right"/>
              <w:rPr>
                <w:rFonts w:cs="Arial"/>
                <w:color w:val="000000"/>
                <w:sz w:val="22"/>
                <w:szCs w:val="22"/>
              </w:rPr>
            </w:pPr>
            <w:r w:rsidRPr="00683849">
              <w:rPr>
                <w:rFonts w:cs="Arial"/>
                <w:color w:val="000000"/>
                <w:sz w:val="22"/>
                <w:szCs w:val="22"/>
              </w:rPr>
              <w:t>110.8</w:t>
            </w:r>
          </w:p>
        </w:tc>
        <w:tc>
          <w:tcPr>
            <w:tcW w:w="702" w:type="dxa"/>
            <w:tcBorders>
              <w:top w:val="nil"/>
              <w:left w:val="nil"/>
              <w:bottom w:val="single" w:sz="4" w:space="0" w:color="auto"/>
              <w:right w:val="single" w:sz="4" w:space="0" w:color="auto"/>
            </w:tcBorders>
            <w:shd w:val="clear" w:color="auto" w:fill="auto"/>
            <w:vAlign w:val="center"/>
            <w:hideMark/>
          </w:tcPr>
          <w:p w:rsidR="00700D1B" w:rsidRPr="00683849" w:rsidP="00700D1B">
            <w:pPr>
              <w:jc w:val="right"/>
              <w:rPr>
                <w:rFonts w:cs="Arial"/>
                <w:color w:val="000000"/>
                <w:sz w:val="22"/>
                <w:szCs w:val="22"/>
              </w:rPr>
            </w:pPr>
            <w:r w:rsidRPr="00683849">
              <w:rPr>
                <w:rFonts w:cs="Arial"/>
                <w:color w:val="000000"/>
                <w:sz w:val="22"/>
                <w:szCs w:val="22"/>
              </w:rPr>
              <w:t>89%</w:t>
            </w:r>
          </w:p>
        </w:tc>
        <w:tc>
          <w:tcPr>
            <w:tcW w:w="700" w:type="dxa"/>
            <w:tcBorders>
              <w:top w:val="nil"/>
              <w:left w:val="nil"/>
              <w:bottom w:val="single" w:sz="4" w:space="0" w:color="auto"/>
              <w:right w:val="single" w:sz="4" w:space="0" w:color="auto"/>
            </w:tcBorders>
            <w:shd w:val="clear" w:color="auto" w:fill="auto"/>
            <w:vAlign w:val="center"/>
            <w:hideMark/>
          </w:tcPr>
          <w:p w:rsidR="00700D1B" w:rsidRPr="00683849" w:rsidP="00700D1B">
            <w:pPr>
              <w:jc w:val="center"/>
              <w:rPr>
                <w:rFonts w:cs="Arial"/>
                <w:color w:val="000000"/>
                <w:sz w:val="22"/>
                <w:szCs w:val="22"/>
              </w:rPr>
            </w:pPr>
            <w:r>
              <w:rPr>
                <w:rFonts w:cs="Arial"/>
                <w:color w:val="000000"/>
                <w:sz w:val="22"/>
                <w:szCs w:val="22"/>
              </w:rPr>
              <w:t>i</w:t>
            </w:r>
            <w:r w:rsidRPr="00683849">
              <w:rPr>
                <w:rFonts w:cs="Arial"/>
                <w:color w:val="000000"/>
                <w:sz w:val="22"/>
                <w:szCs w:val="22"/>
              </w:rPr>
              <w:t>)</w:t>
            </w:r>
          </w:p>
        </w:tc>
      </w:tr>
      <w:tr w:rsidTr="00700D1B">
        <w:tblPrEx>
          <w:tblW w:w="9601" w:type="dxa"/>
          <w:tblLook w:val="04A0"/>
        </w:tblPrEx>
        <w:trPr>
          <w:trHeight w:val="285"/>
        </w:trPr>
        <w:tc>
          <w:tcPr>
            <w:tcW w:w="1000" w:type="dxa"/>
            <w:tcBorders>
              <w:top w:val="nil"/>
              <w:left w:val="single" w:sz="4" w:space="0" w:color="auto"/>
              <w:bottom w:val="single" w:sz="4" w:space="0" w:color="auto"/>
              <w:right w:val="single" w:sz="4" w:space="0" w:color="auto"/>
            </w:tcBorders>
            <w:shd w:val="clear" w:color="auto" w:fill="auto"/>
            <w:vAlign w:val="center"/>
            <w:hideMark/>
          </w:tcPr>
          <w:p w:rsidR="00700D1B" w:rsidRPr="00683849" w:rsidP="00700D1B">
            <w:pPr>
              <w:jc w:val="center"/>
              <w:rPr>
                <w:rFonts w:cs="Arial"/>
                <w:color w:val="000000"/>
                <w:sz w:val="22"/>
                <w:szCs w:val="22"/>
              </w:rPr>
            </w:pPr>
            <w:r w:rsidRPr="00683849">
              <w:rPr>
                <w:rFonts w:cs="Arial"/>
                <w:color w:val="000000"/>
                <w:sz w:val="22"/>
                <w:szCs w:val="22"/>
              </w:rPr>
              <w:t>F</w:t>
            </w:r>
          </w:p>
        </w:tc>
        <w:tc>
          <w:tcPr>
            <w:tcW w:w="3460" w:type="dxa"/>
            <w:tcBorders>
              <w:top w:val="nil"/>
              <w:left w:val="nil"/>
              <w:bottom w:val="single" w:sz="4" w:space="0" w:color="auto"/>
              <w:right w:val="single" w:sz="4" w:space="0" w:color="auto"/>
            </w:tcBorders>
            <w:shd w:val="clear" w:color="auto" w:fill="auto"/>
            <w:vAlign w:val="center"/>
            <w:hideMark/>
          </w:tcPr>
          <w:p w:rsidR="00700D1B" w:rsidRPr="00683849" w:rsidP="00700D1B">
            <w:pPr>
              <w:rPr>
                <w:rFonts w:cs="Arial"/>
                <w:color w:val="000000"/>
                <w:sz w:val="22"/>
                <w:szCs w:val="22"/>
              </w:rPr>
            </w:pPr>
            <w:r w:rsidRPr="00683849">
              <w:rPr>
                <w:rFonts w:cs="Arial"/>
                <w:color w:val="000000"/>
                <w:sz w:val="22"/>
                <w:szCs w:val="22"/>
              </w:rPr>
              <w:t>Health Education England</w:t>
            </w:r>
          </w:p>
        </w:tc>
        <w:tc>
          <w:tcPr>
            <w:tcW w:w="1600" w:type="dxa"/>
            <w:tcBorders>
              <w:top w:val="nil"/>
              <w:left w:val="single" w:sz="4" w:space="0" w:color="auto"/>
              <w:bottom w:val="single" w:sz="4" w:space="0" w:color="auto"/>
              <w:right w:val="single" w:sz="4" w:space="0" w:color="auto"/>
            </w:tcBorders>
            <w:shd w:val="clear" w:color="auto" w:fill="auto"/>
            <w:vAlign w:val="center"/>
            <w:hideMark/>
          </w:tcPr>
          <w:p w:rsidR="00700D1B" w:rsidRPr="00683849" w:rsidP="00700D1B">
            <w:pPr>
              <w:jc w:val="right"/>
              <w:rPr>
                <w:rFonts w:cs="Arial"/>
                <w:color w:val="000000"/>
                <w:sz w:val="22"/>
                <w:szCs w:val="22"/>
              </w:rPr>
            </w:pPr>
            <w:r w:rsidRPr="00683849">
              <w:rPr>
                <w:rFonts w:cs="Arial"/>
                <w:color w:val="000000"/>
                <w:sz w:val="22"/>
                <w:szCs w:val="22"/>
              </w:rPr>
              <w:t>2.0</w:t>
            </w:r>
          </w:p>
        </w:tc>
        <w:tc>
          <w:tcPr>
            <w:tcW w:w="1220" w:type="dxa"/>
            <w:tcBorders>
              <w:top w:val="nil"/>
              <w:left w:val="nil"/>
              <w:bottom w:val="single" w:sz="4" w:space="0" w:color="auto"/>
              <w:right w:val="single" w:sz="4" w:space="0" w:color="auto"/>
            </w:tcBorders>
            <w:shd w:val="clear" w:color="auto" w:fill="auto"/>
            <w:vAlign w:val="center"/>
            <w:hideMark/>
          </w:tcPr>
          <w:p w:rsidR="00700D1B" w:rsidRPr="00683849" w:rsidP="00700D1B">
            <w:pPr>
              <w:jc w:val="right"/>
              <w:rPr>
                <w:rFonts w:cs="Arial"/>
                <w:color w:val="000000"/>
                <w:sz w:val="22"/>
                <w:szCs w:val="22"/>
              </w:rPr>
            </w:pPr>
            <w:r w:rsidRPr="00683849">
              <w:rPr>
                <w:rFonts w:cs="Arial"/>
                <w:color w:val="000000"/>
                <w:sz w:val="22"/>
                <w:szCs w:val="22"/>
              </w:rPr>
              <w:t>2.0</w:t>
            </w:r>
          </w:p>
        </w:tc>
        <w:tc>
          <w:tcPr>
            <w:tcW w:w="919" w:type="dxa"/>
            <w:tcBorders>
              <w:top w:val="nil"/>
              <w:left w:val="nil"/>
              <w:bottom w:val="single" w:sz="4" w:space="0" w:color="auto"/>
              <w:right w:val="single" w:sz="4" w:space="0" w:color="auto"/>
            </w:tcBorders>
            <w:shd w:val="clear" w:color="auto" w:fill="auto"/>
            <w:vAlign w:val="center"/>
            <w:hideMark/>
          </w:tcPr>
          <w:p w:rsidR="00700D1B" w:rsidRPr="00683849" w:rsidP="00700D1B">
            <w:pPr>
              <w:jc w:val="right"/>
              <w:rPr>
                <w:rFonts w:cs="Arial"/>
                <w:color w:val="000000"/>
                <w:sz w:val="22"/>
                <w:szCs w:val="22"/>
              </w:rPr>
            </w:pPr>
            <w:r w:rsidRPr="00683849">
              <w:rPr>
                <w:rFonts w:cs="Arial"/>
                <w:color w:val="000000"/>
                <w:sz w:val="22"/>
                <w:szCs w:val="22"/>
              </w:rPr>
              <w:t>0.0</w:t>
            </w:r>
          </w:p>
        </w:tc>
        <w:tc>
          <w:tcPr>
            <w:tcW w:w="702" w:type="dxa"/>
            <w:tcBorders>
              <w:top w:val="nil"/>
              <w:left w:val="nil"/>
              <w:bottom w:val="single" w:sz="4" w:space="0" w:color="auto"/>
              <w:right w:val="single" w:sz="4" w:space="0" w:color="auto"/>
            </w:tcBorders>
            <w:shd w:val="clear" w:color="auto" w:fill="auto"/>
            <w:vAlign w:val="center"/>
            <w:hideMark/>
          </w:tcPr>
          <w:p w:rsidR="00700D1B" w:rsidRPr="00683849" w:rsidP="00700D1B">
            <w:pPr>
              <w:jc w:val="right"/>
              <w:rPr>
                <w:rFonts w:cs="Arial"/>
                <w:color w:val="000000"/>
                <w:sz w:val="22"/>
                <w:szCs w:val="22"/>
              </w:rPr>
            </w:pPr>
            <w:r w:rsidRPr="00683849">
              <w:rPr>
                <w:rFonts w:cs="Arial"/>
                <w:color w:val="000000"/>
                <w:sz w:val="22"/>
                <w:szCs w:val="22"/>
              </w:rPr>
              <w:t>0%</w:t>
            </w:r>
          </w:p>
        </w:tc>
        <w:tc>
          <w:tcPr>
            <w:tcW w:w="700" w:type="dxa"/>
            <w:tcBorders>
              <w:top w:val="nil"/>
              <w:left w:val="nil"/>
              <w:bottom w:val="single" w:sz="4" w:space="0" w:color="auto"/>
              <w:right w:val="single" w:sz="4" w:space="0" w:color="auto"/>
            </w:tcBorders>
            <w:shd w:val="clear" w:color="auto" w:fill="auto"/>
            <w:vAlign w:val="center"/>
            <w:hideMark/>
          </w:tcPr>
          <w:p w:rsidR="00700D1B" w:rsidRPr="00683849" w:rsidP="00700D1B">
            <w:pPr>
              <w:jc w:val="center"/>
              <w:rPr>
                <w:rFonts w:cs="Arial"/>
                <w:color w:val="000000"/>
                <w:sz w:val="22"/>
                <w:szCs w:val="22"/>
              </w:rPr>
            </w:pPr>
            <w:r w:rsidRPr="00683849">
              <w:rPr>
                <w:rFonts w:cs="Arial"/>
                <w:color w:val="000000"/>
                <w:sz w:val="22"/>
                <w:szCs w:val="22"/>
              </w:rPr>
              <w:t> </w:t>
            </w:r>
          </w:p>
        </w:tc>
      </w:tr>
      <w:tr w:rsidTr="00700D1B">
        <w:tblPrEx>
          <w:tblW w:w="9601" w:type="dxa"/>
          <w:tblLook w:val="04A0"/>
        </w:tblPrEx>
        <w:trPr>
          <w:trHeight w:val="855"/>
        </w:trPr>
        <w:tc>
          <w:tcPr>
            <w:tcW w:w="1000" w:type="dxa"/>
            <w:tcBorders>
              <w:top w:val="nil"/>
              <w:left w:val="single" w:sz="4" w:space="0" w:color="auto"/>
              <w:bottom w:val="single" w:sz="4" w:space="0" w:color="auto"/>
              <w:right w:val="single" w:sz="4" w:space="0" w:color="auto"/>
            </w:tcBorders>
            <w:shd w:val="clear" w:color="auto" w:fill="auto"/>
            <w:vAlign w:val="center"/>
            <w:hideMark/>
          </w:tcPr>
          <w:p w:rsidR="00700D1B" w:rsidRPr="00683849" w:rsidP="00700D1B">
            <w:pPr>
              <w:jc w:val="center"/>
              <w:rPr>
                <w:rFonts w:cs="Arial"/>
                <w:color w:val="000000"/>
                <w:sz w:val="22"/>
                <w:szCs w:val="22"/>
              </w:rPr>
            </w:pPr>
            <w:r w:rsidRPr="00683849">
              <w:rPr>
                <w:rFonts w:cs="Arial"/>
                <w:color w:val="000000"/>
                <w:sz w:val="22"/>
                <w:szCs w:val="22"/>
              </w:rPr>
              <w:t>G, H &amp; I</w:t>
            </w:r>
          </w:p>
        </w:tc>
        <w:tc>
          <w:tcPr>
            <w:tcW w:w="3460" w:type="dxa"/>
            <w:tcBorders>
              <w:top w:val="single" w:sz="4" w:space="0" w:color="auto"/>
              <w:left w:val="single" w:sz="4" w:space="0" w:color="auto"/>
              <w:bottom w:val="nil"/>
              <w:right w:val="single" w:sz="4" w:space="0" w:color="auto"/>
            </w:tcBorders>
            <w:shd w:val="clear" w:color="auto" w:fill="auto"/>
            <w:vAlign w:val="center"/>
            <w:hideMark/>
          </w:tcPr>
          <w:p w:rsidR="00700D1B" w:rsidRPr="00683849" w:rsidP="00700D1B">
            <w:pPr>
              <w:rPr>
                <w:rFonts w:cs="Arial"/>
                <w:color w:val="000000"/>
                <w:sz w:val="22"/>
                <w:szCs w:val="22"/>
              </w:rPr>
            </w:pPr>
            <w:r w:rsidRPr="00683849">
              <w:rPr>
                <w:rFonts w:cs="Arial"/>
                <w:color w:val="000000"/>
                <w:sz w:val="22"/>
                <w:szCs w:val="22"/>
              </w:rPr>
              <w:t>Special Health Authorities, NDPB's and ALB's and Other Bodies</w:t>
            </w:r>
          </w:p>
        </w:tc>
        <w:tc>
          <w:tcPr>
            <w:tcW w:w="1600" w:type="dxa"/>
            <w:tcBorders>
              <w:top w:val="nil"/>
              <w:left w:val="single" w:sz="4" w:space="0" w:color="auto"/>
              <w:bottom w:val="single" w:sz="4" w:space="0" w:color="auto"/>
              <w:right w:val="single" w:sz="4" w:space="0" w:color="auto"/>
            </w:tcBorders>
            <w:shd w:val="clear" w:color="auto" w:fill="auto"/>
            <w:vAlign w:val="center"/>
            <w:hideMark/>
          </w:tcPr>
          <w:p w:rsidR="00700D1B" w:rsidRPr="00683849" w:rsidP="00700D1B">
            <w:pPr>
              <w:jc w:val="right"/>
              <w:rPr>
                <w:rFonts w:cs="Arial"/>
                <w:color w:val="000000"/>
                <w:sz w:val="22"/>
                <w:szCs w:val="22"/>
              </w:rPr>
            </w:pPr>
            <w:r w:rsidRPr="00683849">
              <w:rPr>
                <w:rFonts w:cs="Arial"/>
                <w:color w:val="000000"/>
                <w:sz w:val="22"/>
                <w:szCs w:val="22"/>
              </w:rPr>
              <w:t>337.3</w:t>
            </w:r>
          </w:p>
        </w:tc>
        <w:tc>
          <w:tcPr>
            <w:tcW w:w="1220" w:type="dxa"/>
            <w:tcBorders>
              <w:top w:val="nil"/>
              <w:left w:val="nil"/>
              <w:bottom w:val="single" w:sz="4" w:space="0" w:color="auto"/>
              <w:right w:val="single" w:sz="4" w:space="0" w:color="auto"/>
            </w:tcBorders>
            <w:shd w:val="clear" w:color="auto" w:fill="auto"/>
            <w:vAlign w:val="center"/>
            <w:hideMark/>
          </w:tcPr>
          <w:p w:rsidR="00700D1B" w:rsidRPr="00683849" w:rsidP="00700D1B">
            <w:pPr>
              <w:jc w:val="right"/>
              <w:rPr>
                <w:rFonts w:cs="Arial"/>
                <w:color w:val="000000"/>
                <w:sz w:val="22"/>
                <w:szCs w:val="22"/>
              </w:rPr>
            </w:pPr>
            <w:r w:rsidRPr="00683849">
              <w:rPr>
                <w:rFonts w:cs="Arial"/>
                <w:color w:val="000000"/>
                <w:sz w:val="22"/>
                <w:szCs w:val="22"/>
              </w:rPr>
              <w:t>236.8</w:t>
            </w:r>
          </w:p>
        </w:tc>
        <w:tc>
          <w:tcPr>
            <w:tcW w:w="919" w:type="dxa"/>
            <w:tcBorders>
              <w:top w:val="nil"/>
              <w:left w:val="nil"/>
              <w:bottom w:val="single" w:sz="4" w:space="0" w:color="auto"/>
              <w:right w:val="single" w:sz="4" w:space="0" w:color="auto"/>
            </w:tcBorders>
            <w:shd w:val="clear" w:color="auto" w:fill="auto"/>
            <w:vAlign w:val="center"/>
            <w:hideMark/>
          </w:tcPr>
          <w:p w:rsidR="00700D1B" w:rsidRPr="00683849" w:rsidP="00700D1B">
            <w:pPr>
              <w:jc w:val="right"/>
              <w:rPr>
                <w:rFonts w:cs="Arial"/>
                <w:color w:val="000000"/>
                <w:sz w:val="22"/>
                <w:szCs w:val="22"/>
              </w:rPr>
            </w:pPr>
            <w:r w:rsidRPr="00683849">
              <w:rPr>
                <w:rFonts w:cs="Arial"/>
                <w:color w:val="000000"/>
                <w:sz w:val="22"/>
                <w:szCs w:val="22"/>
              </w:rPr>
              <w:t>100.5</w:t>
            </w:r>
          </w:p>
        </w:tc>
        <w:tc>
          <w:tcPr>
            <w:tcW w:w="702" w:type="dxa"/>
            <w:tcBorders>
              <w:top w:val="nil"/>
              <w:left w:val="nil"/>
              <w:bottom w:val="single" w:sz="4" w:space="0" w:color="auto"/>
              <w:right w:val="single" w:sz="4" w:space="0" w:color="auto"/>
            </w:tcBorders>
            <w:shd w:val="clear" w:color="auto" w:fill="auto"/>
            <w:vAlign w:val="center"/>
            <w:hideMark/>
          </w:tcPr>
          <w:p w:rsidR="00700D1B" w:rsidRPr="00683849" w:rsidP="00700D1B">
            <w:pPr>
              <w:jc w:val="right"/>
              <w:rPr>
                <w:rFonts w:cs="Arial"/>
                <w:color w:val="000000"/>
                <w:sz w:val="22"/>
                <w:szCs w:val="22"/>
              </w:rPr>
            </w:pPr>
            <w:r w:rsidRPr="00683849">
              <w:rPr>
                <w:rFonts w:cs="Arial"/>
                <w:color w:val="000000"/>
                <w:sz w:val="22"/>
                <w:szCs w:val="22"/>
              </w:rPr>
              <w:t>42%</w:t>
            </w:r>
          </w:p>
        </w:tc>
        <w:tc>
          <w:tcPr>
            <w:tcW w:w="700" w:type="dxa"/>
            <w:tcBorders>
              <w:top w:val="nil"/>
              <w:left w:val="nil"/>
              <w:bottom w:val="single" w:sz="4" w:space="0" w:color="auto"/>
              <w:right w:val="single" w:sz="4" w:space="0" w:color="auto"/>
            </w:tcBorders>
            <w:shd w:val="clear" w:color="auto" w:fill="auto"/>
            <w:vAlign w:val="center"/>
            <w:hideMark/>
          </w:tcPr>
          <w:p w:rsidR="00700D1B" w:rsidRPr="00683849" w:rsidP="00700D1B">
            <w:pPr>
              <w:jc w:val="center"/>
              <w:rPr>
                <w:rFonts w:cs="Arial"/>
                <w:color w:val="000000"/>
                <w:sz w:val="22"/>
                <w:szCs w:val="22"/>
              </w:rPr>
            </w:pPr>
            <w:r>
              <w:rPr>
                <w:rFonts w:cs="Arial"/>
                <w:color w:val="000000"/>
                <w:sz w:val="22"/>
                <w:szCs w:val="22"/>
              </w:rPr>
              <w:t>i</w:t>
            </w:r>
            <w:r w:rsidRPr="00683849">
              <w:rPr>
                <w:rFonts w:cs="Arial"/>
                <w:color w:val="000000"/>
                <w:sz w:val="22"/>
                <w:szCs w:val="22"/>
              </w:rPr>
              <w:t>)</w:t>
            </w:r>
          </w:p>
        </w:tc>
      </w:tr>
      <w:tr w:rsidTr="00700D1B">
        <w:tblPrEx>
          <w:tblW w:w="9601" w:type="dxa"/>
          <w:tblLook w:val="04A0"/>
        </w:tblPrEx>
        <w:trPr>
          <w:trHeight w:val="300"/>
        </w:trPr>
        <w:tc>
          <w:tcPr>
            <w:tcW w:w="4460" w:type="dxa"/>
            <w:gridSpan w:val="2"/>
            <w:tcBorders>
              <w:top w:val="single" w:sz="4" w:space="0" w:color="auto"/>
              <w:left w:val="single" w:sz="4" w:space="0" w:color="auto"/>
              <w:bottom w:val="single" w:sz="4" w:space="0" w:color="auto"/>
              <w:right w:val="single" w:sz="4" w:space="0" w:color="000000"/>
            </w:tcBorders>
            <w:shd w:val="clear" w:color="000000" w:fill="B8CCE4"/>
            <w:vAlign w:val="bottom"/>
            <w:hideMark/>
          </w:tcPr>
          <w:p w:rsidR="00700D1B" w:rsidRPr="00683849" w:rsidP="00700D1B">
            <w:pPr>
              <w:rPr>
                <w:rFonts w:cs="Arial"/>
                <w:b/>
                <w:bCs/>
                <w:color w:val="000000"/>
                <w:sz w:val="22"/>
                <w:szCs w:val="22"/>
              </w:rPr>
            </w:pPr>
            <w:r w:rsidRPr="00683849">
              <w:rPr>
                <w:rFonts w:cs="Arial"/>
                <w:b/>
                <w:bCs/>
                <w:color w:val="000000"/>
                <w:sz w:val="22"/>
                <w:szCs w:val="22"/>
              </w:rPr>
              <w:t xml:space="preserve">TOTAL (Voted and </w:t>
            </w:r>
            <w:r w:rsidRPr="00683849">
              <w:rPr>
                <w:rFonts w:cs="Arial"/>
                <w:b/>
                <w:bCs/>
                <w:color w:val="000000"/>
                <w:sz w:val="22"/>
                <w:szCs w:val="22"/>
              </w:rPr>
              <w:t>Non Voted</w:t>
            </w:r>
            <w:r w:rsidRPr="00683849">
              <w:rPr>
                <w:rFonts w:cs="Arial"/>
                <w:b/>
                <w:bCs/>
                <w:color w:val="000000"/>
                <w:sz w:val="22"/>
                <w:szCs w:val="22"/>
              </w:rPr>
              <w:t>)</w:t>
            </w:r>
          </w:p>
        </w:tc>
        <w:tc>
          <w:tcPr>
            <w:tcW w:w="1600" w:type="dxa"/>
            <w:tcBorders>
              <w:top w:val="nil"/>
              <w:left w:val="single" w:sz="4" w:space="0" w:color="auto"/>
              <w:bottom w:val="single" w:sz="4" w:space="0" w:color="auto"/>
              <w:right w:val="single" w:sz="4" w:space="0" w:color="auto"/>
            </w:tcBorders>
            <w:shd w:val="clear" w:color="000000" w:fill="B8CCE4"/>
            <w:vAlign w:val="bottom"/>
            <w:hideMark/>
          </w:tcPr>
          <w:p w:rsidR="00700D1B" w:rsidRPr="00683849" w:rsidP="00700D1B">
            <w:pPr>
              <w:jc w:val="right"/>
              <w:rPr>
                <w:rFonts w:cs="Arial"/>
                <w:b/>
                <w:bCs/>
                <w:color w:val="000000"/>
                <w:sz w:val="22"/>
                <w:szCs w:val="22"/>
              </w:rPr>
            </w:pPr>
            <w:r w:rsidRPr="00683849">
              <w:rPr>
                <w:rFonts w:cs="Arial"/>
                <w:b/>
                <w:bCs/>
                <w:color w:val="000000"/>
                <w:sz w:val="22"/>
                <w:szCs w:val="22"/>
              </w:rPr>
              <w:t>12,917.9</w:t>
            </w:r>
          </w:p>
        </w:tc>
        <w:tc>
          <w:tcPr>
            <w:tcW w:w="1220" w:type="dxa"/>
            <w:tcBorders>
              <w:top w:val="nil"/>
              <w:left w:val="nil"/>
              <w:bottom w:val="single" w:sz="4" w:space="0" w:color="auto"/>
              <w:right w:val="single" w:sz="4" w:space="0" w:color="auto"/>
            </w:tcBorders>
            <w:shd w:val="clear" w:color="000000" w:fill="B8CCE4"/>
            <w:vAlign w:val="bottom"/>
            <w:hideMark/>
          </w:tcPr>
          <w:p w:rsidR="00700D1B" w:rsidRPr="00683849" w:rsidP="00700D1B">
            <w:pPr>
              <w:jc w:val="right"/>
              <w:rPr>
                <w:rFonts w:cs="Arial"/>
                <w:b/>
                <w:bCs/>
                <w:color w:val="000000"/>
                <w:sz w:val="22"/>
                <w:szCs w:val="22"/>
              </w:rPr>
            </w:pPr>
            <w:r w:rsidRPr="00683849">
              <w:rPr>
                <w:rFonts w:cs="Arial"/>
                <w:b/>
                <w:bCs/>
                <w:color w:val="000000"/>
                <w:sz w:val="22"/>
                <w:szCs w:val="22"/>
              </w:rPr>
              <w:t>8,231.1</w:t>
            </w:r>
          </w:p>
        </w:tc>
        <w:tc>
          <w:tcPr>
            <w:tcW w:w="919" w:type="dxa"/>
            <w:tcBorders>
              <w:top w:val="nil"/>
              <w:left w:val="nil"/>
              <w:bottom w:val="single" w:sz="4" w:space="0" w:color="auto"/>
              <w:right w:val="single" w:sz="4" w:space="0" w:color="auto"/>
            </w:tcBorders>
            <w:shd w:val="clear" w:color="000000" w:fill="B8CCE4"/>
            <w:vAlign w:val="bottom"/>
            <w:hideMark/>
          </w:tcPr>
          <w:p w:rsidR="00700D1B" w:rsidRPr="00683849" w:rsidP="00700D1B">
            <w:pPr>
              <w:jc w:val="right"/>
              <w:rPr>
                <w:rFonts w:cs="Arial"/>
                <w:b/>
                <w:bCs/>
                <w:color w:val="000000"/>
                <w:sz w:val="22"/>
                <w:szCs w:val="22"/>
              </w:rPr>
            </w:pPr>
            <w:r w:rsidRPr="00683849">
              <w:rPr>
                <w:rFonts w:cs="Arial"/>
                <w:b/>
                <w:bCs/>
                <w:color w:val="000000"/>
                <w:sz w:val="22"/>
                <w:szCs w:val="22"/>
              </w:rPr>
              <w:t>4,686.8</w:t>
            </w:r>
          </w:p>
        </w:tc>
        <w:tc>
          <w:tcPr>
            <w:tcW w:w="702" w:type="dxa"/>
            <w:tcBorders>
              <w:top w:val="nil"/>
              <w:left w:val="nil"/>
              <w:bottom w:val="single" w:sz="4" w:space="0" w:color="auto"/>
              <w:right w:val="single" w:sz="4" w:space="0" w:color="auto"/>
            </w:tcBorders>
            <w:shd w:val="clear" w:color="000000" w:fill="B8CCE4"/>
            <w:vAlign w:val="center"/>
            <w:hideMark/>
          </w:tcPr>
          <w:p w:rsidR="00700D1B" w:rsidRPr="00683849" w:rsidP="00700D1B">
            <w:pPr>
              <w:jc w:val="right"/>
              <w:rPr>
                <w:rFonts w:cs="Arial"/>
                <w:b/>
                <w:bCs/>
                <w:color w:val="000000"/>
                <w:sz w:val="22"/>
                <w:szCs w:val="22"/>
              </w:rPr>
            </w:pPr>
            <w:r w:rsidRPr="00683849">
              <w:rPr>
                <w:rFonts w:cs="Arial"/>
                <w:b/>
                <w:bCs/>
                <w:color w:val="000000"/>
                <w:sz w:val="22"/>
                <w:szCs w:val="22"/>
              </w:rPr>
              <w:t>57%</w:t>
            </w:r>
          </w:p>
        </w:tc>
        <w:tc>
          <w:tcPr>
            <w:tcW w:w="700" w:type="dxa"/>
            <w:tcBorders>
              <w:top w:val="nil"/>
              <w:left w:val="nil"/>
              <w:bottom w:val="single" w:sz="4" w:space="0" w:color="auto"/>
              <w:right w:val="single" w:sz="4" w:space="0" w:color="auto"/>
            </w:tcBorders>
            <w:shd w:val="clear" w:color="000000" w:fill="B8CCE4"/>
            <w:vAlign w:val="bottom"/>
            <w:hideMark/>
          </w:tcPr>
          <w:p w:rsidR="00700D1B" w:rsidRPr="00683849" w:rsidP="00700D1B">
            <w:pPr>
              <w:jc w:val="center"/>
              <w:rPr>
                <w:rFonts w:cs="Arial"/>
                <w:b/>
                <w:bCs/>
                <w:color w:val="000000"/>
                <w:sz w:val="22"/>
                <w:szCs w:val="22"/>
              </w:rPr>
            </w:pPr>
            <w:r w:rsidRPr="00683849">
              <w:rPr>
                <w:rFonts w:cs="Arial"/>
                <w:b/>
                <w:bCs/>
                <w:color w:val="000000"/>
                <w:sz w:val="22"/>
                <w:szCs w:val="22"/>
              </w:rPr>
              <w:t> </w:t>
            </w:r>
          </w:p>
        </w:tc>
      </w:tr>
    </w:tbl>
    <w:p w:rsidR="00700D1B" w:rsidRPr="00770234" w:rsidP="00700D1B">
      <w:pPr>
        <w:spacing w:after="120"/>
        <w:ind w:left="720"/>
        <w:jc w:val="both"/>
        <w:rPr>
          <w:rFonts w:eastAsiaTheme="minorHAnsi" w:cs="Arial"/>
          <w:sz w:val="22"/>
          <w:szCs w:val="22"/>
          <w:lang w:eastAsia="en-US"/>
        </w:rPr>
      </w:pPr>
    </w:p>
    <w:p w:rsidR="00700D1B" w:rsidRPr="00726368" w:rsidP="00700D1B">
      <w:pPr>
        <w:numPr>
          <w:ilvl w:val="0"/>
          <w:numId w:val="9"/>
        </w:numPr>
        <w:spacing w:after="120"/>
        <w:ind w:left="1077" w:hanging="357"/>
        <w:jc w:val="both"/>
        <w:rPr>
          <w:rFonts w:eastAsiaTheme="minorHAnsi" w:cs="Arial"/>
          <w:sz w:val="22"/>
          <w:szCs w:val="22"/>
          <w:lang w:eastAsia="en-US"/>
        </w:rPr>
      </w:pPr>
      <w:r w:rsidRPr="006D03C3">
        <w:rPr>
          <w:rFonts w:eastAsia="Calibri" w:cs="Arial"/>
          <w:b/>
          <w:sz w:val="22"/>
          <w:szCs w:val="22"/>
        </w:rPr>
        <w:t xml:space="preserve">NHS:  </w:t>
      </w:r>
      <w:r w:rsidRPr="006D03C3">
        <w:rPr>
          <w:rFonts w:eastAsia="Calibri" w:cs="Arial"/>
          <w:sz w:val="22"/>
          <w:szCs w:val="22"/>
        </w:rPr>
        <w:t>The increase</w:t>
      </w:r>
      <w:r>
        <w:rPr>
          <w:rFonts w:eastAsia="Calibri" w:cs="Arial"/>
          <w:sz w:val="22"/>
          <w:szCs w:val="22"/>
        </w:rPr>
        <w:t xml:space="preserve"> of £1.6 billion</w:t>
      </w:r>
      <w:r w:rsidRPr="006D03C3">
        <w:rPr>
          <w:rFonts w:eastAsia="Calibri" w:cs="Arial"/>
          <w:sz w:val="22"/>
          <w:szCs w:val="22"/>
        </w:rPr>
        <w:t xml:space="preserve"> in funding reflects the Government’s commitment to invest in the NHS capital infrastructure and additional £1.5 billion was announced</w:t>
      </w:r>
      <w:r>
        <w:rPr>
          <w:rFonts w:eastAsia="Calibri" w:cs="Arial"/>
          <w:sz w:val="22"/>
          <w:szCs w:val="22"/>
        </w:rPr>
        <w:t xml:space="preserve"> as part of a Plan for Jobs, in July 2020</w:t>
      </w:r>
      <w:r w:rsidRPr="006D03C3">
        <w:rPr>
          <w:rFonts w:eastAsia="Calibri" w:cs="Arial"/>
          <w:sz w:val="22"/>
          <w:szCs w:val="22"/>
        </w:rPr>
        <w:t xml:space="preserve">. £862 million of funding has been allocated to the NHS in response to Covid-19, these increases are offset </w:t>
      </w:r>
      <w:r w:rsidRPr="00726368">
        <w:rPr>
          <w:rFonts w:eastAsia="Calibri" w:cs="Arial"/>
          <w:sz w:val="22"/>
          <w:szCs w:val="22"/>
        </w:rPr>
        <w:t>by</w:t>
      </w:r>
      <w:r w:rsidRPr="00726368">
        <w:rPr>
          <w:rFonts w:cs="Arial"/>
          <w:sz w:val="22"/>
          <w:szCs w:val="22"/>
        </w:rPr>
        <w:t xml:space="preserve"> £761 million capital underspends;</w:t>
      </w:r>
    </w:p>
    <w:p w:rsidR="00700D1B" w:rsidRPr="00565172" w:rsidP="00700D1B">
      <w:pPr>
        <w:numPr>
          <w:ilvl w:val="0"/>
          <w:numId w:val="9"/>
        </w:numPr>
        <w:spacing w:after="120"/>
        <w:ind w:left="1077" w:hanging="357"/>
        <w:jc w:val="both"/>
        <w:rPr>
          <w:rFonts w:eastAsia="Calibri" w:cs="Arial"/>
          <w:sz w:val="22"/>
          <w:szCs w:val="22"/>
        </w:rPr>
      </w:pPr>
      <w:r w:rsidRPr="00565172">
        <w:rPr>
          <w:rFonts w:eastAsia="Calibri" w:cs="Arial"/>
          <w:b/>
          <w:sz w:val="22"/>
          <w:szCs w:val="22"/>
        </w:rPr>
        <w:t xml:space="preserve">DHSC Programme and Admin:  DHSC received additional capital funding in the 2020 Spring Budget.  </w:t>
      </w:r>
      <w:r>
        <w:rPr>
          <w:rFonts w:eastAsia="Calibri" w:cs="Arial"/>
          <w:sz w:val="22"/>
          <w:szCs w:val="22"/>
        </w:rPr>
        <w:t xml:space="preserve">The increase of £2.9 billion in funding reflects the additional capital requirement of the department’s Covid-19 response, this predominantly relates to Test and Trace, new funding is offset slightly by the redistribution of Main Estimate capital across the departmental group. </w:t>
      </w:r>
    </w:p>
    <w:p w:rsidR="00700D1B" w:rsidP="00700D1B">
      <w:pPr>
        <w:numPr>
          <w:ilvl w:val="0"/>
          <w:numId w:val="9"/>
        </w:numPr>
        <w:ind w:left="1077" w:hanging="357"/>
        <w:jc w:val="both"/>
        <w:rPr>
          <w:rFonts w:eastAsia="Calibri" w:cs="Arial"/>
          <w:sz w:val="22"/>
          <w:szCs w:val="22"/>
        </w:rPr>
      </w:pPr>
      <w:r w:rsidRPr="00635C3F">
        <w:rPr>
          <w:rFonts w:eastAsia="Calibri" w:cs="Arial"/>
          <w:b/>
          <w:sz w:val="22"/>
          <w:szCs w:val="22"/>
        </w:rPr>
        <w:t xml:space="preserve">Public Health England (PHE) and Special Health Authorities, NDPB’s &amp; Arm’s Length and Other Bodies:  </w:t>
      </w:r>
      <w:r w:rsidRPr="00635C3F">
        <w:rPr>
          <w:rFonts w:eastAsia="Calibri" w:cs="Arial"/>
          <w:sz w:val="22"/>
          <w:szCs w:val="22"/>
        </w:rPr>
        <w:t xml:space="preserve">Capital expenditure for these bodies varies year-on-year and the plans reflect the expected capital expenditure for these bodies following the redistribution of Main Estimate capital across the departmental group.   </w:t>
      </w:r>
    </w:p>
    <w:p w:rsidR="00700D1B" w:rsidP="00700D1B">
      <w:pPr>
        <w:ind w:left="720"/>
        <w:jc w:val="both"/>
        <w:rPr>
          <w:rFonts w:eastAsia="Calibri" w:cs="Arial"/>
          <w:sz w:val="22"/>
          <w:szCs w:val="22"/>
        </w:rPr>
      </w:pPr>
    </w:p>
    <w:p w:rsidR="00700D1B" w:rsidP="00700D1B">
      <w:pPr>
        <w:ind w:left="720"/>
        <w:jc w:val="both"/>
        <w:rPr>
          <w:rFonts w:eastAsia="Calibri" w:cs="Arial"/>
          <w:sz w:val="22"/>
          <w:szCs w:val="22"/>
        </w:rPr>
      </w:pPr>
      <w:r w:rsidRPr="00635C3F">
        <w:rPr>
          <w:rFonts w:eastAsia="Calibri" w:cs="Arial"/>
          <w:sz w:val="22"/>
          <w:szCs w:val="22"/>
        </w:rPr>
        <w:t>Further details of the distribution of Covid-19 funding across the departmental group are included in annex A.</w:t>
      </w:r>
    </w:p>
    <w:p w:rsidR="00700D1B" w:rsidP="00700D1B">
      <w:pPr>
        <w:rPr>
          <w:rFonts w:eastAsia="Calibri" w:cs="Arial"/>
          <w:sz w:val="22"/>
          <w:szCs w:val="22"/>
        </w:rPr>
      </w:pPr>
      <w:r>
        <w:rPr>
          <w:rFonts w:eastAsia="Calibri" w:cs="Arial"/>
          <w:sz w:val="22"/>
          <w:szCs w:val="22"/>
        </w:rPr>
        <w:br w:type="page"/>
      </w:r>
    </w:p>
    <w:p w:rsidR="00700D1B" w:rsidRPr="00635C3F" w:rsidP="00700D1B">
      <w:pPr>
        <w:ind w:left="720"/>
        <w:jc w:val="both"/>
        <w:rPr>
          <w:rFonts w:eastAsia="Calibri" w:cs="Arial"/>
          <w:sz w:val="22"/>
          <w:szCs w:val="22"/>
        </w:rPr>
      </w:pPr>
    </w:p>
    <w:p w:rsidR="00700D1B" w:rsidRPr="00FF061A" w:rsidP="00700D1B">
      <w:pPr>
        <w:numPr>
          <w:ilvl w:val="1"/>
          <w:numId w:val="8"/>
        </w:numPr>
        <w:spacing w:after="120" w:line="276" w:lineRule="auto"/>
        <w:ind w:left="567" w:hanging="567"/>
        <w:jc w:val="both"/>
        <w:rPr>
          <w:rFonts w:eastAsia="Calibri" w:cs="Arial"/>
          <w:b/>
          <w:sz w:val="22"/>
          <w:szCs w:val="22"/>
        </w:rPr>
      </w:pPr>
      <w:r w:rsidRPr="00FF061A">
        <w:rPr>
          <w:rFonts w:eastAsia="Calibri" w:cs="Arial"/>
          <w:b/>
          <w:sz w:val="22"/>
          <w:szCs w:val="22"/>
        </w:rPr>
        <w:t>Resource AME</w:t>
      </w:r>
    </w:p>
    <w:p w:rsidR="00700D1B" w:rsidP="00700D1B">
      <w:pPr>
        <w:ind w:left="567"/>
        <w:jc w:val="both"/>
        <w:rPr>
          <w:rFonts w:eastAsiaTheme="minorHAnsi" w:cs="Arial"/>
          <w:sz w:val="22"/>
          <w:szCs w:val="22"/>
          <w:lang w:eastAsia="en-US"/>
        </w:rPr>
      </w:pPr>
      <w:r w:rsidRPr="00565172">
        <w:rPr>
          <w:rFonts w:eastAsia="Calibri" w:cs="Arial"/>
          <w:sz w:val="22"/>
          <w:szCs w:val="22"/>
        </w:rPr>
        <w:t xml:space="preserve">The table below shows how DHSC’s 2020-21 </w:t>
      </w:r>
      <w:r>
        <w:rPr>
          <w:rFonts w:eastAsia="Calibri" w:cs="Arial"/>
          <w:sz w:val="22"/>
          <w:szCs w:val="22"/>
        </w:rPr>
        <w:t>Supplementary</w:t>
      </w:r>
      <w:r w:rsidRPr="00565172">
        <w:rPr>
          <w:rFonts w:eastAsia="Calibri" w:cs="Arial"/>
          <w:sz w:val="22"/>
          <w:szCs w:val="22"/>
        </w:rPr>
        <w:t xml:space="preserve"> Estimate spending plans for Resource AME compare with the </w:t>
      </w:r>
      <w:r>
        <w:rPr>
          <w:rFonts w:eastAsia="Calibri" w:cs="Arial"/>
          <w:sz w:val="22"/>
          <w:szCs w:val="22"/>
        </w:rPr>
        <w:t>2020-21 Main</w:t>
      </w:r>
      <w:r w:rsidRPr="00565172">
        <w:rPr>
          <w:rFonts w:eastAsia="Calibri" w:cs="Arial"/>
          <w:sz w:val="22"/>
          <w:szCs w:val="22"/>
        </w:rPr>
        <w:t xml:space="preserve"> Estimate. It should be noted that </w:t>
      </w:r>
      <w:r w:rsidRPr="00565172">
        <w:rPr>
          <w:rFonts w:eastAsiaTheme="minorHAnsi" w:cs="Arial"/>
          <w:sz w:val="22"/>
          <w:szCs w:val="22"/>
          <w:lang w:eastAsia="en-US"/>
        </w:rPr>
        <w:t xml:space="preserve">DHSC’s AME relates to provisions and impairments, which have no immediate impact on the fiscal framework or need for taxes to be raised to cover spending. </w:t>
      </w:r>
    </w:p>
    <w:p w:rsidR="00700D1B" w:rsidP="00700D1B">
      <w:pPr>
        <w:ind w:left="567"/>
        <w:jc w:val="both"/>
        <w:rPr>
          <w:rFonts w:eastAsiaTheme="minorHAnsi" w:cs="Arial"/>
          <w:sz w:val="22"/>
          <w:szCs w:val="22"/>
          <w:lang w:eastAsia="en-US"/>
        </w:rPr>
      </w:pPr>
    </w:p>
    <w:tbl>
      <w:tblPr>
        <w:tblW w:w="10040" w:type="dxa"/>
        <w:tblLook w:val="04A0"/>
      </w:tblPr>
      <w:tblGrid>
        <w:gridCol w:w="1145"/>
        <w:gridCol w:w="3460"/>
        <w:gridCol w:w="1806"/>
        <w:gridCol w:w="1220"/>
        <w:gridCol w:w="1000"/>
        <w:gridCol w:w="1000"/>
        <w:gridCol w:w="705"/>
      </w:tblGrid>
      <w:tr w:rsidTr="00700D1B">
        <w:tblPrEx>
          <w:tblW w:w="10040" w:type="dxa"/>
          <w:tblLook w:val="04A0"/>
        </w:tblPrEx>
        <w:trPr>
          <w:trHeight w:val="300"/>
        </w:trPr>
        <w:tc>
          <w:tcPr>
            <w:tcW w:w="1000" w:type="dxa"/>
            <w:vMerge w:val="restart"/>
            <w:tcBorders>
              <w:top w:val="single" w:sz="4" w:space="0" w:color="auto"/>
              <w:left w:val="single" w:sz="4" w:space="0" w:color="auto"/>
              <w:bottom w:val="single" w:sz="4" w:space="0" w:color="auto"/>
              <w:right w:val="single" w:sz="4" w:space="0" w:color="auto"/>
            </w:tcBorders>
            <w:shd w:val="clear" w:color="000000" w:fill="16365C"/>
            <w:noWrap/>
            <w:vAlign w:val="center"/>
            <w:hideMark/>
          </w:tcPr>
          <w:p w:rsidR="00700D1B" w:rsidRPr="006024DC" w:rsidP="00700D1B">
            <w:pPr>
              <w:rPr>
                <w:rFonts w:cs="Arial"/>
                <w:b/>
                <w:bCs/>
                <w:color w:val="FFFFFF"/>
                <w:sz w:val="22"/>
                <w:szCs w:val="22"/>
              </w:rPr>
            </w:pPr>
            <w:r w:rsidRPr="006024DC">
              <w:rPr>
                <w:rFonts w:cs="Arial"/>
                <w:b/>
                <w:bCs/>
                <w:color w:val="FFFFFF"/>
                <w:sz w:val="22"/>
                <w:szCs w:val="22"/>
              </w:rPr>
              <w:t>Subhead</w:t>
            </w:r>
          </w:p>
        </w:tc>
        <w:tc>
          <w:tcPr>
            <w:tcW w:w="3460" w:type="dxa"/>
            <w:vMerge w:val="restart"/>
            <w:tcBorders>
              <w:top w:val="single" w:sz="4" w:space="0" w:color="auto"/>
              <w:left w:val="single" w:sz="4" w:space="0" w:color="auto"/>
              <w:bottom w:val="single" w:sz="4" w:space="0" w:color="auto"/>
              <w:right w:val="single" w:sz="4" w:space="0" w:color="auto"/>
            </w:tcBorders>
            <w:shd w:val="clear" w:color="000000" w:fill="16365C"/>
            <w:noWrap/>
            <w:vAlign w:val="center"/>
            <w:hideMark/>
          </w:tcPr>
          <w:p w:rsidR="00700D1B" w:rsidRPr="006024DC" w:rsidP="00700D1B">
            <w:pPr>
              <w:rPr>
                <w:rFonts w:cs="Arial"/>
                <w:b/>
                <w:bCs/>
                <w:color w:val="FFFFFF"/>
                <w:sz w:val="22"/>
                <w:szCs w:val="22"/>
              </w:rPr>
            </w:pPr>
            <w:r w:rsidRPr="006024DC">
              <w:rPr>
                <w:rFonts w:cs="Arial"/>
                <w:b/>
                <w:bCs/>
                <w:color w:val="FFFFFF"/>
                <w:sz w:val="22"/>
                <w:szCs w:val="22"/>
              </w:rPr>
              <w:t>Description</w:t>
            </w:r>
          </w:p>
        </w:tc>
        <w:tc>
          <w:tcPr>
            <w:tcW w:w="4880" w:type="dxa"/>
            <w:gridSpan w:val="4"/>
            <w:tcBorders>
              <w:top w:val="single" w:sz="4" w:space="0" w:color="auto"/>
              <w:left w:val="nil"/>
              <w:bottom w:val="single" w:sz="4" w:space="0" w:color="auto"/>
              <w:right w:val="single" w:sz="4" w:space="0" w:color="auto"/>
            </w:tcBorders>
            <w:shd w:val="clear" w:color="000000" w:fill="16365C"/>
            <w:noWrap/>
            <w:vAlign w:val="bottom"/>
            <w:hideMark/>
          </w:tcPr>
          <w:p w:rsidR="00700D1B" w:rsidRPr="006024DC" w:rsidP="00700D1B">
            <w:pPr>
              <w:jc w:val="center"/>
              <w:rPr>
                <w:rFonts w:cs="Arial"/>
                <w:b/>
                <w:bCs/>
                <w:color w:val="FFFFFF"/>
                <w:sz w:val="22"/>
                <w:szCs w:val="22"/>
              </w:rPr>
            </w:pPr>
            <w:r w:rsidRPr="006024DC">
              <w:rPr>
                <w:rFonts w:cs="Arial"/>
                <w:b/>
                <w:bCs/>
                <w:color w:val="FFFFFF"/>
                <w:sz w:val="22"/>
                <w:szCs w:val="22"/>
              </w:rPr>
              <w:t>Resource</w:t>
            </w:r>
          </w:p>
        </w:tc>
        <w:tc>
          <w:tcPr>
            <w:tcW w:w="700" w:type="dxa"/>
            <w:tcBorders>
              <w:top w:val="single" w:sz="4" w:space="0" w:color="auto"/>
              <w:left w:val="nil"/>
              <w:bottom w:val="single" w:sz="4" w:space="0" w:color="auto"/>
              <w:right w:val="single" w:sz="4" w:space="0" w:color="auto"/>
            </w:tcBorders>
            <w:shd w:val="clear" w:color="000000" w:fill="16365C"/>
            <w:noWrap/>
            <w:vAlign w:val="bottom"/>
            <w:hideMark/>
          </w:tcPr>
          <w:p w:rsidR="00700D1B" w:rsidRPr="006024DC" w:rsidP="00700D1B">
            <w:pPr>
              <w:jc w:val="center"/>
              <w:rPr>
                <w:rFonts w:cs="Arial"/>
                <w:b/>
                <w:bCs/>
                <w:color w:val="FFFFFF"/>
                <w:sz w:val="22"/>
                <w:szCs w:val="22"/>
              </w:rPr>
            </w:pPr>
            <w:r w:rsidRPr="006024DC">
              <w:rPr>
                <w:rFonts w:cs="Arial"/>
                <w:b/>
                <w:bCs/>
                <w:color w:val="FFFFFF"/>
                <w:sz w:val="22"/>
                <w:szCs w:val="22"/>
              </w:rPr>
              <w:t> </w:t>
            </w:r>
          </w:p>
        </w:tc>
      </w:tr>
      <w:tr w:rsidTr="00700D1B">
        <w:tblPrEx>
          <w:tblW w:w="10040" w:type="dxa"/>
          <w:tblLook w:val="04A0"/>
        </w:tblPrEx>
        <w:trPr>
          <w:trHeight w:val="900"/>
        </w:trPr>
        <w:tc>
          <w:tcPr>
            <w:tcW w:w="1000" w:type="dxa"/>
            <w:vMerge/>
            <w:tcBorders>
              <w:top w:val="single" w:sz="4" w:space="0" w:color="auto"/>
              <w:left w:val="single" w:sz="4" w:space="0" w:color="auto"/>
              <w:bottom w:val="single" w:sz="4" w:space="0" w:color="auto"/>
              <w:right w:val="single" w:sz="4" w:space="0" w:color="auto"/>
            </w:tcBorders>
            <w:vAlign w:val="center"/>
            <w:hideMark/>
          </w:tcPr>
          <w:p w:rsidR="00700D1B" w:rsidRPr="006024DC" w:rsidP="00700D1B">
            <w:pPr>
              <w:rPr>
                <w:rFonts w:cs="Arial"/>
                <w:b/>
                <w:bCs/>
                <w:color w:val="FFFFFF"/>
                <w:sz w:val="22"/>
                <w:szCs w:val="22"/>
              </w:rPr>
            </w:pPr>
          </w:p>
        </w:tc>
        <w:tc>
          <w:tcPr>
            <w:tcW w:w="3460" w:type="dxa"/>
            <w:vMerge/>
            <w:tcBorders>
              <w:top w:val="single" w:sz="4" w:space="0" w:color="auto"/>
              <w:left w:val="single" w:sz="4" w:space="0" w:color="auto"/>
              <w:bottom w:val="single" w:sz="4" w:space="0" w:color="auto"/>
              <w:right w:val="single" w:sz="4" w:space="0" w:color="auto"/>
            </w:tcBorders>
            <w:vAlign w:val="center"/>
            <w:hideMark/>
          </w:tcPr>
          <w:p w:rsidR="00700D1B" w:rsidRPr="006024DC" w:rsidP="00700D1B">
            <w:pPr>
              <w:rPr>
                <w:rFonts w:cs="Arial"/>
                <w:b/>
                <w:bCs/>
                <w:color w:val="FFFFFF"/>
                <w:sz w:val="22"/>
                <w:szCs w:val="22"/>
              </w:rPr>
            </w:pPr>
          </w:p>
        </w:tc>
        <w:tc>
          <w:tcPr>
            <w:tcW w:w="1660" w:type="dxa"/>
            <w:tcBorders>
              <w:top w:val="nil"/>
              <w:left w:val="nil"/>
              <w:bottom w:val="single" w:sz="4" w:space="0" w:color="auto"/>
              <w:right w:val="single" w:sz="4" w:space="0" w:color="auto"/>
            </w:tcBorders>
            <w:shd w:val="clear" w:color="000000" w:fill="16365C"/>
            <w:vAlign w:val="center"/>
            <w:hideMark/>
          </w:tcPr>
          <w:p w:rsidR="00700D1B" w:rsidRPr="006024DC" w:rsidP="00700D1B">
            <w:pPr>
              <w:jc w:val="right"/>
              <w:rPr>
                <w:rFonts w:cs="Arial"/>
                <w:b/>
                <w:bCs/>
                <w:color w:val="FFFFFF"/>
                <w:sz w:val="22"/>
                <w:szCs w:val="22"/>
              </w:rPr>
            </w:pPr>
            <w:r w:rsidRPr="006024DC">
              <w:rPr>
                <w:rFonts w:cs="Arial"/>
                <w:b/>
                <w:bCs/>
                <w:color w:val="FFFFFF"/>
                <w:sz w:val="22"/>
                <w:szCs w:val="22"/>
              </w:rPr>
              <w:t>2020-21 Supplementary Estimate</w:t>
            </w:r>
          </w:p>
        </w:tc>
        <w:tc>
          <w:tcPr>
            <w:tcW w:w="1220" w:type="dxa"/>
            <w:tcBorders>
              <w:top w:val="nil"/>
              <w:left w:val="nil"/>
              <w:bottom w:val="single" w:sz="4" w:space="0" w:color="auto"/>
              <w:right w:val="single" w:sz="4" w:space="0" w:color="auto"/>
            </w:tcBorders>
            <w:shd w:val="clear" w:color="000000" w:fill="16365C"/>
            <w:vAlign w:val="center"/>
            <w:hideMark/>
          </w:tcPr>
          <w:p w:rsidR="00700D1B" w:rsidRPr="006024DC" w:rsidP="00700D1B">
            <w:pPr>
              <w:jc w:val="right"/>
              <w:rPr>
                <w:rFonts w:cs="Arial"/>
                <w:b/>
                <w:bCs/>
                <w:color w:val="FFFFFF"/>
                <w:sz w:val="22"/>
                <w:szCs w:val="22"/>
              </w:rPr>
            </w:pPr>
            <w:r w:rsidRPr="006024DC">
              <w:rPr>
                <w:rFonts w:cs="Arial"/>
                <w:b/>
                <w:bCs/>
                <w:color w:val="FFFFFF"/>
                <w:sz w:val="22"/>
                <w:szCs w:val="22"/>
              </w:rPr>
              <w:t>2020-21 Main Estimate</w:t>
            </w:r>
          </w:p>
        </w:tc>
        <w:tc>
          <w:tcPr>
            <w:tcW w:w="2000" w:type="dxa"/>
            <w:gridSpan w:val="2"/>
            <w:tcBorders>
              <w:top w:val="single" w:sz="4" w:space="0" w:color="auto"/>
              <w:left w:val="nil"/>
              <w:bottom w:val="single" w:sz="4" w:space="0" w:color="auto"/>
              <w:right w:val="single" w:sz="4" w:space="0" w:color="auto"/>
            </w:tcBorders>
            <w:shd w:val="clear" w:color="000000" w:fill="16365C"/>
            <w:vAlign w:val="center"/>
            <w:hideMark/>
          </w:tcPr>
          <w:p w:rsidR="00700D1B" w:rsidRPr="006024DC" w:rsidP="00700D1B">
            <w:pPr>
              <w:jc w:val="center"/>
              <w:rPr>
                <w:rFonts w:cs="Arial"/>
                <w:b/>
                <w:bCs/>
                <w:color w:val="FFFFFF"/>
                <w:sz w:val="22"/>
                <w:szCs w:val="22"/>
              </w:rPr>
            </w:pPr>
            <w:r w:rsidRPr="006024DC">
              <w:rPr>
                <w:rFonts w:cs="Arial"/>
                <w:b/>
                <w:bCs/>
                <w:color w:val="FFFFFF"/>
                <w:sz w:val="22"/>
                <w:szCs w:val="22"/>
              </w:rPr>
              <w:t>Change from</w:t>
            </w:r>
            <w:r w:rsidRPr="006024DC">
              <w:rPr>
                <w:rFonts w:cs="Arial"/>
                <w:b/>
                <w:bCs/>
                <w:color w:val="FFFFFF"/>
                <w:sz w:val="22"/>
                <w:szCs w:val="22"/>
              </w:rPr>
              <w:br/>
              <w:t>2020-21 Main Estimate</w:t>
            </w:r>
          </w:p>
        </w:tc>
        <w:tc>
          <w:tcPr>
            <w:tcW w:w="700" w:type="dxa"/>
            <w:tcBorders>
              <w:top w:val="nil"/>
              <w:left w:val="nil"/>
              <w:bottom w:val="single" w:sz="4" w:space="0" w:color="auto"/>
              <w:right w:val="single" w:sz="4" w:space="0" w:color="auto"/>
            </w:tcBorders>
            <w:shd w:val="clear" w:color="000000" w:fill="16365C"/>
            <w:vAlign w:val="center"/>
            <w:hideMark/>
          </w:tcPr>
          <w:p w:rsidR="00700D1B" w:rsidRPr="006024DC" w:rsidP="00700D1B">
            <w:pPr>
              <w:jc w:val="center"/>
              <w:rPr>
                <w:rFonts w:cs="Arial"/>
                <w:b/>
                <w:bCs/>
                <w:color w:val="FFFFFF"/>
                <w:sz w:val="22"/>
                <w:szCs w:val="22"/>
              </w:rPr>
            </w:pPr>
            <w:r w:rsidRPr="006024DC">
              <w:rPr>
                <w:rFonts w:cs="Arial"/>
                <w:b/>
                <w:bCs/>
                <w:color w:val="FFFFFF"/>
                <w:sz w:val="22"/>
                <w:szCs w:val="22"/>
              </w:rPr>
              <w:t>See Note 2.3</w:t>
            </w:r>
          </w:p>
        </w:tc>
      </w:tr>
      <w:tr w:rsidTr="00700D1B">
        <w:tblPrEx>
          <w:tblW w:w="10040" w:type="dxa"/>
          <w:tblLook w:val="04A0"/>
        </w:tblPrEx>
        <w:trPr>
          <w:trHeight w:val="300"/>
        </w:trPr>
        <w:tc>
          <w:tcPr>
            <w:tcW w:w="1000" w:type="dxa"/>
            <w:vMerge/>
            <w:tcBorders>
              <w:top w:val="single" w:sz="4" w:space="0" w:color="auto"/>
              <w:left w:val="single" w:sz="4" w:space="0" w:color="auto"/>
              <w:bottom w:val="single" w:sz="4" w:space="0" w:color="auto"/>
              <w:right w:val="single" w:sz="4" w:space="0" w:color="auto"/>
            </w:tcBorders>
            <w:vAlign w:val="center"/>
            <w:hideMark/>
          </w:tcPr>
          <w:p w:rsidR="00700D1B" w:rsidRPr="006024DC" w:rsidP="00700D1B">
            <w:pPr>
              <w:rPr>
                <w:rFonts w:cs="Arial"/>
                <w:b/>
                <w:bCs/>
                <w:color w:val="FFFFFF"/>
                <w:sz w:val="22"/>
                <w:szCs w:val="22"/>
              </w:rPr>
            </w:pPr>
          </w:p>
        </w:tc>
        <w:tc>
          <w:tcPr>
            <w:tcW w:w="3460" w:type="dxa"/>
            <w:vMerge/>
            <w:tcBorders>
              <w:top w:val="single" w:sz="4" w:space="0" w:color="auto"/>
              <w:left w:val="single" w:sz="4" w:space="0" w:color="auto"/>
              <w:bottom w:val="single" w:sz="4" w:space="0" w:color="auto"/>
              <w:right w:val="single" w:sz="4" w:space="0" w:color="auto"/>
            </w:tcBorders>
            <w:vAlign w:val="center"/>
            <w:hideMark/>
          </w:tcPr>
          <w:p w:rsidR="00700D1B" w:rsidRPr="006024DC" w:rsidP="00700D1B">
            <w:pPr>
              <w:rPr>
                <w:rFonts w:cs="Arial"/>
                <w:b/>
                <w:bCs/>
                <w:color w:val="FFFFFF"/>
                <w:sz w:val="22"/>
                <w:szCs w:val="22"/>
              </w:rPr>
            </w:pPr>
          </w:p>
        </w:tc>
        <w:tc>
          <w:tcPr>
            <w:tcW w:w="1660" w:type="dxa"/>
            <w:tcBorders>
              <w:top w:val="nil"/>
              <w:left w:val="nil"/>
              <w:bottom w:val="single" w:sz="4" w:space="0" w:color="auto"/>
              <w:right w:val="single" w:sz="4" w:space="0" w:color="auto"/>
            </w:tcBorders>
            <w:shd w:val="clear" w:color="000000" w:fill="16365C"/>
            <w:noWrap/>
            <w:vAlign w:val="bottom"/>
            <w:hideMark/>
          </w:tcPr>
          <w:p w:rsidR="00700D1B" w:rsidRPr="006024DC" w:rsidP="00700D1B">
            <w:pPr>
              <w:jc w:val="right"/>
              <w:rPr>
                <w:rFonts w:cs="Arial"/>
                <w:b/>
                <w:bCs/>
                <w:color w:val="FFFFFF"/>
                <w:sz w:val="22"/>
                <w:szCs w:val="22"/>
              </w:rPr>
            </w:pPr>
            <w:r w:rsidRPr="006024DC">
              <w:rPr>
                <w:rFonts w:cs="Arial"/>
                <w:b/>
                <w:bCs/>
                <w:color w:val="FFFFFF"/>
                <w:sz w:val="22"/>
                <w:szCs w:val="22"/>
              </w:rPr>
              <w:t>£m</w:t>
            </w:r>
          </w:p>
        </w:tc>
        <w:tc>
          <w:tcPr>
            <w:tcW w:w="1220" w:type="dxa"/>
            <w:tcBorders>
              <w:top w:val="nil"/>
              <w:left w:val="nil"/>
              <w:bottom w:val="single" w:sz="4" w:space="0" w:color="auto"/>
              <w:right w:val="single" w:sz="4" w:space="0" w:color="auto"/>
            </w:tcBorders>
            <w:shd w:val="clear" w:color="000000" w:fill="16365C"/>
            <w:noWrap/>
            <w:vAlign w:val="bottom"/>
            <w:hideMark/>
          </w:tcPr>
          <w:p w:rsidR="00700D1B" w:rsidRPr="006024DC" w:rsidP="00700D1B">
            <w:pPr>
              <w:jc w:val="right"/>
              <w:rPr>
                <w:rFonts w:cs="Arial"/>
                <w:b/>
                <w:bCs/>
                <w:color w:val="FFFFFF"/>
                <w:sz w:val="22"/>
                <w:szCs w:val="22"/>
              </w:rPr>
            </w:pPr>
            <w:r w:rsidRPr="006024DC">
              <w:rPr>
                <w:rFonts w:cs="Arial"/>
                <w:b/>
                <w:bCs/>
                <w:color w:val="FFFFFF"/>
                <w:sz w:val="22"/>
                <w:szCs w:val="22"/>
              </w:rPr>
              <w:t>£m</w:t>
            </w:r>
          </w:p>
        </w:tc>
        <w:tc>
          <w:tcPr>
            <w:tcW w:w="1000" w:type="dxa"/>
            <w:tcBorders>
              <w:top w:val="nil"/>
              <w:left w:val="nil"/>
              <w:bottom w:val="single" w:sz="4" w:space="0" w:color="auto"/>
              <w:right w:val="single" w:sz="4" w:space="0" w:color="auto"/>
            </w:tcBorders>
            <w:shd w:val="clear" w:color="000000" w:fill="16365C"/>
            <w:noWrap/>
            <w:vAlign w:val="bottom"/>
            <w:hideMark/>
          </w:tcPr>
          <w:p w:rsidR="00700D1B" w:rsidRPr="006024DC" w:rsidP="00700D1B">
            <w:pPr>
              <w:jc w:val="right"/>
              <w:rPr>
                <w:rFonts w:cs="Arial"/>
                <w:b/>
                <w:bCs/>
                <w:color w:val="FFFFFF"/>
                <w:sz w:val="22"/>
                <w:szCs w:val="22"/>
              </w:rPr>
            </w:pPr>
            <w:r w:rsidRPr="006024DC">
              <w:rPr>
                <w:rFonts w:cs="Arial"/>
                <w:b/>
                <w:bCs/>
                <w:color w:val="FFFFFF"/>
                <w:sz w:val="22"/>
                <w:szCs w:val="22"/>
              </w:rPr>
              <w:t>£m</w:t>
            </w:r>
          </w:p>
        </w:tc>
        <w:tc>
          <w:tcPr>
            <w:tcW w:w="1000" w:type="dxa"/>
            <w:tcBorders>
              <w:top w:val="nil"/>
              <w:left w:val="nil"/>
              <w:bottom w:val="single" w:sz="4" w:space="0" w:color="auto"/>
              <w:right w:val="single" w:sz="4" w:space="0" w:color="auto"/>
            </w:tcBorders>
            <w:shd w:val="clear" w:color="000000" w:fill="16365C"/>
            <w:noWrap/>
            <w:vAlign w:val="bottom"/>
            <w:hideMark/>
          </w:tcPr>
          <w:p w:rsidR="00700D1B" w:rsidRPr="006024DC" w:rsidP="00700D1B">
            <w:pPr>
              <w:jc w:val="right"/>
              <w:rPr>
                <w:rFonts w:cs="Arial"/>
                <w:b/>
                <w:bCs/>
                <w:color w:val="FFFFFF"/>
                <w:sz w:val="22"/>
                <w:szCs w:val="22"/>
              </w:rPr>
            </w:pPr>
            <w:r w:rsidRPr="006024DC">
              <w:rPr>
                <w:rFonts w:cs="Arial"/>
                <w:b/>
                <w:bCs/>
                <w:color w:val="FFFFFF"/>
                <w:sz w:val="22"/>
                <w:szCs w:val="22"/>
              </w:rPr>
              <w:t>%</w:t>
            </w:r>
          </w:p>
        </w:tc>
        <w:tc>
          <w:tcPr>
            <w:tcW w:w="700" w:type="dxa"/>
            <w:tcBorders>
              <w:top w:val="nil"/>
              <w:left w:val="nil"/>
              <w:bottom w:val="single" w:sz="4" w:space="0" w:color="auto"/>
              <w:right w:val="single" w:sz="4" w:space="0" w:color="auto"/>
            </w:tcBorders>
            <w:shd w:val="clear" w:color="000000" w:fill="16365C"/>
            <w:noWrap/>
            <w:vAlign w:val="bottom"/>
            <w:hideMark/>
          </w:tcPr>
          <w:p w:rsidR="00700D1B" w:rsidRPr="006024DC" w:rsidP="00700D1B">
            <w:pPr>
              <w:jc w:val="center"/>
              <w:rPr>
                <w:rFonts w:cs="Arial"/>
                <w:b/>
                <w:bCs/>
                <w:color w:val="FFFFFF"/>
                <w:sz w:val="22"/>
                <w:szCs w:val="22"/>
              </w:rPr>
            </w:pPr>
            <w:r w:rsidRPr="006024DC">
              <w:rPr>
                <w:rFonts w:cs="Arial"/>
                <w:b/>
                <w:bCs/>
                <w:color w:val="FFFFFF"/>
                <w:sz w:val="22"/>
                <w:szCs w:val="22"/>
              </w:rPr>
              <w:t> </w:t>
            </w:r>
          </w:p>
        </w:tc>
      </w:tr>
      <w:tr w:rsidTr="00700D1B">
        <w:tblPrEx>
          <w:tblW w:w="10040" w:type="dxa"/>
          <w:tblLook w:val="04A0"/>
        </w:tblPrEx>
        <w:trPr>
          <w:trHeight w:val="855"/>
        </w:trPr>
        <w:tc>
          <w:tcPr>
            <w:tcW w:w="1000" w:type="dxa"/>
            <w:tcBorders>
              <w:top w:val="nil"/>
              <w:left w:val="single" w:sz="4" w:space="0" w:color="auto"/>
              <w:bottom w:val="single" w:sz="4" w:space="0" w:color="auto"/>
              <w:right w:val="single" w:sz="4" w:space="0" w:color="auto"/>
            </w:tcBorders>
            <w:shd w:val="clear" w:color="auto" w:fill="auto"/>
            <w:vAlign w:val="center"/>
            <w:hideMark/>
          </w:tcPr>
          <w:p w:rsidR="00700D1B" w:rsidRPr="006024DC" w:rsidP="00700D1B">
            <w:pPr>
              <w:jc w:val="center"/>
              <w:rPr>
                <w:rFonts w:cs="Arial"/>
                <w:color w:val="000000"/>
                <w:sz w:val="22"/>
                <w:szCs w:val="22"/>
              </w:rPr>
            </w:pPr>
            <w:r w:rsidRPr="006024DC">
              <w:rPr>
                <w:rFonts w:cs="Arial"/>
                <w:color w:val="000000"/>
                <w:sz w:val="22"/>
                <w:szCs w:val="22"/>
              </w:rPr>
              <w:t>K</w:t>
            </w:r>
          </w:p>
        </w:tc>
        <w:tc>
          <w:tcPr>
            <w:tcW w:w="3460" w:type="dxa"/>
            <w:tcBorders>
              <w:top w:val="nil"/>
              <w:left w:val="nil"/>
              <w:bottom w:val="single" w:sz="4" w:space="0" w:color="auto"/>
              <w:right w:val="single" w:sz="4" w:space="0" w:color="auto"/>
            </w:tcBorders>
            <w:shd w:val="clear" w:color="auto" w:fill="auto"/>
            <w:vAlign w:val="center"/>
            <w:hideMark/>
          </w:tcPr>
          <w:p w:rsidR="00700D1B" w:rsidRPr="006024DC" w:rsidP="00700D1B">
            <w:pPr>
              <w:rPr>
                <w:rFonts w:cs="Arial"/>
                <w:color w:val="000000"/>
                <w:sz w:val="22"/>
                <w:szCs w:val="22"/>
              </w:rPr>
            </w:pPr>
            <w:r w:rsidRPr="006024DC">
              <w:rPr>
                <w:rFonts w:cs="Arial"/>
                <w:color w:val="000000"/>
                <w:sz w:val="22"/>
                <w:szCs w:val="22"/>
              </w:rPr>
              <w:t>NHS Commissioning Board (known as NHS England) net expenditure</w:t>
            </w:r>
          </w:p>
        </w:tc>
        <w:tc>
          <w:tcPr>
            <w:tcW w:w="1660" w:type="dxa"/>
            <w:tcBorders>
              <w:top w:val="nil"/>
              <w:left w:val="nil"/>
              <w:bottom w:val="single" w:sz="4" w:space="0" w:color="auto"/>
              <w:right w:val="single" w:sz="4" w:space="0" w:color="auto"/>
            </w:tcBorders>
            <w:shd w:val="clear" w:color="auto" w:fill="auto"/>
            <w:vAlign w:val="center"/>
            <w:hideMark/>
          </w:tcPr>
          <w:p w:rsidR="00700D1B" w:rsidRPr="006024DC" w:rsidP="00700D1B">
            <w:pPr>
              <w:jc w:val="right"/>
              <w:rPr>
                <w:rFonts w:cs="Arial"/>
                <w:color w:val="000000"/>
                <w:sz w:val="22"/>
                <w:szCs w:val="22"/>
              </w:rPr>
            </w:pPr>
            <w:r w:rsidRPr="006024DC">
              <w:rPr>
                <w:rFonts w:cs="Arial"/>
                <w:color w:val="000000"/>
                <w:sz w:val="22"/>
                <w:szCs w:val="22"/>
              </w:rPr>
              <w:t>100.0</w:t>
            </w:r>
          </w:p>
        </w:tc>
        <w:tc>
          <w:tcPr>
            <w:tcW w:w="1220" w:type="dxa"/>
            <w:tcBorders>
              <w:top w:val="nil"/>
              <w:left w:val="nil"/>
              <w:bottom w:val="single" w:sz="4" w:space="0" w:color="auto"/>
              <w:right w:val="single" w:sz="4" w:space="0" w:color="auto"/>
            </w:tcBorders>
            <w:shd w:val="clear" w:color="auto" w:fill="auto"/>
            <w:vAlign w:val="center"/>
            <w:hideMark/>
          </w:tcPr>
          <w:p w:rsidR="00700D1B" w:rsidRPr="006024DC" w:rsidP="00700D1B">
            <w:pPr>
              <w:jc w:val="right"/>
              <w:rPr>
                <w:rFonts w:cs="Arial"/>
                <w:color w:val="000000"/>
                <w:sz w:val="22"/>
                <w:szCs w:val="22"/>
              </w:rPr>
            </w:pPr>
            <w:r w:rsidRPr="006024DC">
              <w:rPr>
                <w:rFonts w:cs="Arial"/>
                <w:color w:val="000000"/>
                <w:sz w:val="22"/>
                <w:szCs w:val="22"/>
              </w:rPr>
              <w:t>100.0</w:t>
            </w:r>
          </w:p>
        </w:tc>
        <w:tc>
          <w:tcPr>
            <w:tcW w:w="1000" w:type="dxa"/>
            <w:tcBorders>
              <w:top w:val="nil"/>
              <w:left w:val="nil"/>
              <w:bottom w:val="single" w:sz="4" w:space="0" w:color="auto"/>
              <w:right w:val="single" w:sz="4" w:space="0" w:color="auto"/>
            </w:tcBorders>
            <w:shd w:val="clear" w:color="auto" w:fill="auto"/>
            <w:vAlign w:val="center"/>
            <w:hideMark/>
          </w:tcPr>
          <w:p w:rsidR="00700D1B" w:rsidRPr="006024DC" w:rsidP="00700D1B">
            <w:pPr>
              <w:jc w:val="right"/>
              <w:rPr>
                <w:rFonts w:cs="Arial"/>
                <w:color w:val="000000"/>
                <w:sz w:val="22"/>
                <w:szCs w:val="22"/>
              </w:rPr>
            </w:pPr>
            <w:r w:rsidRPr="006024DC">
              <w:rPr>
                <w:rFonts w:cs="Arial"/>
                <w:color w:val="000000"/>
                <w:sz w:val="22"/>
                <w:szCs w:val="22"/>
              </w:rPr>
              <w:t>0.0</w:t>
            </w:r>
          </w:p>
        </w:tc>
        <w:tc>
          <w:tcPr>
            <w:tcW w:w="1000" w:type="dxa"/>
            <w:tcBorders>
              <w:top w:val="nil"/>
              <w:left w:val="nil"/>
              <w:bottom w:val="single" w:sz="4" w:space="0" w:color="auto"/>
              <w:right w:val="single" w:sz="4" w:space="0" w:color="auto"/>
            </w:tcBorders>
            <w:shd w:val="clear" w:color="auto" w:fill="auto"/>
            <w:vAlign w:val="center"/>
            <w:hideMark/>
          </w:tcPr>
          <w:p w:rsidR="00700D1B" w:rsidRPr="006024DC" w:rsidP="00700D1B">
            <w:pPr>
              <w:jc w:val="right"/>
              <w:rPr>
                <w:rFonts w:cs="Arial"/>
                <w:color w:val="000000"/>
                <w:sz w:val="22"/>
                <w:szCs w:val="22"/>
              </w:rPr>
            </w:pPr>
            <w:r w:rsidRPr="006024DC">
              <w:rPr>
                <w:rFonts w:cs="Arial"/>
                <w:color w:val="000000"/>
                <w:sz w:val="22"/>
                <w:szCs w:val="22"/>
              </w:rPr>
              <w:t>0%</w:t>
            </w:r>
          </w:p>
        </w:tc>
        <w:tc>
          <w:tcPr>
            <w:tcW w:w="700" w:type="dxa"/>
            <w:tcBorders>
              <w:top w:val="nil"/>
              <w:left w:val="nil"/>
              <w:bottom w:val="single" w:sz="4" w:space="0" w:color="auto"/>
              <w:right w:val="single" w:sz="4" w:space="0" w:color="auto"/>
            </w:tcBorders>
            <w:shd w:val="clear" w:color="auto" w:fill="auto"/>
            <w:vAlign w:val="center"/>
            <w:hideMark/>
          </w:tcPr>
          <w:p w:rsidR="00700D1B" w:rsidRPr="006024DC" w:rsidP="00700D1B">
            <w:pPr>
              <w:jc w:val="center"/>
              <w:rPr>
                <w:rFonts w:cs="Arial"/>
                <w:color w:val="000000"/>
                <w:sz w:val="22"/>
                <w:szCs w:val="22"/>
              </w:rPr>
            </w:pPr>
            <w:r w:rsidRPr="006024DC">
              <w:rPr>
                <w:rFonts w:cs="Arial"/>
                <w:color w:val="000000"/>
                <w:sz w:val="22"/>
                <w:szCs w:val="22"/>
              </w:rPr>
              <w:t> </w:t>
            </w:r>
          </w:p>
        </w:tc>
      </w:tr>
      <w:tr w:rsidTr="00700D1B">
        <w:tblPrEx>
          <w:tblW w:w="10040" w:type="dxa"/>
          <w:tblLook w:val="04A0"/>
        </w:tblPrEx>
        <w:trPr>
          <w:trHeight w:val="285"/>
        </w:trPr>
        <w:tc>
          <w:tcPr>
            <w:tcW w:w="1000" w:type="dxa"/>
            <w:tcBorders>
              <w:top w:val="nil"/>
              <w:left w:val="single" w:sz="4" w:space="0" w:color="auto"/>
              <w:bottom w:val="single" w:sz="4" w:space="0" w:color="auto"/>
              <w:right w:val="single" w:sz="4" w:space="0" w:color="auto"/>
            </w:tcBorders>
            <w:shd w:val="clear" w:color="auto" w:fill="auto"/>
            <w:vAlign w:val="center"/>
            <w:hideMark/>
          </w:tcPr>
          <w:p w:rsidR="00700D1B" w:rsidRPr="006024DC" w:rsidP="00700D1B">
            <w:pPr>
              <w:jc w:val="center"/>
              <w:rPr>
                <w:rFonts w:cs="Arial"/>
                <w:color w:val="000000"/>
                <w:sz w:val="22"/>
                <w:szCs w:val="22"/>
              </w:rPr>
            </w:pPr>
            <w:r w:rsidRPr="006024DC">
              <w:rPr>
                <w:rFonts w:cs="Arial"/>
                <w:color w:val="000000"/>
                <w:sz w:val="22"/>
                <w:szCs w:val="22"/>
              </w:rPr>
              <w:t>L</w:t>
            </w:r>
          </w:p>
        </w:tc>
        <w:tc>
          <w:tcPr>
            <w:tcW w:w="3460" w:type="dxa"/>
            <w:tcBorders>
              <w:top w:val="nil"/>
              <w:left w:val="nil"/>
              <w:bottom w:val="single" w:sz="4" w:space="0" w:color="auto"/>
              <w:right w:val="single" w:sz="4" w:space="0" w:color="auto"/>
            </w:tcBorders>
            <w:shd w:val="clear" w:color="auto" w:fill="auto"/>
            <w:vAlign w:val="center"/>
            <w:hideMark/>
          </w:tcPr>
          <w:p w:rsidR="00700D1B" w:rsidRPr="006024DC" w:rsidP="00700D1B">
            <w:pPr>
              <w:rPr>
                <w:rFonts w:cs="Arial"/>
                <w:color w:val="000000"/>
                <w:sz w:val="22"/>
                <w:szCs w:val="22"/>
              </w:rPr>
            </w:pPr>
            <w:r w:rsidRPr="006024DC">
              <w:rPr>
                <w:rFonts w:cs="Arial"/>
                <w:color w:val="000000"/>
                <w:sz w:val="22"/>
                <w:szCs w:val="22"/>
              </w:rPr>
              <w:t>NHS Providers</w:t>
            </w:r>
          </w:p>
        </w:tc>
        <w:tc>
          <w:tcPr>
            <w:tcW w:w="1660" w:type="dxa"/>
            <w:tcBorders>
              <w:top w:val="nil"/>
              <w:left w:val="nil"/>
              <w:bottom w:val="single" w:sz="4" w:space="0" w:color="auto"/>
              <w:right w:val="single" w:sz="4" w:space="0" w:color="auto"/>
            </w:tcBorders>
            <w:shd w:val="clear" w:color="auto" w:fill="auto"/>
            <w:vAlign w:val="center"/>
            <w:hideMark/>
          </w:tcPr>
          <w:p w:rsidR="00700D1B" w:rsidRPr="006024DC" w:rsidP="00700D1B">
            <w:pPr>
              <w:jc w:val="right"/>
              <w:rPr>
                <w:rFonts w:cs="Arial"/>
                <w:color w:val="000000"/>
                <w:sz w:val="22"/>
                <w:szCs w:val="22"/>
              </w:rPr>
            </w:pPr>
            <w:r w:rsidRPr="006024DC">
              <w:rPr>
                <w:rFonts w:cs="Arial"/>
                <w:color w:val="000000"/>
                <w:sz w:val="22"/>
                <w:szCs w:val="22"/>
              </w:rPr>
              <w:t>1,100.0</w:t>
            </w:r>
          </w:p>
        </w:tc>
        <w:tc>
          <w:tcPr>
            <w:tcW w:w="1220" w:type="dxa"/>
            <w:tcBorders>
              <w:top w:val="nil"/>
              <w:left w:val="nil"/>
              <w:bottom w:val="single" w:sz="4" w:space="0" w:color="auto"/>
              <w:right w:val="single" w:sz="4" w:space="0" w:color="auto"/>
            </w:tcBorders>
            <w:shd w:val="clear" w:color="auto" w:fill="auto"/>
            <w:vAlign w:val="center"/>
            <w:hideMark/>
          </w:tcPr>
          <w:p w:rsidR="00700D1B" w:rsidRPr="006024DC" w:rsidP="00700D1B">
            <w:pPr>
              <w:jc w:val="right"/>
              <w:rPr>
                <w:rFonts w:cs="Arial"/>
                <w:color w:val="000000"/>
                <w:sz w:val="22"/>
                <w:szCs w:val="22"/>
              </w:rPr>
            </w:pPr>
            <w:r w:rsidRPr="006024DC">
              <w:rPr>
                <w:rFonts w:cs="Arial"/>
                <w:color w:val="000000"/>
                <w:sz w:val="22"/>
                <w:szCs w:val="22"/>
              </w:rPr>
              <w:t>1,875.2</w:t>
            </w:r>
          </w:p>
        </w:tc>
        <w:tc>
          <w:tcPr>
            <w:tcW w:w="1000" w:type="dxa"/>
            <w:tcBorders>
              <w:top w:val="nil"/>
              <w:left w:val="nil"/>
              <w:bottom w:val="single" w:sz="4" w:space="0" w:color="auto"/>
              <w:right w:val="single" w:sz="4" w:space="0" w:color="auto"/>
            </w:tcBorders>
            <w:shd w:val="clear" w:color="auto" w:fill="auto"/>
            <w:vAlign w:val="center"/>
            <w:hideMark/>
          </w:tcPr>
          <w:p w:rsidR="00700D1B" w:rsidRPr="006024DC" w:rsidP="00700D1B">
            <w:pPr>
              <w:jc w:val="right"/>
              <w:rPr>
                <w:rFonts w:cs="Arial"/>
                <w:color w:val="000000"/>
                <w:sz w:val="22"/>
                <w:szCs w:val="22"/>
              </w:rPr>
            </w:pPr>
            <w:r w:rsidRPr="006024DC">
              <w:rPr>
                <w:rFonts w:cs="Arial"/>
                <w:color w:val="000000"/>
                <w:sz w:val="22"/>
                <w:szCs w:val="22"/>
              </w:rPr>
              <w:t>0.0</w:t>
            </w:r>
          </w:p>
        </w:tc>
        <w:tc>
          <w:tcPr>
            <w:tcW w:w="1000" w:type="dxa"/>
            <w:tcBorders>
              <w:top w:val="nil"/>
              <w:left w:val="nil"/>
              <w:bottom w:val="single" w:sz="4" w:space="0" w:color="auto"/>
              <w:right w:val="single" w:sz="4" w:space="0" w:color="auto"/>
            </w:tcBorders>
            <w:shd w:val="clear" w:color="auto" w:fill="auto"/>
            <w:vAlign w:val="center"/>
            <w:hideMark/>
          </w:tcPr>
          <w:p w:rsidR="00700D1B" w:rsidRPr="006024DC" w:rsidP="00700D1B">
            <w:pPr>
              <w:jc w:val="right"/>
              <w:rPr>
                <w:rFonts w:cs="Arial"/>
                <w:color w:val="000000"/>
                <w:sz w:val="22"/>
                <w:szCs w:val="22"/>
              </w:rPr>
            </w:pPr>
            <w:r w:rsidRPr="006024DC">
              <w:rPr>
                <w:rFonts w:cs="Arial"/>
                <w:color w:val="000000"/>
                <w:sz w:val="22"/>
                <w:szCs w:val="22"/>
              </w:rPr>
              <w:t>0%</w:t>
            </w:r>
          </w:p>
        </w:tc>
        <w:tc>
          <w:tcPr>
            <w:tcW w:w="700" w:type="dxa"/>
            <w:tcBorders>
              <w:top w:val="nil"/>
              <w:left w:val="nil"/>
              <w:bottom w:val="single" w:sz="4" w:space="0" w:color="auto"/>
              <w:right w:val="single" w:sz="4" w:space="0" w:color="auto"/>
            </w:tcBorders>
            <w:shd w:val="clear" w:color="auto" w:fill="auto"/>
            <w:vAlign w:val="center"/>
            <w:hideMark/>
          </w:tcPr>
          <w:p w:rsidR="00700D1B" w:rsidRPr="006024DC" w:rsidP="00700D1B">
            <w:pPr>
              <w:jc w:val="center"/>
              <w:rPr>
                <w:rFonts w:cs="Arial"/>
                <w:color w:val="000000"/>
                <w:sz w:val="22"/>
                <w:szCs w:val="22"/>
              </w:rPr>
            </w:pPr>
            <w:r w:rsidRPr="006024DC">
              <w:rPr>
                <w:rFonts w:cs="Arial"/>
                <w:color w:val="000000"/>
                <w:sz w:val="22"/>
                <w:szCs w:val="22"/>
              </w:rPr>
              <w:t> </w:t>
            </w:r>
          </w:p>
        </w:tc>
      </w:tr>
      <w:tr w:rsidTr="00700D1B">
        <w:tblPrEx>
          <w:tblW w:w="10040" w:type="dxa"/>
          <w:tblLook w:val="04A0"/>
        </w:tblPrEx>
        <w:trPr>
          <w:trHeight w:val="300"/>
        </w:trPr>
        <w:tc>
          <w:tcPr>
            <w:tcW w:w="4460" w:type="dxa"/>
            <w:gridSpan w:val="2"/>
            <w:tcBorders>
              <w:top w:val="single" w:sz="4" w:space="0" w:color="auto"/>
              <w:left w:val="single" w:sz="4" w:space="0" w:color="auto"/>
              <w:bottom w:val="single" w:sz="4" w:space="0" w:color="auto"/>
              <w:right w:val="nil"/>
            </w:tcBorders>
            <w:shd w:val="clear" w:color="000000" w:fill="DCE6F1"/>
            <w:vAlign w:val="center"/>
            <w:hideMark/>
          </w:tcPr>
          <w:p w:rsidR="00700D1B" w:rsidRPr="006024DC" w:rsidP="00700D1B">
            <w:pPr>
              <w:rPr>
                <w:rFonts w:cs="Arial"/>
                <w:b/>
                <w:bCs/>
                <w:color w:val="000000"/>
                <w:sz w:val="22"/>
                <w:szCs w:val="22"/>
              </w:rPr>
            </w:pPr>
            <w:r w:rsidRPr="006024DC">
              <w:rPr>
                <w:rFonts w:cs="Arial"/>
                <w:b/>
                <w:bCs/>
                <w:color w:val="000000"/>
                <w:sz w:val="22"/>
                <w:szCs w:val="22"/>
              </w:rPr>
              <w:t>Sub Total - NHS</w:t>
            </w:r>
          </w:p>
        </w:tc>
        <w:tc>
          <w:tcPr>
            <w:tcW w:w="1660" w:type="dxa"/>
            <w:tcBorders>
              <w:top w:val="nil"/>
              <w:left w:val="single" w:sz="4" w:space="0" w:color="auto"/>
              <w:bottom w:val="single" w:sz="4" w:space="0" w:color="auto"/>
              <w:right w:val="single" w:sz="4" w:space="0" w:color="auto"/>
            </w:tcBorders>
            <w:shd w:val="clear" w:color="000000" w:fill="DCE6F1"/>
            <w:vAlign w:val="center"/>
            <w:hideMark/>
          </w:tcPr>
          <w:p w:rsidR="00700D1B" w:rsidRPr="006024DC" w:rsidP="00700D1B">
            <w:pPr>
              <w:jc w:val="right"/>
              <w:rPr>
                <w:rFonts w:cs="Arial"/>
                <w:b/>
                <w:bCs/>
                <w:color w:val="000000"/>
                <w:sz w:val="22"/>
                <w:szCs w:val="22"/>
              </w:rPr>
            </w:pPr>
            <w:r w:rsidRPr="006024DC">
              <w:rPr>
                <w:rFonts w:cs="Arial"/>
                <w:b/>
                <w:bCs/>
                <w:color w:val="000000"/>
                <w:sz w:val="22"/>
                <w:szCs w:val="22"/>
              </w:rPr>
              <w:t>1,200.0</w:t>
            </w:r>
          </w:p>
        </w:tc>
        <w:tc>
          <w:tcPr>
            <w:tcW w:w="1220" w:type="dxa"/>
            <w:tcBorders>
              <w:top w:val="nil"/>
              <w:left w:val="nil"/>
              <w:bottom w:val="single" w:sz="4" w:space="0" w:color="auto"/>
              <w:right w:val="single" w:sz="4" w:space="0" w:color="auto"/>
            </w:tcBorders>
            <w:shd w:val="clear" w:color="000000" w:fill="DCE6F1"/>
            <w:vAlign w:val="center"/>
            <w:hideMark/>
          </w:tcPr>
          <w:p w:rsidR="00700D1B" w:rsidRPr="006024DC" w:rsidP="00700D1B">
            <w:pPr>
              <w:jc w:val="right"/>
              <w:rPr>
                <w:rFonts w:cs="Arial"/>
                <w:b/>
                <w:bCs/>
                <w:color w:val="000000"/>
                <w:sz w:val="22"/>
                <w:szCs w:val="22"/>
              </w:rPr>
            </w:pPr>
            <w:r w:rsidRPr="006024DC">
              <w:rPr>
                <w:rFonts w:cs="Arial"/>
                <w:b/>
                <w:bCs/>
                <w:color w:val="000000"/>
                <w:sz w:val="22"/>
                <w:szCs w:val="22"/>
              </w:rPr>
              <w:t>1,975.2</w:t>
            </w:r>
          </w:p>
        </w:tc>
        <w:tc>
          <w:tcPr>
            <w:tcW w:w="1000" w:type="dxa"/>
            <w:tcBorders>
              <w:top w:val="nil"/>
              <w:left w:val="nil"/>
              <w:bottom w:val="single" w:sz="4" w:space="0" w:color="auto"/>
              <w:right w:val="single" w:sz="4" w:space="0" w:color="auto"/>
            </w:tcBorders>
            <w:shd w:val="clear" w:color="000000" w:fill="DCE6F1"/>
            <w:vAlign w:val="center"/>
            <w:hideMark/>
          </w:tcPr>
          <w:p w:rsidR="00700D1B" w:rsidRPr="006024DC" w:rsidP="00700D1B">
            <w:pPr>
              <w:jc w:val="right"/>
              <w:rPr>
                <w:rFonts w:cs="Arial"/>
                <w:b/>
                <w:bCs/>
                <w:color w:val="000000"/>
                <w:sz w:val="22"/>
                <w:szCs w:val="22"/>
              </w:rPr>
            </w:pPr>
            <w:r w:rsidRPr="006024DC">
              <w:rPr>
                <w:rFonts w:cs="Arial"/>
                <w:b/>
                <w:bCs/>
                <w:color w:val="FF0000"/>
                <w:sz w:val="22"/>
                <w:szCs w:val="22"/>
              </w:rPr>
              <w:t>(775.2)</w:t>
            </w:r>
          </w:p>
        </w:tc>
        <w:tc>
          <w:tcPr>
            <w:tcW w:w="1000" w:type="dxa"/>
            <w:tcBorders>
              <w:top w:val="single" w:sz="4" w:space="0" w:color="auto"/>
              <w:left w:val="single" w:sz="4" w:space="0" w:color="auto"/>
              <w:bottom w:val="single" w:sz="4" w:space="0" w:color="auto"/>
              <w:right w:val="single" w:sz="4" w:space="0" w:color="auto"/>
            </w:tcBorders>
            <w:shd w:val="clear" w:color="000000" w:fill="DCE6F1"/>
            <w:vAlign w:val="center"/>
            <w:hideMark/>
          </w:tcPr>
          <w:p w:rsidR="00700D1B" w:rsidRPr="006024DC" w:rsidP="00700D1B">
            <w:pPr>
              <w:jc w:val="right"/>
              <w:rPr>
                <w:rFonts w:cs="Arial"/>
                <w:b/>
                <w:bCs/>
                <w:color w:val="FF0000"/>
                <w:sz w:val="22"/>
                <w:szCs w:val="22"/>
              </w:rPr>
            </w:pPr>
            <w:r w:rsidRPr="006024DC">
              <w:rPr>
                <w:rFonts w:cs="Arial"/>
                <w:b/>
                <w:bCs/>
                <w:color w:val="FF0000"/>
                <w:sz w:val="22"/>
                <w:szCs w:val="22"/>
              </w:rPr>
              <w:t>-39%</w:t>
            </w:r>
          </w:p>
        </w:tc>
        <w:tc>
          <w:tcPr>
            <w:tcW w:w="700" w:type="dxa"/>
            <w:tcBorders>
              <w:top w:val="nil"/>
              <w:left w:val="nil"/>
              <w:bottom w:val="single" w:sz="4" w:space="0" w:color="auto"/>
              <w:right w:val="single" w:sz="4" w:space="0" w:color="auto"/>
            </w:tcBorders>
            <w:shd w:val="clear" w:color="000000" w:fill="DCE6F1"/>
            <w:vAlign w:val="center"/>
            <w:hideMark/>
          </w:tcPr>
          <w:p w:rsidR="00700D1B" w:rsidRPr="006024DC" w:rsidP="00700D1B">
            <w:pPr>
              <w:jc w:val="center"/>
              <w:rPr>
                <w:rFonts w:cs="Arial"/>
                <w:color w:val="000000"/>
                <w:sz w:val="22"/>
                <w:szCs w:val="22"/>
              </w:rPr>
            </w:pPr>
            <w:r w:rsidRPr="006024DC">
              <w:rPr>
                <w:rFonts w:cs="Arial"/>
                <w:color w:val="000000"/>
                <w:sz w:val="22"/>
                <w:szCs w:val="22"/>
              </w:rPr>
              <w:t> </w:t>
            </w:r>
          </w:p>
        </w:tc>
      </w:tr>
      <w:tr w:rsidTr="00700D1B">
        <w:tblPrEx>
          <w:tblW w:w="10040" w:type="dxa"/>
          <w:tblLook w:val="04A0"/>
        </w:tblPrEx>
        <w:trPr>
          <w:trHeight w:val="570"/>
        </w:trPr>
        <w:tc>
          <w:tcPr>
            <w:tcW w:w="10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00D1B" w:rsidRPr="006024DC" w:rsidP="00700D1B">
            <w:pPr>
              <w:jc w:val="center"/>
              <w:rPr>
                <w:rFonts w:cs="Arial"/>
                <w:color w:val="000000"/>
                <w:sz w:val="22"/>
                <w:szCs w:val="22"/>
              </w:rPr>
            </w:pPr>
            <w:r w:rsidRPr="006024DC">
              <w:rPr>
                <w:rFonts w:cs="Arial"/>
                <w:color w:val="000000"/>
                <w:sz w:val="22"/>
                <w:szCs w:val="22"/>
              </w:rPr>
              <w:t>M</w:t>
            </w:r>
          </w:p>
        </w:tc>
        <w:tc>
          <w:tcPr>
            <w:tcW w:w="3460" w:type="dxa"/>
            <w:tcBorders>
              <w:top w:val="nil"/>
              <w:left w:val="single" w:sz="4" w:space="0" w:color="auto"/>
              <w:bottom w:val="nil"/>
              <w:right w:val="single" w:sz="4" w:space="0" w:color="auto"/>
            </w:tcBorders>
            <w:shd w:val="clear" w:color="auto" w:fill="auto"/>
            <w:vAlign w:val="center"/>
            <w:hideMark/>
          </w:tcPr>
          <w:p w:rsidR="00700D1B" w:rsidRPr="006024DC" w:rsidP="00700D1B">
            <w:pPr>
              <w:rPr>
                <w:rFonts w:cs="Arial"/>
                <w:color w:val="000000"/>
                <w:sz w:val="22"/>
                <w:szCs w:val="22"/>
              </w:rPr>
            </w:pPr>
            <w:r w:rsidRPr="006024DC">
              <w:rPr>
                <w:rFonts w:cs="Arial"/>
                <w:color w:val="000000"/>
                <w:sz w:val="22"/>
                <w:szCs w:val="22"/>
              </w:rPr>
              <w:t>DHSC programme and admin expenditure</w:t>
            </w:r>
          </w:p>
        </w:tc>
        <w:tc>
          <w:tcPr>
            <w:tcW w:w="1660" w:type="dxa"/>
            <w:tcBorders>
              <w:top w:val="nil"/>
              <w:left w:val="single" w:sz="4" w:space="0" w:color="auto"/>
              <w:bottom w:val="single" w:sz="4" w:space="0" w:color="auto"/>
              <w:right w:val="single" w:sz="4" w:space="0" w:color="auto"/>
            </w:tcBorders>
            <w:shd w:val="clear" w:color="auto" w:fill="auto"/>
            <w:vAlign w:val="center"/>
            <w:hideMark/>
          </w:tcPr>
          <w:p w:rsidR="00700D1B" w:rsidRPr="006024DC" w:rsidP="00700D1B">
            <w:pPr>
              <w:jc w:val="right"/>
              <w:rPr>
                <w:rFonts w:cs="Arial"/>
                <w:color w:val="000000"/>
                <w:sz w:val="22"/>
                <w:szCs w:val="22"/>
              </w:rPr>
            </w:pPr>
            <w:r w:rsidRPr="006024DC">
              <w:rPr>
                <w:rFonts w:cs="Arial"/>
                <w:color w:val="000000"/>
                <w:sz w:val="22"/>
                <w:szCs w:val="22"/>
              </w:rPr>
              <w:t>329.3</w:t>
            </w:r>
          </w:p>
        </w:tc>
        <w:tc>
          <w:tcPr>
            <w:tcW w:w="1220" w:type="dxa"/>
            <w:tcBorders>
              <w:top w:val="nil"/>
              <w:left w:val="nil"/>
              <w:bottom w:val="single" w:sz="4" w:space="0" w:color="auto"/>
              <w:right w:val="single" w:sz="4" w:space="0" w:color="auto"/>
            </w:tcBorders>
            <w:shd w:val="clear" w:color="auto" w:fill="auto"/>
            <w:vAlign w:val="center"/>
            <w:hideMark/>
          </w:tcPr>
          <w:p w:rsidR="00700D1B" w:rsidRPr="006024DC" w:rsidP="00700D1B">
            <w:pPr>
              <w:jc w:val="right"/>
              <w:rPr>
                <w:rFonts w:cs="Arial"/>
                <w:color w:val="000000"/>
                <w:sz w:val="22"/>
                <w:szCs w:val="22"/>
              </w:rPr>
            </w:pPr>
            <w:r w:rsidRPr="006024DC">
              <w:rPr>
                <w:rFonts w:cs="Arial"/>
                <w:color w:val="000000"/>
                <w:sz w:val="22"/>
                <w:szCs w:val="22"/>
              </w:rPr>
              <w:t>7</w:t>
            </w:r>
            <w:r>
              <w:rPr>
                <w:rFonts w:cs="Arial"/>
                <w:color w:val="000000"/>
                <w:sz w:val="22"/>
                <w:szCs w:val="22"/>
              </w:rPr>
              <w:t>06</w:t>
            </w:r>
            <w:r w:rsidRPr="006024DC">
              <w:rPr>
                <w:rFonts w:cs="Arial"/>
                <w:color w:val="000000"/>
                <w:sz w:val="22"/>
                <w:szCs w:val="22"/>
              </w:rPr>
              <w:t>.7</w:t>
            </w:r>
          </w:p>
        </w:tc>
        <w:tc>
          <w:tcPr>
            <w:tcW w:w="1000" w:type="dxa"/>
            <w:tcBorders>
              <w:top w:val="nil"/>
              <w:left w:val="nil"/>
              <w:bottom w:val="single" w:sz="4" w:space="0" w:color="auto"/>
              <w:right w:val="single" w:sz="4" w:space="0" w:color="auto"/>
            </w:tcBorders>
            <w:shd w:val="clear" w:color="auto" w:fill="auto"/>
            <w:vAlign w:val="center"/>
            <w:hideMark/>
          </w:tcPr>
          <w:p w:rsidR="00700D1B" w:rsidRPr="006024DC" w:rsidP="00700D1B">
            <w:pPr>
              <w:jc w:val="right"/>
              <w:rPr>
                <w:rFonts w:cs="Arial"/>
                <w:color w:val="000000"/>
                <w:sz w:val="22"/>
                <w:szCs w:val="22"/>
              </w:rPr>
            </w:pPr>
            <w:r w:rsidRPr="006024DC">
              <w:rPr>
                <w:rFonts w:cs="Arial"/>
                <w:color w:val="FF0000"/>
                <w:sz w:val="22"/>
                <w:szCs w:val="22"/>
              </w:rPr>
              <w:t>(3</w:t>
            </w:r>
            <w:r>
              <w:rPr>
                <w:rFonts w:cs="Arial"/>
                <w:color w:val="FF0000"/>
                <w:sz w:val="22"/>
                <w:szCs w:val="22"/>
              </w:rPr>
              <w:t>77</w:t>
            </w:r>
            <w:r w:rsidRPr="006024DC">
              <w:rPr>
                <w:rFonts w:cs="Arial"/>
                <w:color w:val="FF0000"/>
                <w:sz w:val="22"/>
                <w:szCs w:val="22"/>
              </w:rPr>
              <w:t>.4)</w:t>
            </w:r>
          </w:p>
        </w:tc>
        <w:tc>
          <w:tcPr>
            <w:tcW w:w="10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00D1B" w:rsidRPr="006024DC" w:rsidP="00700D1B">
            <w:pPr>
              <w:jc w:val="right"/>
              <w:rPr>
                <w:rFonts w:cs="Arial"/>
                <w:color w:val="FF0000"/>
                <w:sz w:val="22"/>
                <w:szCs w:val="22"/>
              </w:rPr>
            </w:pPr>
            <w:r w:rsidRPr="006024DC">
              <w:rPr>
                <w:rFonts w:cs="Arial"/>
                <w:color w:val="FF0000"/>
                <w:sz w:val="22"/>
                <w:szCs w:val="22"/>
              </w:rPr>
              <w:t>-54%</w:t>
            </w:r>
          </w:p>
        </w:tc>
        <w:tc>
          <w:tcPr>
            <w:tcW w:w="700" w:type="dxa"/>
            <w:tcBorders>
              <w:top w:val="nil"/>
              <w:left w:val="nil"/>
              <w:bottom w:val="single" w:sz="4" w:space="0" w:color="auto"/>
              <w:right w:val="single" w:sz="4" w:space="0" w:color="auto"/>
            </w:tcBorders>
            <w:shd w:val="clear" w:color="auto" w:fill="auto"/>
            <w:vAlign w:val="center"/>
            <w:hideMark/>
          </w:tcPr>
          <w:p w:rsidR="00700D1B" w:rsidRPr="006024DC" w:rsidP="00700D1B">
            <w:pPr>
              <w:jc w:val="center"/>
              <w:rPr>
                <w:rFonts w:cs="Arial"/>
                <w:color w:val="000000"/>
                <w:sz w:val="22"/>
                <w:szCs w:val="22"/>
              </w:rPr>
            </w:pPr>
            <w:r w:rsidRPr="006024DC">
              <w:rPr>
                <w:rFonts w:cs="Arial"/>
                <w:color w:val="000000"/>
                <w:sz w:val="22"/>
                <w:szCs w:val="22"/>
              </w:rPr>
              <w:t>i</w:t>
            </w:r>
            <w:r w:rsidRPr="006024DC">
              <w:rPr>
                <w:rFonts w:cs="Arial"/>
                <w:color w:val="000000"/>
                <w:sz w:val="22"/>
                <w:szCs w:val="22"/>
              </w:rPr>
              <w:t>)</w:t>
            </w:r>
          </w:p>
        </w:tc>
      </w:tr>
      <w:tr w:rsidTr="00700D1B">
        <w:tblPrEx>
          <w:tblW w:w="10040" w:type="dxa"/>
          <w:tblLook w:val="04A0"/>
        </w:tblPrEx>
        <w:trPr>
          <w:trHeight w:val="570"/>
        </w:trPr>
        <w:tc>
          <w:tcPr>
            <w:tcW w:w="1000" w:type="dxa"/>
            <w:tcBorders>
              <w:top w:val="nil"/>
              <w:left w:val="single" w:sz="4" w:space="0" w:color="auto"/>
              <w:bottom w:val="single" w:sz="4" w:space="0" w:color="auto"/>
              <w:right w:val="single" w:sz="4" w:space="0" w:color="auto"/>
            </w:tcBorders>
            <w:shd w:val="clear" w:color="auto" w:fill="auto"/>
            <w:vAlign w:val="center"/>
            <w:hideMark/>
          </w:tcPr>
          <w:p w:rsidR="00700D1B" w:rsidRPr="006024DC" w:rsidP="00700D1B">
            <w:pPr>
              <w:jc w:val="center"/>
              <w:rPr>
                <w:rFonts w:cs="Arial"/>
                <w:color w:val="000000"/>
                <w:sz w:val="22"/>
                <w:szCs w:val="22"/>
              </w:rPr>
            </w:pPr>
            <w:r w:rsidRPr="006024DC">
              <w:rPr>
                <w:rFonts w:cs="Arial"/>
                <w:color w:val="000000"/>
                <w:sz w:val="22"/>
                <w:szCs w:val="22"/>
              </w:rPr>
              <w:t>N</w:t>
            </w:r>
          </w:p>
        </w:tc>
        <w:tc>
          <w:tcPr>
            <w:tcW w:w="3460" w:type="dxa"/>
            <w:tcBorders>
              <w:top w:val="single" w:sz="4" w:space="0" w:color="auto"/>
              <w:left w:val="nil"/>
              <w:bottom w:val="single" w:sz="4" w:space="0" w:color="auto"/>
              <w:right w:val="single" w:sz="4" w:space="0" w:color="auto"/>
            </w:tcBorders>
            <w:shd w:val="clear" w:color="auto" w:fill="auto"/>
            <w:vAlign w:val="center"/>
            <w:hideMark/>
          </w:tcPr>
          <w:p w:rsidR="00700D1B" w:rsidRPr="006024DC" w:rsidP="00700D1B">
            <w:pPr>
              <w:rPr>
                <w:rFonts w:cs="Arial"/>
                <w:color w:val="000000"/>
                <w:sz w:val="22"/>
                <w:szCs w:val="22"/>
              </w:rPr>
            </w:pPr>
            <w:r w:rsidRPr="006024DC">
              <w:rPr>
                <w:rFonts w:cs="Arial"/>
                <w:color w:val="000000"/>
                <w:sz w:val="22"/>
                <w:szCs w:val="22"/>
              </w:rPr>
              <w:t>Public Health England (Executive Agency)</w:t>
            </w:r>
          </w:p>
        </w:tc>
        <w:tc>
          <w:tcPr>
            <w:tcW w:w="1660" w:type="dxa"/>
            <w:tcBorders>
              <w:top w:val="nil"/>
              <w:left w:val="nil"/>
              <w:bottom w:val="single" w:sz="4" w:space="0" w:color="auto"/>
              <w:right w:val="single" w:sz="4" w:space="0" w:color="auto"/>
            </w:tcBorders>
            <w:shd w:val="clear" w:color="auto" w:fill="auto"/>
            <w:vAlign w:val="center"/>
            <w:hideMark/>
          </w:tcPr>
          <w:p w:rsidR="00700D1B" w:rsidRPr="006024DC" w:rsidP="00700D1B">
            <w:pPr>
              <w:jc w:val="right"/>
              <w:rPr>
                <w:rFonts w:cs="Arial"/>
                <w:color w:val="000000"/>
                <w:sz w:val="22"/>
                <w:szCs w:val="22"/>
              </w:rPr>
            </w:pPr>
            <w:r w:rsidRPr="006024DC">
              <w:rPr>
                <w:rFonts w:cs="Arial"/>
                <w:color w:val="000000"/>
                <w:sz w:val="22"/>
                <w:szCs w:val="22"/>
              </w:rPr>
              <w:t>5.0</w:t>
            </w:r>
          </w:p>
        </w:tc>
        <w:tc>
          <w:tcPr>
            <w:tcW w:w="1220" w:type="dxa"/>
            <w:tcBorders>
              <w:top w:val="nil"/>
              <w:left w:val="nil"/>
              <w:bottom w:val="single" w:sz="4" w:space="0" w:color="auto"/>
              <w:right w:val="single" w:sz="4" w:space="0" w:color="auto"/>
            </w:tcBorders>
            <w:shd w:val="clear" w:color="auto" w:fill="auto"/>
            <w:vAlign w:val="center"/>
            <w:hideMark/>
          </w:tcPr>
          <w:p w:rsidR="00700D1B" w:rsidRPr="006024DC" w:rsidP="00700D1B">
            <w:pPr>
              <w:jc w:val="right"/>
              <w:rPr>
                <w:rFonts w:cs="Arial"/>
                <w:color w:val="000000"/>
                <w:sz w:val="22"/>
                <w:szCs w:val="22"/>
              </w:rPr>
            </w:pPr>
            <w:r w:rsidRPr="006024DC">
              <w:rPr>
                <w:rFonts w:cs="Arial"/>
                <w:color w:val="000000"/>
                <w:sz w:val="22"/>
                <w:szCs w:val="22"/>
              </w:rPr>
              <w:t>5.0</w:t>
            </w:r>
          </w:p>
        </w:tc>
        <w:tc>
          <w:tcPr>
            <w:tcW w:w="1000" w:type="dxa"/>
            <w:tcBorders>
              <w:top w:val="nil"/>
              <w:left w:val="nil"/>
              <w:bottom w:val="single" w:sz="4" w:space="0" w:color="auto"/>
              <w:right w:val="single" w:sz="4" w:space="0" w:color="auto"/>
            </w:tcBorders>
            <w:shd w:val="clear" w:color="auto" w:fill="auto"/>
            <w:vAlign w:val="center"/>
            <w:hideMark/>
          </w:tcPr>
          <w:p w:rsidR="00700D1B" w:rsidRPr="006024DC" w:rsidP="00700D1B">
            <w:pPr>
              <w:jc w:val="right"/>
              <w:rPr>
                <w:rFonts w:cs="Arial"/>
                <w:color w:val="000000"/>
                <w:sz w:val="22"/>
                <w:szCs w:val="22"/>
              </w:rPr>
            </w:pPr>
            <w:r w:rsidRPr="006024DC">
              <w:rPr>
                <w:rFonts w:cs="Arial"/>
                <w:color w:val="000000"/>
                <w:sz w:val="22"/>
                <w:szCs w:val="22"/>
              </w:rPr>
              <w:t>0.0</w:t>
            </w:r>
          </w:p>
        </w:tc>
        <w:tc>
          <w:tcPr>
            <w:tcW w:w="1000" w:type="dxa"/>
            <w:tcBorders>
              <w:top w:val="nil"/>
              <w:left w:val="nil"/>
              <w:bottom w:val="single" w:sz="4" w:space="0" w:color="auto"/>
              <w:right w:val="single" w:sz="4" w:space="0" w:color="auto"/>
            </w:tcBorders>
            <w:shd w:val="clear" w:color="auto" w:fill="auto"/>
            <w:vAlign w:val="center"/>
            <w:hideMark/>
          </w:tcPr>
          <w:p w:rsidR="00700D1B" w:rsidRPr="006024DC" w:rsidP="00700D1B">
            <w:pPr>
              <w:jc w:val="right"/>
              <w:rPr>
                <w:rFonts w:cs="Arial"/>
                <w:color w:val="000000"/>
                <w:sz w:val="22"/>
                <w:szCs w:val="22"/>
              </w:rPr>
            </w:pPr>
            <w:r w:rsidRPr="006024DC">
              <w:rPr>
                <w:rFonts w:cs="Arial"/>
                <w:color w:val="000000"/>
                <w:sz w:val="22"/>
                <w:szCs w:val="22"/>
              </w:rPr>
              <w:t>0%</w:t>
            </w:r>
          </w:p>
        </w:tc>
        <w:tc>
          <w:tcPr>
            <w:tcW w:w="700" w:type="dxa"/>
            <w:tcBorders>
              <w:top w:val="nil"/>
              <w:left w:val="nil"/>
              <w:bottom w:val="single" w:sz="4" w:space="0" w:color="auto"/>
              <w:right w:val="single" w:sz="4" w:space="0" w:color="auto"/>
            </w:tcBorders>
            <w:shd w:val="clear" w:color="auto" w:fill="auto"/>
            <w:vAlign w:val="center"/>
            <w:hideMark/>
          </w:tcPr>
          <w:p w:rsidR="00700D1B" w:rsidRPr="006024DC" w:rsidP="00700D1B">
            <w:pPr>
              <w:jc w:val="center"/>
              <w:rPr>
                <w:rFonts w:cs="Arial"/>
                <w:color w:val="000000"/>
                <w:sz w:val="22"/>
                <w:szCs w:val="22"/>
              </w:rPr>
            </w:pPr>
            <w:r w:rsidRPr="006024DC">
              <w:rPr>
                <w:rFonts w:cs="Arial"/>
                <w:color w:val="000000"/>
                <w:sz w:val="22"/>
                <w:szCs w:val="22"/>
              </w:rPr>
              <w:t> </w:t>
            </w:r>
          </w:p>
        </w:tc>
      </w:tr>
      <w:tr w:rsidTr="00700D1B">
        <w:tblPrEx>
          <w:tblW w:w="10040" w:type="dxa"/>
          <w:tblLook w:val="04A0"/>
        </w:tblPrEx>
        <w:trPr>
          <w:trHeight w:val="285"/>
        </w:trPr>
        <w:tc>
          <w:tcPr>
            <w:tcW w:w="1000" w:type="dxa"/>
            <w:tcBorders>
              <w:top w:val="nil"/>
              <w:left w:val="single" w:sz="4" w:space="0" w:color="auto"/>
              <w:bottom w:val="single" w:sz="4" w:space="0" w:color="auto"/>
              <w:right w:val="single" w:sz="4" w:space="0" w:color="auto"/>
            </w:tcBorders>
            <w:shd w:val="clear" w:color="auto" w:fill="auto"/>
            <w:vAlign w:val="center"/>
            <w:hideMark/>
          </w:tcPr>
          <w:p w:rsidR="00700D1B" w:rsidRPr="006024DC" w:rsidP="00700D1B">
            <w:pPr>
              <w:jc w:val="center"/>
              <w:rPr>
                <w:rFonts w:cs="Arial"/>
                <w:color w:val="000000"/>
                <w:sz w:val="22"/>
                <w:szCs w:val="22"/>
              </w:rPr>
            </w:pPr>
            <w:r w:rsidRPr="006024DC">
              <w:rPr>
                <w:rFonts w:cs="Arial"/>
                <w:color w:val="000000"/>
                <w:sz w:val="22"/>
                <w:szCs w:val="22"/>
              </w:rPr>
              <w:t>O</w:t>
            </w:r>
          </w:p>
        </w:tc>
        <w:tc>
          <w:tcPr>
            <w:tcW w:w="3460" w:type="dxa"/>
            <w:tcBorders>
              <w:top w:val="nil"/>
              <w:left w:val="nil"/>
              <w:bottom w:val="single" w:sz="4" w:space="0" w:color="auto"/>
              <w:right w:val="single" w:sz="4" w:space="0" w:color="auto"/>
            </w:tcBorders>
            <w:shd w:val="clear" w:color="auto" w:fill="auto"/>
            <w:vAlign w:val="center"/>
            <w:hideMark/>
          </w:tcPr>
          <w:p w:rsidR="00700D1B" w:rsidRPr="006024DC" w:rsidP="00700D1B">
            <w:pPr>
              <w:rPr>
                <w:rFonts w:cs="Arial"/>
                <w:color w:val="000000"/>
                <w:sz w:val="22"/>
                <w:szCs w:val="22"/>
              </w:rPr>
            </w:pPr>
            <w:r w:rsidRPr="006024DC">
              <w:rPr>
                <w:rFonts w:cs="Arial"/>
                <w:color w:val="000000"/>
                <w:sz w:val="22"/>
                <w:szCs w:val="22"/>
              </w:rPr>
              <w:t>Health Education England</w:t>
            </w:r>
          </w:p>
        </w:tc>
        <w:tc>
          <w:tcPr>
            <w:tcW w:w="1660" w:type="dxa"/>
            <w:tcBorders>
              <w:top w:val="nil"/>
              <w:left w:val="nil"/>
              <w:bottom w:val="single" w:sz="4" w:space="0" w:color="auto"/>
              <w:right w:val="single" w:sz="4" w:space="0" w:color="auto"/>
            </w:tcBorders>
            <w:shd w:val="clear" w:color="auto" w:fill="auto"/>
            <w:vAlign w:val="center"/>
            <w:hideMark/>
          </w:tcPr>
          <w:p w:rsidR="00700D1B" w:rsidRPr="006024DC" w:rsidP="00700D1B">
            <w:pPr>
              <w:jc w:val="right"/>
              <w:rPr>
                <w:rFonts w:cs="Arial"/>
                <w:color w:val="000000"/>
                <w:sz w:val="22"/>
                <w:szCs w:val="22"/>
              </w:rPr>
            </w:pPr>
            <w:r w:rsidRPr="006024DC">
              <w:rPr>
                <w:rFonts w:cs="Arial"/>
                <w:color w:val="000000"/>
                <w:sz w:val="22"/>
                <w:szCs w:val="22"/>
              </w:rPr>
              <w:t>5.0</w:t>
            </w:r>
          </w:p>
        </w:tc>
        <w:tc>
          <w:tcPr>
            <w:tcW w:w="1220" w:type="dxa"/>
            <w:tcBorders>
              <w:top w:val="nil"/>
              <w:left w:val="nil"/>
              <w:bottom w:val="single" w:sz="4" w:space="0" w:color="auto"/>
              <w:right w:val="single" w:sz="4" w:space="0" w:color="auto"/>
            </w:tcBorders>
            <w:shd w:val="clear" w:color="auto" w:fill="auto"/>
            <w:vAlign w:val="center"/>
            <w:hideMark/>
          </w:tcPr>
          <w:p w:rsidR="00700D1B" w:rsidRPr="006024DC" w:rsidP="00700D1B">
            <w:pPr>
              <w:jc w:val="right"/>
              <w:rPr>
                <w:rFonts w:cs="Arial"/>
                <w:color w:val="000000"/>
                <w:sz w:val="22"/>
                <w:szCs w:val="22"/>
              </w:rPr>
            </w:pPr>
            <w:r w:rsidRPr="006024DC">
              <w:rPr>
                <w:rFonts w:cs="Arial"/>
                <w:color w:val="000000"/>
                <w:sz w:val="22"/>
                <w:szCs w:val="22"/>
              </w:rPr>
              <w:t>5.0</w:t>
            </w:r>
          </w:p>
        </w:tc>
        <w:tc>
          <w:tcPr>
            <w:tcW w:w="1000" w:type="dxa"/>
            <w:tcBorders>
              <w:top w:val="nil"/>
              <w:left w:val="nil"/>
              <w:bottom w:val="single" w:sz="4" w:space="0" w:color="auto"/>
              <w:right w:val="single" w:sz="4" w:space="0" w:color="auto"/>
            </w:tcBorders>
            <w:shd w:val="clear" w:color="auto" w:fill="auto"/>
            <w:vAlign w:val="center"/>
            <w:hideMark/>
          </w:tcPr>
          <w:p w:rsidR="00700D1B" w:rsidRPr="006024DC" w:rsidP="00700D1B">
            <w:pPr>
              <w:jc w:val="right"/>
              <w:rPr>
                <w:rFonts w:cs="Arial"/>
                <w:color w:val="000000"/>
                <w:sz w:val="22"/>
                <w:szCs w:val="22"/>
              </w:rPr>
            </w:pPr>
            <w:r w:rsidRPr="006024DC">
              <w:rPr>
                <w:rFonts w:cs="Arial"/>
                <w:color w:val="000000"/>
                <w:sz w:val="22"/>
                <w:szCs w:val="22"/>
              </w:rPr>
              <w:t>0.0</w:t>
            </w:r>
          </w:p>
        </w:tc>
        <w:tc>
          <w:tcPr>
            <w:tcW w:w="1000" w:type="dxa"/>
            <w:tcBorders>
              <w:top w:val="nil"/>
              <w:left w:val="nil"/>
              <w:bottom w:val="single" w:sz="4" w:space="0" w:color="auto"/>
              <w:right w:val="single" w:sz="4" w:space="0" w:color="auto"/>
            </w:tcBorders>
            <w:shd w:val="clear" w:color="auto" w:fill="auto"/>
            <w:vAlign w:val="center"/>
            <w:hideMark/>
          </w:tcPr>
          <w:p w:rsidR="00700D1B" w:rsidRPr="006024DC" w:rsidP="00700D1B">
            <w:pPr>
              <w:jc w:val="right"/>
              <w:rPr>
                <w:rFonts w:cs="Arial"/>
                <w:color w:val="000000"/>
                <w:sz w:val="22"/>
                <w:szCs w:val="22"/>
              </w:rPr>
            </w:pPr>
            <w:r w:rsidRPr="006024DC">
              <w:rPr>
                <w:rFonts w:cs="Arial"/>
                <w:color w:val="000000"/>
                <w:sz w:val="22"/>
                <w:szCs w:val="22"/>
              </w:rPr>
              <w:t>0%</w:t>
            </w:r>
          </w:p>
        </w:tc>
        <w:tc>
          <w:tcPr>
            <w:tcW w:w="700" w:type="dxa"/>
            <w:tcBorders>
              <w:top w:val="nil"/>
              <w:left w:val="nil"/>
              <w:bottom w:val="single" w:sz="4" w:space="0" w:color="auto"/>
              <w:right w:val="single" w:sz="4" w:space="0" w:color="auto"/>
            </w:tcBorders>
            <w:shd w:val="clear" w:color="auto" w:fill="auto"/>
            <w:vAlign w:val="center"/>
            <w:hideMark/>
          </w:tcPr>
          <w:p w:rsidR="00700D1B" w:rsidRPr="006024DC" w:rsidP="00700D1B">
            <w:pPr>
              <w:jc w:val="center"/>
              <w:rPr>
                <w:rFonts w:cs="Arial"/>
                <w:color w:val="000000"/>
                <w:sz w:val="22"/>
                <w:szCs w:val="22"/>
              </w:rPr>
            </w:pPr>
            <w:r w:rsidRPr="006024DC">
              <w:rPr>
                <w:rFonts w:cs="Arial"/>
                <w:color w:val="000000"/>
                <w:sz w:val="22"/>
                <w:szCs w:val="22"/>
              </w:rPr>
              <w:t> </w:t>
            </w:r>
          </w:p>
        </w:tc>
      </w:tr>
      <w:tr w:rsidTr="00700D1B">
        <w:tblPrEx>
          <w:tblW w:w="10040" w:type="dxa"/>
          <w:tblLook w:val="04A0"/>
        </w:tblPrEx>
        <w:trPr>
          <w:trHeight w:val="855"/>
        </w:trPr>
        <w:tc>
          <w:tcPr>
            <w:tcW w:w="1000" w:type="dxa"/>
            <w:tcBorders>
              <w:top w:val="nil"/>
              <w:left w:val="single" w:sz="4" w:space="0" w:color="auto"/>
              <w:bottom w:val="single" w:sz="4" w:space="0" w:color="auto"/>
              <w:right w:val="single" w:sz="4" w:space="0" w:color="auto"/>
            </w:tcBorders>
            <w:shd w:val="clear" w:color="auto" w:fill="auto"/>
            <w:vAlign w:val="center"/>
            <w:hideMark/>
          </w:tcPr>
          <w:p w:rsidR="00700D1B" w:rsidRPr="006024DC" w:rsidP="00700D1B">
            <w:pPr>
              <w:jc w:val="center"/>
              <w:rPr>
                <w:rFonts w:cs="Arial"/>
                <w:color w:val="000000"/>
                <w:sz w:val="22"/>
                <w:szCs w:val="22"/>
              </w:rPr>
            </w:pPr>
            <w:r w:rsidRPr="006024DC">
              <w:rPr>
                <w:rFonts w:cs="Arial"/>
                <w:color w:val="000000"/>
                <w:sz w:val="22"/>
                <w:szCs w:val="22"/>
              </w:rPr>
              <w:t>P, Q &amp; R</w:t>
            </w:r>
          </w:p>
        </w:tc>
        <w:tc>
          <w:tcPr>
            <w:tcW w:w="3460" w:type="dxa"/>
            <w:tcBorders>
              <w:top w:val="single" w:sz="4" w:space="0" w:color="auto"/>
              <w:left w:val="single" w:sz="4" w:space="0" w:color="auto"/>
              <w:bottom w:val="nil"/>
              <w:right w:val="single" w:sz="4" w:space="0" w:color="auto"/>
            </w:tcBorders>
            <w:shd w:val="clear" w:color="auto" w:fill="auto"/>
            <w:vAlign w:val="center"/>
            <w:hideMark/>
          </w:tcPr>
          <w:p w:rsidR="00700D1B" w:rsidRPr="006024DC" w:rsidP="00700D1B">
            <w:pPr>
              <w:rPr>
                <w:rFonts w:cs="Arial"/>
                <w:color w:val="000000"/>
                <w:sz w:val="22"/>
                <w:szCs w:val="22"/>
              </w:rPr>
            </w:pPr>
            <w:r w:rsidRPr="006024DC">
              <w:rPr>
                <w:rFonts w:cs="Arial"/>
                <w:color w:val="000000"/>
                <w:sz w:val="22"/>
                <w:szCs w:val="22"/>
              </w:rPr>
              <w:t>Special Health Authorities, NDPB's and ALB's and Other Bodies</w:t>
            </w:r>
          </w:p>
        </w:tc>
        <w:tc>
          <w:tcPr>
            <w:tcW w:w="1660" w:type="dxa"/>
            <w:tcBorders>
              <w:top w:val="nil"/>
              <w:left w:val="single" w:sz="4" w:space="0" w:color="auto"/>
              <w:bottom w:val="single" w:sz="4" w:space="0" w:color="auto"/>
              <w:right w:val="single" w:sz="4" w:space="0" w:color="auto"/>
            </w:tcBorders>
            <w:shd w:val="clear" w:color="auto" w:fill="auto"/>
            <w:vAlign w:val="center"/>
            <w:hideMark/>
          </w:tcPr>
          <w:p w:rsidR="00700D1B" w:rsidRPr="006024DC" w:rsidP="00700D1B">
            <w:pPr>
              <w:jc w:val="right"/>
              <w:rPr>
                <w:rFonts w:cs="Arial"/>
                <w:color w:val="000000"/>
                <w:sz w:val="22"/>
                <w:szCs w:val="22"/>
              </w:rPr>
            </w:pPr>
            <w:r w:rsidRPr="006024DC">
              <w:rPr>
                <w:rFonts w:cs="Arial"/>
                <w:color w:val="000000"/>
                <w:sz w:val="22"/>
                <w:szCs w:val="22"/>
              </w:rPr>
              <w:t>8,462.6</w:t>
            </w:r>
          </w:p>
        </w:tc>
        <w:tc>
          <w:tcPr>
            <w:tcW w:w="1220" w:type="dxa"/>
            <w:tcBorders>
              <w:top w:val="nil"/>
              <w:left w:val="nil"/>
              <w:bottom w:val="single" w:sz="4" w:space="0" w:color="auto"/>
              <w:right w:val="single" w:sz="4" w:space="0" w:color="auto"/>
            </w:tcBorders>
            <w:shd w:val="clear" w:color="auto" w:fill="auto"/>
            <w:vAlign w:val="center"/>
            <w:hideMark/>
          </w:tcPr>
          <w:p w:rsidR="00700D1B" w:rsidRPr="006024DC" w:rsidP="00700D1B">
            <w:pPr>
              <w:jc w:val="right"/>
              <w:rPr>
                <w:rFonts w:cs="Arial"/>
                <w:color w:val="000000"/>
                <w:sz w:val="22"/>
                <w:szCs w:val="22"/>
              </w:rPr>
            </w:pPr>
            <w:r w:rsidRPr="006024DC">
              <w:rPr>
                <w:rFonts w:cs="Arial"/>
                <w:color w:val="000000"/>
                <w:sz w:val="22"/>
                <w:szCs w:val="22"/>
              </w:rPr>
              <w:t>7,310.0</w:t>
            </w:r>
          </w:p>
        </w:tc>
        <w:tc>
          <w:tcPr>
            <w:tcW w:w="1000" w:type="dxa"/>
            <w:tcBorders>
              <w:top w:val="nil"/>
              <w:left w:val="nil"/>
              <w:bottom w:val="single" w:sz="4" w:space="0" w:color="auto"/>
              <w:right w:val="single" w:sz="4" w:space="0" w:color="auto"/>
            </w:tcBorders>
            <w:shd w:val="clear" w:color="auto" w:fill="auto"/>
            <w:vAlign w:val="center"/>
            <w:hideMark/>
          </w:tcPr>
          <w:p w:rsidR="00700D1B" w:rsidRPr="006024DC" w:rsidP="00700D1B">
            <w:pPr>
              <w:jc w:val="right"/>
              <w:rPr>
                <w:rFonts w:cs="Arial"/>
                <w:color w:val="000000"/>
                <w:sz w:val="22"/>
                <w:szCs w:val="22"/>
              </w:rPr>
            </w:pPr>
            <w:r w:rsidRPr="006024DC">
              <w:rPr>
                <w:rFonts w:cs="Arial"/>
                <w:color w:val="000000"/>
                <w:sz w:val="22"/>
                <w:szCs w:val="22"/>
              </w:rPr>
              <w:t>1,152.6</w:t>
            </w:r>
          </w:p>
        </w:tc>
        <w:tc>
          <w:tcPr>
            <w:tcW w:w="1000" w:type="dxa"/>
            <w:tcBorders>
              <w:top w:val="nil"/>
              <w:left w:val="nil"/>
              <w:bottom w:val="single" w:sz="4" w:space="0" w:color="auto"/>
              <w:right w:val="single" w:sz="4" w:space="0" w:color="auto"/>
            </w:tcBorders>
            <w:shd w:val="clear" w:color="auto" w:fill="auto"/>
            <w:vAlign w:val="center"/>
            <w:hideMark/>
          </w:tcPr>
          <w:p w:rsidR="00700D1B" w:rsidRPr="006024DC" w:rsidP="00700D1B">
            <w:pPr>
              <w:jc w:val="right"/>
              <w:rPr>
                <w:rFonts w:cs="Arial"/>
                <w:color w:val="000000"/>
                <w:sz w:val="22"/>
                <w:szCs w:val="22"/>
              </w:rPr>
            </w:pPr>
            <w:r w:rsidRPr="006024DC">
              <w:rPr>
                <w:rFonts w:cs="Arial"/>
                <w:color w:val="000000"/>
                <w:sz w:val="22"/>
                <w:szCs w:val="22"/>
              </w:rPr>
              <w:t>16%</w:t>
            </w:r>
          </w:p>
        </w:tc>
        <w:tc>
          <w:tcPr>
            <w:tcW w:w="700" w:type="dxa"/>
            <w:tcBorders>
              <w:top w:val="nil"/>
              <w:left w:val="nil"/>
              <w:bottom w:val="single" w:sz="4" w:space="0" w:color="auto"/>
              <w:right w:val="single" w:sz="4" w:space="0" w:color="auto"/>
            </w:tcBorders>
            <w:shd w:val="clear" w:color="auto" w:fill="auto"/>
            <w:vAlign w:val="center"/>
            <w:hideMark/>
          </w:tcPr>
          <w:p w:rsidR="00700D1B" w:rsidRPr="006024DC" w:rsidP="00700D1B">
            <w:pPr>
              <w:jc w:val="center"/>
              <w:rPr>
                <w:rFonts w:cs="Arial"/>
                <w:color w:val="000000"/>
                <w:sz w:val="22"/>
                <w:szCs w:val="22"/>
              </w:rPr>
            </w:pPr>
            <w:r w:rsidRPr="006024DC">
              <w:rPr>
                <w:rFonts w:cs="Arial"/>
                <w:color w:val="000000"/>
                <w:sz w:val="22"/>
                <w:szCs w:val="22"/>
              </w:rPr>
              <w:t>i</w:t>
            </w:r>
            <w:r w:rsidRPr="006024DC">
              <w:rPr>
                <w:rFonts w:cs="Arial"/>
                <w:color w:val="000000"/>
                <w:sz w:val="22"/>
                <w:szCs w:val="22"/>
              </w:rPr>
              <w:t>)</w:t>
            </w:r>
          </w:p>
        </w:tc>
      </w:tr>
      <w:tr w:rsidTr="00700D1B">
        <w:tblPrEx>
          <w:tblW w:w="10040" w:type="dxa"/>
          <w:tblLook w:val="04A0"/>
        </w:tblPrEx>
        <w:trPr>
          <w:trHeight w:val="300"/>
        </w:trPr>
        <w:tc>
          <w:tcPr>
            <w:tcW w:w="4460" w:type="dxa"/>
            <w:gridSpan w:val="2"/>
            <w:tcBorders>
              <w:top w:val="single" w:sz="4" w:space="0" w:color="auto"/>
              <w:left w:val="single" w:sz="4" w:space="0" w:color="auto"/>
              <w:bottom w:val="single" w:sz="4" w:space="0" w:color="auto"/>
              <w:right w:val="single" w:sz="4" w:space="0" w:color="000000"/>
            </w:tcBorders>
            <w:shd w:val="clear" w:color="000000" w:fill="B8CCE4"/>
            <w:vAlign w:val="bottom"/>
            <w:hideMark/>
          </w:tcPr>
          <w:p w:rsidR="00700D1B" w:rsidRPr="006024DC" w:rsidP="00700D1B">
            <w:pPr>
              <w:rPr>
                <w:rFonts w:cs="Arial"/>
                <w:b/>
                <w:bCs/>
                <w:color w:val="000000"/>
                <w:sz w:val="22"/>
                <w:szCs w:val="22"/>
              </w:rPr>
            </w:pPr>
            <w:r w:rsidRPr="006024DC">
              <w:rPr>
                <w:rFonts w:cs="Arial"/>
                <w:b/>
                <w:bCs/>
                <w:color w:val="000000"/>
                <w:sz w:val="22"/>
                <w:szCs w:val="22"/>
              </w:rPr>
              <w:t xml:space="preserve">TOTAL (Voted and </w:t>
            </w:r>
            <w:r w:rsidRPr="006024DC">
              <w:rPr>
                <w:rFonts w:cs="Arial"/>
                <w:b/>
                <w:bCs/>
                <w:color w:val="000000"/>
                <w:sz w:val="22"/>
                <w:szCs w:val="22"/>
              </w:rPr>
              <w:t>Non Voted</w:t>
            </w:r>
            <w:r w:rsidRPr="006024DC">
              <w:rPr>
                <w:rFonts w:cs="Arial"/>
                <w:b/>
                <w:bCs/>
                <w:color w:val="000000"/>
                <w:sz w:val="22"/>
                <w:szCs w:val="22"/>
              </w:rPr>
              <w:t>)</w:t>
            </w:r>
          </w:p>
        </w:tc>
        <w:tc>
          <w:tcPr>
            <w:tcW w:w="1660" w:type="dxa"/>
            <w:tcBorders>
              <w:top w:val="nil"/>
              <w:left w:val="nil"/>
              <w:bottom w:val="single" w:sz="4" w:space="0" w:color="auto"/>
              <w:right w:val="single" w:sz="4" w:space="0" w:color="auto"/>
            </w:tcBorders>
            <w:shd w:val="clear" w:color="000000" w:fill="B8CCE4"/>
            <w:vAlign w:val="bottom"/>
            <w:hideMark/>
          </w:tcPr>
          <w:p w:rsidR="00700D1B" w:rsidRPr="006024DC" w:rsidP="00700D1B">
            <w:pPr>
              <w:jc w:val="right"/>
              <w:rPr>
                <w:rFonts w:cs="Arial"/>
                <w:b/>
                <w:bCs/>
                <w:color w:val="000000"/>
                <w:sz w:val="22"/>
                <w:szCs w:val="22"/>
              </w:rPr>
            </w:pPr>
            <w:r w:rsidRPr="006024DC">
              <w:rPr>
                <w:rFonts w:cs="Arial"/>
                <w:b/>
                <w:bCs/>
                <w:color w:val="000000"/>
                <w:sz w:val="22"/>
                <w:szCs w:val="22"/>
              </w:rPr>
              <w:t>10,001.9</w:t>
            </w:r>
          </w:p>
        </w:tc>
        <w:tc>
          <w:tcPr>
            <w:tcW w:w="1220" w:type="dxa"/>
            <w:tcBorders>
              <w:top w:val="nil"/>
              <w:left w:val="nil"/>
              <w:bottom w:val="single" w:sz="4" w:space="0" w:color="auto"/>
              <w:right w:val="single" w:sz="4" w:space="0" w:color="auto"/>
            </w:tcBorders>
            <w:shd w:val="clear" w:color="000000" w:fill="B8CCE4"/>
            <w:vAlign w:val="bottom"/>
            <w:hideMark/>
          </w:tcPr>
          <w:p w:rsidR="00700D1B" w:rsidRPr="006024DC" w:rsidP="00700D1B">
            <w:pPr>
              <w:jc w:val="right"/>
              <w:rPr>
                <w:rFonts w:cs="Arial"/>
                <w:b/>
                <w:bCs/>
                <w:color w:val="000000"/>
                <w:sz w:val="22"/>
                <w:szCs w:val="22"/>
              </w:rPr>
            </w:pPr>
            <w:r w:rsidRPr="006024DC">
              <w:rPr>
                <w:rFonts w:cs="Arial"/>
                <w:b/>
                <w:bCs/>
                <w:color w:val="000000"/>
                <w:sz w:val="22"/>
                <w:szCs w:val="22"/>
              </w:rPr>
              <w:t>10,0</w:t>
            </w:r>
            <w:r>
              <w:rPr>
                <w:rFonts w:cs="Arial"/>
                <w:b/>
                <w:bCs/>
                <w:color w:val="000000"/>
                <w:sz w:val="22"/>
                <w:szCs w:val="22"/>
              </w:rPr>
              <w:t>01</w:t>
            </w:r>
            <w:r w:rsidRPr="006024DC">
              <w:rPr>
                <w:rFonts w:cs="Arial"/>
                <w:b/>
                <w:bCs/>
                <w:color w:val="000000"/>
                <w:sz w:val="22"/>
                <w:szCs w:val="22"/>
              </w:rPr>
              <w:t>.9</w:t>
            </w:r>
          </w:p>
        </w:tc>
        <w:tc>
          <w:tcPr>
            <w:tcW w:w="1000" w:type="dxa"/>
            <w:tcBorders>
              <w:top w:val="nil"/>
              <w:left w:val="nil"/>
              <w:bottom w:val="single" w:sz="4" w:space="0" w:color="auto"/>
              <w:right w:val="single" w:sz="4" w:space="0" w:color="auto"/>
            </w:tcBorders>
            <w:shd w:val="clear" w:color="000000" w:fill="B8CCE4"/>
            <w:vAlign w:val="center"/>
            <w:hideMark/>
          </w:tcPr>
          <w:p w:rsidR="00700D1B" w:rsidRPr="006024DC" w:rsidP="00700D1B">
            <w:pPr>
              <w:jc w:val="right"/>
              <w:rPr>
                <w:rFonts w:cs="Arial"/>
                <w:b/>
                <w:bCs/>
                <w:color w:val="000000"/>
                <w:sz w:val="22"/>
                <w:szCs w:val="22"/>
              </w:rPr>
            </w:pPr>
            <w:r w:rsidRPr="004C1A7D">
              <w:rPr>
                <w:rFonts w:cs="Arial"/>
                <w:b/>
                <w:bCs/>
                <w:sz w:val="22"/>
                <w:szCs w:val="22"/>
              </w:rPr>
              <w:t>0.0</w:t>
            </w:r>
          </w:p>
        </w:tc>
        <w:tc>
          <w:tcPr>
            <w:tcW w:w="1000" w:type="dxa"/>
            <w:tcBorders>
              <w:top w:val="single" w:sz="4" w:space="0" w:color="auto"/>
              <w:left w:val="single" w:sz="4" w:space="0" w:color="auto"/>
              <w:bottom w:val="single" w:sz="4" w:space="0" w:color="auto"/>
              <w:right w:val="single" w:sz="4" w:space="0" w:color="auto"/>
            </w:tcBorders>
            <w:shd w:val="clear" w:color="000000" w:fill="B8CCE4"/>
            <w:vAlign w:val="center"/>
            <w:hideMark/>
          </w:tcPr>
          <w:p w:rsidR="00700D1B" w:rsidRPr="006024DC" w:rsidP="00700D1B">
            <w:pPr>
              <w:jc w:val="right"/>
              <w:rPr>
                <w:rFonts w:cs="Arial"/>
                <w:b/>
                <w:bCs/>
                <w:color w:val="FF0000"/>
                <w:sz w:val="22"/>
                <w:szCs w:val="22"/>
              </w:rPr>
            </w:pPr>
            <w:r w:rsidRPr="006024DC">
              <w:rPr>
                <w:rFonts w:cs="Arial"/>
                <w:b/>
                <w:bCs/>
                <w:color w:val="FF0000"/>
                <w:sz w:val="22"/>
                <w:szCs w:val="22"/>
              </w:rPr>
              <w:t>0%</w:t>
            </w:r>
          </w:p>
        </w:tc>
        <w:tc>
          <w:tcPr>
            <w:tcW w:w="700" w:type="dxa"/>
            <w:tcBorders>
              <w:top w:val="nil"/>
              <w:left w:val="nil"/>
              <w:bottom w:val="single" w:sz="4" w:space="0" w:color="auto"/>
              <w:right w:val="single" w:sz="4" w:space="0" w:color="auto"/>
            </w:tcBorders>
            <w:shd w:val="clear" w:color="000000" w:fill="B8CCE4"/>
            <w:vAlign w:val="bottom"/>
            <w:hideMark/>
          </w:tcPr>
          <w:p w:rsidR="00700D1B" w:rsidRPr="006024DC" w:rsidP="00700D1B">
            <w:pPr>
              <w:jc w:val="center"/>
              <w:rPr>
                <w:rFonts w:cs="Arial"/>
                <w:b/>
                <w:bCs/>
                <w:color w:val="000000"/>
                <w:sz w:val="22"/>
                <w:szCs w:val="22"/>
              </w:rPr>
            </w:pPr>
            <w:r w:rsidRPr="006024DC">
              <w:rPr>
                <w:rFonts w:cs="Arial"/>
                <w:b/>
                <w:bCs/>
                <w:color w:val="000000"/>
                <w:sz w:val="22"/>
                <w:szCs w:val="22"/>
              </w:rPr>
              <w:t> </w:t>
            </w:r>
          </w:p>
        </w:tc>
      </w:tr>
    </w:tbl>
    <w:p w:rsidR="00700D1B" w:rsidRPr="00565172" w:rsidP="00700D1B">
      <w:pPr>
        <w:ind w:left="567"/>
        <w:jc w:val="both"/>
        <w:rPr>
          <w:rFonts w:eastAsiaTheme="minorHAnsi" w:cs="Arial"/>
          <w:sz w:val="22"/>
          <w:szCs w:val="22"/>
          <w:lang w:eastAsia="en-US"/>
        </w:rPr>
      </w:pPr>
    </w:p>
    <w:p w:rsidR="00700D1B" w:rsidRPr="00565172" w:rsidP="00700D1B">
      <w:pPr>
        <w:ind w:left="567"/>
        <w:jc w:val="both"/>
        <w:rPr>
          <w:rFonts w:eastAsiaTheme="minorHAnsi" w:cs="Arial"/>
          <w:sz w:val="22"/>
          <w:szCs w:val="22"/>
          <w:lang w:eastAsia="en-US"/>
        </w:rPr>
      </w:pPr>
    </w:p>
    <w:p w:rsidR="00700D1B" w:rsidRPr="00FF061A" w:rsidP="00700D1B">
      <w:pPr>
        <w:numPr>
          <w:ilvl w:val="0"/>
          <w:numId w:val="9"/>
        </w:numPr>
        <w:spacing w:after="200"/>
        <w:contextualSpacing/>
        <w:jc w:val="both"/>
        <w:rPr>
          <w:rFonts w:eastAsia="Calibri" w:cs="Arial"/>
          <w:sz w:val="22"/>
          <w:szCs w:val="22"/>
        </w:rPr>
      </w:pPr>
      <w:r w:rsidRPr="00FF061A">
        <w:rPr>
          <w:rFonts w:eastAsia="Calibri" w:cs="Arial"/>
          <w:sz w:val="22"/>
          <w:szCs w:val="22"/>
        </w:rPr>
        <w:t xml:space="preserve">The changes between the years reflect the </w:t>
      </w:r>
      <w:r w:rsidRPr="006651A1">
        <w:rPr>
          <w:rFonts w:eastAsia="Calibri" w:cs="Arial"/>
          <w:sz w:val="22"/>
          <w:szCs w:val="22"/>
        </w:rPr>
        <w:t>fact AME is demand</w:t>
      </w:r>
      <w:r w:rsidRPr="00FF061A">
        <w:rPr>
          <w:rFonts w:eastAsia="Calibri" w:cs="Arial"/>
          <w:sz w:val="22"/>
          <w:szCs w:val="22"/>
        </w:rPr>
        <w:t xml:space="preserve"> led and the 2020-21 £10 billion reflects our best estimate of provisions and impairments expenditure for the DHSC group</w:t>
      </w:r>
      <w:r>
        <w:rPr>
          <w:rFonts w:eastAsia="Calibri" w:cs="Arial"/>
          <w:sz w:val="22"/>
          <w:szCs w:val="22"/>
        </w:rPr>
        <w:t>, funding has been redistributed since Main Estimate</w:t>
      </w:r>
      <w:r w:rsidRPr="00FF061A">
        <w:rPr>
          <w:rFonts w:eastAsia="Calibri" w:cs="Arial"/>
          <w:sz w:val="22"/>
          <w:szCs w:val="22"/>
        </w:rPr>
        <w:t>.</w:t>
      </w:r>
    </w:p>
    <w:p w:rsidR="00700D1B" w:rsidRPr="00565172" w:rsidP="00700D1B">
      <w:pPr>
        <w:jc w:val="both"/>
        <w:rPr>
          <w:rFonts w:eastAsia="Calibri" w:cs="Arial"/>
          <w:sz w:val="22"/>
          <w:szCs w:val="22"/>
          <w:u w:val="single"/>
        </w:rPr>
      </w:pPr>
    </w:p>
    <w:p w:rsidR="00700D1B" w:rsidP="00700D1B">
      <w:pPr>
        <w:rPr>
          <w:rFonts w:eastAsia="Calibri" w:cs="Arial"/>
          <w:b/>
          <w:sz w:val="22"/>
          <w:szCs w:val="22"/>
        </w:rPr>
      </w:pPr>
      <w:r>
        <w:rPr>
          <w:rFonts w:eastAsia="Calibri" w:cs="Arial"/>
          <w:b/>
          <w:sz w:val="22"/>
          <w:szCs w:val="22"/>
        </w:rPr>
        <w:br w:type="page"/>
      </w:r>
    </w:p>
    <w:p w:rsidR="00700D1B" w:rsidRPr="00565172" w:rsidP="00700D1B">
      <w:pPr>
        <w:numPr>
          <w:ilvl w:val="1"/>
          <w:numId w:val="8"/>
        </w:numPr>
        <w:spacing w:after="120" w:line="276" w:lineRule="auto"/>
        <w:ind w:left="567" w:hanging="567"/>
        <w:jc w:val="both"/>
        <w:rPr>
          <w:rFonts w:eastAsia="Calibri" w:cs="Arial"/>
          <w:b/>
          <w:sz w:val="22"/>
          <w:szCs w:val="22"/>
        </w:rPr>
      </w:pPr>
      <w:r w:rsidRPr="00565172">
        <w:rPr>
          <w:rFonts w:eastAsia="Calibri" w:cs="Arial"/>
          <w:b/>
          <w:sz w:val="22"/>
          <w:szCs w:val="22"/>
        </w:rPr>
        <w:t xml:space="preserve">Ring Fenced Budgets </w:t>
      </w:r>
    </w:p>
    <w:p w:rsidR="00700D1B" w:rsidRPr="00565172" w:rsidP="00700D1B">
      <w:pPr>
        <w:ind w:left="567"/>
        <w:jc w:val="both"/>
        <w:rPr>
          <w:rFonts w:eastAsia="Calibri" w:cs="Arial"/>
          <w:sz w:val="22"/>
          <w:szCs w:val="22"/>
        </w:rPr>
      </w:pPr>
      <w:r w:rsidRPr="00565172">
        <w:rPr>
          <w:rFonts w:eastAsia="Calibri" w:cs="Arial"/>
          <w:sz w:val="22"/>
          <w:szCs w:val="22"/>
        </w:rPr>
        <w:t>Within the totals, the Official Development Assistance (ODA) and following elements are ring fenced i.e. savings in these budgets may not be used to fund pressures on other budgets.</w:t>
      </w:r>
    </w:p>
    <w:p w:rsidR="00700D1B" w:rsidP="00700D1B">
      <w:pPr>
        <w:ind w:left="567"/>
        <w:jc w:val="both"/>
        <w:rPr>
          <w:rFonts w:eastAsia="Calibri" w:cs="Arial"/>
          <w:sz w:val="22"/>
          <w:szCs w:val="22"/>
        </w:rPr>
      </w:pPr>
    </w:p>
    <w:tbl>
      <w:tblPr>
        <w:tblW w:w="10580" w:type="dxa"/>
        <w:tblLook w:val="04A0"/>
      </w:tblPr>
      <w:tblGrid>
        <w:gridCol w:w="1271"/>
        <w:gridCol w:w="1985"/>
        <w:gridCol w:w="1559"/>
        <w:gridCol w:w="1134"/>
        <w:gridCol w:w="1111"/>
        <w:gridCol w:w="1320"/>
        <w:gridCol w:w="1157"/>
        <w:gridCol w:w="1043"/>
      </w:tblGrid>
      <w:tr w:rsidTr="00700D1B">
        <w:tblPrEx>
          <w:tblW w:w="10580" w:type="dxa"/>
          <w:tblLook w:val="04A0"/>
        </w:tblPrEx>
        <w:trPr>
          <w:trHeight w:val="1200"/>
        </w:trPr>
        <w:tc>
          <w:tcPr>
            <w:tcW w:w="1271" w:type="dxa"/>
            <w:vMerge w:val="restart"/>
            <w:tcBorders>
              <w:top w:val="single" w:sz="4" w:space="0" w:color="auto"/>
              <w:left w:val="single" w:sz="4" w:space="0" w:color="auto"/>
              <w:bottom w:val="single" w:sz="4" w:space="0" w:color="000000"/>
              <w:right w:val="single" w:sz="4" w:space="0" w:color="auto"/>
            </w:tcBorders>
            <w:shd w:val="clear" w:color="000000" w:fill="16365C"/>
            <w:noWrap/>
            <w:vAlign w:val="center"/>
            <w:hideMark/>
          </w:tcPr>
          <w:p w:rsidR="00700D1B" w:rsidRPr="002170D3" w:rsidP="00700D1B">
            <w:pPr>
              <w:rPr>
                <w:rFonts w:cs="Arial"/>
                <w:b/>
                <w:bCs/>
                <w:color w:val="FFFFFF"/>
                <w:sz w:val="22"/>
                <w:szCs w:val="22"/>
              </w:rPr>
            </w:pPr>
            <w:r w:rsidRPr="002170D3">
              <w:rPr>
                <w:rFonts w:cs="Arial"/>
                <w:b/>
                <w:bCs/>
                <w:color w:val="FFFFFF"/>
                <w:sz w:val="22"/>
                <w:szCs w:val="22"/>
              </w:rPr>
              <w:t> </w:t>
            </w:r>
          </w:p>
        </w:tc>
        <w:tc>
          <w:tcPr>
            <w:tcW w:w="1985" w:type="dxa"/>
            <w:tcBorders>
              <w:top w:val="single" w:sz="4" w:space="0" w:color="auto"/>
              <w:left w:val="single" w:sz="4" w:space="0" w:color="auto"/>
              <w:bottom w:val="single" w:sz="4" w:space="0" w:color="auto"/>
              <w:right w:val="single" w:sz="4" w:space="0" w:color="auto"/>
            </w:tcBorders>
            <w:shd w:val="clear" w:color="000000" w:fill="16365C"/>
            <w:vAlign w:val="center"/>
            <w:hideMark/>
          </w:tcPr>
          <w:p w:rsidR="00700D1B" w:rsidRPr="002170D3" w:rsidP="00700D1B">
            <w:pPr>
              <w:jc w:val="center"/>
              <w:rPr>
                <w:rFonts w:cs="Arial"/>
                <w:b/>
                <w:bCs/>
                <w:color w:val="FFFFFF"/>
                <w:sz w:val="22"/>
                <w:szCs w:val="22"/>
              </w:rPr>
            </w:pPr>
            <w:r w:rsidRPr="002170D3">
              <w:rPr>
                <w:rFonts w:cs="Arial"/>
                <w:b/>
                <w:bCs/>
                <w:color w:val="FFFFFF"/>
                <w:sz w:val="22"/>
                <w:szCs w:val="22"/>
              </w:rPr>
              <w:t xml:space="preserve">2020-21 </w:t>
            </w:r>
            <w:r>
              <w:rPr>
                <w:rFonts w:cs="Arial"/>
                <w:b/>
                <w:bCs/>
                <w:color w:val="FFFFFF"/>
                <w:sz w:val="22"/>
                <w:szCs w:val="22"/>
              </w:rPr>
              <w:br/>
            </w:r>
            <w:r w:rsidRPr="002170D3">
              <w:rPr>
                <w:rFonts w:cs="Arial"/>
                <w:b/>
                <w:bCs/>
                <w:color w:val="FFFFFF"/>
                <w:sz w:val="22"/>
                <w:szCs w:val="22"/>
              </w:rPr>
              <w:t>Supplementary Estimate</w:t>
            </w:r>
          </w:p>
        </w:tc>
        <w:tc>
          <w:tcPr>
            <w:tcW w:w="1559" w:type="dxa"/>
            <w:tcBorders>
              <w:top w:val="single" w:sz="4" w:space="0" w:color="auto"/>
              <w:left w:val="nil"/>
              <w:bottom w:val="single" w:sz="4" w:space="0" w:color="auto"/>
              <w:right w:val="single" w:sz="4" w:space="0" w:color="auto"/>
            </w:tcBorders>
            <w:shd w:val="clear" w:color="000000" w:fill="16365C"/>
            <w:vAlign w:val="center"/>
            <w:hideMark/>
          </w:tcPr>
          <w:p w:rsidR="00700D1B" w:rsidRPr="002170D3" w:rsidP="00700D1B">
            <w:pPr>
              <w:jc w:val="center"/>
              <w:rPr>
                <w:rFonts w:cs="Arial"/>
                <w:b/>
                <w:bCs/>
                <w:color w:val="FFFFFF"/>
                <w:sz w:val="22"/>
                <w:szCs w:val="22"/>
              </w:rPr>
            </w:pPr>
            <w:r w:rsidRPr="002170D3">
              <w:rPr>
                <w:rFonts w:cs="Arial"/>
                <w:b/>
                <w:bCs/>
                <w:color w:val="FFFFFF"/>
                <w:sz w:val="22"/>
                <w:szCs w:val="22"/>
              </w:rPr>
              <w:t>2020-21 Main Estimate</w:t>
            </w:r>
          </w:p>
        </w:tc>
        <w:tc>
          <w:tcPr>
            <w:tcW w:w="2245" w:type="dxa"/>
            <w:gridSpan w:val="2"/>
            <w:tcBorders>
              <w:top w:val="single" w:sz="4" w:space="0" w:color="auto"/>
              <w:left w:val="nil"/>
              <w:bottom w:val="single" w:sz="4" w:space="0" w:color="auto"/>
              <w:right w:val="single" w:sz="4" w:space="0" w:color="auto"/>
            </w:tcBorders>
            <w:shd w:val="clear" w:color="000000" w:fill="16365C"/>
            <w:vAlign w:val="center"/>
            <w:hideMark/>
          </w:tcPr>
          <w:p w:rsidR="00700D1B" w:rsidRPr="002170D3" w:rsidP="00700D1B">
            <w:pPr>
              <w:jc w:val="center"/>
              <w:rPr>
                <w:rFonts w:cs="Arial"/>
                <w:b/>
                <w:bCs/>
                <w:i/>
                <w:iCs/>
                <w:color w:val="FFFFFF"/>
                <w:sz w:val="22"/>
                <w:szCs w:val="22"/>
              </w:rPr>
            </w:pPr>
            <w:r w:rsidRPr="002170D3">
              <w:rPr>
                <w:rFonts w:cs="Arial"/>
                <w:b/>
                <w:bCs/>
                <w:i/>
                <w:iCs/>
                <w:color w:val="FFFFFF"/>
                <w:sz w:val="22"/>
                <w:szCs w:val="22"/>
              </w:rPr>
              <w:t xml:space="preserve">Variance to </w:t>
            </w:r>
            <w:r w:rsidRPr="002170D3">
              <w:rPr>
                <w:rFonts w:cs="Arial"/>
                <w:b/>
                <w:bCs/>
                <w:i/>
                <w:iCs/>
                <w:color w:val="FFFFFF"/>
                <w:sz w:val="22"/>
                <w:szCs w:val="22"/>
              </w:rPr>
              <w:br/>
              <w:t>2020-21 Main Estimate</w:t>
            </w:r>
          </w:p>
        </w:tc>
        <w:tc>
          <w:tcPr>
            <w:tcW w:w="1320" w:type="dxa"/>
            <w:tcBorders>
              <w:top w:val="single" w:sz="4" w:space="0" w:color="auto"/>
              <w:left w:val="nil"/>
              <w:bottom w:val="single" w:sz="4" w:space="0" w:color="auto"/>
              <w:right w:val="single" w:sz="4" w:space="0" w:color="auto"/>
            </w:tcBorders>
            <w:shd w:val="clear" w:color="000000" w:fill="16365C"/>
            <w:vAlign w:val="center"/>
            <w:hideMark/>
          </w:tcPr>
          <w:p w:rsidR="00700D1B" w:rsidRPr="002170D3" w:rsidP="00700D1B">
            <w:pPr>
              <w:jc w:val="center"/>
              <w:rPr>
                <w:rFonts w:cs="Arial"/>
                <w:b/>
                <w:bCs/>
                <w:color w:val="FFFFFF"/>
                <w:sz w:val="22"/>
                <w:szCs w:val="22"/>
              </w:rPr>
            </w:pPr>
            <w:r w:rsidRPr="002170D3">
              <w:rPr>
                <w:rFonts w:cs="Arial"/>
                <w:b/>
                <w:bCs/>
                <w:color w:val="FFFFFF"/>
                <w:sz w:val="22"/>
                <w:szCs w:val="22"/>
              </w:rPr>
              <w:t>2019-20 Outturn</w:t>
            </w:r>
          </w:p>
        </w:tc>
        <w:tc>
          <w:tcPr>
            <w:tcW w:w="2200" w:type="dxa"/>
            <w:gridSpan w:val="2"/>
            <w:tcBorders>
              <w:top w:val="single" w:sz="4" w:space="0" w:color="auto"/>
              <w:left w:val="nil"/>
              <w:bottom w:val="single" w:sz="4" w:space="0" w:color="auto"/>
              <w:right w:val="single" w:sz="4" w:space="0" w:color="auto"/>
            </w:tcBorders>
            <w:shd w:val="clear" w:color="000000" w:fill="16365C"/>
            <w:vAlign w:val="center"/>
            <w:hideMark/>
          </w:tcPr>
          <w:p w:rsidR="00700D1B" w:rsidRPr="002170D3" w:rsidP="00700D1B">
            <w:pPr>
              <w:jc w:val="center"/>
              <w:rPr>
                <w:rFonts w:cs="Arial"/>
                <w:b/>
                <w:bCs/>
                <w:i/>
                <w:iCs/>
                <w:color w:val="FFFFFF"/>
                <w:sz w:val="22"/>
                <w:szCs w:val="22"/>
              </w:rPr>
            </w:pPr>
            <w:r w:rsidRPr="002170D3">
              <w:rPr>
                <w:rFonts w:cs="Arial"/>
                <w:b/>
                <w:bCs/>
                <w:i/>
                <w:iCs/>
                <w:color w:val="FFFFFF"/>
                <w:sz w:val="22"/>
                <w:szCs w:val="22"/>
              </w:rPr>
              <w:t xml:space="preserve">Variance to </w:t>
            </w:r>
            <w:r w:rsidRPr="002170D3">
              <w:rPr>
                <w:rFonts w:cs="Arial"/>
                <w:b/>
                <w:bCs/>
                <w:i/>
                <w:iCs/>
                <w:color w:val="FFFFFF"/>
                <w:sz w:val="22"/>
                <w:szCs w:val="22"/>
              </w:rPr>
              <w:br/>
              <w:t>2019-20 Outturn</w:t>
            </w:r>
          </w:p>
        </w:tc>
      </w:tr>
      <w:tr w:rsidTr="00700D1B">
        <w:tblPrEx>
          <w:tblW w:w="10580" w:type="dxa"/>
          <w:tblLook w:val="04A0"/>
        </w:tblPrEx>
        <w:trPr>
          <w:trHeight w:val="300"/>
        </w:trPr>
        <w:tc>
          <w:tcPr>
            <w:tcW w:w="1271" w:type="dxa"/>
            <w:vMerge/>
            <w:tcBorders>
              <w:top w:val="single" w:sz="4" w:space="0" w:color="auto"/>
              <w:left w:val="single" w:sz="4" w:space="0" w:color="auto"/>
              <w:bottom w:val="single" w:sz="4" w:space="0" w:color="000000"/>
              <w:right w:val="single" w:sz="4" w:space="0" w:color="auto"/>
            </w:tcBorders>
            <w:vAlign w:val="center"/>
            <w:hideMark/>
          </w:tcPr>
          <w:p w:rsidR="00700D1B" w:rsidRPr="002170D3" w:rsidP="00700D1B">
            <w:pPr>
              <w:rPr>
                <w:rFonts w:cs="Arial"/>
                <w:b/>
                <w:bCs/>
                <w:color w:val="FFFFFF"/>
                <w:sz w:val="22"/>
                <w:szCs w:val="22"/>
              </w:rPr>
            </w:pPr>
          </w:p>
        </w:tc>
        <w:tc>
          <w:tcPr>
            <w:tcW w:w="1985" w:type="dxa"/>
            <w:tcBorders>
              <w:top w:val="nil"/>
              <w:left w:val="single" w:sz="4" w:space="0" w:color="auto"/>
              <w:bottom w:val="single" w:sz="4" w:space="0" w:color="auto"/>
              <w:right w:val="single" w:sz="4" w:space="0" w:color="auto"/>
            </w:tcBorders>
            <w:shd w:val="clear" w:color="000000" w:fill="16365C"/>
            <w:noWrap/>
            <w:vAlign w:val="bottom"/>
            <w:hideMark/>
          </w:tcPr>
          <w:p w:rsidR="00700D1B" w:rsidRPr="002170D3" w:rsidP="00700D1B">
            <w:pPr>
              <w:jc w:val="right"/>
              <w:rPr>
                <w:rFonts w:cs="Arial"/>
                <w:b/>
                <w:bCs/>
                <w:color w:val="FFFFFF"/>
                <w:sz w:val="22"/>
                <w:szCs w:val="22"/>
              </w:rPr>
            </w:pPr>
            <w:r w:rsidRPr="002170D3">
              <w:rPr>
                <w:rFonts w:cs="Arial"/>
                <w:b/>
                <w:bCs/>
                <w:color w:val="FFFFFF"/>
                <w:sz w:val="22"/>
                <w:szCs w:val="22"/>
              </w:rPr>
              <w:t>£m</w:t>
            </w:r>
          </w:p>
        </w:tc>
        <w:tc>
          <w:tcPr>
            <w:tcW w:w="1559" w:type="dxa"/>
            <w:tcBorders>
              <w:top w:val="nil"/>
              <w:left w:val="nil"/>
              <w:bottom w:val="single" w:sz="4" w:space="0" w:color="auto"/>
              <w:right w:val="single" w:sz="4" w:space="0" w:color="auto"/>
            </w:tcBorders>
            <w:shd w:val="clear" w:color="000000" w:fill="16365C"/>
            <w:noWrap/>
            <w:vAlign w:val="bottom"/>
            <w:hideMark/>
          </w:tcPr>
          <w:p w:rsidR="00700D1B" w:rsidRPr="002170D3" w:rsidP="00700D1B">
            <w:pPr>
              <w:jc w:val="right"/>
              <w:rPr>
                <w:rFonts w:cs="Arial"/>
                <w:b/>
                <w:bCs/>
                <w:color w:val="FFFFFF"/>
                <w:sz w:val="22"/>
                <w:szCs w:val="22"/>
              </w:rPr>
            </w:pPr>
            <w:r w:rsidRPr="002170D3">
              <w:rPr>
                <w:rFonts w:cs="Arial"/>
                <w:b/>
                <w:bCs/>
                <w:color w:val="FFFFFF"/>
                <w:sz w:val="22"/>
                <w:szCs w:val="22"/>
              </w:rPr>
              <w:t>£m</w:t>
            </w:r>
          </w:p>
        </w:tc>
        <w:tc>
          <w:tcPr>
            <w:tcW w:w="1134" w:type="dxa"/>
            <w:tcBorders>
              <w:top w:val="nil"/>
              <w:left w:val="nil"/>
              <w:bottom w:val="single" w:sz="4" w:space="0" w:color="auto"/>
              <w:right w:val="single" w:sz="4" w:space="0" w:color="auto"/>
            </w:tcBorders>
            <w:shd w:val="clear" w:color="000000" w:fill="16365C"/>
            <w:noWrap/>
            <w:vAlign w:val="bottom"/>
            <w:hideMark/>
          </w:tcPr>
          <w:p w:rsidR="00700D1B" w:rsidRPr="002170D3" w:rsidP="00700D1B">
            <w:pPr>
              <w:jc w:val="right"/>
              <w:rPr>
                <w:rFonts w:cs="Arial"/>
                <w:b/>
                <w:bCs/>
                <w:i/>
                <w:iCs/>
                <w:color w:val="FFFFFF"/>
                <w:sz w:val="22"/>
                <w:szCs w:val="22"/>
              </w:rPr>
            </w:pPr>
            <w:r w:rsidRPr="002170D3">
              <w:rPr>
                <w:rFonts w:cs="Arial"/>
                <w:b/>
                <w:bCs/>
                <w:i/>
                <w:iCs/>
                <w:color w:val="FFFFFF"/>
                <w:sz w:val="22"/>
                <w:szCs w:val="22"/>
              </w:rPr>
              <w:t>£m</w:t>
            </w:r>
          </w:p>
        </w:tc>
        <w:tc>
          <w:tcPr>
            <w:tcW w:w="1111" w:type="dxa"/>
            <w:tcBorders>
              <w:top w:val="nil"/>
              <w:left w:val="nil"/>
              <w:bottom w:val="single" w:sz="4" w:space="0" w:color="auto"/>
              <w:right w:val="single" w:sz="4" w:space="0" w:color="auto"/>
            </w:tcBorders>
            <w:shd w:val="clear" w:color="000000" w:fill="16365C"/>
            <w:noWrap/>
            <w:vAlign w:val="bottom"/>
            <w:hideMark/>
          </w:tcPr>
          <w:p w:rsidR="00700D1B" w:rsidRPr="002170D3" w:rsidP="00700D1B">
            <w:pPr>
              <w:jc w:val="right"/>
              <w:rPr>
                <w:rFonts w:cs="Arial"/>
                <w:b/>
                <w:bCs/>
                <w:i/>
                <w:iCs/>
                <w:color w:val="FFFFFF"/>
                <w:sz w:val="22"/>
                <w:szCs w:val="22"/>
              </w:rPr>
            </w:pPr>
            <w:r w:rsidRPr="002170D3">
              <w:rPr>
                <w:rFonts w:cs="Arial"/>
                <w:b/>
                <w:bCs/>
                <w:i/>
                <w:iCs/>
                <w:color w:val="FFFFFF"/>
                <w:sz w:val="22"/>
                <w:szCs w:val="22"/>
              </w:rPr>
              <w:t>%</w:t>
            </w:r>
          </w:p>
        </w:tc>
        <w:tc>
          <w:tcPr>
            <w:tcW w:w="1320" w:type="dxa"/>
            <w:tcBorders>
              <w:top w:val="nil"/>
              <w:left w:val="nil"/>
              <w:bottom w:val="single" w:sz="4" w:space="0" w:color="auto"/>
              <w:right w:val="single" w:sz="4" w:space="0" w:color="auto"/>
            </w:tcBorders>
            <w:shd w:val="clear" w:color="000000" w:fill="16365C"/>
            <w:noWrap/>
            <w:vAlign w:val="bottom"/>
            <w:hideMark/>
          </w:tcPr>
          <w:p w:rsidR="00700D1B" w:rsidRPr="002170D3" w:rsidP="00700D1B">
            <w:pPr>
              <w:jc w:val="right"/>
              <w:rPr>
                <w:rFonts w:cs="Arial"/>
                <w:b/>
                <w:bCs/>
                <w:i/>
                <w:iCs/>
                <w:color w:val="FFFFFF"/>
                <w:sz w:val="22"/>
                <w:szCs w:val="22"/>
              </w:rPr>
            </w:pPr>
            <w:r w:rsidRPr="002170D3">
              <w:rPr>
                <w:rFonts w:cs="Arial"/>
                <w:b/>
                <w:bCs/>
                <w:i/>
                <w:iCs/>
                <w:color w:val="FFFFFF"/>
                <w:sz w:val="22"/>
                <w:szCs w:val="22"/>
              </w:rPr>
              <w:t>£m</w:t>
            </w:r>
          </w:p>
        </w:tc>
        <w:tc>
          <w:tcPr>
            <w:tcW w:w="1157" w:type="dxa"/>
            <w:tcBorders>
              <w:top w:val="nil"/>
              <w:left w:val="nil"/>
              <w:bottom w:val="single" w:sz="4" w:space="0" w:color="auto"/>
              <w:right w:val="single" w:sz="4" w:space="0" w:color="auto"/>
            </w:tcBorders>
            <w:shd w:val="clear" w:color="000000" w:fill="16365C"/>
            <w:noWrap/>
            <w:vAlign w:val="bottom"/>
            <w:hideMark/>
          </w:tcPr>
          <w:p w:rsidR="00700D1B" w:rsidRPr="002170D3" w:rsidP="00700D1B">
            <w:pPr>
              <w:jc w:val="right"/>
              <w:rPr>
                <w:rFonts w:cs="Arial"/>
                <w:b/>
                <w:bCs/>
                <w:i/>
                <w:iCs/>
                <w:color w:val="FFFFFF"/>
                <w:sz w:val="22"/>
                <w:szCs w:val="22"/>
              </w:rPr>
            </w:pPr>
            <w:r w:rsidRPr="002170D3">
              <w:rPr>
                <w:rFonts w:cs="Arial"/>
                <w:b/>
                <w:bCs/>
                <w:i/>
                <w:iCs/>
                <w:color w:val="FFFFFF"/>
                <w:sz w:val="22"/>
                <w:szCs w:val="22"/>
              </w:rPr>
              <w:t>£m</w:t>
            </w:r>
          </w:p>
        </w:tc>
        <w:tc>
          <w:tcPr>
            <w:tcW w:w="1043" w:type="dxa"/>
            <w:tcBorders>
              <w:top w:val="nil"/>
              <w:left w:val="nil"/>
              <w:bottom w:val="single" w:sz="4" w:space="0" w:color="auto"/>
              <w:right w:val="single" w:sz="4" w:space="0" w:color="auto"/>
            </w:tcBorders>
            <w:shd w:val="clear" w:color="000000" w:fill="16365C"/>
            <w:noWrap/>
            <w:vAlign w:val="bottom"/>
            <w:hideMark/>
          </w:tcPr>
          <w:p w:rsidR="00700D1B" w:rsidRPr="002170D3" w:rsidP="00700D1B">
            <w:pPr>
              <w:jc w:val="right"/>
              <w:rPr>
                <w:rFonts w:cs="Arial"/>
                <w:b/>
                <w:bCs/>
                <w:i/>
                <w:iCs/>
                <w:color w:val="FFFFFF"/>
                <w:sz w:val="22"/>
                <w:szCs w:val="22"/>
              </w:rPr>
            </w:pPr>
            <w:r w:rsidRPr="002170D3">
              <w:rPr>
                <w:rFonts w:cs="Arial"/>
                <w:b/>
                <w:bCs/>
                <w:i/>
                <w:iCs/>
                <w:color w:val="FFFFFF"/>
                <w:sz w:val="22"/>
                <w:szCs w:val="22"/>
              </w:rPr>
              <w:t>%</w:t>
            </w:r>
          </w:p>
        </w:tc>
      </w:tr>
      <w:tr w:rsidTr="00700D1B">
        <w:tblPrEx>
          <w:tblW w:w="10580" w:type="dxa"/>
          <w:tblLook w:val="04A0"/>
        </w:tblPrEx>
        <w:trPr>
          <w:trHeight w:val="585"/>
        </w:trPr>
        <w:tc>
          <w:tcPr>
            <w:tcW w:w="1271" w:type="dxa"/>
            <w:tcBorders>
              <w:top w:val="nil"/>
              <w:left w:val="single" w:sz="4" w:space="0" w:color="auto"/>
              <w:bottom w:val="single" w:sz="4" w:space="0" w:color="auto"/>
              <w:right w:val="single" w:sz="4" w:space="0" w:color="auto"/>
            </w:tcBorders>
            <w:shd w:val="clear" w:color="auto" w:fill="auto"/>
            <w:vAlign w:val="center"/>
            <w:hideMark/>
          </w:tcPr>
          <w:p w:rsidR="00700D1B" w:rsidRPr="002170D3" w:rsidP="00700D1B">
            <w:pPr>
              <w:rPr>
                <w:rFonts w:cs="Arial"/>
                <w:color w:val="000000"/>
                <w:sz w:val="22"/>
                <w:szCs w:val="22"/>
              </w:rPr>
            </w:pPr>
            <w:r w:rsidRPr="002170D3">
              <w:rPr>
                <w:rFonts w:cs="Arial"/>
                <w:color w:val="000000"/>
                <w:sz w:val="22"/>
                <w:szCs w:val="22"/>
              </w:rPr>
              <w:t>ODA Total</w:t>
            </w:r>
          </w:p>
        </w:tc>
        <w:tc>
          <w:tcPr>
            <w:tcW w:w="1985" w:type="dxa"/>
            <w:tcBorders>
              <w:top w:val="nil"/>
              <w:left w:val="nil"/>
              <w:bottom w:val="single" w:sz="4" w:space="0" w:color="auto"/>
              <w:right w:val="single" w:sz="4" w:space="0" w:color="auto"/>
            </w:tcBorders>
            <w:shd w:val="clear" w:color="auto" w:fill="auto"/>
            <w:noWrap/>
            <w:vAlign w:val="center"/>
            <w:hideMark/>
          </w:tcPr>
          <w:p w:rsidR="00700D1B" w:rsidRPr="002170D3" w:rsidP="00700D1B">
            <w:pPr>
              <w:jc w:val="right"/>
              <w:rPr>
                <w:rFonts w:cs="Arial"/>
                <w:color w:val="000000"/>
                <w:sz w:val="22"/>
                <w:szCs w:val="22"/>
              </w:rPr>
            </w:pPr>
            <w:r w:rsidRPr="002170D3">
              <w:rPr>
                <w:rFonts w:cs="Arial"/>
                <w:color w:val="000000"/>
                <w:sz w:val="22"/>
                <w:szCs w:val="22"/>
              </w:rPr>
              <w:t>225.0</w:t>
            </w:r>
          </w:p>
        </w:tc>
        <w:tc>
          <w:tcPr>
            <w:tcW w:w="1559" w:type="dxa"/>
            <w:tcBorders>
              <w:top w:val="nil"/>
              <w:left w:val="nil"/>
              <w:bottom w:val="single" w:sz="4" w:space="0" w:color="auto"/>
              <w:right w:val="single" w:sz="4" w:space="0" w:color="auto"/>
            </w:tcBorders>
            <w:shd w:val="clear" w:color="auto" w:fill="auto"/>
            <w:noWrap/>
            <w:vAlign w:val="center"/>
            <w:hideMark/>
          </w:tcPr>
          <w:p w:rsidR="00700D1B" w:rsidRPr="002170D3" w:rsidP="00700D1B">
            <w:pPr>
              <w:jc w:val="right"/>
              <w:rPr>
                <w:rFonts w:cs="Arial"/>
                <w:color w:val="000000"/>
                <w:sz w:val="22"/>
                <w:szCs w:val="22"/>
              </w:rPr>
            </w:pPr>
            <w:r w:rsidRPr="002170D3">
              <w:rPr>
                <w:rFonts w:cs="Arial"/>
                <w:color w:val="000000"/>
                <w:sz w:val="22"/>
                <w:szCs w:val="22"/>
              </w:rPr>
              <w:t>254.1</w:t>
            </w:r>
          </w:p>
        </w:tc>
        <w:tc>
          <w:tcPr>
            <w:tcW w:w="1134" w:type="dxa"/>
            <w:tcBorders>
              <w:top w:val="nil"/>
              <w:left w:val="nil"/>
              <w:bottom w:val="single" w:sz="4" w:space="0" w:color="auto"/>
              <w:right w:val="single" w:sz="4" w:space="0" w:color="auto"/>
            </w:tcBorders>
            <w:shd w:val="clear" w:color="auto" w:fill="auto"/>
            <w:noWrap/>
            <w:vAlign w:val="center"/>
            <w:hideMark/>
          </w:tcPr>
          <w:p w:rsidR="00700D1B" w:rsidRPr="002170D3" w:rsidP="00700D1B">
            <w:pPr>
              <w:jc w:val="right"/>
              <w:rPr>
                <w:rFonts w:cs="Arial"/>
                <w:i/>
                <w:iCs/>
                <w:color w:val="000000"/>
                <w:sz w:val="22"/>
                <w:szCs w:val="22"/>
              </w:rPr>
            </w:pPr>
            <w:r w:rsidRPr="002170D3">
              <w:rPr>
                <w:rFonts w:cs="Arial"/>
                <w:i/>
                <w:iCs/>
                <w:color w:val="FF0000"/>
                <w:sz w:val="22"/>
                <w:szCs w:val="22"/>
              </w:rPr>
              <w:t>(29.1)</w:t>
            </w:r>
          </w:p>
        </w:tc>
        <w:tc>
          <w:tcPr>
            <w:tcW w:w="1111" w:type="dxa"/>
            <w:tcBorders>
              <w:top w:val="nil"/>
              <w:left w:val="nil"/>
              <w:bottom w:val="single" w:sz="4" w:space="0" w:color="auto"/>
              <w:right w:val="single" w:sz="4" w:space="0" w:color="auto"/>
            </w:tcBorders>
            <w:shd w:val="clear" w:color="auto" w:fill="auto"/>
            <w:noWrap/>
            <w:vAlign w:val="center"/>
            <w:hideMark/>
          </w:tcPr>
          <w:p w:rsidR="00700D1B" w:rsidRPr="002170D3" w:rsidP="00700D1B">
            <w:pPr>
              <w:jc w:val="right"/>
              <w:rPr>
                <w:rFonts w:cs="Arial"/>
                <w:i/>
                <w:iCs/>
                <w:color w:val="000000"/>
                <w:sz w:val="22"/>
                <w:szCs w:val="22"/>
              </w:rPr>
            </w:pPr>
            <w:r>
              <w:rPr>
                <w:rFonts w:cs="Arial"/>
                <w:i/>
                <w:iCs/>
                <w:color w:val="000000"/>
                <w:sz w:val="22"/>
                <w:szCs w:val="22"/>
              </w:rPr>
              <w:t>-11%</w:t>
            </w:r>
          </w:p>
        </w:tc>
        <w:tc>
          <w:tcPr>
            <w:tcW w:w="1320" w:type="dxa"/>
            <w:tcBorders>
              <w:top w:val="nil"/>
              <w:left w:val="nil"/>
              <w:bottom w:val="single" w:sz="4" w:space="0" w:color="auto"/>
              <w:right w:val="single" w:sz="4" w:space="0" w:color="auto"/>
            </w:tcBorders>
            <w:shd w:val="clear" w:color="auto" w:fill="auto"/>
            <w:noWrap/>
            <w:vAlign w:val="center"/>
            <w:hideMark/>
          </w:tcPr>
          <w:p w:rsidR="00700D1B" w:rsidRPr="002170D3" w:rsidP="00700D1B">
            <w:pPr>
              <w:jc w:val="right"/>
              <w:rPr>
                <w:rFonts w:cs="Arial"/>
                <w:color w:val="000000"/>
                <w:sz w:val="22"/>
                <w:szCs w:val="22"/>
              </w:rPr>
            </w:pPr>
            <w:r w:rsidRPr="002170D3">
              <w:rPr>
                <w:rFonts w:cs="Arial"/>
                <w:color w:val="000000"/>
                <w:sz w:val="22"/>
                <w:szCs w:val="22"/>
              </w:rPr>
              <w:t>241.6</w:t>
            </w:r>
          </w:p>
        </w:tc>
        <w:tc>
          <w:tcPr>
            <w:tcW w:w="1157" w:type="dxa"/>
            <w:tcBorders>
              <w:top w:val="nil"/>
              <w:left w:val="nil"/>
              <w:bottom w:val="single" w:sz="4" w:space="0" w:color="auto"/>
              <w:right w:val="single" w:sz="4" w:space="0" w:color="auto"/>
            </w:tcBorders>
            <w:shd w:val="clear" w:color="auto" w:fill="auto"/>
            <w:noWrap/>
            <w:vAlign w:val="center"/>
            <w:hideMark/>
          </w:tcPr>
          <w:p w:rsidR="00700D1B" w:rsidRPr="002170D3" w:rsidP="00700D1B">
            <w:pPr>
              <w:jc w:val="center"/>
              <w:rPr>
                <w:rFonts w:cs="Arial"/>
                <w:i/>
                <w:iCs/>
                <w:color w:val="000000"/>
                <w:sz w:val="22"/>
                <w:szCs w:val="22"/>
              </w:rPr>
            </w:pPr>
            <w:r w:rsidRPr="00B95726">
              <w:rPr>
                <w:rFonts w:cs="Arial"/>
                <w:i/>
                <w:iCs/>
                <w:color w:val="FF0000"/>
                <w:sz w:val="22"/>
                <w:szCs w:val="22"/>
              </w:rPr>
              <w:t>(16.7)</w:t>
            </w:r>
          </w:p>
        </w:tc>
        <w:tc>
          <w:tcPr>
            <w:tcW w:w="1043" w:type="dxa"/>
            <w:tcBorders>
              <w:top w:val="nil"/>
              <w:left w:val="nil"/>
              <w:bottom w:val="single" w:sz="4" w:space="0" w:color="auto"/>
              <w:right w:val="single" w:sz="4" w:space="0" w:color="auto"/>
            </w:tcBorders>
            <w:shd w:val="clear" w:color="auto" w:fill="auto"/>
            <w:noWrap/>
            <w:vAlign w:val="bottom"/>
            <w:hideMark/>
          </w:tcPr>
          <w:p w:rsidR="00700D1B" w:rsidRPr="002170D3" w:rsidP="00700D1B">
            <w:pPr>
              <w:jc w:val="right"/>
              <w:rPr>
                <w:rFonts w:cs="Arial"/>
                <w:i/>
                <w:iCs/>
                <w:color w:val="000000"/>
                <w:sz w:val="22"/>
                <w:szCs w:val="22"/>
              </w:rPr>
            </w:pPr>
            <w:r w:rsidRPr="002170D3">
              <w:rPr>
                <w:rFonts w:cs="Arial"/>
                <w:i/>
                <w:iCs/>
                <w:color w:val="000000"/>
                <w:sz w:val="22"/>
                <w:szCs w:val="22"/>
              </w:rPr>
              <w:t>-7%</w:t>
            </w:r>
          </w:p>
        </w:tc>
      </w:tr>
      <w:tr w:rsidTr="00700D1B">
        <w:tblPrEx>
          <w:tblW w:w="10580" w:type="dxa"/>
          <w:tblLook w:val="04A0"/>
        </w:tblPrEx>
        <w:trPr>
          <w:trHeight w:val="300"/>
        </w:trPr>
        <w:tc>
          <w:tcPr>
            <w:tcW w:w="1271" w:type="dxa"/>
            <w:tcBorders>
              <w:top w:val="nil"/>
              <w:left w:val="single" w:sz="4" w:space="0" w:color="auto"/>
              <w:bottom w:val="single" w:sz="4" w:space="0" w:color="auto"/>
              <w:right w:val="single" w:sz="4" w:space="0" w:color="auto"/>
            </w:tcBorders>
            <w:shd w:val="clear" w:color="auto" w:fill="auto"/>
            <w:vAlign w:val="center"/>
            <w:hideMark/>
          </w:tcPr>
          <w:p w:rsidR="00700D1B" w:rsidRPr="002170D3" w:rsidP="00700D1B">
            <w:pPr>
              <w:rPr>
                <w:rFonts w:cs="Arial"/>
                <w:color w:val="000000"/>
                <w:sz w:val="22"/>
                <w:szCs w:val="22"/>
              </w:rPr>
            </w:pPr>
            <w:r w:rsidRPr="002170D3">
              <w:rPr>
                <w:rFonts w:cs="Arial"/>
                <w:color w:val="000000"/>
                <w:sz w:val="22"/>
                <w:szCs w:val="22"/>
              </w:rPr>
              <w:t>EU Exit</w:t>
            </w:r>
          </w:p>
        </w:tc>
        <w:tc>
          <w:tcPr>
            <w:tcW w:w="1985" w:type="dxa"/>
            <w:tcBorders>
              <w:top w:val="nil"/>
              <w:left w:val="nil"/>
              <w:bottom w:val="single" w:sz="4" w:space="0" w:color="auto"/>
              <w:right w:val="single" w:sz="4" w:space="0" w:color="auto"/>
            </w:tcBorders>
            <w:shd w:val="clear" w:color="auto" w:fill="auto"/>
            <w:noWrap/>
            <w:vAlign w:val="center"/>
            <w:hideMark/>
          </w:tcPr>
          <w:p w:rsidR="00700D1B" w:rsidRPr="002170D3" w:rsidP="00700D1B">
            <w:pPr>
              <w:jc w:val="right"/>
              <w:rPr>
                <w:rFonts w:cs="Arial"/>
                <w:color w:val="000000"/>
                <w:sz w:val="22"/>
                <w:szCs w:val="22"/>
              </w:rPr>
            </w:pPr>
            <w:r w:rsidRPr="002170D3">
              <w:rPr>
                <w:rFonts w:cs="Arial"/>
                <w:color w:val="000000"/>
                <w:sz w:val="22"/>
                <w:szCs w:val="22"/>
              </w:rPr>
              <w:t>115.1</w:t>
            </w:r>
          </w:p>
        </w:tc>
        <w:tc>
          <w:tcPr>
            <w:tcW w:w="1559" w:type="dxa"/>
            <w:tcBorders>
              <w:top w:val="nil"/>
              <w:left w:val="nil"/>
              <w:bottom w:val="single" w:sz="4" w:space="0" w:color="auto"/>
              <w:right w:val="single" w:sz="4" w:space="0" w:color="auto"/>
            </w:tcBorders>
            <w:shd w:val="clear" w:color="auto" w:fill="auto"/>
            <w:noWrap/>
            <w:vAlign w:val="center"/>
            <w:hideMark/>
          </w:tcPr>
          <w:p w:rsidR="00700D1B" w:rsidRPr="002170D3" w:rsidP="00700D1B">
            <w:pPr>
              <w:jc w:val="right"/>
              <w:rPr>
                <w:rFonts w:cs="Arial"/>
                <w:color w:val="000000"/>
                <w:sz w:val="22"/>
                <w:szCs w:val="22"/>
              </w:rPr>
            </w:pPr>
            <w:r w:rsidRPr="002170D3">
              <w:rPr>
                <w:rFonts w:cs="Arial"/>
                <w:color w:val="000000"/>
                <w:sz w:val="22"/>
                <w:szCs w:val="22"/>
              </w:rPr>
              <w:t>50.0</w:t>
            </w:r>
          </w:p>
        </w:tc>
        <w:tc>
          <w:tcPr>
            <w:tcW w:w="1134" w:type="dxa"/>
            <w:tcBorders>
              <w:top w:val="nil"/>
              <w:left w:val="nil"/>
              <w:bottom w:val="single" w:sz="4" w:space="0" w:color="auto"/>
              <w:right w:val="single" w:sz="4" w:space="0" w:color="auto"/>
            </w:tcBorders>
            <w:shd w:val="clear" w:color="auto" w:fill="auto"/>
            <w:noWrap/>
            <w:vAlign w:val="bottom"/>
            <w:hideMark/>
          </w:tcPr>
          <w:p w:rsidR="00700D1B" w:rsidRPr="002170D3" w:rsidP="00700D1B">
            <w:pPr>
              <w:jc w:val="right"/>
              <w:rPr>
                <w:rFonts w:cs="Arial"/>
                <w:i/>
                <w:iCs/>
                <w:color w:val="000000"/>
                <w:sz w:val="22"/>
                <w:szCs w:val="22"/>
              </w:rPr>
            </w:pPr>
            <w:r w:rsidRPr="002170D3">
              <w:rPr>
                <w:rFonts w:cs="Arial"/>
                <w:i/>
                <w:iCs/>
                <w:color w:val="000000"/>
                <w:sz w:val="22"/>
                <w:szCs w:val="22"/>
              </w:rPr>
              <w:t>65.1</w:t>
            </w:r>
          </w:p>
        </w:tc>
        <w:tc>
          <w:tcPr>
            <w:tcW w:w="1111" w:type="dxa"/>
            <w:tcBorders>
              <w:top w:val="nil"/>
              <w:left w:val="nil"/>
              <w:bottom w:val="single" w:sz="4" w:space="0" w:color="auto"/>
              <w:right w:val="single" w:sz="4" w:space="0" w:color="auto"/>
            </w:tcBorders>
            <w:shd w:val="clear" w:color="auto" w:fill="auto"/>
            <w:noWrap/>
            <w:vAlign w:val="bottom"/>
            <w:hideMark/>
          </w:tcPr>
          <w:p w:rsidR="00700D1B" w:rsidRPr="002170D3" w:rsidP="00700D1B">
            <w:pPr>
              <w:jc w:val="right"/>
              <w:rPr>
                <w:rFonts w:cs="Arial"/>
                <w:i/>
                <w:iCs/>
                <w:sz w:val="22"/>
                <w:szCs w:val="22"/>
              </w:rPr>
            </w:pPr>
            <w:r>
              <w:rPr>
                <w:rFonts w:cs="Arial"/>
                <w:i/>
                <w:iCs/>
                <w:sz w:val="22"/>
                <w:szCs w:val="22"/>
              </w:rPr>
              <w:t>130%</w:t>
            </w:r>
          </w:p>
        </w:tc>
        <w:tc>
          <w:tcPr>
            <w:tcW w:w="1320" w:type="dxa"/>
            <w:tcBorders>
              <w:top w:val="nil"/>
              <w:left w:val="nil"/>
              <w:bottom w:val="single" w:sz="4" w:space="0" w:color="auto"/>
              <w:right w:val="single" w:sz="4" w:space="0" w:color="auto"/>
            </w:tcBorders>
            <w:shd w:val="clear" w:color="auto" w:fill="auto"/>
            <w:noWrap/>
            <w:vAlign w:val="center"/>
            <w:hideMark/>
          </w:tcPr>
          <w:p w:rsidR="00700D1B" w:rsidRPr="002170D3" w:rsidP="00700D1B">
            <w:pPr>
              <w:jc w:val="right"/>
              <w:rPr>
                <w:rFonts w:cs="Arial"/>
                <w:color w:val="000000"/>
                <w:sz w:val="22"/>
                <w:szCs w:val="22"/>
              </w:rPr>
            </w:pPr>
            <w:r w:rsidRPr="002170D3">
              <w:rPr>
                <w:rFonts w:cs="Arial"/>
                <w:color w:val="000000"/>
                <w:sz w:val="22"/>
                <w:szCs w:val="22"/>
              </w:rPr>
              <w:t>74.7</w:t>
            </w:r>
          </w:p>
        </w:tc>
        <w:tc>
          <w:tcPr>
            <w:tcW w:w="1157" w:type="dxa"/>
            <w:tcBorders>
              <w:top w:val="nil"/>
              <w:left w:val="nil"/>
              <w:bottom w:val="single" w:sz="4" w:space="0" w:color="auto"/>
              <w:right w:val="single" w:sz="4" w:space="0" w:color="auto"/>
            </w:tcBorders>
            <w:shd w:val="clear" w:color="auto" w:fill="auto"/>
            <w:noWrap/>
            <w:vAlign w:val="center"/>
            <w:hideMark/>
          </w:tcPr>
          <w:p w:rsidR="00700D1B" w:rsidRPr="002170D3" w:rsidP="00700D1B">
            <w:pPr>
              <w:jc w:val="right"/>
              <w:rPr>
                <w:rFonts w:cs="Arial"/>
                <w:i/>
                <w:iCs/>
                <w:color w:val="000000"/>
                <w:sz w:val="22"/>
                <w:szCs w:val="22"/>
              </w:rPr>
            </w:pPr>
            <w:r w:rsidRPr="002170D3">
              <w:rPr>
                <w:rFonts w:cs="Arial"/>
                <w:i/>
                <w:iCs/>
                <w:color w:val="000000"/>
                <w:sz w:val="22"/>
                <w:szCs w:val="22"/>
              </w:rPr>
              <w:t>40.4</w:t>
            </w:r>
          </w:p>
        </w:tc>
        <w:tc>
          <w:tcPr>
            <w:tcW w:w="1043" w:type="dxa"/>
            <w:tcBorders>
              <w:top w:val="nil"/>
              <w:left w:val="nil"/>
              <w:bottom w:val="single" w:sz="4" w:space="0" w:color="auto"/>
              <w:right w:val="single" w:sz="4" w:space="0" w:color="auto"/>
            </w:tcBorders>
            <w:shd w:val="clear" w:color="auto" w:fill="auto"/>
            <w:noWrap/>
            <w:vAlign w:val="center"/>
            <w:hideMark/>
          </w:tcPr>
          <w:p w:rsidR="00700D1B" w:rsidRPr="002170D3" w:rsidP="00700D1B">
            <w:pPr>
              <w:jc w:val="right"/>
              <w:rPr>
                <w:rFonts w:cs="Arial"/>
                <w:i/>
                <w:iCs/>
                <w:sz w:val="22"/>
                <w:szCs w:val="22"/>
              </w:rPr>
            </w:pPr>
            <w:r w:rsidRPr="002170D3">
              <w:rPr>
                <w:rFonts w:cs="Arial"/>
                <w:i/>
                <w:iCs/>
                <w:sz w:val="22"/>
                <w:szCs w:val="22"/>
              </w:rPr>
              <w:t>54%</w:t>
            </w:r>
          </w:p>
        </w:tc>
      </w:tr>
    </w:tbl>
    <w:p w:rsidR="00700D1B" w:rsidP="00700D1B">
      <w:pPr>
        <w:ind w:left="567"/>
        <w:jc w:val="both"/>
        <w:rPr>
          <w:rFonts w:eastAsia="Calibri" w:cs="Arial"/>
          <w:sz w:val="22"/>
          <w:szCs w:val="22"/>
        </w:rPr>
      </w:pPr>
    </w:p>
    <w:p w:rsidR="00700D1B" w:rsidRPr="00565172" w:rsidP="00700D1B">
      <w:pPr>
        <w:ind w:left="567"/>
        <w:jc w:val="both"/>
        <w:rPr>
          <w:rFonts w:eastAsia="Calibri" w:cs="Arial"/>
          <w:sz w:val="22"/>
          <w:szCs w:val="22"/>
        </w:rPr>
      </w:pPr>
    </w:p>
    <w:p w:rsidR="00700D1B" w:rsidRPr="00565172" w:rsidP="00700D1B">
      <w:pPr>
        <w:numPr>
          <w:ilvl w:val="0"/>
          <w:numId w:val="4"/>
        </w:numPr>
        <w:spacing w:after="120"/>
        <w:jc w:val="both"/>
        <w:rPr>
          <w:rFonts w:eastAsia="Calibri" w:cs="Arial"/>
          <w:sz w:val="22"/>
          <w:szCs w:val="22"/>
        </w:rPr>
      </w:pPr>
      <w:r w:rsidRPr="00565172">
        <w:rPr>
          <w:rFonts w:eastAsia="Calibri" w:cs="Arial"/>
          <w:b/>
          <w:sz w:val="22"/>
          <w:szCs w:val="22"/>
        </w:rPr>
        <w:t>Official Development Assistance</w:t>
      </w:r>
      <w:r w:rsidRPr="00565172">
        <w:rPr>
          <w:rFonts w:eastAsia="Calibri" w:cs="Arial"/>
          <w:sz w:val="22"/>
          <w:szCs w:val="22"/>
        </w:rPr>
        <w:t xml:space="preserve"> (ODA) - The DHSC ODA funding for 2020-21 is in line with current planning.  </w:t>
      </w:r>
    </w:p>
    <w:p w:rsidR="00700D1B" w:rsidRPr="00565172" w:rsidP="00700D1B">
      <w:pPr>
        <w:spacing w:after="120"/>
        <w:ind w:left="927"/>
        <w:jc w:val="both"/>
        <w:rPr>
          <w:sz w:val="22"/>
          <w:szCs w:val="22"/>
        </w:rPr>
      </w:pPr>
      <w:r w:rsidRPr="00565172">
        <w:rPr>
          <w:sz w:val="22"/>
          <w:szCs w:val="22"/>
        </w:rPr>
        <w:t xml:space="preserve">For international comparability and consistency, the Organisation for Economic Co-operation and Development (OECD) and the Development Assistance Committee (DAC) requires ODA reporting to be on a cash and calendar year basis  </w:t>
      </w:r>
    </w:p>
    <w:p w:rsidR="00700D1B" w:rsidRPr="003F26B8" w:rsidP="00700D1B">
      <w:pPr>
        <w:numPr>
          <w:ilvl w:val="0"/>
          <w:numId w:val="4"/>
        </w:numPr>
        <w:ind w:left="924" w:hanging="357"/>
        <w:contextualSpacing/>
        <w:jc w:val="both"/>
        <w:rPr>
          <w:b/>
          <w:sz w:val="22"/>
          <w:szCs w:val="22"/>
        </w:rPr>
      </w:pPr>
      <w:r w:rsidRPr="00960F2D">
        <w:rPr>
          <w:rFonts w:eastAsia="Calibri" w:cs="Arial"/>
          <w:b/>
          <w:sz w:val="22"/>
          <w:szCs w:val="22"/>
        </w:rPr>
        <w:t>EU Exit</w:t>
      </w:r>
      <w:r w:rsidRPr="00960F2D">
        <w:rPr>
          <w:rFonts w:eastAsia="Calibri" w:cs="Arial"/>
          <w:sz w:val="22"/>
          <w:szCs w:val="22"/>
        </w:rPr>
        <w:t xml:space="preserve"> –DHSC</w:t>
      </w:r>
      <w:r>
        <w:rPr>
          <w:rFonts w:eastAsia="Calibri" w:cs="Arial"/>
          <w:sz w:val="22"/>
          <w:szCs w:val="22"/>
        </w:rPr>
        <w:t xml:space="preserve"> was allocated </w:t>
      </w:r>
      <w:r w:rsidRPr="00960F2D">
        <w:rPr>
          <w:rFonts w:eastAsia="Calibri" w:cs="Arial"/>
          <w:sz w:val="22"/>
          <w:szCs w:val="22"/>
        </w:rPr>
        <w:t>£50 million for EU Exit related spend</w:t>
      </w:r>
      <w:r>
        <w:rPr>
          <w:rFonts w:eastAsia="Calibri" w:cs="Arial"/>
          <w:sz w:val="22"/>
          <w:szCs w:val="22"/>
        </w:rPr>
        <w:t xml:space="preserve"> for 2020-21 at Main Estimate, this has increased by £65 million at Supplementary Estimate to cover the funding requirement to 31 March 2021</w:t>
      </w:r>
      <w:r w:rsidRPr="00960F2D">
        <w:rPr>
          <w:rFonts w:eastAsia="Calibri" w:cs="Arial"/>
          <w:sz w:val="22"/>
          <w:szCs w:val="22"/>
        </w:rPr>
        <w:t>.  This includes funding for staff resource</w:t>
      </w:r>
      <w:r>
        <w:rPr>
          <w:rFonts w:eastAsia="Calibri" w:cs="Arial"/>
          <w:sz w:val="22"/>
          <w:szCs w:val="22"/>
        </w:rPr>
        <w:t>,</w:t>
      </w:r>
      <w:r w:rsidRPr="00960F2D">
        <w:rPr>
          <w:rFonts w:eastAsia="Calibri" w:cs="Arial"/>
          <w:sz w:val="22"/>
          <w:szCs w:val="22"/>
        </w:rPr>
        <w:t xml:space="preserve"> continuity of supply commitments and supporting costs relating to the implementation of the withdrawal agreement.  </w:t>
      </w:r>
    </w:p>
    <w:p w:rsidR="00700D1B" w:rsidRPr="003F26B8" w:rsidP="00700D1B">
      <w:pPr>
        <w:ind w:left="924"/>
        <w:contextualSpacing/>
        <w:jc w:val="both"/>
        <w:rPr>
          <w:b/>
          <w:sz w:val="22"/>
          <w:szCs w:val="22"/>
        </w:rPr>
      </w:pPr>
    </w:p>
    <w:p w:rsidR="00700D1B" w:rsidRPr="008A08B5" w:rsidP="008A08B5">
      <w:pPr>
        <w:numPr>
          <w:ilvl w:val="0"/>
          <w:numId w:val="4"/>
        </w:numPr>
        <w:ind w:left="811" w:hanging="357"/>
        <w:contextualSpacing/>
        <w:jc w:val="both"/>
        <w:rPr>
          <w:b/>
          <w:sz w:val="22"/>
          <w:szCs w:val="22"/>
        </w:rPr>
      </w:pPr>
      <w:r w:rsidRPr="008A08B5">
        <w:rPr>
          <w:b/>
          <w:sz w:val="22"/>
          <w:szCs w:val="22"/>
        </w:rPr>
        <w:t>Covid-19 reserve funding</w:t>
      </w:r>
      <w:r w:rsidRPr="008A08B5">
        <w:rPr>
          <w:bCs/>
          <w:sz w:val="22"/>
          <w:szCs w:val="22"/>
        </w:rPr>
        <w:t xml:space="preserve"> </w:t>
      </w:r>
      <w:r w:rsidRPr="008A08B5" w:rsidR="00047EA3">
        <w:rPr>
          <w:bCs/>
          <w:sz w:val="22"/>
          <w:szCs w:val="22"/>
        </w:rPr>
        <w:t xml:space="preserve">included in </w:t>
      </w:r>
      <w:r w:rsidRPr="008A08B5" w:rsidR="008E62E0">
        <w:rPr>
          <w:bCs/>
          <w:sz w:val="22"/>
          <w:szCs w:val="22"/>
        </w:rPr>
        <w:t xml:space="preserve">the Supplementary Supply Estimate </w:t>
      </w:r>
      <w:r w:rsidRPr="008A08B5" w:rsidR="005347E8">
        <w:rPr>
          <w:bCs/>
          <w:sz w:val="22"/>
          <w:szCs w:val="22"/>
        </w:rPr>
        <w:t>will</w:t>
      </w:r>
      <w:r w:rsidRPr="008A08B5" w:rsidR="008E62E0">
        <w:rPr>
          <w:bCs/>
          <w:sz w:val="22"/>
          <w:szCs w:val="22"/>
        </w:rPr>
        <w:t xml:space="preserve"> be </w:t>
      </w:r>
      <w:r w:rsidRPr="008A08B5">
        <w:rPr>
          <w:bCs/>
          <w:sz w:val="22"/>
          <w:szCs w:val="22"/>
        </w:rPr>
        <w:t>subject to ring-fence arrangements</w:t>
      </w:r>
      <w:r w:rsidRPr="008A08B5" w:rsidR="005347E8">
        <w:rPr>
          <w:bCs/>
          <w:sz w:val="22"/>
          <w:szCs w:val="22"/>
        </w:rPr>
        <w:t>.</w:t>
      </w:r>
      <w:r w:rsidRPr="008A08B5" w:rsidR="008E62E0">
        <w:rPr>
          <w:bCs/>
          <w:sz w:val="22"/>
          <w:szCs w:val="22"/>
        </w:rPr>
        <w:t xml:space="preserve"> </w:t>
      </w:r>
      <w:r w:rsidRPr="008A08B5" w:rsidR="00BE765F">
        <w:rPr>
          <w:bCs/>
          <w:sz w:val="22"/>
          <w:szCs w:val="22"/>
        </w:rPr>
        <w:t xml:space="preserve">As funding for Covid-19 is now fixed for the year in the Estimate, </w:t>
      </w:r>
      <w:r w:rsidRPr="008A08B5" w:rsidR="005347E8">
        <w:rPr>
          <w:bCs/>
          <w:sz w:val="22"/>
          <w:szCs w:val="22"/>
        </w:rPr>
        <w:t>if further costs are incurred in responding to the pandemic, it may be necessary to agree with HMT that specific ring</w:t>
      </w:r>
      <w:r w:rsidR="008A08B5">
        <w:rPr>
          <w:bCs/>
          <w:sz w:val="22"/>
          <w:szCs w:val="22"/>
        </w:rPr>
        <w:t>-</w:t>
      </w:r>
      <w:r w:rsidRPr="008A08B5" w:rsidR="005347E8">
        <w:rPr>
          <w:bCs/>
          <w:sz w:val="22"/>
          <w:szCs w:val="22"/>
        </w:rPr>
        <w:t xml:space="preserve">fences can be relaxed to accommodate the spend. </w:t>
      </w:r>
    </w:p>
    <w:p w:rsidR="00700D1B" w:rsidRPr="00565172" w:rsidP="00700D1B">
      <w:pPr>
        <w:ind w:left="567"/>
        <w:jc w:val="both"/>
        <w:rPr>
          <w:rFonts w:eastAsia="Calibri" w:cs="Arial"/>
          <w:sz w:val="22"/>
          <w:szCs w:val="22"/>
          <w:u w:val="single"/>
        </w:rPr>
      </w:pPr>
    </w:p>
    <w:p w:rsidR="00700D1B" w:rsidRPr="00565172" w:rsidP="00700D1B">
      <w:pPr>
        <w:numPr>
          <w:ilvl w:val="1"/>
          <w:numId w:val="8"/>
        </w:numPr>
        <w:spacing w:after="120" w:line="276" w:lineRule="auto"/>
        <w:ind w:left="567" w:hanging="567"/>
        <w:jc w:val="both"/>
        <w:rPr>
          <w:rFonts w:eastAsia="Calibri" w:cs="Arial"/>
          <w:b/>
          <w:sz w:val="22"/>
          <w:szCs w:val="22"/>
        </w:rPr>
      </w:pPr>
      <w:r w:rsidRPr="00565172">
        <w:rPr>
          <w:rFonts w:eastAsia="Calibri" w:cs="Arial"/>
          <w:b/>
          <w:sz w:val="22"/>
          <w:szCs w:val="22"/>
        </w:rPr>
        <w:t>Changes to Contingent Liabilities</w:t>
      </w:r>
      <w:r>
        <w:rPr>
          <w:rFonts w:eastAsia="Calibri" w:cs="Arial"/>
          <w:b/>
          <w:sz w:val="22"/>
          <w:szCs w:val="22"/>
        </w:rPr>
        <w:t xml:space="preserve"> </w:t>
      </w:r>
    </w:p>
    <w:p w:rsidR="00700D1B" w:rsidP="00700D1B">
      <w:pPr>
        <w:ind w:left="567"/>
        <w:jc w:val="both"/>
        <w:rPr>
          <w:rFonts w:eastAsia="Calibri" w:cs="Arial"/>
          <w:sz w:val="22"/>
          <w:szCs w:val="22"/>
        </w:rPr>
      </w:pPr>
      <w:r w:rsidRPr="00A77F08">
        <w:rPr>
          <w:rFonts w:eastAsia="Calibri" w:cs="Arial"/>
          <w:sz w:val="22"/>
          <w:szCs w:val="22"/>
        </w:rPr>
        <w:t>There ar</w:t>
      </w:r>
      <w:r>
        <w:rPr>
          <w:rFonts w:eastAsia="Calibri" w:cs="Arial"/>
          <w:sz w:val="22"/>
          <w:szCs w:val="22"/>
        </w:rPr>
        <w:t xml:space="preserve">e five </w:t>
      </w:r>
      <w:r w:rsidRPr="00A77F08">
        <w:rPr>
          <w:rFonts w:eastAsia="Calibri" w:cs="Arial"/>
          <w:sz w:val="22"/>
          <w:szCs w:val="22"/>
        </w:rPr>
        <w:t xml:space="preserve">new contingent liabilities in </w:t>
      </w:r>
      <w:r>
        <w:rPr>
          <w:rFonts w:eastAsia="Calibri" w:cs="Arial"/>
          <w:sz w:val="22"/>
          <w:szCs w:val="22"/>
        </w:rPr>
        <w:t>2020-21 in the Supplementary Estimate</w:t>
      </w:r>
      <w:r w:rsidRPr="00A77F08">
        <w:rPr>
          <w:rFonts w:eastAsia="Calibri" w:cs="Arial"/>
          <w:sz w:val="22"/>
          <w:szCs w:val="22"/>
        </w:rPr>
        <w:t>.</w:t>
      </w:r>
      <w:r>
        <w:rPr>
          <w:rFonts w:eastAsia="Calibri" w:cs="Arial"/>
          <w:sz w:val="22"/>
          <w:szCs w:val="22"/>
        </w:rPr>
        <w:t xml:space="preserve">  These are:</w:t>
      </w:r>
    </w:p>
    <w:p w:rsidR="00700D1B" w:rsidP="00700D1B">
      <w:pPr>
        <w:ind w:left="567"/>
        <w:jc w:val="both"/>
        <w:rPr>
          <w:rFonts w:eastAsia="Calibri" w:cs="Arial"/>
          <w:sz w:val="22"/>
          <w:szCs w:val="22"/>
        </w:rPr>
      </w:pPr>
    </w:p>
    <w:p w:rsidR="00700D1B" w:rsidP="00700D1B">
      <w:pPr>
        <w:pStyle w:val="ListParagraph"/>
        <w:numPr>
          <w:ilvl w:val="0"/>
          <w:numId w:val="20"/>
        </w:numPr>
        <w:spacing w:after="120"/>
        <w:ind w:left="1281" w:hanging="357"/>
        <w:jc w:val="both"/>
        <w:rPr>
          <w:rFonts w:ascii="Arial" w:hAnsi="Arial" w:cs="Arial"/>
        </w:rPr>
      </w:pPr>
      <w:r w:rsidRPr="00A76876">
        <w:rPr>
          <w:rFonts w:ascii="Arial" w:hAnsi="Arial" w:cs="Arial"/>
        </w:rPr>
        <w:t xml:space="preserve">A contingent liability </w:t>
      </w:r>
      <w:r>
        <w:rPr>
          <w:rFonts w:ascii="Arial" w:hAnsi="Arial" w:cs="Arial"/>
        </w:rPr>
        <w:t xml:space="preserve">for an agreement the Department </w:t>
      </w:r>
      <w:r>
        <w:rPr>
          <w:rFonts w:ascii="Arial" w:hAnsi="Arial" w:cs="Arial"/>
        </w:rPr>
        <w:t>entered into</w:t>
      </w:r>
      <w:r>
        <w:rPr>
          <w:rFonts w:ascii="Arial" w:hAnsi="Arial" w:cs="Arial"/>
        </w:rPr>
        <w:t xml:space="preserve"> with the Ministry of Defence, following the Ebola outbreak in 2013 to 2016, to cover the costs of specialist quarantine equipment in the event of an outbreak of a highly infectious disease.</w:t>
      </w:r>
    </w:p>
    <w:p w:rsidR="00700D1B" w:rsidP="00700D1B">
      <w:pPr>
        <w:pStyle w:val="ListParagraph"/>
        <w:numPr>
          <w:ilvl w:val="0"/>
          <w:numId w:val="20"/>
        </w:numPr>
        <w:spacing w:after="120"/>
        <w:ind w:left="1281" w:hanging="357"/>
        <w:jc w:val="both"/>
        <w:rPr>
          <w:rFonts w:ascii="Arial" w:hAnsi="Arial" w:cs="Arial"/>
        </w:rPr>
      </w:pPr>
      <w:r>
        <w:rPr>
          <w:rFonts w:ascii="Arial" w:hAnsi="Arial" w:cs="Arial"/>
        </w:rPr>
        <w:t xml:space="preserve">A contingent liability to cover </w:t>
      </w:r>
      <w:r>
        <w:rPr>
          <w:rFonts w:ascii="Arial" w:hAnsi="Arial" w:cs="Arial"/>
        </w:rPr>
        <w:t>a number of</w:t>
      </w:r>
      <w:r>
        <w:rPr>
          <w:rFonts w:ascii="Arial" w:hAnsi="Arial" w:cs="Arial"/>
        </w:rPr>
        <w:t xml:space="preserve"> </w:t>
      </w:r>
      <w:r w:rsidRPr="000C5490">
        <w:rPr>
          <w:rFonts w:ascii="Arial" w:hAnsi="Arial" w:cs="Arial"/>
        </w:rPr>
        <w:t>Employment Tribunal cases and contractual liabilities in respect of redundancy payments and entitlements.</w:t>
      </w:r>
    </w:p>
    <w:p w:rsidR="00700D1B" w:rsidP="00700D1B">
      <w:pPr>
        <w:pStyle w:val="ListParagraph"/>
        <w:numPr>
          <w:ilvl w:val="0"/>
          <w:numId w:val="20"/>
        </w:numPr>
        <w:spacing w:after="120"/>
        <w:ind w:left="1281" w:hanging="357"/>
        <w:jc w:val="both"/>
        <w:rPr>
          <w:rFonts w:ascii="Arial" w:hAnsi="Arial" w:cs="Arial"/>
        </w:rPr>
      </w:pPr>
      <w:r>
        <w:rPr>
          <w:rFonts w:ascii="Arial" w:hAnsi="Arial" w:cs="Arial"/>
        </w:rPr>
        <w:t xml:space="preserve">A contingent liability in respect of commercial contract obligations </w:t>
      </w:r>
      <w:r>
        <w:rPr>
          <w:rFonts w:ascii="Arial" w:hAnsi="Arial" w:cs="Arial"/>
        </w:rPr>
        <w:t>entered into</w:t>
      </w:r>
      <w:r>
        <w:rPr>
          <w:rFonts w:ascii="Arial" w:hAnsi="Arial" w:cs="Arial"/>
        </w:rPr>
        <w:t xml:space="preserve"> as part of the Covid-19 response. </w:t>
      </w:r>
    </w:p>
    <w:p w:rsidR="00700D1B" w:rsidP="00700D1B">
      <w:pPr>
        <w:pStyle w:val="ListParagraph"/>
        <w:numPr>
          <w:ilvl w:val="0"/>
          <w:numId w:val="20"/>
        </w:numPr>
        <w:spacing w:after="120"/>
        <w:ind w:left="1281" w:hanging="357"/>
        <w:jc w:val="both"/>
        <w:rPr>
          <w:rFonts w:ascii="Arial" w:hAnsi="Arial" w:cs="Arial"/>
        </w:rPr>
      </w:pPr>
      <w:r>
        <w:rPr>
          <w:rFonts w:ascii="Arial" w:hAnsi="Arial" w:cs="Arial"/>
        </w:rPr>
        <w:t xml:space="preserve">A contingent liability for potential costs to be met by Health Education England in connection with a change in terms of the GP contract in August 2019 </w:t>
      </w:r>
      <w:r w:rsidRPr="007B4EA8">
        <w:rPr>
          <w:rFonts w:ascii="Arial" w:hAnsi="Arial" w:cs="Arial"/>
        </w:rPr>
        <w:t>regarding trainee’s expenses for home to workplace mileage.</w:t>
      </w:r>
    </w:p>
    <w:p w:rsidR="00700D1B" w:rsidRPr="00A76876" w:rsidP="00700D1B">
      <w:pPr>
        <w:pStyle w:val="ListParagraph"/>
        <w:numPr>
          <w:ilvl w:val="0"/>
          <w:numId w:val="20"/>
        </w:numPr>
        <w:spacing w:after="120"/>
        <w:ind w:left="1281" w:hanging="357"/>
        <w:jc w:val="both"/>
        <w:rPr>
          <w:rFonts w:ascii="Arial" w:hAnsi="Arial" w:cs="Arial"/>
        </w:rPr>
      </w:pPr>
      <w:r>
        <w:rPr>
          <w:rFonts w:ascii="Arial" w:hAnsi="Arial" w:cs="Arial"/>
        </w:rPr>
        <w:t xml:space="preserve">A contingent liability for potential costs to be met by the Health Care Professionals Council in relation to </w:t>
      </w:r>
      <w:r w:rsidRPr="007B4EA8">
        <w:rPr>
          <w:rFonts w:ascii="Arial" w:hAnsi="Arial" w:cs="Arial"/>
        </w:rPr>
        <w:t>the anticipated cost of concluding the backlog of Fitness to Practise concerns. The backlog is expected to be cleared in 18 months.</w:t>
      </w:r>
    </w:p>
    <w:p w:rsidR="00204ED8" w:rsidP="00700D1B">
      <w:pPr>
        <w:spacing w:after="120"/>
        <w:ind w:left="567"/>
        <w:jc w:val="both"/>
        <w:rPr>
          <w:rFonts w:cs="Arial"/>
          <w:sz w:val="22"/>
          <w:szCs w:val="22"/>
        </w:rPr>
      </w:pPr>
    </w:p>
    <w:p w:rsidR="00700D1B" w:rsidRPr="00EB212E" w:rsidP="00700D1B">
      <w:pPr>
        <w:spacing w:after="120"/>
        <w:ind w:left="567"/>
        <w:jc w:val="both"/>
        <w:rPr>
          <w:rFonts w:cs="Arial"/>
          <w:sz w:val="22"/>
          <w:szCs w:val="22"/>
        </w:rPr>
      </w:pPr>
      <w:r>
        <w:rPr>
          <w:rFonts w:cs="Arial"/>
          <w:sz w:val="22"/>
          <w:szCs w:val="22"/>
        </w:rPr>
        <w:t>Four</w:t>
      </w:r>
      <w:r w:rsidRPr="00EB212E">
        <w:rPr>
          <w:rFonts w:cs="Arial"/>
          <w:sz w:val="22"/>
          <w:szCs w:val="22"/>
        </w:rPr>
        <w:t xml:space="preserve"> contingent liabilities have been removed; these are:</w:t>
      </w:r>
    </w:p>
    <w:p w:rsidR="00700D1B" w:rsidRPr="00A76876" w:rsidP="00700D1B">
      <w:pPr>
        <w:pStyle w:val="ListParagraph"/>
        <w:numPr>
          <w:ilvl w:val="0"/>
          <w:numId w:val="21"/>
        </w:numPr>
        <w:spacing w:after="120"/>
        <w:jc w:val="both"/>
        <w:rPr>
          <w:rFonts w:ascii="Arial" w:hAnsi="Arial" w:cs="Arial"/>
        </w:rPr>
      </w:pPr>
      <w:r w:rsidRPr="00A76876">
        <w:rPr>
          <w:rFonts w:ascii="Arial" w:hAnsi="Arial" w:cs="Arial"/>
        </w:rPr>
        <w:t xml:space="preserve">A contingent liability disclosed in the </w:t>
      </w:r>
      <w:r>
        <w:fldChar w:fldCharType="begin"/>
      </w:r>
      <w:r>
        <w:instrText xml:space="preserve"> HYPERLINK "https://www.cqc.org.uk/publications/major-report/annual-report-accounts-201819" </w:instrText>
      </w:r>
      <w:r>
        <w:fldChar w:fldCharType="separate"/>
      </w:r>
      <w:r w:rsidRPr="00A76876">
        <w:rPr>
          <w:rStyle w:val="Hyperlink"/>
          <w:rFonts w:ascii="Arial" w:hAnsi="Arial" w:cs="Arial"/>
        </w:rPr>
        <w:t>Care Quality Commission 2018-19 Annual Report</w:t>
      </w:r>
      <w:r>
        <w:fldChar w:fldCharType="end"/>
      </w:r>
      <w:r>
        <w:rPr>
          <w:rFonts w:ascii="Arial" w:hAnsi="Arial" w:cs="Arial"/>
        </w:rPr>
        <w:t xml:space="preserve"> (note 19 on page 127)</w:t>
      </w:r>
      <w:r w:rsidRPr="00A76876">
        <w:rPr>
          <w:rFonts w:ascii="Arial" w:hAnsi="Arial" w:cs="Arial"/>
        </w:rPr>
        <w:t xml:space="preserve"> </w:t>
      </w:r>
      <w:r>
        <w:rPr>
          <w:rFonts w:ascii="Arial" w:hAnsi="Arial" w:cs="Arial"/>
        </w:rPr>
        <w:t xml:space="preserve">in connection with </w:t>
      </w:r>
      <w:r w:rsidRPr="00A76876">
        <w:rPr>
          <w:rFonts w:ascii="Arial" w:hAnsi="Arial" w:cs="Arial"/>
        </w:rPr>
        <w:t>a compliance check in relation to employees who may have more than one permanent workplace</w:t>
      </w:r>
      <w:r>
        <w:rPr>
          <w:rFonts w:ascii="Arial" w:hAnsi="Arial" w:cs="Arial"/>
        </w:rPr>
        <w:t>.</w:t>
      </w:r>
    </w:p>
    <w:p w:rsidR="00700D1B" w:rsidP="00700D1B">
      <w:pPr>
        <w:pStyle w:val="ListParagraph"/>
        <w:numPr>
          <w:ilvl w:val="0"/>
          <w:numId w:val="21"/>
        </w:numPr>
        <w:spacing w:after="120"/>
        <w:jc w:val="both"/>
        <w:rPr>
          <w:rFonts w:ascii="Arial" w:hAnsi="Arial" w:cs="Arial"/>
        </w:rPr>
      </w:pPr>
      <w:r>
        <w:rPr>
          <w:rFonts w:ascii="Arial" w:hAnsi="Arial" w:cs="Arial"/>
        </w:rPr>
        <w:t xml:space="preserve">A contingent liability in relation to the Ian Paterson inquiry. </w:t>
      </w:r>
    </w:p>
    <w:p w:rsidR="00700D1B" w:rsidP="00700D1B">
      <w:pPr>
        <w:pStyle w:val="ListParagraph"/>
        <w:numPr>
          <w:ilvl w:val="0"/>
          <w:numId w:val="21"/>
        </w:numPr>
        <w:spacing w:after="120"/>
        <w:jc w:val="both"/>
        <w:rPr>
          <w:rFonts w:ascii="Arial" w:hAnsi="Arial" w:cs="Arial"/>
        </w:rPr>
      </w:pPr>
      <w:r>
        <w:rPr>
          <w:rFonts w:ascii="Arial" w:hAnsi="Arial" w:cs="Arial"/>
        </w:rPr>
        <w:t>A contingent</w:t>
      </w:r>
      <w:r w:rsidRPr="000C5490">
        <w:rPr>
          <w:rFonts w:ascii="Arial" w:hAnsi="Arial" w:cs="Arial"/>
        </w:rPr>
        <w:t xml:space="preserve"> liability in relation to equipment purchases within the Managed Equipment Service contract held</w:t>
      </w:r>
      <w:r>
        <w:rPr>
          <w:rFonts w:ascii="Arial" w:hAnsi="Arial" w:cs="Arial"/>
        </w:rPr>
        <w:t xml:space="preserve"> by </w:t>
      </w:r>
      <w:r w:rsidRPr="000C5490">
        <w:rPr>
          <w:rFonts w:ascii="Arial" w:hAnsi="Arial" w:cs="Arial"/>
        </w:rPr>
        <w:t>Derby Teaching Hospital Foundation Trust with Althea.</w:t>
      </w:r>
    </w:p>
    <w:p w:rsidR="00700D1B" w:rsidP="00700D1B">
      <w:pPr>
        <w:pStyle w:val="ListParagraph"/>
        <w:numPr>
          <w:ilvl w:val="0"/>
          <w:numId w:val="21"/>
        </w:numPr>
        <w:spacing w:after="120"/>
        <w:jc w:val="both"/>
        <w:rPr>
          <w:rFonts w:ascii="Arial" w:hAnsi="Arial" w:cs="Arial"/>
        </w:rPr>
      </w:pPr>
      <w:r>
        <w:rPr>
          <w:rFonts w:ascii="Arial" w:hAnsi="Arial" w:cs="Arial"/>
        </w:rPr>
        <w:t xml:space="preserve">A contingent liability in relation to </w:t>
      </w:r>
      <w:r w:rsidRPr="000C5490">
        <w:rPr>
          <w:rFonts w:ascii="Arial" w:hAnsi="Arial" w:cs="Arial"/>
        </w:rPr>
        <w:t>funding for certain European Union projects receiving funding after the United Kingdom has left the European Union.</w:t>
      </w:r>
    </w:p>
    <w:p w:rsidR="00700D1B" w:rsidRPr="00565172" w:rsidP="00700D1B">
      <w:pPr>
        <w:ind w:left="567"/>
        <w:jc w:val="both"/>
        <w:rPr>
          <w:rFonts w:eastAsia="Calibri" w:cs="Arial"/>
          <w:sz w:val="22"/>
          <w:szCs w:val="22"/>
        </w:rPr>
      </w:pPr>
    </w:p>
    <w:p w:rsidR="00700D1B" w:rsidRPr="00565172" w:rsidP="00700D1B">
      <w:pPr>
        <w:ind w:left="567"/>
        <w:jc w:val="both"/>
        <w:rPr>
          <w:rFonts w:eastAsia="Calibri" w:cs="Arial"/>
          <w:sz w:val="22"/>
          <w:szCs w:val="22"/>
        </w:rPr>
      </w:pPr>
    </w:p>
    <w:p w:rsidR="00700D1B" w:rsidRPr="00565172" w:rsidP="00700D1B">
      <w:pPr>
        <w:ind w:left="567"/>
        <w:rPr>
          <w:rFonts w:eastAsia="Calibri" w:cs="Arial"/>
          <w:b/>
          <w:sz w:val="22"/>
          <w:szCs w:val="22"/>
        </w:rPr>
      </w:pPr>
    </w:p>
    <w:p w:rsidR="00700D1B" w:rsidRPr="00565172" w:rsidP="00700D1B">
      <w:pPr>
        <w:rPr>
          <w:rFonts w:eastAsia="Calibri" w:cs="Arial"/>
          <w:b/>
          <w:sz w:val="22"/>
          <w:szCs w:val="22"/>
        </w:rPr>
      </w:pPr>
      <w:r w:rsidRPr="00565172">
        <w:rPr>
          <w:rFonts w:eastAsia="Calibri" w:cs="Arial"/>
          <w:b/>
          <w:sz w:val="22"/>
          <w:szCs w:val="22"/>
        </w:rPr>
        <w:br w:type="page"/>
      </w:r>
    </w:p>
    <w:p w:rsidR="00700D1B" w:rsidRPr="00565172" w:rsidP="00700D1B">
      <w:pPr>
        <w:numPr>
          <w:ilvl w:val="0"/>
          <w:numId w:val="8"/>
        </w:numPr>
        <w:spacing w:after="200" w:line="276" w:lineRule="auto"/>
        <w:ind w:left="567" w:hanging="567"/>
        <w:contextualSpacing/>
        <w:rPr>
          <w:rFonts w:eastAsiaTheme="minorHAnsi" w:cs="Arial"/>
          <w:b/>
          <w:sz w:val="22"/>
          <w:szCs w:val="22"/>
          <w:lang w:eastAsia="en-US"/>
        </w:rPr>
      </w:pPr>
      <w:r w:rsidRPr="00565172">
        <w:rPr>
          <w:rFonts w:eastAsiaTheme="minorHAnsi" w:cs="Arial"/>
          <w:b/>
          <w:sz w:val="22"/>
          <w:szCs w:val="22"/>
          <w:lang w:eastAsia="en-US"/>
        </w:rPr>
        <w:t>PRIORITIES AND PERFORMANCE</w:t>
      </w:r>
    </w:p>
    <w:p w:rsidR="00700D1B" w:rsidRPr="00565172" w:rsidP="00700D1B">
      <w:pPr>
        <w:spacing w:line="276" w:lineRule="auto"/>
        <w:ind w:left="567"/>
        <w:contextualSpacing/>
        <w:rPr>
          <w:rFonts w:eastAsiaTheme="minorHAnsi" w:cs="Arial"/>
          <w:b/>
          <w:sz w:val="22"/>
          <w:szCs w:val="22"/>
          <w:lang w:eastAsia="en-US"/>
        </w:rPr>
      </w:pPr>
    </w:p>
    <w:p w:rsidR="00700D1B" w:rsidRPr="00A77F08" w:rsidP="00700D1B">
      <w:pPr>
        <w:numPr>
          <w:ilvl w:val="1"/>
          <w:numId w:val="8"/>
        </w:numPr>
        <w:spacing w:after="200" w:line="276" w:lineRule="auto"/>
        <w:ind w:left="567" w:hanging="567"/>
        <w:rPr>
          <w:rFonts w:eastAsia="Calibri" w:cs="Arial"/>
          <w:b/>
          <w:sz w:val="22"/>
          <w:szCs w:val="22"/>
        </w:rPr>
      </w:pPr>
      <w:r w:rsidRPr="00A77F08">
        <w:rPr>
          <w:rFonts w:eastAsia="Calibri" w:cs="Arial"/>
          <w:b/>
          <w:sz w:val="22"/>
          <w:szCs w:val="22"/>
        </w:rPr>
        <w:t>How Spending Relates to Objectives</w:t>
      </w:r>
    </w:p>
    <w:p w:rsidR="00700D1B" w:rsidP="00700D1B">
      <w:pPr>
        <w:ind w:left="567"/>
        <w:jc w:val="both"/>
        <w:rPr>
          <w:rFonts w:eastAsia="Calibri" w:cs="Arial"/>
          <w:sz w:val="22"/>
          <w:szCs w:val="22"/>
        </w:rPr>
      </w:pPr>
      <w:r>
        <w:rPr>
          <w:rFonts w:eastAsia="Calibri" w:cs="Arial"/>
          <w:sz w:val="22"/>
          <w:szCs w:val="22"/>
        </w:rPr>
        <w:t xml:space="preserve">See section 1.1. </w:t>
      </w:r>
    </w:p>
    <w:p w:rsidR="00700D1B" w:rsidP="00700D1B">
      <w:pPr>
        <w:ind w:left="567"/>
        <w:jc w:val="both"/>
        <w:rPr>
          <w:rFonts w:eastAsia="Calibri" w:cs="Arial"/>
          <w:sz w:val="22"/>
          <w:szCs w:val="22"/>
        </w:rPr>
      </w:pPr>
    </w:p>
    <w:p w:rsidR="00700D1B" w:rsidRPr="00A77F08" w:rsidP="00700D1B">
      <w:pPr>
        <w:rPr>
          <w:rFonts w:eastAsia="Calibri" w:cs="Arial"/>
          <w:sz w:val="22"/>
          <w:szCs w:val="22"/>
          <w:u w:val="single"/>
        </w:rPr>
      </w:pPr>
    </w:p>
    <w:p w:rsidR="00700D1B" w:rsidRPr="00A77F08" w:rsidP="00700D1B">
      <w:pPr>
        <w:numPr>
          <w:ilvl w:val="1"/>
          <w:numId w:val="8"/>
        </w:numPr>
        <w:spacing w:after="200" w:line="276" w:lineRule="auto"/>
        <w:ind w:left="567" w:hanging="567"/>
        <w:rPr>
          <w:rFonts w:eastAsia="Calibri" w:cs="Arial"/>
          <w:b/>
          <w:sz w:val="22"/>
          <w:szCs w:val="22"/>
        </w:rPr>
      </w:pPr>
      <w:r w:rsidRPr="00A77F08">
        <w:rPr>
          <w:rFonts w:eastAsia="Calibri" w:cs="Arial"/>
          <w:b/>
          <w:sz w:val="22"/>
          <w:szCs w:val="22"/>
        </w:rPr>
        <w:t>Measures of Performance against each Priority</w:t>
      </w:r>
    </w:p>
    <w:p w:rsidR="00700D1B" w:rsidRPr="00A77F08" w:rsidP="00700D1B">
      <w:pPr>
        <w:ind w:left="567"/>
        <w:jc w:val="both"/>
        <w:rPr>
          <w:rFonts w:eastAsiaTheme="minorHAnsi" w:cs="Arial"/>
          <w:sz w:val="22"/>
          <w:szCs w:val="22"/>
          <w:lang w:eastAsia="en-US"/>
        </w:rPr>
      </w:pPr>
      <w:r w:rsidRPr="00A77F08">
        <w:rPr>
          <w:rFonts w:eastAsiaTheme="minorHAnsi" w:cs="Arial"/>
          <w:sz w:val="22"/>
          <w:szCs w:val="22"/>
          <w:lang w:eastAsia="en-US"/>
        </w:rPr>
        <w:t>The Department’s priorities are set out in the SDP as detailed in paragraph 1.1.  Each of the DHSC priorities has a DHSC Lead official responsible for the priority.  The Lead official will work with Ministers and bodies within the Departmental group to achieve the objective.</w:t>
      </w:r>
    </w:p>
    <w:p w:rsidR="00700D1B" w:rsidRPr="00A77F08" w:rsidP="00700D1B">
      <w:pPr>
        <w:ind w:left="567"/>
        <w:jc w:val="both"/>
        <w:rPr>
          <w:rFonts w:eastAsiaTheme="minorHAnsi" w:cs="Arial"/>
          <w:sz w:val="22"/>
          <w:szCs w:val="22"/>
          <w:lang w:eastAsia="en-US"/>
        </w:rPr>
      </w:pPr>
    </w:p>
    <w:p w:rsidR="00700D1B" w:rsidRPr="00A77F08" w:rsidP="00700D1B">
      <w:pPr>
        <w:ind w:left="567"/>
        <w:jc w:val="both"/>
        <w:rPr>
          <w:rFonts w:eastAsiaTheme="minorHAnsi" w:cs="Arial"/>
          <w:sz w:val="22"/>
          <w:szCs w:val="22"/>
          <w:lang w:eastAsia="en-US"/>
        </w:rPr>
      </w:pPr>
      <w:r w:rsidRPr="00A77F08">
        <w:rPr>
          <w:rFonts w:eastAsiaTheme="minorHAnsi" w:cs="Arial"/>
          <w:sz w:val="22"/>
          <w:szCs w:val="22"/>
          <w:lang w:eastAsia="en-US"/>
        </w:rPr>
        <w:t xml:space="preserve">For example, the priority to </w:t>
      </w:r>
      <w:r w:rsidRPr="00A77F08">
        <w:rPr>
          <w:rFonts w:eastAsiaTheme="minorHAnsi" w:cs="Arial"/>
          <w:i/>
          <w:sz w:val="22"/>
          <w:szCs w:val="22"/>
          <w:lang w:eastAsia="en-US"/>
        </w:rPr>
        <w:t>‘keep people healthy and support economic productivity and sustainable public services’</w:t>
      </w:r>
      <w:r w:rsidRPr="00A77F08">
        <w:rPr>
          <w:rFonts w:eastAsiaTheme="minorHAnsi" w:cs="Arial"/>
          <w:sz w:val="22"/>
          <w:szCs w:val="22"/>
          <w:lang w:eastAsia="en-US"/>
        </w:rPr>
        <w:t xml:space="preserve"> involves a number of bodies within the group, such as NHS England, NHS Improvement, Public Health England, NHS Blood and Transplant, the Human Fertilisation and Embryology Authority and the Human Tissue Authority.</w:t>
      </w:r>
    </w:p>
    <w:p w:rsidR="00700D1B" w:rsidRPr="00A77F08" w:rsidP="00700D1B">
      <w:pPr>
        <w:ind w:left="567"/>
        <w:jc w:val="both"/>
        <w:rPr>
          <w:rFonts w:eastAsiaTheme="minorHAnsi" w:cs="Arial"/>
          <w:sz w:val="22"/>
          <w:szCs w:val="22"/>
          <w:lang w:eastAsia="en-US"/>
        </w:rPr>
      </w:pPr>
    </w:p>
    <w:p w:rsidR="00700D1B" w:rsidRPr="00A77F08" w:rsidP="00700D1B">
      <w:pPr>
        <w:ind w:left="567"/>
        <w:jc w:val="both"/>
        <w:rPr>
          <w:rFonts w:eastAsiaTheme="minorHAnsi" w:cs="Arial"/>
          <w:sz w:val="22"/>
          <w:szCs w:val="22"/>
          <w:lang w:eastAsia="en-US"/>
        </w:rPr>
      </w:pPr>
      <w:r w:rsidRPr="00A77F08">
        <w:rPr>
          <w:rFonts w:eastAsiaTheme="minorHAnsi" w:cs="Arial"/>
          <w:sz w:val="22"/>
          <w:szCs w:val="22"/>
          <w:lang w:eastAsia="en-US"/>
        </w:rPr>
        <w:t>The bodies mentioned above are a combination of NHS Bodies, Executive Agencies and Public Corporations and therefore are detailed on numerous DHSC Estimate lines.  The DHSC has certain performance indicators it uses to ensure the objectives are being met. One such indicator is the NHS Outcomes Framework.</w:t>
      </w:r>
    </w:p>
    <w:p w:rsidR="00700D1B" w:rsidRPr="00A77F08" w:rsidP="00700D1B">
      <w:pPr>
        <w:jc w:val="both"/>
        <w:rPr>
          <w:rFonts w:eastAsiaTheme="minorHAnsi" w:cs="Arial"/>
          <w:b/>
          <w:sz w:val="22"/>
          <w:szCs w:val="22"/>
          <w:lang w:eastAsia="en-US"/>
        </w:rPr>
      </w:pPr>
    </w:p>
    <w:p w:rsidR="00700D1B" w:rsidRPr="00A77F08" w:rsidP="00700D1B">
      <w:pPr>
        <w:ind w:left="567"/>
        <w:jc w:val="both"/>
        <w:rPr>
          <w:rFonts w:eastAsiaTheme="minorHAnsi" w:cs="Arial"/>
          <w:sz w:val="22"/>
          <w:szCs w:val="22"/>
          <w:lang w:eastAsia="en-US"/>
        </w:rPr>
      </w:pPr>
      <w:r w:rsidRPr="00A77F08">
        <w:rPr>
          <w:rFonts w:eastAsiaTheme="minorHAnsi" w:cs="Arial"/>
          <w:sz w:val="22"/>
          <w:szCs w:val="22"/>
          <w:lang w:eastAsia="en-US"/>
        </w:rPr>
        <w:t>The NHS Outcomes Framework (NHSOF) is a set of indicators developed by the DHSC to monitor the health outcomes of adults and children in England. The Framework provides an overview of how the NHS is performing.  The NHSOF comprises five domains: preventing people from dying prematurely, enhancing quality of life for people with long-term conditions; helping people to recover from episodes of ill-health or following injury; ensuring people have a positive experience of care; treating and caring for people in a safe environment and protecting them from avoidable harm.</w:t>
      </w:r>
    </w:p>
    <w:p w:rsidR="00700D1B" w:rsidRPr="00A77F08" w:rsidP="00700D1B">
      <w:pPr>
        <w:ind w:left="567"/>
        <w:jc w:val="both"/>
        <w:rPr>
          <w:rFonts w:eastAsiaTheme="minorHAnsi" w:cs="Arial"/>
          <w:sz w:val="22"/>
          <w:szCs w:val="22"/>
          <w:lang w:eastAsia="en-US"/>
        </w:rPr>
      </w:pPr>
    </w:p>
    <w:p w:rsidR="00700D1B" w:rsidRPr="00A77F08" w:rsidP="00700D1B">
      <w:pPr>
        <w:ind w:left="567"/>
        <w:jc w:val="both"/>
        <w:rPr>
          <w:rFonts w:eastAsiaTheme="minorHAnsi" w:cs="Arial"/>
          <w:sz w:val="22"/>
          <w:szCs w:val="22"/>
          <w:lang w:eastAsia="en-US"/>
        </w:rPr>
      </w:pPr>
      <w:r w:rsidRPr="00A77F08">
        <w:rPr>
          <w:rFonts w:eastAsiaTheme="minorHAnsi" w:cs="Arial"/>
          <w:sz w:val="22"/>
          <w:szCs w:val="22"/>
          <w:lang w:eastAsia="en-US"/>
        </w:rPr>
        <w:t xml:space="preserve">More information can be found on the NHS Digital website at </w:t>
      </w:r>
      <w:r>
        <w:fldChar w:fldCharType="begin"/>
      </w:r>
      <w:r>
        <w:instrText xml:space="preserve"> HYPERLINK "https://digital.nhs.uk/data-and-information/publications/ci-hub/nhs-outcomes-framework" </w:instrText>
      </w:r>
      <w:r>
        <w:fldChar w:fldCharType="separate"/>
      </w:r>
      <w:r w:rsidRPr="00A77F08">
        <w:rPr>
          <w:rFonts w:eastAsiaTheme="minorHAnsi" w:cs="Arial"/>
          <w:color w:val="0000FF" w:themeColor="hyperlink"/>
          <w:sz w:val="22"/>
          <w:szCs w:val="22"/>
          <w:u w:val="single"/>
          <w:lang w:eastAsia="en-US"/>
        </w:rPr>
        <w:t>Link to NHS Outcomes Framework</w:t>
      </w:r>
      <w:r>
        <w:fldChar w:fldCharType="end"/>
      </w:r>
      <w:r w:rsidRPr="00A77F08">
        <w:rPr>
          <w:rFonts w:eastAsiaTheme="minorHAnsi" w:cs="Arial"/>
          <w:sz w:val="22"/>
          <w:szCs w:val="22"/>
          <w:lang w:eastAsia="en-US"/>
        </w:rPr>
        <w:t>.</w:t>
      </w:r>
    </w:p>
    <w:p w:rsidR="00700D1B" w:rsidRPr="00A77F08" w:rsidP="00700D1B">
      <w:pPr>
        <w:ind w:left="567"/>
        <w:jc w:val="both"/>
        <w:rPr>
          <w:rFonts w:eastAsiaTheme="minorHAnsi" w:cs="Arial"/>
          <w:sz w:val="22"/>
          <w:szCs w:val="22"/>
          <w:lang w:eastAsia="en-US"/>
        </w:rPr>
      </w:pPr>
    </w:p>
    <w:p w:rsidR="00700D1B" w:rsidP="00700D1B">
      <w:pPr>
        <w:ind w:left="567"/>
        <w:jc w:val="both"/>
      </w:pPr>
      <w:r w:rsidRPr="00A77F08">
        <w:rPr>
          <w:rFonts w:eastAsiaTheme="minorHAnsi" w:cs="Arial"/>
          <w:sz w:val="22"/>
          <w:szCs w:val="22"/>
          <w:lang w:eastAsia="en-US"/>
        </w:rPr>
        <w:t xml:space="preserve">More information on the SDP and performance against the </w:t>
      </w:r>
      <w:r>
        <w:rPr>
          <w:rFonts w:eastAsiaTheme="minorHAnsi" w:cs="Arial"/>
          <w:sz w:val="22"/>
          <w:szCs w:val="22"/>
          <w:lang w:eastAsia="en-US"/>
        </w:rPr>
        <w:t xml:space="preserve">2019-20 </w:t>
      </w:r>
      <w:r w:rsidRPr="00A77F08">
        <w:rPr>
          <w:rFonts w:eastAsiaTheme="minorHAnsi" w:cs="Arial"/>
          <w:sz w:val="22"/>
          <w:szCs w:val="22"/>
          <w:lang w:eastAsia="en-US"/>
        </w:rPr>
        <w:t xml:space="preserve">DHSC objectives can be found in the </w:t>
      </w:r>
      <w:r>
        <w:fldChar w:fldCharType="begin"/>
      </w:r>
      <w:r>
        <w:instrText xml:space="preserve"> HYPERLINK "https://assets.publishing.service.gov.uk/government/uploads/system/uploads/attachment_data/file/956804/Department_of_Health_and_Social_Care_Annual_Report_and_Accounts_2019-20.pdf" </w:instrText>
      </w:r>
      <w:r>
        <w:fldChar w:fldCharType="separate"/>
      </w:r>
      <w:r w:rsidRPr="004C4DED">
        <w:rPr>
          <w:rStyle w:val="Hyperlink"/>
          <w:sz w:val="22"/>
          <w:szCs w:val="22"/>
        </w:rPr>
        <w:t>DHSC 2019-20 Annual Report</w:t>
      </w:r>
      <w:r>
        <w:fldChar w:fldCharType="end"/>
      </w:r>
      <w:r w:rsidRPr="004C4DED">
        <w:rPr>
          <w:sz w:val="22"/>
          <w:szCs w:val="22"/>
        </w:rPr>
        <w:t xml:space="preserve">. </w:t>
      </w:r>
    </w:p>
    <w:p w:rsidR="00700D1B" w:rsidRPr="00FD5C3A" w:rsidP="00700D1B">
      <w:pPr>
        <w:ind w:left="567"/>
        <w:jc w:val="both"/>
      </w:pPr>
    </w:p>
    <w:p w:rsidR="00700D1B" w:rsidRPr="00A77F08" w:rsidP="00700D1B">
      <w:pPr>
        <w:ind w:left="1287"/>
        <w:jc w:val="both"/>
        <w:rPr>
          <w:rFonts w:eastAsia="Calibri" w:cs="Arial"/>
          <w:sz w:val="22"/>
          <w:szCs w:val="22"/>
          <w:u w:val="single"/>
        </w:rPr>
      </w:pPr>
    </w:p>
    <w:p w:rsidR="00700D1B" w:rsidRPr="00565172" w:rsidP="00700D1B">
      <w:pPr>
        <w:numPr>
          <w:ilvl w:val="1"/>
          <w:numId w:val="8"/>
        </w:numPr>
        <w:spacing w:after="120" w:line="276" w:lineRule="auto"/>
        <w:jc w:val="both"/>
        <w:rPr>
          <w:rFonts w:eastAsia="Calibri" w:cs="Arial"/>
          <w:b/>
          <w:sz w:val="22"/>
          <w:szCs w:val="22"/>
        </w:rPr>
      </w:pPr>
      <w:r w:rsidRPr="00565172">
        <w:rPr>
          <w:rFonts w:eastAsia="Calibri" w:cs="Arial"/>
          <w:b/>
          <w:sz w:val="22"/>
          <w:szCs w:val="22"/>
        </w:rPr>
        <w:t>Major Projects</w:t>
      </w:r>
    </w:p>
    <w:p w:rsidR="00700D1B" w:rsidRPr="00565172" w:rsidP="00700D1B">
      <w:pPr>
        <w:ind w:left="567"/>
        <w:contextualSpacing/>
        <w:jc w:val="both"/>
        <w:rPr>
          <w:rFonts w:eastAsiaTheme="minorHAnsi" w:cs="Arial"/>
          <w:color w:val="0000FF" w:themeColor="hyperlink"/>
          <w:sz w:val="22"/>
          <w:szCs w:val="22"/>
          <w:u w:val="single"/>
          <w:lang w:eastAsia="en-US"/>
        </w:rPr>
      </w:pPr>
      <w:r w:rsidRPr="00565172">
        <w:rPr>
          <w:rFonts w:eastAsiaTheme="minorHAnsi" w:cs="Arial"/>
          <w:sz w:val="22"/>
          <w:szCs w:val="22"/>
          <w:lang w:eastAsia="en-US"/>
        </w:rPr>
        <w:t xml:space="preserve">The DHSC has several major projects which are financed from Resource and Capital DEL.  Details of the project aims, Departmental commentary on actions planned or taken and timescales for implementation can be found at </w:t>
      </w:r>
      <w:r>
        <w:fldChar w:fldCharType="begin"/>
      </w:r>
      <w:r>
        <w:instrText xml:space="preserve"> HYPERLINK "https://www.gov.uk/government/publications/dhsc-government-major-projects-portfolio-data-2019" </w:instrText>
      </w:r>
      <w:r>
        <w:fldChar w:fldCharType="separate"/>
      </w:r>
      <w:r w:rsidRPr="00565172">
        <w:rPr>
          <w:rFonts w:eastAsiaTheme="minorHAnsi" w:cs="Arial"/>
          <w:color w:val="0000FF"/>
          <w:sz w:val="22"/>
          <w:szCs w:val="22"/>
          <w:u w:val="single"/>
          <w:lang w:eastAsia="en-US"/>
        </w:rPr>
        <w:t>DHSC Government Major Projects Portfolio data 2019.</w:t>
      </w:r>
      <w:r>
        <w:fldChar w:fldCharType="end"/>
      </w:r>
    </w:p>
    <w:p w:rsidR="00700D1B" w:rsidP="00700D1B">
      <w:pPr>
        <w:ind w:left="567"/>
        <w:jc w:val="both"/>
        <w:rPr>
          <w:rFonts w:eastAsiaTheme="minorHAnsi" w:cs="Arial"/>
          <w:b/>
          <w:sz w:val="22"/>
          <w:szCs w:val="22"/>
          <w:lang w:eastAsia="en-US"/>
        </w:rPr>
      </w:pPr>
    </w:p>
    <w:p w:rsidR="00700D1B" w:rsidP="00700D1B">
      <w:pPr>
        <w:ind w:left="567"/>
        <w:jc w:val="both"/>
        <w:rPr>
          <w:rFonts w:eastAsiaTheme="minorHAnsi" w:cs="Arial"/>
          <w:b/>
          <w:sz w:val="22"/>
          <w:szCs w:val="22"/>
          <w:lang w:eastAsia="en-US"/>
        </w:rPr>
      </w:pPr>
    </w:p>
    <w:p w:rsidR="00700D1B" w:rsidRPr="00F12EF0" w:rsidP="00700D1B">
      <w:pPr>
        <w:ind w:left="567"/>
        <w:jc w:val="both"/>
        <w:rPr>
          <w:rFonts w:eastAsiaTheme="minorHAnsi" w:cs="Arial"/>
          <w:bCs/>
          <w:sz w:val="22"/>
          <w:szCs w:val="22"/>
          <w:lang w:eastAsia="en-US"/>
        </w:rPr>
      </w:pPr>
    </w:p>
    <w:p w:rsidR="00700D1B" w:rsidRPr="00565172" w:rsidP="00700D1B">
      <w:pPr>
        <w:ind w:left="567"/>
        <w:jc w:val="both"/>
        <w:rPr>
          <w:rFonts w:eastAsiaTheme="minorHAnsi" w:cs="Arial"/>
          <w:b/>
          <w:sz w:val="22"/>
          <w:szCs w:val="22"/>
          <w:lang w:eastAsia="en-US"/>
        </w:rPr>
      </w:pPr>
      <w:r w:rsidRPr="00565172">
        <w:rPr>
          <w:rFonts w:eastAsiaTheme="minorHAnsi" w:cs="Arial"/>
          <w:b/>
          <w:sz w:val="22"/>
          <w:szCs w:val="22"/>
          <w:lang w:eastAsia="en-US"/>
        </w:rPr>
        <w:br w:type="page"/>
      </w:r>
    </w:p>
    <w:p w:rsidR="00700D1B" w:rsidRPr="00565172" w:rsidP="00700D1B">
      <w:pPr>
        <w:numPr>
          <w:ilvl w:val="0"/>
          <w:numId w:val="8"/>
        </w:numPr>
        <w:spacing w:after="200" w:line="276" w:lineRule="auto"/>
        <w:ind w:left="567" w:hanging="567"/>
        <w:contextualSpacing/>
        <w:rPr>
          <w:rFonts w:eastAsiaTheme="minorHAnsi" w:cs="Arial"/>
          <w:b/>
          <w:sz w:val="22"/>
          <w:szCs w:val="22"/>
          <w:lang w:eastAsia="en-US"/>
        </w:rPr>
      </w:pPr>
      <w:r w:rsidRPr="00565172">
        <w:rPr>
          <w:rFonts w:eastAsiaTheme="minorHAnsi" w:cs="Arial"/>
          <w:b/>
          <w:sz w:val="22"/>
          <w:szCs w:val="22"/>
          <w:lang w:eastAsia="en-US"/>
        </w:rPr>
        <w:t>OTHER INFORMATION</w:t>
      </w:r>
    </w:p>
    <w:p w:rsidR="00700D1B" w:rsidRPr="00565172" w:rsidP="00700D1B">
      <w:pPr>
        <w:spacing w:line="276" w:lineRule="auto"/>
        <w:ind w:left="567"/>
        <w:contextualSpacing/>
        <w:rPr>
          <w:rFonts w:eastAsiaTheme="minorHAnsi" w:cs="Arial"/>
          <w:b/>
          <w:sz w:val="22"/>
          <w:szCs w:val="22"/>
          <w:lang w:eastAsia="en-US"/>
        </w:rPr>
      </w:pPr>
    </w:p>
    <w:p w:rsidR="00700D1B" w:rsidRPr="00565172" w:rsidP="00700D1B">
      <w:pPr>
        <w:numPr>
          <w:ilvl w:val="1"/>
          <w:numId w:val="8"/>
        </w:numPr>
        <w:spacing w:after="120" w:line="276" w:lineRule="auto"/>
        <w:ind w:left="567" w:hanging="567"/>
        <w:rPr>
          <w:rFonts w:eastAsia="Calibri" w:cs="Arial"/>
          <w:b/>
          <w:sz w:val="22"/>
          <w:szCs w:val="22"/>
        </w:rPr>
      </w:pPr>
      <w:r w:rsidRPr="00565172">
        <w:rPr>
          <w:rFonts w:eastAsia="Calibri" w:cs="Arial"/>
          <w:b/>
          <w:sz w:val="22"/>
          <w:szCs w:val="22"/>
        </w:rPr>
        <w:t>NHS England</w:t>
      </w:r>
    </w:p>
    <w:p w:rsidR="00700D1B" w:rsidRPr="00565172" w:rsidP="00700D1B">
      <w:pPr>
        <w:ind w:left="567"/>
        <w:jc w:val="both"/>
        <w:rPr>
          <w:rFonts w:eastAsia="Calibri" w:cs="Arial"/>
          <w:bCs/>
          <w:sz w:val="22"/>
          <w:szCs w:val="22"/>
        </w:rPr>
      </w:pPr>
      <w:r w:rsidRPr="00565172">
        <w:rPr>
          <w:rFonts w:eastAsia="Calibri" w:cs="Arial"/>
          <w:bCs/>
          <w:sz w:val="22"/>
          <w:szCs w:val="22"/>
        </w:rPr>
        <w:t xml:space="preserve">The resources made available to NHSE in the </w:t>
      </w:r>
      <w:r>
        <w:rPr>
          <w:rFonts w:eastAsia="Calibri" w:cs="Arial"/>
          <w:bCs/>
          <w:sz w:val="22"/>
          <w:szCs w:val="22"/>
        </w:rPr>
        <w:t>2020-21 Supplementary Estimate will be</w:t>
      </w:r>
      <w:r w:rsidRPr="00565172">
        <w:rPr>
          <w:rFonts w:eastAsia="Calibri" w:cs="Arial"/>
          <w:bCs/>
          <w:sz w:val="22"/>
          <w:szCs w:val="22"/>
        </w:rPr>
        <w:t xml:space="preserve"> set out in the Financial Directions to the</w:t>
      </w:r>
      <w:r>
        <w:rPr>
          <w:rFonts w:eastAsia="Calibri" w:cs="Arial"/>
          <w:bCs/>
          <w:sz w:val="22"/>
          <w:szCs w:val="22"/>
        </w:rPr>
        <w:t xml:space="preserve"> refreshed</w:t>
      </w:r>
      <w:r w:rsidRPr="00565172">
        <w:rPr>
          <w:rFonts w:eastAsia="Calibri" w:cs="Arial"/>
          <w:bCs/>
          <w:sz w:val="22"/>
          <w:szCs w:val="22"/>
        </w:rPr>
        <w:t xml:space="preserve"> Mandate to be published </w:t>
      </w:r>
      <w:r>
        <w:rPr>
          <w:rFonts w:eastAsia="Calibri" w:cs="Arial"/>
          <w:bCs/>
          <w:sz w:val="22"/>
          <w:szCs w:val="22"/>
        </w:rPr>
        <w:t xml:space="preserve">in Spring </w:t>
      </w:r>
      <w:r w:rsidRPr="00565172">
        <w:rPr>
          <w:rFonts w:eastAsia="Calibri" w:cs="Arial"/>
          <w:bCs/>
          <w:sz w:val="22"/>
          <w:szCs w:val="22"/>
        </w:rPr>
        <w:t>202</w:t>
      </w:r>
      <w:r>
        <w:rPr>
          <w:rFonts w:eastAsia="Calibri" w:cs="Arial"/>
          <w:bCs/>
          <w:sz w:val="22"/>
          <w:szCs w:val="22"/>
        </w:rPr>
        <w:t>1.</w:t>
      </w:r>
      <w:r w:rsidRPr="00565172">
        <w:rPr>
          <w:rFonts w:eastAsia="Calibri" w:cs="Arial"/>
          <w:bCs/>
          <w:sz w:val="22"/>
          <w:szCs w:val="22"/>
        </w:rPr>
        <w:t xml:space="preserve">  The figures in the </w:t>
      </w:r>
      <w:r>
        <w:rPr>
          <w:rFonts w:eastAsia="Calibri" w:cs="Arial"/>
          <w:bCs/>
          <w:sz w:val="22"/>
          <w:szCs w:val="22"/>
        </w:rPr>
        <w:t>2020-21 Supplementary</w:t>
      </w:r>
      <w:r w:rsidRPr="00565172">
        <w:rPr>
          <w:rFonts w:eastAsia="Calibri" w:cs="Arial"/>
          <w:bCs/>
          <w:sz w:val="22"/>
          <w:szCs w:val="22"/>
        </w:rPr>
        <w:t xml:space="preserve"> Estimate will not reconcile to those in the </w:t>
      </w:r>
      <w:r>
        <w:rPr>
          <w:rFonts w:eastAsia="Calibri" w:cs="Arial"/>
          <w:bCs/>
          <w:sz w:val="22"/>
          <w:szCs w:val="22"/>
        </w:rPr>
        <w:t xml:space="preserve">original </w:t>
      </w:r>
      <w:r w:rsidRPr="00565172">
        <w:rPr>
          <w:rFonts w:eastAsia="Calibri" w:cs="Arial"/>
          <w:bCs/>
          <w:sz w:val="22"/>
          <w:szCs w:val="22"/>
        </w:rPr>
        <w:t xml:space="preserve">Financial Directions </w:t>
      </w:r>
      <w:r>
        <w:rPr>
          <w:rFonts w:eastAsia="Calibri" w:cs="Arial"/>
          <w:bCs/>
          <w:sz w:val="22"/>
          <w:szCs w:val="22"/>
        </w:rPr>
        <w:t xml:space="preserve">published on 25 March 2020 or the revised Financial Directions </w:t>
      </w:r>
      <w:r w:rsidRPr="00565172">
        <w:rPr>
          <w:rFonts w:eastAsia="Calibri" w:cs="Arial"/>
          <w:bCs/>
          <w:sz w:val="22"/>
          <w:szCs w:val="22"/>
        </w:rPr>
        <w:t>for the following reasons:</w:t>
      </w:r>
    </w:p>
    <w:p w:rsidR="00700D1B" w:rsidRPr="00565172" w:rsidP="00700D1B">
      <w:pPr>
        <w:ind w:left="567"/>
        <w:jc w:val="both"/>
        <w:rPr>
          <w:rFonts w:eastAsia="Calibri" w:cs="Arial"/>
          <w:b/>
          <w:bCs/>
          <w:sz w:val="22"/>
          <w:szCs w:val="22"/>
        </w:rPr>
      </w:pPr>
    </w:p>
    <w:p w:rsidR="00700D1B" w:rsidRPr="00565172" w:rsidP="00700D1B">
      <w:pPr>
        <w:numPr>
          <w:ilvl w:val="0"/>
          <w:numId w:val="5"/>
        </w:numPr>
        <w:spacing w:after="200" w:line="276" w:lineRule="auto"/>
        <w:ind w:left="925" w:hanging="357"/>
        <w:jc w:val="both"/>
        <w:rPr>
          <w:rFonts w:cs="Arial"/>
          <w:sz w:val="22"/>
          <w:szCs w:val="22"/>
        </w:rPr>
      </w:pPr>
      <w:r w:rsidRPr="00565172">
        <w:rPr>
          <w:rFonts w:cs="Arial"/>
          <w:sz w:val="22"/>
          <w:szCs w:val="22"/>
        </w:rPr>
        <w:t xml:space="preserve">In line with HM Treasury Estimates conventions, figures are presented on a consolidated basis i.e. adjusted for intra-group trading transactions; </w:t>
      </w:r>
    </w:p>
    <w:p w:rsidR="00700D1B" w:rsidRPr="00565172" w:rsidP="00700D1B">
      <w:pPr>
        <w:numPr>
          <w:ilvl w:val="0"/>
          <w:numId w:val="5"/>
        </w:numPr>
        <w:spacing w:after="200" w:line="276" w:lineRule="auto"/>
        <w:ind w:left="925" w:hanging="357"/>
        <w:jc w:val="both"/>
        <w:rPr>
          <w:rFonts w:cs="Arial"/>
          <w:sz w:val="22"/>
          <w:szCs w:val="22"/>
        </w:rPr>
      </w:pPr>
      <w:r w:rsidRPr="00565172">
        <w:rPr>
          <w:rFonts w:cs="Arial"/>
          <w:sz w:val="22"/>
          <w:szCs w:val="22"/>
        </w:rPr>
        <w:t>NHSE expenditure is part-financed by non-voted National Insurance Contributions; and</w:t>
      </w:r>
    </w:p>
    <w:p w:rsidR="00700D1B" w:rsidRPr="00565172" w:rsidP="00700D1B">
      <w:pPr>
        <w:numPr>
          <w:ilvl w:val="0"/>
          <w:numId w:val="5"/>
        </w:numPr>
        <w:spacing w:after="200" w:line="276" w:lineRule="auto"/>
        <w:ind w:left="925" w:hanging="357"/>
        <w:jc w:val="both"/>
        <w:rPr>
          <w:rFonts w:cs="Arial"/>
          <w:sz w:val="22"/>
          <w:szCs w:val="22"/>
        </w:rPr>
      </w:pPr>
      <w:r w:rsidRPr="00565172">
        <w:rPr>
          <w:rFonts w:cs="Arial"/>
          <w:sz w:val="22"/>
          <w:szCs w:val="22"/>
        </w:rPr>
        <w:t>Differences between the figures in the Estimate and those in the Mandate caused by timing differences</w:t>
      </w:r>
      <w:r>
        <w:rPr>
          <w:rFonts w:cs="Arial"/>
          <w:sz w:val="22"/>
          <w:szCs w:val="22"/>
        </w:rPr>
        <w:t xml:space="preserve">, these are large for 2020-21 due to the inclusion of </w:t>
      </w:r>
      <w:r>
        <w:rPr>
          <w:rFonts w:cs="Arial"/>
          <w:sz w:val="22"/>
          <w:szCs w:val="22"/>
        </w:rPr>
        <w:t>the majority of</w:t>
      </w:r>
      <w:r>
        <w:rPr>
          <w:rFonts w:cs="Arial"/>
          <w:sz w:val="22"/>
          <w:szCs w:val="22"/>
        </w:rPr>
        <w:t xml:space="preserve"> Covid-19 funding in the Supplementary Estimate</w:t>
      </w:r>
      <w:r w:rsidRPr="00565172">
        <w:rPr>
          <w:rFonts w:cs="Arial"/>
          <w:sz w:val="22"/>
          <w:szCs w:val="22"/>
        </w:rPr>
        <w:t>.</w:t>
      </w:r>
    </w:p>
    <w:p w:rsidR="00700D1B" w:rsidRPr="00565172" w:rsidP="00700D1B">
      <w:pPr>
        <w:ind w:left="567"/>
        <w:jc w:val="both"/>
      </w:pPr>
      <w:r>
        <w:fldChar w:fldCharType="begin"/>
      </w:r>
      <w:r>
        <w:instrText xml:space="preserve"> HYPERLINK "https://www.gov.uk/government/publications/nhs-mandate-2020-to-2021" </w:instrText>
      </w:r>
      <w:r>
        <w:fldChar w:fldCharType="separate"/>
      </w:r>
      <w:r w:rsidRPr="00565172">
        <w:rPr>
          <w:color w:val="0000FF"/>
          <w:u w:val="single"/>
        </w:rPr>
        <w:t>Link to the 2020-21 NHSE Mandate</w:t>
      </w:r>
      <w:r>
        <w:fldChar w:fldCharType="end"/>
      </w:r>
      <w:r>
        <w:rPr>
          <w:color w:val="0000FF"/>
          <w:u w:val="single"/>
        </w:rPr>
        <w:t xml:space="preserve">  </w:t>
      </w:r>
    </w:p>
    <w:p w:rsidR="00700D1B" w:rsidRPr="00565172" w:rsidP="00700D1B">
      <w:pPr>
        <w:ind w:left="567"/>
        <w:jc w:val="both"/>
        <w:rPr>
          <w:sz w:val="22"/>
          <w:szCs w:val="22"/>
        </w:rPr>
      </w:pPr>
    </w:p>
    <w:p w:rsidR="00700D1B" w:rsidP="00700D1B">
      <w:pPr>
        <w:ind w:left="567"/>
        <w:jc w:val="both"/>
        <w:rPr>
          <w:rFonts w:cs="Arial"/>
          <w:bCs/>
          <w:sz w:val="22"/>
          <w:szCs w:val="22"/>
        </w:rPr>
      </w:pPr>
      <w:r w:rsidRPr="00565172">
        <w:rPr>
          <w:rFonts w:cs="Arial"/>
          <w:bCs/>
          <w:sz w:val="22"/>
          <w:szCs w:val="22"/>
        </w:rPr>
        <w:t>The table below reconciles the NHSE Estimate provision to the current published 2020-21 NHSE Mandate.</w:t>
      </w:r>
      <w:r>
        <w:rPr>
          <w:rFonts w:cs="Arial"/>
          <w:bCs/>
          <w:sz w:val="22"/>
          <w:szCs w:val="22"/>
        </w:rPr>
        <w:t xml:space="preserve"> </w:t>
      </w:r>
    </w:p>
    <w:p w:rsidR="00700D1B" w:rsidP="00700D1B">
      <w:pPr>
        <w:ind w:left="567"/>
        <w:jc w:val="both"/>
        <w:rPr>
          <w:rFonts w:cs="Arial"/>
          <w:bCs/>
          <w:sz w:val="22"/>
          <w:szCs w:val="22"/>
        </w:rPr>
      </w:pPr>
    </w:p>
    <w:tbl>
      <w:tblPr>
        <w:tblW w:w="9336" w:type="dxa"/>
        <w:tblInd w:w="724" w:type="dxa"/>
        <w:tblLook w:val="04A0"/>
      </w:tblPr>
      <w:tblGrid>
        <w:gridCol w:w="412"/>
        <w:gridCol w:w="6148"/>
        <w:gridCol w:w="1500"/>
        <w:gridCol w:w="1276"/>
      </w:tblGrid>
      <w:tr w:rsidTr="00700D1B">
        <w:tblPrEx>
          <w:tblW w:w="9336" w:type="dxa"/>
          <w:tblInd w:w="724" w:type="dxa"/>
          <w:tblLook w:val="04A0"/>
        </w:tblPrEx>
        <w:trPr>
          <w:trHeight w:val="300"/>
        </w:trPr>
        <w:tc>
          <w:tcPr>
            <w:tcW w:w="6560" w:type="dxa"/>
            <w:gridSpan w:val="2"/>
            <w:vMerge w:val="restart"/>
            <w:tcBorders>
              <w:top w:val="single" w:sz="4" w:space="0" w:color="auto"/>
              <w:left w:val="single" w:sz="4" w:space="0" w:color="auto"/>
              <w:bottom w:val="single" w:sz="4" w:space="0" w:color="000000"/>
              <w:right w:val="single" w:sz="4" w:space="0" w:color="000000"/>
            </w:tcBorders>
            <w:shd w:val="clear" w:color="000000" w:fill="16365C"/>
            <w:vAlign w:val="center"/>
            <w:hideMark/>
          </w:tcPr>
          <w:p w:rsidR="00700D1B" w:rsidRPr="004C4DED" w:rsidP="00700D1B">
            <w:pPr>
              <w:rPr>
                <w:rFonts w:cs="Arial"/>
                <w:b/>
                <w:bCs/>
                <w:color w:val="FFFFFF"/>
                <w:sz w:val="22"/>
                <w:szCs w:val="22"/>
              </w:rPr>
            </w:pPr>
            <w:r w:rsidRPr="004C4DED">
              <w:rPr>
                <w:rFonts w:cs="Arial"/>
                <w:b/>
                <w:bCs/>
                <w:color w:val="FFFFFF"/>
                <w:sz w:val="22"/>
                <w:szCs w:val="22"/>
              </w:rPr>
              <w:t>Reconciliation between the Estimate and the Mandate</w:t>
            </w:r>
          </w:p>
        </w:tc>
        <w:tc>
          <w:tcPr>
            <w:tcW w:w="1500" w:type="dxa"/>
            <w:tcBorders>
              <w:top w:val="single" w:sz="4" w:space="0" w:color="auto"/>
              <w:left w:val="nil"/>
              <w:bottom w:val="single" w:sz="4" w:space="0" w:color="auto"/>
              <w:right w:val="single" w:sz="4" w:space="0" w:color="auto"/>
            </w:tcBorders>
            <w:shd w:val="clear" w:color="000000" w:fill="16365C"/>
            <w:noWrap/>
            <w:vAlign w:val="bottom"/>
            <w:hideMark/>
          </w:tcPr>
          <w:p w:rsidR="00700D1B" w:rsidRPr="004C4DED" w:rsidP="00700D1B">
            <w:pPr>
              <w:jc w:val="right"/>
              <w:rPr>
                <w:rFonts w:cs="Arial"/>
                <w:b/>
                <w:bCs/>
                <w:color w:val="FFFFFF"/>
                <w:sz w:val="22"/>
                <w:szCs w:val="22"/>
              </w:rPr>
            </w:pPr>
            <w:r w:rsidRPr="004C4DED">
              <w:rPr>
                <w:rFonts w:cs="Arial"/>
                <w:b/>
                <w:bCs/>
                <w:color w:val="FFFFFF"/>
                <w:sz w:val="22"/>
                <w:szCs w:val="22"/>
              </w:rPr>
              <w:t>Resource</w:t>
            </w:r>
          </w:p>
        </w:tc>
        <w:tc>
          <w:tcPr>
            <w:tcW w:w="1276" w:type="dxa"/>
            <w:tcBorders>
              <w:top w:val="single" w:sz="4" w:space="0" w:color="auto"/>
              <w:left w:val="nil"/>
              <w:bottom w:val="single" w:sz="4" w:space="0" w:color="auto"/>
              <w:right w:val="single" w:sz="4" w:space="0" w:color="auto"/>
            </w:tcBorders>
            <w:shd w:val="clear" w:color="000000" w:fill="16365C"/>
            <w:noWrap/>
            <w:vAlign w:val="bottom"/>
            <w:hideMark/>
          </w:tcPr>
          <w:p w:rsidR="00700D1B" w:rsidRPr="004C4DED" w:rsidP="00700D1B">
            <w:pPr>
              <w:jc w:val="right"/>
              <w:rPr>
                <w:rFonts w:cs="Arial"/>
                <w:b/>
                <w:bCs/>
                <w:color w:val="FFFFFF"/>
                <w:sz w:val="22"/>
                <w:szCs w:val="22"/>
              </w:rPr>
            </w:pPr>
            <w:r w:rsidRPr="004C4DED">
              <w:rPr>
                <w:rFonts w:cs="Arial"/>
                <w:b/>
                <w:bCs/>
                <w:color w:val="FFFFFF"/>
                <w:sz w:val="22"/>
                <w:szCs w:val="22"/>
              </w:rPr>
              <w:t>Capital</w:t>
            </w:r>
          </w:p>
        </w:tc>
      </w:tr>
      <w:tr w:rsidTr="00700D1B">
        <w:tblPrEx>
          <w:tblW w:w="9336" w:type="dxa"/>
          <w:tblInd w:w="724" w:type="dxa"/>
          <w:tblLook w:val="04A0"/>
        </w:tblPrEx>
        <w:trPr>
          <w:trHeight w:val="300"/>
        </w:trPr>
        <w:tc>
          <w:tcPr>
            <w:tcW w:w="6560" w:type="dxa"/>
            <w:gridSpan w:val="2"/>
            <w:vMerge/>
            <w:tcBorders>
              <w:top w:val="single" w:sz="4" w:space="0" w:color="auto"/>
              <w:left w:val="single" w:sz="4" w:space="0" w:color="auto"/>
              <w:bottom w:val="single" w:sz="4" w:space="0" w:color="000000"/>
              <w:right w:val="single" w:sz="4" w:space="0" w:color="000000"/>
            </w:tcBorders>
            <w:vAlign w:val="center"/>
            <w:hideMark/>
          </w:tcPr>
          <w:p w:rsidR="00700D1B" w:rsidRPr="004C4DED" w:rsidP="00700D1B">
            <w:pPr>
              <w:rPr>
                <w:rFonts w:cs="Arial"/>
                <w:b/>
                <w:bCs/>
                <w:color w:val="FFFFFF"/>
                <w:sz w:val="22"/>
                <w:szCs w:val="22"/>
              </w:rPr>
            </w:pPr>
          </w:p>
        </w:tc>
        <w:tc>
          <w:tcPr>
            <w:tcW w:w="1500" w:type="dxa"/>
            <w:tcBorders>
              <w:top w:val="nil"/>
              <w:left w:val="nil"/>
              <w:bottom w:val="single" w:sz="4" w:space="0" w:color="auto"/>
              <w:right w:val="single" w:sz="4" w:space="0" w:color="auto"/>
            </w:tcBorders>
            <w:shd w:val="clear" w:color="000000" w:fill="16365C"/>
            <w:noWrap/>
            <w:vAlign w:val="bottom"/>
            <w:hideMark/>
          </w:tcPr>
          <w:p w:rsidR="00700D1B" w:rsidRPr="004C4DED" w:rsidP="00700D1B">
            <w:pPr>
              <w:jc w:val="right"/>
              <w:rPr>
                <w:rFonts w:cs="Arial"/>
                <w:b/>
                <w:bCs/>
                <w:color w:val="FFFFFF"/>
                <w:sz w:val="22"/>
                <w:szCs w:val="22"/>
              </w:rPr>
            </w:pPr>
            <w:r w:rsidRPr="004C4DED">
              <w:rPr>
                <w:rFonts w:cs="Arial"/>
                <w:b/>
                <w:bCs/>
                <w:color w:val="FFFFFF"/>
                <w:sz w:val="22"/>
                <w:szCs w:val="22"/>
              </w:rPr>
              <w:t>£m</w:t>
            </w:r>
          </w:p>
        </w:tc>
        <w:tc>
          <w:tcPr>
            <w:tcW w:w="1276" w:type="dxa"/>
            <w:tcBorders>
              <w:top w:val="nil"/>
              <w:left w:val="nil"/>
              <w:bottom w:val="single" w:sz="4" w:space="0" w:color="auto"/>
              <w:right w:val="single" w:sz="4" w:space="0" w:color="auto"/>
            </w:tcBorders>
            <w:shd w:val="clear" w:color="000000" w:fill="16365C"/>
            <w:noWrap/>
            <w:vAlign w:val="bottom"/>
            <w:hideMark/>
          </w:tcPr>
          <w:p w:rsidR="00700D1B" w:rsidRPr="004C4DED" w:rsidP="00700D1B">
            <w:pPr>
              <w:jc w:val="right"/>
              <w:rPr>
                <w:rFonts w:cs="Arial"/>
                <w:b/>
                <w:bCs/>
                <w:color w:val="FFFFFF"/>
                <w:sz w:val="22"/>
                <w:szCs w:val="22"/>
              </w:rPr>
            </w:pPr>
            <w:r w:rsidRPr="004C4DED">
              <w:rPr>
                <w:rFonts w:cs="Arial"/>
                <w:b/>
                <w:bCs/>
                <w:color w:val="FFFFFF"/>
                <w:sz w:val="22"/>
                <w:szCs w:val="22"/>
              </w:rPr>
              <w:t>£m</w:t>
            </w:r>
          </w:p>
        </w:tc>
      </w:tr>
      <w:tr w:rsidTr="00700D1B">
        <w:tblPrEx>
          <w:tblW w:w="9336" w:type="dxa"/>
          <w:tblInd w:w="724" w:type="dxa"/>
          <w:tblLook w:val="04A0"/>
        </w:tblPrEx>
        <w:trPr>
          <w:trHeight w:val="300"/>
        </w:trPr>
        <w:tc>
          <w:tcPr>
            <w:tcW w:w="6560" w:type="dxa"/>
            <w:gridSpan w:val="2"/>
            <w:tcBorders>
              <w:top w:val="single" w:sz="4" w:space="0" w:color="auto"/>
              <w:left w:val="single" w:sz="4" w:space="0" w:color="auto"/>
              <w:bottom w:val="single" w:sz="4" w:space="0" w:color="auto"/>
              <w:right w:val="single" w:sz="4" w:space="0" w:color="000000"/>
            </w:tcBorders>
            <w:shd w:val="clear" w:color="000000" w:fill="B8CCE4"/>
            <w:vAlign w:val="center"/>
            <w:hideMark/>
          </w:tcPr>
          <w:p w:rsidR="00700D1B" w:rsidRPr="004C4DED" w:rsidP="00700D1B">
            <w:pPr>
              <w:rPr>
                <w:rFonts w:cs="Arial"/>
                <w:b/>
                <w:bCs/>
                <w:color w:val="000000"/>
                <w:sz w:val="22"/>
                <w:szCs w:val="22"/>
              </w:rPr>
            </w:pPr>
            <w:r w:rsidRPr="004C4DED">
              <w:rPr>
                <w:rFonts w:cs="Arial"/>
                <w:b/>
                <w:bCs/>
                <w:color w:val="000000"/>
                <w:sz w:val="22"/>
                <w:szCs w:val="22"/>
              </w:rPr>
              <w:t>Total Mandate</w:t>
            </w:r>
            <w:r w:rsidRPr="004C4DED">
              <w:rPr>
                <w:rFonts w:cs="Arial"/>
                <w:color w:val="000000"/>
                <w:sz w:val="22"/>
                <w:szCs w:val="22"/>
              </w:rPr>
              <w:t xml:space="preserve"> (sum of the below)</w:t>
            </w:r>
          </w:p>
        </w:tc>
        <w:tc>
          <w:tcPr>
            <w:tcW w:w="1500" w:type="dxa"/>
            <w:tcBorders>
              <w:top w:val="nil"/>
              <w:left w:val="single" w:sz="4" w:space="0" w:color="auto"/>
              <w:bottom w:val="single" w:sz="4" w:space="0" w:color="auto"/>
              <w:right w:val="single" w:sz="4" w:space="0" w:color="auto"/>
            </w:tcBorders>
            <w:shd w:val="clear" w:color="000000" w:fill="B8CCE4"/>
            <w:vAlign w:val="center"/>
            <w:hideMark/>
          </w:tcPr>
          <w:p w:rsidR="00700D1B" w:rsidRPr="004C4DED" w:rsidP="00700D1B">
            <w:pPr>
              <w:jc w:val="right"/>
              <w:rPr>
                <w:rFonts w:cs="Arial"/>
                <w:b/>
                <w:bCs/>
                <w:color w:val="000000"/>
                <w:sz w:val="22"/>
                <w:szCs w:val="22"/>
              </w:rPr>
            </w:pPr>
            <w:r>
              <w:rPr>
                <w:rFonts w:cs="Arial"/>
                <w:b/>
                <w:bCs/>
                <w:color w:val="000000"/>
                <w:sz w:val="22"/>
                <w:szCs w:val="22"/>
              </w:rPr>
              <w:t>129,847</w:t>
            </w:r>
          </w:p>
        </w:tc>
        <w:tc>
          <w:tcPr>
            <w:tcW w:w="1276" w:type="dxa"/>
            <w:tcBorders>
              <w:top w:val="nil"/>
              <w:left w:val="nil"/>
              <w:bottom w:val="single" w:sz="4" w:space="0" w:color="auto"/>
              <w:right w:val="single" w:sz="4" w:space="0" w:color="auto"/>
            </w:tcBorders>
            <w:shd w:val="clear" w:color="000000" w:fill="B8CCE4"/>
            <w:vAlign w:val="center"/>
            <w:hideMark/>
          </w:tcPr>
          <w:p w:rsidR="00700D1B" w:rsidRPr="004C4DED" w:rsidP="00700D1B">
            <w:pPr>
              <w:jc w:val="right"/>
              <w:rPr>
                <w:rFonts w:cs="Arial"/>
                <w:b/>
                <w:bCs/>
                <w:color w:val="000000"/>
                <w:sz w:val="22"/>
                <w:szCs w:val="22"/>
              </w:rPr>
            </w:pPr>
            <w:r w:rsidRPr="004C4DED">
              <w:rPr>
                <w:rFonts w:cs="Arial"/>
                <w:b/>
                <w:bCs/>
                <w:color w:val="000000"/>
                <w:sz w:val="22"/>
                <w:szCs w:val="22"/>
              </w:rPr>
              <w:t>305</w:t>
            </w:r>
          </w:p>
        </w:tc>
      </w:tr>
      <w:tr w:rsidTr="00700D1B">
        <w:tblPrEx>
          <w:tblW w:w="9336" w:type="dxa"/>
          <w:tblInd w:w="724" w:type="dxa"/>
          <w:tblLook w:val="04A0"/>
        </w:tblPrEx>
        <w:trPr>
          <w:trHeight w:val="300"/>
        </w:trPr>
        <w:tc>
          <w:tcPr>
            <w:tcW w:w="6560"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700D1B" w:rsidRPr="004C4DED" w:rsidP="00700D1B">
            <w:pPr>
              <w:rPr>
                <w:rFonts w:cs="Arial"/>
                <w:b/>
                <w:bCs/>
                <w:color w:val="000000"/>
                <w:sz w:val="22"/>
                <w:szCs w:val="22"/>
              </w:rPr>
            </w:pPr>
            <w:r w:rsidRPr="004C4DED">
              <w:rPr>
                <w:rFonts w:cs="Arial"/>
                <w:b/>
                <w:bCs/>
                <w:color w:val="000000"/>
                <w:sz w:val="22"/>
                <w:szCs w:val="22"/>
              </w:rPr>
              <w:t>Less:</w:t>
            </w:r>
          </w:p>
        </w:tc>
        <w:tc>
          <w:tcPr>
            <w:tcW w:w="1500" w:type="dxa"/>
            <w:tcBorders>
              <w:top w:val="nil"/>
              <w:left w:val="single" w:sz="4" w:space="0" w:color="auto"/>
              <w:bottom w:val="single" w:sz="4" w:space="0" w:color="auto"/>
              <w:right w:val="single" w:sz="4" w:space="0" w:color="auto"/>
            </w:tcBorders>
            <w:shd w:val="clear" w:color="auto" w:fill="auto"/>
            <w:vAlign w:val="center"/>
            <w:hideMark/>
          </w:tcPr>
          <w:p w:rsidR="00700D1B" w:rsidRPr="004C4DED" w:rsidP="00700D1B">
            <w:pPr>
              <w:jc w:val="right"/>
              <w:rPr>
                <w:rFonts w:cs="Arial"/>
                <w:color w:val="000000"/>
                <w:sz w:val="22"/>
                <w:szCs w:val="22"/>
              </w:rPr>
            </w:pPr>
            <w:r w:rsidRPr="004C4DED">
              <w:rPr>
                <w:rFonts w:cs="Arial"/>
                <w:color w:val="000000"/>
                <w:sz w:val="22"/>
                <w:szCs w:val="22"/>
              </w:rPr>
              <w:t> </w:t>
            </w:r>
          </w:p>
        </w:tc>
        <w:tc>
          <w:tcPr>
            <w:tcW w:w="1276" w:type="dxa"/>
            <w:tcBorders>
              <w:top w:val="nil"/>
              <w:left w:val="nil"/>
              <w:bottom w:val="single" w:sz="4" w:space="0" w:color="auto"/>
              <w:right w:val="single" w:sz="4" w:space="0" w:color="auto"/>
            </w:tcBorders>
            <w:shd w:val="clear" w:color="auto" w:fill="auto"/>
            <w:vAlign w:val="center"/>
            <w:hideMark/>
          </w:tcPr>
          <w:p w:rsidR="00700D1B" w:rsidRPr="004C4DED" w:rsidP="00700D1B">
            <w:pPr>
              <w:rPr>
                <w:rFonts w:cs="Arial"/>
                <w:color w:val="000000"/>
                <w:sz w:val="22"/>
                <w:szCs w:val="22"/>
              </w:rPr>
            </w:pPr>
            <w:r w:rsidRPr="004C4DED">
              <w:rPr>
                <w:rFonts w:cs="Arial"/>
                <w:color w:val="000000"/>
                <w:sz w:val="22"/>
                <w:szCs w:val="22"/>
              </w:rPr>
              <w:t> </w:t>
            </w:r>
          </w:p>
        </w:tc>
      </w:tr>
      <w:tr w:rsidTr="00700D1B">
        <w:tblPrEx>
          <w:tblW w:w="9336" w:type="dxa"/>
          <w:tblInd w:w="724" w:type="dxa"/>
          <w:tblLook w:val="04A0"/>
        </w:tblPrEx>
        <w:trPr>
          <w:trHeight w:val="285"/>
        </w:trPr>
        <w:tc>
          <w:tcPr>
            <w:tcW w:w="412" w:type="dxa"/>
            <w:tcBorders>
              <w:top w:val="nil"/>
              <w:left w:val="single" w:sz="4" w:space="0" w:color="auto"/>
              <w:bottom w:val="single" w:sz="4" w:space="0" w:color="auto"/>
              <w:right w:val="nil"/>
            </w:tcBorders>
            <w:shd w:val="clear" w:color="auto" w:fill="auto"/>
            <w:vAlign w:val="center"/>
            <w:hideMark/>
          </w:tcPr>
          <w:p w:rsidR="00700D1B" w:rsidRPr="004C4DED" w:rsidP="00700D1B">
            <w:pPr>
              <w:rPr>
                <w:rFonts w:cs="Arial"/>
                <w:color w:val="000000"/>
                <w:sz w:val="22"/>
                <w:szCs w:val="22"/>
              </w:rPr>
            </w:pPr>
            <w:r w:rsidRPr="004C4DED">
              <w:rPr>
                <w:rFonts w:cs="Arial"/>
                <w:color w:val="000000"/>
                <w:sz w:val="22"/>
                <w:szCs w:val="22"/>
              </w:rPr>
              <w:t>a)</w:t>
            </w:r>
          </w:p>
        </w:tc>
        <w:tc>
          <w:tcPr>
            <w:tcW w:w="6148" w:type="dxa"/>
            <w:tcBorders>
              <w:top w:val="nil"/>
              <w:left w:val="nil"/>
              <w:bottom w:val="single" w:sz="4" w:space="0" w:color="auto"/>
              <w:right w:val="single" w:sz="4" w:space="0" w:color="auto"/>
            </w:tcBorders>
            <w:shd w:val="clear" w:color="auto" w:fill="auto"/>
            <w:vAlign w:val="center"/>
            <w:hideMark/>
          </w:tcPr>
          <w:p w:rsidR="00700D1B" w:rsidRPr="004C4DED" w:rsidP="00700D1B">
            <w:pPr>
              <w:rPr>
                <w:rFonts w:cs="Arial"/>
                <w:color w:val="000000"/>
                <w:sz w:val="22"/>
                <w:szCs w:val="22"/>
              </w:rPr>
            </w:pPr>
            <w:r w:rsidRPr="004C4DED">
              <w:rPr>
                <w:rFonts w:cs="Arial"/>
                <w:color w:val="000000"/>
                <w:sz w:val="22"/>
                <w:szCs w:val="22"/>
              </w:rPr>
              <w:t>Transactions with other bodies within the group</w:t>
            </w:r>
          </w:p>
        </w:tc>
        <w:tc>
          <w:tcPr>
            <w:tcW w:w="1500" w:type="dxa"/>
            <w:tcBorders>
              <w:top w:val="nil"/>
              <w:left w:val="single" w:sz="4" w:space="0" w:color="auto"/>
              <w:bottom w:val="single" w:sz="4" w:space="0" w:color="auto"/>
              <w:right w:val="single" w:sz="4" w:space="0" w:color="auto"/>
            </w:tcBorders>
            <w:shd w:val="clear" w:color="auto" w:fill="auto"/>
            <w:vAlign w:val="center"/>
            <w:hideMark/>
          </w:tcPr>
          <w:p w:rsidR="00700D1B" w:rsidRPr="004C4DED" w:rsidP="00700D1B">
            <w:pPr>
              <w:jc w:val="right"/>
              <w:rPr>
                <w:rFonts w:cs="Arial"/>
                <w:color w:val="000000"/>
                <w:sz w:val="22"/>
                <w:szCs w:val="22"/>
              </w:rPr>
            </w:pPr>
            <w:r w:rsidRPr="004C4DED">
              <w:rPr>
                <w:rFonts w:cs="Arial"/>
                <w:color w:val="000000"/>
                <w:sz w:val="22"/>
                <w:szCs w:val="22"/>
              </w:rPr>
              <w:t>91,740</w:t>
            </w:r>
          </w:p>
        </w:tc>
        <w:tc>
          <w:tcPr>
            <w:tcW w:w="1276" w:type="dxa"/>
            <w:tcBorders>
              <w:top w:val="nil"/>
              <w:left w:val="nil"/>
              <w:bottom w:val="single" w:sz="4" w:space="0" w:color="auto"/>
              <w:right w:val="single" w:sz="4" w:space="0" w:color="auto"/>
            </w:tcBorders>
            <w:shd w:val="clear" w:color="auto" w:fill="auto"/>
            <w:vAlign w:val="center"/>
            <w:hideMark/>
          </w:tcPr>
          <w:p w:rsidR="00700D1B" w:rsidRPr="004C4DED" w:rsidP="00700D1B">
            <w:pPr>
              <w:rPr>
                <w:rFonts w:cs="Arial"/>
                <w:color w:val="000000"/>
                <w:sz w:val="22"/>
                <w:szCs w:val="22"/>
              </w:rPr>
            </w:pPr>
            <w:r w:rsidRPr="004C4DED">
              <w:rPr>
                <w:rFonts w:cs="Arial"/>
                <w:color w:val="000000"/>
                <w:sz w:val="22"/>
                <w:szCs w:val="22"/>
              </w:rPr>
              <w:t> </w:t>
            </w:r>
          </w:p>
        </w:tc>
      </w:tr>
      <w:tr w:rsidTr="00700D1B">
        <w:tblPrEx>
          <w:tblW w:w="9336" w:type="dxa"/>
          <w:tblInd w:w="724" w:type="dxa"/>
          <w:tblLook w:val="04A0"/>
        </w:tblPrEx>
        <w:trPr>
          <w:trHeight w:val="570"/>
        </w:trPr>
        <w:tc>
          <w:tcPr>
            <w:tcW w:w="412" w:type="dxa"/>
            <w:tcBorders>
              <w:top w:val="nil"/>
              <w:left w:val="single" w:sz="4" w:space="0" w:color="auto"/>
              <w:bottom w:val="single" w:sz="4" w:space="0" w:color="auto"/>
              <w:right w:val="nil"/>
            </w:tcBorders>
            <w:shd w:val="clear" w:color="auto" w:fill="auto"/>
            <w:hideMark/>
          </w:tcPr>
          <w:p w:rsidR="00700D1B" w:rsidRPr="004C4DED" w:rsidP="00700D1B">
            <w:pPr>
              <w:rPr>
                <w:rFonts w:cs="Arial"/>
                <w:color w:val="000000"/>
                <w:sz w:val="22"/>
                <w:szCs w:val="22"/>
              </w:rPr>
            </w:pPr>
            <w:r w:rsidRPr="004C4DED">
              <w:rPr>
                <w:rFonts w:cs="Arial"/>
                <w:color w:val="000000"/>
                <w:sz w:val="22"/>
                <w:szCs w:val="22"/>
              </w:rPr>
              <w:t>b)</w:t>
            </w:r>
          </w:p>
        </w:tc>
        <w:tc>
          <w:tcPr>
            <w:tcW w:w="6148" w:type="dxa"/>
            <w:tcBorders>
              <w:top w:val="nil"/>
              <w:left w:val="nil"/>
              <w:bottom w:val="single" w:sz="4" w:space="0" w:color="auto"/>
              <w:right w:val="single" w:sz="4" w:space="0" w:color="auto"/>
            </w:tcBorders>
            <w:shd w:val="clear" w:color="auto" w:fill="auto"/>
            <w:vAlign w:val="center"/>
            <w:hideMark/>
          </w:tcPr>
          <w:p w:rsidR="00700D1B" w:rsidRPr="004C4DED" w:rsidP="00700D1B">
            <w:pPr>
              <w:rPr>
                <w:rFonts w:cs="Arial"/>
                <w:color w:val="000000"/>
                <w:sz w:val="22"/>
                <w:szCs w:val="22"/>
              </w:rPr>
            </w:pPr>
            <w:r w:rsidRPr="004C4DED">
              <w:rPr>
                <w:rFonts w:cs="Arial"/>
                <w:color w:val="000000"/>
                <w:sz w:val="22"/>
                <w:szCs w:val="22"/>
              </w:rPr>
              <w:t>NHSE net expenditure financed from National Insurance Contributions (non-voted) - Estimate line J</w:t>
            </w:r>
          </w:p>
        </w:tc>
        <w:tc>
          <w:tcPr>
            <w:tcW w:w="1500" w:type="dxa"/>
            <w:tcBorders>
              <w:top w:val="nil"/>
              <w:left w:val="single" w:sz="4" w:space="0" w:color="auto"/>
              <w:bottom w:val="single" w:sz="4" w:space="0" w:color="auto"/>
              <w:right w:val="single" w:sz="4" w:space="0" w:color="auto"/>
            </w:tcBorders>
            <w:shd w:val="clear" w:color="auto" w:fill="auto"/>
            <w:vAlign w:val="center"/>
            <w:hideMark/>
          </w:tcPr>
          <w:p w:rsidR="00700D1B" w:rsidRPr="004C4DED" w:rsidP="00700D1B">
            <w:pPr>
              <w:jc w:val="right"/>
              <w:rPr>
                <w:rFonts w:cs="Arial"/>
                <w:color w:val="000000"/>
                <w:sz w:val="22"/>
                <w:szCs w:val="22"/>
              </w:rPr>
            </w:pPr>
            <w:r w:rsidRPr="004C4DED">
              <w:rPr>
                <w:rFonts w:cs="Arial"/>
                <w:color w:val="000000"/>
                <w:sz w:val="22"/>
                <w:szCs w:val="22"/>
              </w:rPr>
              <w:t>22,823</w:t>
            </w:r>
          </w:p>
        </w:tc>
        <w:tc>
          <w:tcPr>
            <w:tcW w:w="1276" w:type="dxa"/>
            <w:tcBorders>
              <w:top w:val="nil"/>
              <w:left w:val="nil"/>
              <w:bottom w:val="single" w:sz="4" w:space="0" w:color="auto"/>
              <w:right w:val="single" w:sz="4" w:space="0" w:color="auto"/>
            </w:tcBorders>
            <w:shd w:val="clear" w:color="auto" w:fill="auto"/>
            <w:vAlign w:val="center"/>
            <w:hideMark/>
          </w:tcPr>
          <w:p w:rsidR="00700D1B" w:rsidRPr="004C4DED" w:rsidP="00700D1B">
            <w:pPr>
              <w:rPr>
                <w:rFonts w:cs="Arial"/>
                <w:color w:val="000000"/>
                <w:sz w:val="22"/>
                <w:szCs w:val="22"/>
              </w:rPr>
            </w:pPr>
            <w:r w:rsidRPr="004C4DED">
              <w:rPr>
                <w:rFonts w:cs="Arial"/>
                <w:color w:val="000000"/>
                <w:sz w:val="22"/>
                <w:szCs w:val="22"/>
              </w:rPr>
              <w:t> </w:t>
            </w:r>
          </w:p>
        </w:tc>
      </w:tr>
      <w:tr w:rsidTr="00700D1B">
        <w:tblPrEx>
          <w:tblW w:w="9336" w:type="dxa"/>
          <w:tblInd w:w="724" w:type="dxa"/>
          <w:tblLook w:val="04A0"/>
        </w:tblPrEx>
        <w:trPr>
          <w:trHeight w:val="570"/>
        </w:trPr>
        <w:tc>
          <w:tcPr>
            <w:tcW w:w="412" w:type="dxa"/>
            <w:tcBorders>
              <w:top w:val="nil"/>
              <w:left w:val="single" w:sz="4" w:space="0" w:color="auto"/>
              <w:bottom w:val="single" w:sz="4" w:space="0" w:color="auto"/>
              <w:right w:val="nil"/>
            </w:tcBorders>
            <w:shd w:val="clear" w:color="auto" w:fill="auto"/>
            <w:hideMark/>
          </w:tcPr>
          <w:p w:rsidR="00700D1B" w:rsidRPr="004C4DED" w:rsidP="00700D1B">
            <w:pPr>
              <w:rPr>
                <w:rFonts w:cs="Arial"/>
                <w:color w:val="000000"/>
                <w:sz w:val="22"/>
                <w:szCs w:val="22"/>
              </w:rPr>
            </w:pPr>
            <w:r w:rsidRPr="004C4DED">
              <w:rPr>
                <w:rFonts w:cs="Arial"/>
                <w:color w:val="000000"/>
                <w:sz w:val="22"/>
                <w:szCs w:val="22"/>
              </w:rPr>
              <w:t>c)</w:t>
            </w:r>
          </w:p>
        </w:tc>
        <w:tc>
          <w:tcPr>
            <w:tcW w:w="6148" w:type="dxa"/>
            <w:tcBorders>
              <w:top w:val="nil"/>
              <w:left w:val="nil"/>
              <w:bottom w:val="single" w:sz="4" w:space="0" w:color="auto"/>
              <w:right w:val="single" w:sz="4" w:space="0" w:color="auto"/>
            </w:tcBorders>
            <w:shd w:val="clear" w:color="auto" w:fill="auto"/>
            <w:vAlign w:val="center"/>
            <w:hideMark/>
          </w:tcPr>
          <w:p w:rsidR="00700D1B" w:rsidRPr="004C4DED" w:rsidP="00700D1B">
            <w:pPr>
              <w:rPr>
                <w:rFonts w:cs="Arial"/>
                <w:color w:val="000000"/>
                <w:sz w:val="22"/>
                <w:szCs w:val="22"/>
              </w:rPr>
            </w:pPr>
            <w:r w:rsidRPr="004C4DED">
              <w:rPr>
                <w:rFonts w:cs="Arial"/>
                <w:color w:val="000000"/>
                <w:sz w:val="22"/>
                <w:szCs w:val="22"/>
              </w:rPr>
              <w:t xml:space="preserve">Covid-19 funding - timing difference between Estimate and Mandate </w:t>
            </w:r>
          </w:p>
        </w:tc>
        <w:tc>
          <w:tcPr>
            <w:tcW w:w="1500" w:type="dxa"/>
            <w:tcBorders>
              <w:top w:val="nil"/>
              <w:left w:val="single" w:sz="4" w:space="0" w:color="auto"/>
              <w:bottom w:val="single" w:sz="4" w:space="0" w:color="auto"/>
              <w:right w:val="single" w:sz="4" w:space="0" w:color="auto"/>
            </w:tcBorders>
            <w:shd w:val="clear" w:color="auto" w:fill="auto"/>
            <w:vAlign w:val="center"/>
            <w:hideMark/>
          </w:tcPr>
          <w:p w:rsidR="00700D1B" w:rsidRPr="004C4DED" w:rsidP="00700D1B">
            <w:pPr>
              <w:jc w:val="right"/>
              <w:rPr>
                <w:rFonts w:cs="Arial"/>
                <w:color w:val="000000"/>
                <w:sz w:val="22"/>
                <w:szCs w:val="22"/>
              </w:rPr>
            </w:pPr>
            <w:r>
              <w:rPr>
                <w:rFonts w:cs="Arial"/>
                <w:color w:val="FF0000"/>
                <w:sz w:val="22"/>
                <w:szCs w:val="22"/>
              </w:rPr>
              <w:t>(18,736)</w:t>
            </w:r>
          </w:p>
        </w:tc>
        <w:tc>
          <w:tcPr>
            <w:tcW w:w="1276" w:type="dxa"/>
            <w:tcBorders>
              <w:top w:val="nil"/>
              <w:left w:val="nil"/>
              <w:bottom w:val="single" w:sz="4" w:space="0" w:color="auto"/>
              <w:right w:val="single" w:sz="4" w:space="0" w:color="auto"/>
            </w:tcBorders>
            <w:shd w:val="clear" w:color="auto" w:fill="auto"/>
            <w:vAlign w:val="center"/>
            <w:hideMark/>
          </w:tcPr>
          <w:p w:rsidR="00700D1B" w:rsidRPr="004C4DED" w:rsidP="00700D1B">
            <w:pPr>
              <w:jc w:val="right"/>
              <w:rPr>
                <w:rFonts w:cs="Arial"/>
                <w:color w:val="000000"/>
                <w:sz w:val="22"/>
                <w:szCs w:val="22"/>
              </w:rPr>
            </w:pPr>
            <w:r w:rsidRPr="004C4DED">
              <w:rPr>
                <w:rFonts w:cs="Arial"/>
                <w:color w:val="FF0000"/>
                <w:sz w:val="22"/>
                <w:szCs w:val="22"/>
              </w:rPr>
              <w:t>(190)</w:t>
            </w:r>
          </w:p>
        </w:tc>
      </w:tr>
      <w:tr w:rsidTr="00700D1B">
        <w:tblPrEx>
          <w:tblW w:w="9336" w:type="dxa"/>
          <w:tblInd w:w="724" w:type="dxa"/>
          <w:tblLook w:val="04A0"/>
        </w:tblPrEx>
        <w:trPr>
          <w:trHeight w:val="570"/>
        </w:trPr>
        <w:tc>
          <w:tcPr>
            <w:tcW w:w="412" w:type="dxa"/>
            <w:tcBorders>
              <w:top w:val="nil"/>
              <w:left w:val="single" w:sz="4" w:space="0" w:color="auto"/>
              <w:bottom w:val="single" w:sz="4" w:space="0" w:color="auto"/>
              <w:right w:val="nil"/>
            </w:tcBorders>
            <w:shd w:val="clear" w:color="auto" w:fill="auto"/>
            <w:hideMark/>
          </w:tcPr>
          <w:p w:rsidR="00700D1B" w:rsidRPr="004C4DED" w:rsidP="00700D1B">
            <w:pPr>
              <w:rPr>
                <w:rFonts w:cs="Arial"/>
                <w:color w:val="000000"/>
                <w:sz w:val="22"/>
                <w:szCs w:val="22"/>
              </w:rPr>
            </w:pPr>
            <w:r w:rsidRPr="004C4DED">
              <w:rPr>
                <w:rFonts w:cs="Arial"/>
                <w:color w:val="000000"/>
                <w:sz w:val="22"/>
                <w:szCs w:val="22"/>
              </w:rPr>
              <w:t>c)</w:t>
            </w:r>
          </w:p>
        </w:tc>
        <w:tc>
          <w:tcPr>
            <w:tcW w:w="6148" w:type="dxa"/>
            <w:tcBorders>
              <w:top w:val="nil"/>
              <w:left w:val="nil"/>
              <w:bottom w:val="single" w:sz="4" w:space="0" w:color="auto"/>
              <w:right w:val="single" w:sz="4" w:space="0" w:color="auto"/>
            </w:tcBorders>
            <w:shd w:val="clear" w:color="auto" w:fill="auto"/>
            <w:vAlign w:val="center"/>
            <w:hideMark/>
          </w:tcPr>
          <w:p w:rsidR="00700D1B" w:rsidRPr="004C4DED" w:rsidP="00700D1B">
            <w:pPr>
              <w:rPr>
                <w:rFonts w:cs="Arial"/>
                <w:color w:val="000000"/>
                <w:sz w:val="22"/>
                <w:szCs w:val="22"/>
              </w:rPr>
            </w:pPr>
            <w:r w:rsidRPr="004C4DED">
              <w:rPr>
                <w:rFonts w:cs="Arial"/>
                <w:color w:val="000000"/>
                <w:sz w:val="22"/>
                <w:szCs w:val="22"/>
              </w:rPr>
              <w:t>Other - timing differences between Estimate and Mandate publication</w:t>
            </w:r>
          </w:p>
        </w:tc>
        <w:tc>
          <w:tcPr>
            <w:tcW w:w="1500" w:type="dxa"/>
            <w:tcBorders>
              <w:top w:val="nil"/>
              <w:left w:val="single" w:sz="4" w:space="0" w:color="auto"/>
              <w:bottom w:val="single" w:sz="4" w:space="0" w:color="auto"/>
              <w:right w:val="single" w:sz="4" w:space="0" w:color="auto"/>
            </w:tcBorders>
            <w:shd w:val="clear" w:color="auto" w:fill="auto"/>
            <w:vAlign w:val="center"/>
            <w:hideMark/>
          </w:tcPr>
          <w:p w:rsidR="00700D1B" w:rsidRPr="004C4DED" w:rsidP="00700D1B">
            <w:pPr>
              <w:jc w:val="right"/>
              <w:rPr>
                <w:rFonts w:cs="Arial"/>
                <w:color w:val="000000"/>
                <w:sz w:val="22"/>
                <w:szCs w:val="22"/>
              </w:rPr>
            </w:pPr>
            <w:r w:rsidRPr="004C4DED">
              <w:rPr>
                <w:rFonts w:cs="Arial"/>
                <w:color w:val="000000"/>
                <w:sz w:val="22"/>
                <w:szCs w:val="22"/>
              </w:rPr>
              <w:t>263</w:t>
            </w:r>
          </w:p>
        </w:tc>
        <w:tc>
          <w:tcPr>
            <w:tcW w:w="1276" w:type="dxa"/>
            <w:tcBorders>
              <w:top w:val="nil"/>
              <w:left w:val="nil"/>
              <w:bottom w:val="single" w:sz="4" w:space="0" w:color="auto"/>
              <w:right w:val="single" w:sz="4" w:space="0" w:color="auto"/>
            </w:tcBorders>
            <w:shd w:val="clear" w:color="auto" w:fill="auto"/>
            <w:vAlign w:val="center"/>
            <w:hideMark/>
          </w:tcPr>
          <w:p w:rsidR="00700D1B" w:rsidRPr="004C4DED" w:rsidP="00700D1B">
            <w:pPr>
              <w:jc w:val="right"/>
              <w:rPr>
                <w:rFonts w:cs="Arial"/>
                <w:color w:val="000000"/>
                <w:sz w:val="22"/>
                <w:szCs w:val="22"/>
              </w:rPr>
            </w:pPr>
            <w:r w:rsidRPr="004C4DED">
              <w:rPr>
                <w:rFonts w:cs="Arial"/>
                <w:color w:val="000000"/>
                <w:sz w:val="22"/>
                <w:szCs w:val="22"/>
              </w:rPr>
              <w:t>20</w:t>
            </w:r>
          </w:p>
        </w:tc>
      </w:tr>
      <w:tr w:rsidTr="00700D1B">
        <w:tblPrEx>
          <w:tblW w:w="9336" w:type="dxa"/>
          <w:tblInd w:w="724" w:type="dxa"/>
          <w:tblLook w:val="04A0"/>
        </w:tblPrEx>
        <w:trPr>
          <w:trHeight w:val="300"/>
        </w:trPr>
        <w:tc>
          <w:tcPr>
            <w:tcW w:w="6560" w:type="dxa"/>
            <w:gridSpan w:val="2"/>
            <w:tcBorders>
              <w:top w:val="single" w:sz="4" w:space="0" w:color="auto"/>
              <w:left w:val="single" w:sz="4" w:space="0" w:color="auto"/>
              <w:bottom w:val="single" w:sz="4" w:space="0" w:color="auto"/>
              <w:right w:val="single" w:sz="4" w:space="0" w:color="000000"/>
            </w:tcBorders>
            <w:shd w:val="clear" w:color="000000" w:fill="B8CCE4"/>
            <w:vAlign w:val="center"/>
            <w:hideMark/>
          </w:tcPr>
          <w:p w:rsidR="00700D1B" w:rsidRPr="004C4DED" w:rsidP="00700D1B">
            <w:pPr>
              <w:rPr>
                <w:rFonts w:cs="Arial"/>
                <w:b/>
                <w:bCs/>
                <w:color w:val="000000"/>
                <w:sz w:val="22"/>
                <w:szCs w:val="22"/>
              </w:rPr>
            </w:pPr>
            <w:r w:rsidRPr="004C4DED">
              <w:rPr>
                <w:rFonts w:cs="Arial"/>
                <w:b/>
                <w:bCs/>
                <w:color w:val="000000"/>
                <w:sz w:val="22"/>
                <w:szCs w:val="22"/>
              </w:rPr>
              <w:t>NHSE net expenditure - estimate line A</w:t>
            </w:r>
          </w:p>
        </w:tc>
        <w:tc>
          <w:tcPr>
            <w:tcW w:w="1500" w:type="dxa"/>
            <w:tcBorders>
              <w:top w:val="nil"/>
              <w:left w:val="single" w:sz="4" w:space="0" w:color="auto"/>
              <w:bottom w:val="single" w:sz="4" w:space="0" w:color="auto"/>
              <w:right w:val="single" w:sz="4" w:space="0" w:color="auto"/>
            </w:tcBorders>
            <w:shd w:val="clear" w:color="000000" w:fill="B8CCE4"/>
            <w:vAlign w:val="center"/>
            <w:hideMark/>
          </w:tcPr>
          <w:p w:rsidR="00700D1B" w:rsidRPr="004C4DED" w:rsidP="00700D1B">
            <w:pPr>
              <w:jc w:val="right"/>
              <w:rPr>
                <w:rFonts w:cs="Arial"/>
                <w:b/>
                <w:bCs/>
                <w:color w:val="000000"/>
                <w:sz w:val="22"/>
                <w:szCs w:val="22"/>
              </w:rPr>
            </w:pPr>
            <w:r w:rsidRPr="004C4DED">
              <w:rPr>
                <w:rFonts w:cs="Arial"/>
                <w:b/>
                <w:bCs/>
                <w:color w:val="000000"/>
                <w:sz w:val="22"/>
                <w:szCs w:val="22"/>
              </w:rPr>
              <w:t>33,757</w:t>
            </w:r>
          </w:p>
        </w:tc>
        <w:tc>
          <w:tcPr>
            <w:tcW w:w="1276" w:type="dxa"/>
            <w:tcBorders>
              <w:top w:val="nil"/>
              <w:left w:val="nil"/>
              <w:bottom w:val="single" w:sz="4" w:space="0" w:color="auto"/>
              <w:right w:val="single" w:sz="4" w:space="0" w:color="auto"/>
            </w:tcBorders>
            <w:shd w:val="clear" w:color="000000" w:fill="B8CCE4"/>
            <w:vAlign w:val="center"/>
            <w:hideMark/>
          </w:tcPr>
          <w:p w:rsidR="00700D1B" w:rsidRPr="004C4DED" w:rsidP="00700D1B">
            <w:pPr>
              <w:jc w:val="right"/>
              <w:rPr>
                <w:rFonts w:cs="Arial"/>
                <w:b/>
                <w:bCs/>
                <w:color w:val="000000"/>
                <w:sz w:val="22"/>
                <w:szCs w:val="22"/>
              </w:rPr>
            </w:pPr>
            <w:r w:rsidRPr="004C4DED">
              <w:rPr>
                <w:rFonts w:cs="Arial"/>
                <w:b/>
                <w:bCs/>
                <w:color w:val="000000"/>
                <w:sz w:val="22"/>
                <w:szCs w:val="22"/>
              </w:rPr>
              <w:t>476</w:t>
            </w:r>
          </w:p>
        </w:tc>
      </w:tr>
    </w:tbl>
    <w:p w:rsidR="00700D1B" w:rsidRPr="00565172" w:rsidP="00700D1B">
      <w:pPr>
        <w:ind w:left="567"/>
        <w:jc w:val="both"/>
        <w:rPr>
          <w:rFonts w:cs="Arial"/>
          <w:bCs/>
          <w:sz w:val="22"/>
          <w:szCs w:val="22"/>
        </w:rPr>
      </w:pPr>
    </w:p>
    <w:p w:rsidR="00700D1B" w:rsidRPr="00565172" w:rsidP="00700D1B">
      <w:pPr>
        <w:spacing w:after="200" w:line="276" w:lineRule="auto"/>
        <w:rPr>
          <w:rFonts w:eastAsia="Calibri" w:cs="Arial"/>
          <w:b/>
        </w:rPr>
      </w:pPr>
    </w:p>
    <w:p w:rsidR="00700D1B" w:rsidRPr="00565172" w:rsidP="00700D1B">
      <w:pPr>
        <w:numPr>
          <w:ilvl w:val="1"/>
          <w:numId w:val="8"/>
        </w:numPr>
        <w:spacing w:after="120" w:line="276" w:lineRule="auto"/>
        <w:ind w:left="567" w:hanging="567"/>
        <w:rPr>
          <w:rFonts w:eastAsia="Calibri" w:cs="Arial"/>
          <w:b/>
          <w:sz w:val="22"/>
          <w:szCs w:val="22"/>
        </w:rPr>
      </w:pPr>
      <w:r w:rsidRPr="00565172">
        <w:rPr>
          <w:rFonts w:eastAsia="Calibri" w:cs="Arial"/>
          <w:b/>
          <w:sz w:val="22"/>
          <w:szCs w:val="22"/>
        </w:rPr>
        <w:t>DHSC Inter-Group Transactions</w:t>
      </w:r>
    </w:p>
    <w:p w:rsidR="00700D1B" w:rsidRPr="00565172" w:rsidP="00700D1B">
      <w:pPr>
        <w:ind w:left="567"/>
        <w:jc w:val="both"/>
        <w:rPr>
          <w:rFonts w:eastAsiaTheme="minorHAnsi" w:cs="Arial"/>
          <w:sz w:val="22"/>
          <w:szCs w:val="22"/>
          <w:lang w:eastAsia="en-US"/>
        </w:rPr>
      </w:pPr>
      <w:r w:rsidRPr="00565172">
        <w:rPr>
          <w:rFonts w:eastAsiaTheme="minorHAnsi" w:cs="Arial"/>
          <w:sz w:val="22"/>
          <w:szCs w:val="22"/>
          <w:lang w:eastAsia="en-US"/>
        </w:rPr>
        <w:t xml:space="preserve">HM Treasury designates that Estimates are prepared on a consolidated basis, meaning that all intra-group transactions are removed.  </w:t>
      </w:r>
    </w:p>
    <w:p w:rsidR="00700D1B" w:rsidRPr="00565172" w:rsidP="00700D1B">
      <w:pPr>
        <w:ind w:left="567"/>
        <w:jc w:val="both"/>
        <w:rPr>
          <w:rFonts w:eastAsiaTheme="minorHAnsi" w:cs="Arial"/>
          <w:sz w:val="22"/>
          <w:szCs w:val="22"/>
          <w:lang w:eastAsia="en-US"/>
        </w:rPr>
      </w:pPr>
    </w:p>
    <w:p w:rsidR="00700D1B" w:rsidRPr="00565172" w:rsidP="00700D1B">
      <w:pPr>
        <w:ind w:left="567"/>
        <w:jc w:val="both"/>
        <w:rPr>
          <w:rFonts w:eastAsiaTheme="minorHAnsi" w:cs="Arial"/>
          <w:sz w:val="22"/>
          <w:szCs w:val="22"/>
          <w:lang w:eastAsia="en-US"/>
        </w:rPr>
      </w:pPr>
      <w:r w:rsidRPr="00565172">
        <w:rPr>
          <w:rFonts w:eastAsia="Calibri" w:cs="Arial"/>
          <w:sz w:val="22"/>
          <w:szCs w:val="22"/>
        </w:rPr>
        <w:t>Across Government, the DHSC ‘Internal Market’ of circa £</w:t>
      </w:r>
      <w:r>
        <w:rPr>
          <w:rFonts w:eastAsia="Calibri" w:cs="Arial"/>
          <w:sz w:val="22"/>
          <w:szCs w:val="22"/>
        </w:rPr>
        <w:t>9</w:t>
      </w:r>
      <w:r w:rsidRPr="00565172">
        <w:rPr>
          <w:rFonts w:eastAsia="Calibri" w:cs="Arial"/>
          <w:sz w:val="22"/>
          <w:szCs w:val="22"/>
        </w:rPr>
        <w:t xml:space="preserve">0 billion is unique to the DHSC and adds an additional layer of complexity, as all inter-group trading needs to be eliminated on consolidation when preparing the DHSC Estimate.  </w:t>
      </w:r>
      <w:r w:rsidRPr="00565172">
        <w:rPr>
          <w:rFonts w:eastAsiaTheme="minorHAnsi" w:cs="Arial"/>
          <w:sz w:val="22"/>
          <w:szCs w:val="22"/>
          <w:lang w:eastAsia="en-US"/>
        </w:rPr>
        <w:t>These mainly relate to transactions between NHS Commissioners and NHS Providers.</w:t>
      </w:r>
    </w:p>
    <w:p w:rsidR="00700D1B" w:rsidRPr="00565172" w:rsidP="00700D1B">
      <w:pPr>
        <w:ind w:left="567"/>
        <w:jc w:val="both"/>
        <w:rPr>
          <w:rFonts w:eastAsia="Calibri" w:cs="Arial"/>
          <w:sz w:val="22"/>
          <w:szCs w:val="22"/>
        </w:rPr>
      </w:pPr>
      <w:r w:rsidRPr="00565172">
        <w:rPr>
          <w:rFonts w:eastAsia="Calibri" w:cs="Arial"/>
          <w:sz w:val="22"/>
          <w:szCs w:val="22"/>
        </w:rPr>
        <w:t>NHS Providers are not directly funded, instead they generate income to cover their spending via trading activity with Commissioners.</w:t>
      </w:r>
      <w:r>
        <w:rPr>
          <w:rFonts w:eastAsia="Calibri" w:cs="Arial"/>
          <w:sz w:val="22"/>
          <w:szCs w:val="22"/>
        </w:rPr>
        <w:t xml:space="preserve"> </w:t>
      </w:r>
      <w:r w:rsidRPr="00565172">
        <w:rPr>
          <w:rFonts w:eastAsia="Calibri" w:cs="Arial"/>
          <w:sz w:val="22"/>
          <w:szCs w:val="22"/>
        </w:rPr>
        <w:t xml:space="preserve">Commissioners pay Providers for each patient seen or treated, considering the complexity of the patient's healthcare needs, under a national tariff system.  </w:t>
      </w:r>
    </w:p>
    <w:p w:rsidR="00700D1B" w:rsidRPr="00565172" w:rsidP="00700D1B">
      <w:pPr>
        <w:ind w:left="567"/>
        <w:jc w:val="both"/>
        <w:rPr>
          <w:rFonts w:eastAsia="Calibri" w:cs="Arial"/>
          <w:sz w:val="22"/>
          <w:szCs w:val="22"/>
        </w:rPr>
      </w:pPr>
    </w:p>
    <w:p w:rsidR="00700D1B" w:rsidRPr="00565172" w:rsidP="00700D1B">
      <w:pPr>
        <w:ind w:left="567"/>
        <w:jc w:val="both"/>
        <w:rPr>
          <w:rFonts w:eastAsia="Calibri" w:cs="Arial"/>
          <w:sz w:val="22"/>
          <w:szCs w:val="22"/>
        </w:rPr>
      </w:pPr>
      <w:r w:rsidRPr="004C4DED">
        <w:rPr>
          <w:rFonts w:eastAsia="Calibri"/>
          <w:noProof/>
        </w:rPr>
        <w:drawing>
          <wp:anchor distT="0" distB="0" distL="114300" distR="114300" simplePos="0" relativeHeight="251665408" behindDoc="0" locked="0" layoutInCell="1" allowOverlap="1">
            <wp:simplePos x="0" y="0"/>
            <wp:positionH relativeFrom="column">
              <wp:posOffset>120410</wp:posOffset>
            </wp:positionH>
            <wp:positionV relativeFrom="paragraph">
              <wp:posOffset>547094</wp:posOffset>
            </wp:positionV>
            <wp:extent cx="6540396" cy="3208331"/>
            <wp:effectExtent l="0" t="0" r="0" b="0"/>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xmlns:r="http://schemas.openxmlformats.org/officeDocument/2006/relationships" r:embed="rId22">
                      <a:extLst>
                        <a:ext uri="{28A0092B-C50C-407E-A947-70E740481C1C}">
                          <a14:useLocalDpi xmlns:a14="http://schemas.microsoft.com/office/drawing/2010/main" val="0"/>
                        </a:ext>
                      </a:extLst>
                    </a:blip>
                    <a:srcRect/>
                    <a:stretch>
                      <a:fillRect/>
                    </a:stretch>
                  </pic:blipFill>
                  <pic:spPr bwMode="auto">
                    <a:xfrm>
                      <a:off x="0" y="0"/>
                      <a:ext cx="6540396" cy="3208331"/>
                    </a:xfrm>
                    <a:prstGeom prst="rect">
                      <a:avLst/>
                    </a:prstGeom>
                    <a:noFill/>
                    <a:ln>
                      <a:noFill/>
                    </a:ln>
                  </pic:spPr>
                </pic:pic>
              </a:graphicData>
            </a:graphic>
          </wp:anchor>
        </w:drawing>
      </w:r>
      <w:r w:rsidRPr="00565172">
        <w:rPr>
          <w:rFonts w:eastAsia="Calibri" w:cs="Arial"/>
          <w:sz w:val="22"/>
          <w:szCs w:val="22"/>
        </w:rPr>
        <w:t>The DHSC takes a pragmatic approach and eliminates only the material transactions between Departmental group bodies.  The table below illustrates how the funds flow between the different bodies within the DHSC Group.</w:t>
      </w:r>
    </w:p>
    <w:p w:rsidR="00700D1B" w:rsidRPr="00565172" w:rsidP="00700D1B">
      <w:pPr>
        <w:ind w:left="567"/>
        <w:rPr>
          <w:rFonts w:eastAsiaTheme="minorHAnsi" w:cs="Arial"/>
          <w:i/>
          <w:sz w:val="18"/>
          <w:szCs w:val="18"/>
          <w:lang w:eastAsia="en-US"/>
        </w:rPr>
      </w:pPr>
      <w:r w:rsidRPr="00565172">
        <w:rPr>
          <w:rFonts w:eastAsiaTheme="minorHAnsi" w:cs="Arial"/>
          <w:i/>
          <w:sz w:val="18"/>
          <w:szCs w:val="18"/>
          <w:lang w:eastAsia="en-US"/>
        </w:rPr>
        <w:t>Please note – this table does not include the funding that flows to NHS Providers from the Public Health Grant, as that funding is allocated to Local Authorities (outside the DHSC Group)</w:t>
      </w:r>
    </w:p>
    <w:p w:rsidR="00700D1B" w:rsidRPr="00565172" w:rsidP="00700D1B">
      <w:pPr>
        <w:ind w:left="567"/>
        <w:rPr>
          <w:rFonts w:eastAsiaTheme="minorHAnsi" w:cs="Arial"/>
          <w:sz w:val="22"/>
          <w:szCs w:val="22"/>
          <w:lang w:eastAsia="en-US"/>
        </w:rPr>
      </w:pPr>
    </w:p>
    <w:p w:rsidR="00700D1B" w:rsidRPr="00565172" w:rsidP="00700D1B">
      <w:pPr>
        <w:ind w:left="567"/>
        <w:rPr>
          <w:rFonts w:eastAsiaTheme="minorHAnsi" w:cs="Arial"/>
          <w:sz w:val="22"/>
          <w:szCs w:val="22"/>
          <w:lang w:eastAsia="en-US"/>
        </w:rPr>
      </w:pPr>
    </w:p>
    <w:p w:rsidR="00700D1B" w:rsidRPr="00565172" w:rsidP="00700D1B">
      <w:pPr>
        <w:numPr>
          <w:ilvl w:val="1"/>
          <w:numId w:val="8"/>
        </w:numPr>
        <w:spacing w:after="120" w:line="276" w:lineRule="auto"/>
        <w:ind w:left="567" w:hanging="567"/>
        <w:rPr>
          <w:rFonts w:eastAsia="Calibri" w:cs="Arial"/>
          <w:b/>
          <w:sz w:val="22"/>
          <w:szCs w:val="22"/>
        </w:rPr>
      </w:pPr>
      <w:r w:rsidRPr="00565172">
        <w:rPr>
          <w:rFonts w:eastAsia="Calibri" w:cs="Arial"/>
          <w:b/>
          <w:sz w:val="22"/>
          <w:szCs w:val="22"/>
        </w:rPr>
        <w:t>DHSC Revenue Expenditure Analysis</w:t>
      </w:r>
    </w:p>
    <w:p w:rsidR="00700D1B" w:rsidRPr="00565172" w:rsidP="00700D1B">
      <w:pPr>
        <w:ind w:left="567"/>
        <w:contextualSpacing/>
        <w:jc w:val="both"/>
        <w:rPr>
          <w:rFonts w:eastAsia="Calibri" w:cs="Arial"/>
          <w:sz w:val="22"/>
          <w:szCs w:val="22"/>
        </w:rPr>
      </w:pPr>
      <w:r w:rsidRPr="00565172">
        <w:rPr>
          <w:rFonts w:eastAsia="Calibri" w:cs="Arial"/>
          <w:sz w:val="22"/>
          <w:szCs w:val="22"/>
        </w:rPr>
        <w:t>The majority of the DHSC’s budget is allocated to fund the NHS.  Circa £</w:t>
      </w:r>
      <w:r>
        <w:rPr>
          <w:rFonts w:eastAsia="Calibri" w:cs="Arial"/>
          <w:sz w:val="22"/>
          <w:szCs w:val="22"/>
        </w:rPr>
        <w:t>85</w:t>
      </w:r>
      <w:r w:rsidRPr="00565172">
        <w:rPr>
          <w:rFonts w:eastAsia="Calibri" w:cs="Arial"/>
          <w:sz w:val="22"/>
          <w:szCs w:val="22"/>
        </w:rPr>
        <w:t xml:space="preserve"> billion of revenue expenditure in the Departmental group sits in the NHS Provider sector, spent on staff costs, drugs and procurement of supplies and services to deliver healthcare.  Other significant expenditure includes primary care (including general practice, dentistry, ophthalmology, pharmaceutical) and prescribing costs.</w:t>
      </w:r>
    </w:p>
    <w:p w:rsidR="00700D1B" w:rsidRPr="00565172" w:rsidP="00700D1B">
      <w:pPr>
        <w:ind w:left="567"/>
        <w:jc w:val="both"/>
        <w:rPr>
          <w:rFonts w:eastAsiaTheme="minorHAnsi" w:cs="Arial"/>
          <w:sz w:val="22"/>
          <w:szCs w:val="22"/>
          <w:lang w:eastAsia="en-US"/>
        </w:rPr>
      </w:pPr>
    </w:p>
    <w:p w:rsidR="00700D1B" w:rsidRPr="00565172" w:rsidP="00700D1B">
      <w:pPr>
        <w:ind w:left="567"/>
        <w:jc w:val="both"/>
        <w:rPr>
          <w:rFonts w:eastAsiaTheme="minorHAnsi" w:cs="Arial"/>
          <w:sz w:val="22"/>
          <w:szCs w:val="22"/>
          <w:lang w:eastAsia="en-US"/>
        </w:rPr>
      </w:pPr>
      <w:r w:rsidRPr="00565172">
        <w:rPr>
          <w:rFonts w:eastAsiaTheme="minorHAnsi" w:cs="Arial"/>
          <w:sz w:val="22"/>
          <w:szCs w:val="22"/>
          <w:lang w:eastAsia="en-US"/>
        </w:rPr>
        <w:t>Further information on the NHS Provider sector can be found:</w:t>
      </w:r>
    </w:p>
    <w:p w:rsidR="00700D1B" w:rsidRPr="00565172" w:rsidP="00700D1B">
      <w:pPr>
        <w:ind w:left="567"/>
        <w:jc w:val="both"/>
        <w:rPr>
          <w:rFonts w:eastAsiaTheme="minorHAnsi" w:cs="Arial"/>
          <w:sz w:val="22"/>
          <w:szCs w:val="22"/>
          <w:lang w:eastAsia="en-US"/>
        </w:rPr>
      </w:pPr>
    </w:p>
    <w:p w:rsidR="00700D1B" w:rsidRPr="00565172" w:rsidP="00700D1B">
      <w:pPr>
        <w:numPr>
          <w:ilvl w:val="0"/>
          <w:numId w:val="13"/>
        </w:numPr>
        <w:spacing w:after="120"/>
        <w:ind w:left="924" w:hanging="357"/>
        <w:jc w:val="both"/>
        <w:rPr>
          <w:rFonts w:eastAsia="Calibri" w:cs="Arial"/>
          <w:sz w:val="22"/>
          <w:szCs w:val="22"/>
        </w:rPr>
      </w:pPr>
      <w:r w:rsidRPr="00565172">
        <w:rPr>
          <w:rFonts w:eastAsiaTheme="minorHAnsi" w:cs="Arial"/>
          <w:sz w:val="22"/>
          <w:szCs w:val="22"/>
          <w:lang w:eastAsia="en-US"/>
        </w:rPr>
        <w:t xml:space="preserve">in the </w:t>
      </w:r>
      <w:r>
        <w:fldChar w:fldCharType="begin"/>
      </w:r>
      <w:r>
        <w:instrText xml:space="preserve"> HYPERLINK "https://www.england.nhs.uk/wp-content/uploads/2021/01/consolidated-nhs-provider-accounts-19-20.pdf" </w:instrText>
      </w:r>
      <w:r>
        <w:fldChar w:fldCharType="separate"/>
      </w:r>
      <w:r w:rsidRPr="004C4DED">
        <w:rPr>
          <w:rStyle w:val="Hyperlink"/>
          <w:sz w:val="22"/>
          <w:szCs w:val="22"/>
        </w:rPr>
        <w:t>2019-20 Provider consolidated accounts</w:t>
      </w:r>
      <w:r>
        <w:fldChar w:fldCharType="end"/>
      </w:r>
      <w:r w:rsidRPr="00565172">
        <w:rPr>
          <w:rFonts w:eastAsiaTheme="minorHAnsi" w:cs="Arial"/>
          <w:sz w:val="22"/>
          <w:szCs w:val="22"/>
          <w:lang w:eastAsia="en-US"/>
        </w:rPr>
        <w:t>; and</w:t>
      </w:r>
    </w:p>
    <w:p w:rsidR="00700D1B" w:rsidRPr="00565172" w:rsidP="00700D1B">
      <w:pPr>
        <w:numPr>
          <w:ilvl w:val="0"/>
          <w:numId w:val="13"/>
        </w:numPr>
        <w:ind w:left="927"/>
        <w:jc w:val="both"/>
        <w:rPr>
          <w:rFonts w:eastAsia="Calibri" w:cs="Arial"/>
          <w:sz w:val="22"/>
          <w:szCs w:val="22"/>
        </w:rPr>
      </w:pPr>
      <w:r w:rsidRPr="00565172">
        <w:rPr>
          <w:rFonts w:eastAsia="Calibri" w:cs="Arial"/>
          <w:sz w:val="22"/>
          <w:szCs w:val="22"/>
        </w:rPr>
        <w:t xml:space="preserve">NHSE/NHSI now issue combined </w:t>
      </w:r>
      <w:r>
        <w:fldChar w:fldCharType="begin"/>
      </w:r>
      <w:r>
        <w:instrText xml:space="preserve"> HYPERLINK "https://www.england.nhs.uk/about/board/meetings/previous/" </w:instrText>
      </w:r>
      <w:r>
        <w:fldChar w:fldCharType="separate"/>
      </w:r>
      <w:r w:rsidRPr="00565172">
        <w:rPr>
          <w:color w:val="0000FF"/>
          <w:sz w:val="22"/>
          <w:szCs w:val="22"/>
          <w:u w:val="single"/>
        </w:rPr>
        <w:t>Board Reports</w:t>
      </w:r>
      <w:r>
        <w:fldChar w:fldCharType="end"/>
      </w:r>
      <w:r w:rsidRPr="00565172">
        <w:rPr>
          <w:rFonts w:eastAsia="Calibri" w:cs="Arial"/>
          <w:sz w:val="22"/>
          <w:szCs w:val="22"/>
        </w:rPr>
        <w:t xml:space="preserve">.  </w:t>
      </w:r>
    </w:p>
    <w:p w:rsidR="00700D1B" w:rsidRPr="00565172" w:rsidP="00700D1B">
      <w:pPr>
        <w:ind w:left="567"/>
        <w:jc w:val="both"/>
        <w:rPr>
          <w:rFonts w:eastAsiaTheme="minorHAnsi" w:cs="Arial"/>
          <w:sz w:val="22"/>
          <w:szCs w:val="22"/>
          <w:lang w:eastAsia="en-US"/>
        </w:rPr>
      </w:pPr>
    </w:p>
    <w:p w:rsidR="00700D1B" w:rsidRPr="004C4DED" w:rsidP="00700D1B">
      <w:pPr>
        <w:ind w:left="567"/>
        <w:jc w:val="both"/>
        <w:rPr>
          <w:rFonts w:eastAsiaTheme="minorHAnsi" w:cs="Arial"/>
          <w:sz w:val="22"/>
          <w:szCs w:val="22"/>
          <w:highlight w:val="yellow"/>
          <w:lang w:eastAsia="en-US"/>
        </w:rPr>
      </w:pPr>
      <w:r w:rsidRPr="007D5A3C">
        <w:rPr>
          <w:rFonts w:eastAsiaTheme="minorHAnsi" w:cs="Arial"/>
          <w:sz w:val="22"/>
          <w:szCs w:val="22"/>
          <w:lang w:eastAsia="en-US"/>
        </w:rPr>
        <w:t>The chart below shows the 2015-16 to 201</w:t>
      </w:r>
      <w:r>
        <w:rPr>
          <w:rFonts w:eastAsiaTheme="minorHAnsi" w:cs="Arial"/>
          <w:sz w:val="22"/>
          <w:szCs w:val="22"/>
          <w:lang w:eastAsia="en-US"/>
        </w:rPr>
        <w:t>9</w:t>
      </w:r>
      <w:r w:rsidRPr="007D5A3C">
        <w:rPr>
          <w:rFonts w:eastAsiaTheme="minorHAnsi" w:cs="Arial"/>
          <w:sz w:val="22"/>
          <w:szCs w:val="22"/>
          <w:lang w:eastAsia="en-US"/>
        </w:rPr>
        <w:t>-</w:t>
      </w:r>
      <w:r>
        <w:rPr>
          <w:rFonts w:eastAsiaTheme="minorHAnsi" w:cs="Arial"/>
          <w:sz w:val="22"/>
          <w:szCs w:val="22"/>
          <w:lang w:eastAsia="en-US"/>
        </w:rPr>
        <w:t>20</w:t>
      </w:r>
      <w:r w:rsidRPr="007D5A3C">
        <w:rPr>
          <w:rFonts w:eastAsiaTheme="minorHAnsi" w:cs="Arial"/>
          <w:sz w:val="22"/>
          <w:szCs w:val="22"/>
          <w:lang w:eastAsia="en-US"/>
        </w:rPr>
        <w:t xml:space="preserve"> revenue expenditure broken down to show the material categories as per the DHSC Annual Report in the Departmental Group Summary tables (2.2 Expenditure and 2.3 Income) for the relevant financial year. </w:t>
      </w:r>
    </w:p>
    <w:p w:rsidR="00744F7A">
      <w:pPr>
        <w:rPr>
          <w:rFonts w:cs="Arial"/>
          <w:b/>
          <w:bCs/>
          <w:color w:val="17365D" w:themeColor="text2" w:themeShade="BF"/>
          <w:sz w:val="22"/>
          <w:szCs w:val="22"/>
        </w:rPr>
      </w:pPr>
    </w:p>
    <w:p w:rsidR="00744F7A" w:rsidRPr="00565172" w:rsidP="00744F7A">
      <w:pPr>
        <w:spacing w:after="160" w:line="259" w:lineRule="auto"/>
        <w:contextualSpacing/>
        <w:jc w:val="center"/>
        <w:rPr>
          <w:rFonts w:cs="Arial"/>
          <w:b/>
          <w:bCs/>
          <w:sz w:val="22"/>
          <w:szCs w:val="22"/>
        </w:rPr>
      </w:pPr>
    </w:p>
    <w:p w:rsidR="001407A2" w:rsidP="001407A2">
      <w:pPr>
        <w:keepNext/>
        <w:keepLines/>
      </w:pPr>
    </w:p>
    <w:p w:rsidR="00744F7A" w:rsidRPr="004C4DED" w:rsidP="00744F7A">
      <w:pPr>
        <w:ind w:left="567"/>
        <w:jc w:val="both"/>
        <w:rPr>
          <w:rFonts w:eastAsiaTheme="minorHAnsi" w:cs="Arial"/>
          <w:sz w:val="22"/>
          <w:szCs w:val="22"/>
          <w:highlight w:val="yellow"/>
          <w:lang w:eastAsia="en-US"/>
        </w:rPr>
      </w:pPr>
    </w:p>
    <w:p w:rsidR="00744F7A" w:rsidRPr="004C4DED" w:rsidP="00744F7A">
      <w:pPr>
        <w:ind w:left="567"/>
        <w:jc w:val="both"/>
        <w:rPr>
          <w:rFonts w:eastAsiaTheme="minorHAnsi" w:cs="Arial"/>
          <w:sz w:val="22"/>
          <w:szCs w:val="22"/>
          <w:highlight w:val="yellow"/>
          <w:lang w:eastAsia="en-US"/>
        </w:rPr>
      </w:pPr>
    </w:p>
    <w:p w:rsidR="00744F7A" w:rsidP="00744F7A">
      <w:pPr>
        <w:jc w:val="both"/>
        <w:rPr>
          <w:rFonts w:eastAsiaTheme="minorHAnsi" w:cs="Arial"/>
          <w:sz w:val="22"/>
          <w:szCs w:val="22"/>
          <w:lang w:eastAsia="en-US"/>
        </w:rPr>
      </w:pPr>
      <w:r>
        <w:rPr>
          <w:rFonts w:cs="Arial"/>
          <w:b/>
          <w:bCs/>
          <w:noProof/>
          <w:color w:val="17365D" w:themeColor="text2" w:themeShade="BF"/>
          <w:sz w:val="22"/>
          <w:szCs w:val="22"/>
        </w:rPr>
        <w:drawing>
          <wp:anchor distT="0" distB="0" distL="114300" distR="114300" simplePos="0" relativeHeight="251668480" behindDoc="0" locked="0" layoutInCell="1" allowOverlap="1">
            <wp:simplePos x="0" y="0"/>
            <wp:positionH relativeFrom="margin">
              <wp:posOffset>0</wp:posOffset>
            </wp:positionH>
            <wp:positionV relativeFrom="paragraph">
              <wp:posOffset>154940</wp:posOffset>
            </wp:positionV>
            <wp:extent cx="6696710" cy="6424295"/>
            <wp:effectExtent l="0" t="0" r="8890" b="0"/>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xmlns:r="http://schemas.openxmlformats.org/officeDocument/2006/relationships" r:embed="rId23">
                      <a:extLst>
                        <a:ext uri="{28A0092B-C50C-407E-A947-70E740481C1C}">
                          <a14:useLocalDpi xmlns:a14="http://schemas.microsoft.com/office/drawing/2010/main" val="0"/>
                        </a:ext>
                      </a:extLst>
                    </a:blip>
                    <a:srcRect/>
                    <a:stretch>
                      <a:fillRect/>
                    </a:stretch>
                  </pic:blipFill>
                  <pic:spPr bwMode="auto">
                    <a:xfrm>
                      <a:off x="0" y="0"/>
                      <a:ext cx="6696710" cy="6424295"/>
                    </a:xfrm>
                    <a:prstGeom prst="rect">
                      <a:avLst/>
                    </a:prstGeom>
                    <a:noFill/>
                  </pic:spPr>
                </pic:pic>
              </a:graphicData>
            </a:graphic>
          </wp:anchor>
        </w:drawing>
      </w:r>
    </w:p>
    <w:p w:rsidR="00744F7A" w:rsidRPr="00565172" w:rsidP="00744F7A">
      <w:pPr>
        <w:ind w:left="720"/>
        <w:rPr>
          <w:b/>
          <w:sz w:val="22"/>
          <w:szCs w:val="22"/>
        </w:rPr>
      </w:pPr>
      <w:r w:rsidRPr="00565172">
        <w:rPr>
          <w:rFonts w:eastAsiaTheme="minorHAnsi" w:cs="Arial"/>
          <w:i/>
          <w:sz w:val="18"/>
          <w:szCs w:val="18"/>
          <w:lang w:eastAsia="en-US"/>
        </w:rPr>
        <w:t>*These figures are net of income.</w:t>
      </w:r>
    </w:p>
    <w:p w:rsidR="00744F7A" w:rsidRPr="00565172" w:rsidP="00744F7A">
      <w:pPr>
        <w:contextualSpacing/>
        <w:jc w:val="center"/>
        <w:rPr>
          <w:b/>
          <w:sz w:val="22"/>
          <w:szCs w:val="22"/>
        </w:rPr>
      </w:pPr>
    </w:p>
    <w:p w:rsidR="00744F7A" w:rsidRPr="00565172" w:rsidP="00744F7A">
      <w:pPr>
        <w:contextualSpacing/>
        <w:jc w:val="center"/>
        <w:rPr>
          <w:b/>
          <w:sz w:val="22"/>
          <w:szCs w:val="22"/>
        </w:rPr>
      </w:pPr>
    </w:p>
    <w:p w:rsidR="00744F7A" w:rsidRPr="00565172" w:rsidP="00744F7A">
      <w:pPr>
        <w:contextualSpacing/>
        <w:jc w:val="center"/>
        <w:rPr>
          <w:b/>
          <w:sz w:val="22"/>
          <w:szCs w:val="22"/>
        </w:rPr>
      </w:pPr>
    </w:p>
    <w:p w:rsidR="00744F7A" w:rsidRPr="00565172" w:rsidP="00744F7A">
      <w:pPr>
        <w:contextualSpacing/>
        <w:jc w:val="center"/>
        <w:rPr>
          <w:rFonts w:cs="Arial"/>
          <w:b/>
          <w:bCs/>
          <w:color w:val="1F497D" w:themeColor="text2"/>
        </w:rPr>
      </w:pPr>
    </w:p>
    <w:p w:rsidR="00744F7A" w:rsidRPr="00565172" w:rsidP="00744F7A">
      <w:pPr>
        <w:contextualSpacing/>
        <w:jc w:val="center"/>
        <w:rPr>
          <w:b/>
          <w:sz w:val="22"/>
          <w:szCs w:val="22"/>
        </w:rPr>
      </w:pPr>
    </w:p>
    <w:p w:rsidR="00744F7A" w:rsidRPr="00565172" w:rsidP="00744F7A">
      <w:pPr>
        <w:contextualSpacing/>
        <w:jc w:val="center"/>
        <w:rPr>
          <w:b/>
          <w:sz w:val="22"/>
          <w:szCs w:val="22"/>
        </w:rPr>
      </w:pPr>
    </w:p>
    <w:p w:rsidR="00744F7A" w:rsidRPr="00565172" w:rsidP="00744F7A">
      <w:pPr>
        <w:contextualSpacing/>
        <w:jc w:val="center"/>
        <w:rPr>
          <w:b/>
          <w:sz w:val="22"/>
          <w:szCs w:val="22"/>
        </w:rPr>
      </w:pPr>
    </w:p>
    <w:p w:rsidR="00744F7A" w:rsidRPr="00565172" w:rsidP="00744F7A">
      <w:pPr>
        <w:contextualSpacing/>
        <w:jc w:val="center"/>
        <w:rPr>
          <w:b/>
          <w:sz w:val="22"/>
          <w:szCs w:val="22"/>
        </w:rPr>
      </w:pPr>
    </w:p>
    <w:p w:rsidR="00744F7A" w:rsidP="00744F7A">
      <w:pPr>
        <w:rPr>
          <w:rFonts w:cs="Arial"/>
          <w:b/>
          <w:bCs/>
          <w:color w:val="17365D" w:themeColor="text2" w:themeShade="BF"/>
          <w:sz w:val="22"/>
          <w:szCs w:val="22"/>
        </w:rPr>
      </w:pPr>
      <w:r>
        <w:rPr>
          <w:rFonts w:cs="Arial"/>
          <w:b/>
          <w:bCs/>
          <w:color w:val="17365D" w:themeColor="text2" w:themeShade="BF"/>
          <w:sz w:val="22"/>
          <w:szCs w:val="22"/>
        </w:rPr>
        <w:br w:type="page"/>
      </w:r>
    </w:p>
    <w:p w:rsidR="00744F7A" w:rsidP="00744F7A">
      <w:pPr>
        <w:jc w:val="right"/>
        <w:rPr>
          <w:rFonts w:cs="Arial"/>
          <w:b/>
          <w:bCs/>
          <w:color w:val="17365D" w:themeColor="text2" w:themeShade="BF"/>
          <w:sz w:val="22"/>
          <w:szCs w:val="22"/>
        </w:rPr>
        <w:sectPr w:rsidSect="00700D1B">
          <w:headerReference w:type="even" r:id="rId24"/>
          <w:headerReference w:type="default" r:id="rId25"/>
          <w:footerReference w:type="even" r:id="rId26"/>
          <w:footerReference w:type="default" r:id="rId27"/>
          <w:headerReference w:type="first" r:id="rId28"/>
          <w:footerReference w:type="first" r:id="rId29"/>
          <w:pgSz w:w="11906" w:h="16838" w:code="9"/>
          <w:pgMar w:top="680" w:right="680" w:bottom="680" w:left="680" w:header="284" w:footer="284" w:gutter="0"/>
          <w:pgNumType w:start="1"/>
          <w:cols w:space="708"/>
          <w:titlePg/>
          <w:docGrid w:linePitch="360"/>
        </w:sectPr>
      </w:pPr>
    </w:p>
    <w:p w:rsidR="00744F7A" w:rsidP="00744F7A">
      <w:pPr>
        <w:jc w:val="right"/>
        <w:rPr>
          <w:rFonts w:cs="Arial"/>
          <w:b/>
          <w:bCs/>
          <w:color w:val="17365D" w:themeColor="text2" w:themeShade="BF"/>
          <w:sz w:val="22"/>
          <w:szCs w:val="22"/>
        </w:rPr>
      </w:pPr>
      <w:r>
        <w:rPr>
          <w:rFonts w:cs="Arial"/>
          <w:b/>
          <w:bCs/>
          <w:color w:val="17365D" w:themeColor="text2" w:themeShade="BF"/>
          <w:sz w:val="22"/>
          <w:szCs w:val="22"/>
        </w:rPr>
        <w:t>ANNEX A</w:t>
      </w:r>
    </w:p>
    <w:p w:rsidR="00744F7A" w:rsidP="00744F7A">
      <w:pPr>
        <w:jc w:val="center"/>
        <w:rPr>
          <w:rFonts w:cs="Arial"/>
          <w:b/>
          <w:bCs/>
          <w:color w:val="17365D" w:themeColor="text2" w:themeShade="BF"/>
          <w:sz w:val="22"/>
          <w:szCs w:val="22"/>
        </w:rPr>
      </w:pPr>
      <w:r>
        <w:rPr>
          <w:rFonts w:cs="Arial"/>
          <w:b/>
          <w:bCs/>
          <w:color w:val="17365D" w:themeColor="text2" w:themeShade="BF"/>
          <w:sz w:val="22"/>
          <w:szCs w:val="22"/>
        </w:rPr>
        <w:t>DETAILS OF 2020-21 FUNDING ACROSS THE DHSC SUPPLEMETARY SUPPLY ESTIMATE</w:t>
      </w:r>
    </w:p>
    <w:p w:rsidR="00744F7A" w:rsidP="00744F7A">
      <w:pPr>
        <w:jc w:val="right"/>
        <w:rPr>
          <w:rFonts w:cs="Arial"/>
          <w:b/>
          <w:bCs/>
          <w:color w:val="17365D" w:themeColor="text2" w:themeShade="BF"/>
          <w:sz w:val="22"/>
          <w:szCs w:val="22"/>
        </w:rPr>
      </w:pPr>
    </w:p>
    <w:p w:rsidR="00744F7A" w:rsidP="00744F7A">
      <w:pPr>
        <w:jc w:val="right"/>
        <w:rPr>
          <w:rFonts w:cs="Arial"/>
          <w:b/>
          <w:bCs/>
          <w:color w:val="17365D" w:themeColor="text2" w:themeShade="BF"/>
          <w:sz w:val="22"/>
          <w:szCs w:val="22"/>
        </w:rPr>
      </w:pPr>
    </w:p>
    <w:p w:rsidR="00744F7A" w:rsidP="00744F7A">
      <w:pPr>
        <w:jc w:val="right"/>
        <w:rPr>
          <w:rFonts w:cs="Arial"/>
          <w:b/>
          <w:bCs/>
          <w:color w:val="17365D" w:themeColor="text2" w:themeShade="BF"/>
          <w:sz w:val="22"/>
          <w:szCs w:val="22"/>
        </w:rPr>
      </w:pPr>
    </w:p>
    <w:p w:rsidR="00744F7A" w:rsidP="00744F7A">
      <w:pPr>
        <w:jc w:val="right"/>
        <w:rPr>
          <w:rFonts w:cs="Arial"/>
          <w:b/>
          <w:bCs/>
          <w:color w:val="17365D" w:themeColor="text2" w:themeShade="BF"/>
          <w:sz w:val="22"/>
          <w:szCs w:val="22"/>
        </w:rPr>
      </w:pPr>
      <w:r w:rsidRPr="007514FE">
        <w:rPr>
          <w:noProof/>
        </w:rPr>
        <w:drawing>
          <wp:inline distT="0" distB="0" distL="0" distR="0">
            <wp:extent cx="9540240" cy="2401294"/>
            <wp:effectExtent l="0" t="0" r="381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xmlns:r="http://schemas.openxmlformats.org/officeDocument/2006/relationships" r:embed="rId30">
                      <a:extLst>
                        <a:ext uri="{28A0092B-C50C-407E-A947-70E740481C1C}">
                          <a14:useLocalDpi xmlns:a14="http://schemas.microsoft.com/office/drawing/2010/main" val="0"/>
                        </a:ext>
                      </a:extLst>
                    </a:blip>
                    <a:srcRect/>
                    <a:stretch>
                      <a:fillRect/>
                    </a:stretch>
                  </pic:blipFill>
                  <pic:spPr bwMode="auto">
                    <a:xfrm>
                      <a:off x="0" y="0"/>
                      <a:ext cx="9559404" cy="2406118"/>
                    </a:xfrm>
                    <a:prstGeom prst="rect">
                      <a:avLst/>
                    </a:prstGeom>
                    <a:noFill/>
                    <a:ln>
                      <a:noFill/>
                    </a:ln>
                  </pic:spPr>
                </pic:pic>
              </a:graphicData>
            </a:graphic>
          </wp:inline>
        </w:drawing>
      </w:r>
    </w:p>
    <w:p w:rsidR="00744F7A" w:rsidP="00744F7A">
      <w:pPr>
        <w:jc w:val="right"/>
        <w:rPr>
          <w:rFonts w:cs="Arial"/>
          <w:b/>
          <w:bCs/>
          <w:color w:val="17365D" w:themeColor="text2" w:themeShade="BF"/>
          <w:sz w:val="22"/>
          <w:szCs w:val="22"/>
        </w:rPr>
      </w:pPr>
    </w:p>
    <w:p w:rsidR="00744F7A" w:rsidRPr="00A67BA7" w:rsidP="00744F7A">
      <w:pPr>
        <w:jc w:val="right"/>
        <w:rPr>
          <w:rFonts w:cs="Arial"/>
          <w:b/>
          <w:bCs/>
          <w:color w:val="17365D" w:themeColor="text2" w:themeShade="BF"/>
          <w:sz w:val="22"/>
          <w:szCs w:val="22"/>
        </w:rPr>
      </w:pPr>
      <w:r w:rsidRPr="007514FE">
        <w:rPr>
          <w:noProof/>
        </w:rPr>
        <w:drawing>
          <wp:inline distT="0" distB="0" distL="0" distR="0">
            <wp:extent cx="9540240" cy="2156460"/>
            <wp:effectExtent l="0" t="0" r="381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xmlns:r="http://schemas.openxmlformats.org/officeDocument/2006/relationships" r:embed="rId31">
                      <a:extLst>
                        <a:ext uri="{28A0092B-C50C-407E-A947-70E740481C1C}">
                          <a14:useLocalDpi xmlns:a14="http://schemas.microsoft.com/office/drawing/2010/main" val="0"/>
                        </a:ext>
                      </a:extLst>
                    </a:blip>
                    <a:srcRect/>
                    <a:stretch>
                      <a:fillRect/>
                    </a:stretch>
                  </pic:blipFill>
                  <pic:spPr bwMode="auto">
                    <a:xfrm>
                      <a:off x="0" y="0"/>
                      <a:ext cx="9540240" cy="2156460"/>
                    </a:xfrm>
                    <a:prstGeom prst="rect">
                      <a:avLst/>
                    </a:prstGeom>
                    <a:noFill/>
                    <a:ln>
                      <a:noFill/>
                    </a:ln>
                  </pic:spPr>
                </pic:pic>
              </a:graphicData>
            </a:graphic>
          </wp:inline>
        </w:drawing>
      </w:r>
    </w:p>
    <w:p w:rsidR="00744F7A" w:rsidRPr="008721D1" w:rsidP="00744F7A">
      <w:pPr>
        <w:spacing w:before="240"/>
        <w:jc w:val="center"/>
        <w:rPr>
          <w:rFonts w:cs="Arial"/>
          <w:b/>
          <w:bCs/>
          <w:color w:val="17365D" w:themeColor="text2" w:themeShade="BF"/>
          <w:sz w:val="22"/>
          <w:szCs w:val="22"/>
        </w:rPr>
      </w:pPr>
    </w:p>
    <w:sectPr w:rsidSect="00744F7A">
      <w:pgSz w:w="16838" w:h="11906" w:orient="landscape"/>
      <w:pgMar w:top="567" w:right="680" w:bottom="567" w:left="680" w:header="709" w:footer="709" w:gutter="0"/>
      <w:pgNumType w:start="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Humnst777 Lt BT">
    <w:altName w:val="Calibri"/>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82837" w:rsidRPr="002C47D6" w:rsidP="00700D1B">
    <w:pPr>
      <w:pStyle w:val="Footer"/>
      <w:jc w:val="center"/>
      <w:rPr>
        <w:rFonts w:ascii="Times New Roman" w:hAnsi="Times New Roman"/>
        <w:color w:val="808080"/>
        <w:sz w:val="20"/>
        <w:szCs w:val="20"/>
      </w:rPr>
    </w:pPr>
    <w:r>
      <w:rPr>
        <w:sz w:val="18"/>
        <w:szCs w:val="18"/>
      </w:rPr>
      <w:t>E</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261822231"/>
      <w:docPartObj>
        <w:docPartGallery w:val="Page Numbers (Bottom of Page)"/>
        <w:docPartUnique/>
      </w:docPartObj>
    </w:sdtPr>
    <w:sdtEndPr>
      <w:rPr>
        <w:noProof/>
      </w:rPr>
    </w:sdtEndPr>
    <w:sdtContent>
      <w:p w:rsidR="0088283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882837"/>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82837" w:rsidP="00700D1B">
    <w:r>
      <w:t xml:space="preserve"> </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82837" w:rsidP="00021384">
    <w:pPr>
      <w:pStyle w:val="Footer"/>
      <w:framePr w:wrap="around" w:vAnchor="text" w:hAnchor="margin" w:xAlign="center" w:y="1"/>
      <w:rPr>
        <w:rStyle w:val="PageNumber"/>
      </w:rPr>
    </w:pPr>
    <w:r>
      <w:rPr>
        <w:rStyle w:val="PageNumber"/>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82837">
    <w:r>
      <w:cr/>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82837" w:rsidP="00700D1B"/>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8265B4F"/>
    <w:multiLevelType w:val="hybridMultilevel"/>
    <w:tmpl w:val="CF6E457E"/>
    <w:lvl w:ilvl="0">
      <w:start w:val="1"/>
      <w:numFmt w:val="decimal"/>
      <w:lvlText w:val="%1."/>
      <w:lvlJc w:val="left"/>
      <w:pPr>
        <w:ind w:left="1284" w:hanging="360"/>
      </w:pPr>
      <w:rPr>
        <w:rFonts w:hint="default"/>
      </w:rPr>
    </w:lvl>
    <w:lvl w:ilvl="1" w:tentative="1">
      <w:start w:val="1"/>
      <w:numFmt w:val="lowerLetter"/>
      <w:lvlText w:val="%2."/>
      <w:lvlJc w:val="left"/>
      <w:pPr>
        <w:ind w:left="2004" w:hanging="360"/>
      </w:pPr>
    </w:lvl>
    <w:lvl w:ilvl="2" w:tentative="1">
      <w:start w:val="1"/>
      <w:numFmt w:val="lowerRoman"/>
      <w:lvlText w:val="%3."/>
      <w:lvlJc w:val="right"/>
      <w:pPr>
        <w:ind w:left="2724" w:hanging="180"/>
      </w:pPr>
    </w:lvl>
    <w:lvl w:ilvl="3" w:tentative="1">
      <w:start w:val="1"/>
      <w:numFmt w:val="decimal"/>
      <w:lvlText w:val="%4."/>
      <w:lvlJc w:val="left"/>
      <w:pPr>
        <w:ind w:left="3444" w:hanging="360"/>
      </w:pPr>
    </w:lvl>
    <w:lvl w:ilvl="4" w:tentative="1">
      <w:start w:val="1"/>
      <w:numFmt w:val="lowerLetter"/>
      <w:lvlText w:val="%5."/>
      <w:lvlJc w:val="left"/>
      <w:pPr>
        <w:ind w:left="4164" w:hanging="360"/>
      </w:pPr>
    </w:lvl>
    <w:lvl w:ilvl="5" w:tentative="1">
      <w:start w:val="1"/>
      <w:numFmt w:val="lowerRoman"/>
      <w:lvlText w:val="%6."/>
      <w:lvlJc w:val="right"/>
      <w:pPr>
        <w:ind w:left="4884" w:hanging="180"/>
      </w:pPr>
    </w:lvl>
    <w:lvl w:ilvl="6" w:tentative="1">
      <w:start w:val="1"/>
      <w:numFmt w:val="decimal"/>
      <w:lvlText w:val="%7."/>
      <w:lvlJc w:val="left"/>
      <w:pPr>
        <w:ind w:left="5604" w:hanging="360"/>
      </w:pPr>
    </w:lvl>
    <w:lvl w:ilvl="7" w:tentative="1">
      <w:start w:val="1"/>
      <w:numFmt w:val="lowerLetter"/>
      <w:lvlText w:val="%8."/>
      <w:lvlJc w:val="left"/>
      <w:pPr>
        <w:ind w:left="6324" w:hanging="360"/>
      </w:pPr>
    </w:lvl>
    <w:lvl w:ilvl="8" w:tentative="1">
      <w:start w:val="1"/>
      <w:numFmt w:val="lowerRoman"/>
      <w:lvlText w:val="%9."/>
      <w:lvlJc w:val="right"/>
      <w:pPr>
        <w:ind w:left="7044" w:hanging="180"/>
      </w:pPr>
    </w:lvl>
  </w:abstractNum>
  <w:abstractNum w:abstractNumId="1">
    <w:nsid w:val="08C52E04"/>
    <w:multiLevelType w:val="hybridMultilevel"/>
    <w:tmpl w:val="1D1C2F8A"/>
    <w:lvl w:ilvl="0">
      <w:start w:val="1"/>
      <w:numFmt w:val="bullet"/>
      <w:lvlText w:val=""/>
      <w:lvlJc w:val="left"/>
      <w:pPr>
        <w:ind w:left="1287" w:hanging="360"/>
      </w:pPr>
      <w:rPr>
        <w:rFonts w:ascii="Symbol" w:hAnsi="Symbol" w:hint="default"/>
      </w:rPr>
    </w:lvl>
    <w:lvl w:ilvl="1">
      <w:start w:val="1"/>
      <w:numFmt w:val="bullet"/>
      <w:lvlText w:val=""/>
      <w:lvlJc w:val="left"/>
      <w:pPr>
        <w:ind w:left="2007" w:hanging="360"/>
      </w:pPr>
      <w:rPr>
        <w:rFonts w:ascii="Symbol" w:hAnsi="Symbol"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2">
    <w:nsid w:val="0E1F64E9"/>
    <w:multiLevelType w:val="hybridMultilevel"/>
    <w:tmpl w:val="A2CAA082"/>
    <w:lvl w:ilvl="0">
      <w:start w:val="1"/>
      <w:numFmt w:val="lowerLetter"/>
      <w:lvlText w:val="%1)"/>
      <w:lvlJc w:val="left"/>
      <w:pPr>
        <w:ind w:left="720" w:hanging="360"/>
      </w:pPr>
    </w:lvl>
    <w:lvl w:ilvl="1">
      <w:start w:val="1"/>
      <w:numFmt w:val="bullet"/>
      <w:lvlText w:val=""/>
      <w:lvlJc w:val="left"/>
      <w:pPr>
        <w:ind w:left="1440" w:hanging="360"/>
      </w:pPr>
      <w:rPr>
        <w:rFonts w:ascii="Symbol" w:hAnsi="Symbol"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0F7A778B"/>
    <w:multiLevelType w:val="hybridMultilevel"/>
    <w:tmpl w:val="BDA2849C"/>
    <w:lvl w:ilvl="0">
      <w:start w:val="1"/>
      <w:numFmt w:val="lowerRoman"/>
      <w:lvlText w:val="%1)"/>
      <w:lvlJc w:val="right"/>
      <w:pPr>
        <w:ind w:left="1080" w:hanging="360"/>
      </w:pPr>
      <w:rPr>
        <w:rFonts w:hint="default"/>
      </w:rPr>
    </w:lvl>
    <w:lvl w:ilvl="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4">
    <w:nsid w:val="10F23B9C"/>
    <w:multiLevelType w:val="hybridMultilevel"/>
    <w:tmpl w:val="11DC747C"/>
    <w:lvl w:ilvl="0">
      <w:start w:val="1"/>
      <w:numFmt w:val="bullet"/>
      <w:lvlText w:val=""/>
      <w:lvlJc w:val="left"/>
      <w:pPr>
        <w:ind w:left="1647" w:hanging="360"/>
      </w:pPr>
      <w:rPr>
        <w:rFonts w:ascii="Symbol" w:hAnsi="Symbol" w:hint="default"/>
      </w:rPr>
    </w:lvl>
    <w:lvl w:ilvl="1" w:tentative="1">
      <w:start w:val="1"/>
      <w:numFmt w:val="bullet"/>
      <w:lvlText w:val="o"/>
      <w:lvlJc w:val="left"/>
      <w:pPr>
        <w:ind w:left="2367" w:hanging="360"/>
      </w:pPr>
      <w:rPr>
        <w:rFonts w:ascii="Courier New" w:hAnsi="Courier New" w:cs="Courier New" w:hint="default"/>
      </w:rPr>
    </w:lvl>
    <w:lvl w:ilvl="2" w:tentative="1">
      <w:start w:val="1"/>
      <w:numFmt w:val="bullet"/>
      <w:lvlText w:val=""/>
      <w:lvlJc w:val="left"/>
      <w:pPr>
        <w:ind w:left="3087" w:hanging="360"/>
      </w:pPr>
      <w:rPr>
        <w:rFonts w:ascii="Wingdings" w:hAnsi="Wingdings" w:hint="default"/>
      </w:rPr>
    </w:lvl>
    <w:lvl w:ilvl="3" w:tentative="1">
      <w:start w:val="1"/>
      <w:numFmt w:val="bullet"/>
      <w:lvlText w:val=""/>
      <w:lvlJc w:val="left"/>
      <w:pPr>
        <w:ind w:left="3807" w:hanging="360"/>
      </w:pPr>
      <w:rPr>
        <w:rFonts w:ascii="Symbol" w:hAnsi="Symbol" w:hint="default"/>
      </w:rPr>
    </w:lvl>
    <w:lvl w:ilvl="4" w:tentative="1">
      <w:start w:val="1"/>
      <w:numFmt w:val="bullet"/>
      <w:lvlText w:val="o"/>
      <w:lvlJc w:val="left"/>
      <w:pPr>
        <w:ind w:left="4527" w:hanging="360"/>
      </w:pPr>
      <w:rPr>
        <w:rFonts w:ascii="Courier New" w:hAnsi="Courier New" w:cs="Courier New" w:hint="default"/>
      </w:rPr>
    </w:lvl>
    <w:lvl w:ilvl="5" w:tentative="1">
      <w:start w:val="1"/>
      <w:numFmt w:val="bullet"/>
      <w:lvlText w:val=""/>
      <w:lvlJc w:val="left"/>
      <w:pPr>
        <w:ind w:left="5247" w:hanging="360"/>
      </w:pPr>
      <w:rPr>
        <w:rFonts w:ascii="Wingdings" w:hAnsi="Wingdings" w:hint="default"/>
      </w:rPr>
    </w:lvl>
    <w:lvl w:ilvl="6" w:tentative="1">
      <w:start w:val="1"/>
      <w:numFmt w:val="bullet"/>
      <w:lvlText w:val=""/>
      <w:lvlJc w:val="left"/>
      <w:pPr>
        <w:ind w:left="5967" w:hanging="360"/>
      </w:pPr>
      <w:rPr>
        <w:rFonts w:ascii="Symbol" w:hAnsi="Symbol" w:hint="default"/>
      </w:rPr>
    </w:lvl>
    <w:lvl w:ilvl="7" w:tentative="1">
      <w:start w:val="1"/>
      <w:numFmt w:val="bullet"/>
      <w:lvlText w:val="o"/>
      <w:lvlJc w:val="left"/>
      <w:pPr>
        <w:ind w:left="6687" w:hanging="360"/>
      </w:pPr>
      <w:rPr>
        <w:rFonts w:ascii="Courier New" w:hAnsi="Courier New" w:cs="Courier New" w:hint="default"/>
      </w:rPr>
    </w:lvl>
    <w:lvl w:ilvl="8" w:tentative="1">
      <w:start w:val="1"/>
      <w:numFmt w:val="bullet"/>
      <w:lvlText w:val=""/>
      <w:lvlJc w:val="left"/>
      <w:pPr>
        <w:ind w:left="7407" w:hanging="360"/>
      </w:pPr>
      <w:rPr>
        <w:rFonts w:ascii="Wingdings" w:hAnsi="Wingdings" w:hint="default"/>
      </w:rPr>
    </w:lvl>
  </w:abstractNum>
  <w:abstractNum w:abstractNumId="5">
    <w:nsid w:val="14972AAF"/>
    <w:multiLevelType w:val="hybridMultilevel"/>
    <w:tmpl w:val="B54EE2FE"/>
    <w:lvl w:ilvl="0">
      <w:start w:val="1"/>
      <w:numFmt w:val="lowerLetter"/>
      <w:lvlText w:val="%1)"/>
      <w:lvlJc w:val="left"/>
      <w:pPr>
        <w:ind w:left="1080" w:hanging="360"/>
      </w:pPr>
      <w:rPr>
        <w:rFonts w:hint="default"/>
      </w:rPr>
    </w:lvl>
    <w:lvl w:ilvl="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6">
    <w:nsid w:val="179E3E58"/>
    <w:multiLevelType w:val="multilevel"/>
    <w:tmpl w:val="E2625EAA"/>
    <w:lvl w:ilvl="0">
      <w:start w:val="1"/>
      <w:numFmt w:val="decimal"/>
      <w:lvlText w:val="%1."/>
      <w:lvlJc w:val="left"/>
      <w:pPr>
        <w:ind w:left="720" w:hanging="360"/>
      </w:pPr>
      <w:rPr>
        <w:rFonts w:hint="default"/>
        <w:b/>
      </w:rPr>
    </w:lvl>
    <w:lvl w:ilvl="1">
      <w:start w:val="9"/>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7">
    <w:nsid w:val="23495AD9"/>
    <w:multiLevelType w:val="multilevel"/>
    <w:tmpl w:val="1ED083C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8">
    <w:nsid w:val="29A9791E"/>
    <w:multiLevelType w:val="hybridMultilevel"/>
    <w:tmpl w:val="2B801438"/>
    <w:lvl w:ilvl="0">
      <w:start w:val="1"/>
      <w:numFmt w:val="lowerLetter"/>
      <w:lvlText w:val="%1."/>
      <w:lvlJc w:val="left"/>
      <w:pPr>
        <w:ind w:left="360" w:hanging="360"/>
      </w:pPr>
      <w:rPr>
        <w:rFonts w:hint="default"/>
        <w:b w:val="0"/>
        <w:bCs w:val="0"/>
        <w:i w:val="0"/>
        <w:iCs w:val="0"/>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29D50E5F"/>
    <w:multiLevelType w:val="hybridMultilevel"/>
    <w:tmpl w:val="BDA2849C"/>
    <w:lvl w:ilvl="0">
      <w:start w:val="1"/>
      <w:numFmt w:val="lowerRoman"/>
      <w:lvlText w:val="%1)"/>
      <w:lvlJc w:val="right"/>
      <w:pPr>
        <w:ind w:left="1080" w:hanging="360"/>
      </w:pPr>
      <w:rPr>
        <w:rFonts w:hint="default"/>
      </w:rPr>
    </w:lvl>
    <w:lvl w:ilvl="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0">
    <w:nsid w:val="2B796CDA"/>
    <w:multiLevelType w:val="hybridMultilevel"/>
    <w:tmpl w:val="6F3854A2"/>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1">
    <w:nsid w:val="2F3C5D7E"/>
    <w:multiLevelType w:val="hybridMultilevel"/>
    <w:tmpl w:val="CF6E457E"/>
    <w:lvl w:ilvl="0">
      <w:start w:val="1"/>
      <w:numFmt w:val="decimal"/>
      <w:lvlText w:val="%1."/>
      <w:lvlJc w:val="left"/>
      <w:pPr>
        <w:ind w:left="1284" w:hanging="360"/>
      </w:pPr>
      <w:rPr>
        <w:rFonts w:hint="default"/>
      </w:rPr>
    </w:lvl>
    <w:lvl w:ilvl="1" w:tentative="1">
      <w:start w:val="1"/>
      <w:numFmt w:val="lowerLetter"/>
      <w:lvlText w:val="%2."/>
      <w:lvlJc w:val="left"/>
      <w:pPr>
        <w:ind w:left="2004" w:hanging="360"/>
      </w:pPr>
    </w:lvl>
    <w:lvl w:ilvl="2" w:tentative="1">
      <w:start w:val="1"/>
      <w:numFmt w:val="lowerRoman"/>
      <w:lvlText w:val="%3."/>
      <w:lvlJc w:val="right"/>
      <w:pPr>
        <w:ind w:left="2724" w:hanging="180"/>
      </w:pPr>
    </w:lvl>
    <w:lvl w:ilvl="3" w:tentative="1">
      <w:start w:val="1"/>
      <w:numFmt w:val="decimal"/>
      <w:lvlText w:val="%4."/>
      <w:lvlJc w:val="left"/>
      <w:pPr>
        <w:ind w:left="3444" w:hanging="360"/>
      </w:pPr>
    </w:lvl>
    <w:lvl w:ilvl="4" w:tentative="1">
      <w:start w:val="1"/>
      <w:numFmt w:val="lowerLetter"/>
      <w:lvlText w:val="%5."/>
      <w:lvlJc w:val="left"/>
      <w:pPr>
        <w:ind w:left="4164" w:hanging="360"/>
      </w:pPr>
    </w:lvl>
    <w:lvl w:ilvl="5" w:tentative="1">
      <w:start w:val="1"/>
      <w:numFmt w:val="lowerRoman"/>
      <w:lvlText w:val="%6."/>
      <w:lvlJc w:val="right"/>
      <w:pPr>
        <w:ind w:left="4884" w:hanging="180"/>
      </w:pPr>
    </w:lvl>
    <w:lvl w:ilvl="6" w:tentative="1">
      <w:start w:val="1"/>
      <w:numFmt w:val="decimal"/>
      <w:lvlText w:val="%7."/>
      <w:lvlJc w:val="left"/>
      <w:pPr>
        <w:ind w:left="5604" w:hanging="360"/>
      </w:pPr>
    </w:lvl>
    <w:lvl w:ilvl="7" w:tentative="1">
      <w:start w:val="1"/>
      <w:numFmt w:val="lowerLetter"/>
      <w:lvlText w:val="%8."/>
      <w:lvlJc w:val="left"/>
      <w:pPr>
        <w:ind w:left="6324" w:hanging="360"/>
      </w:pPr>
    </w:lvl>
    <w:lvl w:ilvl="8" w:tentative="1">
      <w:start w:val="1"/>
      <w:numFmt w:val="lowerRoman"/>
      <w:lvlText w:val="%9."/>
      <w:lvlJc w:val="right"/>
      <w:pPr>
        <w:ind w:left="7044" w:hanging="180"/>
      </w:pPr>
    </w:lvl>
  </w:abstractNum>
  <w:abstractNum w:abstractNumId="12">
    <w:nsid w:val="335506EF"/>
    <w:multiLevelType w:val="hybridMultilevel"/>
    <w:tmpl w:val="CF6E457E"/>
    <w:lvl w:ilvl="0">
      <w:start w:val="1"/>
      <w:numFmt w:val="decimal"/>
      <w:lvlText w:val="%1."/>
      <w:lvlJc w:val="left"/>
      <w:pPr>
        <w:ind w:left="1284" w:hanging="360"/>
      </w:pPr>
      <w:rPr>
        <w:rFonts w:hint="default"/>
      </w:rPr>
    </w:lvl>
    <w:lvl w:ilvl="1" w:tentative="1">
      <w:start w:val="1"/>
      <w:numFmt w:val="lowerLetter"/>
      <w:lvlText w:val="%2."/>
      <w:lvlJc w:val="left"/>
      <w:pPr>
        <w:ind w:left="2004" w:hanging="360"/>
      </w:pPr>
    </w:lvl>
    <w:lvl w:ilvl="2" w:tentative="1">
      <w:start w:val="1"/>
      <w:numFmt w:val="lowerRoman"/>
      <w:lvlText w:val="%3."/>
      <w:lvlJc w:val="right"/>
      <w:pPr>
        <w:ind w:left="2724" w:hanging="180"/>
      </w:pPr>
    </w:lvl>
    <w:lvl w:ilvl="3" w:tentative="1">
      <w:start w:val="1"/>
      <w:numFmt w:val="decimal"/>
      <w:lvlText w:val="%4."/>
      <w:lvlJc w:val="left"/>
      <w:pPr>
        <w:ind w:left="3444" w:hanging="360"/>
      </w:pPr>
    </w:lvl>
    <w:lvl w:ilvl="4" w:tentative="1">
      <w:start w:val="1"/>
      <w:numFmt w:val="lowerLetter"/>
      <w:lvlText w:val="%5."/>
      <w:lvlJc w:val="left"/>
      <w:pPr>
        <w:ind w:left="4164" w:hanging="360"/>
      </w:pPr>
    </w:lvl>
    <w:lvl w:ilvl="5" w:tentative="1">
      <w:start w:val="1"/>
      <w:numFmt w:val="lowerRoman"/>
      <w:lvlText w:val="%6."/>
      <w:lvlJc w:val="right"/>
      <w:pPr>
        <w:ind w:left="4884" w:hanging="180"/>
      </w:pPr>
    </w:lvl>
    <w:lvl w:ilvl="6" w:tentative="1">
      <w:start w:val="1"/>
      <w:numFmt w:val="decimal"/>
      <w:lvlText w:val="%7."/>
      <w:lvlJc w:val="left"/>
      <w:pPr>
        <w:ind w:left="5604" w:hanging="360"/>
      </w:pPr>
    </w:lvl>
    <w:lvl w:ilvl="7" w:tentative="1">
      <w:start w:val="1"/>
      <w:numFmt w:val="lowerLetter"/>
      <w:lvlText w:val="%8."/>
      <w:lvlJc w:val="left"/>
      <w:pPr>
        <w:ind w:left="6324" w:hanging="360"/>
      </w:pPr>
    </w:lvl>
    <w:lvl w:ilvl="8" w:tentative="1">
      <w:start w:val="1"/>
      <w:numFmt w:val="lowerRoman"/>
      <w:lvlText w:val="%9."/>
      <w:lvlJc w:val="right"/>
      <w:pPr>
        <w:ind w:left="7044" w:hanging="180"/>
      </w:pPr>
    </w:lvl>
  </w:abstractNum>
  <w:abstractNum w:abstractNumId="13">
    <w:nsid w:val="38C06A3A"/>
    <w:multiLevelType w:val="hybridMultilevel"/>
    <w:tmpl w:val="F2D46CF0"/>
    <w:lvl w:ilvl="0">
      <w:start w:val="1"/>
      <w:numFmt w:val="decimal"/>
      <w:lvlText w:val="%1."/>
      <w:lvlJc w:val="left"/>
      <w:pPr>
        <w:tabs>
          <w:tab w:val="num" w:pos="360"/>
        </w:tabs>
        <w:ind w:left="360" w:hanging="360"/>
      </w:pPr>
      <w:rPr>
        <w:rFonts w:ascii="Arial" w:hAnsi="Arial" w:cs="Arial" w:hint="default"/>
        <w:b w:val="0"/>
        <w:i w:val="0"/>
        <w:color w:val="auto"/>
      </w:rPr>
    </w:lvl>
    <w:lvl w:ilvl="1">
      <w:start w:val="1"/>
      <w:numFmt w:val="lowerLetter"/>
      <w:lvlText w:val="%2."/>
      <w:lvlJc w:val="left"/>
      <w:pPr>
        <w:tabs>
          <w:tab w:val="num" w:pos="1080"/>
        </w:tabs>
        <w:ind w:left="1080" w:hanging="360"/>
      </w:pPr>
      <w:rPr>
        <w:rFonts w:hint="default"/>
        <w:b w:val="0"/>
        <w:bCs w:val="0"/>
        <w:i w:val="0"/>
        <w:iCs w:val="0"/>
      </w:rPr>
    </w:lvl>
    <w:lvl w:ilvl="2">
      <w:start w:val="9"/>
      <w:numFmt w:val="bullet"/>
      <w:lvlText w:val="-"/>
      <w:lvlJc w:val="left"/>
      <w:pPr>
        <w:tabs>
          <w:tab w:val="num" w:pos="1980"/>
        </w:tabs>
        <w:ind w:left="1980" w:hanging="360"/>
      </w:pPr>
      <w:rPr>
        <w:rFonts w:ascii="Arial" w:eastAsia="Times New Roman" w:hAnsi="Arial" w:cs="Times New Roman" w:hint="default"/>
      </w:rPr>
    </w:lvl>
    <w:lvl w:ilvl="3">
      <w:start w:val="1"/>
      <w:numFmt w:val="bullet"/>
      <w:lvlText w:val=""/>
      <w:lvlJc w:val="left"/>
      <w:pPr>
        <w:tabs>
          <w:tab w:val="num" w:pos="2520"/>
        </w:tabs>
        <w:ind w:left="2520" w:hanging="360"/>
      </w:pPr>
      <w:rPr>
        <w:rFonts w:ascii="Symbol" w:hAnsi="Symbol" w:hint="default"/>
        <w:color w:val="auto"/>
      </w:r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14">
    <w:nsid w:val="3AD11791"/>
    <w:multiLevelType w:val="multilevel"/>
    <w:tmpl w:val="713ED042"/>
    <w:lvl w:ilvl="0">
      <w:start w:val="1"/>
      <w:numFmt w:val="decimal"/>
      <w:lvlText w:val="%1."/>
      <w:lvlJc w:val="left"/>
      <w:pPr>
        <w:ind w:left="360" w:hanging="360"/>
      </w:pPr>
      <w:rPr>
        <w:rFonts w:hint="default"/>
      </w:rPr>
    </w:lvl>
    <w:lvl w:ilvl="1">
      <w:start w:val="1"/>
      <w:numFmt w:val="decimal"/>
      <w:lvlText w:val="%1.%2."/>
      <w:lvlJc w:val="left"/>
      <w:pPr>
        <w:ind w:left="792" w:hanging="79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nsid w:val="3D44191F"/>
    <w:multiLevelType w:val="hybridMultilevel"/>
    <w:tmpl w:val="4F4812B4"/>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16">
    <w:nsid w:val="3E493EB4"/>
    <w:multiLevelType w:val="multilevel"/>
    <w:tmpl w:val="A1E8E1A8"/>
    <w:lvl w:ilvl="0">
      <w:start w:val="1"/>
      <w:numFmt w:val="bullet"/>
      <w:lvlText w:val=""/>
      <w:lvlJc w:val="left"/>
      <w:pPr>
        <w:tabs>
          <w:tab w:val="num" w:pos="1644"/>
        </w:tabs>
        <w:ind w:left="1644" w:hanging="360"/>
      </w:pPr>
      <w:rPr>
        <w:rFonts w:ascii="Symbol" w:hAnsi="Symbol" w:hint="default"/>
        <w:sz w:val="20"/>
      </w:rPr>
    </w:lvl>
    <w:lvl w:ilvl="1" w:tentative="1">
      <w:start w:val="1"/>
      <w:numFmt w:val="bullet"/>
      <w:lvlText w:val="o"/>
      <w:lvlJc w:val="left"/>
      <w:pPr>
        <w:tabs>
          <w:tab w:val="num" w:pos="2364"/>
        </w:tabs>
        <w:ind w:left="2364" w:hanging="360"/>
      </w:pPr>
      <w:rPr>
        <w:rFonts w:ascii="Courier New" w:hAnsi="Courier New" w:hint="default"/>
        <w:sz w:val="20"/>
      </w:rPr>
    </w:lvl>
    <w:lvl w:ilvl="2" w:tentative="1">
      <w:start w:val="1"/>
      <w:numFmt w:val="bullet"/>
      <w:lvlText w:val=""/>
      <w:lvlJc w:val="left"/>
      <w:pPr>
        <w:tabs>
          <w:tab w:val="num" w:pos="3084"/>
        </w:tabs>
        <w:ind w:left="3084" w:hanging="360"/>
      </w:pPr>
      <w:rPr>
        <w:rFonts w:ascii="Wingdings" w:hAnsi="Wingdings" w:hint="default"/>
        <w:sz w:val="20"/>
      </w:rPr>
    </w:lvl>
    <w:lvl w:ilvl="3" w:tentative="1">
      <w:start w:val="1"/>
      <w:numFmt w:val="bullet"/>
      <w:lvlText w:val=""/>
      <w:lvlJc w:val="left"/>
      <w:pPr>
        <w:tabs>
          <w:tab w:val="num" w:pos="3804"/>
        </w:tabs>
        <w:ind w:left="3804" w:hanging="360"/>
      </w:pPr>
      <w:rPr>
        <w:rFonts w:ascii="Wingdings" w:hAnsi="Wingdings" w:hint="default"/>
        <w:sz w:val="20"/>
      </w:rPr>
    </w:lvl>
    <w:lvl w:ilvl="4" w:tentative="1">
      <w:start w:val="1"/>
      <w:numFmt w:val="bullet"/>
      <w:lvlText w:val=""/>
      <w:lvlJc w:val="left"/>
      <w:pPr>
        <w:tabs>
          <w:tab w:val="num" w:pos="4524"/>
        </w:tabs>
        <w:ind w:left="4524" w:hanging="360"/>
      </w:pPr>
      <w:rPr>
        <w:rFonts w:ascii="Wingdings" w:hAnsi="Wingdings" w:hint="default"/>
        <w:sz w:val="20"/>
      </w:rPr>
    </w:lvl>
    <w:lvl w:ilvl="5" w:tentative="1">
      <w:start w:val="1"/>
      <w:numFmt w:val="bullet"/>
      <w:lvlText w:val=""/>
      <w:lvlJc w:val="left"/>
      <w:pPr>
        <w:tabs>
          <w:tab w:val="num" w:pos="5244"/>
        </w:tabs>
        <w:ind w:left="5244" w:hanging="360"/>
      </w:pPr>
      <w:rPr>
        <w:rFonts w:ascii="Wingdings" w:hAnsi="Wingdings" w:hint="default"/>
        <w:sz w:val="20"/>
      </w:rPr>
    </w:lvl>
    <w:lvl w:ilvl="6" w:tentative="1">
      <w:start w:val="1"/>
      <w:numFmt w:val="bullet"/>
      <w:lvlText w:val=""/>
      <w:lvlJc w:val="left"/>
      <w:pPr>
        <w:tabs>
          <w:tab w:val="num" w:pos="5964"/>
        </w:tabs>
        <w:ind w:left="5964" w:hanging="360"/>
      </w:pPr>
      <w:rPr>
        <w:rFonts w:ascii="Wingdings" w:hAnsi="Wingdings" w:hint="default"/>
        <w:sz w:val="20"/>
      </w:rPr>
    </w:lvl>
    <w:lvl w:ilvl="7" w:tentative="1">
      <w:start w:val="1"/>
      <w:numFmt w:val="bullet"/>
      <w:lvlText w:val=""/>
      <w:lvlJc w:val="left"/>
      <w:pPr>
        <w:tabs>
          <w:tab w:val="num" w:pos="6684"/>
        </w:tabs>
        <w:ind w:left="6684" w:hanging="360"/>
      </w:pPr>
      <w:rPr>
        <w:rFonts w:ascii="Wingdings" w:hAnsi="Wingdings" w:hint="default"/>
        <w:sz w:val="20"/>
      </w:rPr>
    </w:lvl>
    <w:lvl w:ilvl="8" w:tentative="1">
      <w:start w:val="1"/>
      <w:numFmt w:val="bullet"/>
      <w:lvlText w:val=""/>
      <w:lvlJc w:val="left"/>
      <w:pPr>
        <w:tabs>
          <w:tab w:val="num" w:pos="7404"/>
        </w:tabs>
        <w:ind w:left="7404" w:hanging="360"/>
      </w:pPr>
      <w:rPr>
        <w:rFonts w:ascii="Wingdings" w:hAnsi="Wingdings" w:hint="default"/>
        <w:sz w:val="20"/>
      </w:rPr>
    </w:lvl>
  </w:abstractNum>
  <w:abstractNum w:abstractNumId="17">
    <w:nsid w:val="40C2018F"/>
    <w:multiLevelType w:val="hybridMultilevel"/>
    <w:tmpl w:val="6610F7AC"/>
    <w:lvl w:ilvl="0">
      <w:start w:val="1"/>
      <w:numFmt w:val="lowerLetter"/>
      <w:lvlText w:val="%1)"/>
      <w:lvlJc w:val="left"/>
      <w:pPr>
        <w:ind w:left="924" w:hanging="360"/>
      </w:pPr>
    </w:lvl>
    <w:lvl w:ilvl="1">
      <w:start w:val="1"/>
      <w:numFmt w:val="bullet"/>
      <w:lvlText w:val=""/>
      <w:lvlJc w:val="left"/>
      <w:pPr>
        <w:ind w:left="1644" w:hanging="360"/>
      </w:pPr>
      <w:rPr>
        <w:rFonts w:ascii="Symbol" w:hAnsi="Symbol" w:hint="default"/>
      </w:rPr>
    </w:lvl>
    <w:lvl w:ilvl="2" w:tentative="1">
      <w:start w:val="1"/>
      <w:numFmt w:val="lowerRoman"/>
      <w:lvlText w:val="%3."/>
      <w:lvlJc w:val="right"/>
      <w:pPr>
        <w:ind w:left="2364" w:hanging="180"/>
      </w:pPr>
    </w:lvl>
    <w:lvl w:ilvl="3" w:tentative="1">
      <w:start w:val="1"/>
      <w:numFmt w:val="decimal"/>
      <w:lvlText w:val="%4."/>
      <w:lvlJc w:val="left"/>
      <w:pPr>
        <w:ind w:left="3084" w:hanging="360"/>
      </w:pPr>
    </w:lvl>
    <w:lvl w:ilvl="4" w:tentative="1">
      <w:start w:val="1"/>
      <w:numFmt w:val="lowerLetter"/>
      <w:lvlText w:val="%5."/>
      <w:lvlJc w:val="left"/>
      <w:pPr>
        <w:ind w:left="3804" w:hanging="360"/>
      </w:pPr>
    </w:lvl>
    <w:lvl w:ilvl="5" w:tentative="1">
      <w:start w:val="1"/>
      <w:numFmt w:val="lowerRoman"/>
      <w:lvlText w:val="%6."/>
      <w:lvlJc w:val="right"/>
      <w:pPr>
        <w:ind w:left="4524" w:hanging="180"/>
      </w:pPr>
    </w:lvl>
    <w:lvl w:ilvl="6" w:tentative="1">
      <w:start w:val="1"/>
      <w:numFmt w:val="decimal"/>
      <w:lvlText w:val="%7."/>
      <w:lvlJc w:val="left"/>
      <w:pPr>
        <w:ind w:left="5244" w:hanging="360"/>
      </w:pPr>
    </w:lvl>
    <w:lvl w:ilvl="7" w:tentative="1">
      <w:start w:val="1"/>
      <w:numFmt w:val="lowerLetter"/>
      <w:lvlText w:val="%8."/>
      <w:lvlJc w:val="left"/>
      <w:pPr>
        <w:ind w:left="5964" w:hanging="360"/>
      </w:pPr>
    </w:lvl>
    <w:lvl w:ilvl="8" w:tentative="1">
      <w:start w:val="1"/>
      <w:numFmt w:val="lowerRoman"/>
      <w:lvlText w:val="%9."/>
      <w:lvlJc w:val="right"/>
      <w:pPr>
        <w:ind w:left="6684" w:hanging="180"/>
      </w:pPr>
    </w:lvl>
  </w:abstractNum>
  <w:abstractNum w:abstractNumId="18">
    <w:nsid w:val="42A167B8"/>
    <w:multiLevelType w:val="hybridMultilevel"/>
    <w:tmpl w:val="78A6E88C"/>
    <w:lvl w:ilvl="0">
      <w:start w:val="1"/>
      <w:numFmt w:val="bullet"/>
      <w:lvlText w:val=""/>
      <w:lvlJc w:val="left"/>
      <w:pPr>
        <w:ind w:left="1287" w:hanging="360"/>
      </w:pPr>
      <w:rPr>
        <w:rFonts w:ascii="Symbol" w:hAnsi="Symbol"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19">
    <w:nsid w:val="42F86C62"/>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nsid w:val="43F72093"/>
    <w:multiLevelType w:val="multilevel"/>
    <w:tmpl w:val="B59497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4FE9747C"/>
    <w:multiLevelType w:val="hybridMultilevel"/>
    <w:tmpl w:val="F0FC945C"/>
    <w:lvl w:ilvl="0">
      <w:start w:val="1"/>
      <w:numFmt w:val="bullet"/>
      <w:lvlText w:val=""/>
      <w:lvlJc w:val="left"/>
      <w:pPr>
        <w:tabs>
          <w:tab w:val="num" w:pos="1644"/>
        </w:tabs>
        <w:ind w:left="1644" w:hanging="360"/>
      </w:pPr>
      <w:rPr>
        <w:rFonts w:ascii="Symbol" w:hAnsi="Symbol" w:hint="default"/>
        <w:sz w:val="20"/>
      </w:rPr>
    </w:lvl>
    <w:lvl w:ilvl="1" w:tentative="1">
      <w:start w:val="1"/>
      <w:numFmt w:val="bullet"/>
      <w:lvlText w:val="o"/>
      <w:lvlJc w:val="left"/>
      <w:pPr>
        <w:tabs>
          <w:tab w:val="num" w:pos="2364"/>
        </w:tabs>
        <w:ind w:left="2364" w:hanging="360"/>
      </w:pPr>
      <w:rPr>
        <w:rFonts w:ascii="Courier New" w:hAnsi="Courier New" w:hint="default"/>
        <w:sz w:val="20"/>
      </w:rPr>
    </w:lvl>
    <w:lvl w:ilvl="2" w:tentative="1">
      <w:start w:val="1"/>
      <w:numFmt w:val="bullet"/>
      <w:lvlText w:val=""/>
      <w:lvlJc w:val="left"/>
      <w:pPr>
        <w:tabs>
          <w:tab w:val="num" w:pos="3084"/>
        </w:tabs>
        <w:ind w:left="3084" w:hanging="360"/>
      </w:pPr>
      <w:rPr>
        <w:rFonts w:ascii="Wingdings" w:hAnsi="Wingdings" w:hint="default"/>
        <w:sz w:val="20"/>
      </w:rPr>
    </w:lvl>
    <w:lvl w:ilvl="3" w:tentative="1">
      <w:start w:val="1"/>
      <w:numFmt w:val="bullet"/>
      <w:lvlText w:val=""/>
      <w:lvlJc w:val="left"/>
      <w:pPr>
        <w:tabs>
          <w:tab w:val="num" w:pos="3804"/>
        </w:tabs>
        <w:ind w:left="3804" w:hanging="360"/>
      </w:pPr>
      <w:rPr>
        <w:rFonts w:ascii="Wingdings" w:hAnsi="Wingdings" w:hint="default"/>
        <w:sz w:val="20"/>
      </w:rPr>
    </w:lvl>
    <w:lvl w:ilvl="4" w:tentative="1">
      <w:start w:val="1"/>
      <w:numFmt w:val="bullet"/>
      <w:lvlText w:val=""/>
      <w:lvlJc w:val="left"/>
      <w:pPr>
        <w:tabs>
          <w:tab w:val="num" w:pos="4524"/>
        </w:tabs>
        <w:ind w:left="4524" w:hanging="360"/>
      </w:pPr>
      <w:rPr>
        <w:rFonts w:ascii="Wingdings" w:hAnsi="Wingdings" w:hint="default"/>
        <w:sz w:val="20"/>
      </w:rPr>
    </w:lvl>
    <w:lvl w:ilvl="5" w:tentative="1">
      <w:start w:val="1"/>
      <w:numFmt w:val="bullet"/>
      <w:lvlText w:val=""/>
      <w:lvlJc w:val="left"/>
      <w:pPr>
        <w:tabs>
          <w:tab w:val="num" w:pos="5244"/>
        </w:tabs>
        <w:ind w:left="5244" w:hanging="360"/>
      </w:pPr>
      <w:rPr>
        <w:rFonts w:ascii="Wingdings" w:hAnsi="Wingdings" w:hint="default"/>
        <w:sz w:val="20"/>
      </w:rPr>
    </w:lvl>
    <w:lvl w:ilvl="6" w:tentative="1">
      <w:start w:val="1"/>
      <w:numFmt w:val="bullet"/>
      <w:lvlText w:val=""/>
      <w:lvlJc w:val="left"/>
      <w:pPr>
        <w:tabs>
          <w:tab w:val="num" w:pos="5964"/>
        </w:tabs>
        <w:ind w:left="5964" w:hanging="360"/>
      </w:pPr>
      <w:rPr>
        <w:rFonts w:ascii="Wingdings" w:hAnsi="Wingdings" w:hint="default"/>
        <w:sz w:val="20"/>
      </w:rPr>
    </w:lvl>
    <w:lvl w:ilvl="7" w:tentative="1">
      <w:start w:val="1"/>
      <w:numFmt w:val="bullet"/>
      <w:lvlText w:val=""/>
      <w:lvlJc w:val="left"/>
      <w:pPr>
        <w:tabs>
          <w:tab w:val="num" w:pos="6684"/>
        </w:tabs>
        <w:ind w:left="6684" w:hanging="360"/>
      </w:pPr>
      <w:rPr>
        <w:rFonts w:ascii="Wingdings" w:hAnsi="Wingdings" w:hint="default"/>
        <w:sz w:val="20"/>
      </w:rPr>
    </w:lvl>
    <w:lvl w:ilvl="8" w:tentative="1">
      <w:start w:val="1"/>
      <w:numFmt w:val="bullet"/>
      <w:lvlText w:val=""/>
      <w:lvlJc w:val="left"/>
      <w:pPr>
        <w:tabs>
          <w:tab w:val="num" w:pos="7404"/>
        </w:tabs>
        <w:ind w:left="7404" w:hanging="360"/>
      </w:pPr>
      <w:rPr>
        <w:rFonts w:ascii="Wingdings" w:hAnsi="Wingdings" w:hint="default"/>
        <w:sz w:val="20"/>
      </w:rPr>
    </w:lvl>
  </w:abstractNum>
  <w:abstractNum w:abstractNumId="22">
    <w:nsid w:val="53AA76FD"/>
    <w:multiLevelType w:val="hybridMultilevel"/>
    <w:tmpl w:val="21C0431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3">
    <w:nsid w:val="58D66225"/>
    <w:multiLevelType w:val="hybridMultilevel"/>
    <w:tmpl w:val="C1544E10"/>
    <w:lvl w:ilvl="0">
      <w:start w:val="1"/>
      <w:numFmt w:val="lowerRoman"/>
      <w:lvlText w:val="%1)"/>
      <w:lvlJc w:val="right"/>
      <w:pPr>
        <w:ind w:left="1287" w:hanging="360"/>
      </w:pPr>
      <w:rPr>
        <w:rFonts w:hint="default"/>
      </w:rPr>
    </w:lvl>
    <w:lvl w:ilvl="1">
      <w:start w:val="1"/>
      <w:numFmt w:val="bullet"/>
      <w:lvlText w:val="o"/>
      <w:lvlJc w:val="left"/>
      <w:pPr>
        <w:ind w:left="2007" w:hanging="360"/>
      </w:pPr>
      <w:rPr>
        <w:rFonts w:ascii="Courier New" w:hAnsi="Courier New" w:cs="Courier New" w:hint="default"/>
      </w:rPr>
    </w:lvl>
    <w:lvl w:ilvl="2" w:tentative="1">
      <w:start w:val="1"/>
      <w:numFmt w:val="lowerRoman"/>
      <w:lvlText w:val="%3."/>
      <w:lvlJc w:val="right"/>
      <w:pPr>
        <w:ind w:left="2727" w:hanging="180"/>
      </w:pPr>
    </w:lvl>
    <w:lvl w:ilvl="3" w:tentative="1">
      <w:start w:val="1"/>
      <w:numFmt w:val="decimal"/>
      <w:lvlText w:val="%4."/>
      <w:lvlJc w:val="left"/>
      <w:pPr>
        <w:ind w:left="3447" w:hanging="360"/>
      </w:pPr>
    </w:lvl>
    <w:lvl w:ilvl="4" w:tentative="1">
      <w:start w:val="1"/>
      <w:numFmt w:val="lowerLetter"/>
      <w:lvlText w:val="%5."/>
      <w:lvlJc w:val="left"/>
      <w:pPr>
        <w:ind w:left="4167" w:hanging="360"/>
      </w:pPr>
    </w:lvl>
    <w:lvl w:ilvl="5" w:tentative="1">
      <w:start w:val="1"/>
      <w:numFmt w:val="lowerRoman"/>
      <w:lvlText w:val="%6."/>
      <w:lvlJc w:val="right"/>
      <w:pPr>
        <w:ind w:left="4887" w:hanging="180"/>
      </w:pPr>
    </w:lvl>
    <w:lvl w:ilvl="6" w:tentative="1">
      <w:start w:val="1"/>
      <w:numFmt w:val="decimal"/>
      <w:lvlText w:val="%7."/>
      <w:lvlJc w:val="left"/>
      <w:pPr>
        <w:ind w:left="5607" w:hanging="360"/>
      </w:pPr>
    </w:lvl>
    <w:lvl w:ilvl="7" w:tentative="1">
      <w:start w:val="1"/>
      <w:numFmt w:val="lowerLetter"/>
      <w:lvlText w:val="%8."/>
      <w:lvlJc w:val="left"/>
      <w:pPr>
        <w:ind w:left="6327" w:hanging="360"/>
      </w:pPr>
    </w:lvl>
    <w:lvl w:ilvl="8" w:tentative="1">
      <w:start w:val="1"/>
      <w:numFmt w:val="lowerRoman"/>
      <w:lvlText w:val="%9."/>
      <w:lvlJc w:val="right"/>
      <w:pPr>
        <w:ind w:left="7047" w:hanging="180"/>
      </w:pPr>
    </w:lvl>
  </w:abstractNum>
  <w:abstractNum w:abstractNumId="24">
    <w:nsid w:val="5BC86390"/>
    <w:multiLevelType w:val="hybridMultilevel"/>
    <w:tmpl w:val="D0BA261C"/>
    <w:lvl w:ilvl="0">
      <w:start w:val="1"/>
      <w:numFmt w:val="bullet"/>
      <w:lvlText w:val=""/>
      <w:lvlJc w:val="left"/>
      <w:pPr>
        <w:ind w:left="1287" w:hanging="360"/>
      </w:pPr>
      <w:rPr>
        <w:rFonts w:ascii="Symbol" w:hAnsi="Symbol" w:hint="default"/>
      </w:rPr>
    </w:lvl>
    <w:lvl w:ilvl="1">
      <w:start w:val="1"/>
      <w:numFmt w:val="bullet"/>
      <w:lvlText w:val=""/>
      <w:lvlJc w:val="left"/>
      <w:pPr>
        <w:ind w:left="2007" w:hanging="360"/>
      </w:pPr>
      <w:rPr>
        <w:rFonts w:ascii="Symbol" w:hAnsi="Symbol"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25">
    <w:nsid w:val="65164448"/>
    <w:multiLevelType w:val="hybridMultilevel"/>
    <w:tmpl w:val="6C126B20"/>
    <w:lvl w:ilvl="0">
      <w:start w:val="0"/>
      <w:numFmt w:val="bullet"/>
      <w:lvlText w:val="-"/>
      <w:lvlJc w:val="left"/>
      <w:pPr>
        <w:ind w:left="720" w:hanging="360"/>
      </w:pPr>
      <w:rPr>
        <w:rFonts w:ascii="Calibri" w:eastAsia="Calibri" w:hAnsi="Calibri" w:cs="Calibri" w:hint="default"/>
        <w:b w:val="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6">
    <w:nsid w:val="68B4171E"/>
    <w:multiLevelType w:val="hybridMultilevel"/>
    <w:tmpl w:val="6610F7AC"/>
    <w:lvl w:ilvl="0">
      <w:start w:val="1"/>
      <w:numFmt w:val="lowerLetter"/>
      <w:lvlText w:val="%1)"/>
      <w:lvlJc w:val="left"/>
      <w:pPr>
        <w:ind w:left="924" w:hanging="360"/>
      </w:pPr>
    </w:lvl>
    <w:lvl w:ilvl="1">
      <w:start w:val="1"/>
      <w:numFmt w:val="bullet"/>
      <w:lvlText w:val=""/>
      <w:lvlJc w:val="left"/>
      <w:pPr>
        <w:ind w:left="1644" w:hanging="360"/>
      </w:pPr>
      <w:rPr>
        <w:rFonts w:ascii="Symbol" w:hAnsi="Symbol" w:hint="default"/>
      </w:rPr>
    </w:lvl>
    <w:lvl w:ilvl="2" w:tentative="1">
      <w:start w:val="1"/>
      <w:numFmt w:val="lowerRoman"/>
      <w:lvlText w:val="%3."/>
      <w:lvlJc w:val="right"/>
      <w:pPr>
        <w:ind w:left="2364" w:hanging="180"/>
      </w:pPr>
    </w:lvl>
    <w:lvl w:ilvl="3" w:tentative="1">
      <w:start w:val="1"/>
      <w:numFmt w:val="decimal"/>
      <w:lvlText w:val="%4."/>
      <w:lvlJc w:val="left"/>
      <w:pPr>
        <w:ind w:left="3084" w:hanging="360"/>
      </w:pPr>
    </w:lvl>
    <w:lvl w:ilvl="4" w:tentative="1">
      <w:start w:val="1"/>
      <w:numFmt w:val="lowerLetter"/>
      <w:lvlText w:val="%5."/>
      <w:lvlJc w:val="left"/>
      <w:pPr>
        <w:ind w:left="3804" w:hanging="360"/>
      </w:pPr>
    </w:lvl>
    <w:lvl w:ilvl="5" w:tentative="1">
      <w:start w:val="1"/>
      <w:numFmt w:val="lowerRoman"/>
      <w:lvlText w:val="%6."/>
      <w:lvlJc w:val="right"/>
      <w:pPr>
        <w:ind w:left="4524" w:hanging="180"/>
      </w:pPr>
    </w:lvl>
    <w:lvl w:ilvl="6" w:tentative="1">
      <w:start w:val="1"/>
      <w:numFmt w:val="decimal"/>
      <w:lvlText w:val="%7."/>
      <w:lvlJc w:val="left"/>
      <w:pPr>
        <w:ind w:left="5244" w:hanging="360"/>
      </w:pPr>
    </w:lvl>
    <w:lvl w:ilvl="7" w:tentative="1">
      <w:start w:val="1"/>
      <w:numFmt w:val="lowerLetter"/>
      <w:lvlText w:val="%8."/>
      <w:lvlJc w:val="left"/>
      <w:pPr>
        <w:ind w:left="5964" w:hanging="360"/>
      </w:pPr>
    </w:lvl>
    <w:lvl w:ilvl="8" w:tentative="1">
      <w:start w:val="1"/>
      <w:numFmt w:val="lowerRoman"/>
      <w:lvlText w:val="%9."/>
      <w:lvlJc w:val="right"/>
      <w:pPr>
        <w:ind w:left="6684" w:hanging="180"/>
      </w:pPr>
    </w:lvl>
  </w:abstractNum>
  <w:abstractNum w:abstractNumId="27">
    <w:nsid w:val="68FA0B29"/>
    <w:multiLevelType w:val="hybridMultilevel"/>
    <w:tmpl w:val="B7B8A03C"/>
    <w:lvl w:ilvl="0">
      <w:start w:val="1"/>
      <w:numFmt w:val="bullet"/>
      <w:lvlText w:val=""/>
      <w:lvlJc w:val="left"/>
      <w:pPr>
        <w:ind w:left="927" w:hanging="360"/>
      </w:pPr>
      <w:rPr>
        <w:rFonts w:ascii="Symbol" w:hAnsi="Symbol" w:hint="default"/>
      </w:rPr>
    </w:lvl>
    <w:lvl w:ilvl="1" w:tentative="1">
      <w:start w:val="1"/>
      <w:numFmt w:val="bullet"/>
      <w:lvlText w:val="o"/>
      <w:lvlJc w:val="left"/>
      <w:pPr>
        <w:ind w:left="1647" w:hanging="360"/>
      </w:pPr>
      <w:rPr>
        <w:rFonts w:ascii="Courier New" w:hAnsi="Courier New" w:cs="Courier New" w:hint="default"/>
      </w:rPr>
    </w:lvl>
    <w:lvl w:ilvl="2" w:tentative="1">
      <w:start w:val="1"/>
      <w:numFmt w:val="bullet"/>
      <w:lvlText w:val=""/>
      <w:lvlJc w:val="left"/>
      <w:pPr>
        <w:ind w:left="2367" w:hanging="360"/>
      </w:pPr>
      <w:rPr>
        <w:rFonts w:ascii="Wingdings" w:hAnsi="Wingdings" w:hint="default"/>
      </w:rPr>
    </w:lvl>
    <w:lvl w:ilvl="3" w:tentative="1">
      <w:start w:val="1"/>
      <w:numFmt w:val="bullet"/>
      <w:lvlText w:val=""/>
      <w:lvlJc w:val="left"/>
      <w:pPr>
        <w:ind w:left="3087" w:hanging="360"/>
      </w:pPr>
      <w:rPr>
        <w:rFonts w:ascii="Symbol" w:hAnsi="Symbol" w:hint="default"/>
      </w:rPr>
    </w:lvl>
    <w:lvl w:ilvl="4" w:tentative="1">
      <w:start w:val="1"/>
      <w:numFmt w:val="bullet"/>
      <w:lvlText w:val="o"/>
      <w:lvlJc w:val="left"/>
      <w:pPr>
        <w:ind w:left="3807" w:hanging="360"/>
      </w:pPr>
      <w:rPr>
        <w:rFonts w:ascii="Courier New" w:hAnsi="Courier New" w:cs="Courier New" w:hint="default"/>
      </w:rPr>
    </w:lvl>
    <w:lvl w:ilvl="5" w:tentative="1">
      <w:start w:val="1"/>
      <w:numFmt w:val="bullet"/>
      <w:lvlText w:val=""/>
      <w:lvlJc w:val="left"/>
      <w:pPr>
        <w:ind w:left="4527" w:hanging="360"/>
      </w:pPr>
      <w:rPr>
        <w:rFonts w:ascii="Wingdings" w:hAnsi="Wingdings" w:hint="default"/>
      </w:rPr>
    </w:lvl>
    <w:lvl w:ilvl="6" w:tentative="1">
      <w:start w:val="1"/>
      <w:numFmt w:val="bullet"/>
      <w:lvlText w:val=""/>
      <w:lvlJc w:val="left"/>
      <w:pPr>
        <w:ind w:left="5247" w:hanging="360"/>
      </w:pPr>
      <w:rPr>
        <w:rFonts w:ascii="Symbol" w:hAnsi="Symbol" w:hint="default"/>
      </w:rPr>
    </w:lvl>
    <w:lvl w:ilvl="7" w:tentative="1">
      <w:start w:val="1"/>
      <w:numFmt w:val="bullet"/>
      <w:lvlText w:val="o"/>
      <w:lvlJc w:val="left"/>
      <w:pPr>
        <w:ind w:left="5967" w:hanging="360"/>
      </w:pPr>
      <w:rPr>
        <w:rFonts w:ascii="Courier New" w:hAnsi="Courier New" w:cs="Courier New" w:hint="default"/>
      </w:rPr>
    </w:lvl>
    <w:lvl w:ilvl="8" w:tentative="1">
      <w:start w:val="1"/>
      <w:numFmt w:val="bullet"/>
      <w:lvlText w:val=""/>
      <w:lvlJc w:val="left"/>
      <w:pPr>
        <w:ind w:left="6687" w:hanging="360"/>
      </w:pPr>
      <w:rPr>
        <w:rFonts w:ascii="Wingdings" w:hAnsi="Wingdings" w:hint="default"/>
      </w:rPr>
    </w:lvl>
  </w:abstractNum>
  <w:abstractNum w:abstractNumId="28">
    <w:nsid w:val="73124406"/>
    <w:multiLevelType w:val="hybridMultilevel"/>
    <w:tmpl w:val="BDA2849C"/>
    <w:lvl w:ilvl="0">
      <w:start w:val="1"/>
      <w:numFmt w:val="lowerRoman"/>
      <w:lvlText w:val="%1)"/>
      <w:lvlJc w:val="righ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9">
    <w:nsid w:val="75563541"/>
    <w:multiLevelType w:val="hybridMultilevel"/>
    <w:tmpl w:val="88D86926"/>
    <w:lvl w:ilvl="0">
      <w:start w:val="1"/>
      <w:numFmt w:val="lowerRoman"/>
      <w:lvlText w:val="%1)"/>
      <w:lvlJc w:val="right"/>
      <w:pPr>
        <w:ind w:left="1287" w:hanging="360"/>
      </w:pPr>
      <w:rPr>
        <w:rFonts w:hint="default"/>
      </w:rPr>
    </w:lvl>
    <w:lvl w:ilvl="1" w:tentative="1">
      <w:start w:val="1"/>
      <w:numFmt w:val="lowerLetter"/>
      <w:lvlText w:val="%2."/>
      <w:lvlJc w:val="left"/>
      <w:pPr>
        <w:ind w:left="2007" w:hanging="360"/>
      </w:pPr>
    </w:lvl>
    <w:lvl w:ilvl="2" w:tentative="1">
      <w:start w:val="1"/>
      <w:numFmt w:val="lowerRoman"/>
      <w:lvlText w:val="%3."/>
      <w:lvlJc w:val="right"/>
      <w:pPr>
        <w:ind w:left="2727" w:hanging="180"/>
      </w:pPr>
    </w:lvl>
    <w:lvl w:ilvl="3" w:tentative="1">
      <w:start w:val="1"/>
      <w:numFmt w:val="decimal"/>
      <w:lvlText w:val="%4."/>
      <w:lvlJc w:val="left"/>
      <w:pPr>
        <w:ind w:left="3447" w:hanging="360"/>
      </w:pPr>
    </w:lvl>
    <w:lvl w:ilvl="4" w:tentative="1">
      <w:start w:val="1"/>
      <w:numFmt w:val="lowerLetter"/>
      <w:lvlText w:val="%5."/>
      <w:lvlJc w:val="left"/>
      <w:pPr>
        <w:ind w:left="4167" w:hanging="360"/>
      </w:pPr>
    </w:lvl>
    <w:lvl w:ilvl="5" w:tentative="1">
      <w:start w:val="1"/>
      <w:numFmt w:val="lowerRoman"/>
      <w:lvlText w:val="%6."/>
      <w:lvlJc w:val="right"/>
      <w:pPr>
        <w:ind w:left="4887" w:hanging="180"/>
      </w:pPr>
    </w:lvl>
    <w:lvl w:ilvl="6" w:tentative="1">
      <w:start w:val="1"/>
      <w:numFmt w:val="decimal"/>
      <w:lvlText w:val="%7."/>
      <w:lvlJc w:val="left"/>
      <w:pPr>
        <w:ind w:left="5607" w:hanging="360"/>
      </w:pPr>
    </w:lvl>
    <w:lvl w:ilvl="7" w:tentative="1">
      <w:start w:val="1"/>
      <w:numFmt w:val="lowerLetter"/>
      <w:lvlText w:val="%8."/>
      <w:lvlJc w:val="left"/>
      <w:pPr>
        <w:ind w:left="6327" w:hanging="360"/>
      </w:pPr>
    </w:lvl>
    <w:lvl w:ilvl="8" w:tentative="1">
      <w:start w:val="1"/>
      <w:numFmt w:val="lowerRoman"/>
      <w:lvlText w:val="%9."/>
      <w:lvlJc w:val="right"/>
      <w:pPr>
        <w:ind w:left="7047" w:hanging="180"/>
      </w:pPr>
    </w:lvl>
  </w:abstractNum>
  <w:abstractNum w:abstractNumId="30">
    <w:nsid w:val="7B1812ED"/>
    <w:multiLevelType w:val="hybridMultilevel"/>
    <w:tmpl w:val="330E0396"/>
    <w:lvl w:ilvl="0">
      <w:start w:val="1"/>
      <w:numFmt w:val="bullet"/>
      <w:lvlText w:val=""/>
      <w:lvlJc w:val="left"/>
      <w:pPr>
        <w:ind w:left="927" w:hanging="360"/>
      </w:pPr>
      <w:rPr>
        <w:rFonts w:ascii="Symbol" w:hAnsi="Symbol" w:hint="default"/>
      </w:rPr>
    </w:lvl>
    <w:lvl w:ilvl="1" w:tentative="1">
      <w:start w:val="1"/>
      <w:numFmt w:val="bullet"/>
      <w:lvlText w:val="o"/>
      <w:lvlJc w:val="left"/>
      <w:pPr>
        <w:ind w:left="1647" w:hanging="360"/>
      </w:pPr>
      <w:rPr>
        <w:rFonts w:ascii="Courier New" w:hAnsi="Courier New" w:cs="Courier New" w:hint="default"/>
      </w:rPr>
    </w:lvl>
    <w:lvl w:ilvl="2" w:tentative="1">
      <w:start w:val="1"/>
      <w:numFmt w:val="bullet"/>
      <w:lvlText w:val=""/>
      <w:lvlJc w:val="left"/>
      <w:pPr>
        <w:ind w:left="2367" w:hanging="360"/>
      </w:pPr>
      <w:rPr>
        <w:rFonts w:ascii="Wingdings" w:hAnsi="Wingdings" w:hint="default"/>
      </w:rPr>
    </w:lvl>
    <w:lvl w:ilvl="3" w:tentative="1">
      <w:start w:val="1"/>
      <w:numFmt w:val="bullet"/>
      <w:lvlText w:val=""/>
      <w:lvlJc w:val="left"/>
      <w:pPr>
        <w:ind w:left="3087" w:hanging="360"/>
      </w:pPr>
      <w:rPr>
        <w:rFonts w:ascii="Symbol" w:hAnsi="Symbol" w:hint="default"/>
      </w:rPr>
    </w:lvl>
    <w:lvl w:ilvl="4" w:tentative="1">
      <w:start w:val="1"/>
      <w:numFmt w:val="bullet"/>
      <w:lvlText w:val="o"/>
      <w:lvlJc w:val="left"/>
      <w:pPr>
        <w:ind w:left="3807" w:hanging="360"/>
      </w:pPr>
      <w:rPr>
        <w:rFonts w:ascii="Courier New" w:hAnsi="Courier New" w:cs="Courier New" w:hint="default"/>
      </w:rPr>
    </w:lvl>
    <w:lvl w:ilvl="5" w:tentative="1">
      <w:start w:val="1"/>
      <w:numFmt w:val="bullet"/>
      <w:lvlText w:val=""/>
      <w:lvlJc w:val="left"/>
      <w:pPr>
        <w:ind w:left="4527" w:hanging="360"/>
      </w:pPr>
      <w:rPr>
        <w:rFonts w:ascii="Wingdings" w:hAnsi="Wingdings" w:hint="default"/>
      </w:rPr>
    </w:lvl>
    <w:lvl w:ilvl="6" w:tentative="1">
      <w:start w:val="1"/>
      <w:numFmt w:val="bullet"/>
      <w:lvlText w:val=""/>
      <w:lvlJc w:val="left"/>
      <w:pPr>
        <w:ind w:left="5247" w:hanging="360"/>
      </w:pPr>
      <w:rPr>
        <w:rFonts w:ascii="Symbol" w:hAnsi="Symbol" w:hint="default"/>
      </w:rPr>
    </w:lvl>
    <w:lvl w:ilvl="7" w:tentative="1">
      <w:start w:val="1"/>
      <w:numFmt w:val="bullet"/>
      <w:lvlText w:val="o"/>
      <w:lvlJc w:val="left"/>
      <w:pPr>
        <w:ind w:left="5967" w:hanging="360"/>
      </w:pPr>
      <w:rPr>
        <w:rFonts w:ascii="Courier New" w:hAnsi="Courier New" w:cs="Courier New" w:hint="default"/>
      </w:rPr>
    </w:lvl>
    <w:lvl w:ilvl="8" w:tentative="1">
      <w:start w:val="1"/>
      <w:numFmt w:val="bullet"/>
      <w:lvlText w:val=""/>
      <w:lvlJc w:val="left"/>
      <w:pPr>
        <w:ind w:left="6687" w:hanging="360"/>
      </w:pPr>
      <w:rPr>
        <w:rFonts w:ascii="Wingdings" w:hAnsi="Wingdings" w:hint="default"/>
      </w:rPr>
    </w:lvl>
  </w:abstractNum>
  <w:abstractNum w:abstractNumId="31">
    <w:nsid w:val="7F6E6B4B"/>
    <w:multiLevelType w:val="hybridMultilevel"/>
    <w:tmpl w:val="260C1200"/>
    <w:lvl w:ilvl="0">
      <w:start w:val="1"/>
      <w:numFmt w:val="lowerLetter"/>
      <w:lvlText w:val="%1)"/>
      <w:lvlJc w:val="left"/>
      <w:pPr>
        <w:ind w:left="924" w:hanging="360"/>
      </w:pPr>
    </w:lvl>
    <w:lvl w:ilvl="1" w:tentative="1">
      <w:start w:val="1"/>
      <w:numFmt w:val="lowerLetter"/>
      <w:lvlText w:val="%2."/>
      <w:lvlJc w:val="left"/>
      <w:pPr>
        <w:ind w:left="1644" w:hanging="360"/>
      </w:pPr>
    </w:lvl>
    <w:lvl w:ilvl="2" w:tentative="1">
      <w:start w:val="1"/>
      <w:numFmt w:val="lowerRoman"/>
      <w:lvlText w:val="%3."/>
      <w:lvlJc w:val="right"/>
      <w:pPr>
        <w:ind w:left="2364" w:hanging="180"/>
      </w:pPr>
    </w:lvl>
    <w:lvl w:ilvl="3" w:tentative="1">
      <w:start w:val="1"/>
      <w:numFmt w:val="decimal"/>
      <w:lvlText w:val="%4."/>
      <w:lvlJc w:val="left"/>
      <w:pPr>
        <w:ind w:left="3084" w:hanging="360"/>
      </w:pPr>
    </w:lvl>
    <w:lvl w:ilvl="4" w:tentative="1">
      <w:start w:val="1"/>
      <w:numFmt w:val="lowerLetter"/>
      <w:lvlText w:val="%5."/>
      <w:lvlJc w:val="left"/>
      <w:pPr>
        <w:ind w:left="3804" w:hanging="360"/>
      </w:pPr>
    </w:lvl>
    <w:lvl w:ilvl="5" w:tentative="1">
      <w:start w:val="1"/>
      <w:numFmt w:val="lowerRoman"/>
      <w:lvlText w:val="%6."/>
      <w:lvlJc w:val="right"/>
      <w:pPr>
        <w:ind w:left="4524" w:hanging="180"/>
      </w:pPr>
    </w:lvl>
    <w:lvl w:ilvl="6" w:tentative="1">
      <w:start w:val="1"/>
      <w:numFmt w:val="decimal"/>
      <w:lvlText w:val="%7."/>
      <w:lvlJc w:val="left"/>
      <w:pPr>
        <w:ind w:left="5244" w:hanging="360"/>
      </w:pPr>
    </w:lvl>
    <w:lvl w:ilvl="7" w:tentative="1">
      <w:start w:val="1"/>
      <w:numFmt w:val="lowerLetter"/>
      <w:lvlText w:val="%8."/>
      <w:lvlJc w:val="left"/>
      <w:pPr>
        <w:ind w:left="5964" w:hanging="360"/>
      </w:pPr>
    </w:lvl>
    <w:lvl w:ilvl="8" w:tentative="1">
      <w:start w:val="1"/>
      <w:numFmt w:val="lowerRoman"/>
      <w:lvlText w:val="%9."/>
      <w:lvlJc w:val="right"/>
      <w:pPr>
        <w:ind w:left="6684" w:hanging="180"/>
      </w:pPr>
    </w:lvl>
  </w:abstractNum>
  <w:num w:numId="1">
    <w:abstractNumId w:val="13"/>
  </w:num>
  <w:num w:numId="2">
    <w:abstractNumId w:val="10"/>
  </w:num>
  <w:num w:numId="3">
    <w:abstractNumId w:val="8"/>
  </w:num>
  <w:num w:numId="4">
    <w:abstractNumId w:val="30"/>
  </w:num>
  <w:num w:numId="5">
    <w:abstractNumId w:val="2"/>
  </w:num>
  <w:num w:numId="6">
    <w:abstractNumId w:val="3"/>
  </w:num>
  <w:num w:numId="7">
    <w:abstractNumId w:val="19"/>
  </w:num>
  <w:num w:numId="8">
    <w:abstractNumId w:val="14"/>
  </w:num>
  <w:num w:numId="9">
    <w:abstractNumId w:val="5"/>
  </w:num>
  <w:num w:numId="10">
    <w:abstractNumId w:val="18"/>
  </w:num>
  <w:num w:numId="11">
    <w:abstractNumId w:val="4"/>
  </w:num>
  <w:num w:numId="12">
    <w:abstractNumId w:val="24"/>
  </w:num>
  <w:num w:numId="13">
    <w:abstractNumId w:val="15"/>
  </w:num>
  <w:num w:numId="14">
    <w:abstractNumId w:val="6"/>
  </w:num>
  <w:num w:numId="15">
    <w:abstractNumId w:val="17"/>
  </w:num>
  <w:num w:numId="16">
    <w:abstractNumId w:val="31"/>
  </w:num>
  <w:num w:numId="17">
    <w:abstractNumId w:val="12"/>
  </w:num>
  <w:num w:numId="18">
    <w:abstractNumId w:val="1"/>
  </w:num>
  <w:num w:numId="19">
    <w:abstractNumId w:val="16"/>
  </w:num>
  <w:num w:numId="20">
    <w:abstractNumId w:val="29"/>
  </w:num>
  <w:num w:numId="21">
    <w:abstractNumId w:val="23"/>
  </w:num>
  <w:num w:numId="22">
    <w:abstractNumId w:val="11"/>
  </w:num>
  <w:num w:numId="23">
    <w:abstractNumId w:val="27"/>
  </w:num>
  <w:num w:numId="24">
    <w:abstractNumId w:val="0"/>
  </w:num>
  <w:num w:numId="25">
    <w:abstractNumId w:val="21"/>
  </w:num>
  <w:num w:numId="26">
    <w:abstractNumId w:val="22"/>
  </w:num>
  <w:num w:numId="2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5"/>
  </w:num>
  <w:num w:numId="45">
    <w:abstractNumId w:val="9"/>
  </w:num>
  <w:num w:numId="46">
    <w:abstractNumId w:val="20"/>
  </w:num>
  <w:num w:numId="47">
    <w:abstractNumId w:val="26"/>
  </w:num>
  <w:num w:numId="48">
    <w:abstractNumId w:val="7"/>
  </w:num>
  <w:num w:numId="49">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oNotTrackMoves/>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A3815"/>
    <w:rPr>
      <w:rFonts w:ascii="Arial" w:hAnsi="Arial"/>
      <w:sz w:val="24"/>
      <w:szCs w:val="24"/>
    </w:rPr>
  </w:style>
  <w:style w:type="paragraph" w:styleId="Heading2">
    <w:name w:val="heading 2"/>
    <w:basedOn w:val="Normal"/>
    <w:link w:val="Heading2Char"/>
    <w:uiPriority w:val="9"/>
    <w:qFormat/>
    <w:rsid w:val="007276FA"/>
    <w:pPr>
      <w:spacing w:after="450"/>
      <w:outlineLvl w:val="1"/>
    </w:pPr>
    <w:rPr>
      <w:rFonts w:ascii="Times New Roman" w:hAnsi="Times New Roman"/>
      <w:b/>
      <w:bCs/>
      <w:color w:val="313133"/>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38458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
    <w:name w:val="a"/>
    <w:basedOn w:val="Normal"/>
    <w:rsid w:val="004638BF"/>
    <w:pPr>
      <w:spacing w:after="120" w:line="240" w:lineRule="exact"/>
    </w:pPr>
    <w:rPr>
      <w:rFonts w:ascii="Verdana" w:hAnsi="Verdana"/>
      <w:sz w:val="20"/>
      <w:szCs w:val="20"/>
      <w:lang w:val="en-US" w:eastAsia="en-US"/>
    </w:rPr>
  </w:style>
  <w:style w:type="paragraph" w:customStyle="1" w:styleId="DefaultParagraphFontParaCharCharCharCharCharCharCharCharCharCharCharChar">
    <w:name w:val="Default Paragraph Font Para Char Char Char Char Char Char Char Char Char Char Char Char"/>
    <w:basedOn w:val="Normal"/>
    <w:rsid w:val="00405E66"/>
    <w:pPr>
      <w:spacing w:after="120" w:line="240" w:lineRule="exact"/>
    </w:pPr>
    <w:rPr>
      <w:rFonts w:ascii="Verdana" w:hAnsi="Verdana"/>
      <w:sz w:val="20"/>
      <w:szCs w:val="20"/>
      <w:lang w:val="en-US" w:eastAsia="en-US"/>
    </w:rPr>
  </w:style>
  <w:style w:type="paragraph" w:styleId="Header">
    <w:name w:val="header"/>
    <w:basedOn w:val="Normal"/>
    <w:link w:val="HeaderChar"/>
    <w:uiPriority w:val="99"/>
    <w:rsid w:val="002C47D6"/>
    <w:pPr>
      <w:tabs>
        <w:tab w:val="center" w:pos="4153"/>
        <w:tab w:val="right" w:pos="8306"/>
      </w:tabs>
    </w:pPr>
  </w:style>
  <w:style w:type="paragraph" w:styleId="Footer">
    <w:name w:val="footer"/>
    <w:basedOn w:val="Normal"/>
    <w:link w:val="FooterChar"/>
    <w:uiPriority w:val="99"/>
    <w:rsid w:val="002C47D6"/>
    <w:pPr>
      <w:tabs>
        <w:tab w:val="center" w:pos="4153"/>
        <w:tab w:val="right" w:pos="8306"/>
      </w:tabs>
    </w:pPr>
  </w:style>
  <w:style w:type="paragraph" w:styleId="FootnoteText">
    <w:name w:val="footnote text"/>
    <w:basedOn w:val="Normal"/>
    <w:link w:val="FootnoteTextChar"/>
    <w:semiHidden/>
    <w:rsid w:val="00347167"/>
    <w:rPr>
      <w:sz w:val="20"/>
      <w:szCs w:val="20"/>
    </w:rPr>
  </w:style>
  <w:style w:type="character" w:styleId="FootnoteReference">
    <w:name w:val="footnote reference"/>
    <w:semiHidden/>
    <w:rsid w:val="00347167"/>
    <w:rPr>
      <w:vertAlign w:val="superscript"/>
    </w:rPr>
  </w:style>
  <w:style w:type="paragraph" w:styleId="BalloonText">
    <w:name w:val="Balloon Text"/>
    <w:basedOn w:val="Normal"/>
    <w:link w:val="BalloonTextChar"/>
    <w:semiHidden/>
    <w:rsid w:val="00E303AE"/>
    <w:rPr>
      <w:rFonts w:ascii="Tahoma" w:hAnsi="Tahoma"/>
      <w:sz w:val="16"/>
      <w:szCs w:val="16"/>
    </w:rPr>
  </w:style>
  <w:style w:type="character" w:styleId="PageNumber">
    <w:name w:val="page number"/>
    <w:basedOn w:val="DefaultParagraphFont"/>
    <w:rsid w:val="009C2608"/>
  </w:style>
  <w:style w:type="character" w:styleId="CommentReference">
    <w:name w:val="annotation reference"/>
    <w:uiPriority w:val="99"/>
    <w:semiHidden/>
    <w:unhideWhenUsed/>
    <w:rsid w:val="00CF5375"/>
    <w:rPr>
      <w:sz w:val="16"/>
      <w:szCs w:val="16"/>
    </w:rPr>
  </w:style>
  <w:style w:type="paragraph" w:styleId="CommentText">
    <w:name w:val="annotation text"/>
    <w:basedOn w:val="Normal"/>
    <w:link w:val="CommentTextChar"/>
    <w:uiPriority w:val="99"/>
    <w:semiHidden/>
    <w:unhideWhenUsed/>
    <w:rsid w:val="00CF5375"/>
    <w:rPr>
      <w:sz w:val="20"/>
      <w:szCs w:val="20"/>
    </w:rPr>
  </w:style>
  <w:style w:type="character" w:customStyle="1" w:styleId="CommentTextChar">
    <w:name w:val="Comment Text Char"/>
    <w:link w:val="CommentText"/>
    <w:uiPriority w:val="99"/>
    <w:semiHidden/>
    <w:rsid w:val="00CF5375"/>
    <w:rPr>
      <w:rFonts w:ascii="Arial" w:hAnsi="Arial"/>
    </w:rPr>
  </w:style>
  <w:style w:type="paragraph" w:styleId="CommentSubject">
    <w:name w:val="annotation subject"/>
    <w:basedOn w:val="CommentText"/>
    <w:next w:val="CommentText"/>
    <w:link w:val="CommentSubjectChar"/>
    <w:uiPriority w:val="99"/>
    <w:semiHidden/>
    <w:unhideWhenUsed/>
    <w:rsid w:val="00CF5375"/>
    <w:rPr>
      <w:b/>
      <w:bCs/>
    </w:rPr>
  </w:style>
  <w:style w:type="character" w:customStyle="1" w:styleId="CommentSubjectChar">
    <w:name w:val="Comment Subject Char"/>
    <w:link w:val="CommentSubject"/>
    <w:uiPriority w:val="99"/>
    <w:semiHidden/>
    <w:rsid w:val="00CF5375"/>
    <w:rPr>
      <w:rFonts w:ascii="Arial" w:hAnsi="Arial"/>
      <w:b/>
      <w:bCs/>
    </w:rPr>
  </w:style>
  <w:style w:type="paragraph" w:styleId="Revision">
    <w:name w:val="Revision"/>
    <w:hidden/>
    <w:uiPriority w:val="99"/>
    <w:semiHidden/>
    <w:rsid w:val="00632AC9"/>
    <w:rPr>
      <w:rFonts w:ascii="Arial" w:hAnsi="Arial"/>
      <w:sz w:val="24"/>
      <w:szCs w:val="24"/>
    </w:rPr>
  </w:style>
  <w:style w:type="character" w:styleId="Hyperlink">
    <w:name w:val="Hyperlink"/>
    <w:uiPriority w:val="99"/>
    <w:unhideWhenUsed/>
    <w:rsid w:val="0023367D"/>
    <w:rPr>
      <w:color w:val="0000FF"/>
      <w:u w:val="single"/>
    </w:rPr>
  </w:style>
  <w:style w:type="paragraph" w:styleId="ListParagraph">
    <w:name w:val="List Paragraph"/>
    <w:aliases w:val="Bullet 1,Bullet Points,Bullet Style,Colorful List - Accent 11,Dot pt,F5 List Paragraph,Indicator Text,List Paragraph Char Char Char,List Paragraph1,List Paragraph12,List Paragraph2,MAIN CONTENT,No Spacing1,Normal numbered,Numbered Para 1"/>
    <w:basedOn w:val="Normal"/>
    <w:link w:val="ListParagraphChar"/>
    <w:uiPriority w:val="34"/>
    <w:qFormat/>
    <w:rsid w:val="0023367D"/>
    <w:pPr>
      <w:ind w:left="720"/>
    </w:pPr>
    <w:rPr>
      <w:rFonts w:ascii="Calibri" w:eastAsia="Calibri" w:hAnsi="Calibri" w:cs="Calibri"/>
      <w:sz w:val="22"/>
      <w:szCs w:val="22"/>
    </w:rPr>
  </w:style>
  <w:style w:type="character" w:styleId="FollowedHyperlink">
    <w:name w:val="FollowedHyperlink"/>
    <w:uiPriority w:val="99"/>
    <w:semiHidden/>
    <w:unhideWhenUsed/>
    <w:rsid w:val="00A34D55"/>
    <w:rPr>
      <w:color w:val="800080"/>
      <w:u w:val="single"/>
    </w:rPr>
  </w:style>
  <w:style w:type="character" w:styleId="PlaceholderText">
    <w:name w:val="Placeholder Text"/>
    <w:basedOn w:val="DefaultParagraphFont"/>
    <w:uiPriority w:val="99"/>
    <w:semiHidden/>
    <w:rsid w:val="00814096"/>
    <w:rPr>
      <w:color w:val="808080"/>
    </w:rPr>
  </w:style>
  <w:style w:type="character" w:customStyle="1" w:styleId="Heading2Char">
    <w:name w:val="Heading 2 Char"/>
    <w:basedOn w:val="DefaultParagraphFont"/>
    <w:link w:val="Heading2"/>
    <w:uiPriority w:val="9"/>
    <w:rsid w:val="007276FA"/>
    <w:rPr>
      <w:b/>
      <w:bCs/>
      <w:color w:val="313133"/>
      <w:sz w:val="48"/>
      <w:szCs w:val="48"/>
    </w:rPr>
  </w:style>
  <w:style w:type="paragraph" w:customStyle="1" w:styleId="1">
    <w:name w:val="1"/>
    <w:basedOn w:val="Normal"/>
    <w:rsid w:val="00CF4153"/>
    <w:pPr>
      <w:spacing w:after="120" w:line="240" w:lineRule="exact"/>
    </w:pPr>
    <w:rPr>
      <w:rFonts w:ascii="Verdana" w:hAnsi="Verdana"/>
      <w:sz w:val="20"/>
      <w:szCs w:val="20"/>
      <w:lang w:val="en-US" w:eastAsia="en-US"/>
    </w:rPr>
  </w:style>
  <w:style w:type="character" w:customStyle="1" w:styleId="HeaderChar">
    <w:name w:val="Header Char"/>
    <w:basedOn w:val="DefaultParagraphFont"/>
    <w:link w:val="Header"/>
    <w:uiPriority w:val="99"/>
    <w:rsid w:val="00CF4153"/>
    <w:rPr>
      <w:rFonts w:ascii="Arial" w:hAnsi="Arial"/>
      <w:sz w:val="24"/>
      <w:szCs w:val="24"/>
    </w:rPr>
  </w:style>
  <w:style w:type="character" w:customStyle="1" w:styleId="ClassificationText">
    <w:name w:val="Classification Text"/>
    <w:uiPriority w:val="1"/>
    <w:semiHidden/>
    <w:rsid w:val="00CF4153"/>
  </w:style>
  <w:style w:type="paragraph" w:styleId="NoSpacing">
    <w:name w:val="No Spacing"/>
    <w:link w:val="NoSpacingChar"/>
    <w:uiPriority w:val="1"/>
    <w:qFormat/>
    <w:rsid w:val="00CF4153"/>
    <w:rPr>
      <w:rFonts w:asciiTheme="minorHAnsi" w:eastAsiaTheme="minorEastAsia" w:hAnsiTheme="minorHAnsi" w:cstheme="minorBidi"/>
      <w:sz w:val="22"/>
      <w:szCs w:val="22"/>
      <w:lang w:val="en-US" w:eastAsia="ja-JP"/>
    </w:rPr>
  </w:style>
  <w:style w:type="character" w:customStyle="1" w:styleId="NoSpacingChar">
    <w:name w:val="No Spacing Char"/>
    <w:basedOn w:val="DefaultParagraphFont"/>
    <w:link w:val="NoSpacing"/>
    <w:uiPriority w:val="1"/>
    <w:rsid w:val="00CF4153"/>
    <w:rPr>
      <w:rFonts w:asciiTheme="minorHAnsi" w:eastAsiaTheme="minorEastAsia" w:hAnsiTheme="minorHAnsi" w:cstheme="minorBidi"/>
      <w:sz w:val="22"/>
      <w:szCs w:val="22"/>
      <w:lang w:val="en-US" w:eastAsia="ja-JP"/>
    </w:rPr>
  </w:style>
  <w:style w:type="character" w:customStyle="1" w:styleId="Style1">
    <w:name w:val="Style1"/>
    <w:basedOn w:val="DefaultParagraphFont"/>
    <w:uiPriority w:val="1"/>
    <w:rsid w:val="009A493E"/>
    <w:rPr>
      <w:bdr w:val="single" w:sz="4" w:space="0" w:color="auto"/>
      <w:shd w:val="pct10" w:color="auto" w:fill="auto"/>
    </w:rPr>
  </w:style>
  <w:style w:type="character" w:customStyle="1" w:styleId="Style2">
    <w:name w:val="Style2"/>
    <w:basedOn w:val="DefaultParagraphFont"/>
    <w:uiPriority w:val="1"/>
    <w:rsid w:val="009A493E"/>
    <w:rPr>
      <w:bdr w:val="single" w:sz="4" w:space="0" w:color="auto"/>
      <w:shd w:val="pct10" w:color="auto" w:fill="auto"/>
    </w:rPr>
  </w:style>
  <w:style w:type="character" w:customStyle="1" w:styleId="Style3">
    <w:name w:val="Style3"/>
    <w:basedOn w:val="DefaultParagraphFont"/>
    <w:uiPriority w:val="1"/>
    <w:rsid w:val="009A493E"/>
    <w:rPr>
      <w:bdr w:val="single" w:sz="4" w:space="0" w:color="auto"/>
      <w:shd w:val="pct10" w:color="auto" w:fill="auto"/>
    </w:rPr>
  </w:style>
  <w:style w:type="character" w:customStyle="1" w:styleId="Style4">
    <w:name w:val="Style4"/>
    <w:basedOn w:val="DefaultParagraphFont"/>
    <w:uiPriority w:val="1"/>
    <w:rsid w:val="009A493E"/>
    <w:rPr>
      <w:bdr w:val="single" w:sz="4" w:space="0" w:color="auto"/>
      <w:shd w:val="pct10" w:color="auto" w:fill="auto"/>
    </w:rPr>
  </w:style>
  <w:style w:type="character" w:customStyle="1" w:styleId="Style5">
    <w:name w:val="Style5"/>
    <w:basedOn w:val="DefaultParagraphFont"/>
    <w:uiPriority w:val="1"/>
    <w:rsid w:val="00250524"/>
    <w:rPr>
      <w:bdr w:val="single" w:sz="4" w:space="0" w:color="auto"/>
      <w:shd w:val="pct10" w:color="auto" w:fill="auto"/>
    </w:rPr>
  </w:style>
  <w:style w:type="paragraph" w:styleId="NormalWeb">
    <w:name w:val="Normal (Web)"/>
    <w:basedOn w:val="Normal"/>
    <w:uiPriority w:val="99"/>
    <w:semiHidden/>
    <w:unhideWhenUsed/>
    <w:rsid w:val="00084ADB"/>
    <w:pPr>
      <w:spacing w:before="100" w:beforeAutospacing="1" w:after="100" w:afterAutospacing="1"/>
    </w:pPr>
    <w:rPr>
      <w:rFonts w:ascii="Times New Roman" w:hAnsi="Times New Roman"/>
    </w:rPr>
  </w:style>
  <w:style w:type="character" w:customStyle="1" w:styleId="FooterChar">
    <w:name w:val="Footer Char"/>
    <w:basedOn w:val="DefaultParagraphFont"/>
    <w:link w:val="Footer"/>
    <w:uiPriority w:val="99"/>
    <w:rsid w:val="00A57880"/>
    <w:rPr>
      <w:rFonts w:ascii="Arial" w:hAnsi="Arial"/>
      <w:sz w:val="24"/>
      <w:szCs w:val="24"/>
    </w:rPr>
  </w:style>
  <w:style w:type="character" w:customStyle="1" w:styleId="UnresolvedMention">
    <w:name w:val="Unresolved Mention"/>
    <w:basedOn w:val="DefaultParagraphFont"/>
    <w:uiPriority w:val="99"/>
    <w:unhideWhenUsed/>
    <w:rsid w:val="009311AD"/>
    <w:rPr>
      <w:color w:val="808080"/>
      <w:shd w:val="clear" w:color="auto" w:fill="E6E6E6"/>
    </w:rPr>
  </w:style>
  <w:style w:type="character" w:customStyle="1" w:styleId="ListParagraphChar">
    <w:name w:val="List Paragraph Char"/>
    <w:aliases w:val="Bullet 1 Char,Bullet Points Char,Colorful List - Accent 11 Char,Dot pt Char,F5 List Paragraph Char,Indicator Text Char,List Paragraph Char Char Char Char,List Paragraph1 Char,MAIN CONTENT Char,No Spacing1 Char,Numbered Para 1 Char"/>
    <w:link w:val="ListParagraph"/>
    <w:uiPriority w:val="34"/>
    <w:qFormat/>
    <w:locked/>
    <w:rsid w:val="003030CD"/>
    <w:rPr>
      <w:rFonts w:ascii="Calibri" w:eastAsia="Calibri" w:hAnsi="Calibri" w:cs="Calibri"/>
      <w:sz w:val="22"/>
      <w:szCs w:val="22"/>
    </w:rPr>
  </w:style>
  <w:style w:type="character" w:customStyle="1" w:styleId="FootnoteTextChar">
    <w:name w:val="Footnote Text Char"/>
    <w:basedOn w:val="DefaultParagraphFont"/>
    <w:link w:val="FootnoteText"/>
    <w:semiHidden/>
    <w:rsid w:val="00744F7A"/>
    <w:rPr>
      <w:rFonts w:ascii="Arial" w:hAnsi="Arial"/>
    </w:rPr>
  </w:style>
  <w:style w:type="character" w:customStyle="1" w:styleId="BalloonTextChar">
    <w:name w:val="Balloon Text Char"/>
    <w:basedOn w:val="DefaultParagraphFont"/>
    <w:link w:val="BalloonText"/>
    <w:semiHidden/>
    <w:rsid w:val="00744F7A"/>
    <w:rPr>
      <w:rFonts w:ascii="Tahoma" w:hAnsi="Tahoma"/>
      <w:sz w:val="16"/>
      <w:szCs w:val="16"/>
    </w:rPr>
  </w:style>
  <w:style w:type="paragraph" w:customStyle="1" w:styleId="paragraph">
    <w:name w:val="paragraph"/>
    <w:basedOn w:val="Normal"/>
    <w:rsid w:val="00744F7A"/>
    <w:rPr>
      <w:rFonts w:ascii="Times New Roman" w:hAnsi="Times New Roman"/>
    </w:rPr>
  </w:style>
  <w:style w:type="character" w:customStyle="1" w:styleId="spellingerror">
    <w:name w:val="spellingerror"/>
    <w:basedOn w:val="DefaultParagraphFont"/>
    <w:rsid w:val="00744F7A"/>
  </w:style>
  <w:style w:type="character" w:customStyle="1" w:styleId="contextualspellingandgrammarerror">
    <w:name w:val="contextualspellingandgrammarerror"/>
    <w:basedOn w:val="DefaultParagraphFont"/>
    <w:rsid w:val="00744F7A"/>
  </w:style>
  <w:style w:type="character" w:customStyle="1" w:styleId="normaltextrun1">
    <w:name w:val="normaltextrun1"/>
    <w:basedOn w:val="DefaultParagraphFont"/>
    <w:rsid w:val="00744F7A"/>
  </w:style>
  <w:style w:type="character" w:customStyle="1" w:styleId="eop">
    <w:name w:val="eop"/>
    <w:basedOn w:val="DefaultParagraphFont"/>
    <w:rsid w:val="00744F7A"/>
  </w:style>
  <w:style w:type="character" w:customStyle="1" w:styleId="Mention">
    <w:name w:val="Mention"/>
    <w:basedOn w:val="DefaultParagraphFont"/>
    <w:uiPriority w:val="99"/>
    <w:unhideWhenUsed/>
    <w:rsid w:val="00700D1B"/>
    <w:rPr>
      <w:color w:val="2B579A"/>
      <w:shd w:val="clear" w:color="auto" w:fill="E1DFDD"/>
    </w:rPr>
  </w:style>
  <w:style w:type="paragraph" w:customStyle="1" w:styleId="Default">
    <w:name w:val="Default"/>
    <w:rsid w:val="008E62E0"/>
    <w:pPr>
      <w:autoSpaceDE w:val="0"/>
      <w:autoSpaceDN w:val="0"/>
      <w:adjustRightInd w:val="0"/>
    </w:pPr>
    <w:rPr>
      <w:rFonts w:ascii="Humnst777 Lt BT" w:hAnsi="Humnst777 Lt BT" w:cs="Humnst777 Lt BT"/>
      <w:color w:val="000000"/>
      <w:sz w:val="24"/>
      <w:szCs w:val="24"/>
    </w:rPr>
  </w:style>
  <w:style w:type="paragraph" w:customStyle="1" w:styleId="xmsonormal">
    <w:name w:val="x_msonormal"/>
    <w:basedOn w:val="Normal"/>
    <w:rsid w:val="00BE765F"/>
    <w:rPr>
      <w:rFonts w:ascii="Calibri" w:hAnsi="Calibri" w:eastAsiaTheme="minorHAnsi" w:cs="Calibri"/>
      <w:sz w:val="22"/>
      <w:szCs w:val="22"/>
    </w:rPr>
  </w:style>
  <w:style w:type="paragraph" w:customStyle="1" w:styleId="xmsolistparagraph">
    <w:name w:val="x_msolistparagraph"/>
    <w:basedOn w:val="Normal"/>
    <w:rsid w:val="00BE765F"/>
    <w:pPr>
      <w:ind w:left="720"/>
    </w:pPr>
    <w:rPr>
      <w:rFonts w:ascii="Calibri" w:hAnsi="Calibri" w:eastAsiaTheme="minorHAns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1.png" /><Relationship Id="rId11" Type="http://schemas.openxmlformats.org/officeDocument/2006/relationships/image" Target="media/image2.png" /><Relationship Id="rId12" Type="http://schemas.openxmlformats.org/officeDocument/2006/relationships/image" Target="media/image3.png" /><Relationship Id="rId13" Type="http://schemas.openxmlformats.org/officeDocument/2006/relationships/image" Target="media/image4.png" /><Relationship Id="rId14" Type="http://schemas.openxmlformats.org/officeDocument/2006/relationships/image" Target="media/image5.png" /><Relationship Id="rId15" Type="http://schemas.openxmlformats.org/officeDocument/2006/relationships/image" Target="media/image6.png" /><Relationship Id="rId16" Type="http://schemas.openxmlformats.org/officeDocument/2006/relationships/image" Target="media/image7.png" /><Relationship Id="rId17" Type="http://schemas.openxmlformats.org/officeDocument/2006/relationships/image" Target="media/image8.png" /><Relationship Id="rId18" Type="http://schemas.openxmlformats.org/officeDocument/2006/relationships/image" Target="media/image9.png" /><Relationship Id="rId19" Type="http://schemas.openxmlformats.org/officeDocument/2006/relationships/image" Target="media/image10.png" /><Relationship Id="rId2" Type="http://schemas.openxmlformats.org/officeDocument/2006/relationships/webSettings" Target="webSettings.xml" /><Relationship Id="rId20" Type="http://schemas.openxmlformats.org/officeDocument/2006/relationships/image" Target="media/image11.png" /><Relationship Id="rId21" Type="http://schemas.openxmlformats.org/officeDocument/2006/relationships/image" Target="media/image12.png" /><Relationship Id="rId22" Type="http://schemas.openxmlformats.org/officeDocument/2006/relationships/image" Target="media/image13.emf" /><Relationship Id="rId23" Type="http://schemas.openxmlformats.org/officeDocument/2006/relationships/image" Target="media/image14.png" /><Relationship Id="rId24" Type="http://schemas.openxmlformats.org/officeDocument/2006/relationships/header" Target="header1.xml" /><Relationship Id="rId25" Type="http://schemas.openxmlformats.org/officeDocument/2006/relationships/header" Target="header2.xml" /><Relationship Id="rId26" Type="http://schemas.openxmlformats.org/officeDocument/2006/relationships/footer" Target="footer1.xml" /><Relationship Id="rId27" Type="http://schemas.openxmlformats.org/officeDocument/2006/relationships/footer" Target="footer2.xml" /><Relationship Id="rId28" Type="http://schemas.openxmlformats.org/officeDocument/2006/relationships/header" Target="header3.xml" /><Relationship Id="rId29" Type="http://schemas.openxmlformats.org/officeDocument/2006/relationships/footer" Target="footer3.xml" /><Relationship Id="rId3" Type="http://schemas.openxmlformats.org/officeDocument/2006/relationships/fontTable" Target="fontTable.xml" /><Relationship Id="rId30" Type="http://schemas.openxmlformats.org/officeDocument/2006/relationships/image" Target="media/image15.emf" /><Relationship Id="rId31" Type="http://schemas.openxmlformats.org/officeDocument/2006/relationships/image" Target="media/image16.emf" /><Relationship Id="rId32" Type="http://schemas.openxmlformats.org/officeDocument/2006/relationships/theme" Target="theme/theme1.xml" /><Relationship Id="rId33" Type="http://schemas.openxmlformats.org/officeDocument/2006/relationships/numbering" Target="numbering.xml" /><Relationship Id="rId34" Type="http://schemas.openxmlformats.org/officeDocument/2006/relationships/styles" Target="styles.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customXml" Target="../customXml/item6.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_rels/item6.xml.rels>&#65279;<?xml version="1.0" encoding="utf-8" standalone="yes"?><Relationships xmlns="http://schemas.openxmlformats.org/package/2006/relationships"><Relationship Id="rId1" Type="http://schemas.openxmlformats.org/officeDocument/2006/relationships/customXmlProps" Target="itemProps6.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5ac729c83584e2f99a2fbaff852a3d5 xmlns="1eee4ddb-a1f9-40b8-9282-d53ea582adeb">
      <Terms xmlns="http://schemas.microsoft.com/office/infopath/2007/PartnerControls"/>
    </p5ac729c83584e2f99a2fbaff852a3d5>
    <i06e5c8e6a124e91a91eaec9d03479dc xmlns="1eee4ddb-a1f9-40b8-9282-d53ea582adeb">
      <Terms xmlns="http://schemas.microsoft.com/office/infopath/2007/PartnerControls"/>
    </i06e5c8e6a124e91a91eaec9d03479dc>
    <External_x0020_File_x0020_Reference xmlns="1eee4ddb-a1f9-40b8-9282-d53ea582adeb" xsi:nil="true"/>
    <kcf4eeeda3c84b5b986ab6be7add1d2a xmlns="1eee4ddb-a1f9-40b8-9282-d53ea582adeb">
      <Terms xmlns="http://schemas.microsoft.com/office/infopath/2007/PartnerControls"/>
    </kcf4eeeda3c84b5b986ab6be7add1d2a>
    <TaxCatchAll xmlns="1eee4ddb-a1f9-40b8-9282-d53ea582adeb"/>
    <Related_x0020_Document_x0020_Link xmlns="1eee4ddb-a1f9-40b8-9282-d53ea582adeb">
      <Url xsi:nil="true"/>
      <Description xsi:nil="true"/>
    </Related_x0020_Document_x0020_Link>
    <Retention_x0020_Trigger_x0020_Date xmlns="1eee4ddb-a1f9-40b8-9282-d53ea582adeb" xsi:nil="true"/>
    <e993c7ebdb0844bda77b49081e8191e4 xmlns="1eee4ddb-a1f9-40b8-9282-d53ea582adeb">
      <Terms xmlns="http://schemas.microsoft.com/office/infopath/2007/PartnerControls"/>
    </e993c7ebdb0844bda77b49081e8191e4>
    <Related_x0020_Document xmlns="1eee4ddb-a1f9-40b8-9282-d53ea582adeb" xsi:nil="true"/>
    <Document_x0020_Status xmlns="1eee4ddb-a1f9-40b8-9282-d53ea582adeb">Shared</Document_x0020_Status>
    <TaxKeywordTaxHTField xmlns="1eee4ddb-a1f9-40b8-9282-d53ea582adeb">
      <Terms xmlns="http://schemas.microsoft.com/office/infopath/2007/PartnerControls"/>
    </TaxKeywordTaxHTField>
    <a729509b32a34273afbf773e0c72336c xmlns="1eee4ddb-a1f9-40b8-9282-d53ea582adeb">
      <Terms xmlns="http://schemas.microsoft.com/office/infopath/2007/PartnerControls"/>
    </a729509b32a34273afbf773e0c72336c>
    <Document_x0020_Description xmlns="1eee4ddb-a1f9-40b8-9282-d53ea582adeb" xsi:nil="true"/>
    <Alternative_x0020_or_x0020_sub_x0020_tiltle xmlns="1eee4ddb-a1f9-40b8-9282-d53ea582adeb" xsi:nil="true"/>
    <DocumentAuthor xmlns="1eee4ddb-a1f9-40b8-9282-d53ea582adeb">
      <UserInfo>
        <DisplayName/>
        <AccountId xsi:nil="true"/>
        <AccountType/>
      </UserInfo>
    </DocumentAuthor>
    <Approver xmlns="1eee4ddb-a1f9-40b8-9282-d53ea582adeb">
      <UserInfo>
        <DisplayName/>
        <AccountId xsi:nil="true"/>
        <AccountType/>
      </UserInfo>
    </Approver>
    <IconOverlay xmlns="http://schemas.microsoft.com/sharepoint/v4" xsi:nil="true"/>
    <Reviewer xmlns="1eee4ddb-a1f9-40b8-9282-d53ea582adeb">
      <UserInfo>
        <DisplayName/>
        <AccountId xsi:nil="true"/>
        <AccountType/>
      </UserInfo>
    </Reviewer>
    <_dlc_DocId xmlns="1eee4ddb-a1f9-40b8-9282-d53ea582adeb">AAFXSQ5MW4ZD-243-1321772</_dlc_DocId>
    <_dlc_DocIdUrl xmlns="1eee4ddb-a1f9-40b8-9282-d53ea582adeb">
      <Url>http://iws.ims.gov.uk/twa/sfnhs/gf/_layouts/DocIdRedir.aspx?ID=AAFXSQ5MW4ZD-243-1321772</Url>
      <Description>AAFXSQ5MW4ZD-243-1321772</Description>
    </_dlc_DocIdUrl>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customXsn xmlns="http://schemas.microsoft.com/office/2006/metadata/customXsn">
  <xsnLocation/>
  <cached>True</cached>
  <openByDefault>False</openByDefault>
  <xsnScope/>
</customXsn>
</file>

<file path=customXml/item5.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6.xml><?xml version="1.0" encoding="utf-8"?>
<ct:contentTypeSchema xmlns:ct="http://schemas.microsoft.com/office/2006/metadata/contentType" xmlns:ma="http://schemas.microsoft.com/office/2006/metadata/properties/metaAttributes" ct:_="" ma:_="" ma:contentTypeName="DH Document" ma:contentTypeID="0x010100B9957A1BF2FBE8478EF96F1BD89AD4CA006FA759B0E3DD3D49B074DE09E38C64F8" ma:contentTypeVersion="67" ma:contentTypeDescription="DH specific document content type for use in File Plan" ma:contentTypeScope="" ma:versionID="d087106733042f8d1496068603d8cc97">
  <xsd:schema xmlns:xsd="http://www.w3.org/2001/XMLSchema" xmlns:xs="http://www.w3.org/2001/XMLSchema" xmlns:p="http://schemas.microsoft.com/office/2006/metadata/properties" xmlns:ns1="http://schemas.microsoft.com/sharepoint/v3" xmlns:ns2="1eee4ddb-a1f9-40b8-9282-d53ea582adeb" xmlns:ns4="http://schemas.microsoft.com/sharepoint/v4" targetNamespace="http://schemas.microsoft.com/office/2006/metadata/properties" ma:root="true" ma:fieldsID="8636d3865457fc738ba8f8b6acaa8a58" ns1:_="" ns2:_="" ns4:_="">
    <xsd:import namespace="http://schemas.microsoft.com/sharepoint/v3"/>
    <xsd:import namespace="1eee4ddb-a1f9-40b8-9282-d53ea582adeb"/>
    <xsd:import namespace="http://schemas.microsoft.com/sharepoint/v4"/>
    <xsd:element name="properties">
      <xsd:complexType>
        <xsd:sequence>
          <xsd:element name="documentManagement">
            <xsd:complexType>
              <xsd:all>
                <xsd:element ref="ns2:Alternative_x0020_or_x0020_sub_x0020_tiltle" minOccurs="0"/>
                <xsd:element ref="ns2:DocumentAuthor" minOccurs="0"/>
                <xsd:element ref="ns2:Document_x0020_Status" minOccurs="0"/>
                <xsd:element ref="ns2:Document_x0020_Description" minOccurs="0"/>
                <xsd:element ref="ns2:Reviewer" minOccurs="0"/>
                <xsd:element ref="ns2:Approver" minOccurs="0"/>
                <xsd:element ref="ns2:Related_x0020_Document_x0020_Link" minOccurs="0"/>
                <xsd:element ref="ns2:Related_x0020_Document" minOccurs="0"/>
                <xsd:element ref="ns2:External_x0020_File_x0020_Reference" minOccurs="0"/>
                <xsd:element ref="ns2:Retention_x0020_Trigger_x0020_Date" minOccurs="0"/>
                <xsd:element ref="ns2:TaxKeywordTaxHTField" minOccurs="0"/>
                <xsd:element ref="ns2:_dlc_DocId" minOccurs="0"/>
                <xsd:element ref="ns2:_dlc_DocIdUrl" minOccurs="0"/>
                <xsd:element ref="ns2:_dlc_DocIdPersistId" minOccurs="0"/>
                <xsd:element ref="ns2:e993c7ebdb0844bda77b49081e8191e4" minOccurs="0"/>
                <xsd:element ref="ns2:TaxCatchAll" minOccurs="0"/>
                <xsd:element ref="ns2:p5ac729c83584e2f99a2fbaff852a3d5" minOccurs="0"/>
                <xsd:element ref="ns2:a729509b32a34273afbf773e0c72336c" minOccurs="0"/>
                <xsd:element ref="ns2:i06e5c8e6a124e91a91eaec9d03479dc" minOccurs="0"/>
                <xsd:element ref="ns2:TaxCatchAllLabel" minOccurs="0"/>
                <xsd:element ref="ns2:kcf4eeeda3c84b5b986ab6be7add1d2a" minOccurs="0"/>
                <xsd:element ref="ns1:_dlc_Exempt" minOccurs="0"/>
                <xsd:element ref="ns1:_dlc_ExpireDateSaved" minOccurs="0"/>
                <xsd:element ref="ns1:_dlc_ExpireDate" minOccurs="0"/>
                <xsd:element ref="ns1:_vti_ItemHoldRecordStatus" minOccurs="0"/>
                <xsd:element ref="ns4: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36" nillable="true" ma:displayName="Exempt from Policy" ma:hidden="true" ma:internalName="_dlc_Exempt" ma:readOnly="true">
      <xsd:simpleType>
        <xsd:restriction base="dms:Unknown"/>
      </xsd:simpleType>
    </xsd:element>
    <xsd:element name="_dlc_ExpireDateSaved" ma:index="37" nillable="true" ma:displayName="Original Expiration Date" ma:hidden="true" ma:internalName="_dlc_ExpireDateSaved" ma:readOnly="true">
      <xsd:simpleType>
        <xsd:restriction base="dms:DateTime"/>
      </xsd:simpleType>
    </xsd:element>
    <xsd:element name="_dlc_ExpireDate" ma:index="38" nillable="true" ma:displayName="Expiration Date" ma:description="" ma:hidden="true" ma:indexed="true" ma:internalName="_dlc_ExpireDate" ma:readOnly="true">
      <xsd:simpleType>
        <xsd:restriction base="dms:DateTime"/>
      </xsd:simpleType>
    </xsd:element>
    <xsd:element name="_vti_ItemHoldRecordStatus" ma:index="39" nillable="true" ma:displayName="Hold and Record Status" ma:decimals="0" ma:description="" ma:hidden="true" ma:indexed="true" ma:internalName="_vti_ItemHoldRecordStatu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eee4ddb-a1f9-40b8-9282-d53ea582adeb" elementFormDefault="qualified">
    <xsd:import namespace="http://schemas.microsoft.com/office/2006/documentManagement/types"/>
    <xsd:import namespace="http://schemas.microsoft.com/office/infopath/2007/PartnerControls"/>
    <xsd:element name="Alternative_x0020_or_x0020_sub_x0020_tiltle" ma:index="1" nillable="true" ma:displayName="Alternative or sub title" ma:internalName="Alternative_x0020_or_x0020_sub_x0020_tiltle">
      <xsd:simpleType>
        <xsd:restriction base="dms:Text">
          <xsd:maxLength value="255"/>
        </xsd:restriction>
      </xsd:simpleType>
    </xsd:element>
    <xsd:element name="DocumentAuthor" ma:index="4" nillable="true" ma:displayName="Additional Authors" ma:list="UserInfo" ma:SharePointGroup="0" ma:internalName="DocumentAuthor"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ocument_x0020_Status" ma:index="6" nillable="true" ma:displayName="Document Status" ma:default="Shared" ma:format="Dropdown" ma:internalName="Document_x0020_Status" ma:readOnly="false">
      <xsd:simpleType>
        <xsd:restriction base="dms:Choice">
          <xsd:enumeration value="Shared"/>
          <xsd:enumeration value="In Review"/>
          <xsd:enumeration value="Awaiting Approval"/>
          <xsd:enumeration value="Approved"/>
          <xsd:enumeration value="Rejected"/>
        </xsd:restriction>
      </xsd:simpleType>
    </xsd:element>
    <xsd:element name="Document_x0020_Description" ma:index="9" nillable="true" ma:displayName="Document Description" ma:internalName="Document_x0020_Description">
      <xsd:simpleType>
        <xsd:restriction base="dms:Text">
          <xsd:maxLength value="255"/>
        </xsd:restriction>
      </xsd:simpleType>
    </xsd:element>
    <xsd:element name="Reviewer" ma:index="10" nillable="true" ma:displayName="Reviewers" ma:list="UserInfo" ma:SharePointGroup="0" ma:internalName="Reviewer"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pprover" ma:index="11" nillable="true" ma:displayName="Approvers" ma:list="UserInfo" ma:SharePointGroup="0" ma:internalName="Approver"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elated_x0020_Document_x0020_Link" ma:index="12" nillable="true" ma:displayName="Related Document Link" ma:format="Hyperlink" ma:internalName="Related_x0020_Document_x0020_Link">
      <xsd:complexType>
        <xsd:complexContent>
          <xsd:extension base="dms:URL">
            <xsd:sequence>
              <xsd:element name="Url" type="dms:ValidUrl" minOccurs="0" nillable="true"/>
              <xsd:element name="Description" type="xsd:string" nillable="true"/>
            </xsd:sequence>
          </xsd:extension>
        </xsd:complexContent>
      </xsd:complexType>
    </xsd:element>
    <xsd:element name="Related_x0020_Document" ma:index="13" nillable="true" ma:displayName="Related Document" ma:internalName="Related_x0020_Document">
      <xsd:simpleType>
        <xsd:restriction base="dms:Text">
          <xsd:maxLength value="255"/>
        </xsd:restriction>
      </xsd:simpleType>
    </xsd:element>
    <xsd:element name="External_x0020_File_x0020_Reference" ma:index="15" nillable="true" ma:displayName="Registered Number" ma:internalName="External_x0020_File_x0020_Reference">
      <xsd:simpleType>
        <xsd:restriction base="dms:Text">
          <xsd:maxLength value="255"/>
        </xsd:restriction>
      </xsd:simpleType>
    </xsd:element>
    <xsd:element name="Retention_x0020_Trigger_x0020_Date" ma:index="16" nillable="true" ma:displayName="Retention Trigger Date" ma:format="DateOnly" ma:internalName="Retention_x0020_Trigger_x0020_Date">
      <xsd:simpleType>
        <xsd:restriction base="dms:DateTime"/>
      </xsd:simpleType>
    </xsd:element>
    <xsd:element name="TaxKeywordTaxHTField" ma:index="19" nillable="true" ma:taxonomy="true" ma:internalName="TaxKeywordTaxHTField" ma:taxonomyFieldName="TaxKeyword" ma:displayName="Enterprise Keywords" ma:fieldId="{23f27201-bee3-471e-b2e7-b64fd8b7ca38}" ma:taxonomyMulti="true" ma:sspId="00000000-0000-0000-0000-000000000000" ma:termSetId="00000000-0000-0000-0000-000000000000" ma:anchorId="00000000-0000-0000-0000-000000000000" ma:open="true" ma:isKeyword="true">
      <xsd:complexType>
        <xsd:sequence>
          <xsd:element ref="pc:Terms" minOccurs="0" maxOccurs="1"/>
        </xsd:sequence>
      </xsd:complexType>
    </xsd:element>
    <xsd:element name="_dlc_DocId" ma:index="21" nillable="true" ma:displayName="Document ID Value" ma:description="The value of the document ID assigned to this item." ma:internalName="_dlc_DocId" ma:readOnly="true">
      <xsd:simpleType>
        <xsd:restriction base="dms:Text"/>
      </xsd:simpleType>
    </xsd:element>
    <xsd:element name="_dlc_DocIdUrl" ma:index="2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3" nillable="true" ma:displayName="Persist ID" ma:description="Keep ID on add." ma:hidden="true" ma:internalName="_dlc_DocIdPersistId" ma:readOnly="true">
      <xsd:simpleType>
        <xsd:restriction base="dms:Boolean"/>
      </xsd:simpleType>
    </xsd:element>
    <xsd:element name="e993c7ebdb0844bda77b49081e8191e4" ma:index="24" nillable="true" ma:taxonomy="true" ma:internalName="e993c7ebdb0844bda77b49081e8191e4" ma:taxonomyFieldName="_cx_SecurityMarkings" ma:displayName="Classification" ma:default="" ma:fieldId="{e993c7eb-db08-44bd-a77b-49081e8191e4}" ma:sspId="92743a9e-59ef-4080-9313-9c8ffbdd1a8b" ma:termSetId="a9da5f56-ebc6-4d64-8a44-41072e1701b2" ma:anchorId="00000000-0000-0000-0000-000000000000" ma:open="false" ma:isKeyword="false">
      <xsd:complexType>
        <xsd:sequence>
          <xsd:element ref="pc:Terms" minOccurs="0" maxOccurs="1"/>
        </xsd:sequence>
      </xsd:complexType>
    </xsd:element>
    <xsd:element name="TaxCatchAll" ma:index="25" nillable="true" ma:displayName="Taxonomy Catch All Column" ma:description="" ma:hidden="true" ma:list="{ea5496a5-a8eb-4322-b0a5-395596748c3f}" ma:internalName="TaxCatchAll" ma:showField="CatchAllData" ma:web="1eee4ddb-a1f9-40b8-9282-d53ea582adeb">
      <xsd:complexType>
        <xsd:complexContent>
          <xsd:extension base="dms:MultiChoiceLookup">
            <xsd:sequence>
              <xsd:element name="Value" type="dms:Lookup" maxOccurs="unbounded" minOccurs="0" nillable="true"/>
            </xsd:sequence>
          </xsd:extension>
        </xsd:complexContent>
      </xsd:complexType>
    </xsd:element>
    <xsd:element name="p5ac729c83584e2f99a2fbaff852a3d5" ma:index="28" nillable="true" ma:taxonomy="true" ma:internalName="p5ac729c83584e2f99a2fbaff852a3d5" ma:taxonomyFieldName="Trigger_x0020_Date_x0020_Description" ma:displayName="Trigger Date Description" ma:default="" ma:fieldId="{95ac729c-8358-4e2f-99a2-fbaff852a3d5}" ma:sspId="92743a9e-59ef-4080-9313-9c8ffbdd1a8b" ma:termSetId="67a11b7d-ab7d-4b4c-b26b-fa9cca66061c" ma:anchorId="00000000-0000-0000-0000-000000000000" ma:open="false" ma:isKeyword="false">
      <xsd:complexType>
        <xsd:sequence>
          <xsd:element ref="pc:Terms" minOccurs="0" maxOccurs="1"/>
        </xsd:sequence>
      </xsd:complexType>
    </xsd:element>
    <xsd:element name="a729509b32a34273afbf773e0c72336c" ma:index="29" nillable="true" ma:taxonomy="true" ma:internalName="a729509b32a34273afbf773e0c72336c" ma:taxonomyFieldName="Document_x0020_Type" ma:displayName="Document Type" ma:default="" ma:fieldId="{a729509b-32a3-4273-afbf-773e0c72336c}" ma:sspId="92743a9e-59ef-4080-9313-9c8ffbdd1a8b" ma:termSetId="b5534880-eda4-4ff7-954f-b315aee8a3a6" ma:anchorId="00000000-0000-0000-0000-000000000000" ma:open="false" ma:isKeyword="false">
      <xsd:complexType>
        <xsd:sequence>
          <xsd:element ref="pc:Terms" minOccurs="0" maxOccurs="1"/>
        </xsd:sequence>
      </xsd:complexType>
    </xsd:element>
    <xsd:element name="i06e5c8e6a124e91a91eaec9d03479dc" ma:index="30" nillable="true" ma:taxonomy="true" ma:internalName="i06e5c8e6a124e91a91eaec9d03479dc" ma:taxonomyFieldName="Record_x0020_Class" ma:displayName="Record Class" ma:readOnly="false" ma:default="" ma:fieldId="{206e5c8e-6a12-4e91-a91e-aec9d03479dc}" ma:sspId="92743a9e-59ef-4080-9313-9c8ffbdd1a8b" ma:termSetId="97570a61-5300-4cbe-92e6-1d764864d8f1" ma:anchorId="00000000-0000-0000-0000-000000000000" ma:open="false" ma:isKeyword="false">
      <xsd:complexType>
        <xsd:sequence>
          <xsd:element ref="pc:Terms" minOccurs="0" maxOccurs="1"/>
        </xsd:sequence>
      </xsd:complexType>
    </xsd:element>
    <xsd:element name="TaxCatchAllLabel" ma:index="31" nillable="true" ma:displayName="Taxonomy Catch All Column1" ma:description="" ma:hidden="true" ma:list="{ea5496a5-a8eb-4322-b0a5-395596748c3f}" ma:internalName="TaxCatchAllLabel" ma:readOnly="true" ma:showField="CatchAllDataLabel" ma:web="1eee4ddb-a1f9-40b8-9282-d53ea582adeb">
      <xsd:complexType>
        <xsd:complexContent>
          <xsd:extension base="dms:MultiChoiceLookup">
            <xsd:sequence>
              <xsd:element name="Value" type="dms:Lookup" maxOccurs="unbounded" minOccurs="0" nillable="true"/>
            </xsd:sequence>
          </xsd:extension>
        </xsd:complexContent>
      </xsd:complexType>
    </xsd:element>
    <xsd:element name="kcf4eeeda3c84b5b986ab6be7add1d2a" ma:index="32" nillable="true" ma:taxonomy="true" ma:internalName="kcf4eeeda3c84b5b986ab6be7add1d2a" ma:taxonomyFieldName="Document_x0020_Subject" ma:displayName="Document Subject" ma:default="" ma:fieldId="{4cf4eeed-a3c8-4b5b-986a-b6be7add1d2a}" ma:sspId="92743a9e-59ef-4080-9313-9c8ffbdd1a8b" ma:termSetId="4ef993e0-8a5b-4aa8-8f46-c709cbc36fc3"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0"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3" ma:displayName="Author"/>
        <xsd:element ref="dcterms:created" minOccurs="0" maxOccurs="1"/>
        <xsd:element ref="dc:identifier" minOccurs="0" maxOccurs="1"/>
        <xsd:element name="contentType" minOccurs="0" maxOccurs="1" type="xsd:string" ma:index="27"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0DBF76D-E100-4CAF-AC86-8A28D95B428D}">
  <ds:schemaRefs>
    <ds:schemaRef ds:uri="http://schemas.microsoft.com/sharepoint/v3/contenttype/forms"/>
  </ds:schemaRefs>
</ds:datastoreItem>
</file>

<file path=customXml/itemProps2.xml><?xml version="1.0" encoding="utf-8"?>
<ds:datastoreItem xmlns:ds="http://schemas.openxmlformats.org/officeDocument/2006/customXml" ds:itemID="{E4E4DBE8-53F5-4CA5-B9FA-5AF47F9CA267}">
  <ds:schemaRefs>
    <ds:schemaRef ds:uri="http://schemas.microsoft.com/sharepoint/v3"/>
    <ds:schemaRef ds:uri="http://schemas.microsoft.com/office/infopath/2007/PartnerControls"/>
    <ds:schemaRef ds:uri="http://purl.org/dc/elements/1.1/"/>
    <ds:schemaRef ds:uri="http://schemas.microsoft.com/office/2006/documentManagement/types"/>
    <ds:schemaRef ds:uri="http://www.w3.org/XML/1998/namespace"/>
    <ds:schemaRef ds:uri="http://purl.org/dc/terms/"/>
    <ds:schemaRef ds:uri="http://schemas.microsoft.com/office/2006/metadata/properties"/>
    <ds:schemaRef ds:uri="http://schemas.openxmlformats.org/package/2006/metadata/core-properties"/>
    <ds:schemaRef ds:uri="http://purl.org/dc/dcmitype/"/>
    <ds:schemaRef ds:uri="http://schemas.microsoft.com/sharepoint/v4"/>
    <ds:schemaRef ds:uri="1eee4ddb-a1f9-40b8-9282-d53ea582adeb"/>
  </ds:schemaRefs>
</ds:datastoreItem>
</file>

<file path=customXml/itemProps3.xml><?xml version="1.0" encoding="utf-8"?>
<ds:datastoreItem xmlns:ds="http://schemas.openxmlformats.org/officeDocument/2006/customXml" ds:itemID="{7972AB96-8A7C-4527-A925-D8556B519B15}">
  <ds:schemaRefs>
    <ds:schemaRef ds:uri="http://schemas.openxmlformats.org/officeDocument/2006/bibliography"/>
  </ds:schemaRefs>
</ds:datastoreItem>
</file>

<file path=customXml/itemProps4.xml><?xml version="1.0" encoding="utf-8"?>
<ds:datastoreItem xmlns:ds="http://schemas.openxmlformats.org/officeDocument/2006/customXml" ds:itemID="{4A4D6C5C-F7B0-4569-96FA-0B5ABD778444}">
  <ds:schemaRefs>
    <ds:schemaRef ds:uri="http://schemas.microsoft.com/office/2006/metadata/customXsn"/>
  </ds:schemaRefs>
</ds:datastoreItem>
</file>

<file path=customXml/itemProps5.xml><?xml version="1.0" encoding="utf-8"?>
<ds:datastoreItem xmlns:ds="http://schemas.openxmlformats.org/officeDocument/2006/customXml" ds:itemID="{8703EBB5-3234-41E3-86AF-CE9F267131D7}">
  <ds:schemaRefs>
    <ds:schemaRef ds:uri="http://schemas.microsoft.com/sharepoint/events"/>
  </ds:schemaRefs>
</ds:datastoreItem>
</file>

<file path=customXml/itemProps6.xml><?xml version="1.0" encoding="utf-8"?>
<ds:datastoreItem xmlns:ds="http://schemas.openxmlformats.org/officeDocument/2006/customXml" ds:itemID="{4476CF51-CDCF-4024-AD48-48499F22CC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eee4ddb-a1f9-40b8-9282-d53ea582adeb"/>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