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04FD0" w:rsidRPr="00E04FD0" w:rsidP="00E04FD0">
      <w:pPr>
        <w:keepNext/>
        <w:keepLines/>
        <w:spacing w:before="240" w:after="0"/>
        <w:jc w:val="right"/>
        <w:outlineLvl w:val="0"/>
        <w:rPr>
          <w:rFonts w:asciiTheme="majorHAnsi" w:eastAsiaTheme="majorEastAsia" w:hAnsiTheme="majorHAnsi" w:cstheme="majorBidi"/>
          <w:color w:val="2F5496" w:themeColor="accent1" w:themeShade="BF"/>
          <w:sz w:val="32"/>
          <w:szCs w:val="32"/>
          <w:lang w:eastAsia="en-GB"/>
        </w:rPr>
      </w:pPr>
      <w:bookmarkStart w:id="0" w:name="_GoBack"/>
      <w:bookmarkEnd w:id="0"/>
      <w:r w:rsidRPr="00E04FD0">
        <w:rPr>
          <w:rFonts w:asciiTheme="majorHAnsi" w:eastAsiaTheme="majorEastAsia" w:hAnsiTheme="majorHAnsi" w:cstheme="majorBidi"/>
          <w:color w:val="2F5496" w:themeColor="accent1" w:themeShade="BF"/>
          <w:sz w:val="32"/>
          <w:szCs w:val="32"/>
          <w:lang w:eastAsia="en-GB"/>
        </w:rPr>
        <w:t>Annex B</w:t>
      </w:r>
    </w:p>
    <w:p w:rsidR="00E04FD0" w:rsidRPr="00E04FD0" w:rsidP="00E04FD0">
      <w:pPr>
        <w:keepNext/>
        <w:keepLines/>
        <w:spacing w:before="240" w:after="0"/>
        <w:outlineLvl w:val="0"/>
        <w:rPr>
          <w:rFonts w:asciiTheme="majorHAnsi" w:eastAsiaTheme="majorEastAsia" w:hAnsiTheme="majorHAnsi" w:cstheme="majorBidi"/>
          <w:color w:val="2F5496" w:themeColor="accent1" w:themeShade="BF"/>
          <w:sz w:val="32"/>
          <w:szCs w:val="32"/>
          <w:lang w:eastAsia="en-GB"/>
        </w:rPr>
      </w:pPr>
      <w:r w:rsidRPr="00E04FD0">
        <w:rPr>
          <w:rFonts w:asciiTheme="majorHAnsi" w:eastAsiaTheme="majorEastAsia" w:hAnsiTheme="majorHAnsi" w:cstheme="majorBidi"/>
          <w:color w:val="2F5496" w:themeColor="accent1" w:themeShade="BF"/>
          <w:sz w:val="32"/>
          <w:szCs w:val="32"/>
          <w:lang w:eastAsia="en-GB"/>
        </w:rPr>
        <w:t>Armed Forces Pension &amp; Compensation Schemes</w:t>
      </w:r>
    </w:p>
    <w:p w:rsidR="00E04FD0" w:rsidRPr="00E04FD0" w:rsidP="00E04FD0">
      <w:pPr>
        <w:keepNext/>
        <w:keepLines/>
        <w:spacing w:before="240" w:after="0"/>
        <w:outlineLvl w:val="0"/>
        <w:rPr>
          <w:rFonts w:asciiTheme="majorHAnsi" w:eastAsiaTheme="majorEastAsia" w:hAnsiTheme="majorHAnsi" w:cstheme="majorBidi"/>
          <w:color w:val="2F5496" w:themeColor="accent1" w:themeShade="BF"/>
          <w:sz w:val="32"/>
          <w:szCs w:val="32"/>
        </w:rPr>
      </w:pPr>
      <w:r w:rsidRPr="00E04FD0">
        <w:rPr>
          <w:rFonts w:asciiTheme="majorHAnsi" w:eastAsiaTheme="majorEastAsia" w:hAnsiTheme="majorHAnsi" w:cstheme="majorBidi"/>
          <w:color w:val="2F5496" w:themeColor="accent1" w:themeShade="BF"/>
          <w:sz w:val="32"/>
          <w:szCs w:val="32"/>
        </w:rPr>
        <w:t xml:space="preserve">Main Estimate 2021-22: Estimates Memorandum </w:t>
      </w:r>
    </w:p>
    <w:p w:rsidR="00E04FD0" w:rsidRPr="00E04FD0" w:rsidP="00E04FD0">
      <w:pPr>
        <w:keepNext/>
        <w:keepLines/>
        <w:spacing w:before="40" w:after="0"/>
        <w:outlineLvl w:val="1"/>
        <w:rPr>
          <w:rFonts w:asciiTheme="majorHAnsi" w:eastAsiaTheme="majorEastAsia" w:hAnsiTheme="majorHAnsi" w:cstheme="majorBidi"/>
          <w:color w:val="2F5496" w:themeColor="accent1" w:themeShade="BF"/>
          <w:sz w:val="28"/>
          <w:szCs w:val="28"/>
        </w:rPr>
      </w:pPr>
    </w:p>
    <w:p w:rsidR="00E04FD0" w:rsidRPr="00E04FD0" w:rsidP="00E04FD0">
      <w:pPr>
        <w:keepNext/>
        <w:keepLines/>
        <w:spacing w:after="0" w:line="240" w:lineRule="auto"/>
        <w:outlineLvl w:val="1"/>
        <w:rPr>
          <w:rFonts w:asciiTheme="majorHAnsi" w:eastAsiaTheme="majorEastAsia" w:hAnsiTheme="majorHAnsi" w:cstheme="majorBidi"/>
          <w:color w:val="2F5496" w:themeColor="accent1" w:themeShade="BF"/>
          <w:sz w:val="28"/>
          <w:szCs w:val="28"/>
        </w:rPr>
      </w:pPr>
      <w:r w:rsidRPr="00E04FD0">
        <w:rPr>
          <w:rFonts w:asciiTheme="majorHAnsi" w:eastAsiaTheme="majorEastAsia" w:hAnsiTheme="majorHAnsi" w:cstheme="majorBidi"/>
          <w:color w:val="2F5496" w:themeColor="accent1" w:themeShade="BF"/>
          <w:sz w:val="28"/>
          <w:szCs w:val="28"/>
        </w:rPr>
        <w:t>1</w:t>
      </w:r>
      <w:r w:rsidRPr="00E04FD0">
        <w:rPr>
          <w:rFonts w:asciiTheme="majorHAnsi" w:eastAsiaTheme="majorEastAsia" w:hAnsiTheme="majorHAnsi" w:cstheme="majorBidi"/>
          <w:color w:val="2F5496" w:themeColor="accent1" w:themeShade="BF"/>
          <w:sz w:val="28"/>
          <w:szCs w:val="28"/>
        </w:rPr>
        <w:tab/>
        <w:t>Overview</w:t>
      </w:r>
    </w:p>
    <w:p w:rsidR="00E04FD0" w:rsidRPr="00E04FD0" w:rsidP="00E04FD0">
      <w:pPr>
        <w:keepNext/>
        <w:keepLines/>
        <w:spacing w:after="0" w:line="240" w:lineRule="auto"/>
        <w:outlineLvl w:val="1"/>
        <w:rPr>
          <w:rFonts w:asciiTheme="majorHAnsi" w:eastAsiaTheme="majorEastAsia" w:hAnsiTheme="majorHAnsi" w:cstheme="majorBidi"/>
          <w:color w:val="2F5496" w:themeColor="accent1" w:themeShade="BF"/>
        </w:rPr>
      </w:pPr>
    </w:p>
    <w:p w:rsidR="00E04FD0" w:rsidRPr="00E04FD0" w:rsidP="00E04FD0">
      <w:pPr>
        <w:keepNext/>
        <w:keepLines/>
        <w:spacing w:after="0" w:line="240" w:lineRule="auto"/>
        <w:outlineLvl w:val="1"/>
        <w:rPr>
          <w:rFonts w:asciiTheme="majorHAnsi" w:eastAsiaTheme="majorEastAsia" w:hAnsiTheme="majorHAnsi" w:cstheme="majorBidi"/>
          <w:color w:val="2F5496" w:themeColor="accent1" w:themeShade="BF"/>
          <w:sz w:val="28"/>
          <w:szCs w:val="28"/>
        </w:rPr>
      </w:pPr>
      <w:r w:rsidRPr="00E04FD0">
        <w:rPr>
          <w:rFonts w:asciiTheme="majorHAnsi" w:eastAsiaTheme="majorEastAsia" w:hAnsiTheme="majorHAnsi" w:cstheme="majorBidi"/>
          <w:color w:val="2F5496" w:themeColor="accent1" w:themeShade="BF"/>
          <w:sz w:val="28"/>
          <w:szCs w:val="28"/>
        </w:rPr>
        <w:t xml:space="preserve">1.1 </w:t>
      </w:r>
      <w:r w:rsidRPr="00E04FD0">
        <w:rPr>
          <w:rFonts w:asciiTheme="majorHAnsi" w:eastAsiaTheme="majorEastAsia" w:hAnsiTheme="majorHAnsi" w:cstheme="majorBidi"/>
          <w:color w:val="2F5496" w:themeColor="accent1" w:themeShade="BF"/>
          <w:sz w:val="28"/>
          <w:szCs w:val="28"/>
        </w:rPr>
        <w:tab/>
        <w:t>Objectives</w:t>
      </w:r>
    </w:p>
    <w:p w:rsidR="00E04FD0" w:rsidRPr="00E04FD0" w:rsidP="00E04FD0">
      <w:pPr>
        <w:autoSpaceDE w:val="0"/>
        <w:autoSpaceDN w:val="0"/>
        <w:adjustRightInd w:val="0"/>
        <w:spacing w:after="0" w:line="240" w:lineRule="auto"/>
        <w:rPr>
          <w:rFonts w:ascii="Arial" w:hAnsi="Arial" w:eastAsiaTheme="minorEastAsia" w:cs="Arial"/>
          <w:color w:val="000000"/>
        </w:rPr>
      </w:pPr>
    </w:p>
    <w:p w:rsidR="00E04FD0" w:rsidRPr="00E04FD0" w:rsidP="00E04FD0">
      <w:pPr>
        <w:autoSpaceDE w:val="0"/>
        <w:autoSpaceDN w:val="0"/>
        <w:adjustRightInd w:val="0"/>
        <w:spacing w:after="0" w:line="240" w:lineRule="auto"/>
        <w:rPr>
          <w:rFonts w:eastAsiaTheme="minorEastAsia"/>
        </w:rPr>
      </w:pPr>
      <w:r w:rsidRPr="00E04FD0">
        <w:rPr>
          <w:rFonts w:eastAsiaTheme="minorEastAsia"/>
        </w:rPr>
        <w:t xml:space="preserve">The Armed Forces Pension Scheme (AFPS), incorporating the Armed Forces Compensation Scheme (AFCS), is an unfunded defined benefit scheme, in which payments to pensioners are funded by employer contributions, with the shortfall being financed by the Exchequer. The AFPS is free to its members, and therefore, the scheme receives no employee contributions. The AFCS provides compensation for injury, illness and death that are caused by service on or after 6 April 2005.  </w:t>
      </w:r>
    </w:p>
    <w:p w:rsidR="00E04FD0" w:rsidRPr="00E04FD0" w:rsidP="00E04FD0">
      <w:pPr>
        <w:keepNext/>
        <w:keepLines/>
        <w:spacing w:after="0" w:line="240" w:lineRule="auto"/>
        <w:outlineLvl w:val="1"/>
        <w:rPr>
          <w:rFonts w:asciiTheme="majorHAnsi" w:eastAsiaTheme="majorEastAsia" w:hAnsiTheme="majorHAnsi" w:cstheme="majorBidi"/>
          <w:color w:val="2F5496" w:themeColor="accent1" w:themeShade="BF"/>
        </w:rPr>
      </w:pPr>
    </w:p>
    <w:p w:rsidR="00E04FD0" w:rsidRPr="00E04FD0" w:rsidP="00E04FD0">
      <w:pPr>
        <w:keepNext/>
        <w:keepLines/>
        <w:spacing w:after="0" w:line="240" w:lineRule="auto"/>
        <w:outlineLvl w:val="1"/>
        <w:rPr>
          <w:rFonts w:asciiTheme="majorHAnsi" w:eastAsiaTheme="majorEastAsia" w:hAnsiTheme="majorHAnsi" w:cstheme="majorBidi"/>
          <w:color w:val="2F5496" w:themeColor="accent1" w:themeShade="BF"/>
          <w:sz w:val="28"/>
          <w:szCs w:val="28"/>
        </w:rPr>
      </w:pPr>
      <w:r w:rsidRPr="00E04FD0">
        <w:rPr>
          <w:rFonts w:asciiTheme="majorHAnsi" w:eastAsiaTheme="majorEastAsia" w:hAnsiTheme="majorHAnsi" w:cstheme="majorBidi"/>
          <w:color w:val="2F5496" w:themeColor="accent1" w:themeShade="BF"/>
          <w:sz w:val="28"/>
          <w:szCs w:val="28"/>
        </w:rPr>
        <w:t xml:space="preserve">1.2 </w:t>
      </w:r>
      <w:r w:rsidRPr="00E04FD0">
        <w:rPr>
          <w:rFonts w:asciiTheme="majorHAnsi" w:eastAsiaTheme="majorEastAsia" w:hAnsiTheme="majorHAnsi" w:cstheme="majorBidi"/>
          <w:color w:val="2F5496" w:themeColor="accent1" w:themeShade="BF"/>
          <w:sz w:val="28"/>
          <w:szCs w:val="28"/>
        </w:rPr>
        <w:tab/>
        <w:t>Spending controls</w:t>
      </w:r>
    </w:p>
    <w:p w:rsidR="00E04FD0" w:rsidRPr="00E04FD0" w:rsidP="00E04FD0">
      <w:pPr>
        <w:autoSpaceDE w:val="0"/>
        <w:autoSpaceDN w:val="0"/>
        <w:adjustRightInd w:val="0"/>
        <w:spacing w:after="0" w:line="240" w:lineRule="auto"/>
        <w:rPr>
          <w:rFonts w:eastAsiaTheme="minorEastAsia"/>
        </w:rPr>
      </w:pPr>
    </w:p>
    <w:p w:rsidR="00E04FD0" w:rsidRPr="00E04FD0" w:rsidP="00E04FD0">
      <w:pPr>
        <w:autoSpaceDE w:val="0"/>
        <w:autoSpaceDN w:val="0"/>
        <w:adjustRightInd w:val="0"/>
        <w:spacing w:after="0" w:line="240" w:lineRule="auto"/>
        <w:rPr>
          <w:rFonts w:eastAsiaTheme="minorEastAsia"/>
        </w:rPr>
      </w:pPr>
      <w:r w:rsidRPr="00E04FD0">
        <w:rPr>
          <w:rFonts w:eastAsiaTheme="minorEastAsia"/>
        </w:rPr>
        <w:t xml:space="preserve">The AFPS budgets are not subject to pre-set Departmental Expenditure Limit (DEL) control totals; they sit within a category of spending known as Resource Annually Managed Expenditure (AME), which can be revised and reforecast regularly. This is because net expenditure and cash payments are largely outside the control of the scheme administrators on a day to day basis, instead being affected by factors such as membership numbers; salary levels; mortality rates; the age profile of members, and annual pension increases. </w:t>
      </w:r>
    </w:p>
    <w:p w:rsidR="00E04FD0" w:rsidRPr="00E04FD0" w:rsidP="00E04FD0">
      <w:pPr>
        <w:autoSpaceDE w:val="0"/>
        <w:autoSpaceDN w:val="0"/>
        <w:adjustRightInd w:val="0"/>
        <w:spacing w:after="0" w:line="240" w:lineRule="auto"/>
        <w:rPr>
          <w:rFonts w:eastAsiaTheme="minorEastAsia"/>
        </w:rPr>
      </w:pPr>
    </w:p>
    <w:p w:rsidR="00E04FD0" w:rsidRPr="00E04FD0" w:rsidP="00E04FD0">
      <w:pPr>
        <w:autoSpaceDE w:val="0"/>
        <w:autoSpaceDN w:val="0"/>
        <w:adjustRightInd w:val="0"/>
        <w:spacing w:after="0" w:line="240" w:lineRule="auto"/>
        <w:rPr>
          <w:rFonts w:eastAsiaTheme="minorEastAsia"/>
        </w:rPr>
      </w:pPr>
      <w:r w:rsidRPr="00E04FD0">
        <w:rPr>
          <w:rFonts w:eastAsiaTheme="minorEastAsia"/>
        </w:rPr>
        <w:t xml:space="preserve">The </w:t>
      </w:r>
      <w:r w:rsidRPr="00E04FD0">
        <w:rPr>
          <w:rFonts w:eastAsiaTheme="minorEastAsia"/>
          <w:b/>
        </w:rPr>
        <w:t>Resource AME</w:t>
      </w:r>
      <w:r w:rsidRPr="00E04FD0">
        <w:rPr>
          <w:rFonts w:eastAsiaTheme="minorEastAsia"/>
        </w:rPr>
        <w:t xml:space="preserve"> sought under the AFPS Estimate is essentially the amount by which liabilities under the pension scheme are estimated to increase during the year, less the contributions paid by employer towards those liabilities.</w:t>
      </w:r>
    </w:p>
    <w:p w:rsidR="00E04FD0" w:rsidRPr="00E04FD0" w:rsidP="00E04FD0">
      <w:pPr>
        <w:autoSpaceDE w:val="0"/>
        <w:autoSpaceDN w:val="0"/>
        <w:adjustRightInd w:val="0"/>
        <w:spacing w:after="0" w:line="240" w:lineRule="auto"/>
        <w:rPr>
          <w:rFonts w:eastAsiaTheme="minorEastAsia"/>
        </w:rPr>
      </w:pPr>
    </w:p>
    <w:p w:rsidR="00E04FD0" w:rsidRPr="00E04FD0" w:rsidP="00E04FD0">
      <w:pPr>
        <w:autoSpaceDE w:val="0"/>
        <w:autoSpaceDN w:val="0"/>
        <w:adjustRightInd w:val="0"/>
        <w:spacing w:after="0" w:line="240" w:lineRule="auto"/>
        <w:rPr>
          <w:rFonts w:eastAsiaTheme="minorEastAsia"/>
        </w:rPr>
      </w:pPr>
      <w:r w:rsidRPr="00E04FD0">
        <w:rPr>
          <w:rFonts w:eastAsiaTheme="minorEastAsia"/>
        </w:rPr>
        <w:t xml:space="preserve">In addition, the </w:t>
      </w:r>
      <w:r w:rsidRPr="00E04FD0">
        <w:rPr>
          <w:rFonts w:eastAsiaTheme="minorEastAsia"/>
          <w:b/>
        </w:rPr>
        <w:t>net cash requirement</w:t>
      </w:r>
      <w:r w:rsidRPr="00E04FD0">
        <w:rPr>
          <w:rFonts w:eastAsiaTheme="minorEastAsia"/>
        </w:rPr>
        <w:t xml:space="preserve"> represents the estimated net cash required for the year to cover payments of pensions, after taking account of estimated contributions and transfer values paid in. Over time, these amounts are intended to balance, but in a particular year they will not.  A negative value means that more is forecast to be received than paid in year. </w:t>
      </w:r>
    </w:p>
    <w:p w:rsidR="00E04FD0" w:rsidRPr="00E04FD0" w:rsidP="00E04FD0">
      <w:pPr>
        <w:autoSpaceDE w:val="0"/>
        <w:autoSpaceDN w:val="0"/>
        <w:adjustRightInd w:val="0"/>
        <w:spacing w:after="51" w:line="240" w:lineRule="auto"/>
        <w:rPr>
          <w:rFonts w:eastAsiaTheme="minorEastAsia"/>
        </w:rPr>
      </w:pPr>
    </w:p>
    <w:p w:rsidR="00E04FD0" w:rsidRPr="00E04FD0" w:rsidP="00E04FD0">
      <w:pPr>
        <w:keepNext/>
        <w:keepLines/>
        <w:spacing w:after="0" w:line="240" w:lineRule="auto"/>
        <w:outlineLvl w:val="1"/>
        <w:rPr>
          <w:rFonts w:asciiTheme="majorHAnsi" w:eastAsiaTheme="majorEastAsia" w:hAnsiTheme="majorHAnsi" w:cstheme="majorBidi"/>
          <w:color w:val="2F5496" w:themeColor="accent1" w:themeShade="BF"/>
          <w:sz w:val="28"/>
          <w:szCs w:val="28"/>
        </w:rPr>
      </w:pPr>
      <w:r w:rsidRPr="00E04FD0">
        <w:rPr>
          <w:rFonts w:asciiTheme="majorHAnsi" w:eastAsiaTheme="majorEastAsia" w:hAnsiTheme="majorHAnsi" w:cstheme="majorBidi"/>
          <w:color w:val="2F5496" w:themeColor="accent1" w:themeShade="BF"/>
          <w:sz w:val="28"/>
          <w:szCs w:val="28"/>
        </w:rPr>
        <w:t xml:space="preserve">1.3 </w:t>
      </w:r>
      <w:r w:rsidRPr="00E04FD0">
        <w:rPr>
          <w:rFonts w:asciiTheme="majorHAnsi" w:eastAsiaTheme="majorEastAsia" w:hAnsiTheme="majorHAnsi" w:cstheme="majorBidi"/>
          <w:color w:val="2F5496" w:themeColor="accent1" w:themeShade="BF"/>
          <w:sz w:val="28"/>
          <w:szCs w:val="28"/>
        </w:rPr>
        <w:tab/>
        <w:t xml:space="preserve">Comparison of net spending totals sought </w:t>
      </w:r>
    </w:p>
    <w:p w:rsidR="00E04FD0" w:rsidRPr="00E04FD0" w:rsidP="00E04FD0">
      <w:pPr>
        <w:shd w:val="clear" w:color="auto" w:fill="FFFFFF"/>
        <w:spacing w:after="0" w:line="240" w:lineRule="auto"/>
        <w:rPr>
          <w:rFonts w:eastAsiaTheme="minorEastAsia"/>
          <w:noProof/>
        </w:rPr>
      </w:pPr>
    </w:p>
    <w:p w:rsidR="00E04FD0" w:rsidRPr="00E04FD0" w:rsidP="00E04FD0">
      <w:pPr>
        <w:shd w:val="clear" w:color="auto" w:fill="FFFFFF"/>
        <w:spacing w:after="0" w:line="240" w:lineRule="auto"/>
        <w:rPr>
          <w:rFonts w:eastAsiaTheme="minorEastAsia"/>
          <w:noProof/>
        </w:rPr>
      </w:pPr>
      <w:r w:rsidRPr="00E04FD0">
        <w:rPr>
          <w:rFonts w:eastAsiaTheme="minorEastAsia"/>
          <w:noProof/>
        </w:rPr>
        <w:t>The table below show how the totals sought for the AFPS compares with last year:</w:t>
      </w:r>
    </w:p>
    <w:p w:rsidR="00E04FD0" w:rsidRPr="00E04FD0" w:rsidP="00E04FD0">
      <w:pPr>
        <w:shd w:val="clear" w:color="auto" w:fill="FFFFFF"/>
        <w:spacing w:after="0" w:line="240" w:lineRule="auto"/>
        <w:rPr>
          <w:rFonts w:eastAsiaTheme="minorEastAsia"/>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25"/>
        <w:gridCol w:w="1402"/>
        <w:gridCol w:w="1549"/>
        <w:gridCol w:w="1402"/>
        <w:gridCol w:w="1637"/>
        <w:gridCol w:w="1401"/>
      </w:tblGrid>
      <w:tr w:rsidTr="00DC627F">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1248"/>
        </w:trPr>
        <w:tc>
          <w:tcPr>
            <w:tcW w:w="3027" w:type="dxa"/>
            <w:gridSpan w:val="2"/>
            <w:vMerge w:val="restart"/>
          </w:tcPr>
          <w:p w:rsidR="00E04FD0" w:rsidRPr="00E04FD0" w:rsidP="00E04FD0">
            <w:pPr>
              <w:rPr>
                <w:rFonts w:eastAsiaTheme="minorEastAsia"/>
                <w:b/>
              </w:rPr>
            </w:pPr>
            <w:r w:rsidRPr="00E04FD0">
              <w:rPr>
                <w:rFonts w:eastAsiaTheme="minorEastAsia"/>
                <w:b/>
              </w:rPr>
              <w:t>Net Spending total</w:t>
            </w:r>
          </w:p>
          <w:p w:rsidR="00E04FD0" w:rsidRPr="00E04FD0" w:rsidP="00E04FD0">
            <w:pPr>
              <w:rPr>
                <w:rFonts w:eastAsiaTheme="minorEastAsia"/>
                <w:b/>
              </w:rPr>
            </w:pPr>
            <w:r w:rsidRPr="00E04FD0">
              <w:rPr>
                <w:rFonts w:eastAsiaTheme="minorEastAsia"/>
                <w:b/>
              </w:rPr>
              <w:t>Amounts sought this year</w:t>
            </w:r>
          </w:p>
          <w:p w:rsidR="00E04FD0" w:rsidRPr="00E04FD0" w:rsidP="00E04FD0">
            <w:pPr>
              <w:rPr>
                <w:rFonts w:ascii="Verdana" w:hAnsi="Verdana" w:eastAsiaTheme="minorEastAsia"/>
                <w:b/>
                <w:color w:val="333333"/>
                <w:sz w:val="19"/>
                <w:szCs w:val="19"/>
              </w:rPr>
            </w:pPr>
            <w:r w:rsidRPr="00E04FD0">
              <w:rPr>
                <w:rFonts w:eastAsiaTheme="minorEastAsia"/>
                <w:b/>
              </w:rPr>
              <w:t>(Main Estimate 2021-22)</w:t>
            </w:r>
          </w:p>
        </w:tc>
        <w:tc>
          <w:tcPr>
            <w:tcW w:w="2951" w:type="dxa"/>
            <w:gridSpan w:val="2"/>
          </w:tcPr>
          <w:p w:rsidR="00E04FD0" w:rsidRPr="00E04FD0" w:rsidP="00E04FD0">
            <w:pPr>
              <w:rPr>
                <w:rFonts w:eastAsiaTheme="minorEastAsia"/>
                <w:b/>
              </w:rPr>
            </w:pPr>
            <w:r w:rsidRPr="00E04FD0">
              <w:rPr>
                <w:rFonts w:eastAsiaTheme="minorEastAsia"/>
                <w:b/>
              </w:rPr>
              <w:t xml:space="preserve">Compared to final budget last year </w:t>
            </w:r>
          </w:p>
          <w:p w:rsidR="00E04FD0" w:rsidRPr="00E04FD0" w:rsidP="00E04FD0">
            <w:pPr>
              <w:rPr>
                <w:rFonts w:eastAsiaTheme="minorEastAsia"/>
                <w:b/>
              </w:rPr>
            </w:pPr>
            <w:r w:rsidRPr="00E04FD0">
              <w:rPr>
                <w:rFonts w:eastAsiaTheme="minorEastAsia"/>
                <w:b/>
              </w:rPr>
              <w:t>(Supplementary Estimate 2020-21)</w:t>
            </w:r>
          </w:p>
        </w:tc>
        <w:tc>
          <w:tcPr>
            <w:tcW w:w="3038" w:type="dxa"/>
            <w:gridSpan w:val="2"/>
          </w:tcPr>
          <w:p w:rsidR="00E04FD0" w:rsidRPr="00E04FD0" w:rsidP="00E04FD0">
            <w:pPr>
              <w:rPr>
                <w:rFonts w:eastAsiaTheme="minorEastAsia"/>
                <w:b/>
              </w:rPr>
            </w:pPr>
            <w:r w:rsidRPr="00E04FD0">
              <w:rPr>
                <w:rFonts w:eastAsiaTheme="minorEastAsia"/>
                <w:b/>
              </w:rPr>
              <w:t xml:space="preserve">Compared to original budget last year </w:t>
            </w:r>
          </w:p>
          <w:p w:rsidR="00E04FD0" w:rsidRPr="00E04FD0" w:rsidP="00E04FD0">
            <w:pPr>
              <w:rPr>
                <w:rFonts w:ascii="Verdana" w:hAnsi="Verdana" w:eastAsiaTheme="minorEastAsia"/>
                <w:b/>
                <w:color w:val="333333"/>
                <w:sz w:val="19"/>
                <w:szCs w:val="19"/>
              </w:rPr>
            </w:pPr>
            <w:r w:rsidRPr="00E04FD0">
              <w:rPr>
                <w:rFonts w:eastAsiaTheme="minorEastAsia"/>
                <w:b/>
              </w:rPr>
              <w:t>(Main Estimate 2020-21)</w:t>
            </w:r>
          </w:p>
        </w:tc>
      </w:tr>
      <w:tr w:rsidTr="00DC627F">
        <w:tblPrEx>
          <w:tblW w:w="0" w:type="auto"/>
          <w:tblLook w:val="04A0"/>
        </w:tblPrEx>
        <w:tc>
          <w:tcPr>
            <w:tcW w:w="3027" w:type="dxa"/>
            <w:gridSpan w:val="2"/>
            <w:vMerge/>
          </w:tcPr>
          <w:p w:rsidR="00E04FD0" w:rsidRPr="00E04FD0" w:rsidP="00E04FD0">
            <w:pPr>
              <w:rPr>
                <w:rFonts w:ascii="Verdana" w:hAnsi="Verdana" w:eastAsiaTheme="minorEastAsia"/>
                <w:color w:val="333333"/>
                <w:sz w:val="19"/>
                <w:szCs w:val="19"/>
              </w:rPr>
            </w:pPr>
          </w:p>
        </w:tc>
        <w:tc>
          <w:tcPr>
            <w:tcW w:w="1549" w:type="dxa"/>
          </w:tcPr>
          <w:p w:rsidR="00E04FD0" w:rsidRPr="00E04FD0" w:rsidP="00E04FD0">
            <w:pPr>
              <w:rPr>
                <w:rFonts w:ascii="Verdana" w:hAnsi="Verdana" w:eastAsiaTheme="minorEastAsia"/>
                <w:color w:val="333333"/>
                <w:sz w:val="19"/>
                <w:szCs w:val="19"/>
              </w:rPr>
            </w:pPr>
            <w:r w:rsidRPr="00E04FD0">
              <w:rPr>
                <w:rFonts w:ascii="Verdana" w:hAnsi="Verdana" w:eastAsiaTheme="minorEastAsia"/>
                <w:b/>
                <w:color w:val="333333"/>
                <w:sz w:val="19"/>
                <w:szCs w:val="19"/>
              </w:rPr>
              <w:t>£ m</w:t>
            </w:r>
          </w:p>
        </w:tc>
        <w:tc>
          <w:tcPr>
            <w:tcW w:w="1402" w:type="dxa"/>
          </w:tcPr>
          <w:p w:rsidR="00E04FD0" w:rsidRPr="00E04FD0" w:rsidP="00E04FD0">
            <w:pPr>
              <w:rPr>
                <w:rFonts w:ascii="Verdana" w:hAnsi="Verdana" w:eastAsiaTheme="minorEastAsia"/>
                <w:color w:val="333333"/>
                <w:sz w:val="19"/>
                <w:szCs w:val="19"/>
              </w:rPr>
            </w:pPr>
            <w:r w:rsidRPr="00E04FD0">
              <w:rPr>
                <w:rFonts w:ascii="Verdana" w:hAnsi="Verdana" w:eastAsiaTheme="minorEastAsia"/>
                <w:b/>
                <w:color w:val="333333"/>
                <w:sz w:val="19"/>
                <w:szCs w:val="19"/>
              </w:rPr>
              <w:t>%</w:t>
            </w:r>
          </w:p>
        </w:tc>
        <w:tc>
          <w:tcPr>
            <w:tcW w:w="1637" w:type="dxa"/>
          </w:tcPr>
          <w:p w:rsidR="00E04FD0" w:rsidRPr="00E04FD0" w:rsidP="00E04FD0">
            <w:pPr>
              <w:rPr>
                <w:rFonts w:ascii="Verdana" w:hAnsi="Verdana" w:eastAsiaTheme="minorEastAsia"/>
                <w:color w:val="333333"/>
                <w:sz w:val="19"/>
                <w:szCs w:val="19"/>
              </w:rPr>
            </w:pPr>
            <w:r w:rsidRPr="00E04FD0">
              <w:rPr>
                <w:rFonts w:ascii="Verdana" w:hAnsi="Verdana" w:eastAsiaTheme="minorEastAsia"/>
                <w:b/>
                <w:color w:val="333333"/>
                <w:sz w:val="19"/>
                <w:szCs w:val="19"/>
              </w:rPr>
              <w:t>£m</w:t>
            </w:r>
          </w:p>
        </w:tc>
        <w:tc>
          <w:tcPr>
            <w:tcW w:w="1401" w:type="dxa"/>
          </w:tcPr>
          <w:p w:rsidR="00E04FD0" w:rsidRPr="00E04FD0" w:rsidP="00E04FD0">
            <w:pPr>
              <w:rPr>
                <w:rFonts w:ascii="Verdana" w:hAnsi="Verdana" w:eastAsiaTheme="minorEastAsia"/>
                <w:color w:val="333333"/>
                <w:sz w:val="19"/>
                <w:szCs w:val="19"/>
              </w:rPr>
            </w:pPr>
            <w:r w:rsidRPr="00E04FD0">
              <w:rPr>
                <w:rFonts w:ascii="Verdana" w:hAnsi="Verdana" w:eastAsiaTheme="minorEastAsia"/>
                <w:b/>
                <w:color w:val="333333"/>
                <w:sz w:val="19"/>
                <w:szCs w:val="19"/>
              </w:rPr>
              <w:t>%</w:t>
            </w:r>
          </w:p>
        </w:tc>
      </w:tr>
      <w:tr w:rsidTr="00DC627F">
        <w:tblPrEx>
          <w:tblW w:w="0" w:type="auto"/>
          <w:tblLook w:val="04A0"/>
        </w:tblPrEx>
        <w:tc>
          <w:tcPr>
            <w:tcW w:w="1625" w:type="dxa"/>
          </w:tcPr>
          <w:p w:rsidR="00E04FD0" w:rsidRPr="00E04FD0" w:rsidP="00E04FD0">
            <w:pPr>
              <w:rPr>
                <w:rFonts w:ascii="Verdana" w:hAnsi="Verdana" w:eastAsiaTheme="minorEastAsia"/>
                <w:color w:val="333333"/>
                <w:sz w:val="19"/>
                <w:szCs w:val="19"/>
              </w:rPr>
            </w:pPr>
            <w:r w:rsidRPr="00E04FD0">
              <w:rPr>
                <w:rFonts w:ascii="Verdana" w:hAnsi="Verdana" w:eastAsiaTheme="minorEastAsia"/>
                <w:color w:val="333333"/>
                <w:sz w:val="19"/>
                <w:szCs w:val="19"/>
              </w:rPr>
              <w:t>Resource AME</w:t>
            </w:r>
          </w:p>
        </w:tc>
        <w:tc>
          <w:tcPr>
            <w:tcW w:w="1402" w:type="dxa"/>
          </w:tcPr>
          <w:p w:rsidR="00E04FD0" w:rsidRPr="00E04FD0" w:rsidP="00E04FD0">
            <w:pPr>
              <w:rPr>
                <w:rFonts w:ascii="Verdana" w:hAnsi="Verdana" w:eastAsiaTheme="minorEastAsia"/>
                <w:color w:val="333333"/>
                <w:sz w:val="19"/>
                <w:szCs w:val="19"/>
              </w:rPr>
            </w:pPr>
            <w:r w:rsidRPr="00E04FD0">
              <w:rPr>
                <w:rFonts w:ascii="Verdana" w:hAnsi="Verdana" w:eastAsiaTheme="minorEastAsia"/>
                <w:color w:val="333333"/>
                <w:sz w:val="19"/>
                <w:szCs w:val="19"/>
              </w:rPr>
              <w:t>£6,490.8m</w:t>
            </w:r>
          </w:p>
        </w:tc>
        <w:tc>
          <w:tcPr>
            <w:tcW w:w="1549" w:type="dxa"/>
          </w:tcPr>
          <w:p w:rsidR="00E04FD0" w:rsidRPr="00E04FD0" w:rsidP="00E04FD0">
            <w:pPr>
              <w:rPr>
                <w:rFonts w:ascii="Verdana" w:hAnsi="Verdana" w:eastAsiaTheme="minorEastAsia"/>
                <w:color w:val="333333"/>
                <w:sz w:val="19"/>
                <w:szCs w:val="19"/>
              </w:rPr>
            </w:pPr>
            <w:r w:rsidRPr="00E04FD0">
              <w:rPr>
                <w:rFonts w:ascii="Verdana" w:hAnsi="Verdana" w:eastAsiaTheme="minorEastAsia"/>
                <w:color w:val="333333"/>
                <w:sz w:val="19"/>
                <w:szCs w:val="19"/>
              </w:rPr>
              <w:t>-£291.2m</w:t>
            </w:r>
          </w:p>
        </w:tc>
        <w:tc>
          <w:tcPr>
            <w:tcW w:w="1402" w:type="dxa"/>
          </w:tcPr>
          <w:p w:rsidR="00E04FD0" w:rsidRPr="00E04FD0" w:rsidP="00E04FD0">
            <w:pPr>
              <w:rPr>
                <w:rFonts w:ascii="Verdana" w:hAnsi="Verdana" w:eastAsiaTheme="minorEastAsia"/>
                <w:color w:val="333333"/>
                <w:sz w:val="19"/>
                <w:szCs w:val="19"/>
              </w:rPr>
            </w:pPr>
            <w:r w:rsidRPr="00E04FD0">
              <w:rPr>
                <w:rFonts w:ascii="Verdana" w:hAnsi="Verdana" w:eastAsiaTheme="minorEastAsia"/>
                <w:color w:val="333333"/>
                <w:sz w:val="19"/>
                <w:szCs w:val="19"/>
              </w:rPr>
              <w:t>-4.3%</w:t>
            </w:r>
          </w:p>
        </w:tc>
        <w:tc>
          <w:tcPr>
            <w:tcW w:w="1637" w:type="dxa"/>
          </w:tcPr>
          <w:p w:rsidR="00E04FD0" w:rsidRPr="00E04FD0" w:rsidP="00E04FD0">
            <w:pPr>
              <w:rPr>
                <w:rFonts w:ascii="Verdana" w:hAnsi="Verdana" w:eastAsiaTheme="minorEastAsia"/>
                <w:color w:val="333333"/>
                <w:sz w:val="19"/>
                <w:szCs w:val="19"/>
              </w:rPr>
            </w:pPr>
            <w:r w:rsidRPr="00E04FD0">
              <w:rPr>
                <w:rFonts w:ascii="Verdana" w:hAnsi="Verdana" w:eastAsiaTheme="minorEastAsia"/>
                <w:color w:val="333333"/>
                <w:sz w:val="19"/>
                <w:szCs w:val="19"/>
              </w:rPr>
              <w:t>-191.2m</w:t>
            </w:r>
          </w:p>
        </w:tc>
        <w:tc>
          <w:tcPr>
            <w:tcW w:w="1401" w:type="dxa"/>
          </w:tcPr>
          <w:p w:rsidR="00E04FD0" w:rsidRPr="00E04FD0" w:rsidP="00E04FD0">
            <w:pPr>
              <w:rPr>
                <w:rFonts w:ascii="Verdana" w:hAnsi="Verdana" w:eastAsiaTheme="minorEastAsia"/>
                <w:color w:val="333333"/>
                <w:sz w:val="19"/>
                <w:szCs w:val="19"/>
              </w:rPr>
            </w:pPr>
            <w:r w:rsidRPr="00E04FD0">
              <w:rPr>
                <w:rFonts w:ascii="Verdana" w:hAnsi="Verdana" w:eastAsiaTheme="minorEastAsia"/>
                <w:color w:val="333333"/>
                <w:sz w:val="19"/>
                <w:szCs w:val="19"/>
              </w:rPr>
              <w:t>-2.9%</w:t>
            </w:r>
          </w:p>
        </w:tc>
      </w:tr>
    </w:tbl>
    <w:p w:rsidR="00E04FD0" w:rsidRPr="00E04FD0" w:rsidP="00E04FD0">
      <w:pPr>
        <w:shd w:val="clear" w:color="auto" w:fill="FFFFFF"/>
        <w:spacing w:after="0" w:line="240" w:lineRule="auto"/>
        <w:rPr>
          <w:rFonts w:eastAsiaTheme="minorEastAsia"/>
          <w:noProof/>
          <w:highlight w:val="yellow"/>
        </w:rPr>
      </w:pPr>
    </w:p>
    <w:p w:rsidR="00E04FD0" w:rsidRPr="00E04FD0" w:rsidP="00E04FD0">
      <w:pPr>
        <w:keepNext/>
        <w:keepLines/>
        <w:spacing w:after="0" w:line="240" w:lineRule="auto"/>
        <w:outlineLvl w:val="1"/>
        <w:rPr>
          <w:rFonts w:asciiTheme="majorHAnsi" w:eastAsiaTheme="majorEastAsia" w:hAnsiTheme="majorHAnsi" w:cstheme="majorBidi"/>
          <w:color w:val="2F5496" w:themeColor="accent1" w:themeShade="BF"/>
          <w:sz w:val="28"/>
          <w:szCs w:val="28"/>
          <w:highlight w:val="yellow"/>
        </w:rPr>
      </w:pPr>
    </w:p>
    <w:p w:rsidR="00E04FD0" w:rsidRPr="00E04FD0" w:rsidP="00E04FD0">
      <w:pPr>
        <w:rPr>
          <w:rFonts w:eastAsiaTheme="minorEastAsia"/>
          <w:highlight w:val="yellow"/>
        </w:rPr>
      </w:pPr>
    </w:p>
    <w:p w:rsidR="00E04FD0" w:rsidRPr="00E04FD0" w:rsidP="00E04FD0">
      <w:pPr>
        <w:keepNext/>
        <w:keepLines/>
        <w:spacing w:after="0" w:line="240" w:lineRule="auto"/>
        <w:outlineLvl w:val="1"/>
        <w:rPr>
          <w:rFonts w:asciiTheme="majorHAnsi" w:eastAsiaTheme="majorEastAsia" w:hAnsiTheme="majorHAnsi" w:cstheme="majorBidi"/>
          <w:color w:val="2F5496" w:themeColor="accent1" w:themeShade="BF"/>
          <w:sz w:val="28"/>
          <w:szCs w:val="28"/>
        </w:rPr>
      </w:pPr>
      <w:r w:rsidRPr="00E04FD0">
        <w:rPr>
          <w:rFonts w:asciiTheme="majorHAnsi" w:eastAsiaTheme="majorEastAsia" w:hAnsiTheme="majorHAnsi" w:cstheme="majorBidi"/>
          <w:color w:val="2F5496" w:themeColor="accent1" w:themeShade="BF"/>
          <w:sz w:val="28"/>
          <w:szCs w:val="28"/>
        </w:rPr>
        <w:t>1.4</w:t>
      </w:r>
      <w:r w:rsidRPr="00E04FD0">
        <w:rPr>
          <w:rFonts w:asciiTheme="majorHAnsi" w:eastAsiaTheme="majorEastAsia" w:hAnsiTheme="majorHAnsi" w:cstheme="majorBidi"/>
          <w:color w:val="2F5496" w:themeColor="accent1" w:themeShade="BF"/>
          <w:sz w:val="28"/>
          <w:szCs w:val="28"/>
        </w:rPr>
        <w:tab/>
        <w:t>Key drivers of spending changes since last year</w:t>
      </w:r>
    </w:p>
    <w:p w:rsidR="00E04FD0" w:rsidRPr="00E04FD0" w:rsidP="00E04FD0">
      <w:pPr>
        <w:spacing w:after="0" w:line="240" w:lineRule="auto"/>
        <w:rPr>
          <w:rFonts w:eastAsiaTheme="minorEastAsia"/>
          <w:lang w:eastAsia="en-GB"/>
        </w:rPr>
      </w:pPr>
    </w:p>
    <w:p w:rsidR="00E04FD0" w:rsidRPr="00E04FD0" w:rsidP="00E04FD0">
      <w:pPr>
        <w:spacing w:after="0" w:line="240" w:lineRule="auto"/>
        <w:rPr>
          <w:rFonts w:eastAsiaTheme="minorEastAsia"/>
          <w:lang w:eastAsia="en-GB"/>
        </w:rPr>
      </w:pPr>
      <w:r w:rsidRPr="00E04FD0">
        <w:rPr>
          <w:rFonts w:eastAsiaTheme="minorEastAsia"/>
          <w:lang w:eastAsia="en-GB"/>
        </w:rPr>
        <w:t xml:space="preserve">The provision sought under Resource AME is lower than last year’s final budget, largely due to the reduction in the Treasury set discount rate for interest on scheme liabilities, from 1.80% to 1.25%.  This has reduced Resource </w:t>
      </w:r>
      <w:r w:rsidRPr="00E04FD0">
        <w:rPr>
          <w:rFonts w:eastAsiaTheme="minorEastAsia"/>
          <w:lang w:eastAsia="en-GB"/>
        </w:rPr>
        <w:t>AME</w:t>
      </w:r>
      <w:r w:rsidRPr="00E04FD0">
        <w:rPr>
          <w:rFonts w:eastAsiaTheme="minorEastAsia"/>
          <w:lang w:eastAsia="en-GB"/>
        </w:rPr>
        <w:t xml:space="preserve"> but the impacts have been partially offset by the impact of an increased Current Service Cost (CSC) percentage from 100.7% to 116%.</w:t>
      </w:r>
    </w:p>
    <w:p w:rsidR="00E04FD0" w:rsidRPr="00E04FD0" w:rsidP="00E04FD0">
      <w:pPr>
        <w:spacing w:after="0" w:line="240" w:lineRule="auto"/>
        <w:rPr>
          <w:rFonts w:eastAsiaTheme="minorEastAsia"/>
          <w:lang w:eastAsia="en-GB"/>
        </w:rPr>
      </w:pPr>
    </w:p>
    <w:p w:rsidR="00E04FD0" w:rsidRPr="00E04FD0" w:rsidP="00E04FD0">
      <w:pPr>
        <w:keepNext/>
        <w:keepLines/>
        <w:spacing w:after="0" w:line="240" w:lineRule="auto"/>
        <w:outlineLvl w:val="1"/>
        <w:rPr>
          <w:rFonts w:asciiTheme="majorHAnsi" w:eastAsiaTheme="majorEastAsia" w:hAnsiTheme="majorHAnsi" w:cstheme="majorBidi"/>
          <w:color w:val="2F5496" w:themeColor="accent1" w:themeShade="BF"/>
          <w:sz w:val="28"/>
          <w:szCs w:val="28"/>
        </w:rPr>
      </w:pPr>
      <w:r w:rsidRPr="00E04FD0">
        <w:rPr>
          <w:rFonts w:asciiTheme="majorHAnsi" w:eastAsiaTheme="majorEastAsia" w:hAnsiTheme="majorHAnsi" w:cstheme="majorBidi"/>
          <w:color w:val="2F5496" w:themeColor="accent1" w:themeShade="BF"/>
          <w:sz w:val="28"/>
          <w:szCs w:val="28"/>
        </w:rPr>
        <w:t xml:space="preserve">1.5 </w:t>
      </w:r>
      <w:r w:rsidRPr="00E04FD0">
        <w:rPr>
          <w:rFonts w:asciiTheme="majorHAnsi" w:eastAsiaTheme="majorEastAsia" w:hAnsiTheme="majorHAnsi" w:cstheme="majorBidi"/>
          <w:color w:val="2F5496" w:themeColor="accent1" w:themeShade="BF"/>
          <w:sz w:val="28"/>
          <w:szCs w:val="28"/>
        </w:rPr>
        <w:tab/>
        <w:t>Spending trends</w:t>
      </w:r>
    </w:p>
    <w:p w:rsidR="00E04FD0" w:rsidRPr="00E04FD0" w:rsidP="00E04FD0">
      <w:pPr>
        <w:spacing w:after="0" w:line="240" w:lineRule="auto"/>
        <w:rPr>
          <w:rFonts w:eastAsiaTheme="minorEastAsia"/>
        </w:rPr>
      </w:pPr>
    </w:p>
    <w:p w:rsidR="00E04FD0" w:rsidRPr="00E04FD0" w:rsidP="00E04FD0">
      <w:pPr>
        <w:spacing w:after="0" w:line="240" w:lineRule="auto"/>
        <w:rPr>
          <w:rFonts w:eastAsiaTheme="minorEastAsia"/>
        </w:rPr>
      </w:pPr>
      <w:r w:rsidRPr="00E04FD0">
        <w:rPr>
          <w:rFonts w:eastAsiaTheme="minorEastAsia"/>
        </w:rPr>
        <w:t>The charts below show overall spending trends for the last six years and plans data presented in Estimates for 2020-21.</w:t>
      </w:r>
    </w:p>
    <w:p w:rsidR="00E04FD0" w:rsidRPr="00E04FD0" w:rsidP="00E04FD0">
      <w:pPr>
        <w:spacing w:after="0" w:line="240" w:lineRule="auto"/>
        <w:rPr>
          <w:rFonts w:eastAsiaTheme="minorEastAsia"/>
        </w:rPr>
      </w:pPr>
    </w:p>
    <w:p w:rsidR="00E04FD0" w:rsidRPr="00E04FD0" w:rsidP="00E04FD0">
      <w:pPr>
        <w:spacing w:after="0" w:line="240" w:lineRule="auto"/>
        <w:rPr>
          <w:rFonts w:eastAsiaTheme="minorEastAsia"/>
          <w:highlight w:val="yellow"/>
          <w:lang w:eastAsia="en-GB"/>
        </w:rPr>
      </w:pPr>
      <w:r w:rsidRPr="00E04FD0">
        <w:rPr>
          <w:rFonts w:eastAsiaTheme="minorEastAsia"/>
          <w:noProof/>
          <w:highlight w:val="yellow"/>
          <w:lang w:eastAsia="en-GB"/>
        </w:rPr>
        <w:drawing>
          <wp:inline distT="0" distB="0" distL="0" distR="0">
            <wp:extent cx="5457825" cy="2755900"/>
            <wp:effectExtent l="0" t="0" r="9525"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xmlns:r="http://schemas.openxmlformats.org/officeDocument/2006/relationships" r:embed="rId4">
                      <a:extLst>
                        <a:ext uri="{28A0092B-C50C-407E-A947-70E740481C1C}">
                          <a14:useLocalDpi xmlns:a14="http://schemas.microsoft.com/office/drawing/2010/main" val="0"/>
                        </a:ext>
                      </a:extLst>
                    </a:blip>
                    <a:srcRect/>
                    <a:stretch>
                      <a:fillRect/>
                    </a:stretch>
                  </pic:blipFill>
                  <pic:spPr bwMode="auto">
                    <a:xfrm>
                      <a:off x="0" y="0"/>
                      <a:ext cx="5457825" cy="2755900"/>
                    </a:xfrm>
                    <a:prstGeom prst="rect">
                      <a:avLst/>
                    </a:prstGeom>
                    <a:noFill/>
                  </pic:spPr>
                </pic:pic>
              </a:graphicData>
            </a:graphic>
          </wp:inline>
        </w:drawing>
      </w:r>
    </w:p>
    <w:p w:rsidR="00E04FD0" w:rsidRPr="00E04FD0" w:rsidP="00E04FD0">
      <w:pPr>
        <w:spacing w:after="0" w:line="240" w:lineRule="auto"/>
        <w:rPr>
          <w:rFonts w:eastAsiaTheme="minorEastAsia"/>
          <w:highlight w:val="yellow"/>
          <w:lang w:eastAsia="en-GB"/>
        </w:rPr>
      </w:pPr>
    </w:p>
    <w:p w:rsidR="00E04FD0" w:rsidRPr="00E04FD0" w:rsidP="00E04FD0">
      <w:pPr>
        <w:spacing w:after="0" w:line="240" w:lineRule="auto"/>
        <w:rPr>
          <w:rFonts w:eastAsiaTheme="minorEastAsia"/>
        </w:rPr>
      </w:pPr>
    </w:p>
    <w:p w:rsidR="00E04FD0" w:rsidRPr="00E04FD0" w:rsidP="00E04FD0">
      <w:pPr>
        <w:spacing w:after="0" w:line="240" w:lineRule="auto"/>
        <w:rPr>
          <w:rFonts w:eastAsiaTheme="minorEastAsia"/>
          <w:lang w:eastAsia="en-GB"/>
        </w:rPr>
      </w:pPr>
      <w:r w:rsidRPr="00E04FD0">
        <w:rPr>
          <w:rFonts w:eastAsiaTheme="minorEastAsia"/>
        </w:rPr>
        <w:t>In general terms, the year on year changes to Resource AME, shown in the above chart, are</w:t>
      </w:r>
      <w:r w:rsidRPr="00E04FD0">
        <w:rPr>
          <w:rFonts w:eastAsiaTheme="minorEastAsia"/>
          <w:lang w:eastAsia="en-GB"/>
        </w:rPr>
        <w:t xml:space="preserve"> largely as a result of annual changes to the Treasury set discount rate for long term liabilities, aside from 2018-19 and 2019-20 whereby the total Resource AME is also heavily influenced by Past Service Costs associated with McCloud (£1.9bn in 2018-19) and GMP and the Langford judgement (£1.1bn in 2019-20).</w:t>
      </w:r>
    </w:p>
    <w:p w:rsidR="00E04FD0" w:rsidRPr="00E04FD0" w:rsidP="00E04FD0">
      <w:pPr>
        <w:spacing w:after="0" w:line="240" w:lineRule="auto"/>
        <w:rPr>
          <w:rFonts w:eastAsiaTheme="minorEastAsia"/>
          <w:lang w:eastAsia="en-GB"/>
        </w:rPr>
      </w:pPr>
    </w:p>
    <w:p w:rsidR="00E04FD0" w:rsidRPr="00E04FD0" w:rsidP="00E04FD0">
      <w:pPr>
        <w:keepNext/>
        <w:keepLines/>
        <w:spacing w:after="0" w:line="240" w:lineRule="auto"/>
        <w:outlineLvl w:val="1"/>
        <w:rPr>
          <w:rFonts w:asciiTheme="majorHAnsi" w:eastAsiaTheme="majorEastAsia" w:hAnsiTheme="majorHAnsi" w:cstheme="majorBidi"/>
          <w:color w:val="2F5496" w:themeColor="accent1" w:themeShade="BF"/>
          <w:sz w:val="28"/>
          <w:szCs w:val="28"/>
        </w:rPr>
      </w:pPr>
      <w:r w:rsidRPr="00E04FD0">
        <w:rPr>
          <w:rFonts w:asciiTheme="majorHAnsi" w:eastAsiaTheme="majorEastAsia" w:hAnsiTheme="majorHAnsi" w:cstheme="majorBidi"/>
          <w:color w:val="2F5496" w:themeColor="accent1" w:themeShade="BF"/>
          <w:sz w:val="28"/>
          <w:szCs w:val="28"/>
        </w:rPr>
        <w:t xml:space="preserve">1.6 </w:t>
      </w:r>
      <w:r w:rsidRPr="00E04FD0">
        <w:rPr>
          <w:rFonts w:asciiTheme="majorHAnsi" w:eastAsiaTheme="majorEastAsia" w:hAnsiTheme="majorHAnsi" w:cstheme="majorBidi"/>
          <w:color w:val="2F5496" w:themeColor="accent1" w:themeShade="BF"/>
          <w:sz w:val="28"/>
          <w:szCs w:val="28"/>
        </w:rPr>
        <w:tab/>
        <w:t>Administration costs and efficiency plans</w:t>
      </w:r>
    </w:p>
    <w:p w:rsidR="00E04FD0" w:rsidRPr="00E04FD0" w:rsidP="00E04FD0">
      <w:pPr>
        <w:spacing w:after="0" w:line="240" w:lineRule="auto"/>
        <w:rPr>
          <w:rFonts w:eastAsiaTheme="minorEastAsia"/>
          <w:lang w:eastAsia="en-GB"/>
        </w:rPr>
      </w:pPr>
    </w:p>
    <w:p w:rsidR="00E04FD0" w:rsidRPr="00E04FD0" w:rsidP="00E04FD0">
      <w:pPr>
        <w:spacing w:after="0" w:line="240" w:lineRule="auto"/>
        <w:rPr>
          <w:rFonts w:eastAsiaTheme="minorEastAsia"/>
          <w:lang w:eastAsia="en-GB"/>
        </w:rPr>
      </w:pPr>
      <w:r w:rsidRPr="00E04FD0">
        <w:rPr>
          <w:rFonts w:eastAsiaTheme="minorEastAsia"/>
          <w:lang w:eastAsia="en-GB"/>
        </w:rPr>
        <w:t xml:space="preserve">The costs of the administration of the AFPS are borne by the Ministry of Defence, the employer, and are reflected in the Department’s Estimates and Annual Report and Accounts.  </w:t>
      </w:r>
    </w:p>
    <w:p w:rsidR="00E04FD0" w:rsidRPr="00E04FD0" w:rsidP="00E04FD0">
      <w:pPr>
        <w:rPr>
          <w:rFonts w:eastAsiaTheme="minorEastAsia"/>
          <w:highlight w:val="yellow"/>
        </w:rPr>
      </w:pPr>
    </w:p>
    <w:p w:rsidR="00E04FD0" w:rsidRPr="00E04FD0" w:rsidP="00E04FD0">
      <w:pPr>
        <w:rPr>
          <w:rFonts w:eastAsiaTheme="minorEastAsia"/>
          <w:highlight w:val="yellow"/>
        </w:rPr>
      </w:pPr>
    </w:p>
    <w:p w:rsidR="00E04FD0" w:rsidRPr="00E04FD0" w:rsidP="00E04FD0">
      <w:pPr>
        <w:rPr>
          <w:rFonts w:eastAsiaTheme="minorEastAsia"/>
          <w:highlight w:val="yellow"/>
        </w:rPr>
      </w:pPr>
    </w:p>
    <w:p w:rsidR="00E04FD0" w:rsidRPr="00E04FD0" w:rsidP="00E04FD0">
      <w:pPr>
        <w:rPr>
          <w:rFonts w:eastAsiaTheme="minorEastAsia"/>
          <w:highlight w:val="yellow"/>
        </w:rPr>
      </w:pPr>
    </w:p>
    <w:p w:rsidR="00E04FD0" w:rsidRPr="00E04FD0" w:rsidP="00E04FD0">
      <w:pPr>
        <w:rPr>
          <w:rFonts w:eastAsiaTheme="minorEastAsia"/>
          <w:highlight w:val="yellow"/>
        </w:rPr>
      </w:pPr>
    </w:p>
    <w:p w:rsidR="00E04FD0" w:rsidRPr="00E04FD0" w:rsidP="00E04FD0">
      <w:pPr>
        <w:rPr>
          <w:rFonts w:eastAsiaTheme="minorEastAsia"/>
          <w:highlight w:val="yellow"/>
        </w:rPr>
      </w:pPr>
    </w:p>
    <w:p w:rsidR="00E04FD0" w:rsidRPr="00E04FD0" w:rsidP="00E04FD0">
      <w:pPr>
        <w:rPr>
          <w:rFonts w:eastAsiaTheme="minorEastAsia"/>
          <w:highlight w:val="yellow"/>
        </w:rPr>
      </w:pPr>
    </w:p>
    <w:p w:rsidR="00E04FD0" w:rsidRPr="00E04FD0" w:rsidP="00E04FD0">
      <w:pPr>
        <w:keepNext/>
        <w:keepLines/>
        <w:spacing w:after="0" w:line="240" w:lineRule="auto"/>
        <w:outlineLvl w:val="1"/>
        <w:rPr>
          <w:rFonts w:asciiTheme="majorHAnsi" w:eastAsiaTheme="majorEastAsia" w:hAnsiTheme="majorHAnsi" w:cstheme="majorBidi"/>
          <w:color w:val="2F5496" w:themeColor="accent1" w:themeShade="BF"/>
          <w:sz w:val="28"/>
          <w:szCs w:val="28"/>
        </w:rPr>
      </w:pPr>
      <w:r w:rsidRPr="00E04FD0">
        <w:rPr>
          <w:rFonts w:asciiTheme="majorHAnsi" w:eastAsiaTheme="majorEastAsia" w:hAnsiTheme="majorHAnsi" w:cstheme="majorBidi"/>
          <w:color w:val="2F5496" w:themeColor="accent1" w:themeShade="BF"/>
          <w:sz w:val="28"/>
          <w:szCs w:val="28"/>
        </w:rPr>
        <w:t xml:space="preserve">2 </w:t>
      </w:r>
      <w:r w:rsidRPr="00E04FD0">
        <w:rPr>
          <w:rFonts w:asciiTheme="majorHAnsi" w:eastAsiaTheme="majorEastAsia" w:hAnsiTheme="majorHAnsi" w:cstheme="majorBidi"/>
          <w:color w:val="2F5496" w:themeColor="accent1" w:themeShade="BF"/>
          <w:sz w:val="28"/>
          <w:szCs w:val="28"/>
        </w:rPr>
        <w:tab/>
        <w:t>Spending detail</w:t>
      </w:r>
    </w:p>
    <w:p w:rsidR="00E04FD0" w:rsidRPr="00E04FD0" w:rsidP="00E04FD0">
      <w:pPr>
        <w:spacing w:after="0" w:line="240" w:lineRule="auto"/>
        <w:rPr>
          <w:rFonts w:eastAsiaTheme="minorEastAsia"/>
        </w:rPr>
      </w:pPr>
    </w:p>
    <w:p w:rsidR="00E04FD0" w:rsidRPr="00E04FD0" w:rsidP="00E04FD0">
      <w:pPr>
        <w:keepNext/>
        <w:keepLines/>
        <w:spacing w:after="0" w:line="240" w:lineRule="auto"/>
        <w:outlineLvl w:val="1"/>
        <w:rPr>
          <w:rFonts w:asciiTheme="majorHAnsi" w:eastAsiaTheme="majorEastAsia" w:hAnsiTheme="majorHAnsi" w:cstheme="majorBidi"/>
          <w:color w:val="2F5496" w:themeColor="accent1" w:themeShade="BF"/>
          <w:sz w:val="28"/>
          <w:szCs w:val="28"/>
        </w:rPr>
      </w:pPr>
      <w:r w:rsidRPr="00E04FD0">
        <w:rPr>
          <w:rFonts w:asciiTheme="majorHAnsi" w:eastAsiaTheme="majorEastAsia" w:hAnsiTheme="majorHAnsi" w:cstheme="majorBidi"/>
          <w:color w:val="2F5496" w:themeColor="accent1" w:themeShade="BF"/>
          <w:sz w:val="28"/>
          <w:szCs w:val="28"/>
        </w:rPr>
        <w:t xml:space="preserve">2.1 </w:t>
      </w:r>
      <w:r w:rsidRPr="00E04FD0">
        <w:rPr>
          <w:rFonts w:asciiTheme="majorHAnsi" w:eastAsiaTheme="majorEastAsia" w:hAnsiTheme="majorHAnsi" w:cstheme="majorBidi"/>
          <w:color w:val="2F5496" w:themeColor="accent1" w:themeShade="BF"/>
          <w:sz w:val="28"/>
          <w:szCs w:val="28"/>
        </w:rPr>
        <w:tab/>
        <w:t xml:space="preserve">Explanations of changes in spending </w:t>
      </w:r>
    </w:p>
    <w:p w:rsidR="00E04FD0" w:rsidRPr="00E04FD0" w:rsidP="00E04FD0">
      <w:pPr>
        <w:spacing w:after="0" w:line="240" w:lineRule="auto"/>
        <w:rPr>
          <w:rFonts w:eastAsiaTheme="minorEastAsia"/>
          <w:highlight w:val="yellow"/>
        </w:rPr>
      </w:pPr>
    </w:p>
    <w:p w:rsidR="00E04FD0" w:rsidRPr="00E04FD0" w:rsidP="00E04FD0">
      <w:pPr>
        <w:keepNext/>
        <w:keepLines/>
        <w:spacing w:before="40" w:after="0"/>
        <w:outlineLvl w:val="3"/>
        <w:rPr>
          <w:rFonts w:eastAsiaTheme="minorEastAsia"/>
          <w:sz w:val="18"/>
          <w:szCs w:val="18"/>
        </w:rPr>
      </w:pPr>
      <w:r w:rsidRPr="00E04FD0">
        <w:rPr>
          <w:rFonts w:asciiTheme="majorHAnsi" w:eastAsiaTheme="majorEastAsia" w:hAnsiTheme="majorHAnsi" w:cstheme="majorBidi"/>
          <w:i/>
          <w:iCs/>
          <w:noProof/>
          <w:color w:val="2F5496" w:themeColor="accent1" w:themeShade="BF"/>
        </w:rPr>
        <w:drawing>
          <wp:inline distT="0" distB="0" distL="0" distR="0">
            <wp:extent cx="5731510" cy="3032461"/>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xmlns:r="http://schemas.openxmlformats.org/officeDocument/2006/relationships" r:embed="rId5">
                      <a:extLst>
                        <a:ext uri="{28A0092B-C50C-407E-A947-70E740481C1C}">
                          <a14:useLocalDpi xmlns:a14="http://schemas.microsoft.com/office/drawing/2010/main" val="0"/>
                        </a:ext>
                      </a:extLst>
                    </a:blip>
                    <a:srcRect/>
                    <a:stretch>
                      <a:fillRect/>
                    </a:stretch>
                  </pic:blipFill>
                  <pic:spPr bwMode="auto">
                    <a:xfrm>
                      <a:off x="0" y="0"/>
                      <a:ext cx="5731510" cy="3032461"/>
                    </a:xfrm>
                    <a:prstGeom prst="rect">
                      <a:avLst/>
                    </a:prstGeom>
                    <a:noFill/>
                    <a:ln>
                      <a:noFill/>
                    </a:ln>
                  </pic:spPr>
                </pic:pic>
              </a:graphicData>
            </a:graphic>
          </wp:inline>
        </w:drawing>
      </w:r>
    </w:p>
    <w:p w:rsidR="00E04FD0" w:rsidRPr="00E04FD0" w:rsidP="00E04FD0">
      <w:pPr>
        <w:keepNext/>
        <w:keepLines/>
        <w:spacing w:before="40" w:after="0"/>
        <w:outlineLvl w:val="3"/>
        <w:rPr>
          <w:rFonts w:eastAsiaTheme="minorEastAsia"/>
          <w:sz w:val="18"/>
          <w:szCs w:val="18"/>
        </w:rPr>
      </w:pPr>
      <w:r w:rsidRPr="00E04FD0">
        <w:rPr>
          <w:rFonts w:eastAsiaTheme="minorEastAsia"/>
          <w:sz w:val="18"/>
          <w:szCs w:val="18"/>
        </w:rPr>
        <w:t>Note – due to rounding, the totals in the above table may not equal the sum of the parts.</w:t>
      </w:r>
    </w:p>
    <w:p w:rsidR="00E04FD0" w:rsidRPr="00E04FD0" w:rsidP="00E04FD0">
      <w:pPr>
        <w:spacing w:after="0" w:line="240" w:lineRule="auto"/>
        <w:rPr>
          <w:rFonts w:eastAsiaTheme="minorEastAsia"/>
        </w:rPr>
      </w:pPr>
    </w:p>
    <w:p w:rsidR="00E04FD0" w:rsidRPr="00E04FD0" w:rsidP="00E04FD0">
      <w:pPr>
        <w:spacing w:after="0" w:line="240" w:lineRule="auto"/>
        <w:rPr>
          <w:rFonts w:eastAsiaTheme="minorEastAsia"/>
        </w:rPr>
      </w:pPr>
      <w:r w:rsidRPr="00E04FD0">
        <w:rPr>
          <w:rFonts w:eastAsiaTheme="minorEastAsia"/>
        </w:rPr>
        <w:t>Differences which are above 10% and/or £10 million are explained below:</w:t>
      </w:r>
    </w:p>
    <w:p w:rsidR="00E04FD0" w:rsidRPr="00E04FD0" w:rsidP="00E04FD0">
      <w:pPr>
        <w:spacing w:after="0" w:line="240" w:lineRule="auto"/>
        <w:rPr>
          <w:rFonts w:eastAsiaTheme="minorEastAsia"/>
          <w:lang w:eastAsia="en-GB"/>
        </w:rPr>
      </w:pPr>
    </w:p>
    <w:p w:rsidR="00E04FD0" w:rsidRPr="00E04FD0" w:rsidP="00E04FD0">
      <w:pPr>
        <w:spacing w:after="0" w:line="240" w:lineRule="auto"/>
        <w:rPr>
          <w:rFonts w:eastAsiaTheme="minorEastAsia"/>
          <w:lang w:eastAsia="en-GB"/>
        </w:rPr>
      </w:pPr>
      <w:r w:rsidRPr="00E04FD0">
        <w:rPr>
          <w:rFonts w:eastAsiaTheme="minorEastAsia"/>
          <w:lang w:eastAsia="en-GB"/>
        </w:rPr>
        <w:t xml:space="preserve">1a – An increase in current service cost is due in the main to the reduction in discount rate (real rate in excess of pension increase) from (0.5%) to (0.95%).  As a result, the Government Actuary’s Department (GAD) have calculated the current service cost (calculated as a percentage of pensionable pay) as 116% for both Officers and Other Ranks (previously 100.7% for both Officers and Other Ranks).  </w:t>
      </w:r>
    </w:p>
    <w:p w:rsidR="00E04FD0" w:rsidRPr="00E04FD0" w:rsidP="00E04FD0">
      <w:pPr>
        <w:spacing w:after="0" w:line="240" w:lineRule="auto"/>
        <w:rPr>
          <w:rFonts w:eastAsia="Times New Roman"/>
          <w:highlight w:val="yellow"/>
          <w:lang w:eastAsia="en-GB"/>
        </w:rPr>
      </w:pPr>
    </w:p>
    <w:p w:rsidR="00E04FD0" w:rsidRPr="00E04FD0" w:rsidP="00E04FD0">
      <w:pPr>
        <w:spacing w:after="0" w:line="240" w:lineRule="auto"/>
        <w:rPr>
          <w:rFonts w:eastAsia="Times New Roman"/>
          <w:lang w:eastAsia="en-GB"/>
        </w:rPr>
      </w:pPr>
      <w:r w:rsidRPr="00E04FD0">
        <w:rPr>
          <w:rFonts w:eastAsia="Times New Roman"/>
          <w:lang w:eastAsia="en-GB"/>
        </w:rPr>
        <w:t xml:space="preserve">1b – A decrease in interest on scheme liabilities due to a decrease in the interest rate from 1.80% to 1.25%. </w:t>
      </w:r>
    </w:p>
    <w:p w:rsidR="00E04FD0" w:rsidRPr="00E04FD0" w:rsidP="00E04FD0">
      <w:pPr>
        <w:spacing w:after="0" w:line="240" w:lineRule="auto"/>
        <w:rPr>
          <w:rFonts w:eastAsia="Times New Roman"/>
          <w:highlight w:val="yellow"/>
          <w:lang w:eastAsia="en-GB"/>
        </w:rPr>
      </w:pPr>
    </w:p>
    <w:p w:rsidR="00E04FD0" w:rsidRPr="00E04FD0" w:rsidP="00E04FD0">
      <w:pPr>
        <w:spacing w:after="0" w:line="240" w:lineRule="auto"/>
        <w:rPr>
          <w:rFonts w:eastAsia="Times New Roman"/>
          <w:lang w:eastAsia="en-GB"/>
        </w:rPr>
      </w:pPr>
      <w:r w:rsidRPr="00E04FD0">
        <w:rPr>
          <w:rFonts w:eastAsia="Times New Roman"/>
          <w:lang w:eastAsia="en-GB"/>
        </w:rPr>
        <w:t xml:space="preserve">1c – The scheme is forecasting an increase in Employer (SCAPE) contributions as a result of an increase in the estimated pensionable pay.  </w:t>
      </w:r>
    </w:p>
    <w:p w:rsidR="00E04FD0" w:rsidRPr="00E04FD0" w:rsidP="00E04FD0">
      <w:pPr>
        <w:spacing w:after="0" w:line="240" w:lineRule="auto"/>
        <w:rPr>
          <w:rFonts w:eastAsia="Times New Roman"/>
          <w:lang w:eastAsia="en-GB"/>
        </w:rPr>
      </w:pPr>
    </w:p>
    <w:p w:rsidR="00E04FD0" w:rsidRPr="00E04FD0" w:rsidP="00E04FD0">
      <w:pPr>
        <w:keepNext/>
        <w:keepLines/>
        <w:spacing w:after="0" w:line="240" w:lineRule="auto"/>
        <w:outlineLvl w:val="1"/>
        <w:rPr>
          <w:rFonts w:asciiTheme="majorHAnsi" w:eastAsiaTheme="majorEastAsia" w:hAnsiTheme="majorHAnsi" w:cstheme="majorBidi"/>
          <w:color w:val="2F5496" w:themeColor="accent1" w:themeShade="BF"/>
          <w:sz w:val="28"/>
          <w:szCs w:val="28"/>
        </w:rPr>
      </w:pPr>
      <w:r w:rsidRPr="00E04FD0">
        <w:rPr>
          <w:rFonts w:asciiTheme="majorHAnsi" w:eastAsiaTheme="majorEastAsia" w:hAnsiTheme="majorHAnsi" w:cstheme="majorBidi"/>
          <w:color w:val="2F5496" w:themeColor="accent1" w:themeShade="BF"/>
          <w:sz w:val="28"/>
          <w:szCs w:val="28"/>
        </w:rPr>
        <w:t xml:space="preserve">2.2 </w:t>
      </w:r>
      <w:r w:rsidRPr="00E04FD0">
        <w:rPr>
          <w:rFonts w:asciiTheme="majorHAnsi" w:eastAsiaTheme="majorEastAsia" w:hAnsiTheme="majorHAnsi" w:cstheme="majorBidi"/>
          <w:color w:val="2F5496" w:themeColor="accent1" w:themeShade="BF"/>
          <w:sz w:val="28"/>
          <w:szCs w:val="28"/>
        </w:rPr>
        <w:tab/>
        <w:t>Net Cash Requirement</w:t>
      </w:r>
    </w:p>
    <w:p w:rsidR="00E04FD0" w:rsidRPr="00E04FD0" w:rsidP="00E04FD0">
      <w:pPr>
        <w:keepNext/>
        <w:keepLines/>
        <w:spacing w:after="0" w:line="240" w:lineRule="auto"/>
        <w:outlineLvl w:val="1"/>
        <w:rPr>
          <w:rFonts w:asciiTheme="majorHAnsi" w:eastAsiaTheme="majorEastAsia" w:hAnsiTheme="majorHAnsi" w:cstheme="majorBidi"/>
          <w:color w:val="2F5496" w:themeColor="accent1" w:themeShade="BF"/>
          <w:sz w:val="28"/>
          <w:szCs w:val="28"/>
        </w:rPr>
      </w:pPr>
    </w:p>
    <w:p w:rsidR="00E04FD0" w:rsidRPr="00E04FD0" w:rsidP="00E04FD0">
      <w:pPr>
        <w:spacing w:after="0" w:line="240" w:lineRule="auto"/>
        <w:rPr>
          <w:rFonts w:eastAsia="Times New Roman"/>
          <w:lang w:eastAsia="en-GB"/>
        </w:rPr>
      </w:pPr>
      <w:r w:rsidRPr="00E04FD0">
        <w:rPr>
          <w:rFonts w:eastAsia="Times New Roman"/>
          <w:lang w:eastAsia="en-GB"/>
        </w:rPr>
        <w:t>The 2021-22 net cash requirement (NCR) is £1,297m, a £74m decrease (5.4%) from the 2020-21 requirement of £1,371m.</w:t>
      </w:r>
    </w:p>
    <w:p w:rsidR="00E04FD0" w:rsidRPr="00E04FD0" w:rsidP="00E04FD0">
      <w:pPr>
        <w:spacing w:after="0" w:line="240" w:lineRule="auto"/>
        <w:rPr>
          <w:rFonts w:eastAsia="Times New Roman"/>
          <w:lang w:eastAsia="en-GB"/>
        </w:rPr>
      </w:pPr>
    </w:p>
    <w:p w:rsidR="00E04FD0" w:rsidRPr="00E04FD0" w:rsidP="00E04FD0">
      <w:pPr>
        <w:keepNext/>
        <w:keepLines/>
        <w:spacing w:after="0" w:line="240" w:lineRule="auto"/>
        <w:outlineLvl w:val="1"/>
        <w:rPr>
          <w:rFonts w:eastAsia="Times New Roman" w:asciiTheme="majorHAnsi" w:hAnsiTheme="majorHAnsi" w:cstheme="majorBidi"/>
          <w:color w:val="2F5496" w:themeColor="accent1" w:themeShade="BF"/>
          <w:sz w:val="28"/>
          <w:szCs w:val="28"/>
          <w:lang w:eastAsia="en-GB"/>
        </w:rPr>
      </w:pPr>
      <w:r w:rsidRPr="00E04FD0">
        <w:rPr>
          <w:rFonts w:eastAsia="Times New Roman" w:asciiTheme="majorHAnsi" w:hAnsiTheme="majorHAnsi" w:cstheme="majorBidi"/>
          <w:color w:val="2F5496" w:themeColor="accent1" w:themeShade="BF"/>
          <w:sz w:val="28"/>
          <w:szCs w:val="28"/>
          <w:lang w:eastAsia="en-GB"/>
        </w:rPr>
        <w:t xml:space="preserve">2.3 </w:t>
      </w:r>
      <w:r w:rsidRPr="00E04FD0">
        <w:rPr>
          <w:rFonts w:eastAsia="Times New Roman" w:asciiTheme="majorHAnsi" w:hAnsiTheme="majorHAnsi" w:cstheme="majorBidi"/>
          <w:color w:val="2F5496" w:themeColor="accent1" w:themeShade="BF"/>
          <w:sz w:val="28"/>
          <w:szCs w:val="28"/>
          <w:lang w:eastAsia="en-GB"/>
        </w:rPr>
        <w:tab/>
        <w:t>Estimated scheme liabilities</w:t>
      </w:r>
    </w:p>
    <w:p w:rsidR="00E04FD0" w:rsidRPr="00E04FD0" w:rsidP="00E04FD0">
      <w:pPr>
        <w:spacing w:after="0" w:line="240" w:lineRule="auto"/>
        <w:rPr>
          <w:rFonts w:eastAsiaTheme="minorEastAsia"/>
          <w:lang w:eastAsia="en-GB"/>
        </w:rPr>
      </w:pPr>
    </w:p>
    <w:p w:rsidR="00E04FD0" w:rsidRPr="00E04FD0" w:rsidP="00E04FD0">
      <w:pPr>
        <w:spacing w:after="0" w:line="240" w:lineRule="auto"/>
        <w:rPr>
          <w:rFonts w:eastAsia="Times New Roman"/>
          <w:lang w:eastAsia="en-GB"/>
        </w:rPr>
      </w:pPr>
      <w:r w:rsidRPr="00E04FD0">
        <w:rPr>
          <w:rFonts w:eastAsia="Times New Roman"/>
          <w:lang w:eastAsia="en-GB"/>
        </w:rPr>
        <w:t xml:space="preserve">The latest valuation of the scheme liabilities for accounting purposes was £233.1 billion, as at 31 March 2020. At the time, there were 298,760 Active member benefits, 519,763 Deferred member benefits, and 442,954 Pensioner benefits. </w:t>
      </w:r>
    </w:p>
    <w:p w:rsidR="00E04FD0" w:rsidRPr="00E04FD0" w:rsidP="00E04FD0">
      <w:pPr>
        <w:spacing w:after="0" w:line="240" w:lineRule="auto"/>
        <w:rPr>
          <w:rFonts w:eastAsia="Times New Roman"/>
          <w:lang w:eastAsia="en-GB"/>
        </w:rPr>
      </w:pPr>
    </w:p>
    <w:p w:rsidR="00E04FD0" w:rsidRPr="00E04FD0" w:rsidP="00E04FD0">
      <w:pPr>
        <w:spacing w:after="0" w:line="240" w:lineRule="auto"/>
        <w:rPr>
          <w:rFonts w:eastAsia="Times New Roman"/>
          <w:lang w:eastAsia="en-GB"/>
        </w:rPr>
      </w:pPr>
      <w:r w:rsidRPr="00E04FD0">
        <w:rPr>
          <w:rFonts w:eastAsia="Times New Roman"/>
          <w:lang w:eastAsia="en-GB"/>
        </w:rPr>
        <w:t xml:space="preserve">Details of the latest scheme liabilities can be found within the 2019-20 AFPS accounts, report of the Actuary page 22, at the following link: </w:t>
      </w:r>
      <w:r>
        <w:fldChar w:fldCharType="begin"/>
      </w:r>
      <w:r>
        <w:instrText xml:space="preserve"> HYPERLINK "https://www.gov.uk/government/publications/armed-forces-pension-scheme-annual-accounts-2019-to-2020" </w:instrText>
      </w:r>
      <w:r>
        <w:fldChar w:fldCharType="separate"/>
      </w:r>
      <w:r w:rsidRPr="00E04FD0">
        <w:rPr>
          <w:rFonts w:eastAsia="Times New Roman"/>
          <w:color w:val="0000FF"/>
          <w:u w:val="single"/>
          <w:lang w:eastAsia="en-GB"/>
        </w:rPr>
        <w:t>https://www.gov.uk/government/publications/armed-forces-pension-scheme-annual-accounts-2019-to-2020</w:t>
      </w:r>
      <w:r>
        <w:fldChar w:fldCharType="end"/>
      </w:r>
    </w:p>
    <w:p w:rsidR="00E04FD0"/>
    <w:sectPr w:rsidSect="002A1235">
      <w:headerReference w:type="even" r:id="rId6"/>
      <w:headerReference w:type="default" r:id="rId7"/>
      <w:footerReference w:type="even" r:id="rId8"/>
      <w:footerReference w:type="default" r:id="rId9"/>
      <w:headerReference w:type="first" r:id="rId10"/>
      <w:footerReference w:type="first" r:id="rId11"/>
      <w:pgSz w:w="11906" w:h="16838"/>
      <w:pgMar w:top="1440"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1E1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1E1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1E1B">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1E1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1E1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1E1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04FD0"/>
    <w:pPr>
      <w:tabs>
        <w:tab w:val="center" w:pos="4513"/>
        <w:tab w:val="right" w:pos="9026"/>
      </w:tabs>
      <w:spacing w:after="0" w:line="240" w:lineRule="auto"/>
    </w:pPr>
    <w:rPr>
      <w:rFonts w:eastAsiaTheme="minorEastAsia"/>
    </w:rPr>
  </w:style>
  <w:style w:type="character" w:customStyle="1" w:styleId="HeaderChar">
    <w:name w:val="Header Char"/>
    <w:basedOn w:val="DefaultParagraphFont"/>
    <w:link w:val="Header"/>
    <w:uiPriority w:val="99"/>
    <w:rsid w:val="00E04FD0"/>
    <w:rPr>
      <w:rFonts w:eastAsiaTheme="minorEastAsia"/>
    </w:rPr>
  </w:style>
  <w:style w:type="paragraph" w:styleId="Footer">
    <w:name w:val="footer"/>
    <w:basedOn w:val="Normal"/>
    <w:link w:val="FooterChar"/>
    <w:uiPriority w:val="99"/>
    <w:unhideWhenUsed/>
    <w:rsid w:val="00E04FD0"/>
    <w:pPr>
      <w:tabs>
        <w:tab w:val="center" w:pos="4513"/>
        <w:tab w:val="right" w:pos="9026"/>
      </w:tabs>
      <w:spacing w:after="0" w:line="240" w:lineRule="auto"/>
    </w:pPr>
    <w:rPr>
      <w:rFonts w:eastAsiaTheme="minorEastAsia"/>
    </w:rPr>
  </w:style>
  <w:style w:type="character" w:customStyle="1" w:styleId="FooterChar">
    <w:name w:val="Footer Char"/>
    <w:basedOn w:val="DefaultParagraphFont"/>
    <w:link w:val="Footer"/>
    <w:uiPriority w:val="99"/>
    <w:rsid w:val="00E04FD0"/>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emf"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