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Office_Excel_Worksheet1.xlsx" ContentType="application/vnd.openxmlformats-officedocument.spreadsheetml.sheet"/>
  <Override PartName="/word/embeddings/Microsoft_Office_Excel_Worksheet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4D14" w:rsidRPr="009A4D14" w:rsidP="009A4D14">
      <w:pPr>
        <w:rPr>
          <w:rFonts w:eastAsiaTheme="minorEastAsia"/>
          <w:b/>
          <w:color w:val="4472C4" w:themeColor="accent1"/>
          <w:spacing w:val="-10"/>
          <w:kern w:val="28"/>
          <w:sz w:val="36"/>
        </w:rPr>
      </w:pPr>
      <w:bookmarkStart w:id="0" w:name="_Hlk534621357"/>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r>
      <w:r w:rsidRPr="009A4D14">
        <w:rPr>
          <w:rFonts w:eastAsiaTheme="minorEastAsia"/>
          <w:b/>
          <w:color w:val="4472C4" w:themeColor="accent1"/>
          <w:spacing w:val="-10"/>
          <w:kern w:val="28"/>
          <w:sz w:val="36"/>
        </w:rPr>
        <w:tab/>
        <w:t>Annex A</w:t>
      </w:r>
    </w:p>
    <w:p w:rsidR="009A4D14" w:rsidRPr="009A4D14" w:rsidP="009A4D14">
      <w:pPr>
        <w:rPr>
          <w:rFonts w:eastAsiaTheme="minorEastAsia"/>
          <w:b/>
          <w:color w:val="4472C4" w:themeColor="accent1"/>
          <w:spacing w:val="-10"/>
          <w:kern w:val="28"/>
          <w:sz w:val="36"/>
        </w:rPr>
      </w:pPr>
      <w:r w:rsidRPr="009A4D14">
        <w:rPr>
          <w:rFonts w:eastAsiaTheme="minorEastAsia"/>
          <w:b/>
          <w:color w:val="4472C4" w:themeColor="accent1"/>
          <w:spacing w:val="-10"/>
          <w:kern w:val="28"/>
          <w:sz w:val="36"/>
        </w:rPr>
        <w:t>MEMORANDUM FOR THE MINISTRY OF DEFENCE</w:t>
      </w:r>
    </w:p>
    <w:p w:rsidR="009A4D14" w:rsidRPr="009A4D14" w:rsidP="009A4D14">
      <w:pPr>
        <w:rPr>
          <w:rFonts w:eastAsiaTheme="minorEastAsia"/>
          <w:b/>
          <w:color w:val="4472C4" w:themeColor="accent1"/>
          <w:spacing w:val="-10"/>
          <w:kern w:val="28"/>
          <w:sz w:val="36"/>
        </w:rPr>
      </w:pPr>
      <w:r w:rsidRPr="009A4D14">
        <w:rPr>
          <w:rFonts w:eastAsiaTheme="minorEastAsia"/>
          <w:b/>
          <w:color w:val="4472C4" w:themeColor="accent1"/>
          <w:spacing w:val="-10"/>
          <w:kern w:val="28"/>
          <w:sz w:val="36"/>
        </w:rPr>
        <w:t>MAIN ESTIMATE 2021-22</w:t>
      </w:r>
    </w:p>
    <w:p w:rsidR="009A4D14" w:rsidRPr="009A4D14" w:rsidP="009A4D14">
      <w:pPr>
        <w:rPr>
          <w:rFonts w:eastAsiaTheme="minorEastAsia"/>
          <w:b/>
          <w:color w:val="4472C4" w:themeColor="accent1"/>
          <w:spacing w:val="-10"/>
          <w:kern w:val="28"/>
          <w:sz w:val="24"/>
          <w:szCs w:val="24"/>
        </w:rPr>
      </w:pPr>
    </w:p>
    <w:p w:rsidR="009A4D14" w:rsidRPr="009A4D14" w:rsidP="009A4D14">
      <w:pPr>
        <w:keepNext/>
        <w:keepLines/>
        <w:spacing w:before="240" w:after="0"/>
        <w:ind w:left="432" w:hanging="432"/>
        <w:outlineLvl w:val="0"/>
        <w:rPr>
          <w:rFonts w:eastAsiaTheme="majorEastAsia" w:cstheme="majorBidi"/>
          <w:color w:val="2F5496" w:themeColor="accent1" w:themeShade="BF"/>
          <w:sz w:val="32"/>
          <w:szCs w:val="32"/>
        </w:rPr>
      </w:pPr>
      <w:bookmarkEnd w:id="0"/>
      <w:r w:rsidRPr="009A4D14">
        <w:rPr>
          <w:rFonts w:eastAsiaTheme="majorEastAsia" w:cstheme="majorBidi"/>
          <w:color w:val="2F5496" w:themeColor="accent1" w:themeShade="BF"/>
          <w:sz w:val="32"/>
          <w:szCs w:val="32"/>
        </w:rPr>
        <w:t>Overview</w:t>
      </w:r>
    </w:p>
    <w:p w:rsidR="009A4D14" w:rsidRPr="009A4D14" w:rsidP="009A4D14">
      <w:pPr>
        <w:spacing w:before="100" w:beforeAutospacing="1" w:after="100" w:afterAutospacing="1" w:line="240" w:lineRule="auto"/>
        <w:rPr>
          <w:rFonts w:eastAsiaTheme="minorEastAsia"/>
          <w:lang w:eastAsia="en-GB"/>
        </w:rPr>
      </w:pPr>
      <w:r w:rsidRPr="009A4D14">
        <w:rPr>
          <w:rFonts w:eastAsiaTheme="minorEastAsia"/>
          <w:lang w:eastAsia="en-GB"/>
        </w:rPr>
        <w:t xml:space="preserve">This Memorandum covers the Main Estimate (ME) for the Ministry of Defence (MOD) and should be read in conjunction with the Central Government Main Supply Estimates 2021-22. The Department’s spending plans for 2021-22 are based on the Spending Review 2020. </w:t>
      </w:r>
    </w:p>
    <w:p w:rsidR="009A4D14" w:rsidRPr="009A4D14" w:rsidP="009A4D14">
      <w:pPr>
        <w:spacing w:before="100" w:beforeAutospacing="1" w:after="100" w:afterAutospacing="1" w:line="240" w:lineRule="auto"/>
        <w:rPr>
          <w:rFonts w:eastAsiaTheme="minorEastAsia"/>
          <w:lang w:eastAsia="en-GB"/>
        </w:rPr>
      </w:pPr>
      <w:r w:rsidRPr="009A4D14">
        <w:rPr>
          <w:rFonts w:eastAsiaTheme="minorEastAsia"/>
          <w:lang w:eastAsia="en-GB"/>
        </w:rPr>
        <w:t>The Department’s Expenditure Limit (DEL) (Resource and Capital) for 2021-22 is £45.8Bn (including net budget cover transfers to Other Government Departments (OGDs) in 2021-22 but excluding ring fenced (depreciation and impairments) expenditure). This figure is also inclusive of initial funding provided by HM Treasury’s (HMT) Reserve for the net additional costs of Military Operations and Peacekeeping.</w:t>
      </w:r>
    </w:p>
    <w:p w:rsidR="009A4D14" w:rsidRPr="009A4D14" w:rsidP="009A4D14">
      <w:pPr>
        <w:spacing w:before="100" w:beforeAutospacing="1" w:after="100" w:afterAutospacing="1" w:line="240" w:lineRule="auto"/>
        <w:rPr>
          <w:rFonts w:eastAsiaTheme="minorEastAsia"/>
          <w:lang w:eastAsia="en-GB"/>
        </w:rPr>
      </w:pPr>
      <w:r w:rsidRPr="009A4D14">
        <w:rPr>
          <w:rFonts w:eastAsiaTheme="minorEastAsia"/>
          <w:lang w:eastAsia="en-GB"/>
        </w:rPr>
        <w:t>There are no contingencies funded in this Estimate, and contingent liabilities are reported in a separate table in the Main Supply Estimate.</w:t>
      </w:r>
    </w:p>
    <w:p w:rsidR="009A4D14" w:rsidRPr="009A4D14" w:rsidP="009A4D14">
      <w:pPr>
        <w:spacing w:before="100" w:beforeAutospacing="1" w:after="100" w:afterAutospacing="1" w:line="240" w:lineRule="auto"/>
        <w:rPr>
          <w:rFonts w:eastAsiaTheme="minorEastAsia"/>
          <w:lang w:eastAsia="en-GB"/>
        </w:rPr>
      </w:pPr>
      <w:r w:rsidRPr="009A4D14">
        <w:rPr>
          <w:rFonts w:eastAsiaTheme="minorEastAsia"/>
          <w:lang w:eastAsia="en-GB"/>
        </w:rPr>
        <w:t>There is a separate Estimate Memorandum for the Armed Forces Pensions and Compensation Schemes vote.</w:t>
      </w:r>
    </w:p>
    <w:p w:rsidR="009A4D14" w:rsidRPr="009A4D14" w:rsidP="009A4D14">
      <w:pPr>
        <w:spacing w:before="100" w:beforeAutospacing="1" w:after="100" w:afterAutospacing="1" w:line="240" w:lineRule="auto"/>
        <w:rPr>
          <w:rFonts w:eastAsiaTheme="minorEastAsia"/>
          <w:lang w:eastAsia="en-GB"/>
        </w:rPr>
      </w:pPr>
      <w:r w:rsidRPr="009A4D14">
        <w:rPr>
          <w:rFonts w:eastAsiaTheme="minorEastAsia"/>
          <w:lang w:eastAsia="en-GB"/>
        </w:rPr>
        <w:t>Section 4 contains explanations for each new request for resources.</w:t>
      </w:r>
    </w:p>
    <w:p w:rsidR="009A4D14" w:rsidRPr="009A4D14" w:rsidP="009A4D14">
      <w:pPr>
        <w:spacing w:before="100" w:beforeAutospacing="1" w:after="100" w:afterAutospacing="1" w:line="240" w:lineRule="auto"/>
        <w:rPr>
          <w:rFonts w:eastAsiaTheme="minorEastAsia"/>
          <w:lang w:eastAsia="en-GB"/>
        </w:rPr>
      </w:pPr>
      <w:r w:rsidRPr="009A4D14">
        <w:rPr>
          <w:rFonts w:eastAsiaTheme="minorEastAsia"/>
          <w:lang w:eastAsia="en-GB"/>
        </w:rPr>
        <w:t>Please note, the figures in the tables within this memorandum have been rounded to one decimal place. In some cases, this has caused a minor discrepancy between the figures in the tables and the totals shown due to the rounding of the figures.</w:t>
      </w: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Objectives</w:t>
      </w:r>
    </w:p>
    <w:p w:rsidR="009A4D14" w:rsidRPr="009A4D14" w:rsidP="009A4D14">
      <w:pPr>
        <w:rPr>
          <w:rFonts w:eastAsiaTheme="minorEastAsia"/>
        </w:rPr>
      </w:pPr>
      <w:r w:rsidRPr="009A4D14">
        <w:rPr>
          <w:rFonts w:eastAsiaTheme="minorEastAsia"/>
        </w:rPr>
        <w:t>The Ministry of Defence’s priority outcomes that guide Defence Planning, as set out in the Spending Review 2020</w:t>
      </w:r>
      <w:r>
        <w:rPr>
          <w:rFonts w:eastAsiaTheme="minorEastAsia"/>
          <w:vertAlign w:val="superscript"/>
        </w:rPr>
        <w:footnoteReference w:id="2"/>
      </w:r>
      <w:r w:rsidRPr="009A4D14">
        <w:rPr>
          <w:rFonts w:eastAsiaTheme="minorEastAsia"/>
        </w:rPr>
        <w:t xml:space="preserve">, are: </w:t>
      </w:r>
    </w:p>
    <w:p w:rsidR="009A4D14" w:rsidRPr="009A4D14" w:rsidP="009A4D14">
      <w:pPr>
        <w:numPr>
          <w:ilvl w:val="0"/>
          <w:numId w:val="2"/>
        </w:numPr>
        <w:spacing w:before="100" w:beforeAutospacing="1" w:after="100" w:afterAutospacing="1" w:line="240" w:lineRule="auto"/>
        <w:contextualSpacing/>
        <w:rPr>
          <w:rFonts w:eastAsiaTheme="minorEastAsia"/>
          <w:lang w:eastAsia="en-GB"/>
        </w:rPr>
      </w:pPr>
      <w:r w:rsidRPr="009A4D14">
        <w:rPr>
          <w:rFonts w:eastAsiaTheme="minorEastAsia"/>
          <w:lang w:eastAsia="en-GB"/>
        </w:rPr>
        <w:t>Protect the UK and its Overseas Territories</w:t>
      </w:r>
    </w:p>
    <w:p w:rsidR="009A4D14" w:rsidRPr="009A4D14" w:rsidP="009A4D14">
      <w:pPr>
        <w:numPr>
          <w:ilvl w:val="0"/>
          <w:numId w:val="2"/>
        </w:numPr>
        <w:spacing w:before="100" w:beforeAutospacing="1" w:after="100" w:afterAutospacing="1" w:line="240" w:lineRule="auto"/>
        <w:contextualSpacing/>
        <w:rPr>
          <w:rFonts w:eastAsiaTheme="minorEastAsia"/>
          <w:lang w:eastAsia="en-GB"/>
        </w:rPr>
      </w:pPr>
      <w:r w:rsidRPr="009A4D14">
        <w:rPr>
          <w:rFonts w:eastAsiaTheme="minorEastAsia"/>
          <w:lang w:eastAsia="en-GB"/>
        </w:rPr>
        <w:t>Enhance global security through persistent engagement and response to crises</w:t>
      </w:r>
    </w:p>
    <w:p w:rsidR="009A4D14" w:rsidRPr="009A4D14" w:rsidP="009A4D14">
      <w:pPr>
        <w:numPr>
          <w:ilvl w:val="0"/>
          <w:numId w:val="2"/>
        </w:numPr>
        <w:spacing w:before="100" w:beforeAutospacing="1" w:after="100" w:afterAutospacing="1" w:line="240" w:lineRule="auto"/>
        <w:contextualSpacing/>
        <w:rPr>
          <w:rFonts w:eastAsiaTheme="minorEastAsia"/>
          <w:lang w:eastAsia="en-GB"/>
        </w:rPr>
      </w:pPr>
      <w:r w:rsidRPr="009A4D14">
        <w:rPr>
          <w:rFonts w:eastAsiaTheme="minorEastAsia"/>
          <w:lang w:eastAsia="en-GB"/>
        </w:rPr>
        <w:t>Contribute to NATO collective deterrence and defence</w:t>
      </w:r>
    </w:p>
    <w:p w:rsidR="009A4D14" w:rsidRPr="009A4D14" w:rsidP="009A4D14">
      <w:pPr>
        <w:numPr>
          <w:ilvl w:val="0"/>
          <w:numId w:val="2"/>
        </w:numPr>
        <w:spacing w:before="100" w:beforeAutospacing="1" w:after="100" w:afterAutospacing="1" w:line="240" w:lineRule="auto"/>
        <w:contextualSpacing/>
        <w:rPr>
          <w:rFonts w:eastAsiaTheme="minorEastAsia"/>
          <w:lang w:eastAsia="en-GB"/>
        </w:rPr>
      </w:pPr>
      <w:r w:rsidRPr="009A4D14">
        <w:rPr>
          <w:rFonts w:eastAsiaTheme="minorEastAsia"/>
          <w:lang w:eastAsia="en-GB"/>
        </w:rPr>
        <w:t>Modernise and integrate defence capabilities by taking a whole force approach to our people and increasing the use of technology and innovation.</w:t>
      </w:r>
    </w:p>
    <w:p w:rsidR="009A4D14" w:rsidRPr="009A4D14" w:rsidP="009A4D14">
      <w:pPr>
        <w:spacing w:before="100" w:beforeAutospacing="1" w:after="100" w:afterAutospacing="1" w:line="240" w:lineRule="auto"/>
        <w:rPr>
          <w:rFonts w:eastAsiaTheme="minorEastAsia"/>
          <w:lang w:eastAsia="en-GB"/>
        </w:rPr>
      </w:pPr>
      <w:r w:rsidRPr="009A4D14">
        <w:rPr>
          <w:rFonts w:eastAsiaTheme="minorEastAsia"/>
          <w:lang w:eastAsia="en-GB"/>
        </w:rPr>
        <w:t>MOD’s spending is designed to support its objectives.  The budgetary structure of the MOD does not show separately the exact costs or budgets for the four individual objectives as set out above. This is because large parts of the Armed Services operate as fully integrated joint organisations in which elements from the Navy, Army and Air Force work closely together and share land, buildings and facilities and sometimes equipment. Detail of these areas of spending is given at Section 3.1.</w:t>
      </w: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Spending controls</w:t>
      </w:r>
    </w:p>
    <w:p w:rsidR="009A4D14" w:rsidRPr="009A4D14" w:rsidP="009A4D14">
      <w:pPr>
        <w:rPr>
          <w:rFonts w:eastAsiaTheme="minorEastAsia"/>
          <w:i/>
        </w:rPr>
      </w:pPr>
      <w:r w:rsidRPr="009A4D14">
        <w:rPr>
          <w:rFonts w:eastAsiaTheme="minorEastAsia"/>
        </w:rPr>
        <w:t>MOD’s spending is broken down into a several different spending totals, for which Parliament’s approval is sought.</w:t>
      </w:r>
      <w:r w:rsidRPr="009A4D14">
        <w:rPr>
          <w:rFonts w:eastAsiaTheme="minorEastAsia"/>
          <w:i/>
        </w:rPr>
        <w:t xml:space="preserve"> </w:t>
      </w:r>
    </w:p>
    <w:p w:rsidR="009A4D14" w:rsidRPr="009A4D14" w:rsidP="009A4D14">
      <w:pPr>
        <w:rPr>
          <w:rFonts w:eastAsiaTheme="minorEastAsia"/>
        </w:rPr>
      </w:pPr>
      <w:r w:rsidRPr="009A4D14">
        <w:rPr>
          <w:rFonts w:eastAsiaTheme="minorEastAsia"/>
        </w:rPr>
        <w:t>The spending totals which Parliament votes are:</w:t>
      </w:r>
    </w:p>
    <w:p w:rsidR="009A4D14" w:rsidRPr="009A4D14" w:rsidP="009A4D14">
      <w:pPr>
        <w:numPr>
          <w:ilvl w:val="0"/>
          <w:numId w:val="10"/>
        </w:numPr>
        <w:contextualSpacing/>
        <w:rPr>
          <w:rFonts w:eastAsiaTheme="minorEastAsia"/>
        </w:rPr>
      </w:pPr>
      <w:r w:rsidRPr="009A4D14">
        <w:rPr>
          <w:rFonts w:eastAsiaTheme="minorEastAsia"/>
        </w:rPr>
        <w:t>Resource Departmental Expenditure Limit (“</w:t>
      </w:r>
      <w:r w:rsidRPr="009A4D14">
        <w:rPr>
          <w:rFonts w:eastAsiaTheme="minorEastAsia"/>
          <w:b/>
        </w:rPr>
        <w:t>Resource DEL</w:t>
      </w:r>
      <w:r w:rsidRPr="009A4D14">
        <w:rPr>
          <w:rFonts w:eastAsiaTheme="minorEastAsia"/>
        </w:rPr>
        <w:t>”)- day to day running costs</w:t>
      </w:r>
    </w:p>
    <w:p w:rsidR="009A4D14" w:rsidRPr="009A4D14" w:rsidP="009A4D14">
      <w:pPr>
        <w:numPr>
          <w:ilvl w:val="0"/>
          <w:numId w:val="10"/>
        </w:numPr>
        <w:contextualSpacing/>
        <w:rPr>
          <w:rFonts w:eastAsiaTheme="minorEastAsia"/>
        </w:rPr>
      </w:pPr>
      <w:r w:rsidRPr="009A4D14">
        <w:rPr>
          <w:rFonts w:eastAsiaTheme="minorEastAsia"/>
        </w:rPr>
        <w:t>Capital Departmental Expenditure Limit (“</w:t>
      </w:r>
      <w:r w:rsidRPr="009A4D14">
        <w:rPr>
          <w:rFonts w:eastAsiaTheme="minorEastAsia"/>
          <w:b/>
        </w:rPr>
        <w:t>Capital DEL</w:t>
      </w:r>
      <w:r w:rsidRPr="009A4D14">
        <w:rPr>
          <w:rFonts w:eastAsiaTheme="minorEastAsia"/>
        </w:rPr>
        <w:t xml:space="preserve">”): - investment in infrastructure </w:t>
      </w:r>
    </w:p>
    <w:p w:rsidR="009A4D14" w:rsidRPr="009A4D14" w:rsidP="009A4D14">
      <w:pPr>
        <w:numPr>
          <w:ilvl w:val="0"/>
          <w:numId w:val="10"/>
        </w:numPr>
        <w:contextualSpacing/>
        <w:rPr>
          <w:rFonts w:eastAsiaTheme="minorEastAsia"/>
        </w:rPr>
      </w:pPr>
      <w:r w:rsidRPr="009A4D14">
        <w:rPr>
          <w:rFonts w:eastAsiaTheme="minorEastAsia"/>
        </w:rPr>
        <w:t>Resource Annually Managed Expenditure (“</w:t>
      </w:r>
      <w:r w:rsidRPr="009A4D14">
        <w:rPr>
          <w:rFonts w:eastAsiaTheme="minorEastAsia"/>
          <w:b/>
        </w:rPr>
        <w:t>Resource AME</w:t>
      </w:r>
      <w:r w:rsidRPr="009A4D14">
        <w:rPr>
          <w:rFonts w:eastAsiaTheme="minorEastAsia"/>
        </w:rPr>
        <w:t>”): less predictable day to day spending: in MOD’s case, mainly provisions, depreciation and impairment and movements in financial instruments</w:t>
      </w:r>
    </w:p>
    <w:p w:rsidR="009A4D14" w:rsidRPr="009A4D14" w:rsidP="009A4D14">
      <w:pPr>
        <w:numPr>
          <w:ilvl w:val="0"/>
          <w:numId w:val="10"/>
        </w:numPr>
        <w:contextualSpacing/>
        <w:rPr>
          <w:rFonts w:eastAsiaTheme="minorEastAsia"/>
        </w:rPr>
      </w:pPr>
      <w:r w:rsidRPr="009A4D14">
        <w:rPr>
          <w:rFonts w:eastAsiaTheme="minorEastAsia"/>
        </w:rPr>
        <w:t>Capital Annually Managed Expenditure (“</w:t>
      </w:r>
      <w:r w:rsidRPr="009A4D14">
        <w:rPr>
          <w:rFonts w:eastAsiaTheme="minorEastAsia"/>
          <w:b/>
        </w:rPr>
        <w:t>Capital AME</w:t>
      </w:r>
      <w:r w:rsidRPr="009A4D14">
        <w:rPr>
          <w:rFonts w:eastAsiaTheme="minorEastAsia"/>
        </w:rPr>
        <w:t>”): in MOD’s case, nuclear provisions.</w:t>
      </w:r>
    </w:p>
    <w:p w:rsidR="009A4D14" w:rsidRPr="009A4D14" w:rsidP="009A4D14">
      <w:pPr>
        <w:rPr>
          <w:rFonts w:eastAsiaTheme="minorEastAsia"/>
        </w:rPr>
      </w:pPr>
      <w:r w:rsidRPr="009A4D14">
        <w:rPr>
          <w:rFonts w:eastAsiaTheme="minorEastAsia"/>
        </w:rPr>
        <w:t xml:space="preserve">In addition, Parliament votes a </w:t>
      </w:r>
      <w:r w:rsidRPr="009A4D14">
        <w:rPr>
          <w:rFonts w:eastAsiaTheme="minorEastAsia"/>
          <w:b/>
        </w:rPr>
        <w:t>net cash requirement</w:t>
      </w:r>
      <w:r w:rsidRPr="009A4D14">
        <w:rPr>
          <w:rFonts w:eastAsiaTheme="minorEastAsia"/>
        </w:rPr>
        <w:t>, designed to cover the elements of the above budgets which require MOD to pay out cash in year.</w:t>
      </w:r>
    </w:p>
    <w:p w:rsidR="009A4D14" w:rsidRPr="009A4D14" w:rsidP="009A4D14">
      <w:pPr>
        <w:rPr>
          <w:rFonts w:eastAsiaTheme="minorEastAsia"/>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ab/>
        <w:t>Main areas of spending</w:t>
      </w:r>
    </w:p>
    <w:p w:rsidR="009A4D14" w:rsidRPr="009A4D14" w:rsidP="009A4D14">
      <w:pPr>
        <w:rPr>
          <w:rFonts w:eastAsiaTheme="minorEastAsia"/>
        </w:rPr>
      </w:pPr>
      <w:r w:rsidRPr="009A4D14">
        <w:rPr>
          <w:rFonts w:eastAsiaTheme="minorEastAsia"/>
        </w:rPr>
        <w:t>The graphic below shows the main components of MOD’s proposed budget for the current year, included in the latest Main Estimate, and the proportions of funds spent on its main activities.</w:t>
      </w:r>
    </w:p>
    <w:p w:rsidR="009A4D14" w:rsidRPr="009A4D14" w:rsidP="009A4D14">
      <w:pPr>
        <w:rPr>
          <w:rFonts w:eastAsiaTheme="minorEastAsia"/>
        </w:rPr>
      </w:pPr>
      <w:r w:rsidRPr="009A4D14">
        <w:rPr>
          <w:rFonts w:eastAsiaTheme="minorEastAsia"/>
          <w:noProof/>
        </w:rPr>
        <w:drawing>
          <wp:inline distT="0" distB="0" distL="0" distR="0">
            <wp:extent cx="5731510" cy="3553460"/>
            <wp:effectExtent l="0" t="0" r="2540" b="8890"/>
            <wp:docPr id="1" name="Chart 1"/>
            <wp:cNvGraphicFramePr>
              <a:graphicFrameLocks xmlns:a="http://schemas.openxmlformats.org/drawingml/2006/main" noChangeAspect="1" noGrp="1" noMove="1" noSelect="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a16="http://schemas.microsoft.com/office/drawing/2014/main" id="{EA9B92C8-09D6-4AF4-BB58-199FC2AB3197}"/>
                        </a:ext>
                      </a:extLst>
                    </pic:cNvPr>
                    <pic:cNvPicPr>
                      <a:picLocks noGrp="1" noRot="1" noChangeAspect="1" noMove="1" noResize="1" noEditPoints="1" noAdjustHandles="1" noChangeArrowheads="1" noChangeShapeType="1"/>
                    </pic:cNvPicPr>
                  </pic:nvPicPr>
                  <pic:blipFill>
                    <a:blip xmlns:r="http://schemas.openxmlformats.org/officeDocument/2006/relationships" r:embed="rId5"/>
                    <a:stretch>
                      <a:fillRect/>
                    </a:stretch>
                  </pic:blipFill>
                  <pic:spPr>
                    <a:xfrm>
                      <a:off x="0" y="0"/>
                      <a:ext cx="5731510" cy="3553460"/>
                    </a:xfrm>
                    <a:prstGeom prst="rect">
                      <a:avLst/>
                    </a:prstGeom>
                  </pic:spPr>
                </pic:pic>
              </a:graphicData>
            </a:graphic>
          </wp:inline>
        </w:drawing>
      </w:r>
    </w:p>
    <w:p w:rsidR="009A4D14" w:rsidRPr="009A4D14" w:rsidP="009A4D14">
      <w:pPr>
        <w:rPr>
          <w:rFonts w:eastAsiaTheme="minorEastAsia"/>
        </w:rPr>
      </w:pPr>
      <w:r w:rsidRPr="009A4D14">
        <w:rPr>
          <w:rFonts w:eastAsiaTheme="minorEastAsia"/>
          <w:i/>
          <w:sz w:val="20"/>
          <w:szCs w:val="20"/>
          <w:lang w:eastAsia="en-GB"/>
        </w:rPr>
        <w:t xml:space="preserve">* </w:t>
      </w:r>
      <w:r w:rsidRPr="009A4D14">
        <w:rPr>
          <w:rFonts w:eastAsiaTheme="minorEastAsia"/>
          <w:sz w:val="16"/>
        </w:rPr>
        <w:t>Includes Other Costs and Services, Receipts and Other Income, Cash Release of Provisions, Research and Development Costs related to Provision of Defence Capability, DE&amp;S (BTE) Costs, Arm's Length Bodies and War Pension Benefits Programme Costs</w:t>
      </w:r>
      <w:r w:rsidRPr="009A4D14">
        <w:rPr>
          <w:rFonts w:eastAsiaTheme="minorEastAsia"/>
          <w:i/>
          <w:sz w:val="20"/>
          <w:szCs w:val="20"/>
          <w:lang w:eastAsia="en-GB"/>
        </w:rPr>
        <w:t>.</w:t>
      </w:r>
      <w:r w:rsidRPr="009A4D14">
        <w:rPr>
          <w:rFonts w:eastAsiaTheme="minorEastAsia"/>
        </w:rPr>
        <w:t xml:space="preserve"> </w:t>
      </w:r>
    </w:p>
    <w:p w:rsidR="009A4D14" w:rsidRPr="009A4D14" w:rsidP="009A4D14">
      <w:pPr>
        <w:rPr>
          <w:rFonts w:eastAsiaTheme="minorEastAsia"/>
        </w:rPr>
      </w:pPr>
    </w:p>
    <w:p w:rsidR="009A4D14" w:rsidRPr="009A4D14" w:rsidP="009A4D14">
      <w:pPr>
        <w:rPr>
          <w:rFonts w:eastAsiaTheme="minorEastAsia"/>
        </w:rPr>
      </w:pPr>
      <w:r w:rsidRPr="009A4D14">
        <w:rPr>
          <w:rFonts w:eastAsiaTheme="minorEastAsia"/>
          <w:noProof/>
        </w:rPr>
        <w:drawing>
          <wp:inline distT="0" distB="0" distL="0" distR="0">
            <wp:extent cx="5731510" cy="3103880"/>
            <wp:effectExtent l="0" t="0" r="2540" b="1270"/>
            <wp:docPr id="3" name="Chart 3"/>
            <wp:cNvGraphicFramePr>
              <a:graphicFrameLocks xmlns:a="http://schemas.openxmlformats.org/drawingml/2006/main" noChangeAspect="1" noGrp="1" noMove="1" noSelect="1"/>
            </wp:cNvGraphicFramePr>
            <a:graphic xmlns:a="http://schemas.openxmlformats.org/drawingml/2006/main">
              <a:graphicData uri="http://schemas.openxmlformats.org/drawingml/2006/picture">
                <pic:pic xmlns:pic="http://schemas.openxmlformats.org/drawingml/2006/picture">
                  <pic:nvPicPr>
                    <pic:cNvPr id="3" name="Chart 3">
                      <a:extLst>
                        <a:ext uri="{FF2B5EF4-FFF2-40B4-BE49-F238E27FC236}">
                          <a16:creationId xmlns:a16="http://schemas.microsoft.com/office/drawing/2014/main" id="{E54F4A55-26D4-4CE4-A8C6-B2F0DA55B4CA}"/>
                        </a:ext>
                      </a:extLst>
                    </pic:cNvPr>
                    <pic:cNvPicPr>
                      <a:picLocks noGrp="1" noRot="1" noChangeAspect="1" noMove="1" noResize="1" noEditPoints="1" noAdjustHandles="1" noChangeArrowheads="1" noChangeShapeType="1"/>
                    </pic:cNvPicPr>
                  </pic:nvPicPr>
                  <pic:blipFill>
                    <a:blip xmlns:r="http://schemas.openxmlformats.org/officeDocument/2006/relationships" r:embed="rId6"/>
                    <a:stretch>
                      <a:fillRect/>
                    </a:stretch>
                  </pic:blipFill>
                  <pic:spPr>
                    <a:xfrm>
                      <a:off x="0" y="0"/>
                      <a:ext cx="5731510" cy="3103880"/>
                    </a:xfrm>
                    <a:prstGeom prst="rect">
                      <a:avLst/>
                    </a:prstGeom>
                  </pic:spPr>
                </pic:pic>
              </a:graphicData>
            </a:graphic>
          </wp:inline>
        </w:drawing>
      </w: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Comparison of spending totals sought </w:t>
      </w:r>
    </w:p>
    <w:p w:rsidR="009A4D14" w:rsidRPr="009A4D14" w:rsidP="009A4D14">
      <w:pPr>
        <w:shd w:val="clear" w:color="auto" w:fill="FFFFFF"/>
        <w:spacing w:after="180" w:line="288" w:lineRule="auto"/>
        <w:rPr>
          <w:rFonts w:eastAsiaTheme="minorEastAsia"/>
          <w:noProof/>
        </w:rPr>
      </w:pPr>
      <w:r w:rsidRPr="009A4D14">
        <w:rPr>
          <w:rFonts w:eastAsiaTheme="minorEastAsia"/>
          <w:noProof/>
        </w:rPr>
        <w:t>The table and graphic below show how the totals sought for the MOD  compare with last year:</w:t>
      </w:r>
    </w:p>
    <w:tbl>
      <w:tblPr>
        <w:tblW w:w="9212" w:type="dxa"/>
        <w:jc w:val="center"/>
        <w:tblLook w:val="04A0"/>
      </w:tblPr>
      <w:tblGrid>
        <w:gridCol w:w="9212"/>
      </w:tblGrid>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b/>
                <w:bCs/>
                <w:sz w:val="20"/>
                <w:szCs w:val="20"/>
                <w:lang w:eastAsia="en-GB"/>
              </w:rPr>
            </w:pPr>
            <w:r w:rsidRPr="009A4D14">
              <w:rPr>
                <w:rFonts w:ascii="Arial" w:eastAsia="Times New Roman" w:hAnsi="Arial" w:cs="Arial"/>
                <w:b/>
                <w:bCs/>
                <w:sz w:val="20"/>
                <w:szCs w:val="20"/>
                <w:lang w:eastAsia="en-GB"/>
              </w:rPr>
              <w:t>Table 1: Main Estimate total sought for MOD compared with last year</w:t>
            </w:r>
            <w:r w:rsidRPr="009A4D14">
              <w:rPr>
                <w:rFonts w:ascii="Arial" w:eastAsia="Times New Roman" w:hAnsi="Arial" w:cs="Arial"/>
                <w:i/>
                <w:iCs/>
                <w:sz w:val="20"/>
                <w:szCs w:val="20"/>
                <w:vertAlign w:val="superscript"/>
                <w:lang w:eastAsia="en-GB"/>
              </w:rPr>
              <w:t>1</w:t>
            </w: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tcPr>
          <w:tbl>
            <w:tblPr>
              <w:tblW w:w="6632" w:type="dxa"/>
              <w:tblInd w:w="5" w:type="dxa"/>
              <w:tblLook w:val="04A0"/>
            </w:tblPr>
            <w:tblGrid>
              <w:gridCol w:w="1022"/>
              <w:gridCol w:w="1298"/>
              <w:gridCol w:w="916"/>
              <w:gridCol w:w="1096"/>
              <w:gridCol w:w="1098"/>
              <w:gridCol w:w="1202"/>
            </w:tblGrid>
            <w:tr w:rsidTr="009A4D14">
              <w:tblPrEx>
                <w:tblW w:w="6632" w:type="dxa"/>
                <w:tblInd w:w="5" w:type="dxa"/>
                <w:tblLook w:val="04A0"/>
              </w:tblPrEx>
              <w:trPr>
                <w:trHeight w:val="384"/>
              </w:trPr>
              <w:tc>
                <w:tcPr>
                  <w:tcW w:w="2320" w:type="dxa"/>
                  <w:gridSpan w:val="2"/>
                  <w:tcBorders>
                    <w:top w:val="single" w:sz="8" w:space="0" w:color="auto"/>
                    <w:left w:val="single" w:sz="8" w:space="0" w:color="auto"/>
                    <w:bottom w:val="nil"/>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Spending total - Main Estimate</w:t>
                  </w:r>
                </w:p>
              </w:tc>
              <w:tc>
                <w:tcPr>
                  <w:tcW w:w="2012" w:type="dxa"/>
                  <w:gridSpan w:val="2"/>
                  <w:tcBorders>
                    <w:top w:val="single" w:sz="8" w:space="0" w:color="auto"/>
                    <w:left w:val="nil"/>
                    <w:bottom w:val="nil"/>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 xml:space="preserve"> Increase Compared to</w:t>
                  </w:r>
                </w:p>
              </w:tc>
              <w:tc>
                <w:tcPr>
                  <w:tcW w:w="2300" w:type="dxa"/>
                  <w:gridSpan w:val="2"/>
                  <w:tcBorders>
                    <w:top w:val="single" w:sz="8" w:space="0" w:color="auto"/>
                    <w:left w:val="nil"/>
                    <w:bottom w:val="nil"/>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Increase Compared     to</w:t>
                  </w:r>
                </w:p>
              </w:tc>
            </w:tr>
            <w:tr w:rsidTr="009A4D14">
              <w:tblPrEx>
                <w:tblW w:w="6632" w:type="dxa"/>
                <w:tblInd w:w="5" w:type="dxa"/>
                <w:tblLook w:val="04A0"/>
              </w:tblPrEx>
              <w:trPr>
                <w:trHeight w:val="217"/>
              </w:trPr>
              <w:tc>
                <w:tcPr>
                  <w:tcW w:w="2320" w:type="dxa"/>
                  <w:gridSpan w:val="2"/>
                  <w:tcBorders>
                    <w:top w:val="nil"/>
                    <w:left w:val="single" w:sz="8" w:space="0" w:color="auto"/>
                    <w:bottom w:val="single" w:sz="8" w:space="0" w:color="000000"/>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2021-22</w:t>
                  </w:r>
                </w:p>
              </w:tc>
              <w:tc>
                <w:tcPr>
                  <w:tcW w:w="2012" w:type="dxa"/>
                  <w:gridSpan w:val="2"/>
                  <w:tcBorders>
                    <w:top w:val="nil"/>
                    <w:left w:val="nil"/>
                    <w:bottom w:val="single" w:sz="8"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2020-21 SE</w:t>
                  </w:r>
                </w:p>
              </w:tc>
              <w:tc>
                <w:tcPr>
                  <w:tcW w:w="2300" w:type="dxa"/>
                  <w:gridSpan w:val="2"/>
                  <w:tcBorders>
                    <w:top w:val="nil"/>
                    <w:left w:val="nil"/>
                    <w:bottom w:val="single" w:sz="8"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2020-21 ME</w:t>
                  </w:r>
                </w:p>
              </w:tc>
            </w:tr>
            <w:tr w:rsidTr="009A4D14">
              <w:tblPrEx>
                <w:tblW w:w="6632" w:type="dxa"/>
                <w:tblInd w:w="5" w:type="dxa"/>
                <w:tblLook w:val="04A0"/>
              </w:tblPrEx>
              <w:trPr>
                <w:trHeight w:val="217"/>
              </w:trPr>
              <w:tc>
                <w:tcPr>
                  <w:tcW w:w="1022" w:type="dxa"/>
                  <w:tcBorders>
                    <w:top w:val="nil"/>
                    <w:left w:val="single" w:sz="8" w:space="0" w:color="auto"/>
                    <w:bottom w:val="single" w:sz="8" w:space="0" w:color="auto"/>
                    <w:right w:val="single" w:sz="8"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 </w:t>
                  </w:r>
                </w:p>
              </w:tc>
              <w:tc>
                <w:tcPr>
                  <w:tcW w:w="1298"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£M</w:t>
                  </w:r>
                </w:p>
              </w:tc>
              <w:tc>
                <w:tcPr>
                  <w:tcW w:w="916"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£M</w:t>
                  </w:r>
                </w:p>
              </w:tc>
              <w:tc>
                <w:tcPr>
                  <w:tcW w:w="1096"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w:t>
                  </w:r>
                </w:p>
              </w:tc>
              <w:tc>
                <w:tcPr>
                  <w:tcW w:w="1098"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£M</w:t>
                  </w:r>
                </w:p>
              </w:tc>
              <w:tc>
                <w:tcPr>
                  <w:tcW w:w="1201"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w:t>
                  </w:r>
                </w:p>
              </w:tc>
            </w:tr>
            <w:tr w:rsidTr="009A4D14">
              <w:tblPrEx>
                <w:tblW w:w="6632" w:type="dxa"/>
                <w:tblInd w:w="5" w:type="dxa"/>
                <w:tblLook w:val="04A0"/>
              </w:tblPrEx>
              <w:trPr>
                <w:trHeight w:val="335"/>
              </w:trPr>
              <w:tc>
                <w:tcPr>
                  <w:tcW w:w="1022" w:type="dxa"/>
                  <w:tcBorders>
                    <w:top w:val="nil"/>
                    <w:left w:val="single" w:sz="8" w:space="0" w:color="auto"/>
                    <w:bottom w:val="single" w:sz="8" w:space="0" w:color="auto"/>
                    <w:right w:val="single" w:sz="8" w:space="0" w:color="auto"/>
                  </w:tcBorders>
                  <w:shd w:val="clear" w:color="auto" w:fill="auto"/>
                  <w:vAlign w:val="center"/>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Resource DEL</w:t>
                  </w:r>
                </w:p>
              </w:tc>
              <w:tc>
                <w:tcPr>
                  <w:tcW w:w="1298"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41,943</w:t>
                  </w:r>
                </w:p>
              </w:tc>
              <w:tc>
                <w:tcPr>
                  <w:tcW w:w="91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687</w:t>
                  </w:r>
                </w:p>
              </w:tc>
              <w:tc>
                <w:tcPr>
                  <w:tcW w:w="109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1.7%</w:t>
                  </w:r>
                </w:p>
              </w:tc>
              <w:tc>
                <w:tcPr>
                  <w:tcW w:w="1098"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2,695</w:t>
                  </w:r>
                </w:p>
              </w:tc>
              <w:tc>
                <w:tcPr>
                  <w:tcW w:w="1201"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6.9%</w:t>
                  </w:r>
                </w:p>
              </w:tc>
            </w:tr>
            <w:tr w:rsidTr="009A4D14">
              <w:tblPrEx>
                <w:tblW w:w="6632" w:type="dxa"/>
                <w:tblInd w:w="5" w:type="dxa"/>
                <w:tblLook w:val="04A0"/>
              </w:tblPrEx>
              <w:trPr>
                <w:trHeight w:val="217"/>
              </w:trPr>
              <w:tc>
                <w:tcPr>
                  <w:tcW w:w="1022" w:type="dxa"/>
                  <w:tcBorders>
                    <w:top w:val="nil"/>
                    <w:left w:val="single" w:sz="8" w:space="0" w:color="auto"/>
                    <w:bottom w:val="single" w:sz="8" w:space="0" w:color="auto"/>
                    <w:right w:val="single" w:sz="8" w:space="0" w:color="auto"/>
                  </w:tcBorders>
                  <w:shd w:val="clear" w:color="auto" w:fill="auto"/>
                  <w:vAlign w:val="center"/>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Capital DEL</w:t>
                  </w:r>
                </w:p>
              </w:tc>
              <w:tc>
                <w:tcPr>
                  <w:tcW w:w="1298"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14,333</w:t>
                  </w:r>
                </w:p>
              </w:tc>
              <w:tc>
                <w:tcPr>
                  <w:tcW w:w="91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2,616</w:t>
                  </w:r>
                </w:p>
              </w:tc>
              <w:tc>
                <w:tcPr>
                  <w:tcW w:w="109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22.3%</w:t>
                  </w:r>
                </w:p>
              </w:tc>
              <w:tc>
                <w:tcPr>
                  <w:tcW w:w="1098"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3,798</w:t>
                  </w:r>
                </w:p>
              </w:tc>
              <w:tc>
                <w:tcPr>
                  <w:tcW w:w="1201"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36%</w:t>
                  </w:r>
                </w:p>
              </w:tc>
            </w:tr>
            <w:tr w:rsidTr="009A4D14">
              <w:tblPrEx>
                <w:tblW w:w="6632" w:type="dxa"/>
                <w:tblInd w:w="5" w:type="dxa"/>
                <w:tblLook w:val="04A0"/>
              </w:tblPrEx>
              <w:trPr>
                <w:trHeight w:val="217"/>
              </w:trPr>
              <w:tc>
                <w:tcPr>
                  <w:tcW w:w="1022" w:type="dxa"/>
                  <w:tcBorders>
                    <w:top w:val="nil"/>
                    <w:left w:val="single" w:sz="8" w:space="0" w:color="auto"/>
                    <w:bottom w:val="single" w:sz="8" w:space="0" w:color="auto"/>
                    <w:right w:val="single" w:sz="8" w:space="0" w:color="auto"/>
                  </w:tcBorders>
                  <w:shd w:val="clear" w:color="auto" w:fill="auto"/>
                  <w:vAlign w:val="center"/>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AME</w:t>
                  </w:r>
                </w:p>
              </w:tc>
              <w:tc>
                <w:tcPr>
                  <w:tcW w:w="1298"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1,519</w:t>
                  </w:r>
                </w:p>
              </w:tc>
              <w:tc>
                <w:tcPr>
                  <w:tcW w:w="916" w:type="dxa"/>
                  <w:tcBorders>
                    <w:top w:val="nil"/>
                    <w:left w:val="single" w:sz="4"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(1,200)</w:t>
                  </w:r>
                </w:p>
              </w:tc>
              <w:tc>
                <w:tcPr>
                  <w:tcW w:w="1096" w:type="dxa"/>
                  <w:tcBorders>
                    <w:top w:val="nil"/>
                    <w:left w:val="nil"/>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-44.1%</w:t>
                  </w:r>
                </w:p>
              </w:tc>
              <w:tc>
                <w:tcPr>
                  <w:tcW w:w="1098"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w:t>
                  </w:r>
                </w:p>
              </w:tc>
              <w:tc>
                <w:tcPr>
                  <w:tcW w:w="1201"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0 </w:t>
                  </w:r>
                </w:p>
              </w:tc>
            </w:tr>
          </w:tbl>
          <w:p w:rsidR="009A4D14" w:rsidRPr="009A4D14" w:rsidP="009A4D14">
            <w:pPr>
              <w:spacing w:after="0" w:line="240" w:lineRule="auto"/>
              <w:rPr>
                <w:rFonts w:ascii="Arial" w:eastAsia="Times New Roman" w:hAnsi="Arial" w:cs="Arial"/>
                <w:b/>
                <w:bCs/>
                <w:sz w:val="20"/>
                <w:szCs w:val="20"/>
                <w:lang w:eastAsia="en-GB"/>
              </w:rPr>
            </w:pP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Note 1: Total include spends for Operations and Peacekeeping.</w:t>
            </w:r>
          </w:p>
          <w:p w:rsidR="009A4D14" w:rsidRPr="009A4D14" w:rsidP="009A4D14">
            <w:pPr>
              <w:spacing w:after="0" w:line="240" w:lineRule="auto"/>
              <w:rPr>
                <w:rFonts w:ascii="Arial" w:eastAsia="Times New Roman" w:hAnsi="Arial" w:cs="Arial"/>
                <w:i/>
                <w:iCs/>
                <w:sz w:val="16"/>
                <w:szCs w:val="16"/>
                <w:lang w:eastAsia="en-GB"/>
              </w:rPr>
            </w:pP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tcPr>
          <w:p w:rsidR="009A4D14" w:rsidRPr="009A4D14" w:rsidP="009A4D14">
            <w:pPr>
              <w:spacing w:after="0" w:line="240" w:lineRule="auto"/>
              <w:rPr>
                <w:rFonts w:ascii="Arial" w:eastAsia="Times New Roman" w:hAnsi="Arial" w:cs="Arial"/>
                <w:b/>
                <w:bCs/>
                <w:sz w:val="20"/>
                <w:szCs w:val="20"/>
                <w:lang w:eastAsia="en-GB"/>
              </w:rPr>
            </w:pPr>
            <w:r w:rsidRPr="009A4D14">
              <w:rPr>
                <w:rFonts w:eastAsiaTheme="minorEastAsia"/>
                <w:noProof/>
              </w:rPr>
              <w:drawing>
                <wp:inline distT="0" distB="0" distL="0" distR="0">
                  <wp:extent cx="5646420" cy="2679381"/>
                  <wp:effectExtent l="0" t="0" r="11430" b="6985"/>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tcPr>
          <w:p w:rsidR="009A4D14" w:rsidRPr="009A4D14" w:rsidP="009A4D14">
            <w:pPr>
              <w:spacing w:after="0" w:line="240" w:lineRule="auto"/>
              <w:rPr>
                <w:rFonts w:eastAsiaTheme="minorEastAsia"/>
                <w:noProof/>
              </w:rPr>
            </w:pP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tcPr>
          <w:p w:rsidR="009A4D14" w:rsidRPr="009A4D14" w:rsidP="009A4D14">
            <w:pPr>
              <w:spacing w:after="0" w:line="240" w:lineRule="auto"/>
              <w:rPr>
                <w:rFonts w:eastAsiaTheme="minorEastAsia"/>
                <w:noProof/>
              </w:rPr>
            </w:pP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tcPr>
          <w:p w:rsidR="009A4D14" w:rsidRPr="009A4D14" w:rsidP="009A4D14">
            <w:pPr>
              <w:spacing w:after="0" w:line="240" w:lineRule="auto"/>
              <w:rPr>
                <w:rFonts w:eastAsiaTheme="minorEastAsia"/>
                <w:noProof/>
              </w:rPr>
            </w:pP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vAlign w:val="bottom"/>
          </w:tcPr>
          <w:p w:rsidR="009A4D14" w:rsidRPr="009A4D14" w:rsidP="009A4D14">
            <w:pPr>
              <w:spacing w:after="0" w:line="240" w:lineRule="auto"/>
              <w:rPr>
                <w:rFonts w:ascii="Arial" w:eastAsia="Times New Roman" w:hAnsi="Arial" w:cs="Arial"/>
                <w:b/>
                <w:bCs/>
                <w:sz w:val="20"/>
                <w:szCs w:val="20"/>
                <w:lang w:eastAsia="en-GB"/>
              </w:rPr>
            </w:pPr>
          </w:p>
        </w:tc>
      </w:tr>
      <w:tr w:rsidTr="009A4D14">
        <w:tblPrEx>
          <w:tblW w:w="9212" w:type="dxa"/>
          <w:jc w:val="center"/>
          <w:tblLook w:val="04A0"/>
        </w:tblPrEx>
        <w:trPr>
          <w:trHeight w:val="217"/>
          <w:jc w:val="center"/>
        </w:trPr>
        <w:tc>
          <w:tcPr>
            <w:tcW w:w="9212" w:type="dxa"/>
            <w:tcBorders>
              <w:top w:val="nil"/>
              <w:left w:val="nil"/>
              <w:bottom w:val="nil"/>
              <w:right w:val="nil"/>
            </w:tcBorders>
            <w:shd w:val="clear" w:color="auto" w:fill="auto"/>
          </w:tcPr>
          <w:p w:rsidR="009A4D14" w:rsidRPr="009A4D14" w:rsidP="009A4D14">
            <w:pPr>
              <w:spacing w:after="0" w:line="240" w:lineRule="auto"/>
              <w:rPr>
                <w:rFonts w:ascii="Arial" w:eastAsia="Times New Roman" w:hAnsi="Arial" w:cs="Arial"/>
                <w:b/>
                <w:bCs/>
                <w:sz w:val="20"/>
                <w:szCs w:val="20"/>
                <w:lang w:eastAsia="en-GB"/>
              </w:rPr>
            </w:pPr>
          </w:p>
        </w:tc>
      </w:tr>
    </w:tbl>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Key drivers of spending changes since last year</w:t>
      </w:r>
    </w:p>
    <w:p w:rsidR="009A4D14" w:rsidRPr="009A4D14" w:rsidP="009A4D14">
      <w:pPr>
        <w:rPr>
          <w:rFonts w:eastAsiaTheme="minorEastAsia"/>
          <w:lang w:eastAsia="en-GB"/>
        </w:rPr>
      </w:pPr>
      <w:r w:rsidRPr="009A4D14">
        <w:rPr>
          <w:rFonts w:eastAsiaTheme="minorEastAsia"/>
          <w:lang w:eastAsia="en-GB"/>
        </w:rPr>
        <w:t>The main causes of the changes in Resource DEL are:</w:t>
      </w:r>
    </w:p>
    <w:p w:rsidR="009A4D14" w:rsidRPr="009A4D14" w:rsidP="009A4D14">
      <w:pPr>
        <w:numPr>
          <w:ilvl w:val="0"/>
          <w:numId w:val="11"/>
        </w:numPr>
        <w:contextualSpacing/>
        <w:rPr>
          <w:rFonts w:eastAsiaTheme="minorEastAsia"/>
          <w:lang w:eastAsia="en-GB"/>
        </w:rPr>
      </w:pPr>
      <w:r w:rsidRPr="009A4D14">
        <w:rPr>
          <w:rFonts w:eastAsiaTheme="minorEastAsia"/>
          <w:lang w:eastAsia="en-GB"/>
        </w:rPr>
        <w:t>Initial funding for Operations and Peacekeeping driven by ongoing Counter-Daesh operations;</w:t>
      </w:r>
    </w:p>
    <w:p w:rsidR="009A4D14" w:rsidRPr="009A4D14" w:rsidP="009A4D14">
      <w:pPr>
        <w:numPr>
          <w:ilvl w:val="0"/>
          <w:numId w:val="11"/>
        </w:numPr>
        <w:spacing w:before="120" w:after="0" w:line="240" w:lineRule="auto"/>
        <w:contextualSpacing/>
        <w:rPr>
          <w:rFonts w:eastAsiaTheme="minorEastAsia" w:cs="Arial"/>
        </w:rPr>
      </w:pPr>
      <w:r w:rsidRPr="009A4D14">
        <w:rPr>
          <w:rFonts w:eastAsiaTheme="minorEastAsia" w:cs="Arial"/>
          <w:color w:val="000000"/>
        </w:rPr>
        <w:t>Additional budget cover received at Spending Review 20, to invest in priorities and modernise, such as our offensive cyber capabilities, anti-submarine warfare, establishment of a new Space Command, and transformation; and</w:t>
      </w:r>
    </w:p>
    <w:p w:rsidR="009A4D14" w:rsidRPr="009A4D14" w:rsidP="009A4D14">
      <w:pPr>
        <w:numPr>
          <w:ilvl w:val="0"/>
          <w:numId w:val="11"/>
        </w:numPr>
        <w:contextualSpacing/>
        <w:rPr>
          <w:rFonts w:eastAsiaTheme="minorEastAsia"/>
          <w:lang w:eastAsia="en-GB"/>
        </w:rPr>
      </w:pPr>
      <w:r w:rsidRPr="009A4D14">
        <w:rPr>
          <w:rFonts w:eastAsiaTheme="minorEastAsia"/>
          <w:lang w:eastAsia="en-GB"/>
        </w:rPr>
        <w:t>Budget cover transfers to/from other government departments due to transfer of responsibilities.</w:t>
      </w:r>
    </w:p>
    <w:p w:rsidR="009A4D14" w:rsidRPr="009A4D14" w:rsidP="009A4D14">
      <w:pPr>
        <w:rPr>
          <w:rFonts w:eastAsiaTheme="minorEastAsia"/>
          <w:lang w:eastAsia="en-GB"/>
        </w:rPr>
      </w:pPr>
      <w:r w:rsidRPr="009A4D14">
        <w:rPr>
          <w:rFonts w:eastAsiaTheme="minorEastAsia"/>
          <w:lang w:eastAsia="en-GB"/>
        </w:rPr>
        <w:t>The main causes of the changes in Capital DEL are:</w:t>
      </w:r>
    </w:p>
    <w:p w:rsidR="009A4D14" w:rsidRPr="009A4D14" w:rsidP="009A4D14">
      <w:pPr>
        <w:numPr>
          <w:ilvl w:val="0"/>
          <w:numId w:val="11"/>
        </w:numPr>
        <w:contextualSpacing/>
        <w:rPr>
          <w:rFonts w:eastAsiaTheme="minorEastAsia"/>
          <w:lang w:eastAsia="en-GB"/>
        </w:rPr>
      </w:pPr>
      <w:r w:rsidRPr="009A4D14">
        <w:rPr>
          <w:rFonts w:eastAsiaTheme="minorEastAsia"/>
          <w:lang w:eastAsia="en-GB"/>
        </w:rPr>
        <w:t>Initial funding for Operations and Peacekeeping driven by ongoing Counter-Daesh operations;</w:t>
      </w:r>
    </w:p>
    <w:p w:rsidR="009A4D14" w:rsidRPr="009A4D14" w:rsidP="009A4D14">
      <w:pPr>
        <w:numPr>
          <w:ilvl w:val="0"/>
          <w:numId w:val="11"/>
        </w:numPr>
        <w:contextualSpacing/>
        <w:rPr>
          <w:rFonts w:eastAsiaTheme="minorEastAsia"/>
          <w:lang w:eastAsia="en-GB"/>
        </w:rPr>
      </w:pPr>
      <w:r w:rsidRPr="009A4D14">
        <w:rPr>
          <w:rFonts w:eastAsiaTheme="minorEastAsia"/>
          <w:lang w:eastAsia="en-GB"/>
        </w:rPr>
        <w:t>Additional capital funding received at Spending Review 20 to invest in priorities and modernise, such as capital investment, nuclear deterrent;</w:t>
      </w:r>
    </w:p>
    <w:p w:rsidR="009A4D14" w:rsidRPr="009A4D14" w:rsidP="009A4D14">
      <w:pPr>
        <w:numPr>
          <w:ilvl w:val="0"/>
          <w:numId w:val="11"/>
        </w:numPr>
        <w:contextualSpacing/>
        <w:rPr>
          <w:rFonts w:eastAsiaTheme="minorEastAsia"/>
          <w:lang w:eastAsia="en-GB"/>
        </w:rPr>
      </w:pPr>
      <w:r w:rsidRPr="009A4D14">
        <w:rPr>
          <w:rFonts w:eastAsiaTheme="minorEastAsia"/>
          <w:lang w:eastAsia="en-GB"/>
        </w:rPr>
        <w:t>Additional funding for infrastructure projects announced in the Chancellor’s Fiscal stimulus package;</w:t>
      </w:r>
    </w:p>
    <w:p w:rsidR="009A4D14" w:rsidRPr="009A4D14" w:rsidP="009A4D14">
      <w:pPr>
        <w:numPr>
          <w:ilvl w:val="0"/>
          <w:numId w:val="11"/>
        </w:numPr>
        <w:contextualSpacing/>
        <w:rPr>
          <w:rFonts w:eastAsiaTheme="minorEastAsia"/>
          <w:lang w:eastAsia="en-GB"/>
        </w:rPr>
      </w:pPr>
      <w:r w:rsidRPr="009A4D14">
        <w:rPr>
          <w:rFonts w:eastAsiaTheme="minorEastAsia"/>
          <w:lang w:eastAsia="en-GB"/>
        </w:rPr>
        <w:t>Budget cover transfers to/from other government departments due to transfer of responsibilities.</w:t>
      </w:r>
    </w:p>
    <w:p w:rsidR="009A4D14" w:rsidRPr="009A4D14" w:rsidP="009A4D14">
      <w:pPr>
        <w:rPr>
          <w:rFonts w:eastAsiaTheme="minorEastAsia"/>
          <w:lang w:eastAsia="en-GB"/>
        </w:rPr>
      </w:pPr>
      <w:r w:rsidRPr="009A4D14">
        <w:rPr>
          <w:rFonts w:eastAsiaTheme="minorEastAsia"/>
          <w:lang w:eastAsia="en-GB"/>
        </w:rPr>
        <w:t>The initial Resource AME is set at £1.5Bn based on available information.</w:t>
      </w:r>
    </w:p>
    <w:p w:rsidR="009A4D14" w:rsidRPr="009A4D14" w:rsidP="009A4D14">
      <w:pPr>
        <w:spacing w:after="0" w:line="240" w:lineRule="auto"/>
        <w:rPr>
          <w:rFonts w:eastAsiaTheme="minorEastAsia"/>
          <w:lang w:eastAsia="en-GB"/>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New policies and programme; ambit changes</w:t>
      </w:r>
    </w:p>
    <w:p w:rsidR="009A4D14" w:rsidRPr="009A4D14" w:rsidP="009A4D14">
      <w:pPr>
        <w:rPr>
          <w:rFonts w:eastAsiaTheme="minorEastAsia"/>
        </w:rPr>
      </w:pPr>
      <w:r w:rsidRPr="009A4D14">
        <w:rPr>
          <w:rFonts w:eastAsiaTheme="minorEastAsia"/>
        </w:rPr>
        <w:t>The Department made no revisions to the ambit.</w:t>
      </w:r>
    </w:p>
    <w:p w:rsidR="009A4D14" w:rsidRPr="009A4D14" w:rsidP="009A4D14">
      <w:pPr>
        <w:spacing w:after="0" w:line="240" w:lineRule="auto"/>
        <w:rPr>
          <w:rFonts w:eastAsiaTheme="minorEastAsia"/>
          <w:lang w:eastAsia="en-GB"/>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Spending trends</w:t>
      </w:r>
    </w:p>
    <w:p w:rsidR="009A4D14" w:rsidRPr="009A4D14" w:rsidP="009A4D14">
      <w:pPr>
        <w:rPr>
          <w:rFonts w:eastAsiaTheme="minorEastAsia"/>
        </w:rPr>
      </w:pPr>
      <w:r w:rsidRPr="009A4D14">
        <w:rPr>
          <w:rFonts w:eastAsiaTheme="minorEastAsia"/>
        </w:rPr>
        <w:t>The charts below show overall spending trends for the last five years, plans presented in Estimates for 2020-21 and 2021-22.</w:t>
      </w:r>
    </w:p>
    <w:p w:rsidR="009A4D14" w:rsidRPr="009A4D14" w:rsidP="009A4D14">
      <w:pPr>
        <w:jc w:val="center"/>
        <w:rPr>
          <w:rFonts w:eastAsiaTheme="minorEastAsia"/>
        </w:rPr>
      </w:pPr>
      <w:r w:rsidRPr="009A4D14">
        <w:rPr>
          <w:rFonts w:eastAsiaTheme="minorEastAsia"/>
          <w:noProof/>
        </w:rPr>
        <w:drawing>
          <wp:inline distT="0" distB="0" distL="0" distR="0">
            <wp:extent cx="4751070" cy="2816542"/>
            <wp:effectExtent l="0" t="0" r="11430" b="31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4D14" w:rsidRPr="009A4D14" w:rsidP="009A4D14">
      <w:pPr>
        <w:numPr>
          <w:ilvl w:val="0"/>
          <w:numId w:val="12"/>
        </w:numPr>
        <w:contextualSpacing/>
        <w:rPr>
          <w:rFonts w:eastAsiaTheme="minorEastAsia"/>
          <w:i/>
          <w:sz w:val="20"/>
          <w:szCs w:val="20"/>
          <w:lang w:eastAsia="en-GB"/>
        </w:rPr>
      </w:pPr>
      <w:r w:rsidRPr="009A4D14">
        <w:rPr>
          <w:rFonts w:eastAsiaTheme="minorEastAsia"/>
          <w:i/>
          <w:sz w:val="20"/>
          <w:szCs w:val="20"/>
          <w:lang w:eastAsia="en-GB"/>
        </w:rPr>
        <w:t xml:space="preserve">Totals include spends for Operations and Peacekeeping.  </w:t>
      </w:r>
    </w:p>
    <w:p w:rsidR="009A4D14" w:rsidRPr="009A4D14" w:rsidP="009A4D14">
      <w:pPr>
        <w:numPr>
          <w:ilvl w:val="0"/>
          <w:numId w:val="12"/>
        </w:numPr>
        <w:contextualSpacing/>
        <w:rPr>
          <w:rFonts w:eastAsiaTheme="minorEastAsia"/>
        </w:rPr>
      </w:pPr>
      <w:r w:rsidRPr="009A4D14">
        <w:rPr>
          <w:rFonts w:eastAsiaTheme="minorEastAsia"/>
          <w:i/>
          <w:sz w:val="20"/>
          <w:szCs w:val="20"/>
          <w:lang w:eastAsia="en-GB"/>
        </w:rPr>
        <w:t>Resource AME, due to its nature, is volatile and reflects the changing Treasury Discount Rates on provision and fluctuations in financial instruments.</w:t>
      </w:r>
      <w:r w:rsidRPr="009A4D14">
        <w:rPr>
          <w:rFonts w:eastAsiaTheme="minorEastAsia"/>
        </w:rPr>
        <w:t xml:space="preserve"> </w:t>
      </w:r>
    </w:p>
    <w:p w:rsidR="009A4D14" w:rsidRPr="009A4D14" w:rsidP="009A4D14">
      <w:pPr>
        <w:ind w:left="720"/>
        <w:contextualSpacing/>
        <w:rPr>
          <w:rFonts w:eastAsiaTheme="minorEastAsia"/>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Administration costs and efficiency plans</w:t>
      </w:r>
    </w:p>
    <w:p w:rsidR="009A4D14" w:rsidRPr="009A4D14" w:rsidP="009A4D14">
      <w:pPr>
        <w:rPr>
          <w:rFonts w:eastAsiaTheme="minorEastAsia"/>
          <w:lang w:eastAsia="en-GB"/>
        </w:rPr>
      </w:pPr>
      <w:r w:rsidRPr="009A4D14">
        <w:rPr>
          <w:rFonts w:eastAsiaTheme="minorEastAsia"/>
          <w:lang w:eastAsia="en-GB"/>
        </w:rPr>
        <w:t xml:space="preserve">The Department SR20 settlement set out the Administrative Cost Regime (ACR) budgets for the settlement period. </w:t>
      </w:r>
    </w:p>
    <w:tbl>
      <w:tblPr>
        <w:tblW w:w="6910" w:type="dxa"/>
        <w:jc w:val="center"/>
        <w:tblLook w:val="04A0"/>
      </w:tblPr>
      <w:tblGrid>
        <w:gridCol w:w="10"/>
        <w:gridCol w:w="2860"/>
        <w:gridCol w:w="760"/>
        <w:gridCol w:w="820"/>
        <w:gridCol w:w="820"/>
        <w:gridCol w:w="820"/>
        <w:gridCol w:w="810"/>
        <w:gridCol w:w="10"/>
      </w:tblGrid>
      <w:tr w:rsidTr="009A4D14">
        <w:tblPrEx>
          <w:tblW w:w="6910" w:type="dxa"/>
          <w:jc w:val="center"/>
          <w:tblLook w:val="04A0"/>
        </w:tblPrEx>
        <w:trPr>
          <w:gridAfter w:val="1"/>
          <w:wAfter w:w="10" w:type="dxa"/>
          <w:trHeight w:val="276"/>
          <w:jc w:val="center"/>
        </w:trPr>
        <w:tc>
          <w:tcPr>
            <w:tcW w:w="6900" w:type="dxa"/>
            <w:gridSpan w:val="7"/>
            <w:tcBorders>
              <w:top w:val="nil"/>
              <w:left w:val="nil"/>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b/>
                <w:bCs/>
                <w:sz w:val="20"/>
                <w:szCs w:val="20"/>
                <w:lang w:eastAsia="en-GB"/>
              </w:rPr>
            </w:pPr>
            <w:r w:rsidRPr="009A4D14">
              <w:rPr>
                <w:rFonts w:ascii="Arial" w:eastAsia="Times New Roman" w:hAnsi="Arial" w:cs="Arial"/>
                <w:b/>
                <w:bCs/>
                <w:sz w:val="20"/>
                <w:szCs w:val="20"/>
                <w:lang w:eastAsia="en-GB"/>
              </w:rPr>
              <w:t>Table 2: Main Estimate total sought for Administration Costs</w:t>
            </w:r>
          </w:p>
        </w:tc>
      </w:tr>
      <w:tr w:rsidTr="009A4D14">
        <w:tblPrEx>
          <w:tblW w:w="6910" w:type="dxa"/>
          <w:jc w:val="left"/>
          <w:tblLook w:val="04A0"/>
        </w:tblPrEx>
        <w:trPr>
          <w:gridBefore w:val="1"/>
          <w:wBefore w:w="10" w:type="dxa"/>
          <w:trHeight w:val="480"/>
          <w:jc w:val="left"/>
        </w:trPr>
        <w:tc>
          <w:tcPr>
            <w:tcW w:w="3620" w:type="dxa"/>
            <w:gridSpan w:val="2"/>
            <w:tcBorders>
              <w:top w:val="single" w:sz="8" w:space="0" w:color="auto"/>
              <w:left w:val="single" w:sz="8" w:space="0" w:color="auto"/>
              <w:bottom w:val="single" w:sz="4" w:space="0" w:color="000000"/>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Spending total - Main Estimate</w:t>
            </w:r>
            <w:r w:rsidRPr="009A4D14">
              <w:rPr>
                <w:rFonts w:ascii="Arial" w:eastAsia="Times New Roman" w:hAnsi="Arial" w:cs="Arial"/>
                <w:b/>
                <w:bCs/>
                <w:sz w:val="18"/>
                <w:szCs w:val="18"/>
                <w:lang w:eastAsia="en-GB"/>
              </w:rPr>
              <w:br/>
              <w:t>2021-22</w:t>
            </w:r>
          </w:p>
        </w:tc>
        <w:tc>
          <w:tcPr>
            <w:tcW w:w="1640" w:type="dxa"/>
            <w:gridSpan w:val="2"/>
            <w:tcBorders>
              <w:top w:val="single" w:sz="8" w:space="0" w:color="auto"/>
              <w:left w:val="nil"/>
              <w:bottom w:val="single" w:sz="4"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Compared to</w:t>
            </w:r>
            <w:r w:rsidRPr="009A4D14">
              <w:rPr>
                <w:rFonts w:ascii="Arial" w:eastAsia="Times New Roman" w:hAnsi="Arial" w:cs="Arial"/>
                <w:b/>
                <w:bCs/>
                <w:sz w:val="18"/>
                <w:szCs w:val="18"/>
                <w:lang w:eastAsia="en-GB"/>
              </w:rPr>
              <w:br/>
              <w:t>2020-21 SE</w:t>
            </w:r>
          </w:p>
        </w:tc>
        <w:tc>
          <w:tcPr>
            <w:tcW w:w="1640" w:type="dxa"/>
            <w:gridSpan w:val="3"/>
            <w:tcBorders>
              <w:top w:val="single" w:sz="8" w:space="0" w:color="auto"/>
              <w:left w:val="nil"/>
              <w:bottom w:val="single" w:sz="4"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Compared to</w:t>
            </w:r>
            <w:r w:rsidRPr="009A4D14">
              <w:rPr>
                <w:rFonts w:ascii="Arial" w:eastAsia="Times New Roman" w:hAnsi="Arial" w:cs="Arial"/>
                <w:b/>
                <w:bCs/>
                <w:sz w:val="18"/>
                <w:szCs w:val="18"/>
                <w:lang w:eastAsia="en-GB"/>
              </w:rPr>
              <w:br/>
              <w:t>2020-21 ME</w:t>
            </w:r>
          </w:p>
        </w:tc>
      </w:tr>
      <w:tr w:rsidTr="009A4D14">
        <w:tblPrEx>
          <w:tblW w:w="6910" w:type="dxa"/>
          <w:jc w:val="left"/>
          <w:tblLook w:val="04A0"/>
        </w:tblPrEx>
        <w:trPr>
          <w:gridBefore w:val="1"/>
          <w:wBefore w:w="10" w:type="dxa"/>
          <w:trHeight w:val="276"/>
          <w:jc w:val="left"/>
        </w:trPr>
        <w:tc>
          <w:tcPr>
            <w:tcW w:w="2860" w:type="dxa"/>
            <w:tcBorders>
              <w:top w:val="nil"/>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w:t>
            </w:r>
          </w:p>
        </w:tc>
        <w:tc>
          <w:tcPr>
            <w:tcW w:w="760"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82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820"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w:t>
            </w:r>
          </w:p>
        </w:tc>
        <w:tc>
          <w:tcPr>
            <w:tcW w:w="82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820" w:type="dxa"/>
            <w:gridSpan w:val="2"/>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w:t>
            </w:r>
          </w:p>
        </w:tc>
      </w:tr>
      <w:tr w:rsidTr="009A4D14">
        <w:tblPrEx>
          <w:tblW w:w="6910" w:type="dxa"/>
          <w:jc w:val="left"/>
          <w:tblLook w:val="04A0"/>
        </w:tblPrEx>
        <w:trPr>
          <w:gridBefore w:val="1"/>
          <w:wBefore w:w="10" w:type="dxa"/>
          <w:trHeight w:val="276"/>
          <w:jc w:val="left"/>
        </w:trPr>
        <w:tc>
          <w:tcPr>
            <w:tcW w:w="2860" w:type="dxa"/>
            <w:tcBorders>
              <w:top w:val="nil"/>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Administration costs</w:t>
            </w:r>
          </w:p>
        </w:tc>
        <w:tc>
          <w:tcPr>
            <w:tcW w:w="760" w:type="dxa"/>
            <w:tcBorders>
              <w:top w:val="nil"/>
              <w:left w:val="single" w:sz="8" w:space="0" w:color="auto"/>
              <w:bottom w:val="single" w:sz="8" w:space="0" w:color="auto"/>
              <w:right w:val="single" w:sz="8"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1,983 </w:t>
            </w:r>
          </w:p>
        </w:tc>
        <w:tc>
          <w:tcPr>
            <w:tcW w:w="820" w:type="dxa"/>
            <w:tcBorders>
              <w:top w:val="nil"/>
              <w:left w:val="single" w:sz="4"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 </w:t>
            </w:r>
          </w:p>
        </w:tc>
        <w:tc>
          <w:tcPr>
            <w:tcW w:w="820" w:type="dxa"/>
            <w:tcBorders>
              <w:top w:val="nil"/>
              <w:left w:val="nil"/>
              <w:bottom w:val="single" w:sz="8" w:space="0" w:color="auto"/>
              <w:right w:val="single" w:sz="8"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0.1%</w:t>
            </w:r>
          </w:p>
        </w:tc>
        <w:tc>
          <w:tcPr>
            <w:tcW w:w="820" w:type="dxa"/>
            <w:tcBorders>
              <w:top w:val="nil"/>
              <w:left w:val="nil"/>
              <w:bottom w:val="single" w:sz="8" w:space="0" w:color="auto"/>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 </w:t>
            </w:r>
          </w:p>
        </w:tc>
        <w:tc>
          <w:tcPr>
            <w:tcW w:w="820" w:type="dxa"/>
            <w:gridSpan w:val="2"/>
            <w:tcBorders>
              <w:top w:val="nil"/>
              <w:left w:val="nil"/>
              <w:bottom w:val="single" w:sz="8" w:space="0" w:color="auto"/>
              <w:right w:val="single" w:sz="8"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0.1%</w:t>
            </w:r>
          </w:p>
        </w:tc>
      </w:tr>
    </w:tbl>
    <w:p w:rsidR="009A4D14" w:rsidRPr="009A4D14" w:rsidP="009A4D14">
      <w:pPr>
        <w:rPr>
          <w:rFonts w:eastAsiaTheme="minorEastAsia"/>
          <w:lang w:eastAsia="en-GB"/>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Funding: Spending Review and Budgets </w:t>
      </w:r>
    </w:p>
    <w:p w:rsidR="009A4D14" w:rsidRPr="009A4D14" w:rsidP="009A4D14">
      <w:pPr>
        <w:rPr>
          <w:rFonts w:eastAsiaTheme="minorEastAsia"/>
          <w:lang w:eastAsia="en-GB"/>
        </w:rPr>
      </w:pPr>
      <w:r w:rsidRPr="009A4D14">
        <w:rPr>
          <w:rFonts w:eastAsiaTheme="minorEastAsia"/>
          <w:lang w:eastAsia="en-GB"/>
        </w:rPr>
        <w:t xml:space="preserve">The levels of DEL funding for MOD for 2021-22 are based on plans published in the Spending Review 2020 settlement for the Ministry of Defence.  Since that time, the Government has announced that further £10m was made available to support the work of the Armed Forces Covenant Fund Trust. </w:t>
      </w:r>
    </w:p>
    <w:p w:rsidR="009A4D14" w:rsidRPr="009A4D14" w:rsidP="009A4D14">
      <w:pPr>
        <w:rPr>
          <w:rFonts w:eastAsiaTheme="minorEastAsia"/>
          <w:lang w:eastAsia="en-GB"/>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Other funding announcements </w:t>
      </w:r>
    </w:p>
    <w:p w:rsidR="009A4D14" w:rsidRPr="009A4D14" w:rsidP="009A4D14">
      <w:pPr>
        <w:rPr>
          <w:rFonts w:eastAsiaTheme="minorEastAsia"/>
        </w:rPr>
      </w:pPr>
      <w:r w:rsidRPr="009A4D14">
        <w:rPr>
          <w:rFonts w:eastAsiaTheme="minorEastAsia"/>
          <w:lang w:eastAsia="en-GB"/>
        </w:rPr>
        <w:t xml:space="preserve">There are no other spending announcements made during the year. </w:t>
      </w:r>
    </w:p>
    <w:p w:rsidR="009A4D14" w:rsidRPr="009A4D14" w:rsidP="009A4D14">
      <w:pPr>
        <w:keepNext/>
        <w:keepLines/>
        <w:spacing w:before="240" w:after="0"/>
        <w:ind w:left="432" w:hanging="432"/>
        <w:outlineLvl w:val="0"/>
        <w:rPr>
          <w:rFonts w:eastAsiaTheme="majorEastAsia" w:cstheme="majorBidi"/>
          <w:color w:val="2F5496" w:themeColor="accent1" w:themeShade="BF"/>
          <w:sz w:val="32"/>
          <w:szCs w:val="32"/>
        </w:rPr>
      </w:pPr>
      <w:r w:rsidRPr="009A4D14">
        <w:rPr>
          <w:rFonts w:eastAsiaTheme="majorEastAsia" w:cstheme="majorBidi"/>
          <w:color w:val="2F5496" w:themeColor="accent1" w:themeShade="BF"/>
          <w:sz w:val="32"/>
          <w:szCs w:val="32"/>
        </w:rPr>
        <w:t>Spending detail</w:t>
      </w:r>
    </w:p>
    <w:p w:rsidR="009A4D14" w:rsidRPr="009A4D14" w:rsidP="009A4D14">
      <w:pPr>
        <w:rPr>
          <w:rFonts w:eastAsiaTheme="minorEastAsia"/>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Explanations of changes in spending </w:t>
      </w:r>
    </w:p>
    <w:p w:rsidR="009A4D14" w:rsidRPr="009A4D14" w:rsidP="009A4D14">
      <w:pPr>
        <w:rPr>
          <w:rFonts w:eastAsiaTheme="minorEastAsia"/>
        </w:rPr>
      </w:pP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 xml:space="preserve">Resource DEL </w:t>
      </w:r>
    </w:p>
    <w:p w:rsidR="009A4D14" w:rsidRPr="009A4D14" w:rsidP="009A4D14">
      <w:pPr>
        <w:rPr>
          <w:rFonts w:eastAsiaTheme="minorEastAsia"/>
        </w:rPr>
      </w:pPr>
      <w:r w:rsidRPr="009A4D14">
        <w:rPr>
          <w:rFonts w:eastAsiaTheme="minorEastAsia"/>
        </w:rPr>
        <w:t xml:space="preserve">The table below shows how MOD’s spending plans for Resource DEL compare with last year.  </w:t>
      </w:r>
    </w:p>
    <w:tbl>
      <w:tblPr>
        <w:tblW w:w="9218" w:type="dxa"/>
        <w:jc w:val="center"/>
        <w:tblLook w:val="04A0"/>
      </w:tblPr>
      <w:tblGrid>
        <w:gridCol w:w="1409"/>
        <w:gridCol w:w="3140"/>
        <w:gridCol w:w="970"/>
        <w:gridCol w:w="970"/>
        <w:gridCol w:w="962"/>
        <w:gridCol w:w="958"/>
        <w:gridCol w:w="809"/>
      </w:tblGrid>
      <w:tr w:rsidTr="009A4D14">
        <w:tblPrEx>
          <w:tblW w:w="9218" w:type="dxa"/>
          <w:jc w:val="center"/>
          <w:tblLook w:val="04A0"/>
        </w:tblPrEx>
        <w:trPr>
          <w:trHeight w:val="276"/>
          <w:jc w:val="center"/>
        </w:trPr>
        <w:tc>
          <w:tcPr>
            <w:tcW w:w="9218" w:type="dxa"/>
            <w:gridSpan w:val="7"/>
            <w:tcBorders>
              <w:top w:val="nil"/>
              <w:left w:val="nil"/>
              <w:bottom w:val="nil"/>
              <w:right w:val="nil"/>
            </w:tcBorders>
            <w:shd w:val="clear" w:color="auto" w:fill="auto"/>
            <w:vAlign w:val="bottom"/>
            <w:hideMark/>
          </w:tcPr>
          <w:p w:rsidR="009A4D14" w:rsidRPr="009A4D14" w:rsidP="009A4D14">
            <w:pPr>
              <w:spacing w:after="0" w:line="240" w:lineRule="auto"/>
              <w:ind w:left="-108"/>
              <w:rPr>
                <w:rFonts w:ascii="Arial" w:eastAsia="Times New Roman" w:hAnsi="Arial" w:cs="Arial"/>
                <w:b/>
                <w:bCs/>
                <w:sz w:val="20"/>
                <w:szCs w:val="20"/>
                <w:lang w:eastAsia="en-GB"/>
              </w:rPr>
            </w:pPr>
            <w:r w:rsidRPr="009A4D14">
              <w:rPr>
                <w:rFonts w:ascii="Arial" w:eastAsia="Times New Roman" w:hAnsi="Arial" w:cs="Arial"/>
                <w:b/>
                <w:bCs/>
                <w:sz w:val="20"/>
                <w:szCs w:val="20"/>
                <w:lang w:eastAsia="en-GB"/>
              </w:rPr>
              <w:t>Table 3: Main Estimate total sought for MOD compared with 2020-21 Supplementary Estimate</w:t>
            </w:r>
          </w:p>
        </w:tc>
      </w:tr>
      <w:tr w:rsidTr="009A4D14">
        <w:tblPrEx>
          <w:tblW w:w="9218" w:type="dxa"/>
          <w:jc w:val="left"/>
          <w:tblLook w:val="04A0"/>
        </w:tblPrEx>
        <w:trPr>
          <w:gridAfter w:val="1"/>
          <w:wAfter w:w="870" w:type="dxa"/>
          <w:trHeight w:val="480"/>
          <w:jc w:val="left"/>
        </w:trPr>
        <w:tc>
          <w:tcPr>
            <w:tcW w:w="4428" w:type="dxa"/>
            <w:gridSpan w:val="2"/>
            <w:tcBorders>
              <w:top w:val="single" w:sz="8" w:space="0" w:color="auto"/>
              <w:left w:val="single" w:sz="8" w:space="0" w:color="auto"/>
              <w:bottom w:val="nil"/>
              <w:right w:val="nil"/>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Resource DEL</w:t>
            </w:r>
          </w:p>
        </w:tc>
        <w:tc>
          <w:tcPr>
            <w:tcW w:w="980" w:type="dxa"/>
            <w:tcBorders>
              <w:top w:val="single" w:sz="8"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p>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xml:space="preserve">2021-22   ME               </w:t>
            </w:r>
            <w:r w:rsidRPr="009A4D14">
              <w:rPr>
                <w:rFonts w:ascii="Arial" w:eastAsia="Times New Roman" w:hAnsi="Arial" w:cs="Arial"/>
                <w:b/>
                <w:bCs/>
                <w:sz w:val="18"/>
                <w:szCs w:val="18"/>
                <w:lang w:eastAsia="en-GB"/>
              </w:rPr>
              <w:br/>
            </w:r>
          </w:p>
        </w:tc>
        <w:tc>
          <w:tcPr>
            <w:tcW w:w="980" w:type="dxa"/>
            <w:tcBorders>
              <w:top w:val="single" w:sz="8"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p>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2020-21 SE</w:t>
            </w:r>
            <w:r w:rsidRPr="009A4D14">
              <w:rPr>
                <w:rFonts w:ascii="Arial" w:eastAsia="Times New Roman" w:hAnsi="Arial" w:cs="Arial"/>
                <w:b/>
                <w:bCs/>
                <w:sz w:val="18"/>
                <w:szCs w:val="18"/>
                <w:lang w:eastAsia="en-GB"/>
              </w:rPr>
              <w:br/>
            </w:r>
          </w:p>
        </w:tc>
        <w:tc>
          <w:tcPr>
            <w:tcW w:w="1960" w:type="dxa"/>
            <w:gridSpan w:val="2"/>
            <w:tcBorders>
              <w:top w:val="single" w:sz="8" w:space="0" w:color="auto"/>
              <w:left w:val="nil"/>
              <w:bottom w:val="single" w:sz="4"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Change from</w:t>
            </w:r>
            <w:r w:rsidRPr="009A4D14">
              <w:rPr>
                <w:rFonts w:ascii="Arial" w:eastAsia="Times New Roman" w:hAnsi="Arial" w:cs="Arial"/>
                <w:b/>
                <w:bCs/>
                <w:sz w:val="18"/>
                <w:szCs w:val="18"/>
                <w:lang w:eastAsia="en-GB"/>
              </w:rPr>
              <w:br/>
              <w:t>SE</w:t>
            </w:r>
          </w:p>
        </w:tc>
      </w:tr>
      <w:tr w:rsidTr="009A4D14">
        <w:tblPrEx>
          <w:tblW w:w="9218" w:type="dxa"/>
          <w:jc w:val="left"/>
          <w:tblLook w:val="04A0"/>
        </w:tblPrEx>
        <w:trPr>
          <w:gridAfter w:val="1"/>
          <w:wAfter w:w="870" w:type="dxa"/>
          <w:trHeight w:val="276"/>
          <w:jc w:val="left"/>
        </w:trPr>
        <w:tc>
          <w:tcPr>
            <w:tcW w:w="1288" w:type="dxa"/>
            <w:tcBorders>
              <w:top w:val="single" w:sz="4" w:space="0" w:color="auto"/>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Subheads</w:t>
            </w:r>
          </w:p>
        </w:tc>
        <w:tc>
          <w:tcPr>
            <w:tcW w:w="3140" w:type="dxa"/>
            <w:tcBorders>
              <w:top w:val="single" w:sz="4" w:space="0" w:color="auto"/>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Commodity Block</w:t>
            </w:r>
          </w:p>
        </w:tc>
        <w:tc>
          <w:tcPr>
            <w:tcW w:w="98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8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8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80"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w:t>
            </w:r>
          </w:p>
        </w:tc>
      </w:tr>
      <w:tr w:rsidTr="009A4D14">
        <w:tblPrEx>
          <w:tblW w:w="9218" w:type="dxa"/>
          <w:jc w:val="left"/>
          <w:tblLook w:val="04A0"/>
        </w:tblPrEx>
        <w:trPr>
          <w:gridAfter w:val="1"/>
          <w:wAfter w:w="870" w:type="dxa"/>
          <w:trHeight w:val="264"/>
          <w:jc w:val="left"/>
        </w:trPr>
        <w:tc>
          <w:tcPr>
            <w:tcW w:w="1288" w:type="dxa"/>
            <w:tcBorders>
              <w:top w:val="nil"/>
              <w:left w:val="single" w:sz="8" w:space="0" w:color="auto"/>
              <w:bottom w:val="single" w:sz="4" w:space="0" w:color="auto"/>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A, B</w:t>
            </w:r>
          </w:p>
        </w:tc>
        <w:tc>
          <w:tcPr>
            <w:tcW w:w="3140" w:type="dxa"/>
            <w:tcBorders>
              <w:top w:val="nil"/>
              <w:left w:val="single" w:sz="8" w:space="0" w:color="auto"/>
              <w:bottom w:val="single" w:sz="4" w:space="0" w:color="auto"/>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Personnel Costs</w:t>
            </w:r>
          </w:p>
        </w:tc>
        <w:tc>
          <w:tcPr>
            <w:tcW w:w="980" w:type="dxa"/>
            <w:tcBorders>
              <w:top w:val="nil"/>
              <w:left w:val="single" w:sz="8" w:space="0" w:color="auto"/>
              <w:bottom w:val="single" w:sz="4"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12,841.8 </w:t>
            </w:r>
          </w:p>
        </w:tc>
        <w:tc>
          <w:tcPr>
            <w:tcW w:w="980" w:type="dxa"/>
            <w:tcBorders>
              <w:top w:val="nil"/>
              <w:left w:val="single" w:sz="8" w:space="0" w:color="auto"/>
              <w:bottom w:val="single" w:sz="4"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12,138.5 </w:t>
            </w:r>
          </w:p>
        </w:tc>
        <w:tc>
          <w:tcPr>
            <w:tcW w:w="980" w:type="dxa"/>
            <w:tcBorders>
              <w:top w:val="nil"/>
              <w:left w:val="nil"/>
              <w:bottom w:val="single" w:sz="4"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703.3 </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5.8%</w:t>
            </w:r>
          </w:p>
        </w:tc>
      </w:tr>
      <w:tr w:rsidTr="009A4D14">
        <w:tblPrEx>
          <w:tblW w:w="9218" w:type="dxa"/>
          <w:jc w:val="left"/>
          <w:tblLook w:val="04A0"/>
        </w:tblPrEx>
        <w:trPr>
          <w:gridAfter w:val="1"/>
          <w:wAfter w:w="870" w:type="dxa"/>
          <w:trHeight w:val="264"/>
          <w:jc w:val="left"/>
        </w:trPr>
        <w:tc>
          <w:tcPr>
            <w:tcW w:w="1288" w:type="dxa"/>
            <w:tcBorders>
              <w:top w:val="nil"/>
              <w:left w:val="single" w:sz="8" w:space="0" w:color="auto"/>
              <w:bottom w:val="nil"/>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C</w:t>
            </w:r>
          </w:p>
        </w:tc>
        <w:tc>
          <w:tcPr>
            <w:tcW w:w="3140" w:type="dxa"/>
            <w:tcBorders>
              <w:top w:val="nil"/>
              <w:left w:val="single" w:sz="8" w:space="0" w:color="auto"/>
              <w:bottom w:val="nil"/>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Infrastructure Costs</w:t>
            </w:r>
          </w:p>
        </w:tc>
        <w:tc>
          <w:tcPr>
            <w:tcW w:w="980" w:type="dxa"/>
            <w:tcBorders>
              <w:top w:val="nil"/>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5,651.1 </w:t>
            </w:r>
          </w:p>
        </w:tc>
        <w:tc>
          <w:tcPr>
            <w:tcW w:w="980" w:type="dxa"/>
            <w:tcBorders>
              <w:top w:val="nil"/>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5,152.1 </w:t>
            </w:r>
          </w:p>
        </w:tc>
        <w:tc>
          <w:tcPr>
            <w:tcW w:w="980" w:type="dxa"/>
            <w:tcBorders>
              <w:top w:val="nil"/>
              <w:left w:val="nil"/>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499.0 </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9.7%</w:t>
            </w:r>
          </w:p>
        </w:tc>
      </w:tr>
      <w:tr w:rsidTr="009A4D14">
        <w:tblPrEx>
          <w:tblW w:w="9218" w:type="dxa"/>
          <w:jc w:val="left"/>
          <w:tblLook w:val="04A0"/>
        </w:tblPrEx>
        <w:trPr>
          <w:gridAfter w:val="1"/>
          <w:wAfter w:w="870" w:type="dxa"/>
          <w:trHeight w:val="264"/>
          <w:jc w:val="left"/>
        </w:trPr>
        <w:tc>
          <w:tcPr>
            <w:tcW w:w="1288"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D</w:t>
            </w:r>
          </w:p>
        </w:tc>
        <w:tc>
          <w:tcPr>
            <w:tcW w:w="314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Inventory Consumption</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1,272.9 </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1,188.3 </w:t>
            </w:r>
          </w:p>
        </w:tc>
        <w:tc>
          <w:tcPr>
            <w:tcW w:w="980" w:type="dxa"/>
            <w:tcBorders>
              <w:top w:val="single" w:sz="4" w:space="0" w:color="auto"/>
              <w:left w:val="nil"/>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84.6 </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7.1%</w:t>
            </w:r>
          </w:p>
        </w:tc>
      </w:tr>
      <w:tr w:rsidTr="009A4D14">
        <w:tblPrEx>
          <w:tblW w:w="9218" w:type="dxa"/>
          <w:jc w:val="left"/>
          <w:tblLook w:val="04A0"/>
        </w:tblPrEx>
        <w:trPr>
          <w:gridAfter w:val="1"/>
          <w:wAfter w:w="870" w:type="dxa"/>
          <w:trHeight w:val="264"/>
          <w:jc w:val="left"/>
        </w:trPr>
        <w:tc>
          <w:tcPr>
            <w:tcW w:w="1288"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E</w:t>
            </w:r>
          </w:p>
        </w:tc>
        <w:tc>
          <w:tcPr>
            <w:tcW w:w="314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Equipment Support Costs</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7,653.3 </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7,387.0 </w:t>
            </w:r>
          </w:p>
        </w:tc>
        <w:tc>
          <w:tcPr>
            <w:tcW w:w="980" w:type="dxa"/>
            <w:tcBorders>
              <w:top w:val="single" w:sz="4" w:space="0" w:color="auto"/>
              <w:left w:val="nil"/>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266.3 </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3.6%</w:t>
            </w:r>
          </w:p>
        </w:tc>
      </w:tr>
      <w:tr w:rsidTr="009A4D14">
        <w:tblPrEx>
          <w:tblW w:w="9218" w:type="dxa"/>
          <w:jc w:val="left"/>
          <w:tblLook w:val="04A0"/>
        </w:tblPrEx>
        <w:trPr>
          <w:gridAfter w:val="1"/>
          <w:wAfter w:w="870" w:type="dxa"/>
          <w:trHeight w:val="264"/>
          <w:jc w:val="left"/>
        </w:trPr>
        <w:tc>
          <w:tcPr>
            <w:tcW w:w="1288"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F,G</w:t>
            </w:r>
            <w:r w:rsidRPr="009A4D14">
              <w:rPr>
                <w:rFonts w:ascii="Arial" w:eastAsia="Times New Roman" w:hAnsi="Arial" w:cs="Arial"/>
                <w:sz w:val="16"/>
                <w:szCs w:val="16"/>
                <w:lang w:eastAsia="en-GB"/>
              </w:rPr>
              <w:t>,I,N,AA,AC,Y</w:t>
            </w:r>
          </w:p>
        </w:tc>
        <w:tc>
          <w:tcPr>
            <w:tcW w:w="314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Other Costs and Services*</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1,678.9 </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2,381.3 </w:t>
            </w:r>
          </w:p>
        </w:tc>
        <w:tc>
          <w:tcPr>
            <w:tcW w:w="980" w:type="dxa"/>
            <w:tcBorders>
              <w:top w:val="single" w:sz="4" w:space="0" w:color="auto"/>
              <w:left w:val="nil"/>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(702.4)</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-29.5%</w:t>
            </w:r>
          </w:p>
        </w:tc>
      </w:tr>
      <w:tr w:rsidTr="009A4D14">
        <w:tblPrEx>
          <w:tblW w:w="9218" w:type="dxa"/>
          <w:jc w:val="left"/>
          <w:tblLook w:val="04A0"/>
        </w:tblPrEx>
        <w:trPr>
          <w:gridAfter w:val="1"/>
          <w:wAfter w:w="870" w:type="dxa"/>
          <w:trHeight w:val="276"/>
          <w:jc w:val="left"/>
        </w:trPr>
        <w:tc>
          <w:tcPr>
            <w:tcW w:w="1288" w:type="dxa"/>
            <w:tcBorders>
              <w:top w:val="single" w:sz="4" w:space="0" w:color="auto"/>
              <w:left w:val="single" w:sz="8" w:space="0" w:color="auto"/>
              <w:bottom w:val="single" w:sz="8" w:space="0" w:color="auto"/>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O,P</w:t>
            </w:r>
            <w:r w:rsidRPr="009A4D14">
              <w:rPr>
                <w:rFonts w:ascii="Arial" w:eastAsia="Times New Roman" w:hAnsi="Arial" w:cs="Arial"/>
                <w:sz w:val="16"/>
                <w:szCs w:val="16"/>
                <w:lang w:eastAsia="en-GB"/>
              </w:rPr>
              <w:t>,Z</w:t>
            </w:r>
          </w:p>
        </w:tc>
        <w:tc>
          <w:tcPr>
            <w:tcW w:w="314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Administration Costs</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1,982.6 </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1,982.0 </w:t>
            </w:r>
          </w:p>
        </w:tc>
        <w:tc>
          <w:tcPr>
            <w:tcW w:w="980" w:type="dxa"/>
            <w:tcBorders>
              <w:top w:val="single" w:sz="4" w:space="0" w:color="auto"/>
              <w:left w:val="nil"/>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0.6 </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0.0%</w:t>
            </w:r>
          </w:p>
        </w:tc>
      </w:tr>
      <w:tr w:rsidTr="009A4D14">
        <w:tblPrEx>
          <w:tblW w:w="9218" w:type="dxa"/>
          <w:jc w:val="left"/>
          <w:tblLook w:val="04A0"/>
        </w:tblPrEx>
        <w:trPr>
          <w:gridAfter w:val="1"/>
          <w:wAfter w:w="870" w:type="dxa"/>
          <w:trHeight w:val="264"/>
          <w:jc w:val="left"/>
        </w:trPr>
        <w:tc>
          <w:tcPr>
            <w:tcW w:w="1288"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Q-</w:t>
            </w:r>
            <w:r w:rsidRPr="009A4D14">
              <w:rPr>
                <w:rFonts w:ascii="Arial" w:eastAsia="Times New Roman" w:hAnsi="Arial" w:cs="Arial"/>
                <w:sz w:val="16"/>
                <w:szCs w:val="16"/>
                <w:lang w:eastAsia="en-GB"/>
              </w:rPr>
              <w:t>X,AC</w:t>
            </w:r>
          </w:p>
        </w:tc>
        <w:tc>
          <w:tcPr>
            <w:tcW w:w="314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Operations and Peacekeeping (incl. CSSF)</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366.5 </w:t>
            </w:r>
          </w:p>
        </w:tc>
        <w:tc>
          <w:tcPr>
            <w:tcW w:w="980" w:type="dxa"/>
            <w:tcBorders>
              <w:top w:val="single" w:sz="4" w:space="0" w:color="auto"/>
              <w:left w:val="single" w:sz="8" w:space="0" w:color="auto"/>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531.0 </w:t>
            </w:r>
          </w:p>
        </w:tc>
        <w:tc>
          <w:tcPr>
            <w:tcW w:w="980" w:type="dxa"/>
            <w:tcBorders>
              <w:top w:val="single" w:sz="4" w:space="0" w:color="auto"/>
              <w:left w:val="nil"/>
              <w:bottom w:val="nil"/>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(164.6)</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-31.0%</w:t>
            </w:r>
          </w:p>
        </w:tc>
      </w:tr>
      <w:tr w:rsidTr="009A4D14">
        <w:tblPrEx>
          <w:tblW w:w="9218" w:type="dxa"/>
          <w:jc w:val="left"/>
          <w:tblLook w:val="04A0"/>
        </w:tblPrEx>
        <w:trPr>
          <w:gridAfter w:val="1"/>
          <w:wAfter w:w="870" w:type="dxa"/>
          <w:trHeight w:val="276"/>
          <w:jc w:val="left"/>
        </w:trPr>
        <w:tc>
          <w:tcPr>
            <w:tcW w:w="1288" w:type="dxa"/>
            <w:tcBorders>
              <w:top w:val="single" w:sz="4" w:space="0" w:color="auto"/>
              <w:left w:val="single" w:sz="8" w:space="0" w:color="auto"/>
              <w:bottom w:val="single" w:sz="8" w:space="0" w:color="auto"/>
              <w:right w:val="single" w:sz="4" w:space="0" w:color="auto"/>
            </w:tcBorders>
            <w:shd w:val="clear" w:color="auto" w:fill="auto"/>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H</w:t>
            </w:r>
          </w:p>
        </w:tc>
        <w:tc>
          <w:tcPr>
            <w:tcW w:w="3140" w:type="dxa"/>
            <w:tcBorders>
              <w:top w:val="single" w:sz="4" w:space="0" w:color="auto"/>
              <w:left w:val="single" w:sz="8" w:space="0" w:color="auto"/>
              <w:bottom w:val="single" w:sz="8" w:space="0" w:color="auto"/>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Depreciation and Impairments Costs</w:t>
            </w:r>
          </w:p>
        </w:tc>
        <w:tc>
          <w:tcPr>
            <w:tcW w:w="980" w:type="dxa"/>
            <w:tcBorders>
              <w:top w:val="single" w:sz="4" w:space="0" w:color="auto"/>
              <w:left w:val="single" w:sz="8" w:space="0" w:color="auto"/>
              <w:bottom w:val="single" w:sz="8"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10,496.3 </w:t>
            </w:r>
          </w:p>
        </w:tc>
        <w:tc>
          <w:tcPr>
            <w:tcW w:w="980" w:type="dxa"/>
            <w:tcBorders>
              <w:top w:val="single" w:sz="4" w:space="0" w:color="auto"/>
              <w:left w:val="single" w:sz="8" w:space="0" w:color="auto"/>
              <w:bottom w:val="single" w:sz="8"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10,496.5 </w:t>
            </w:r>
          </w:p>
        </w:tc>
        <w:tc>
          <w:tcPr>
            <w:tcW w:w="980" w:type="dxa"/>
            <w:tcBorders>
              <w:top w:val="single" w:sz="4" w:space="0" w:color="auto"/>
              <w:left w:val="nil"/>
              <w:bottom w:val="single" w:sz="8"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(0.1)</w:t>
            </w:r>
          </w:p>
        </w:tc>
        <w:tc>
          <w:tcPr>
            <w:tcW w:w="980" w:type="dxa"/>
            <w:tcBorders>
              <w:top w:val="nil"/>
              <w:left w:val="nil"/>
              <w:bottom w:val="single" w:sz="4" w:space="0" w:color="auto"/>
              <w:right w:val="single" w:sz="8" w:space="0" w:color="auto"/>
            </w:tcBorders>
            <w:shd w:val="clear" w:color="auto" w:fill="auto"/>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0.0%</w:t>
            </w:r>
          </w:p>
        </w:tc>
      </w:tr>
      <w:tr w:rsidTr="009A4D14">
        <w:tblPrEx>
          <w:tblW w:w="9218" w:type="dxa"/>
          <w:jc w:val="left"/>
          <w:tblLook w:val="04A0"/>
        </w:tblPrEx>
        <w:trPr>
          <w:gridAfter w:val="1"/>
          <w:wAfter w:w="870" w:type="dxa"/>
          <w:trHeight w:val="276"/>
          <w:jc w:val="left"/>
        </w:trPr>
        <w:tc>
          <w:tcPr>
            <w:tcW w:w="1288"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3140"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c>
          <w:tcPr>
            <w:tcW w:w="980" w:type="dxa"/>
            <w:tcBorders>
              <w:top w:val="nil"/>
              <w:left w:val="single" w:sz="8" w:space="0" w:color="auto"/>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41,943.3 </w:t>
            </w:r>
          </w:p>
        </w:tc>
        <w:tc>
          <w:tcPr>
            <w:tcW w:w="980" w:type="dxa"/>
            <w:tcBorders>
              <w:top w:val="nil"/>
              <w:left w:val="nil"/>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41,256.6 </w:t>
            </w:r>
          </w:p>
        </w:tc>
        <w:tc>
          <w:tcPr>
            <w:tcW w:w="980" w:type="dxa"/>
            <w:tcBorders>
              <w:top w:val="nil"/>
              <w:left w:val="nil"/>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686.6 </w:t>
            </w:r>
          </w:p>
        </w:tc>
        <w:tc>
          <w:tcPr>
            <w:tcW w:w="980" w:type="dxa"/>
            <w:tcBorders>
              <w:top w:val="nil"/>
              <w:left w:val="nil"/>
              <w:bottom w:val="single" w:sz="8" w:space="0" w:color="auto"/>
              <w:right w:val="single" w:sz="8"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1.7%</w:t>
            </w:r>
          </w:p>
        </w:tc>
      </w:tr>
    </w:tbl>
    <w:p w:rsidR="009A4D14" w:rsidRPr="009A4D14" w:rsidP="009A4D14">
      <w:pPr>
        <w:rPr>
          <w:rFonts w:eastAsiaTheme="minorEastAsia"/>
        </w:rPr>
      </w:pPr>
      <w:r w:rsidRPr="009A4D14">
        <w:rPr>
          <w:rFonts w:eastAsiaTheme="minorEastAsia"/>
          <w:i/>
          <w:sz w:val="20"/>
          <w:szCs w:val="20"/>
          <w:lang w:eastAsia="en-GB"/>
        </w:rPr>
        <w:t xml:space="preserve">* </w:t>
      </w:r>
      <w:r w:rsidRPr="009A4D14">
        <w:rPr>
          <w:rFonts w:eastAsiaTheme="minorEastAsia"/>
          <w:sz w:val="16"/>
        </w:rPr>
        <w:t>Includes Other Costs and Services, Receipts and Other Income, Cash Release of Provisions, Research and Development Costs related to Provision of Defence Capability, DE&amp;S (BTE) Costs, Arm's Length Bodies and War Pension Benefits Programme Costs</w:t>
      </w:r>
      <w:r w:rsidRPr="009A4D14">
        <w:rPr>
          <w:rFonts w:eastAsiaTheme="minorEastAsia"/>
          <w:i/>
          <w:sz w:val="20"/>
          <w:szCs w:val="20"/>
          <w:lang w:eastAsia="en-GB"/>
        </w:rPr>
        <w:t>.</w:t>
      </w:r>
      <w:r w:rsidRPr="009A4D14">
        <w:rPr>
          <w:rFonts w:eastAsiaTheme="minorEastAsia"/>
        </w:rPr>
        <w:t xml:space="preserve"> </w:t>
      </w:r>
    </w:p>
    <w:p w:rsidR="009A4D14" w:rsidRPr="009A4D14" w:rsidP="009A4D14">
      <w:pPr>
        <w:rPr>
          <w:rFonts w:eastAsiaTheme="minorEastAsia"/>
        </w:rPr>
      </w:pPr>
    </w:p>
    <w:p w:rsidR="009A4D14" w:rsidRPr="009A4D14" w:rsidP="009A4D14">
      <w:pPr>
        <w:rPr>
          <w:rFonts w:eastAsiaTheme="minorEastAsia"/>
        </w:rPr>
      </w:pPr>
      <w:r w:rsidRPr="009A4D14">
        <w:rPr>
          <w:rFonts w:eastAsiaTheme="minorEastAsia"/>
        </w:rPr>
        <w:t>With this Main Estimate, the initial commodity block cost allocations reflect the latest information on the Department’s spending plans for 2021-22 as per the Spending Round 2020 published in November 2020. Changes will be made in the Supplementary Estimate to reflect the latest in-year forecast, along with subsequent funding adjustments. The main elements of these changes are:</w:t>
      </w:r>
    </w:p>
    <w:p w:rsidR="009A4D14" w:rsidRPr="009A4D14" w:rsidP="009A4D14">
      <w:pPr>
        <w:numPr>
          <w:ilvl w:val="0"/>
          <w:numId w:val="35"/>
        </w:numPr>
        <w:contextualSpacing/>
        <w:rPr>
          <w:rFonts w:eastAsiaTheme="minorEastAsia"/>
        </w:rPr>
      </w:pPr>
      <w:r w:rsidRPr="009A4D14">
        <w:rPr>
          <w:rFonts w:eastAsiaTheme="minorEastAsia"/>
        </w:rPr>
        <w:t>An initial Reserve increase for Operations and Peacekeeping of £282M to cover additional costs of operations.</w:t>
      </w:r>
    </w:p>
    <w:p w:rsidR="009A4D14" w:rsidRPr="009A4D14" w:rsidP="009A4D14">
      <w:pPr>
        <w:numPr>
          <w:ilvl w:val="0"/>
          <w:numId w:val="35"/>
        </w:numPr>
        <w:contextualSpacing/>
        <w:rPr>
          <w:rFonts w:eastAsiaTheme="minorEastAsia"/>
        </w:rPr>
      </w:pPr>
      <w:r w:rsidRPr="009A4D14">
        <w:rPr>
          <w:rFonts w:eastAsiaTheme="minorEastAsia"/>
        </w:rPr>
        <w:t>Budget cover transfers to/from Other Government Departments (OGDs) totalling (£483M).</w:t>
      </w:r>
    </w:p>
    <w:p w:rsidR="009A4D14" w:rsidRPr="009A4D14" w:rsidP="009A4D14">
      <w:pPr>
        <w:numPr>
          <w:ilvl w:val="0"/>
          <w:numId w:val="35"/>
        </w:numPr>
        <w:contextualSpacing/>
        <w:rPr>
          <w:rFonts w:eastAsiaTheme="minorEastAsia"/>
        </w:rPr>
      </w:pPr>
      <w:r w:rsidRPr="009A4D14">
        <w:rPr>
          <w:rFonts w:eastAsiaTheme="minorEastAsia"/>
        </w:rPr>
        <w:t>Various re-allocations to Arm’s Length Bodies (Grant in Aid), with no overall impact on DEL, to reflect the initial Grant-in-Aid funding.</w:t>
      </w:r>
    </w:p>
    <w:p w:rsidR="009A4D14" w:rsidRPr="009A4D14" w:rsidP="009A4D14">
      <w:pPr>
        <w:ind w:left="360"/>
        <w:rPr>
          <w:rFonts w:eastAsiaTheme="minorEastAsia"/>
        </w:rPr>
      </w:pP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Capital DEL</w:t>
      </w:r>
    </w:p>
    <w:p w:rsidR="009A4D14" w:rsidRPr="009A4D14" w:rsidP="009A4D14">
      <w:pPr>
        <w:rPr>
          <w:rFonts w:eastAsiaTheme="minorEastAsia"/>
        </w:rPr>
      </w:pPr>
      <w:r w:rsidRPr="009A4D14">
        <w:rPr>
          <w:rFonts w:eastAsiaTheme="minorEastAsia"/>
        </w:rPr>
        <w:t xml:space="preserve">The table below shows how spending plans for Capital DEL compare with last year Estimates.  </w:t>
      </w:r>
    </w:p>
    <w:tbl>
      <w:tblPr>
        <w:tblW w:w="10537" w:type="dxa"/>
        <w:jc w:val="center"/>
        <w:tblLayout w:type="fixed"/>
        <w:tblLook w:val="04A0"/>
      </w:tblPr>
      <w:tblGrid>
        <w:gridCol w:w="8789"/>
        <w:gridCol w:w="920"/>
        <w:gridCol w:w="828"/>
      </w:tblGrid>
      <w:tr w:rsidTr="009A4D14">
        <w:tblPrEx>
          <w:tblW w:w="10537" w:type="dxa"/>
          <w:jc w:val="center"/>
          <w:tblLayout w:type="fixed"/>
          <w:tblLook w:val="04A0"/>
        </w:tblPrEx>
        <w:trPr>
          <w:trHeight w:val="169"/>
          <w:jc w:val="center"/>
        </w:trPr>
        <w:tc>
          <w:tcPr>
            <w:tcW w:w="8789" w:type="dxa"/>
            <w:tcBorders>
              <w:top w:val="nil"/>
              <w:left w:val="nil"/>
              <w:bottom w:val="nil"/>
              <w:right w:val="nil"/>
            </w:tcBorders>
            <w:shd w:val="clear" w:color="auto" w:fill="auto"/>
            <w:vAlign w:val="bottom"/>
            <w:hideMark/>
          </w:tcPr>
          <w:p w:rsidR="009A4D14" w:rsidRPr="009A4D14" w:rsidP="009A4D14">
            <w:pPr>
              <w:spacing w:after="0" w:line="240" w:lineRule="auto"/>
              <w:ind w:left="744" w:right="-729" w:hanging="142"/>
              <w:rPr>
                <w:rFonts w:ascii="Arial" w:eastAsia="Times New Roman" w:hAnsi="Arial" w:cs="Arial"/>
                <w:b/>
                <w:bCs/>
                <w:sz w:val="20"/>
                <w:szCs w:val="20"/>
                <w:lang w:eastAsia="en-GB"/>
              </w:rPr>
            </w:pPr>
            <w:r w:rsidRPr="009A4D14">
              <w:rPr>
                <w:rFonts w:ascii="Arial" w:eastAsia="Times New Roman" w:hAnsi="Arial" w:cs="Arial"/>
                <w:b/>
                <w:bCs/>
                <w:sz w:val="20"/>
                <w:szCs w:val="20"/>
                <w:lang w:eastAsia="en-GB"/>
              </w:rPr>
              <w:t>Table 4: Main Estimate total sought for MOD compared with 2020-21 Estimate</w:t>
            </w:r>
          </w:p>
          <w:tbl>
            <w:tblPr>
              <w:tblW w:w="7908" w:type="dxa"/>
              <w:tblInd w:w="592" w:type="dxa"/>
              <w:tblLayout w:type="fixed"/>
              <w:tblLook w:val="04A0"/>
            </w:tblPr>
            <w:tblGrid>
              <w:gridCol w:w="768"/>
              <w:gridCol w:w="3220"/>
              <w:gridCol w:w="980"/>
              <w:gridCol w:w="980"/>
              <w:gridCol w:w="980"/>
              <w:gridCol w:w="980"/>
            </w:tblGrid>
            <w:tr w:rsidTr="009A4D14">
              <w:tblPrEx>
                <w:tblW w:w="7908" w:type="dxa"/>
                <w:tblInd w:w="592" w:type="dxa"/>
                <w:tblLayout w:type="fixed"/>
                <w:tblLook w:val="04A0"/>
              </w:tblPrEx>
              <w:trPr>
                <w:trHeight w:val="480"/>
              </w:trPr>
              <w:tc>
                <w:tcPr>
                  <w:tcW w:w="3988" w:type="dxa"/>
                  <w:gridSpan w:val="2"/>
                  <w:tcBorders>
                    <w:top w:val="single" w:sz="8" w:space="0" w:color="auto"/>
                    <w:left w:val="single" w:sz="8" w:space="0" w:color="auto"/>
                    <w:bottom w:val="nil"/>
                    <w:right w:val="nil"/>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Capital DEL</w:t>
                  </w:r>
                </w:p>
              </w:tc>
              <w:tc>
                <w:tcPr>
                  <w:tcW w:w="980" w:type="dxa"/>
                  <w:tcBorders>
                    <w:top w:val="single" w:sz="8"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2021-22 ME</w:t>
                  </w:r>
                </w:p>
              </w:tc>
              <w:tc>
                <w:tcPr>
                  <w:tcW w:w="980" w:type="dxa"/>
                  <w:tcBorders>
                    <w:top w:val="single" w:sz="8"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2020-21    SE</w:t>
                  </w:r>
                </w:p>
              </w:tc>
              <w:tc>
                <w:tcPr>
                  <w:tcW w:w="1960" w:type="dxa"/>
                  <w:gridSpan w:val="2"/>
                  <w:tcBorders>
                    <w:top w:val="single" w:sz="8" w:space="0" w:color="auto"/>
                    <w:left w:val="nil"/>
                    <w:bottom w:val="single" w:sz="4"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Change from SE</w:t>
                  </w:r>
                </w:p>
              </w:tc>
            </w:tr>
            <w:tr w:rsidTr="009A4D14">
              <w:tblPrEx>
                <w:tblW w:w="7908" w:type="dxa"/>
                <w:tblInd w:w="592" w:type="dxa"/>
                <w:tblLayout w:type="fixed"/>
                <w:tblLook w:val="04A0"/>
              </w:tblPrEx>
              <w:trPr>
                <w:trHeight w:val="276"/>
              </w:trPr>
              <w:tc>
                <w:tcPr>
                  <w:tcW w:w="768" w:type="dxa"/>
                  <w:tcBorders>
                    <w:top w:val="single" w:sz="4" w:space="0" w:color="auto"/>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Subheads</w:t>
                  </w:r>
                </w:p>
              </w:tc>
              <w:tc>
                <w:tcPr>
                  <w:tcW w:w="3220" w:type="dxa"/>
                  <w:tcBorders>
                    <w:top w:val="single" w:sz="4" w:space="0" w:color="auto"/>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Commodity Block</w:t>
                  </w:r>
                </w:p>
              </w:tc>
              <w:tc>
                <w:tcPr>
                  <w:tcW w:w="98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8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80"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80"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w:t>
                  </w:r>
                </w:p>
              </w:tc>
            </w:tr>
            <w:tr w:rsidTr="009A4D14">
              <w:tblPrEx>
                <w:tblW w:w="7908" w:type="dxa"/>
                <w:tblInd w:w="592" w:type="dxa"/>
                <w:tblLayout w:type="fixed"/>
                <w:tblLook w:val="04A0"/>
              </w:tblPrEx>
              <w:trPr>
                <w:trHeight w:val="264"/>
              </w:trPr>
              <w:tc>
                <w:tcPr>
                  <w:tcW w:w="768"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J</w:t>
                  </w:r>
                </w:p>
              </w:tc>
              <w:tc>
                <w:tcPr>
                  <w:tcW w:w="322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Single Use Military Equipment</w:t>
                  </w:r>
                </w:p>
              </w:tc>
              <w:tc>
                <w:tcPr>
                  <w:tcW w:w="98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9,681.0 </w:t>
                  </w:r>
                </w:p>
              </w:tc>
              <w:tc>
                <w:tcPr>
                  <w:tcW w:w="98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7,780.5 </w:t>
                  </w:r>
                </w:p>
              </w:tc>
              <w:tc>
                <w:tcPr>
                  <w:tcW w:w="980"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1,900.5 </w:t>
                  </w:r>
                </w:p>
              </w:tc>
              <w:tc>
                <w:tcPr>
                  <w:tcW w:w="980" w:type="dxa"/>
                  <w:tcBorders>
                    <w:top w:val="nil"/>
                    <w:left w:val="nil"/>
                    <w:bottom w:val="single" w:sz="4"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24.4%</w:t>
                  </w:r>
                </w:p>
              </w:tc>
            </w:tr>
            <w:tr w:rsidTr="009A4D14">
              <w:tblPrEx>
                <w:tblW w:w="7908" w:type="dxa"/>
                <w:tblInd w:w="592" w:type="dxa"/>
                <w:tblLayout w:type="fixed"/>
                <w:tblLook w:val="04A0"/>
              </w:tblPrEx>
              <w:trPr>
                <w:trHeight w:val="264"/>
              </w:trPr>
              <w:tc>
                <w:tcPr>
                  <w:tcW w:w="768"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K,M</w:t>
                  </w:r>
                  <w:r w:rsidRPr="009A4D14">
                    <w:rPr>
                      <w:rFonts w:ascii="Arial" w:eastAsia="Times New Roman" w:hAnsi="Arial" w:cs="Arial"/>
                      <w:sz w:val="16"/>
                      <w:szCs w:val="16"/>
                      <w:lang w:eastAsia="en-GB"/>
                    </w:rPr>
                    <w:t>,Y,AA,L</w:t>
                  </w:r>
                </w:p>
              </w:tc>
              <w:tc>
                <w:tcPr>
                  <w:tcW w:w="322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Other Capital (Fiscal)</w:t>
                  </w:r>
                </w:p>
              </w:tc>
              <w:tc>
                <w:tcPr>
                  <w:tcW w:w="98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3,672.6 </w:t>
                  </w:r>
                </w:p>
              </w:tc>
              <w:tc>
                <w:tcPr>
                  <w:tcW w:w="98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2,849.3 </w:t>
                  </w:r>
                </w:p>
              </w:tc>
              <w:tc>
                <w:tcPr>
                  <w:tcW w:w="980"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823.3 </w:t>
                  </w:r>
                </w:p>
              </w:tc>
              <w:tc>
                <w:tcPr>
                  <w:tcW w:w="980" w:type="dxa"/>
                  <w:tcBorders>
                    <w:top w:val="nil"/>
                    <w:left w:val="nil"/>
                    <w:bottom w:val="single" w:sz="4"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28.9%</w:t>
                  </w:r>
                </w:p>
              </w:tc>
            </w:tr>
            <w:tr w:rsidTr="009A4D14">
              <w:tblPrEx>
                <w:tblW w:w="7908" w:type="dxa"/>
                <w:tblInd w:w="592" w:type="dxa"/>
                <w:tblLayout w:type="fixed"/>
                <w:tblLook w:val="04A0"/>
              </w:tblPrEx>
              <w:trPr>
                <w:trHeight w:val="264"/>
              </w:trPr>
              <w:tc>
                <w:tcPr>
                  <w:tcW w:w="768"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N</w:t>
                  </w:r>
                </w:p>
              </w:tc>
              <w:tc>
                <w:tcPr>
                  <w:tcW w:w="3220"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Research and Development</w:t>
                  </w:r>
                </w:p>
              </w:tc>
              <w:tc>
                <w:tcPr>
                  <w:tcW w:w="980"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961.0 </w:t>
                  </w:r>
                </w:p>
              </w:tc>
              <w:tc>
                <w:tcPr>
                  <w:tcW w:w="980"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1,050.1 </w:t>
                  </w:r>
                </w:p>
              </w:tc>
              <w:tc>
                <w:tcPr>
                  <w:tcW w:w="980" w:type="dxa"/>
                  <w:tcBorders>
                    <w:top w:val="nil"/>
                    <w:left w:val="nil"/>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(89.1)</w:t>
                  </w:r>
                </w:p>
              </w:tc>
              <w:tc>
                <w:tcPr>
                  <w:tcW w:w="980" w:type="dxa"/>
                  <w:tcBorders>
                    <w:top w:val="nil"/>
                    <w:left w:val="nil"/>
                    <w:bottom w:val="single" w:sz="4"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-8.5%</w:t>
                  </w:r>
                </w:p>
              </w:tc>
            </w:tr>
            <w:tr w:rsidTr="009A4D14">
              <w:tblPrEx>
                <w:tblW w:w="7908" w:type="dxa"/>
                <w:tblInd w:w="592" w:type="dxa"/>
                <w:tblLayout w:type="fixed"/>
                <w:tblLook w:val="04A0"/>
              </w:tblPrEx>
              <w:trPr>
                <w:trHeight w:val="276"/>
              </w:trPr>
              <w:tc>
                <w:tcPr>
                  <w:tcW w:w="768"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X,AC</w:t>
                  </w:r>
                </w:p>
              </w:tc>
              <w:tc>
                <w:tcPr>
                  <w:tcW w:w="3220"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Operations and Peacekeeping (incl. CSSF)</w:t>
                  </w:r>
                </w:p>
              </w:tc>
              <w:tc>
                <w:tcPr>
                  <w:tcW w:w="980"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18.0 </w:t>
                  </w:r>
                </w:p>
              </w:tc>
              <w:tc>
                <w:tcPr>
                  <w:tcW w:w="980"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36.5 </w:t>
                  </w:r>
                </w:p>
              </w:tc>
              <w:tc>
                <w:tcPr>
                  <w:tcW w:w="980" w:type="dxa"/>
                  <w:tcBorders>
                    <w:top w:val="single" w:sz="4" w:space="0" w:color="auto"/>
                    <w:left w:val="nil"/>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(18.5)</w:t>
                  </w:r>
                </w:p>
              </w:tc>
              <w:tc>
                <w:tcPr>
                  <w:tcW w:w="980" w:type="dxa"/>
                  <w:tcBorders>
                    <w:top w:val="nil"/>
                    <w:left w:val="nil"/>
                    <w:bottom w:val="single" w:sz="8"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-50.7%</w:t>
                  </w:r>
                </w:p>
              </w:tc>
            </w:tr>
            <w:tr w:rsidTr="009A4D14">
              <w:tblPrEx>
                <w:tblW w:w="7908" w:type="dxa"/>
                <w:tblInd w:w="592" w:type="dxa"/>
                <w:tblLayout w:type="fixed"/>
                <w:tblLook w:val="04A0"/>
              </w:tblPrEx>
              <w:trPr>
                <w:trHeight w:val="276"/>
              </w:trPr>
              <w:tc>
                <w:tcPr>
                  <w:tcW w:w="768"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3220"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c>
                <w:tcPr>
                  <w:tcW w:w="980" w:type="dxa"/>
                  <w:tcBorders>
                    <w:top w:val="nil"/>
                    <w:left w:val="single" w:sz="8" w:space="0" w:color="auto"/>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14,332.7 </w:t>
                  </w:r>
                </w:p>
              </w:tc>
              <w:tc>
                <w:tcPr>
                  <w:tcW w:w="980" w:type="dxa"/>
                  <w:tcBorders>
                    <w:top w:val="nil"/>
                    <w:left w:val="nil"/>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11,716.4 </w:t>
                  </w:r>
                </w:p>
              </w:tc>
              <w:tc>
                <w:tcPr>
                  <w:tcW w:w="980" w:type="dxa"/>
                  <w:tcBorders>
                    <w:top w:val="nil"/>
                    <w:left w:val="nil"/>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2,616.3 </w:t>
                  </w:r>
                </w:p>
              </w:tc>
              <w:tc>
                <w:tcPr>
                  <w:tcW w:w="980" w:type="dxa"/>
                  <w:tcBorders>
                    <w:top w:val="nil"/>
                    <w:left w:val="nil"/>
                    <w:bottom w:val="single" w:sz="8" w:space="0" w:color="auto"/>
                    <w:right w:val="single" w:sz="8"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22.3%</w:t>
                  </w:r>
                </w:p>
              </w:tc>
            </w:tr>
          </w:tbl>
          <w:p w:rsidR="009A4D14" w:rsidRPr="009A4D14" w:rsidP="009A4D14">
            <w:pPr>
              <w:spacing w:after="0" w:line="240" w:lineRule="auto"/>
              <w:ind w:left="460" w:right="-729"/>
              <w:rPr>
                <w:rFonts w:ascii="Arial" w:eastAsia="Times New Roman" w:hAnsi="Arial" w:cs="Arial"/>
                <w:b/>
                <w:bCs/>
                <w:sz w:val="20"/>
                <w:szCs w:val="20"/>
                <w:lang w:eastAsia="en-GB"/>
              </w:rPr>
            </w:pPr>
          </w:p>
        </w:tc>
        <w:tc>
          <w:tcPr>
            <w:tcW w:w="920" w:type="dxa"/>
            <w:tcBorders>
              <w:top w:val="nil"/>
              <w:left w:val="nil"/>
              <w:bottom w:val="nil"/>
              <w:right w:val="nil"/>
            </w:tcBorders>
            <w:shd w:val="clear" w:color="auto" w:fill="auto"/>
            <w:noWrap/>
            <w:vAlign w:val="bottom"/>
            <w:hideMark/>
          </w:tcPr>
          <w:p w:rsidR="009A4D14" w:rsidRPr="009A4D14" w:rsidP="009A4D14">
            <w:pPr>
              <w:spacing w:after="0" w:line="240" w:lineRule="auto"/>
              <w:ind w:left="-196" w:firstLine="64"/>
              <w:rPr>
                <w:rFonts w:ascii="Arial" w:eastAsia="Times New Roman" w:hAnsi="Arial" w:cs="Arial"/>
                <w:b/>
                <w:bCs/>
                <w:sz w:val="20"/>
                <w:szCs w:val="20"/>
                <w:lang w:eastAsia="en-GB"/>
              </w:rPr>
            </w:pPr>
          </w:p>
        </w:tc>
        <w:tc>
          <w:tcPr>
            <w:tcW w:w="828"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bl>
    <w:p w:rsidR="009A4D14" w:rsidRPr="009A4D14" w:rsidP="009A4D14">
      <w:pPr>
        <w:rPr>
          <w:rFonts w:eastAsiaTheme="minorEastAsia"/>
        </w:rPr>
      </w:pPr>
    </w:p>
    <w:p w:rsidR="009A4D14" w:rsidRPr="009A4D14" w:rsidP="009A4D14">
      <w:pPr>
        <w:rPr>
          <w:rFonts w:eastAsiaTheme="minorEastAsia"/>
        </w:rPr>
      </w:pPr>
      <w:r w:rsidRPr="009A4D14">
        <w:rPr>
          <w:rFonts w:eastAsiaTheme="minorEastAsia"/>
        </w:rPr>
        <w:t>The changes in the Main Estimate reflect the current departmental plans, along with subsequent funding adjustments. The main elements of these changes are:</w:t>
      </w:r>
    </w:p>
    <w:p w:rsidR="009A4D14" w:rsidRPr="009A4D14" w:rsidP="009A4D14">
      <w:pPr>
        <w:numPr>
          <w:ilvl w:val="0"/>
          <w:numId w:val="35"/>
        </w:numPr>
        <w:contextualSpacing/>
        <w:rPr>
          <w:rFonts w:eastAsiaTheme="minorEastAsia"/>
        </w:rPr>
      </w:pPr>
      <w:r w:rsidRPr="009A4D14">
        <w:rPr>
          <w:rFonts w:eastAsiaTheme="minorEastAsia"/>
        </w:rPr>
        <w:t>A Reserve funding for Operations and Peacekeeping of £18M to cover initial costs of operations; and</w:t>
      </w:r>
    </w:p>
    <w:p w:rsidR="009A4D14" w:rsidRPr="009A4D14" w:rsidP="009A4D14">
      <w:pPr>
        <w:numPr>
          <w:ilvl w:val="0"/>
          <w:numId w:val="35"/>
        </w:numPr>
        <w:contextualSpacing/>
        <w:rPr>
          <w:rFonts w:eastAsiaTheme="minorEastAsia"/>
          <w:lang w:eastAsia="en-GB"/>
        </w:rPr>
      </w:pPr>
      <w:r w:rsidRPr="009A4D14">
        <w:rPr>
          <w:rFonts w:eastAsiaTheme="minorEastAsia"/>
          <w:lang w:eastAsia="en-GB"/>
        </w:rPr>
        <w:t>Budget cover transfers to/from Other Government Departments (OGDs) totalling (£110M).</w:t>
      </w:r>
    </w:p>
    <w:p w:rsidR="009A4D14" w:rsidRPr="009A4D14" w:rsidP="009A4D14">
      <w:pPr>
        <w:ind w:left="720"/>
        <w:contextualSpacing/>
        <w:rPr>
          <w:rFonts w:eastAsiaTheme="minorEastAsia"/>
        </w:rPr>
      </w:pP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 xml:space="preserve">AME </w:t>
      </w:r>
    </w:p>
    <w:p w:rsidR="009A4D14" w:rsidRPr="009A4D14" w:rsidP="009A4D14">
      <w:pPr>
        <w:autoSpaceDE w:val="0"/>
        <w:autoSpaceDN w:val="0"/>
        <w:adjustRightInd w:val="0"/>
        <w:ind w:right="113"/>
        <w:mirrorIndents/>
        <w:rPr>
          <w:rFonts w:eastAsiaTheme="minorEastAsia" w:cs="Arial"/>
        </w:rPr>
      </w:pPr>
      <w:r w:rsidRPr="009A4D14">
        <w:rPr>
          <w:rFonts w:eastAsiaTheme="minorEastAsia"/>
        </w:rPr>
        <w:t xml:space="preserve">The table below shows how spending plans for Resource AME compared with last year estimates.  </w:t>
      </w:r>
      <w:r w:rsidRPr="009A4D14">
        <w:rPr>
          <w:rFonts w:eastAsiaTheme="minorEastAsia" w:cs="Arial"/>
        </w:rPr>
        <w:t>The initial requests take a realistic view based on previous patterns.</w:t>
      </w:r>
    </w:p>
    <w:tbl>
      <w:tblPr>
        <w:tblW w:w="7612" w:type="dxa"/>
        <w:jc w:val="center"/>
        <w:tblLook w:val="04A0"/>
      </w:tblPr>
      <w:tblGrid>
        <w:gridCol w:w="2467"/>
        <w:gridCol w:w="1286"/>
        <w:gridCol w:w="1286"/>
        <w:gridCol w:w="1286"/>
        <w:gridCol w:w="1287"/>
      </w:tblGrid>
      <w:tr w:rsidTr="009A4D14">
        <w:tblPrEx>
          <w:tblW w:w="7612" w:type="dxa"/>
          <w:jc w:val="center"/>
          <w:tblLook w:val="04A0"/>
        </w:tblPrEx>
        <w:trPr>
          <w:trHeight w:val="773"/>
          <w:jc w:val="center"/>
        </w:trPr>
        <w:tc>
          <w:tcPr>
            <w:tcW w:w="7612" w:type="dxa"/>
            <w:gridSpan w:val="5"/>
            <w:tcBorders>
              <w:top w:val="nil"/>
              <w:left w:val="nil"/>
              <w:bottom w:val="single" w:sz="8" w:space="0" w:color="auto"/>
              <w:right w:val="nil"/>
            </w:tcBorders>
            <w:shd w:val="clear" w:color="auto" w:fill="auto"/>
            <w:vAlign w:val="bottom"/>
            <w:hideMark/>
          </w:tcPr>
          <w:p w:rsidR="009A4D14" w:rsidRPr="009A4D14" w:rsidP="009A4D14">
            <w:pPr>
              <w:spacing w:after="0" w:line="240" w:lineRule="auto"/>
              <w:ind w:right="-432"/>
              <w:rPr>
                <w:rFonts w:ascii="Arial" w:eastAsia="Times New Roman" w:hAnsi="Arial" w:cs="Arial"/>
                <w:b/>
                <w:bCs/>
                <w:sz w:val="20"/>
                <w:szCs w:val="20"/>
                <w:lang w:eastAsia="en-GB"/>
              </w:rPr>
            </w:pPr>
            <w:r w:rsidRPr="009A4D14">
              <w:rPr>
                <w:rFonts w:ascii="Arial" w:eastAsia="Times New Roman" w:hAnsi="Arial" w:cs="Arial"/>
                <w:b/>
                <w:bCs/>
                <w:sz w:val="20"/>
                <w:szCs w:val="20"/>
                <w:lang w:eastAsia="en-GB"/>
              </w:rPr>
              <w:t>Table 5: Main Estimate total sought for MOD compared with 2020-21 Supplementary Estimate</w:t>
            </w:r>
          </w:p>
        </w:tc>
      </w:tr>
      <w:tr w:rsidTr="009A4D14">
        <w:tblPrEx>
          <w:tblW w:w="7612" w:type="dxa"/>
          <w:jc w:val="center"/>
          <w:tblLook w:val="04A0"/>
        </w:tblPrEx>
        <w:trPr>
          <w:trHeight w:val="505"/>
          <w:jc w:val="center"/>
        </w:trPr>
        <w:tc>
          <w:tcPr>
            <w:tcW w:w="2467" w:type="dxa"/>
            <w:tcBorders>
              <w:top w:val="nil"/>
              <w:left w:val="single" w:sz="8" w:space="0" w:color="auto"/>
              <w:bottom w:val="nil"/>
              <w:right w:val="nil"/>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AME</w:t>
            </w:r>
          </w:p>
        </w:tc>
        <w:tc>
          <w:tcPr>
            <w:tcW w:w="1286" w:type="dxa"/>
            <w:tcBorders>
              <w:top w:val="nil"/>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2021-22</w:t>
            </w:r>
            <w:r w:rsidRPr="009A4D14">
              <w:rPr>
                <w:rFonts w:ascii="Arial" w:eastAsia="Times New Roman" w:hAnsi="Arial" w:cs="Arial"/>
                <w:b/>
                <w:bCs/>
                <w:sz w:val="18"/>
                <w:szCs w:val="18"/>
                <w:lang w:eastAsia="en-GB"/>
              </w:rPr>
              <w:br/>
              <w:t>ME</w:t>
            </w:r>
          </w:p>
        </w:tc>
        <w:tc>
          <w:tcPr>
            <w:tcW w:w="1286"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2021-22</w:t>
            </w:r>
            <w:r w:rsidRPr="009A4D14">
              <w:rPr>
                <w:rFonts w:ascii="Arial" w:eastAsia="Times New Roman" w:hAnsi="Arial" w:cs="Arial"/>
                <w:b/>
                <w:bCs/>
                <w:sz w:val="18"/>
                <w:szCs w:val="18"/>
                <w:lang w:eastAsia="en-GB"/>
              </w:rPr>
              <w:br/>
              <w:t>SE</w:t>
            </w:r>
          </w:p>
        </w:tc>
        <w:tc>
          <w:tcPr>
            <w:tcW w:w="2572" w:type="dxa"/>
            <w:gridSpan w:val="2"/>
            <w:tcBorders>
              <w:top w:val="single" w:sz="8" w:space="0" w:color="auto"/>
              <w:left w:val="nil"/>
              <w:bottom w:val="single" w:sz="4"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Change from</w:t>
            </w:r>
            <w:r w:rsidRPr="009A4D14">
              <w:rPr>
                <w:rFonts w:ascii="Arial" w:eastAsia="Times New Roman" w:hAnsi="Arial" w:cs="Arial"/>
                <w:b/>
                <w:bCs/>
                <w:sz w:val="18"/>
                <w:szCs w:val="18"/>
                <w:lang w:eastAsia="en-GB"/>
              </w:rPr>
              <w:br/>
              <w:t>SE</w:t>
            </w:r>
          </w:p>
        </w:tc>
      </w:tr>
      <w:tr w:rsidTr="009A4D14">
        <w:tblPrEx>
          <w:tblW w:w="7612" w:type="dxa"/>
          <w:jc w:val="center"/>
          <w:tblLook w:val="04A0"/>
        </w:tblPrEx>
        <w:trPr>
          <w:trHeight w:val="290"/>
          <w:jc w:val="center"/>
        </w:trPr>
        <w:tc>
          <w:tcPr>
            <w:tcW w:w="2467" w:type="dxa"/>
            <w:tcBorders>
              <w:top w:val="single" w:sz="4" w:space="0" w:color="auto"/>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Commodity Block</w:t>
            </w:r>
          </w:p>
        </w:tc>
        <w:tc>
          <w:tcPr>
            <w:tcW w:w="1286"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1286"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1286"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1286"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w:t>
            </w:r>
          </w:p>
        </w:tc>
      </w:tr>
      <w:tr w:rsidTr="009A4D14">
        <w:tblPrEx>
          <w:tblW w:w="7612" w:type="dxa"/>
          <w:jc w:val="center"/>
          <w:tblLook w:val="04A0"/>
        </w:tblPrEx>
        <w:trPr>
          <w:trHeight w:val="290"/>
          <w:jc w:val="center"/>
        </w:trPr>
        <w:tc>
          <w:tcPr>
            <w:tcW w:w="2467"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Total Resource AME</w:t>
            </w:r>
          </w:p>
        </w:tc>
        <w:tc>
          <w:tcPr>
            <w:tcW w:w="1286"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1,519 </w:t>
            </w:r>
          </w:p>
        </w:tc>
        <w:tc>
          <w:tcPr>
            <w:tcW w:w="1286" w:type="dxa"/>
            <w:tcBorders>
              <w:top w:val="single" w:sz="4" w:space="0" w:color="auto"/>
              <w:left w:val="nil"/>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2,719.3 </w:t>
            </w:r>
          </w:p>
        </w:tc>
        <w:tc>
          <w:tcPr>
            <w:tcW w:w="1286" w:type="dxa"/>
            <w:tcBorders>
              <w:top w:val="single" w:sz="4" w:space="0" w:color="auto"/>
              <w:left w:val="nil"/>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(1,200.3)</w:t>
            </w:r>
          </w:p>
        </w:tc>
        <w:tc>
          <w:tcPr>
            <w:tcW w:w="1286" w:type="dxa"/>
            <w:tcBorders>
              <w:top w:val="nil"/>
              <w:left w:val="nil"/>
              <w:bottom w:val="single" w:sz="8"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-44.1%</w:t>
            </w:r>
          </w:p>
        </w:tc>
      </w:tr>
    </w:tbl>
    <w:p w:rsidR="009A4D14" w:rsidRPr="009A4D14" w:rsidP="009A4D14">
      <w:pPr>
        <w:autoSpaceDE w:val="0"/>
        <w:autoSpaceDN w:val="0"/>
        <w:adjustRightInd w:val="0"/>
        <w:spacing w:after="0" w:line="360" w:lineRule="auto"/>
        <w:ind w:right="113"/>
        <w:jc w:val="both"/>
        <w:mirrorIndents/>
        <w:rPr>
          <w:rFonts w:eastAsiaTheme="minorEastAsia" w:cs="Arial"/>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Integrated Review </w:t>
      </w:r>
    </w:p>
    <w:p w:rsidR="009A4D14" w:rsidRPr="009A4D14" w:rsidP="009A4D14">
      <w:pPr>
        <w:rPr>
          <w:rFonts w:eastAsiaTheme="minorEastAsia"/>
        </w:rPr>
      </w:pPr>
      <w:r w:rsidRPr="009A4D14">
        <w:rPr>
          <w:rFonts w:eastAsiaTheme="minorEastAsia"/>
        </w:rPr>
        <w:t>The Integrated Review of Security, Defence, Development and Foreign Policy set out the Prime Minister’s vision for the UK in 2030, as a problem-solving and burden-sharing nation with a global perspective, adapting to a more competitive world through an integrated approach. On 22</w:t>
      </w:r>
      <w:r w:rsidRPr="009A4D14">
        <w:rPr>
          <w:rFonts w:eastAsiaTheme="minorEastAsia"/>
          <w:vertAlign w:val="superscript"/>
        </w:rPr>
        <w:t>nd</w:t>
      </w:r>
      <w:r w:rsidRPr="009A4D14">
        <w:rPr>
          <w:rFonts w:eastAsiaTheme="minorEastAsia"/>
        </w:rPr>
        <w:t xml:space="preserve"> March 2021, the Defence Secretary announced the publication of Defence in a Competitive Age, which sets out how MOD will transform to counter deepening threats and seize opportunities for Global Britain. The Government anticipates that the world in 2030 will be a more contested environment characterised by geo-political and geo-economic shifts, systemic competition, as well as transnational challenges such as climate change, and rapid technological development. As part of the Government’s integrated response, MOD will invest an additional £24 billion over the next four years to reform and renew the Armed Forces for this age of global and systemic competition: modernising and integrating forces across sea, land, air, space and cyber like never before. At least £6.6 billion of investment in accelerated Research and Development will deliver next generation capabilities to outpace our adversaries, and give us a decisive edge, as a global Science and Technology power.</w:t>
      </w: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Ring fenced budgets</w:t>
      </w:r>
    </w:p>
    <w:p w:rsidR="009A4D14" w:rsidRPr="009A4D14" w:rsidP="009A4D14">
      <w:pPr>
        <w:keepNext/>
        <w:keepLines/>
        <w:outlineLvl w:val="1"/>
        <w:rPr>
          <w:rFonts w:eastAsiaTheme="majorEastAsia" w:cstheme="majorBidi"/>
        </w:rPr>
      </w:pPr>
      <w:r w:rsidRPr="009A4D14">
        <w:rPr>
          <w:rFonts w:eastAsiaTheme="majorEastAsia" w:cstheme="majorBidi"/>
        </w:rPr>
        <w:t>Within the Control Totals, the following elements are ring-fenced, i.e. savings in these budgets may not be used to fund pressures in other budgets.</w:t>
      </w:r>
    </w:p>
    <w:tbl>
      <w:tblPr>
        <w:tblW w:w="9360" w:type="dxa"/>
        <w:tblLook w:val="04A0"/>
      </w:tblPr>
      <w:tblGrid>
        <w:gridCol w:w="9360"/>
      </w:tblGrid>
      <w:tr w:rsidTr="009A4D14">
        <w:tblPrEx>
          <w:tblW w:w="9360" w:type="dxa"/>
          <w:tblLook w:val="04A0"/>
        </w:tblPrEx>
        <w:trPr>
          <w:trHeight w:val="276"/>
        </w:trPr>
        <w:tc>
          <w:tcPr>
            <w:tcW w:w="9360" w:type="dxa"/>
            <w:tcBorders>
              <w:top w:val="nil"/>
              <w:left w:val="nil"/>
              <w:bottom w:val="nil"/>
              <w:right w:val="nil"/>
            </w:tcBorders>
            <w:shd w:val="clear" w:color="auto" w:fill="auto"/>
            <w:vAlign w:val="bottom"/>
            <w:hideMark/>
          </w:tcPr>
          <w:p w:rsidR="009A4D14" w:rsidRPr="009A4D14" w:rsidP="009A4D14">
            <w:pPr>
              <w:spacing w:after="0" w:line="240" w:lineRule="auto"/>
              <w:ind w:left="-107"/>
              <w:rPr>
                <w:rFonts w:ascii="Arial" w:eastAsia="Times New Roman" w:hAnsi="Arial" w:cs="Arial"/>
                <w:b/>
                <w:bCs/>
                <w:sz w:val="20"/>
                <w:szCs w:val="20"/>
                <w:lang w:eastAsia="en-GB"/>
              </w:rPr>
            </w:pPr>
            <w:r w:rsidRPr="009A4D14">
              <w:rPr>
                <w:rFonts w:ascii="Arial" w:eastAsia="Times New Roman" w:hAnsi="Arial" w:cs="Arial"/>
                <w:b/>
                <w:bCs/>
                <w:sz w:val="20"/>
                <w:szCs w:val="20"/>
                <w:lang w:eastAsia="en-GB"/>
              </w:rPr>
              <w:t>Table 6: Main Estimate total Ring fenced budgets</w:t>
            </w:r>
          </w:p>
          <w:tbl>
            <w:tblPr>
              <w:tblW w:w="6582" w:type="dxa"/>
              <w:tblLook w:val="04A0"/>
            </w:tblPr>
            <w:tblGrid>
              <w:gridCol w:w="2781"/>
              <w:gridCol w:w="942"/>
              <w:gridCol w:w="732"/>
              <w:gridCol w:w="677"/>
              <w:gridCol w:w="765"/>
              <w:gridCol w:w="685"/>
            </w:tblGrid>
            <w:tr w:rsidTr="009A4D14">
              <w:tblPrEx>
                <w:tblW w:w="6582" w:type="dxa"/>
                <w:tblLook w:val="04A0"/>
              </w:tblPrEx>
              <w:trPr>
                <w:trHeight w:val="500"/>
              </w:trPr>
              <w:tc>
                <w:tcPr>
                  <w:tcW w:w="3723" w:type="dxa"/>
                  <w:gridSpan w:val="2"/>
                  <w:vMerge w:val="restart"/>
                  <w:tcBorders>
                    <w:top w:val="single" w:sz="8" w:space="0" w:color="auto"/>
                    <w:left w:val="single" w:sz="8" w:space="0" w:color="auto"/>
                    <w:bottom w:val="single" w:sz="8" w:space="0" w:color="000000"/>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xml:space="preserve">Spending total - </w:t>
                  </w:r>
                  <w:r w:rsidRPr="009A4D14">
                    <w:rPr>
                      <w:rFonts w:ascii="Arial" w:eastAsia="Times New Roman" w:hAnsi="Arial" w:cs="Arial"/>
                      <w:b/>
                      <w:bCs/>
                      <w:color w:val="000000"/>
                      <w:sz w:val="18"/>
                      <w:szCs w:val="18"/>
                      <w:lang w:eastAsia="en-GB"/>
                    </w:rPr>
                    <w:t>Main Estimate 2021-22</w:t>
                  </w:r>
                </w:p>
              </w:tc>
              <w:tc>
                <w:tcPr>
                  <w:tcW w:w="1409" w:type="dxa"/>
                  <w:gridSpan w:val="2"/>
                  <w:vMerge w:val="restart"/>
                  <w:tcBorders>
                    <w:top w:val="single" w:sz="8" w:space="0" w:color="auto"/>
                    <w:left w:val="single" w:sz="8" w:space="0" w:color="000000"/>
                    <w:bottom w:val="single" w:sz="8" w:space="0" w:color="000000"/>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Compared to 2020-21 SE</w:t>
                  </w:r>
                </w:p>
              </w:tc>
              <w:tc>
                <w:tcPr>
                  <w:tcW w:w="1450" w:type="dxa"/>
                  <w:gridSpan w:val="2"/>
                  <w:vMerge w:val="restart"/>
                  <w:tcBorders>
                    <w:top w:val="single" w:sz="8" w:space="0" w:color="auto"/>
                    <w:left w:val="single" w:sz="8" w:space="0" w:color="000000"/>
                    <w:bottom w:val="single" w:sz="8" w:space="0" w:color="000000"/>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Compared to 2020-21 ME</w:t>
                  </w:r>
                </w:p>
              </w:tc>
            </w:tr>
            <w:tr w:rsidTr="009A4D14">
              <w:tblPrEx>
                <w:tblW w:w="6582" w:type="dxa"/>
                <w:tblLook w:val="04A0"/>
              </w:tblPrEx>
              <w:trPr>
                <w:trHeight w:val="450"/>
              </w:trPr>
              <w:tc>
                <w:tcPr>
                  <w:tcW w:w="3723" w:type="dxa"/>
                  <w:gridSpan w:val="2"/>
                  <w:vMerge/>
                  <w:tcBorders>
                    <w:top w:val="single" w:sz="8" w:space="0" w:color="auto"/>
                    <w:left w:val="single" w:sz="8" w:space="0" w:color="auto"/>
                    <w:bottom w:val="single" w:sz="8" w:space="0" w:color="000000"/>
                    <w:right w:val="single" w:sz="8" w:space="0" w:color="000000"/>
                  </w:tcBorders>
                  <w:vAlign w:val="center"/>
                  <w:hideMark/>
                </w:tcPr>
                <w:p w:rsidR="009A4D14" w:rsidRPr="009A4D14" w:rsidP="009A4D14">
                  <w:pPr>
                    <w:spacing w:after="0" w:line="240" w:lineRule="auto"/>
                    <w:rPr>
                      <w:rFonts w:ascii="Arial" w:eastAsia="Times New Roman" w:hAnsi="Arial" w:cs="Arial"/>
                      <w:b/>
                      <w:bCs/>
                      <w:sz w:val="18"/>
                      <w:szCs w:val="18"/>
                      <w:lang w:eastAsia="en-GB"/>
                    </w:rPr>
                  </w:pPr>
                </w:p>
              </w:tc>
              <w:tc>
                <w:tcPr>
                  <w:tcW w:w="1409" w:type="dxa"/>
                  <w:gridSpan w:val="2"/>
                  <w:vMerge/>
                  <w:tcBorders>
                    <w:top w:val="single" w:sz="8" w:space="0" w:color="auto"/>
                    <w:left w:val="single" w:sz="8" w:space="0" w:color="000000"/>
                    <w:bottom w:val="single" w:sz="8" w:space="0" w:color="000000"/>
                    <w:right w:val="single" w:sz="8" w:space="0" w:color="000000"/>
                  </w:tcBorders>
                  <w:vAlign w:val="center"/>
                  <w:hideMark/>
                </w:tcPr>
                <w:p w:rsidR="009A4D14" w:rsidRPr="009A4D14" w:rsidP="009A4D14">
                  <w:pPr>
                    <w:spacing w:after="0" w:line="240" w:lineRule="auto"/>
                    <w:rPr>
                      <w:rFonts w:ascii="Arial" w:eastAsia="Times New Roman" w:hAnsi="Arial" w:cs="Arial"/>
                      <w:b/>
                      <w:bCs/>
                      <w:color w:val="000000"/>
                      <w:sz w:val="18"/>
                      <w:szCs w:val="18"/>
                      <w:lang w:eastAsia="en-GB"/>
                    </w:rPr>
                  </w:pPr>
                </w:p>
              </w:tc>
              <w:tc>
                <w:tcPr>
                  <w:tcW w:w="1450" w:type="dxa"/>
                  <w:gridSpan w:val="2"/>
                  <w:vMerge/>
                  <w:tcBorders>
                    <w:top w:val="single" w:sz="8" w:space="0" w:color="auto"/>
                    <w:left w:val="single" w:sz="8" w:space="0" w:color="000000"/>
                    <w:bottom w:val="single" w:sz="8" w:space="0" w:color="000000"/>
                    <w:right w:val="single" w:sz="8" w:space="0" w:color="000000"/>
                  </w:tcBorders>
                  <w:vAlign w:val="center"/>
                  <w:hideMark/>
                </w:tcPr>
                <w:p w:rsidR="009A4D14" w:rsidRPr="009A4D14" w:rsidP="009A4D14">
                  <w:pPr>
                    <w:spacing w:after="0" w:line="240" w:lineRule="auto"/>
                    <w:rPr>
                      <w:rFonts w:ascii="Arial" w:eastAsia="Times New Roman" w:hAnsi="Arial" w:cs="Arial"/>
                      <w:b/>
                      <w:bCs/>
                      <w:color w:val="000000"/>
                      <w:sz w:val="18"/>
                      <w:szCs w:val="18"/>
                      <w:lang w:eastAsia="en-GB"/>
                    </w:rPr>
                  </w:pPr>
                </w:p>
              </w:tc>
            </w:tr>
            <w:tr w:rsidTr="009A4D14">
              <w:tblPrEx>
                <w:tblW w:w="6582" w:type="dxa"/>
                <w:tblLook w:val="04A0"/>
              </w:tblPrEx>
              <w:trPr>
                <w:trHeight w:val="287"/>
              </w:trPr>
              <w:tc>
                <w:tcPr>
                  <w:tcW w:w="2781" w:type="dxa"/>
                  <w:tcBorders>
                    <w:top w:val="nil"/>
                    <w:left w:val="single" w:sz="8" w:space="0" w:color="auto"/>
                    <w:bottom w:val="single" w:sz="8" w:space="0" w:color="auto"/>
                    <w:right w:val="single" w:sz="8"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 </w:t>
                  </w:r>
                </w:p>
              </w:tc>
              <w:tc>
                <w:tcPr>
                  <w:tcW w:w="941"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£M</w:t>
                  </w:r>
                </w:p>
              </w:tc>
              <w:tc>
                <w:tcPr>
                  <w:tcW w:w="732"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£M</w:t>
                  </w:r>
                </w:p>
              </w:tc>
              <w:tc>
                <w:tcPr>
                  <w:tcW w:w="676"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w:t>
                  </w:r>
                </w:p>
              </w:tc>
              <w:tc>
                <w:tcPr>
                  <w:tcW w:w="765"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£M</w:t>
                  </w:r>
                </w:p>
              </w:tc>
              <w:tc>
                <w:tcPr>
                  <w:tcW w:w="684"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color w:val="000000"/>
                      <w:sz w:val="18"/>
                      <w:szCs w:val="18"/>
                      <w:lang w:eastAsia="en-GB"/>
                    </w:rPr>
                  </w:pPr>
                  <w:r w:rsidRPr="009A4D14">
                    <w:rPr>
                      <w:rFonts w:ascii="Arial" w:eastAsia="Times New Roman" w:hAnsi="Arial" w:cs="Arial"/>
                      <w:b/>
                      <w:bCs/>
                      <w:color w:val="000000"/>
                      <w:sz w:val="18"/>
                      <w:szCs w:val="18"/>
                      <w:lang w:eastAsia="en-GB"/>
                    </w:rPr>
                    <w:t>%</w:t>
                  </w:r>
                </w:p>
              </w:tc>
            </w:tr>
            <w:tr w:rsidTr="009A4D14">
              <w:tblPrEx>
                <w:tblW w:w="6582" w:type="dxa"/>
                <w:tblLook w:val="04A0"/>
              </w:tblPrEx>
              <w:trPr>
                <w:trHeight w:val="287"/>
              </w:trPr>
              <w:tc>
                <w:tcPr>
                  <w:tcW w:w="2781" w:type="dxa"/>
                  <w:tcBorders>
                    <w:top w:val="nil"/>
                    <w:left w:val="single" w:sz="8" w:space="0" w:color="auto"/>
                    <w:bottom w:val="single" w:sz="8" w:space="0" w:color="auto"/>
                    <w:right w:val="single" w:sz="8" w:space="0" w:color="auto"/>
                  </w:tcBorders>
                  <w:shd w:val="clear" w:color="auto" w:fill="auto"/>
                  <w:vAlign w:val="center"/>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Operations - Cash RDEL and CDEL</w:t>
                  </w:r>
                </w:p>
              </w:tc>
              <w:tc>
                <w:tcPr>
                  <w:tcW w:w="941"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300.0</w:t>
                  </w:r>
                </w:p>
              </w:tc>
              <w:tc>
                <w:tcPr>
                  <w:tcW w:w="732"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(178.9)</w:t>
                  </w:r>
                </w:p>
              </w:tc>
              <w:tc>
                <w:tcPr>
                  <w:tcW w:w="67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-37.4%</w:t>
                  </w:r>
                </w:p>
              </w:tc>
              <w:tc>
                <w:tcPr>
                  <w:tcW w:w="765"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(30.0)</w:t>
                  </w:r>
                </w:p>
              </w:tc>
              <w:tc>
                <w:tcPr>
                  <w:tcW w:w="684"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-9.1%</w:t>
                  </w:r>
                </w:p>
              </w:tc>
            </w:tr>
            <w:tr w:rsidTr="009A4D14">
              <w:tblPrEx>
                <w:tblW w:w="6582" w:type="dxa"/>
                <w:tblLook w:val="04A0"/>
              </w:tblPrEx>
              <w:trPr>
                <w:trHeight w:val="287"/>
              </w:trPr>
              <w:tc>
                <w:tcPr>
                  <w:tcW w:w="2781" w:type="dxa"/>
                  <w:tcBorders>
                    <w:top w:val="nil"/>
                    <w:left w:val="single" w:sz="8" w:space="0" w:color="auto"/>
                    <w:bottom w:val="nil"/>
                    <w:right w:val="single" w:sz="8" w:space="0" w:color="auto"/>
                  </w:tcBorders>
                  <w:shd w:val="clear" w:color="auto" w:fill="auto"/>
                  <w:vAlign w:val="center"/>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Conflict, Stability and Security Fund</w:t>
                  </w:r>
                </w:p>
              </w:tc>
              <w:tc>
                <w:tcPr>
                  <w:tcW w:w="941" w:type="dxa"/>
                  <w:tcBorders>
                    <w:top w:val="nil"/>
                    <w:left w:val="nil"/>
                    <w:bottom w:val="nil"/>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84.5</w:t>
                  </w:r>
                </w:p>
              </w:tc>
              <w:tc>
                <w:tcPr>
                  <w:tcW w:w="732"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(4.2)</w:t>
                  </w:r>
                </w:p>
              </w:tc>
              <w:tc>
                <w:tcPr>
                  <w:tcW w:w="67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-4.7%</w:t>
                  </w:r>
                </w:p>
              </w:tc>
              <w:tc>
                <w:tcPr>
                  <w:tcW w:w="765"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(1.1)</w:t>
                  </w:r>
                </w:p>
              </w:tc>
              <w:tc>
                <w:tcPr>
                  <w:tcW w:w="684"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-1.3%</w:t>
                  </w:r>
                </w:p>
              </w:tc>
            </w:tr>
            <w:tr w:rsidTr="009A4D14">
              <w:tblPrEx>
                <w:tblW w:w="6582" w:type="dxa"/>
                <w:tblLook w:val="04A0"/>
              </w:tblPrEx>
              <w:trPr>
                <w:trHeight w:val="287"/>
              </w:trPr>
              <w:tc>
                <w:tcPr>
                  <w:tcW w:w="2781" w:type="dxa"/>
                  <w:tcBorders>
                    <w:top w:val="single" w:sz="8" w:space="0" w:color="auto"/>
                    <w:left w:val="single" w:sz="8" w:space="0" w:color="auto"/>
                    <w:bottom w:val="nil"/>
                    <w:right w:val="single" w:sz="8" w:space="0" w:color="auto"/>
                  </w:tcBorders>
                  <w:shd w:val="clear" w:color="auto" w:fill="auto"/>
                  <w:vAlign w:val="center"/>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War Pension Benefits</w:t>
                  </w:r>
                </w:p>
              </w:tc>
              <w:tc>
                <w:tcPr>
                  <w:tcW w:w="941" w:type="dxa"/>
                  <w:tcBorders>
                    <w:top w:val="single" w:sz="8" w:space="0" w:color="auto"/>
                    <w:left w:val="nil"/>
                    <w:bottom w:val="nil"/>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661.8</w:t>
                  </w:r>
                </w:p>
              </w:tc>
              <w:tc>
                <w:tcPr>
                  <w:tcW w:w="732"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(8.3)</w:t>
                  </w:r>
                </w:p>
              </w:tc>
              <w:tc>
                <w:tcPr>
                  <w:tcW w:w="67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-1.2%</w:t>
                  </w:r>
                </w:p>
              </w:tc>
              <w:tc>
                <w:tcPr>
                  <w:tcW w:w="765"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(38.3)</w:t>
                  </w:r>
                </w:p>
              </w:tc>
              <w:tc>
                <w:tcPr>
                  <w:tcW w:w="684"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-5.5%</w:t>
                  </w:r>
                </w:p>
              </w:tc>
            </w:tr>
            <w:tr w:rsidTr="009A4D14">
              <w:tblPrEx>
                <w:tblW w:w="6582" w:type="dxa"/>
                <w:tblLook w:val="04A0"/>
              </w:tblPrEx>
              <w:trPr>
                <w:trHeight w:val="437"/>
              </w:trPr>
              <w:tc>
                <w:tcPr>
                  <w:tcW w:w="27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Core Depreciation and Impairment Costs</w:t>
                  </w:r>
                </w:p>
              </w:tc>
              <w:tc>
                <w:tcPr>
                  <w:tcW w:w="941" w:type="dxa"/>
                  <w:tcBorders>
                    <w:top w:val="single" w:sz="8" w:space="0" w:color="auto"/>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10,500.0</w:t>
                  </w:r>
                </w:p>
              </w:tc>
              <w:tc>
                <w:tcPr>
                  <w:tcW w:w="732" w:type="dxa"/>
                  <w:tcBorders>
                    <w:top w:val="single" w:sz="8" w:space="0" w:color="auto"/>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w:t>
                  </w:r>
                </w:p>
              </w:tc>
              <w:tc>
                <w:tcPr>
                  <w:tcW w:w="676"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0.0%</w:t>
                  </w:r>
                </w:p>
              </w:tc>
              <w:tc>
                <w:tcPr>
                  <w:tcW w:w="765"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2,000.0</w:t>
                  </w:r>
                </w:p>
              </w:tc>
              <w:tc>
                <w:tcPr>
                  <w:tcW w:w="684" w:type="dxa"/>
                  <w:tcBorders>
                    <w:top w:val="nil"/>
                    <w:left w:val="nil"/>
                    <w:bottom w:val="single" w:sz="8" w:space="0" w:color="auto"/>
                    <w:right w:val="single" w:sz="8" w:space="0" w:color="auto"/>
                  </w:tcBorders>
                  <w:shd w:val="clear" w:color="auto" w:fill="auto"/>
                  <w:vAlign w:val="center"/>
                  <w:hideMark/>
                </w:tcPr>
                <w:p w:rsidR="009A4D14" w:rsidRPr="009A4D14" w:rsidP="009A4D14">
                  <w:pPr>
                    <w:spacing w:after="0" w:line="240" w:lineRule="auto"/>
                    <w:jc w:val="right"/>
                    <w:rPr>
                      <w:rFonts w:ascii="Arial" w:eastAsia="Times New Roman" w:hAnsi="Arial" w:cs="Arial"/>
                      <w:sz w:val="16"/>
                      <w:szCs w:val="16"/>
                      <w:lang w:eastAsia="en-GB"/>
                    </w:rPr>
                  </w:pPr>
                </w:p>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23.5%</w:t>
                  </w:r>
                </w:p>
              </w:tc>
            </w:tr>
          </w:tbl>
          <w:p w:rsidR="009A4D14" w:rsidRPr="009A4D14" w:rsidP="009A4D14">
            <w:pPr>
              <w:spacing w:after="0" w:line="240" w:lineRule="auto"/>
              <w:ind w:left="-107"/>
              <w:rPr>
                <w:rFonts w:ascii="Arial" w:eastAsia="Times New Roman" w:hAnsi="Arial" w:cs="Arial"/>
                <w:b/>
                <w:bCs/>
                <w:sz w:val="20"/>
                <w:szCs w:val="20"/>
                <w:lang w:eastAsia="en-GB"/>
              </w:rPr>
            </w:pPr>
          </w:p>
        </w:tc>
      </w:tr>
    </w:tbl>
    <w:p w:rsidR="009A4D14" w:rsidRPr="009A4D14" w:rsidP="009A4D14">
      <w:pPr>
        <w:keepNext/>
        <w:keepLines/>
        <w:spacing w:before="40" w:after="0"/>
        <w:ind w:left="576" w:hanging="576"/>
        <w:outlineLvl w:val="1"/>
        <w:rPr>
          <w:rFonts w:eastAsiaTheme="majorEastAsia" w:cstheme="majorBidi"/>
          <w:color w:val="2F5496" w:themeColor="accent1" w:themeShade="BF"/>
          <w:sz w:val="28"/>
          <w:szCs w:val="28"/>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Changes to contingent liabilities</w:t>
      </w:r>
    </w:p>
    <w:p w:rsidR="009A4D14" w:rsidRPr="009A4D14" w:rsidP="009A4D14">
      <w:pPr>
        <w:rPr>
          <w:rFonts w:eastAsiaTheme="minorEastAsia"/>
        </w:rPr>
      </w:pPr>
      <w:r w:rsidRPr="009A4D14">
        <w:rPr>
          <w:rFonts w:eastAsiaTheme="minorEastAsia" w:cs="Arial"/>
        </w:rPr>
        <w:t xml:space="preserve">Provisions for liabilities and charges are based on realistic and prudent estimates of the expenditure required to settle future legal or constructive obligations. </w:t>
      </w:r>
      <w:r w:rsidRPr="009A4D14">
        <w:rPr>
          <w:rFonts w:eastAsiaTheme="minorEastAsia"/>
        </w:rPr>
        <w:t xml:space="preserve">The Department is required to identify contingent liabilities when agreeing contracts, seek HM Treasury approval and provide timely notification to Parliament of those more than £300k. This allows Parliament and HM Treasury to scrutinise the extent to which the taxpayer might be exposed to potentially significant liabilities in the future. </w:t>
      </w:r>
    </w:p>
    <w:p w:rsidR="009A4D14" w:rsidRPr="009A4D14" w:rsidP="009A4D14">
      <w:pPr>
        <w:rPr>
          <w:rFonts w:eastAsiaTheme="minorEastAsia"/>
        </w:rPr>
      </w:pPr>
      <w:r w:rsidRPr="009A4D14">
        <w:rPr>
          <w:rFonts w:eastAsiaTheme="minorEastAsia" w:cs="Arial"/>
        </w:rPr>
        <w:t>The MOD’s provisions cover legal claims, civilian early departure costs, environmental costs, restructuring and nuclear decommissioning and restoration costs. Details of the Department’s Contingent Liabilities are set out in a separate table in the Main Supply Estimate. We are currently assessing the impact on future contingent liabilities and will provide further detail on this in our 2020-21 Annual Report and Accounts.</w:t>
      </w:r>
    </w:p>
    <w:p w:rsidR="009A4D14" w:rsidRPr="009A4D14" w:rsidP="009A4D14">
      <w:pPr>
        <w:keepNext/>
        <w:keepLines/>
        <w:spacing w:before="240" w:after="0"/>
        <w:ind w:left="432" w:hanging="432"/>
        <w:outlineLvl w:val="0"/>
        <w:rPr>
          <w:rFonts w:eastAsiaTheme="majorEastAsia" w:cstheme="majorBidi"/>
          <w:color w:val="2F5496" w:themeColor="accent1" w:themeShade="BF"/>
          <w:sz w:val="32"/>
          <w:szCs w:val="32"/>
        </w:rPr>
      </w:pPr>
      <w:r w:rsidRPr="009A4D14">
        <w:rPr>
          <w:rFonts w:eastAsiaTheme="majorEastAsia" w:cstheme="majorBidi"/>
          <w:color w:val="2F5496" w:themeColor="accent1" w:themeShade="BF"/>
          <w:sz w:val="32"/>
          <w:szCs w:val="32"/>
        </w:rPr>
        <w:t>Priorities and performance</w:t>
      </w:r>
    </w:p>
    <w:p w:rsidR="009A4D14" w:rsidRPr="009A4D14" w:rsidP="009A4D14">
      <w:pPr>
        <w:rPr>
          <w:rFonts w:eastAsiaTheme="minorEastAsia"/>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How spending relates to objectives </w:t>
      </w:r>
    </w:p>
    <w:p w:rsidR="009A4D14" w:rsidRPr="009A4D14" w:rsidP="009A4D14">
      <w:pPr>
        <w:rPr>
          <w:rFonts w:eastAsiaTheme="minorEastAsia"/>
          <w:noProof/>
        </w:rPr>
      </w:pPr>
      <w:r w:rsidRPr="009A4D14">
        <w:rPr>
          <w:rFonts w:eastAsiaTheme="minorEastAsia"/>
        </w:rPr>
        <w:t>The table below shows how expenditure against each subhead contributes to Departmental priorities under the Single Departmental Plan.</w:t>
      </w:r>
      <w:r w:rsidRPr="009A4D14">
        <w:rPr>
          <w:rFonts w:eastAsiaTheme="minorEastAsia"/>
          <w:noProof/>
        </w:rPr>
        <w:t xml:space="preserve"> </w:t>
      </w:r>
    </w:p>
    <w:p w:rsidR="009A4D14" w:rsidRPr="009A4D14" w:rsidP="009A4D14">
      <w:pPr>
        <w:rPr>
          <w:rFonts w:eastAsiaTheme="minorEastAsia"/>
          <w:noProof/>
        </w:rPr>
      </w:pPr>
      <w:r w:rsidRPr="009A4D14">
        <w:rPr>
          <w:rFonts w:eastAsiaTheme="minorEastAsia"/>
          <w:noProof/>
        </w:rPr>
        <w:drawing>
          <wp:inline distT="0" distB="0" distL="0" distR="0">
            <wp:extent cx="5731510" cy="5866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5731510" cy="5866615"/>
                    </a:xfrm>
                    <a:prstGeom prst="rect">
                      <a:avLst/>
                    </a:prstGeom>
                    <a:noFill/>
                  </pic:spPr>
                </pic:pic>
              </a:graphicData>
            </a:graphic>
          </wp:inline>
        </w:drawing>
      </w:r>
    </w:p>
    <w:p w:rsidR="009A4D14" w:rsidRPr="009A4D14" w:rsidP="009A4D14">
      <w:pPr>
        <w:rPr>
          <w:rFonts w:eastAsiaTheme="minorEastAsia"/>
        </w:rPr>
      </w:pPr>
    </w:p>
    <w:p w:rsidR="009A4D14" w:rsidRPr="009A4D14" w:rsidP="009A4D14">
      <w:pPr>
        <w:rPr>
          <w:rFonts w:eastAsiaTheme="minorEastAsia"/>
        </w:rPr>
      </w:pPr>
    </w:p>
    <w:p w:rsidR="009A4D14" w:rsidRPr="009A4D14" w:rsidP="009A4D14">
      <w:pPr>
        <w:rPr>
          <w:rFonts w:eastAsiaTheme="minorEastAsia"/>
        </w:rPr>
      </w:pPr>
    </w:p>
    <w:p w:rsidR="009A4D14" w:rsidRPr="009A4D14" w:rsidP="009A4D14">
      <w:pPr>
        <w:rPr>
          <w:rFonts w:eastAsiaTheme="minorEastAsia"/>
        </w:rPr>
      </w:pPr>
    </w:p>
    <w:p w:rsidR="009A4D14" w:rsidRPr="009A4D14" w:rsidP="009A4D14">
      <w:pPr>
        <w:rPr>
          <w:rFonts w:eastAsiaTheme="minorEastAsia"/>
        </w:rPr>
      </w:pPr>
    </w:p>
    <w:p w:rsidR="009A4D14" w:rsidRPr="009A4D14" w:rsidP="009A4D14">
      <w:pPr>
        <w:rPr>
          <w:rFonts w:eastAsiaTheme="minorEastAsia"/>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Measures of performance against each priority </w:t>
      </w:r>
    </w:p>
    <w:p w:rsidR="009A4D14" w:rsidRPr="009A4D14" w:rsidP="009A4D14">
      <w:pPr>
        <w:rPr>
          <w:rFonts w:eastAsiaTheme="minorEastAsia"/>
        </w:rPr>
      </w:pPr>
      <w:r w:rsidRPr="009A4D14">
        <w:rPr>
          <w:rFonts w:eastAsiaTheme="minorEastAsia"/>
          <w:lang w:eastAsia="en-GB"/>
        </w:rPr>
        <w:t xml:space="preserve">The MOD’s objectives and commitments for this parliament were set out in its Single Departmental Plan, which has been agreed with HM Treasury and the Cabinet Office. This plan was last updated on 11 July 2019 and a copy can be found at: </w:t>
      </w:r>
    </w:p>
    <w:p w:rsidR="009A4D14" w:rsidRPr="009A4D14" w:rsidP="009A4D14">
      <w:pPr>
        <w:rPr>
          <w:rFonts w:eastAsiaTheme="minorEastAsia"/>
        </w:rPr>
      </w:pPr>
      <w:r>
        <w:fldChar w:fldCharType="begin"/>
      </w:r>
      <w:r>
        <w:instrText xml:space="preserve"> HYPERLINK "https://www.gov.uk/government/publications/ministry-of-defence-single-departmental-plan/ministry-of-defence-single-departmental-plan-2019" </w:instrText>
      </w:r>
      <w:r>
        <w:fldChar w:fldCharType="separate"/>
      </w:r>
      <w:r w:rsidRPr="009A4D14">
        <w:rPr>
          <w:rFonts w:eastAsiaTheme="minorEastAsia"/>
          <w:color w:val="0000FF"/>
          <w:u w:val="single"/>
        </w:rPr>
        <w:t>https://www.gov.uk/government/publications/ministry-of-defence-single-departmental-plan/ministry-of-defence-single-departmental-plan-2019</w:t>
      </w:r>
      <w:r>
        <w:fldChar w:fldCharType="end"/>
      </w:r>
    </w:p>
    <w:p w:rsidR="009A4D14" w:rsidRPr="009A4D14" w:rsidP="009A4D14">
      <w:pPr>
        <w:rPr>
          <w:rFonts w:eastAsiaTheme="minorEastAsia"/>
        </w:rPr>
      </w:pPr>
      <w:r w:rsidRPr="009A4D14">
        <w:rPr>
          <w:rFonts w:eastAsiaTheme="minorEastAsia"/>
        </w:rPr>
        <w:t xml:space="preserve">The Single Departmental Plan will be replaced by the Outcomes Delivery Plan and will align with the MOD’s priority outcomes detailed in 1.1.  </w:t>
      </w:r>
    </w:p>
    <w:p w:rsidR="009A4D14" w:rsidRPr="009A4D14" w:rsidP="009A4D14">
      <w:pPr>
        <w:rPr>
          <w:rFonts w:eastAsiaTheme="minorEastAsia"/>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Commentary on steps being taken to address performance issues </w:t>
      </w:r>
    </w:p>
    <w:p w:rsidR="009A4D14" w:rsidRPr="009A4D14" w:rsidP="009A4D14">
      <w:pPr>
        <w:rPr>
          <w:rFonts w:eastAsiaTheme="minorEastAsia"/>
          <w:lang w:eastAsia="en-GB"/>
        </w:rPr>
      </w:pPr>
      <w:r w:rsidRPr="009A4D14">
        <w:rPr>
          <w:rFonts w:eastAsiaTheme="minorEastAsia"/>
          <w:lang w:eastAsia="en-GB"/>
        </w:rPr>
        <w:t>Spending designed specifically to address performance issues includes:</w:t>
      </w:r>
    </w:p>
    <w:p w:rsidR="009A4D14" w:rsidRPr="009A4D14" w:rsidP="009A4D14">
      <w:pPr>
        <w:numPr>
          <w:ilvl w:val="0"/>
          <w:numId w:val="42"/>
        </w:numPr>
        <w:ind w:left="284"/>
        <w:contextualSpacing/>
        <w:rPr>
          <w:rFonts w:eastAsiaTheme="minorEastAsia"/>
          <w:lang w:eastAsia="en-GB"/>
        </w:rPr>
      </w:pPr>
      <w:r w:rsidRPr="009A4D14">
        <w:rPr>
          <w:rFonts w:eastAsiaTheme="minorEastAsia"/>
          <w:lang w:eastAsia="en-GB"/>
        </w:rPr>
        <w:t>As part of the £1.0Bn additional funding announced in the Budget 2020, the Transformation Programme is prioritised and the Department commitment to fundamental workforce reform.</w:t>
      </w:r>
    </w:p>
    <w:p w:rsidR="009A4D14" w:rsidRPr="009A4D14" w:rsidP="009A4D14">
      <w:pPr>
        <w:rPr>
          <w:rFonts w:eastAsiaTheme="minorEastAsia"/>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 xml:space="preserve">Major projects </w:t>
      </w:r>
    </w:p>
    <w:p w:rsidR="009A4D14" w:rsidRPr="009A4D14" w:rsidP="009A4D14">
      <w:pPr>
        <w:rPr>
          <w:rFonts w:eastAsiaTheme="minorEastAsia"/>
          <w:highlight w:val="yellow"/>
          <w:lang w:eastAsia="en-GB"/>
        </w:rPr>
      </w:pPr>
    </w:p>
    <w:p w:rsidR="009A4D14" w:rsidRPr="009A4D14" w:rsidP="009A4D14">
      <w:pPr>
        <w:rPr>
          <w:rFonts w:eastAsiaTheme="minorEastAsia"/>
          <w:lang w:eastAsia="en-GB"/>
        </w:rPr>
      </w:pPr>
      <w:r w:rsidRPr="009A4D14">
        <w:rPr>
          <w:rFonts w:eastAsiaTheme="minorEastAsia"/>
          <w:lang w:eastAsia="en-GB"/>
        </w:rPr>
        <w:t>The 2020 Annual Report on the Government Major Projects Portfolio (GMPP) from the Infrastructure and Projects Authority (IPA) can be found here:</w:t>
      </w:r>
    </w:p>
    <w:p w:rsidR="009A4D14" w:rsidRPr="009A4D14" w:rsidP="009A4D14">
      <w:pPr>
        <w:rPr>
          <w:rFonts w:eastAsiaTheme="minorEastAsia"/>
          <w:lang w:eastAsia="en-GB"/>
        </w:rPr>
      </w:pPr>
      <w:r>
        <w:fldChar w:fldCharType="begin"/>
      </w:r>
      <w:r>
        <w:instrText xml:space="preserve"> HYPERLINK "https://www.gov.uk/government/publications/infrastructure-and-projects-authority-annual-report-2020" </w:instrText>
      </w:r>
      <w:r>
        <w:fldChar w:fldCharType="separate"/>
      </w:r>
      <w:r w:rsidRPr="009A4D14">
        <w:rPr>
          <w:rFonts w:eastAsiaTheme="minorEastAsia"/>
          <w:color w:val="0000FF"/>
          <w:u w:val="single"/>
          <w:lang w:eastAsia="en-GB"/>
        </w:rPr>
        <w:t>https://www.gov.uk/government/publications/infrastructure-and-projects-authority-annual-report-2020</w:t>
      </w:r>
      <w:r>
        <w:fldChar w:fldCharType="end"/>
      </w:r>
    </w:p>
    <w:p w:rsidR="009A4D14" w:rsidRPr="009A4D14" w:rsidP="009A4D14">
      <w:pPr>
        <w:rPr>
          <w:rFonts w:eastAsiaTheme="minorEastAsia"/>
          <w:lang w:eastAsia="en-GB"/>
        </w:rPr>
      </w:pPr>
      <w:r w:rsidRPr="009A4D14">
        <w:rPr>
          <w:rFonts w:ascii="Arial" w:hAnsi="Arial" w:eastAsiaTheme="minorEastAsia" w:cs="Arial"/>
          <w:iCs/>
          <w:color w:val="000000" w:themeColor="text1"/>
        </w:rPr>
        <w:t xml:space="preserve"> </w:t>
      </w:r>
      <w:r w:rsidRPr="009A4D14">
        <w:rPr>
          <w:rFonts w:eastAsiaTheme="minorEastAsia"/>
          <w:lang w:eastAsia="en-GB"/>
        </w:rPr>
        <w:t>All MOD Capability Programmes are funded internally by the Department, via HM Treasury.</w:t>
      </w:r>
    </w:p>
    <w:p w:rsidR="009A4D14" w:rsidRPr="009A4D14" w:rsidP="009A4D14">
      <w:pPr>
        <w:rPr>
          <w:rFonts w:eastAsiaTheme="minorEastAsia"/>
          <w:lang w:eastAsia="en-GB"/>
        </w:rPr>
      </w:pPr>
    </w:p>
    <w:p w:rsidR="009A4D14" w:rsidRPr="009A4D14" w:rsidP="009A4D14">
      <w:pPr>
        <w:keepNext/>
        <w:keepLines/>
        <w:spacing w:before="240" w:after="0"/>
        <w:ind w:left="432" w:hanging="432"/>
        <w:outlineLvl w:val="0"/>
        <w:rPr>
          <w:rFonts w:eastAsiaTheme="majorEastAsia" w:cstheme="majorBidi"/>
          <w:color w:val="2F5496" w:themeColor="accent1" w:themeShade="BF"/>
          <w:sz w:val="32"/>
          <w:szCs w:val="32"/>
        </w:rPr>
      </w:pPr>
      <w:r w:rsidRPr="009A4D14">
        <w:rPr>
          <w:rFonts w:eastAsiaTheme="majorEastAsia" w:cstheme="majorBidi"/>
          <w:color w:val="2F5496" w:themeColor="accent1" w:themeShade="BF"/>
          <w:sz w:val="32"/>
          <w:szCs w:val="32"/>
        </w:rPr>
        <w:t>Other information</w:t>
      </w: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Summary of Resources sought in the Estimate</w:t>
      </w:r>
    </w:p>
    <w:p w:rsidR="009A4D14" w:rsidRPr="009A4D14" w:rsidP="009A4D14">
      <w:pPr>
        <w:ind w:right="113"/>
        <w:mirrorIndents/>
        <w:rPr>
          <w:rFonts w:eastAsiaTheme="minorEastAsia" w:cs="Arial"/>
        </w:rPr>
      </w:pPr>
      <w:r w:rsidRPr="009A4D14">
        <w:rPr>
          <w:rFonts w:eastAsiaTheme="minorEastAsia" w:cs="Arial"/>
        </w:rPr>
        <w:t>Part I of the Estimate sets out the new resource requirements for the year ending 31 March 2022. The resources requested are set out in Table 7 below.</w:t>
      </w:r>
    </w:p>
    <w:tbl>
      <w:tblPr>
        <w:tblW w:w="8581" w:type="dxa"/>
        <w:tblLook w:val="04A0"/>
      </w:tblPr>
      <w:tblGrid>
        <w:gridCol w:w="6389"/>
        <w:gridCol w:w="2038"/>
        <w:gridCol w:w="222"/>
        <w:gridCol w:w="222"/>
      </w:tblGrid>
      <w:tr w:rsidTr="009A4D14">
        <w:tblPrEx>
          <w:tblW w:w="8581" w:type="dxa"/>
          <w:tblLook w:val="04A0"/>
        </w:tblPrEx>
        <w:trPr>
          <w:trHeight w:val="264"/>
        </w:trPr>
        <w:tc>
          <w:tcPr>
            <w:tcW w:w="8581" w:type="dxa"/>
            <w:gridSpan w:val="4"/>
            <w:tcBorders>
              <w:top w:val="nil"/>
              <w:left w:val="nil"/>
              <w:bottom w:val="nil"/>
              <w:right w:val="nil"/>
            </w:tcBorders>
            <w:shd w:val="clear" w:color="auto" w:fill="auto"/>
            <w:noWrap/>
            <w:vAlign w:val="bottom"/>
            <w:hideMark/>
          </w:tcPr>
          <w:p w:rsidR="009A4D14" w:rsidRPr="009A4D14" w:rsidP="009A4D14">
            <w:pPr>
              <w:spacing w:after="0" w:line="240" w:lineRule="auto"/>
              <w:rPr>
                <w:rFonts w:ascii="Arial" w:eastAsia="Times New Roman" w:hAnsi="Arial" w:cs="Arial"/>
                <w:b/>
                <w:bCs/>
                <w:sz w:val="20"/>
                <w:szCs w:val="20"/>
                <w:u w:val="single"/>
                <w:lang w:eastAsia="en-GB"/>
              </w:rPr>
            </w:pPr>
            <w:r w:rsidRPr="009A4D14">
              <w:rPr>
                <w:rFonts w:ascii="Arial" w:eastAsia="Times New Roman" w:hAnsi="Arial" w:cs="Arial"/>
                <w:b/>
                <w:bCs/>
                <w:sz w:val="20"/>
                <w:szCs w:val="20"/>
                <w:u w:val="single"/>
                <w:lang w:eastAsia="en-GB"/>
              </w:rPr>
              <w:t xml:space="preserve">Table 7: Summary of Expenditure and AME Request at 2021-22 Main Estimates </w:t>
            </w:r>
          </w:p>
        </w:tc>
      </w:tr>
      <w:tr w:rsidTr="009A4D14">
        <w:tblPrEx>
          <w:tblW w:w="8581" w:type="dxa"/>
          <w:tblLook w:val="04A0"/>
        </w:tblPrEx>
        <w:trPr>
          <w:trHeight w:val="264"/>
        </w:trPr>
        <w:tc>
          <w:tcPr>
            <w:tcW w:w="6389"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Resource Expenditure</w:t>
            </w:r>
          </w:p>
        </w:tc>
        <w:tc>
          <w:tcPr>
            <w:tcW w:w="2038"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b/>
                <w:bCs/>
                <w:sz w:val="18"/>
                <w:szCs w:val="18"/>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Resource DEL: Provision of Defence Capability</w:t>
            </w:r>
          </w:p>
        </w:tc>
        <w:tc>
          <w:tcPr>
            <w:tcW w:w="2038"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41,576.8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Resource DEL: Operations and Peacekeeping &amp; CSSF</w:t>
            </w:r>
          </w:p>
        </w:tc>
        <w:tc>
          <w:tcPr>
            <w:tcW w:w="2038"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366.5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000000" w:fill="DAEEF3"/>
            <w:vAlign w:val="bottom"/>
            <w:hideMark/>
          </w:tcPr>
          <w:p w:rsidR="009A4D14" w:rsidRPr="009A4D14" w:rsidP="009A4D14">
            <w:pPr>
              <w:spacing w:after="0" w:line="240" w:lineRule="auto"/>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Resource DEL</w:t>
            </w:r>
          </w:p>
        </w:tc>
        <w:tc>
          <w:tcPr>
            <w:tcW w:w="2038" w:type="dxa"/>
            <w:tcBorders>
              <w:top w:val="nil"/>
              <w:left w:val="nil"/>
              <w:bottom w:val="single" w:sz="4"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41,943.3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b/>
                <w:bCs/>
                <w:sz w:val="16"/>
                <w:szCs w:val="16"/>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Resource AME Provision of Defence Capability</w:t>
            </w:r>
          </w:p>
        </w:tc>
        <w:tc>
          <w:tcPr>
            <w:tcW w:w="2038"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1,519.0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Total Net Request for Resource at 2021-22 ME</w:t>
            </w:r>
          </w:p>
        </w:tc>
        <w:tc>
          <w:tcPr>
            <w:tcW w:w="2038"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xml:space="preserve"> 43,462.3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b/>
                <w:bCs/>
                <w:sz w:val="18"/>
                <w:szCs w:val="18"/>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c>
          <w:tcPr>
            <w:tcW w:w="2038"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Capital Expenditure</w:t>
            </w:r>
          </w:p>
        </w:tc>
        <w:tc>
          <w:tcPr>
            <w:tcW w:w="2038"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b/>
                <w:bCs/>
                <w:sz w:val="18"/>
                <w:szCs w:val="18"/>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Capital DEL: Provision of Defence Capability</w:t>
            </w:r>
          </w:p>
        </w:tc>
        <w:tc>
          <w:tcPr>
            <w:tcW w:w="2038"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14,314.7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Capital DEL: Operations and Peacekeeping &amp; CSSF</w:t>
            </w:r>
          </w:p>
        </w:tc>
        <w:tc>
          <w:tcPr>
            <w:tcW w:w="2038"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18.0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r w:rsidTr="009A4D14">
        <w:tblPrEx>
          <w:tblW w:w="8581" w:type="dxa"/>
          <w:tblLook w:val="04A0"/>
        </w:tblPrEx>
        <w:trPr>
          <w:trHeight w:val="264"/>
        </w:trPr>
        <w:tc>
          <w:tcPr>
            <w:tcW w:w="6389" w:type="dxa"/>
            <w:tcBorders>
              <w:top w:val="nil"/>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Total Net Request for Capital at 2021-22 ME</w:t>
            </w:r>
          </w:p>
        </w:tc>
        <w:tc>
          <w:tcPr>
            <w:tcW w:w="2038"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xml:space="preserve"> 14,332.7 </w:t>
            </w: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b/>
                <w:bCs/>
                <w:sz w:val="18"/>
                <w:szCs w:val="18"/>
                <w:lang w:eastAsia="en-GB"/>
              </w:rPr>
            </w:pPr>
          </w:p>
        </w:tc>
        <w:tc>
          <w:tcPr>
            <w:tcW w:w="77"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bl>
    <w:p w:rsidR="009A4D14" w:rsidRPr="009A4D14" w:rsidP="009A4D14">
      <w:pPr>
        <w:ind w:right="113"/>
        <w:mirrorIndents/>
        <w:rPr>
          <w:rFonts w:eastAsiaTheme="minorEastAsia" w:cs="Arial"/>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Budgetary Transfers to and from Other Government Departments</w:t>
      </w:r>
    </w:p>
    <w:tbl>
      <w:tblPr>
        <w:tblW w:w="10065" w:type="dxa"/>
        <w:jc w:val="center"/>
        <w:tblLook w:val="04A0"/>
      </w:tblPr>
      <w:tblGrid>
        <w:gridCol w:w="3360"/>
        <w:gridCol w:w="2860"/>
        <w:gridCol w:w="767"/>
        <w:gridCol w:w="2943"/>
        <w:gridCol w:w="135"/>
      </w:tblGrid>
      <w:tr w:rsidTr="009A4D14">
        <w:tblPrEx>
          <w:tblW w:w="10065" w:type="dxa"/>
          <w:jc w:val="center"/>
          <w:tblLook w:val="04A0"/>
        </w:tblPrEx>
        <w:trPr>
          <w:gridAfter w:val="1"/>
          <w:wAfter w:w="142" w:type="dxa"/>
          <w:trHeight w:val="292"/>
          <w:jc w:val="center"/>
        </w:trPr>
        <w:tc>
          <w:tcPr>
            <w:tcW w:w="9923" w:type="dxa"/>
            <w:gridSpan w:val="4"/>
            <w:tcBorders>
              <w:top w:val="nil"/>
              <w:left w:val="nil"/>
              <w:bottom w:val="single" w:sz="4" w:space="0" w:color="auto"/>
              <w:right w:val="nil"/>
            </w:tcBorders>
            <w:shd w:val="clear" w:color="auto" w:fill="auto"/>
            <w:noWrap/>
            <w:vAlign w:val="center"/>
            <w:hideMark/>
          </w:tcPr>
          <w:p w:rsidR="009A4D14" w:rsidRPr="009A4D14" w:rsidP="009A4D14">
            <w:pPr>
              <w:spacing w:after="0" w:line="240" w:lineRule="auto"/>
              <w:rPr>
                <w:rFonts w:ascii="Arial" w:eastAsia="Times New Roman" w:hAnsi="Arial" w:cs="Arial"/>
                <w:sz w:val="20"/>
                <w:szCs w:val="20"/>
                <w:lang w:eastAsia="en-GB"/>
              </w:rPr>
            </w:pPr>
          </w:p>
          <w:p w:rsidR="009A4D14" w:rsidRPr="009A4D14" w:rsidP="009A4D14">
            <w:pPr>
              <w:spacing w:after="0" w:line="240" w:lineRule="auto"/>
              <w:rPr>
                <w:rFonts w:ascii="Arial" w:eastAsia="Times New Roman" w:hAnsi="Arial" w:cs="Arial"/>
                <w:b/>
                <w:sz w:val="20"/>
                <w:szCs w:val="20"/>
                <w:lang w:eastAsia="en-GB"/>
              </w:rPr>
            </w:pPr>
            <w:r w:rsidRPr="009A4D14">
              <w:rPr>
                <w:rFonts w:ascii="Arial" w:eastAsia="Times New Roman" w:hAnsi="Arial" w:cs="Arial"/>
                <w:b/>
                <w:sz w:val="20"/>
                <w:szCs w:val="20"/>
                <w:lang w:eastAsia="en-GB"/>
              </w:rPr>
              <w:t>Table 8: Transfers to MOD from Other Government Departments</w:t>
            </w:r>
          </w:p>
        </w:tc>
      </w:tr>
      <w:tr w:rsidTr="009A4D14">
        <w:tblPrEx>
          <w:tblW w:w="10065" w:type="dxa"/>
          <w:jc w:val="left"/>
          <w:tblLook w:val="04A0"/>
        </w:tblPrEx>
        <w:trPr>
          <w:trHeight w:val="264"/>
          <w:jc w:val="left"/>
        </w:trPr>
        <w:tc>
          <w:tcPr>
            <w:tcW w:w="3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Exporting Department</w:t>
            </w:r>
          </w:p>
        </w:tc>
        <w:tc>
          <w:tcPr>
            <w:tcW w:w="2860"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Defence Output</w:t>
            </w:r>
          </w:p>
        </w:tc>
        <w:tc>
          <w:tcPr>
            <w:tcW w:w="760"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3080" w:type="dxa"/>
            <w:gridSpan w:val="2"/>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Purpose</w:t>
            </w:r>
          </w:p>
        </w:tc>
      </w:tr>
      <w:tr w:rsidTr="009A4D14">
        <w:tblPrEx>
          <w:tblW w:w="10065" w:type="dxa"/>
          <w:jc w:val="left"/>
          <w:tblLook w:val="04A0"/>
        </w:tblPrEx>
        <w:trPr>
          <w:trHeight w:val="240"/>
          <w:jc w:val="left"/>
        </w:trPr>
        <w:tc>
          <w:tcPr>
            <w:tcW w:w="336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60" w:type="dxa"/>
            <w:tcBorders>
              <w:top w:val="nil"/>
              <w:left w:val="single" w:sz="4" w:space="0" w:color="auto"/>
              <w:bottom w:val="single" w:sz="4" w:space="0" w:color="auto"/>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76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35.900 </w:t>
            </w:r>
          </w:p>
        </w:tc>
        <w:tc>
          <w:tcPr>
            <w:tcW w:w="3080" w:type="dxa"/>
            <w:gridSpan w:val="2"/>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GCHQ Mil Support Costs (SIA)</w:t>
            </w:r>
          </w:p>
        </w:tc>
      </w:tr>
      <w:tr w:rsidTr="009A4D14">
        <w:tblPrEx>
          <w:tblW w:w="10065" w:type="dxa"/>
          <w:jc w:val="left"/>
          <w:tblLook w:val="04A0"/>
        </w:tblPrEx>
        <w:trPr>
          <w:trHeight w:val="264"/>
          <w:jc w:val="left"/>
        </w:trPr>
        <w:tc>
          <w:tcPr>
            <w:tcW w:w="336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Foreign Commonwealth &amp; Development Office</w:t>
            </w:r>
          </w:p>
        </w:tc>
        <w:tc>
          <w:tcPr>
            <w:tcW w:w="2860" w:type="dxa"/>
            <w:tcBorders>
              <w:top w:val="nil"/>
              <w:left w:val="single" w:sz="4" w:space="0" w:color="auto"/>
              <w:bottom w:val="single" w:sz="4" w:space="0" w:color="auto"/>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76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10.797 </w:t>
            </w:r>
          </w:p>
        </w:tc>
        <w:tc>
          <w:tcPr>
            <w:tcW w:w="3080" w:type="dxa"/>
            <w:gridSpan w:val="2"/>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One HMG Charge</w:t>
            </w:r>
          </w:p>
        </w:tc>
      </w:tr>
      <w:tr w:rsidTr="009A4D14">
        <w:tblPrEx>
          <w:tblW w:w="10065" w:type="dxa"/>
          <w:jc w:val="left"/>
          <w:tblLook w:val="04A0"/>
        </w:tblPrEx>
        <w:trPr>
          <w:trHeight w:val="264"/>
          <w:jc w:val="left"/>
        </w:trPr>
        <w:tc>
          <w:tcPr>
            <w:tcW w:w="336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60" w:type="dxa"/>
            <w:tcBorders>
              <w:top w:val="nil"/>
              <w:left w:val="single" w:sz="4" w:space="0" w:color="auto"/>
              <w:bottom w:val="single" w:sz="4" w:space="0" w:color="auto"/>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76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0.130 </w:t>
            </w:r>
          </w:p>
        </w:tc>
        <w:tc>
          <w:tcPr>
            <w:tcW w:w="3080" w:type="dxa"/>
            <w:gridSpan w:val="2"/>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NCSP6 (SIA)</w:t>
            </w:r>
          </w:p>
        </w:tc>
      </w:tr>
      <w:tr w:rsidTr="009A4D14">
        <w:tblPrEx>
          <w:tblW w:w="10065" w:type="dxa"/>
          <w:jc w:val="left"/>
          <w:tblLook w:val="04A0"/>
        </w:tblPrEx>
        <w:trPr>
          <w:trHeight w:val="264"/>
          <w:jc w:val="left"/>
        </w:trPr>
        <w:tc>
          <w:tcPr>
            <w:tcW w:w="336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Home Office</w:t>
            </w:r>
          </w:p>
        </w:tc>
        <w:tc>
          <w:tcPr>
            <w:tcW w:w="2860" w:type="dxa"/>
            <w:tcBorders>
              <w:top w:val="nil"/>
              <w:left w:val="single" w:sz="4" w:space="0" w:color="auto"/>
              <w:bottom w:val="single" w:sz="4" w:space="0" w:color="auto"/>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76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1.200 </w:t>
            </w:r>
          </w:p>
        </w:tc>
        <w:tc>
          <w:tcPr>
            <w:tcW w:w="3080" w:type="dxa"/>
            <w:gridSpan w:val="2"/>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HO Project</w:t>
            </w:r>
          </w:p>
        </w:tc>
      </w:tr>
      <w:tr w:rsidTr="009A4D14">
        <w:tblPrEx>
          <w:tblW w:w="10065" w:type="dxa"/>
          <w:jc w:val="left"/>
          <w:tblLook w:val="04A0"/>
        </w:tblPrEx>
        <w:trPr>
          <w:trHeight w:val="264"/>
          <w:jc w:val="left"/>
        </w:trPr>
        <w:tc>
          <w:tcPr>
            <w:tcW w:w="3360" w:type="dxa"/>
            <w:tcBorders>
              <w:top w:val="nil"/>
              <w:left w:val="single" w:sz="8" w:space="0" w:color="auto"/>
              <w:bottom w:val="single" w:sz="4" w:space="0" w:color="auto"/>
              <w:right w:val="nil"/>
            </w:tcBorders>
            <w:shd w:val="clear" w:color="auto" w:fill="auto"/>
            <w:noWrap/>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Cabinet Office</w:t>
            </w:r>
          </w:p>
        </w:tc>
        <w:tc>
          <w:tcPr>
            <w:tcW w:w="2860" w:type="dxa"/>
            <w:tcBorders>
              <w:top w:val="nil"/>
              <w:left w:val="single" w:sz="4" w:space="0" w:color="auto"/>
              <w:bottom w:val="single" w:sz="4" w:space="0" w:color="auto"/>
              <w:right w:val="single" w:sz="4" w:space="0" w:color="auto"/>
            </w:tcBorders>
            <w:shd w:val="clear" w:color="auto" w:fill="auto"/>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760"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0.060 </w:t>
            </w:r>
          </w:p>
        </w:tc>
        <w:tc>
          <w:tcPr>
            <w:tcW w:w="3080" w:type="dxa"/>
            <w:gridSpan w:val="2"/>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COBSEO Grant</w:t>
            </w:r>
          </w:p>
        </w:tc>
      </w:tr>
      <w:tr w:rsidTr="009A4D14">
        <w:tblPrEx>
          <w:tblW w:w="10065" w:type="dxa"/>
          <w:jc w:val="left"/>
          <w:tblLook w:val="04A0"/>
        </w:tblPrEx>
        <w:trPr>
          <w:trHeight w:val="264"/>
          <w:jc w:val="left"/>
        </w:trPr>
        <w:tc>
          <w:tcPr>
            <w:tcW w:w="3360" w:type="dxa"/>
            <w:tcBorders>
              <w:top w:val="nil"/>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Total</w:t>
            </w:r>
          </w:p>
        </w:tc>
        <w:tc>
          <w:tcPr>
            <w:tcW w:w="2860"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w:t>
            </w:r>
          </w:p>
        </w:tc>
        <w:tc>
          <w:tcPr>
            <w:tcW w:w="760"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xml:space="preserve"> 48.087 </w:t>
            </w:r>
          </w:p>
        </w:tc>
        <w:tc>
          <w:tcPr>
            <w:tcW w:w="3080" w:type="dxa"/>
            <w:gridSpan w:val="2"/>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w:t>
            </w:r>
          </w:p>
        </w:tc>
      </w:tr>
    </w:tbl>
    <w:p w:rsidR="009A4D14" w:rsidRPr="009A4D14" w:rsidP="009A4D14">
      <w:pPr>
        <w:rPr>
          <w:rFonts w:eastAsiaTheme="minorEastAsia"/>
          <w:lang w:eastAsia="en-GB"/>
        </w:rPr>
      </w:pPr>
    </w:p>
    <w:tbl>
      <w:tblPr>
        <w:tblW w:w="10160" w:type="dxa"/>
        <w:jc w:val="center"/>
        <w:tblLook w:val="04A0"/>
      </w:tblPr>
      <w:tblGrid>
        <w:gridCol w:w="3880"/>
        <w:gridCol w:w="2813"/>
        <w:gridCol w:w="867"/>
        <w:gridCol w:w="2600"/>
      </w:tblGrid>
      <w:tr w:rsidTr="009A4D14">
        <w:tblPrEx>
          <w:tblW w:w="10160" w:type="dxa"/>
          <w:jc w:val="center"/>
          <w:tblLook w:val="04A0"/>
        </w:tblPrEx>
        <w:trPr>
          <w:trHeight w:val="280"/>
          <w:jc w:val="center"/>
        </w:trPr>
        <w:tc>
          <w:tcPr>
            <w:tcW w:w="10160" w:type="dxa"/>
            <w:gridSpan w:val="4"/>
            <w:tcBorders>
              <w:top w:val="nil"/>
              <w:left w:val="nil"/>
              <w:bottom w:val="single" w:sz="4" w:space="0" w:color="auto"/>
              <w:right w:val="nil"/>
            </w:tcBorders>
            <w:shd w:val="clear" w:color="auto" w:fill="auto"/>
            <w:noWrap/>
            <w:vAlign w:val="bottom"/>
            <w:hideMark/>
          </w:tcPr>
          <w:p w:rsidR="009A4D14" w:rsidRPr="009A4D14" w:rsidP="009A4D14">
            <w:pPr>
              <w:spacing w:after="0" w:line="240" w:lineRule="auto"/>
              <w:rPr>
                <w:rFonts w:ascii="Arial" w:eastAsia="Times New Roman" w:hAnsi="Arial" w:cs="Arial"/>
                <w:b/>
                <w:sz w:val="20"/>
                <w:szCs w:val="20"/>
                <w:lang w:eastAsia="en-GB"/>
              </w:rPr>
            </w:pPr>
          </w:p>
          <w:p w:rsidR="009A4D14" w:rsidRPr="009A4D14" w:rsidP="009A4D14">
            <w:pPr>
              <w:spacing w:after="0" w:line="240" w:lineRule="auto"/>
              <w:rPr>
                <w:rFonts w:ascii="Arial" w:eastAsia="Times New Roman" w:hAnsi="Arial" w:cs="Arial"/>
                <w:b/>
                <w:sz w:val="20"/>
                <w:szCs w:val="20"/>
                <w:lang w:eastAsia="en-GB"/>
              </w:rPr>
            </w:pPr>
            <w:r w:rsidRPr="009A4D14">
              <w:rPr>
                <w:rFonts w:ascii="Arial" w:eastAsia="Times New Roman" w:hAnsi="Arial" w:cs="Arial"/>
                <w:b/>
                <w:sz w:val="20"/>
                <w:szCs w:val="20"/>
                <w:lang w:eastAsia="en-GB"/>
              </w:rPr>
              <w:t>Table 9: Transfers from MOD to Other Government Departments</w:t>
            </w:r>
          </w:p>
        </w:tc>
      </w:tr>
      <w:tr w:rsidTr="009A4D14">
        <w:tblPrEx>
          <w:tblW w:w="10160" w:type="dxa"/>
          <w:jc w:val="left"/>
          <w:tblLook w:val="04A0"/>
        </w:tblPrEx>
        <w:trPr>
          <w:trHeight w:val="480"/>
          <w:jc w:val="left"/>
        </w:trPr>
        <w:tc>
          <w:tcPr>
            <w:tcW w:w="388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Importing Department</w:t>
            </w:r>
          </w:p>
        </w:tc>
        <w:tc>
          <w:tcPr>
            <w:tcW w:w="2813"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Defence Output</w:t>
            </w:r>
          </w:p>
        </w:tc>
        <w:tc>
          <w:tcPr>
            <w:tcW w:w="867"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2600"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Purpose</w:t>
            </w:r>
          </w:p>
        </w:tc>
      </w:tr>
      <w:tr w:rsidTr="009A4D14">
        <w:tblPrEx>
          <w:tblW w:w="10160" w:type="dxa"/>
          <w:jc w:val="left"/>
          <w:tblLook w:val="04A0"/>
        </w:tblPrEx>
        <w:trPr>
          <w:trHeight w:val="225"/>
          <w:jc w:val="left"/>
        </w:trPr>
        <w:tc>
          <w:tcPr>
            <w:tcW w:w="388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single" w:sz="8"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28.520 </w:t>
            </w:r>
          </w:p>
        </w:tc>
        <w:tc>
          <w:tcPr>
            <w:tcW w:w="2600" w:type="dxa"/>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JCKP (JFC)</w:t>
            </w:r>
          </w:p>
        </w:tc>
      </w:tr>
      <w:tr w:rsidTr="009A4D14">
        <w:tblPrEx>
          <w:tblW w:w="10160" w:type="dxa"/>
          <w:jc w:val="left"/>
          <w:tblLook w:val="04A0"/>
        </w:tblPrEx>
        <w:trPr>
          <w:trHeight w:val="225"/>
          <w:jc w:val="left"/>
        </w:trPr>
        <w:tc>
          <w:tcPr>
            <w:tcW w:w="388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CDEL</w:t>
            </w:r>
          </w:p>
        </w:tc>
        <w:tc>
          <w:tcPr>
            <w:tcW w:w="867" w:type="dxa"/>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21.480 </w:t>
            </w:r>
          </w:p>
        </w:tc>
        <w:tc>
          <w:tcPr>
            <w:tcW w:w="2600" w:type="dxa"/>
            <w:tcBorders>
              <w:top w:val="nil"/>
              <w:left w:val="nil"/>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JCKP (JFC)</w:t>
            </w:r>
          </w:p>
        </w:tc>
      </w:tr>
      <w:tr w:rsidTr="009A4D14">
        <w:tblPrEx>
          <w:tblW w:w="10160" w:type="dxa"/>
          <w:jc w:val="left"/>
          <w:tblLook w:val="04A0"/>
        </w:tblPrEx>
        <w:trPr>
          <w:trHeight w:val="225"/>
          <w:jc w:val="left"/>
        </w:trPr>
        <w:tc>
          <w:tcPr>
            <w:tcW w:w="388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CDEL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120.000</w:t>
            </w:r>
          </w:p>
        </w:tc>
        <w:tc>
          <w:tcPr>
            <w:tcW w:w="2600" w:type="dxa"/>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HQS</w:t>
            </w:r>
          </w:p>
        </w:tc>
      </w:tr>
      <w:tr w:rsidTr="009A4D14">
        <w:tblPrEx>
          <w:tblW w:w="10160" w:type="dxa"/>
          <w:jc w:val="left"/>
          <w:tblLook w:val="04A0"/>
        </w:tblPrEx>
        <w:trPr>
          <w:trHeight w:val="225"/>
          <w:jc w:val="left"/>
        </w:trPr>
        <w:tc>
          <w:tcPr>
            <w:tcW w:w="388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87.000</w:t>
            </w:r>
          </w:p>
        </w:tc>
        <w:tc>
          <w:tcPr>
            <w:tcW w:w="2600" w:type="dxa"/>
            <w:tcBorders>
              <w:top w:val="nil"/>
              <w:left w:val="single" w:sz="8" w:space="0" w:color="auto"/>
              <w:bottom w:val="single" w:sz="4" w:space="0" w:color="auto"/>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HQS</w:t>
            </w:r>
          </w:p>
        </w:tc>
      </w:tr>
      <w:tr w:rsidTr="009A4D14">
        <w:tblPrEx>
          <w:tblW w:w="10160" w:type="dxa"/>
          <w:jc w:val="left"/>
          <w:tblLook w:val="04A0"/>
        </w:tblPrEx>
        <w:trPr>
          <w:trHeight w:val="225"/>
          <w:jc w:val="left"/>
        </w:trPr>
        <w:tc>
          <w:tcPr>
            <w:tcW w:w="388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305.000</w:t>
            </w:r>
          </w:p>
        </w:tc>
        <w:tc>
          <w:tcPr>
            <w:tcW w:w="2600" w:type="dxa"/>
            <w:tcBorders>
              <w:top w:val="nil"/>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NCSP (SIA)</w:t>
            </w:r>
          </w:p>
        </w:tc>
      </w:tr>
      <w:tr w:rsidTr="009A4D14">
        <w:tblPrEx>
          <w:tblW w:w="10160" w:type="dxa"/>
          <w:jc w:val="left"/>
          <w:tblLook w:val="04A0"/>
        </w:tblPrEx>
        <w:trPr>
          <w:trHeight w:val="225"/>
          <w:jc w:val="left"/>
        </w:trPr>
        <w:tc>
          <w:tcPr>
            <w:tcW w:w="3880" w:type="dxa"/>
            <w:tcBorders>
              <w:top w:val="nil"/>
              <w:left w:val="single" w:sz="8" w:space="0" w:color="auto"/>
              <w:bottom w:val="single" w:sz="4" w:space="0" w:color="auto"/>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Security &amp; Intelligence Agencies (SIA)</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9.570</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IATP / INITIATE</w:t>
            </w:r>
          </w:p>
        </w:tc>
      </w:tr>
      <w:tr w:rsidTr="009A4D14">
        <w:tblPrEx>
          <w:tblW w:w="10160" w:type="dxa"/>
          <w:jc w:val="left"/>
          <w:tblLook w:val="04A0"/>
        </w:tblPrEx>
        <w:trPr>
          <w:trHeight w:val="225"/>
          <w:jc w:val="left"/>
        </w:trPr>
        <w:tc>
          <w:tcPr>
            <w:tcW w:w="3880" w:type="dxa"/>
            <w:tcBorders>
              <w:top w:val="nil"/>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Department of Health &amp; Social Care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12.000</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War Pensions (DHSC)</w:t>
            </w:r>
          </w:p>
        </w:tc>
      </w:tr>
      <w:tr w:rsidTr="009A4D14">
        <w:tblPrEx>
          <w:tblW w:w="10160" w:type="dxa"/>
          <w:jc w:val="left"/>
          <w:tblLook w:val="04A0"/>
        </w:tblPrEx>
        <w:trPr>
          <w:trHeight w:val="225"/>
          <w:jc w:val="left"/>
        </w:trPr>
        <w:tc>
          <w:tcPr>
            <w:tcW w:w="3880" w:type="dxa"/>
            <w:tcBorders>
              <w:top w:val="single" w:sz="4" w:space="0" w:color="auto"/>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Cabinet Office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35.000</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NSS/JIO/COBR</w:t>
            </w:r>
          </w:p>
        </w:tc>
      </w:tr>
      <w:tr w:rsidTr="009A4D14">
        <w:tblPrEx>
          <w:tblW w:w="10160" w:type="dxa"/>
          <w:jc w:val="left"/>
          <w:tblLook w:val="04A0"/>
        </w:tblPrEx>
        <w:trPr>
          <w:trHeight w:val="225"/>
          <w:jc w:val="left"/>
        </w:trPr>
        <w:tc>
          <w:tcPr>
            <w:tcW w:w="3880" w:type="dxa"/>
            <w:tcBorders>
              <w:top w:val="single" w:sz="4" w:space="0" w:color="auto"/>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Cabinet Office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CDEL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0.790</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Public Sector Geospatial Agreement</w:t>
            </w:r>
          </w:p>
        </w:tc>
      </w:tr>
      <w:tr w:rsidTr="009A4D14">
        <w:tblPrEx>
          <w:tblW w:w="10160" w:type="dxa"/>
          <w:jc w:val="left"/>
          <w:tblLook w:val="04A0"/>
        </w:tblPrEx>
        <w:trPr>
          <w:trHeight w:val="225"/>
          <w:jc w:val="left"/>
        </w:trPr>
        <w:tc>
          <w:tcPr>
            <w:tcW w:w="3880" w:type="dxa"/>
            <w:tcBorders>
              <w:top w:val="single" w:sz="4" w:space="0" w:color="auto"/>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Cabinet Office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0.081</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Civil Service Live</w:t>
            </w:r>
          </w:p>
        </w:tc>
      </w:tr>
      <w:tr w:rsidTr="009A4D14">
        <w:tblPrEx>
          <w:tblW w:w="10160" w:type="dxa"/>
          <w:jc w:val="left"/>
          <w:tblLook w:val="04A0"/>
        </w:tblPrEx>
        <w:trPr>
          <w:trHeight w:val="225"/>
          <w:jc w:val="left"/>
        </w:trPr>
        <w:tc>
          <w:tcPr>
            <w:tcW w:w="3880" w:type="dxa"/>
            <w:tcBorders>
              <w:top w:val="single" w:sz="4" w:space="0" w:color="auto"/>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Cabinet Office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0.340</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Special Advisers</w:t>
            </w:r>
          </w:p>
        </w:tc>
      </w:tr>
      <w:tr w:rsidTr="009A4D14">
        <w:tblPrEx>
          <w:tblW w:w="10160" w:type="dxa"/>
          <w:jc w:val="left"/>
          <w:tblLook w:val="04A0"/>
        </w:tblPrEx>
        <w:trPr>
          <w:trHeight w:val="225"/>
          <w:jc w:val="left"/>
        </w:trPr>
        <w:tc>
          <w:tcPr>
            <w:tcW w:w="3880" w:type="dxa"/>
            <w:tcBorders>
              <w:top w:val="single" w:sz="4" w:space="0" w:color="auto"/>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Foreign Commonwealth &amp; Development Office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20.000</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IAF</w:t>
            </w:r>
          </w:p>
        </w:tc>
      </w:tr>
      <w:tr w:rsidTr="009A4D14">
        <w:tblPrEx>
          <w:tblW w:w="10160" w:type="dxa"/>
          <w:jc w:val="left"/>
          <w:tblLook w:val="04A0"/>
        </w:tblPrEx>
        <w:trPr>
          <w:trHeight w:val="225"/>
          <w:jc w:val="left"/>
        </w:trPr>
        <w:tc>
          <w:tcPr>
            <w:tcW w:w="3880" w:type="dxa"/>
            <w:tcBorders>
              <w:top w:val="single" w:sz="4" w:space="0" w:color="auto"/>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Cabinet Office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RDEL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0.652</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Secure Mobile</w:t>
            </w:r>
          </w:p>
        </w:tc>
      </w:tr>
      <w:tr w:rsidTr="009A4D14">
        <w:tblPrEx>
          <w:tblW w:w="10160" w:type="dxa"/>
          <w:jc w:val="left"/>
          <w:tblLook w:val="04A0"/>
        </w:tblPrEx>
        <w:trPr>
          <w:trHeight w:val="225"/>
          <w:jc w:val="left"/>
        </w:trPr>
        <w:tc>
          <w:tcPr>
            <w:tcW w:w="3880" w:type="dxa"/>
            <w:tcBorders>
              <w:top w:val="single" w:sz="4" w:space="0" w:color="auto"/>
              <w:left w:val="single" w:sz="8" w:space="0" w:color="auto"/>
              <w:bottom w:val="nil"/>
              <w:right w:val="nil"/>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Cabinet Office</w:t>
            </w:r>
          </w:p>
        </w:tc>
        <w:tc>
          <w:tcPr>
            <w:tcW w:w="2813"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Provision of Defence Capability - CDEL</w:t>
            </w:r>
          </w:p>
        </w:tc>
        <w:tc>
          <w:tcPr>
            <w:tcW w:w="867"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0.500</w:t>
            </w:r>
          </w:p>
        </w:tc>
        <w:tc>
          <w:tcPr>
            <w:tcW w:w="2600" w:type="dxa"/>
            <w:tcBorders>
              <w:top w:val="single" w:sz="4" w:space="0" w:color="auto"/>
              <w:left w:val="single" w:sz="8" w:space="0" w:color="auto"/>
              <w:bottom w:val="nil"/>
              <w:right w:val="single" w:sz="8"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Secure Mobile</w:t>
            </w:r>
          </w:p>
        </w:tc>
      </w:tr>
      <w:tr w:rsidTr="009A4D14">
        <w:tblPrEx>
          <w:tblW w:w="10160" w:type="dxa"/>
          <w:jc w:val="left"/>
          <w:tblLook w:val="04A0"/>
        </w:tblPrEx>
        <w:trPr>
          <w:trHeight w:val="264"/>
          <w:jc w:val="left"/>
        </w:trPr>
        <w:tc>
          <w:tcPr>
            <w:tcW w:w="388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Total</w:t>
            </w:r>
          </w:p>
        </w:tc>
        <w:tc>
          <w:tcPr>
            <w:tcW w:w="2813"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w:t>
            </w:r>
          </w:p>
        </w:tc>
        <w:tc>
          <w:tcPr>
            <w:tcW w:w="867"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640.933</w:t>
            </w:r>
          </w:p>
        </w:tc>
        <w:tc>
          <w:tcPr>
            <w:tcW w:w="2600"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w:t>
            </w:r>
          </w:p>
        </w:tc>
      </w:tr>
    </w:tbl>
    <w:p w:rsidR="009A4D14" w:rsidRPr="009A4D14" w:rsidP="009A4D14">
      <w:pPr>
        <w:rPr>
          <w:rFonts w:eastAsiaTheme="minorEastAsia"/>
          <w:lang w:eastAsia="en-GB"/>
        </w:rPr>
      </w:pPr>
    </w:p>
    <w:p w:rsidR="009A4D14" w:rsidRPr="009A4D14" w:rsidP="009A4D14">
      <w:pPr>
        <w:rPr>
          <w:rFonts w:eastAsiaTheme="minorEastAsia"/>
          <w:lang w:eastAsia="en-GB"/>
        </w:rPr>
      </w:pPr>
    </w:p>
    <w:p w:rsidR="009A4D14" w:rsidRPr="009A4D14" w:rsidP="009A4D14">
      <w:pPr>
        <w:rPr>
          <w:rFonts w:eastAsiaTheme="minorEastAsia"/>
          <w:lang w:eastAsia="en-GB"/>
        </w:rPr>
      </w:pPr>
    </w:p>
    <w:p w:rsidR="009A4D14" w:rsidRPr="009A4D14" w:rsidP="009A4D14">
      <w:pPr>
        <w:rPr>
          <w:rFonts w:eastAsiaTheme="minorEastAsia"/>
          <w:lang w:eastAsia="en-GB"/>
        </w:rPr>
      </w:pPr>
    </w:p>
    <w:p w:rsidR="009A4D14" w:rsidRPr="009A4D14" w:rsidP="009A4D14">
      <w:pPr>
        <w:rPr>
          <w:rFonts w:eastAsiaTheme="minorEastAsia"/>
          <w:lang w:eastAsia="en-GB"/>
        </w:rPr>
      </w:pPr>
    </w:p>
    <w:p w:rsidR="009A4D14" w:rsidRPr="009A4D14" w:rsidP="009A4D14">
      <w:pPr>
        <w:rPr>
          <w:rFonts w:eastAsiaTheme="minorEastAsia"/>
          <w:lang w:eastAsia="en-GB"/>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Arm’s Length Bodies (ALBs)</w:t>
      </w:r>
    </w:p>
    <w:p w:rsidR="009A4D14" w:rsidRPr="009A4D14" w:rsidP="009A4D14">
      <w:pPr>
        <w:rPr>
          <w:rFonts w:eastAsiaTheme="minorEastAsia"/>
          <w:lang w:eastAsia="en-GB"/>
        </w:rPr>
      </w:pPr>
      <w:r w:rsidRPr="009A4D14">
        <w:rPr>
          <w:rFonts w:eastAsiaTheme="minorEastAsia"/>
          <w:lang w:eastAsia="en-GB"/>
        </w:rPr>
        <w:t>Under Clear Line of Sight (</w:t>
      </w:r>
      <w:r w:rsidRPr="009A4D14">
        <w:rPr>
          <w:rFonts w:eastAsiaTheme="minorEastAsia"/>
          <w:lang w:eastAsia="en-GB"/>
        </w:rPr>
        <w:t>CloS</w:t>
      </w:r>
      <w:r w:rsidRPr="009A4D14">
        <w:rPr>
          <w:rFonts w:eastAsiaTheme="minorEastAsia"/>
          <w:lang w:eastAsia="en-GB"/>
        </w:rPr>
        <w:t>), Arm’s Length Bodies (ALBs) are part of Departmental DEL. Table 10 summarises the funding requested by MOD ALBs and is based on information received from the sponsoring Top-Level Budget (TLB).</w:t>
      </w:r>
    </w:p>
    <w:tbl>
      <w:tblPr>
        <w:tblW w:w="6944" w:type="dxa"/>
        <w:jc w:val="center"/>
        <w:tblLook w:val="04A0"/>
      </w:tblPr>
      <w:tblGrid>
        <w:gridCol w:w="4978"/>
        <w:gridCol w:w="1127"/>
        <w:gridCol w:w="1066"/>
      </w:tblGrid>
      <w:tr w:rsidTr="009A4D14">
        <w:tblPrEx>
          <w:tblW w:w="6944" w:type="dxa"/>
          <w:jc w:val="center"/>
          <w:tblLook w:val="04A0"/>
        </w:tblPrEx>
        <w:trPr>
          <w:trHeight w:val="266"/>
          <w:jc w:val="center"/>
        </w:trPr>
        <w:tc>
          <w:tcPr>
            <w:tcW w:w="6944" w:type="dxa"/>
            <w:gridSpan w:val="3"/>
            <w:tcBorders>
              <w:top w:val="nil"/>
              <w:left w:val="nil"/>
              <w:right w:val="nil"/>
            </w:tcBorders>
            <w:shd w:val="clear" w:color="auto" w:fill="auto"/>
            <w:vAlign w:val="bottom"/>
            <w:hideMark/>
          </w:tcPr>
          <w:p w:rsidR="009A4D14" w:rsidRPr="009A4D14" w:rsidP="009A4D14">
            <w:pPr>
              <w:spacing w:after="0" w:line="240" w:lineRule="auto"/>
              <w:rPr>
                <w:rFonts w:ascii="Arial" w:eastAsia="Times New Roman" w:hAnsi="Arial" w:cs="Arial"/>
                <w:b/>
                <w:sz w:val="20"/>
                <w:szCs w:val="20"/>
                <w:lang w:eastAsia="en-GB"/>
              </w:rPr>
            </w:pPr>
            <w:r w:rsidRPr="009A4D14">
              <w:rPr>
                <w:rFonts w:ascii="Arial" w:eastAsia="Times New Roman" w:hAnsi="Arial" w:cs="Arial"/>
                <w:b/>
                <w:sz w:val="20"/>
                <w:szCs w:val="20"/>
                <w:lang w:eastAsia="en-GB"/>
              </w:rPr>
              <w:t>Table 10: Breakdown of the Non-Departmental Public Bodies (NDPBs) Request for Resources at 2021-22 Main Estimate</w:t>
            </w:r>
          </w:p>
          <w:tbl>
            <w:tblPr>
              <w:tblW w:w="6944" w:type="dxa"/>
              <w:jc w:val="center"/>
              <w:tblLook w:val="04A0"/>
            </w:tblPr>
            <w:tblGrid>
              <w:gridCol w:w="4822"/>
              <w:gridCol w:w="1091"/>
              <w:gridCol w:w="1031"/>
            </w:tblGrid>
            <w:tr w:rsidTr="009A4D14">
              <w:tblPrEx>
                <w:tblW w:w="6944" w:type="dxa"/>
                <w:jc w:val="center"/>
                <w:tblLook w:val="04A0"/>
              </w:tblPrEx>
              <w:trPr>
                <w:trHeight w:val="752"/>
                <w:jc w:val="center"/>
              </w:trPr>
              <w:tc>
                <w:tcPr>
                  <w:tcW w:w="4821"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Organisation</w:t>
                  </w:r>
                </w:p>
              </w:tc>
              <w:tc>
                <w:tcPr>
                  <w:tcW w:w="1091"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Resource DEL</w:t>
                  </w:r>
                  <w:r w:rsidRPr="009A4D14">
                    <w:rPr>
                      <w:rFonts w:ascii="Arial" w:eastAsia="Times New Roman" w:hAnsi="Arial" w:cs="Arial"/>
                      <w:b/>
                      <w:bCs/>
                      <w:sz w:val="18"/>
                      <w:szCs w:val="18"/>
                      <w:lang w:eastAsia="en-GB"/>
                    </w:rPr>
                    <w:br/>
                    <w:t>£M</w:t>
                  </w:r>
                </w:p>
              </w:tc>
              <w:tc>
                <w:tcPr>
                  <w:tcW w:w="1031" w:type="dxa"/>
                  <w:tcBorders>
                    <w:top w:val="single" w:sz="4"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Capital DEL</w:t>
                  </w:r>
                  <w:r w:rsidRPr="009A4D14">
                    <w:rPr>
                      <w:rFonts w:ascii="Arial" w:eastAsia="Times New Roman" w:hAnsi="Arial" w:cs="Arial"/>
                      <w:b/>
                      <w:bCs/>
                      <w:sz w:val="18"/>
                      <w:szCs w:val="18"/>
                      <w:lang w:eastAsia="en-GB"/>
                    </w:rPr>
                    <w:br/>
                    <w:t>£M</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Armed Forces Covenant Fund Trustee Ltd</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10.2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Commonwealth War Graves Commission</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52.9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International Military Services Limited</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0.0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National Army Museum</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7.8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0.2</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National Museum of the Royal Navy</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10.1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0.1 </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Royal Air Force Museum</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10.1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Royal Hospital, Chelsea</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14.6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Single Source Regulations Office</w:t>
                  </w:r>
                </w:p>
              </w:tc>
              <w:tc>
                <w:tcPr>
                  <w:tcW w:w="109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6.3 </w:t>
                  </w:r>
                </w:p>
              </w:tc>
              <w:tc>
                <w:tcPr>
                  <w:tcW w:w="1031" w:type="dxa"/>
                  <w:tcBorders>
                    <w:top w:val="nil"/>
                    <w:left w:val="nil"/>
                    <w:bottom w:val="single" w:sz="4"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w:t>
                  </w:r>
                </w:p>
              </w:tc>
            </w:tr>
            <w:tr w:rsidTr="009A4D14">
              <w:tblPrEx>
                <w:tblW w:w="6944" w:type="dxa"/>
                <w:jc w:val="center"/>
                <w:tblLook w:val="04A0"/>
              </w:tblPrEx>
              <w:trPr>
                <w:trHeight w:val="479"/>
                <w:jc w:val="center"/>
              </w:trPr>
              <w:tc>
                <w:tcPr>
                  <w:tcW w:w="4821" w:type="dxa"/>
                  <w:tcBorders>
                    <w:top w:val="nil"/>
                    <w:left w:val="single" w:sz="4" w:space="0" w:color="auto"/>
                    <w:bottom w:val="single" w:sz="4"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Territorial, Auxiliary and Volunteer Reserve Associations established under s 110 of the Reserve Act</w:t>
                  </w:r>
                </w:p>
              </w:tc>
              <w:tc>
                <w:tcPr>
                  <w:tcW w:w="1091" w:type="dxa"/>
                  <w:tcBorders>
                    <w:top w:val="nil"/>
                    <w:left w:val="nil"/>
                    <w:bottom w:val="single" w:sz="4"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i/>
                      <w:iCs/>
                      <w:sz w:val="16"/>
                      <w:szCs w:val="16"/>
                      <w:lang w:eastAsia="en-GB"/>
                    </w:rPr>
                  </w:pPr>
                </w:p>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104.3 </w:t>
                  </w:r>
                </w:p>
              </w:tc>
              <w:tc>
                <w:tcPr>
                  <w:tcW w:w="1031" w:type="dxa"/>
                  <w:tcBorders>
                    <w:top w:val="nil"/>
                    <w:left w:val="nil"/>
                    <w:bottom w:val="single" w:sz="4" w:space="0" w:color="auto"/>
                    <w:right w:val="single" w:sz="4" w:space="0" w:color="auto"/>
                  </w:tcBorders>
                  <w:shd w:val="clear" w:color="auto" w:fill="auto"/>
                  <w:hideMark/>
                </w:tcPr>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 </w:t>
                  </w:r>
                </w:p>
                <w:p w:rsidR="009A4D14" w:rsidRPr="009A4D14" w:rsidP="009A4D14">
                  <w:pPr>
                    <w:spacing w:after="0" w:line="240" w:lineRule="auto"/>
                    <w:jc w:val="right"/>
                    <w:rPr>
                      <w:rFonts w:ascii="Arial" w:eastAsia="Times New Roman" w:hAnsi="Arial" w:cs="Arial"/>
                      <w:i/>
                      <w:iCs/>
                      <w:sz w:val="16"/>
                      <w:szCs w:val="16"/>
                      <w:lang w:eastAsia="en-GB"/>
                    </w:rPr>
                  </w:pPr>
                  <w:r w:rsidRPr="009A4D14">
                    <w:rPr>
                      <w:rFonts w:ascii="Arial" w:eastAsia="Times New Roman" w:hAnsi="Arial" w:cs="Arial"/>
                      <w:i/>
                      <w:iCs/>
                      <w:sz w:val="16"/>
                      <w:szCs w:val="16"/>
                      <w:lang w:eastAsia="en-GB"/>
                    </w:rPr>
                    <w:t xml:space="preserve">2.4 </w:t>
                  </w:r>
                </w:p>
              </w:tc>
            </w:tr>
            <w:tr w:rsidTr="009A4D14">
              <w:tblPrEx>
                <w:tblW w:w="6944" w:type="dxa"/>
                <w:jc w:val="center"/>
                <w:tblLook w:val="04A0"/>
              </w:tblPrEx>
              <w:trPr>
                <w:trHeight w:val="235"/>
                <w:jc w:val="center"/>
              </w:trPr>
              <w:tc>
                <w:tcPr>
                  <w:tcW w:w="4821" w:type="dxa"/>
                  <w:tcBorders>
                    <w:top w:val="nil"/>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Total</w:t>
                  </w:r>
                </w:p>
              </w:tc>
              <w:tc>
                <w:tcPr>
                  <w:tcW w:w="1091"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xml:space="preserve"> 216.3 </w:t>
                  </w:r>
                </w:p>
              </w:tc>
              <w:tc>
                <w:tcPr>
                  <w:tcW w:w="1031" w:type="dxa"/>
                  <w:tcBorders>
                    <w:top w:val="nil"/>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right"/>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 xml:space="preserve"> 2.7 </w:t>
                  </w:r>
                </w:p>
              </w:tc>
            </w:tr>
          </w:tbl>
          <w:p w:rsidR="009A4D14" w:rsidRPr="009A4D14" w:rsidP="009A4D14">
            <w:pPr>
              <w:spacing w:after="0" w:line="240" w:lineRule="auto"/>
              <w:rPr>
                <w:rFonts w:ascii="Arial" w:eastAsia="Times New Roman" w:hAnsi="Arial" w:cs="Arial"/>
                <w:b/>
                <w:sz w:val="20"/>
                <w:szCs w:val="20"/>
                <w:lang w:eastAsia="en-GB"/>
              </w:rPr>
            </w:pPr>
          </w:p>
        </w:tc>
      </w:tr>
      <w:tr w:rsidTr="009A4D14">
        <w:tblPrEx>
          <w:tblW w:w="6944" w:type="dxa"/>
          <w:jc w:val="center"/>
          <w:tblLook w:val="04A0"/>
        </w:tblPrEx>
        <w:trPr>
          <w:trHeight w:val="109"/>
          <w:jc w:val="center"/>
        </w:trPr>
        <w:tc>
          <w:tcPr>
            <w:tcW w:w="4821" w:type="dxa"/>
            <w:tcBorders>
              <w:left w:val="nil"/>
              <w:bottom w:val="nil"/>
              <w:right w:val="nil"/>
            </w:tcBorders>
            <w:shd w:val="clear" w:color="auto" w:fill="auto"/>
            <w:noWrap/>
            <w:vAlign w:val="bottom"/>
            <w:hideMark/>
          </w:tcPr>
          <w:p w:rsidR="009A4D14" w:rsidRPr="009A4D14" w:rsidP="009A4D14">
            <w:pPr>
              <w:spacing w:after="0" w:line="240" w:lineRule="auto"/>
              <w:rPr>
                <w:rFonts w:ascii="Arial" w:eastAsia="Times New Roman" w:hAnsi="Arial" w:cs="Arial"/>
                <w:sz w:val="20"/>
                <w:szCs w:val="20"/>
                <w:lang w:eastAsia="en-GB"/>
              </w:rPr>
            </w:pPr>
          </w:p>
        </w:tc>
        <w:tc>
          <w:tcPr>
            <w:tcW w:w="1091" w:type="dxa"/>
            <w:tcBorders>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c>
          <w:tcPr>
            <w:tcW w:w="1032" w:type="dxa"/>
            <w:tcBorders>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r>
    </w:tbl>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Operations</w:t>
      </w:r>
    </w:p>
    <w:p w:rsidR="009A4D14" w:rsidRPr="009A4D14" w:rsidP="009A4D14">
      <w:pPr>
        <w:rPr>
          <w:rFonts w:eastAsiaTheme="minorEastAsia" w:cs="Arial"/>
        </w:rPr>
      </w:pPr>
      <w:r w:rsidRPr="009A4D14">
        <w:rPr>
          <w:rFonts w:eastAsiaTheme="minorEastAsia" w:cs="Arial"/>
        </w:rPr>
        <w:t>The MOD’s total request for the initial net additional costs of military operations is set out in Table 11 below.</w:t>
      </w:r>
    </w:p>
    <w:tbl>
      <w:tblPr>
        <w:tblW w:w="8660" w:type="dxa"/>
        <w:tblLook w:val="04A0"/>
      </w:tblPr>
      <w:tblGrid>
        <w:gridCol w:w="9025"/>
      </w:tblGrid>
      <w:tr w:rsidTr="009A4D14">
        <w:tblPrEx>
          <w:tblW w:w="8660" w:type="dxa"/>
          <w:tblLook w:val="04A0"/>
        </w:tblPrEx>
        <w:trPr>
          <w:trHeight w:val="276"/>
        </w:trPr>
        <w:tc>
          <w:tcPr>
            <w:tcW w:w="8660" w:type="dxa"/>
            <w:tcBorders>
              <w:top w:val="nil"/>
              <w:left w:val="nil"/>
              <w:bottom w:val="nil"/>
              <w:right w:val="nil"/>
            </w:tcBorders>
            <w:shd w:val="clear" w:color="auto" w:fill="auto"/>
            <w:vAlign w:val="bottom"/>
            <w:hideMark/>
          </w:tcPr>
          <w:p w:rsidR="009A4D14" w:rsidRPr="009A4D14" w:rsidP="009A4D14">
            <w:pPr>
              <w:spacing w:after="0" w:line="240" w:lineRule="auto"/>
              <w:ind w:left="35" w:hanging="35"/>
              <w:rPr>
                <w:rFonts w:ascii="Arial" w:eastAsia="Times New Roman" w:hAnsi="Arial" w:cs="Arial"/>
                <w:b/>
                <w:bCs/>
                <w:sz w:val="20"/>
                <w:szCs w:val="20"/>
                <w:lang w:eastAsia="en-GB"/>
              </w:rPr>
            </w:pPr>
            <w:r w:rsidRPr="009A4D14">
              <w:rPr>
                <w:rFonts w:ascii="Arial" w:eastAsia="Times New Roman" w:hAnsi="Arial" w:cs="Arial"/>
                <w:b/>
                <w:bCs/>
                <w:sz w:val="20"/>
                <w:szCs w:val="20"/>
                <w:lang w:eastAsia="en-GB"/>
              </w:rPr>
              <w:t>Table 11: Main Estimate initial total sought for MOD compared with last year Estimate</w:t>
            </w:r>
          </w:p>
          <w:tbl>
            <w:tblPr>
              <w:tblW w:w="8789" w:type="dxa"/>
              <w:tblLook w:val="04A0"/>
            </w:tblPr>
            <w:tblGrid>
              <w:gridCol w:w="1312"/>
              <w:gridCol w:w="3760"/>
              <w:gridCol w:w="956"/>
              <w:gridCol w:w="956"/>
              <w:gridCol w:w="955"/>
              <w:gridCol w:w="850"/>
            </w:tblGrid>
            <w:tr w:rsidTr="009A4D14">
              <w:tblPrEx>
                <w:tblW w:w="8789" w:type="dxa"/>
                <w:tblLook w:val="04A0"/>
              </w:tblPrEx>
              <w:trPr>
                <w:trHeight w:val="480"/>
              </w:trPr>
              <w:tc>
                <w:tcPr>
                  <w:tcW w:w="5072" w:type="dxa"/>
                  <w:gridSpan w:val="2"/>
                  <w:tcBorders>
                    <w:top w:val="single" w:sz="8" w:space="0" w:color="auto"/>
                    <w:left w:val="single" w:sz="8" w:space="0" w:color="auto"/>
                    <w:bottom w:val="nil"/>
                    <w:right w:val="nil"/>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Operations and Peacekeeping</w:t>
                  </w:r>
                </w:p>
              </w:tc>
              <w:tc>
                <w:tcPr>
                  <w:tcW w:w="956" w:type="dxa"/>
                  <w:tcBorders>
                    <w:top w:val="single" w:sz="8" w:space="0" w:color="auto"/>
                    <w:left w:val="single" w:sz="4" w:space="0" w:color="auto"/>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2021-22 ME</w:t>
                  </w:r>
                </w:p>
              </w:tc>
              <w:tc>
                <w:tcPr>
                  <w:tcW w:w="956" w:type="dxa"/>
                  <w:tcBorders>
                    <w:top w:val="single" w:sz="8" w:space="0" w:color="auto"/>
                    <w:left w:val="nil"/>
                    <w:bottom w:val="single" w:sz="4"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2020-21     SE</w:t>
                  </w:r>
                </w:p>
              </w:tc>
              <w:tc>
                <w:tcPr>
                  <w:tcW w:w="1805" w:type="dxa"/>
                  <w:gridSpan w:val="2"/>
                  <w:tcBorders>
                    <w:top w:val="single" w:sz="8" w:space="0" w:color="auto"/>
                    <w:left w:val="nil"/>
                    <w:bottom w:val="single" w:sz="4" w:space="0" w:color="auto"/>
                    <w:right w:val="single" w:sz="8" w:space="0" w:color="000000"/>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Change from Main Estimate</w:t>
                  </w:r>
                  <w:r w:rsidRPr="009A4D14">
                    <w:rPr>
                      <w:rFonts w:ascii="Arial" w:eastAsia="Times New Roman" w:hAnsi="Arial" w:cs="Arial"/>
                      <w:b/>
                      <w:bCs/>
                      <w:sz w:val="18"/>
                      <w:szCs w:val="18"/>
                      <w:lang w:eastAsia="en-GB"/>
                    </w:rPr>
                    <w:br/>
                    <w:t>last year</w:t>
                  </w:r>
                </w:p>
              </w:tc>
            </w:tr>
            <w:tr w:rsidTr="009A4D14">
              <w:tblPrEx>
                <w:tblW w:w="8789" w:type="dxa"/>
                <w:tblLook w:val="04A0"/>
              </w:tblPrEx>
              <w:trPr>
                <w:trHeight w:val="276"/>
              </w:trPr>
              <w:tc>
                <w:tcPr>
                  <w:tcW w:w="1312" w:type="dxa"/>
                  <w:tcBorders>
                    <w:top w:val="single" w:sz="4" w:space="0" w:color="auto"/>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Subheads</w:t>
                  </w:r>
                </w:p>
              </w:tc>
              <w:tc>
                <w:tcPr>
                  <w:tcW w:w="3760" w:type="dxa"/>
                  <w:tcBorders>
                    <w:top w:val="single" w:sz="4" w:space="0" w:color="auto"/>
                    <w:left w:val="single" w:sz="8" w:space="0" w:color="auto"/>
                    <w:bottom w:val="single" w:sz="8" w:space="0" w:color="auto"/>
                    <w:right w:val="single" w:sz="4" w:space="0" w:color="auto"/>
                  </w:tcBorders>
                  <w:shd w:val="clear" w:color="000000" w:fill="DAEEF3"/>
                  <w:vAlign w:val="center"/>
                  <w:hideMark/>
                </w:tcPr>
                <w:p w:rsidR="009A4D14" w:rsidRPr="009A4D14" w:rsidP="009A4D14">
                  <w:pPr>
                    <w:spacing w:after="0" w:line="240" w:lineRule="auto"/>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Commodity Block</w:t>
                  </w:r>
                </w:p>
              </w:tc>
              <w:tc>
                <w:tcPr>
                  <w:tcW w:w="956"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56"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955" w:type="dxa"/>
                  <w:tcBorders>
                    <w:top w:val="nil"/>
                    <w:left w:val="nil"/>
                    <w:bottom w:val="single" w:sz="8" w:space="0" w:color="auto"/>
                    <w:right w:val="single" w:sz="4"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£M</w:t>
                  </w:r>
                </w:p>
              </w:tc>
              <w:tc>
                <w:tcPr>
                  <w:tcW w:w="850" w:type="dxa"/>
                  <w:tcBorders>
                    <w:top w:val="nil"/>
                    <w:left w:val="nil"/>
                    <w:bottom w:val="single" w:sz="8" w:space="0" w:color="auto"/>
                    <w:right w:val="single" w:sz="8" w:space="0" w:color="auto"/>
                  </w:tcBorders>
                  <w:shd w:val="clear" w:color="000000" w:fill="DAEEF3"/>
                  <w:vAlign w:val="center"/>
                  <w:hideMark/>
                </w:tcPr>
                <w:p w:rsidR="009A4D14" w:rsidRPr="009A4D14" w:rsidP="009A4D14">
                  <w:pPr>
                    <w:spacing w:after="0" w:line="240" w:lineRule="auto"/>
                    <w:jc w:val="center"/>
                    <w:rPr>
                      <w:rFonts w:ascii="Arial" w:eastAsia="Times New Roman" w:hAnsi="Arial" w:cs="Arial"/>
                      <w:b/>
                      <w:bCs/>
                      <w:sz w:val="18"/>
                      <w:szCs w:val="18"/>
                      <w:lang w:eastAsia="en-GB"/>
                    </w:rPr>
                  </w:pPr>
                  <w:r w:rsidRPr="009A4D14">
                    <w:rPr>
                      <w:rFonts w:ascii="Arial" w:eastAsia="Times New Roman" w:hAnsi="Arial" w:cs="Arial"/>
                      <w:b/>
                      <w:bCs/>
                      <w:sz w:val="18"/>
                      <w:szCs w:val="18"/>
                      <w:lang w:eastAsia="en-GB"/>
                    </w:rPr>
                    <w:t>%</w:t>
                  </w:r>
                </w:p>
              </w:tc>
            </w:tr>
            <w:tr w:rsidTr="009A4D14">
              <w:tblPrEx>
                <w:tblW w:w="8789" w:type="dxa"/>
                <w:tblLook w:val="04A0"/>
              </w:tblPrEx>
              <w:trPr>
                <w:trHeight w:val="264"/>
              </w:trPr>
              <w:tc>
                <w:tcPr>
                  <w:tcW w:w="1312"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Q-W</w:t>
                  </w:r>
                </w:p>
              </w:tc>
              <w:tc>
                <w:tcPr>
                  <w:tcW w:w="3760"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Operations – RDEL</w:t>
                  </w:r>
                </w:p>
              </w:tc>
              <w:tc>
                <w:tcPr>
                  <w:tcW w:w="956"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282.0 </w:t>
                  </w:r>
                </w:p>
              </w:tc>
              <w:tc>
                <w:tcPr>
                  <w:tcW w:w="956" w:type="dxa"/>
                  <w:tcBorders>
                    <w:top w:val="nil"/>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449.0 </w:t>
                  </w:r>
                </w:p>
              </w:tc>
              <w:tc>
                <w:tcPr>
                  <w:tcW w:w="955" w:type="dxa"/>
                  <w:tcBorders>
                    <w:top w:val="nil"/>
                    <w:left w:val="nil"/>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(167.0)</w:t>
                  </w:r>
                </w:p>
              </w:tc>
              <w:tc>
                <w:tcPr>
                  <w:tcW w:w="850" w:type="dxa"/>
                  <w:tcBorders>
                    <w:top w:val="nil"/>
                    <w:left w:val="nil"/>
                    <w:bottom w:val="single" w:sz="4"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-37.2%</w:t>
                  </w:r>
                </w:p>
              </w:tc>
            </w:tr>
            <w:tr w:rsidTr="009A4D14">
              <w:tblPrEx>
                <w:tblW w:w="8789" w:type="dxa"/>
                <w:tblLook w:val="04A0"/>
              </w:tblPrEx>
              <w:trPr>
                <w:trHeight w:val="255"/>
              </w:trPr>
              <w:tc>
                <w:tcPr>
                  <w:tcW w:w="1312" w:type="dxa"/>
                  <w:tcBorders>
                    <w:top w:val="single" w:sz="4" w:space="0" w:color="auto"/>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X</w:t>
                  </w:r>
                </w:p>
              </w:tc>
              <w:tc>
                <w:tcPr>
                  <w:tcW w:w="3760" w:type="dxa"/>
                  <w:tcBorders>
                    <w:top w:val="single" w:sz="4" w:space="0" w:color="auto"/>
                    <w:left w:val="single" w:sz="8" w:space="0" w:color="auto"/>
                    <w:bottom w:val="nil"/>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Operations - Capital DEL</w:t>
                  </w:r>
                </w:p>
              </w:tc>
              <w:tc>
                <w:tcPr>
                  <w:tcW w:w="956" w:type="dxa"/>
                  <w:tcBorders>
                    <w:top w:val="single" w:sz="4" w:space="0" w:color="auto"/>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18.0 </w:t>
                  </w:r>
                </w:p>
              </w:tc>
              <w:tc>
                <w:tcPr>
                  <w:tcW w:w="956" w:type="dxa"/>
                  <w:tcBorders>
                    <w:top w:val="single" w:sz="4" w:space="0" w:color="auto"/>
                    <w:left w:val="single" w:sz="8" w:space="0" w:color="auto"/>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29.9 </w:t>
                  </w:r>
                </w:p>
              </w:tc>
              <w:tc>
                <w:tcPr>
                  <w:tcW w:w="955" w:type="dxa"/>
                  <w:tcBorders>
                    <w:top w:val="single" w:sz="4" w:space="0" w:color="auto"/>
                    <w:left w:val="nil"/>
                    <w:bottom w:val="nil"/>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(11.9)</w:t>
                  </w:r>
                </w:p>
              </w:tc>
              <w:tc>
                <w:tcPr>
                  <w:tcW w:w="850" w:type="dxa"/>
                  <w:tcBorders>
                    <w:top w:val="nil"/>
                    <w:left w:val="nil"/>
                    <w:bottom w:val="single" w:sz="4"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-39.8%</w:t>
                  </w:r>
                </w:p>
              </w:tc>
            </w:tr>
            <w:tr w:rsidTr="009A4D14">
              <w:tblPrEx>
                <w:tblW w:w="8789" w:type="dxa"/>
                <w:tblLook w:val="04A0"/>
              </w:tblPrEx>
              <w:trPr>
                <w:trHeight w:val="255"/>
              </w:trPr>
              <w:tc>
                <w:tcPr>
                  <w:tcW w:w="1312"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center"/>
                    <w:rPr>
                      <w:rFonts w:ascii="Arial" w:eastAsia="Times New Roman" w:hAnsi="Arial" w:cs="Arial"/>
                      <w:sz w:val="16"/>
                      <w:szCs w:val="16"/>
                      <w:lang w:eastAsia="en-GB"/>
                    </w:rPr>
                  </w:pPr>
                  <w:r w:rsidRPr="009A4D14">
                    <w:rPr>
                      <w:rFonts w:ascii="Arial" w:eastAsia="Times New Roman" w:hAnsi="Arial" w:cs="Arial"/>
                      <w:sz w:val="16"/>
                      <w:szCs w:val="16"/>
                      <w:lang w:eastAsia="en-GB"/>
                    </w:rPr>
                    <w:t>AC</w:t>
                  </w:r>
                </w:p>
              </w:tc>
              <w:tc>
                <w:tcPr>
                  <w:tcW w:w="3760"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rPr>
                      <w:rFonts w:ascii="Arial" w:eastAsia="Times New Roman" w:hAnsi="Arial" w:cs="Arial"/>
                      <w:sz w:val="16"/>
                      <w:szCs w:val="16"/>
                      <w:lang w:eastAsia="en-GB"/>
                    </w:rPr>
                  </w:pPr>
                  <w:r w:rsidRPr="009A4D14">
                    <w:rPr>
                      <w:rFonts w:ascii="Arial" w:eastAsia="Times New Roman" w:hAnsi="Arial" w:cs="Arial"/>
                      <w:sz w:val="16"/>
                      <w:szCs w:val="16"/>
                      <w:lang w:eastAsia="en-GB"/>
                    </w:rPr>
                    <w:t>Conflict, Stability and Security Fund</w:t>
                  </w:r>
                </w:p>
              </w:tc>
              <w:tc>
                <w:tcPr>
                  <w:tcW w:w="956"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84.5 </w:t>
                  </w:r>
                </w:p>
              </w:tc>
              <w:tc>
                <w:tcPr>
                  <w:tcW w:w="956"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 xml:space="preserve"> 88.7 </w:t>
                  </w:r>
                </w:p>
              </w:tc>
              <w:tc>
                <w:tcPr>
                  <w:tcW w:w="955" w:type="dxa"/>
                  <w:tcBorders>
                    <w:top w:val="single" w:sz="4" w:space="0" w:color="auto"/>
                    <w:left w:val="nil"/>
                    <w:bottom w:val="single" w:sz="8" w:space="0" w:color="auto"/>
                    <w:right w:val="single" w:sz="4"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color w:val="000000"/>
                      <w:sz w:val="16"/>
                      <w:szCs w:val="16"/>
                      <w:lang w:eastAsia="en-GB"/>
                    </w:rPr>
                    <w:t>(4.1)</w:t>
                  </w:r>
                </w:p>
              </w:tc>
              <w:tc>
                <w:tcPr>
                  <w:tcW w:w="850" w:type="dxa"/>
                  <w:tcBorders>
                    <w:top w:val="nil"/>
                    <w:left w:val="nil"/>
                    <w:bottom w:val="single" w:sz="8" w:space="0" w:color="auto"/>
                    <w:right w:val="single" w:sz="8" w:space="0" w:color="auto"/>
                  </w:tcBorders>
                  <w:shd w:val="clear" w:color="auto" w:fill="auto"/>
                  <w:vAlign w:val="bottom"/>
                  <w:hideMark/>
                </w:tcPr>
                <w:p w:rsidR="009A4D14" w:rsidRPr="009A4D14" w:rsidP="009A4D14">
                  <w:pPr>
                    <w:spacing w:after="0" w:line="240" w:lineRule="auto"/>
                    <w:jc w:val="right"/>
                    <w:rPr>
                      <w:rFonts w:ascii="Arial" w:eastAsia="Times New Roman" w:hAnsi="Arial" w:cs="Arial"/>
                      <w:sz w:val="16"/>
                      <w:szCs w:val="16"/>
                      <w:lang w:eastAsia="en-GB"/>
                    </w:rPr>
                  </w:pPr>
                  <w:r w:rsidRPr="009A4D14">
                    <w:rPr>
                      <w:rFonts w:ascii="Arial" w:eastAsia="Times New Roman" w:hAnsi="Arial" w:cs="Arial"/>
                      <w:sz w:val="16"/>
                      <w:szCs w:val="16"/>
                      <w:lang w:eastAsia="en-GB"/>
                    </w:rPr>
                    <w:t>-4.6%</w:t>
                  </w:r>
                </w:p>
              </w:tc>
            </w:tr>
            <w:tr w:rsidTr="009A4D14">
              <w:tblPrEx>
                <w:tblW w:w="8789" w:type="dxa"/>
                <w:tblLook w:val="04A0"/>
              </w:tblPrEx>
              <w:trPr>
                <w:trHeight w:val="276"/>
              </w:trPr>
              <w:tc>
                <w:tcPr>
                  <w:tcW w:w="1312" w:type="dxa"/>
                  <w:tcBorders>
                    <w:top w:val="nil"/>
                    <w:left w:val="nil"/>
                    <w:bottom w:val="nil"/>
                    <w:right w:val="nil"/>
                  </w:tcBorders>
                  <w:shd w:val="clear" w:color="auto" w:fill="auto"/>
                  <w:noWrap/>
                  <w:vAlign w:val="bottom"/>
                  <w:hideMark/>
                </w:tcPr>
                <w:p w:rsidR="009A4D14" w:rsidRPr="009A4D14" w:rsidP="009A4D14">
                  <w:pPr>
                    <w:spacing w:after="0" w:line="240" w:lineRule="auto"/>
                    <w:jc w:val="right"/>
                    <w:rPr>
                      <w:rFonts w:ascii="Arial" w:eastAsia="Times New Roman" w:hAnsi="Arial" w:cs="Arial"/>
                      <w:sz w:val="16"/>
                      <w:szCs w:val="16"/>
                      <w:lang w:eastAsia="en-GB"/>
                    </w:rPr>
                  </w:pPr>
                </w:p>
              </w:tc>
              <w:tc>
                <w:tcPr>
                  <w:tcW w:w="3760" w:type="dxa"/>
                  <w:tcBorders>
                    <w:top w:val="nil"/>
                    <w:left w:val="nil"/>
                    <w:bottom w:val="nil"/>
                    <w:right w:val="nil"/>
                  </w:tcBorders>
                  <w:shd w:val="clear" w:color="auto" w:fill="auto"/>
                  <w:noWrap/>
                  <w:vAlign w:val="bottom"/>
                  <w:hideMark/>
                </w:tcPr>
                <w:p w:rsidR="009A4D14" w:rsidRPr="009A4D14" w:rsidP="009A4D14">
                  <w:pPr>
                    <w:spacing w:after="0" w:line="240" w:lineRule="auto"/>
                    <w:rPr>
                      <w:rFonts w:ascii="Times New Roman" w:eastAsia="Times New Roman" w:hAnsi="Times New Roman" w:cs="Times New Roman"/>
                      <w:sz w:val="20"/>
                      <w:szCs w:val="20"/>
                      <w:lang w:eastAsia="en-GB"/>
                    </w:rPr>
                  </w:pPr>
                </w:p>
              </w:tc>
              <w:tc>
                <w:tcPr>
                  <w:tcW w:w="956" w:type="dxa"/>
                  <w:tcBorders>
                    <w:top w:val="nil"/>
                    <w:left w:val="single" w:sz="8" w:space="0" w:color="auto"/>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384.5 </w:t>
                  </w:r>
                </w:p>
              </w:tc>
              <w:tc>
                <w:tcPr>
                  <w:tcW w:w="956" w:type="dxa"/>
                  <w:tcBorders>
                    <w:top w:val="nil"/>
                    <w:left w:val="single" w:sz="8" w:space="0" w:color="auto"/>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 xml:space="preserve"> 567.5 </w:t>
                  </w:r>
                </w:p>
              </w:tc>
              <w:tc>
                <w:tcPr>
                  <w:tcW w:w="955" w:type="dxa"/>
                  <w:tcBorders>
                    <w:top w:val="nil"/>
                    <w:left w:val="nil"/>
                    <w:bottom w:val="single" w:sz="8" w:space="0" w:color="auto"/>
                    <w:right w:val="single" w:sz="4"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color w:val="000000"/>
                      <w:sz w:val="16"/>
                      <w:szCs w:val="16"/>
                      <w:lang w:eastAsia="en-GB"/>
                    </w:rPr>
                    <w:t>(183.0)</w:t>
                  </w:r>
                </w:p>
              </w:tc>
              <w:tc>
                <w:tcPr>
                  <w:tcW w:w="850" w:type="dxa"/>
                  <w:tcBorders>
                    <w:top w:val="nil"/>
                    <w:left w:val="nil"/>
                    <w:bottom w:val="single" w:sz="8" w:space="0" w:color="auto"/>
                    <w:right w:val="single" w:sz="8" w:space="0" w:color="auto"/>
                  </w:tcBorders>
                  <w:shd w:val="clear" w:color="000000" w:fill="DAEEF3"/>
                  <w:vAlign w:val="bottom"/>
                  <w:hideMark/>
                </w:tcPr>
                <w:p w:rsidR="009A4D14" w:rsidRPr="009A4D14" w:rsidP="009A4D14">
                  <w:pPr>
                    <w:spacing w:after="0" w:line="240" w:lineRule="auto"/>
                    <w:jc w:val="right"/>
                    <w:rPr>
                      <w:rFonts w:ascii="Arial" w:eastAsia="Times New Roman" w:hAnsi="Arial" w:cs="Arial"/>
                      <w:b/>
                      <w:bCs/>
                      <w:sz w:val="16"/>
                      <w:szCs w:val="16"/>
                      <w:lang w:eastAsia="en-GB"/>
                    </w:rPr>
                  </w:pPr>
                  <w:r w:rsidRPr="009A4D14">
                    <w:rPr>
                      <w:rFonts w:ascii="Arial" w:eastAsia="Times New Roman" w:hAnsi="Arial" w:cs="Arial"/>
                      <w:b/>
                      <w:bCs/>
                      <w:sz w:val="16"/>
                      <w:szCs w:val="16"/>
                      <w:lang w:eastAsia="en-GB"/>
                    </w:rPr>
                    <w:t>-47.6%</w:t>
                  </w:r>
                </w:p>
              </w:tc>
            </w:tr>
          </w:tbl>
          <w:p w:rsidR="009A4D14" w:rsidRPr="009A4D14" w:rsidP="009A4D14">
            <w:pPr>
              <w:spacing w:after="0" w:line="240" w:lineRule="auto"/>
              <w:rPr>
                <w:rFonts w:ascii="Arial" w:eastAsia="Times New Roman" w:hAnsi="Arial" w:cs="Arial"/>
                <w:b/>
                <w:bCs/>
                <w:sz w:val="20"/>
                <w:szCs w:val="20"/>
                <w:lang w:eastAsia="en-GB"/>
              </w:rPr>
            </w:pPr>
          </w:p>
          <w:p w:rsidR="009A4D14" w:rsidRPr="009A4D14" w:rsidP="009A4D14">
            <w:pPr>
              <w:spacing w:after="0" w:line="240" w:lineRule="auto"/>
              <w:rPr>
                <w:rFonts w:ascii="Arial" w:eastAsia="Times New Roman" w:hAnsi="Arial" w:cs="Arial"/>
                <w:b/>
                <w:bCs/>
                <w:sz w:val="20"/>
                <w:szCs w:val="20"/>
                <w:lang w:eastAsia="en-GB"/>
              </w:rPr>
            </w:pPr>
          </w:p>
        </w:tc>
      </w:tr>
    </w:tbl>
    <w:p w:rsidR="009A4D14" w:rsidRPr="009A4D14" w:rsidP="009A4D14">
      <w:pPr>
        <w:ind w:right="113"/>
        <w:jc w:val="both"/>
        <w:mirrorIndents/>
        <w:rPr>
          <w:rFonts w:eastAsiaTheme="minorEastAsia" w:cs="Arial"/>
        </w:rPr>
      </w:pPr>
      <w:r w:rsidRPr="009A4D14">
        <w:rPr>
          <w:rFonts w:eastAsiaTheme="minorEastAsia" w:cs="Arial"/>
        </w:rPr>
        <w:t>A total of £385M in resources for Operations, Peacekeeping and the MOD’s share of the Conflict, Stability and Security Fund (CSSF) is requested. In line with previous years, and as agreed with HM Treasury, the MOD presents the initial cost of operations at Main Estimates and requests the full amount at Supplementary Estimates. A breakdown of the initial costs of operations is at Table 11. The details of key operations are:</w:t>
      </w: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 xml:space="preserve">Afghanistan: </w:t>
      </w:r>
    </w:p>
    <w:p w:rsidR="009A4D14" w:rsidRPr="009A4D14" w:rsidP="009A4D14">
      <w:pPr>
        <w:ind w:right="113"/>
        <w:contextualSpacing/>
        <w:jc w:val="both"/>
        <w:mirrorIndents/>
        <w:rPr>
          <w:rFonts w:eastAsiaTheme="minorEastAsia" w:cs="Arial"/>
        </w:rPr>
      </w:pPr>
      <w:r w:rsidRPr="009A4D14">
        <w:rPr>
          <w:rFonts w:eastAsiaTheme="minorEastAsia" w:cs="Arial"/>
        </w:rPr>
        <w:t xml:space="preserve">Initial funding is requested to cover the initial costs of the UK’s contribution to the NATO Resolute Support Mission in Afghanistan and our support to the Afghan National Army Officer Academy. </w:t>
      </w: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Wider Gulf:</w:t>
      </w:r>
    </w:p>
    <w:p w:rsidR="009A4D14" w:rsidRPr="009A4D14" w:rsidP="009A4D14">
      <w:pPr>
        <w:spacing w:after="240"/>
        <w:ind w:right="113"/>
        <w:contextualSpacing/>
        <w:jc w:val="both"/>
        <w:mirrorIndents/>
        <w:rPr>
          <w:rFonts w:eastAsiaTheme="minorEastAsia" w:cs="Arial"/>
        </w:rPr>
      </w:pPr>
      <w:r w:rsidRPr="009A4D14">
        <w:rPr>
          <w:rFonts w:eastAsiaTheme="minorEastAsia" w:cs="Arial"/>
        </w:rPr>
        <w:t xml:space="preserve">Initial funding is requested to cover the initial net additional costs of UK forces deployed to the wider Gulf to sustain UK influence in the region, reassure our regional allies and support access and over flight for operations in Afghanistan, Iraq and Syria. </w:t>
      </w: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Counter Daesh:</w:t>
      </w:r>
    </w:p>
    <w:p w:rsidR="009A4D14" w:rsidRPr="009A4D14" w:rsidP="009A4D14">
      <w:pPr>
        <w:spacing w:after="240"/>
        <w:ind w:right="113"/>
        <w:contextualSpacing/>
        <w:jc w:val="both"/>
        <w:mirrorIndents/>
        <w:rPr>
          <w:rFonts w:eastAsiaTheme="minorEastAsia"/>
        </w:rPr>
      </w:pPr>
      <w:r w:rsidRPr="009A4D14">
        <w:rPr>
          <w:rFonts w:eastAsiaTheme="minorEastAsia" w:cs="Arial"/>
        </w:rPr>
        <w:t xml:space="preserve">Initial funding is requested to meet the initial net additional costs of counter Daesh activity. This includes </w:t>
      </w:r>
      <w:r w:rsidRPr="009A4D14">
        <w:rPr>
          <w:rFonts w:eastAsiaTheme="minorEastAsia"/>
        </w:rPr>
        <w:t>airstrikes and airborne intelligence gathering operations in Iraq and Syria, helping train local Security Forces and a contribution to coalition operations in Iraq.</w:t>
      </w: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Deployed Military Activity Pool (DMAP):</w:t>
      </w:r>
    </w:p>
    <w:p w:rsidR="009A4D14" w:rsidRPr="009A4D14" w:rsidP="009A4D14">
      <w:pPr>
        <w:overflowPunct w:val="0"/>
        <w:spacing w:after="240"/>
        <w:ind w:right="113"/>
        <w:contextualSpacing/>
        <w:jc w:val="both"/>
        <w:mirrorIndents/>
        <w:rPr>
          <w:rFonts w:eastAsiaTheme="minorEastAsia" w:cs="Arial"/>
        </w:rPr>
      </w:pPr>
      <w:r w:rsidRPr="009A4D14">
        <w:rPr>
          <w:rFonts w:eastAsiaTheme="minorEastAsia" w:cs="Arial"/>
        </w:rPr>
        <w:t xml:space="preserve">The DMAP is a joint HM Treasury and MOD initiative to make available resources to fund the initial and short-term costs of any unforeseen military activities, as authorised by the National Security Council. Initial funding is requested from the HM Treasury Special Reserve, which is matched by the same amount from the MOD’s Defence Capability resources.  </w:t>
      </w:r>
    </w:p>
    <w:p w:rsidR="009A4D14" w:rsidRPr="009A4D14" w:rsidP="009A4D14">
      <w:pPr>
        <w:keepNext/>
        <w:keepLines/>
        <w:numPr>
          <w:ilvl w:val="2"/>
          <w:numId w:val="0"/>
        </w:numPr>
        <w:spacing w:before="40" w:after="0"/>
        <w:ind w:left="720" w:hanging="720"/>
        <w:outlineLvl w:val="2"/>
        <w:rPr>
          <w:rFonts w:eastAsiaTheme="majorEastAsia" w:cstheme="majorBidi"/>
          <w:color w:val="1F3864" w:themeColor="accent1" w:themeShade="80"/>
          <w:sz w:val="24"/>
          <w:szCs w:val="24"/>
        </w:rPr>
      </w:pPr>
      <w:r w:rsidRPr="009A4D14">
        <w:rPr>
          <w:rFonts w:eastAsiaTheme="majorEastAsia" w:cstheme="majorBidi"/>
          <w:color w:val="1F3864" w:themeColor="accent1" w:themeShade="80"/>
          <w:sz w:val="24"/>
          <w:szCs w:val="24"/>
        </w:rPr>
        <w:t>Conflict Stability and Security Fund (CSSF)</w:t>
      </w:r>
    </w:p>
    <w:p w:rsidR="009A4D14" w:rsidRPr="009A4D14" w:rsidP="009A4D14">
      <w:pPr>
        <w:ind w:right="113"/>
        <w:contextualSpacing/>
        <w:jc w:val="both"/>
        <w:mirrorIndents/>
        <w:rPr>
          <w:rFonts w:eastAsiaTheme="minorEastAsia" w:cs="Arial"/>
        </w:rPr>
      </w:pPr>
      <w:r w:rsidRPr="009A4D14">
        <w:rPr>
          <w:rFonts w:eastAsiaTheme="minorEastAsia" w:cs="Arial"/>
        </w:rPr>
        <w:t>The CSSF replaced the Conflict Pool as the Government’s mechanism for funding conflict prevention, stabilisation, security and peacekeeping activities, under the strategic direction of the NSC. An initial allocation of £85M is requested for the MOD’s contribution to this activity.</w:t>
      </w:r>
    </w:p>
    <w:p w:rsidR="009A4D14" w:rsidRPr="009A4D14" w:rsidP="009A4D14">
      <w:pPr>
        <w:rPr>
          <w:rFonts w:eastAsiaTheme="minorEastAsia"/>
          <w:lang w:eastAsia="en-GB"/>
        </w:rPr>
      </w:pPr>
    </w:p>
    <w:p w:rsidR="009A4D14" w:rsidRPr="009A4D14" w:rsidP="009A4D14">
      <w:pPr>
        <w:keepNext/>
        <w:keepLines/>
        <w:numPr>
          <w:ilvl w:val="1"/>
          <w:numId w:val="0"/>
        </w:numPr>
        <w:spacing w:before="40" w:after="0"/>
        <w:ind w:left="576" w:hanging="576"/>
        <w:outlineLvl w:val="1"/>
        <w:rPr>
          <w:rFonts w:eastAsiaTheme="majorEastAsia" w:cstheme="majorBidi"/>
          <w:color w:val="2F5496" w:themeColor="accent1" w:themeShade="BF"/>
          <w:sz w:val="28"/>
          <w:szCs w:val="28"/>
        </w:rPr>
      </w:pPr>
      <w:r w:rsidRPr="009A4D14">
        <w:rPr>
          <w:rFonts w:eastAsiaTheme="majorEastAsia" w:cstheme="majorBidi"/>
          <w:color w:val="2F5496" w:themeColor="accent1" w:themeShade="BF"/>
          <w:sz w:val="28"/>
          <w:szCs w:val="28"/>
        </w:rPr>
        <w:t>2021-22 Supplementary Estimates</w:t>
      </w:r>
    </w:p>
    <w:p w:rsidR="009A4D14" w:rsidRPr="009A4D14" w:rsidP="009A4D14">
      <w:pPr>
        <w:spacing w:after="384" w:afterLines="160"/>
        <w:rPr>
          <w:rFonts w:eastAsiaTheme="minorEastAsia"/>
        </w:rPr>
      </w:pPr>
      <w:r w:rsidRPr="009A4D14">
        <w:rPr>
          <w:rFonts w:eastAsiaTheme="minorEastAsia" w:cs="Arial"/>
        </w:rPr>
        <w:t>It is anticipated that other adjustments will be required at the Supplementary Estimate (published early February 2022), including:</w:t>
      </w:r>
    </w:p>
    <w:p w:rsidR="009A4D14" w:rsidRPr="009A4D14" w:rsidP="009A4D14">
      <w:pPr>
        <w:numPr>
          <w:ilvl w:val="0"/>
          <w:numId w:val="43"/>
        </w:numPr>
        <w:autoSpaceDN w:val="0"/>
        <w:spacing w:line="240" w:lineRule="auto"/>
        <w:ind w:left="357" w:right="113"/>
        <w:jc w:val="both"/>
        <w:mirrorIndents/>
        <w:rPr>
          <w:rFonts w:eastAsiaTheme="minorEastAsia" w:cs="Arial"/>
        </w:rPr>
      </w:pPr>
      <w:r w:rsidRPr="009A4D14">
        <w:rPr>
          <w:rFonts w:eastAsiaTheme="minorEastAsia" w:cs="Arial"/>
        </w:rPr>
        <w:t>Refinement and re-allocation of costs between commodity blocks resulting from the conclusion of the financial planning round; and</w:t>
      </w:r>
    </w:p>
    <w:p w:rsidR="009A4D14" w:rsidRPr="009A4D14" w:rsidP="009A4D14">
      <w:pPr>
        <w:numPr>
          <w:ilvl w:val="0"/>
          <w:numId w:val="43"/>
        </w:numPr>
        <w:autoSpaceDN w:val="0"/>
        <w:spacing w:line="240" w:lineRule="auto"/>
        <w:ind w:right="113"/>
        <w:jc w:val="both"/>
        <w:mirrorIndents/>
        <w:rPr>
          <w:rFonts w:eastAsiaTheme="minorEastAsia"/>
          <w:lang w:eastAsia="en-GB"/>
        </w:rPr>
      </w:pPr>
      <w:r w:rsidRPr="009A4D14">
        <w:rPr>
          <w:rFonts w:eastAsiaTheme="minorEastAsia" w:cs="Arial"/>
        </w:rPr>
        <w:t xml:space="preserve">    Additional resources to cover the remaining net additional costs of military operations.</w:t>
      </w:r>
    </w:p>
    <w:p w:rsidR="009A4D14" w:rsidRPr="009A4D14" w:rsidP="009A4D14">
      <w:pPr>
        <w:rPr>
          <w:rFonts w:eastAsiaTheme="minorEastAsia"/>
          <w:lang w:eastAsia="en-GB"/>
        </w:rPr>
      </w:pPr>
    </w:p>
    <w:p w:rsidR="009A4D14" w:rsidRPr="009A4D14" w:rsidP="009A4D14">
      <w:pPr>
        <w:keepNext/>
        <w:keepLines/>
        <w:spacing w:before="240" w:after="0"/>
        <w:ind w:left="432" w:hanging="432"/>
        <w:outlineLvl w:val="0"/>
        <w:rPr>
          <w:rFonts w:eastAsiaTheme="majorEastAsia" w:cstheme="majorBidi"/>
          <w:color w:val="2F5496" w:themeColor="accent1" w:themeShade="BF"/>
          <w:sz w:val="32"/>
          <w:szCs w:val="32"/>
        </w:rPr>
      </w:pPr>
      <w:r w:rsidRPr="009A4D14">
        <w:rPr>
          <w:rFonts w:eastAsiaTheme="majorEastAsia" w:cstheme="majorBidi"/>
          <w:color w:val="2F5496" w:themeColor="accent1" w:themeShade="BF"/>
          <w:sz w:val="32"/>
          <w:szCs w:val="32"/>
        </w:rPr>
        <w:t xml:space="preserve">Accounting Officer Approval </w:t>
      </w:r>
    </w:p>
    <w:p w:rsidR="009A4D14" w:rsidRPr="009A4D14" w:rsidP="009A4D14">
      <w:pPr>
        <w:rPr>
          <w:rFonts w:eastAsiaTheme="minorEastAsia"/>
        </w:rPr>
      </w:pPr>
      <w:r w:rsidRPr="009A4D14">
        <w:rPr>
          <w:rFonts w:eastAsiaTheme="minorEastAsia"/>
        </w:rPr>
        <w:t>This memorandum has been prepared according to the requirements and guidance set out by the House of Commons Scrutiny Unit, available on the Scrutiny Unit website.</w:t>
      </w:r>
    </w:p>
    <w:p w:rsidR="009A4D14" w:rsidRPr="009A4D14" w:rsidP="009A4D14">
      <w:pPr>
        <w:rPr>
          <w:rFonts w:eastAsiaTheme="minorEastAsia"/>
        </w:rPr>
      </w:pPr>
      <w:r w:rsidRPr="009A4D14">
        <w:rPr>
          <w:rFonts w:eastAsiaTheme="minorEastAsia"/>
        </w:rPr>
        <w:t xml:space="preserve">The information in this Estimates Memorandum has been approved by </w:t>
      </w:r>
      <w:r w:rsidRPr="009A4D14">
        <w:rPr>
          <w:rFonts w:eastAsiaTheme="minorEastAsia"/>
        </w:rPr>
        <w:t>myself</w:t>
      </w:r>
      <w:r w:rsidRPr="009A4D14">
        <w:rPr>
          <w:rFonts w:eastAsiaTheme="minorEastAsia"/>
        </w:rPr>
        <w:t xml:space="preserve"> as the Accounting Officer at the Ministry of Defence. </w:t>
      </w:r>
    </w:p>
    <w:p w:rsidR="009A4D14" w:rsidRPr="009A4D14" w:rsidP="009A4D14">
      <w:pPr>
        <w:rPr>
          <w:rFonts w:eastAsiaTheme="minorEastAsia"/>
        </w:rPr>
      </w:pPr>
    </w:p>
    <w:p w:rsidR="009A4D14" w:rsidRPr="009A4D14" w:rsidP="009A4D14">
      <w:pPr>
        <w:rPr>
          <w:rFonts w:eastAsiaTheme="minorEastAsia"/>
        </w:rPr>
      </w:pPr>
      <w:r w:rsidRPr="009A4D14">
        <w:rPr>
          <w:rFonts w:eastAsiaTheme="minorEastAsia"/>
        </w:rPr>
        <w:t>David Williams</w:t>
      </w:r>
    </w:p>
    <w:p w:rsidR="009A4D14" w:rsidRPr="009A4D14" w:rsidP="009A4D14">
      <w:pPr>
        <w:rPr>
          <w:rFonts w:eastAsiaTheme="minorEastAsia"/>
        </w:rPr>
      </w:pPr>
      <w:r w:rsidRPr="009A4D14">
        <w:rPr>
          <w:rFonts w:eastAsiaTheme="minorEastAsia"/>
        </w:rPr>
        <w:t>Permanent Secretary and Accounting Officer</w:t>
      </w:r>
    </w:p>
    <w:p w:rsidR="009A4D14" w:rsidRPr="009A4D14" w:rsidP="009A4D14">
      <w:pPr>
        <w:rPr>
          <w:rFonts w:eastAsiaTheme="minorEastAsia"/>
        </w:rPr>
      </w:pPr>
      <w:r w:rsidRPr="009A4D14">
        <w:rPr>
          <w:rFonts w:eastAsiaTheme="minorEastAsia"/>
        </w:rPr>
        <w:t>Ministry of Defence</w:t>
      </w:r>
      <w:r w:rsidRPr="009A4D14">
        <w:rPr>
          <w:rFonts w:eastAsiaTheme="minorEastAsia"/>
        </w:rPr>
        <w:br w:type="page"/>
      </w:r>
    </w:p>
    <w:p w:rsidR="009A4D14" w:rsidRPr="009A4D14" w:rsidP="009A4D14">
      <w:pPr>
        <w:rPr>
          <w:rFonts w:eastAsiaTheme="minorEastAsia"/>
          <w:b/>
          <w:u w:val="single"/>
        </w:rPr>
      </w:pP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rPr>
        <w:tab/>
      </w:r>
      <w:r w:rsidRPr="009A4D14">
        <w:rPr>
          <w:rFonts w:eastAsiaTheme="minorEastAsia"/>
          <w:b/>
          <w:u w:val="single"/>
        </w:rPr>
        <w:t>Annex A</w:t>
      </w:r>
    </w:p>
    <w:p w:rsidR="009A4D14" w:rsidRPr="009A4D14" w:rsidP="009A4D14">
      <w:pPr>
        <w:rPr>
          <w:rFonts w:eastAsiaTheme="minorEastAsia"/>
        </w:rPr>
      </w:pPr>
    </w:p>
    <w:p w:rsidR="009A4D14" w:rsidRPr="009A4D14" w:rsidP="009A4D14">
      <w:pPr>
        <w:spacing w:before="60" w:after="60"/>
        <w:jc w:val="right"/>
        <w:outlineLvl w:val="0"/>
        <w:rPr>
          <w:rFonts w:eastAsiaTheme="minorEastAsia"/>
          <w:b/>
          <w:u w:val="single"/>
        </w:rPr>
      </w:pPr>
      <w:r w:rsidRPr="009A4D14">
        <w:rPr>
          <w:rFonts w:eastAsiaTheme="minorEastAsia" w:cs="Arial"/>
          <w:b/>
          <w:u w:val="single"/>
        </w:rPr>
        <w:t>Annex A.1</w:t>
      </w:r>
    </w:p>
    <w:p w:rsidR="009A4D14" w:rsidRPr="009A4D14" w:rsidP="009A4D14">
      <w:pPr>
        <w:spacing w:before="60" w:after="60"/>
        <w:jc w:val="both"/>
        <w:outlineLvl w:val="0"/>
        <w:rPr>
          <w:rFonts w:eastAsiaTheme="minorEastAsia" w:cs="Arial"/>
          <w:b/>
          <w:bCs/>
          <w:sz w:val="27"/>
          <w:szCs w:val="27"/>
        </w:rPr>
      </w:pPr>
      <w:r w:rsidRPr="009A4D14">
        <w:rPr>
          <w:rFonts w:eastAsiaTheme="minorEastAsia" w:cs="Arial"/>
          <w:b/>
          <w:bCs/>
          <w:sz w:val="27"/>
          <w:szCs w:val="27"/>
          <w:u w:val="single"/>
        </w:rPr>
        <w:t>Definition of Terms</w:t>
      </w:r>
      <w:r w:rsidRPr="009A4D14">
        <w:rPr>
          <w:rFonts w:eastAsiaTheme="minorEastAsia" w:cs="Arial"/>
          <w:b/>
          <w:bCs/>
          <w:sz w:val="27"/>
          <w:szCs w:val="27"/>
        </w:rPr>
        <w:t>:</w:t>
      </w:r>
    </w:p>
    <w:p w:rsidR="009A4D14" w:rsidRPr="009A4D14" w:rsidP="009A4D14">
      <w:pPr>
        <w:spacing w:after="0" w:line="240" w:lineRule="auto"/>
        <w:ind w:left="840"/>
        <w:jc w:val="both"/>
        <w:rPr>
          <w:rFonts w:eastAsiaTheme="minorEastAsia"/>
          <w:b/>
          <w:sz w:val="27"/>
          <w:szCs w:val="27"/>
          <w:u w:val="single"/>
        </w:rPr>
      </w:pPr>
    </w:p>
    <w:p w:rsidR="009A4D14" w:rsidRPr="009A4D14" w:rsidP="009A4D14">
      <w:pPr>
        <w:spacing w:after="0" w:line="240" w:lineRule="auto"/>
        <w:jc w:val="both"/>
        <w:rPr>
          <w:rFonts w:eastAsiaTheme="minorEastAsia" w:cs="Arial"/>
        </w:rPr>
      </w:pPr>
      <w:r w:rsidRPr="009A4D14">
        <w:rPr>
          <w:rFonts w:eastAsiaTheme="minorEastAsia" w:cs="Arial"/>
          <w:b/>
          <w:u w:val="single"/>
        </w:rPr>
        <w:t>Non Ring-Fenced</w:t>
      </w:r>
      <w:r w:rsidRPr="009A4D14">
        <w:rPr>
          <w:rFonts w:eastAsiaTheme="minorEastAsia" w:cs="Arial"/>
          <w:b/>
          <w:u w:val="single"/>
        </w:rPr>
        <w:t xml:space="preserve"> DEL Resource Expenditure:</w:t>
      </w:r>
    </w:p>
    <w:p w:rsidR="009A4D14" w:rsidRPr="009A4D14" w:rsidP="009A4D14">
      <w:pPr>
        <w:spacing w:after="0" w:line="240" w:lineRule="auto"/>
        <w:jc w:val="both"/>
        <w:rPr>
          <w:rFonts w:eastAsiaTheme="minorEastAsia" w:cs="Arial"/>
        </w:rPr>
      </w:pPr>
      <w:r w:rsidRPr="009A4D14">
        <w:rPr>
          <w:rFonts w:eastAsiaTheme="minorEastAsia" w:cs="Arial"/>
        </w:rPr>
        <w:t xml:space="preserve">This includes current expenditure which covers, for example, pay, purchase of goods and services, net of receipts, within the resource budget. It excludes items such as depreciation and movement in provisions. </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Ring-Fenced DEL Resource Expenditure:</w:t>
      </w:r>
    </w:p>
    <w:p w:rsidR="009A4D14" w:rsidRPr="009A4D14" w:rsidP="009A4D14">
      <w:pPr>
        <w:spacing w:after="0" w:line="240" w:lineRule="auto"/>
        <w:jc w:val="both"/>
        <w:outlineLvl w:val="0"/>
        <w:rPr>
          <w:rFonts w:eastAsiaTheme="minorEastAsia" w:cs="Arial"/>
        </w:rPr>
      </w:pPr>
      <w:r w:rsidRPr="009A4D14">
        <w:rPr>
          <w:rFonts w:eastAsiaTheme="minorEastAsia" w:cs="Arial"/>
        </w:rPr>
        <w:t>This control covers items such as depreciation and impairments.</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 xml:space="preserve">Administration Cost Regime:  </w:t>
      </w:r>
    </w:p>
    <w:p w:rsidR="009A4D14" w:rsidRPr="009A4D14" w:rsidP="009A4D14">
      <w:pPr>
        <w:spacing w:after="0" w:line="240" w:lineRule="auto"/>
        <w:jc w:val="both"/>
        <w:rPr>
          <w:rFonts w:eastAsiaTheme="minorEastAsia" w:cs="Arial"/>
        </w:rPr>
      </w:pPr>
      <w:r w:rsidRPr="009A4D14">
        <w:rPr>
          <w:rFonts w:eastAsiaTheme="minorEastAsia" w:cs="Arial"/>
        </w:rPr>
        <w:t>The current Administration Cost Regime, within DEL, cover departments’ current expenditure on civilian staff, and other services used in the administration of central government as agreed in our Spending Review Settlement.</w:t>
      </w:r>
    </w:p>
    <w:p w:rsidR="009A4D14" w:rsidRPr="009A4D14" w:rsidP="009A4D14">
      <w:pPr>
        <w:spacing w:after="0" w:line="240" w:lineRule="auto"/>
        <w:ind w:left="600" w:firstLine="6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Total Resource DEL:</w:t>
      </w:r>
    </w:p>
    <w:p w:rsidR="009A4D14" w:rsidRPr="009A4D14" w:rsidP="009A4D14">
      <w:pPr>
        <w:spacing w:after="0" w:line="240" w:lineRule="auto"/>
        <w:jc w:val="both"/>
        <w:outlineLvl w:val="0"/>
        <w:rPr>
          <w:rFonts w:eastAsiaTheme="minorEastAsia" w:cs="Arial"/>
        </w:rPr>
      </w:pPr>
      <w:r w:rsidRPr="009A4D14">
        <w:rPr>
          <w:rFonts w:eastAsiaTheme="minorEastAsia" w:cs="Arial"/>
        </w:rPr>
        <w:t xml:space="preserve">This is the sum of </w:t>
      </w:r>
      <w:r w:rsidRPr="009A4D14">
        <w:rPr>
          <w:rFonts w:eastAsiaTheme="minorEastAsia" w:cs="Arial"/>
        </w:rPr>
        <w:t>non ring-fenced</w:t>
      </w:r>
      <w:r w:rsidRPr="009A4D14">
        <w:rPr>
          <w:rFonts w:eastAsiaTheme="minorEastAsia" w:cs="Arial"/>
        </w:rPr>
        <w:t xml:space="preserve"> expenditure and ring-fenced expenditure.</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 xml:space="preserve">Annually Managed Expenditure (AME):  </w:t>
      </w:r>
    </w:p>
    <w:p w:rsidR="009A4D14" w:rsidRPr="009A4D14" w:rsidP="009A4D14">
      <w:pPr>
        <w:spacing w:after="0" w:line="240" w:lineRule="auto"/>
        <w:jc w:val="both"/>
        <w:rPr>
          <w:rFonts w:eastAsiaTheme="minorEastAsia" w:cs="Arial"/>
        </w:rPr>
      </w:pPr>
      <w:r w:rsidRPr="009A4D14">
        <w:rPr>
          <w:rFonts w:eastAsiaTheme="minorEastAsia" w:cs="Arial"/>
        </w:rPr>
        <w:t>Annually Managed Expenditure (AME) includes Programmes that are demand-led, such as War Pensions, and exceptionally, volatile items that cannot be controlled by the Department. AME also includes Programmes that are so large that the Department could not be expected to absorb the effects of volatility within them, such as cash release of provisions.</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 xml:space="preserve">Total Net Resource:  </w:t>
      </w:r>
    </w:p>
    <w:p w:rsidR="009A4D14" w:rsidRPr="009A4D14" w:rsidP="009A4D14">
      <w:pPr>
        <w:spacing w:after="0" w:line="240" w:lineRule="auto"/>
        <w:ind w:left="360" w:hanging="360"/>
        <w:jc w:val="both"/>
        <w:outlineLvl w:val="0"/>
        <w:rPr>
          <w:rFonts w:eastAsiaTheme="minorEastAsia" w:cs="Arial"/>
        </w:rPr>
      </w:pPr>
      <w:r w:rsidRPr="009A4D14">
        <w:rPr>
          <w:rFonts w:eastAsiaTheme="minorEastAsia" w:cs="Arial"/>
        </w:rPr>
        <w:t xml:space="preserve">This is the sum of Total Resource DEL and AME. </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 xml:space="preserve">Capital Departmental Expenditure Limit (CDEL): </w:t>
      </w:r>
    </w:p>
    <w:p w:rsidR="009A4D14" w:rsidRPr="009A4D14" w:rsidP="009A4D14">
      <w:pPr>
        <w:spacing w:after="0" w:line="240" w:lineRule="auto"/>
        <w:jc w:val="both"/>
        <w:rPr>
          <w:rFonts w:eastAsiaTheme="minorEastAsia" w:cs="Arial"/>
        </w:rPr>
      </w:pPr>
      <w:r w:rsidRPr="009A4D14">
        <w:rPr>
          <w:rFonts w:eastAsiaTheme="minorEastAsia" w:cs="Arial"/>
        </w:rPr>
        <w:t>This is for new investment (SUME and Fiscal), including capital additions, disposals, and the capital repayment of loans.</w:t>
      </w:r>
    </w:p>
    <w:p w:rsidR="009A4D14" w:rsidRPr="009A4D14" w:rsidP="009A4D14">
      <w:pPr>
        <w:spacing w:after="0" w:line="240" w:lineRule="auto"/>
        <w:jc w:val="both"/>
        <w:rPr>
          <w:rFonts w:eastAsiaTheme="minorEastAsia" w:cs="Arial"/>
          <w:b/>
          <w:u w:val="single"/>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 xml:space="preserve">Provision of Defence Capability: </w:t>
      </w:r>
    </w:p>
    <w:p w:rsidR="009A4D14" w:rsidRPr="009A4D14" w:rsidP="009A4D14">
      <w:pPr>
        <w:spacing w:after="0" w:line="240" w:lineRule="auto"/>
        <w:jc w:val="both"/>
        <w:rPr>
          <w:rFonts w:eastAsiaTheme="minorEastAsia" w:cs="Arial"/>
        </w:rPr>
      </w:pPr>
      <w:r w:rsidRPr="009A4D14">
        <w:rPr>
          <w:rFonts w:eastAsiaTheme="minorEastAsia" w:cs="Arial"/>
        </w:rPr>
        <w:t>Provision of Defence Capability provides for expenditure primarily to meet the Ministry of Defence’s operational support and logistics services costs and the costs of providing the equipment capability required by Defence policy.</w:t>
      </w:r>
    </w:p>
    <w:p w:rsidR="009A4D14" w:rsidRPr="009A4D14" w:rsidP="009A4D14">
      <w:pPr>
        <w:spacing w:after="0" w:line="240" w:lineRule="auto"/>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 xml:space="preserve">Operations: </w:t>
      </w:r>
    </w:p>
    <w:p w:rsidR="009A4D14" w:rsidRPr="009A4D14" w:rsidP="009A4D14">
      <w:pPr>
        <w:spacing w:after="0" w:line="240" w:lineRule="auto"/>
        <w:jc w:val="both"/>
        <w:rPr>
          <w:rFonts w:eastAsiaTheme="minorEastAsia" w:cs="Arial"/>
        </w:rPr>
      </w:pPr>
      <w:r w:rsidRPr="009A4D14">
        <w:rPr>
          <w:rFonts w:eastAsiaTheme="minorEastAsia" w:cs="Arial"/>
        </w:rPr>
        <w:t xml:space="preserve">This provides primarily for the additional costs of operations. These are the net additional costs incurred: the costs that the Department would have incurred regardless of the operation taking place, such as wages and salaries, are recorded against provision of Defence Capability. </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 xml:space="preserve">War Pensions Payments: </w:t>
      </w:r>
    </w:p>
    <w:p w:rsidR="009A4D14" w:rsidRPr="009A4D14" w:rsidP="009A4D14">
      <w:pPr>
        <w:spacing w:after="0" w:line="240" w:lineRule="auto"/>
        <w:jc w:val="both"/>
        <w:rPr>
          <w:rFonts w:eastAsiaTheme="minorEastAsia" w:cs="Arial"/>
        </w:rPr>
      </w:pPr>
      <w:r w:rsidRPr="009A4D14">
        <w:rPr>
          <w:rFonts w:eastAsiaTheme="minorEastAsia" w:cs="Arial"/>
        </w:rPr>
        <w:t xml:space="preserve">War Pensions and Allowances, etc. provides primarily for the payments of pensions and allowances for disablement or death arising out of war or service in the Armed Forces after 2 September 1939 and associated non-cash items.   </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Spending Review:</w:t>
      </w:r>
    </w:p>
    <w:p w:rsidR="009A4D14" w:rsidRPr="009A4D14" w:rsidP="009A4D14">
      <w:pPr>
        <w:spacing w:after="0" w:line="240" w:lineRule="auto"/>
        <w:jc w:val="both"/>
        <w:outlineLvl w:val="0"/>
        <w:rPr>
          <w:rFonts w:eastAsiaTheme="minorEastAsia" w:cs="Arial"/>
        </w:rPr>
      </w:pPr>
      <w:r w:rsidRPr="009A4D14">
        <w:rPr>
          <w:rFonts w:eastAsiaTheme="minorEastAsia" w:cs="Arial"/>
        </w:rPr>
        <w:t>Spending Review 2015 (Cm 9162)</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Total DEL:</w:t>
      </w:r>
    </w:p>
    <w:p w:rsidR="009A4D14" w:rsidRPr="009A4D14" w:rsidP="009A4D14">
      <w:pPr>
        <w:spacing w:after="0" w:line="240" w:lineRule="auto"/>
        <w:jc w:val="both"/>
        <w:rPr>
          <w:rFonts w:eastAsiaTheme="minorEastAsia" w:cs="Arial"/>
        </w:rPr>
      </w:pPr>
      <w:r w:rsidRPr="009A4D14">
        <w:rPr>
          <w:rFonts w:eastAsiaTheme="minorEastAsia" w:cs="Arial"/>
        </w:rPr>
        <w:t>This is the sum of Resource DEL and Capital DEL less the costs of depreciation. This is used as depreciation and is included as part of Resource DEL and, since Capital DEL includes capital spending, the inclusion of depreciation would lead to double counting.</w:t>
      </w:r>
    </w:p>
    <w:p w:rsidR="009A4D14" w:rsidRPr="009A4D14" w:rsidP="009A4D14">
      <w:pPr>
        <w:spacing w:after="0" w:line="240" w:lineRule="auto"/>
        <w:jc w:val="both"/>
        <w:rPr>
          <w:rFonts w:eastAsiaTheme="minorEastAsia" w:cs="Arial"/>
          <w:b/>
          <w:u w:val="single"/>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Single Use Military Equipment (SUME):</w:t>
      </w:r>
    </w:p>
    <w:p w:rsidR="009A4D14" w:rsidRPr="009A4D14" w:rsidP="009A4D14">
      <w:pPr>
        <w:spacing w:after="0" w:line="240" w:lineRule="auto"/>
        <w:jc w:val="both"/>
        <w:rPr>
          <w:rFonts w:eastAsiaTheme="minorEastAsia" w:cs="Arial"/>
        </w:rPr>
      </w:pPr>
      <w:r w:rsidRPr="009A4D14">
        <w:rPr>
          <w:rFonts w:eastAsiaTheme="minorEastAsia" w:cs="Arial"/>
        </w:rPr>
        <w:t>National Accounts differentiates between single and dual use military equipment. Spending on single use military equipment is classified as current (resource) expenditure. Single use military assets are those that could not be used by civilian organisations to produce goods and services (i.e. weapons and equipment that supports and delivers such weapons).  This distinction will disappear in the next Spending Review.</w:t>
      </w:r>
    </w:p>
    <w:p w:rsidR="009A4D14" w:rsidRPr="009A4D14" w:rsidP="009A4D14">
      <w:pPr>
        <w:spacing w:after="0" w:line="240" w:lineRule="auto"/>
        <w:ind w:left="600"/>
        <w:jc w:val="both"/>
        <w:rPr>
          <w:rFonts w:eastAsiaTheme="minorEastAsia" w:cs="Arial"/>
        </w:rPr>
      </w:pPr>
    </w:p>
    <w:p w:rsidR="009A4D14" w:rsidRPr="009A4D14" w:rsidP="009A4D14">
      <w:pPr>
        <w:spacing w:after="0" w:line="240" w:lineRule="auto"/>
        <w:jc w:val="both"/>
        <w:rPr>
          <w:rFonts w:eastAsiaTheme="minorEastAsia" w:cs="Arial"/>
          <w:b/>
          <w:u w:val="single"/>
        </w:rPr>
      </w:pPr>
      <w:r w:rsidRPr="009A4D14">
        <w:rPr>
          <w:rFonts w:eastAsiaTheme="minorEastAsia" w:cs="Arial"/>
          <w:b/>
          <w:u w:val="single"/>
        </w:rPr>
        <w:t>Voted and Non-Voted Expenditure:</w:t>
      </w:r>
    </w:p>
    <w:p w:rsidR="009A4D14" w:rsidRPr="009A4D14" w:rsidP="009A4D14">
      <w:pPr>
        <w:spacing w:after="0" w:line="240" w:lineRule="auto"/>
        <w:jc w:val="both"/>
        <w:outlineLvl w:val="0"/>
        <w:rPr>
          <w:rFonts w:eastAsiaTheme="minorEastAsia" w:cs="Arial"/>
        </w:rPr>
      </w:pPr>
      <w:r w:rsidRPr="009A4D14">
        <w:rPr>
          <w:rFonts w:eastAsiaTheme="minorEastAsia" w:cs="Arial"/>
        </w:rPr>
        <w:t xml:space="preserve">The introduction to the Supply Estimate now covers both Voted and Non-Voted items. </w:t>
      </w:r>
    </w:p>
    <w:p w:rsidR="009A4D14" w:rsidRPr="009A4D14" w:rsidP="009A4D14">
      <w:pPr>
        <w:spacing w:after="0" w:line="240" w:lineRule="auto"/>
        <w:ind w:left="360"/>
        <w:jc w:val="right"/>
        <w:outlineLvl w:val="0"/>
        <w:rPr>
          <w:rFonts w:eastAsiaTheme="minorEastAsia" w:cs="Arial"/>
          <w:b/>
          <w:bCs/>
          <w:u w:val="single"/>
        </w:rPr>
      </w:pPr>
      <w:r w:rsidRPr="009A4D14">
        <w:rPr>
          <w:rFonts w:eastAsiaTheme="minorEastAsia" w:cs="Arial"/>
          <w:bCs/>
        </w:rPr>
        <w:br w:type="page"/>
      </w:r>
      <w:r w:rsidRPr="009A4D14">
        <w:rPr>
          <w:rFonts w:eastAsiaTheme="minorEastAsia" w:cs="Arial"/>
          <w:b/>
          <w:bCs/>
          <w:u w:val="single"/>
        </w:rPr>
        <w:t>Annex A.2</w:t>
      </w:r>
    </w:p>
    <w:p w:rsidR="009A4D14" w:rsidRPr="009A4D14" w:rsidP="009A4D14">
      <w:pPr>
        <w:spacing w:after="0" w:line="240" w:lineRule="auto"/>
        <w:jc w:val="both"/>
        <w:outlineLvl w:val="0"/>
        <w:rPr>
          <w:rFonts w:eastAsiaTheme="minorEastAsia" w:cs="Arial"/>
          <w:b/>
          <w:bCs/>
          <w:sz w:val="27"/>
          <w:szCs w:val="27"/>
          <w:u w:val="single"/>
        </w:rPr>
      </w:pPr>
    </w:p>
    <w:p w:rsidR="009A4D14" w:rsidRPr="009A4D14" w:rsidP="009A4D14">
      <w:pPr>
        <w:spacing w:after="0" w:line="240" w:lineRule="auto"/>
        <w:jc w:val="both"/>
        <w:outlineLvl w:val="0"/>
        <w:rPr>
          <w:rFonts w:eastAsiaTheme="minorEastAsia" w:cs="Arial"/>
          <w:b/>
          <w:bCs/>
          <w:sz w:val="27"/>
          <w:szCs w:val="27"/>
          <w:u w:val="single"/>
        </w:rPr>
      </w:pPr>
      <w:r w:rsidRPr="009A4D14">
        <w:rPr>
          <w:rFonts w:eastAsiaTheme="minorEastAsia" w:cs="Arial"/>
          <w:b/>
          <w:bCs/>
          <w:sz w:val="27"/>
          <w:szCs w:val="27"/>
          <w:u w:val="single"/>
        </w:rPr>
        <w:t>List of Abbreviations used in the Estimate</w:t>
      </w:r>
    </w:p>
    <w:p w:rsidR="009A4D14" w:rsidRPr="009A4D14" w:rsidP="009A4D14">
      <w:pPr>
        <w:spacing w:after="0" w:line="240" w:lineRule="auto"/>
        <w:jc w:val="both"/>
        <w:rPr>
          <w:rFonts w:eastAsiaTheme="minorEastAsia" w:cs="Arial"/>
        </w:rPr>
      </w:pPr>
      <w:r w:rsidRPr="009A4D14">
        <w:rPr>
          <w:rFonts w:eastAsiaTheme="minorEastAsia" w:cs="Arial"/>
        </w:rPr>
        <w:t>ABC</w:t>
      </w:r>
      <w:r w:rsidRPr="009A4D14">
        <w:rPr>
          <w:rFonts w:eastAsiaTheme="minorEastAsia" w:cs="Arial"/>
        </w:rPr>
        <w:tab/>
      </w:r>
      <w:r w:rsidRPr="009A4D14">
        <w:rPr>
          <w:rFonts w:eastAsiaTheme="minorEastAsia" w:cs="Arial"/>
        </w:rPr>
        <w:tab/>
        <w:t>Annual Budget Cycle</w:t>
      </w:r>
    </w:p>
    <w:p w:rsidR="009A4D14" w:rsidRPr="009A4D14" w:rsidP="009A4D14">
      <w:pPr>
        <w:spacing w:after="0" w:line="240" w:lineRule="auto"/>
        <w:jc w:val="both"/>
        <w:rPr>
          <w:rFonts w:eastAsiaTheme="minorEastAsia" w:cs="Arial"/>
        </w:rPr>
      </w:pPr>
      <w:r w:rsidRPr="009A4D14">
        <w:rPr>
          <w:rFonts w:eastAsiaTheme="minorEastAsia" w:cs="Arial"/>
        </w:rPr>
        <w:t>ACR</w:t>
      </w:r>
      <w:r w:rsidRPr="009A4D14">
        <w:rPr>
          <w:rFonts w:eastAsiaTheme="minorEastAsia" w:cs="Arial"/>
        </w:rPr>
        <w:tab/>
      </w:r>
      <w:r w:rsidRPr="009A4D14">
        <w:rPr>
          <w:rFonts w:eastAsiaTheme="minorEastAsia" w:cs="Arial"/>
        </w:rPr>
        <w:tab/>
        <w:t>Administration Cost Regime</w:t>
      </w:r>
    </w:p>
    <w:p w:rsidR="009A4D14" w:rsidRPr="009A4D14" w:rsidP="009A4D14">
      <w:pPr>
        <w:spacing w:after="0" w:line="240" w:lineRule="auto"/>
        <w:jc w:val="both"/>
        <w:rPr>
          <w:rFonts w:eastAsiaTheme="minorEastAsia" w:cs="Arial"/>
        </w:rPr>
      </w:pPr>
      <w:r w:rsidRPr="009A4D14">
        <w:rPr>
          <w:rFonts w:eastAsiaTheme="minorEastAsia" w:cs="Arial"/>
        </w:rPr>
        <w:t>ALB</w:t>
      </w:r>
      <w:r w:rsidRPr="009A4D14">
        <w:rPr>
          <w:rFonts w:eastAsiaTheme="minorEastAsia" w:cs="Arial"/>
        </w:rPr>
        <w:tab/>
      </w:r>
      <w:r w:rsidRPr="009A4D14">
        <w:rPr>
          <w:rFonts w:eastAsiaTheme="minorEastAsia" w:cs="Arial"/>
        </w:rPr>
        <w:tab/>
      </w:r>
      <w:r w:rsidRPr="009A4D14">
        <w:rPr>
          <w:rFonts w:eastAsiaTheme="minorEastAsia" w:cs="Arial"/>
        </w:rPr>
        <w:t>Arms Length</w:t>
      </w:r>
      <w:r w:rsidRPr="009A4D14">
        <w:rPr>
          <w:rFonts w:eastAsiaTheme="minorEastAsia" w:cs="Arial"/>
        </w:rPr>
        <w:t xml:space="preserve"> Body</w:t>
      </w:r>
    </w:p>
    <w:p w:rsidR="009A4D14" w:rsidRPr="009A4D14" w:rsidP="009A4D14">
      <w:pPr>
        <w:spacing w:after="0" w:line="240" w:lineRule="auto"/>
        <w:jc w:val="both"/>
        <w:rPr>
          <w:rFonts w:eastAsiaTheme="minorEastAsia" w:cs="Arial"/>
        </w:rPr>
      </w:pPr>
      <w:r w:rsidRPr="009A4D14">
        <w:rPr>
          <w:rFonts w:eastAsiaTheme="minorEastAsia" w:cs="Arial"/>
        </w:rPr>
        <w:t>AME</w:t>
      </w:r>
      <w:r w:rsidRPr="009A4D14">
        <w:rPr>
          <w:rFonts w:eastAsiaTheme="minorEastAsia" w:cs="Arial"/>
        </w:rPr>
        <w:tab/>
      </w:r>
      <w:r w:rsidRPr="009A4D14">
        <w:rPr>
          <w:rFonts w:eastAsiaTheme="minorEastAsia" w:cs="Arial"/>
        </w:rPr>
        <w:tab/>
        <w:t xml:space="preserve">Annually Managed Expenditure </w:t>
      </w:r>
    </w:p>
    <w:p w:rsidR="009A4D14" w:rsidRPr="009A4D14" w:rsidP="009A4D14">
      <w:pPr>
        <w:spacing w:after="0" w:line="240" w:lineRule="auto"/>
        <w:jc w:val="both"/>
        <w:rPr>
          <w:rFonts w:eastAsiaTheme="minorEastAsia" w:cs="Arial"/>
        </w:rPr>
      </w:pPr>
      <w:r w:rsidRPr="009A4D14">
        <w:rPr>
          <w:rFonts w:eastAsiaTheme="minorEastAsia" w:cs="Arial"/>
        </w:rPr>
        <w:t>ANSF</w:t>
      </w:r>
      <w:r w:rsidRPr="009A4D14">
        <w:rPr>
          <w:rFonts w:eastAsiaTheme="minorEastAsia" w:cs="Arial"/>
        </w:rPr>
        <w:tab/>
      </w:r>
      <w:r w:rsidRPr="009A4D14">
        <w:rPr>
          <w:rFonts w:eastAsiaTheme="minorEastAsia" w:cs="Arial"/>
        </w:rPr>
        <w:tab/>
        <w:t>Afghan National Security Force</w:t>
      </w:r>
    </w:p>
    <w:p w:rsidR="009A4D14" w:rsidRPr="009A4D14" w:rsidP="009A4D14">
      <w:pPr>
        <w:spacing w:after="0" w:line="240" w:lineRule="auto"/>
        <w:jc w:val="both"/>
        <w:rPr>
          <w:rFonts w:eastAsiaTheme="minorEastAsia" w:cs="Arial"/>
        </w:rPr>
      </w:pPr>
      <w:r w:rsidRPr="009A4D14">
        <w:rPr>
          <w:rFonts w:eastAsiaTheme="minorEastAsia" w:cs="Arial"/>
        </w:rPr>
        <w:t>BTE</w:t>
      </w:r>
      <w:r w:rsidRPr="009A4D14">
        <w:rPr>
          <w:rFonts w:eastAsiaTheme="minorEastAsia" w:cs="Arial"/>
        </w:rPr>
        <w:tab/>
      </w:r>
      <w:r w:rsidRPr="009A4D14">
        <w:rPr>
          <w:rFonts w:eastAsiaTheme="minorEastAsia" w:cs="Arial"/>
        </w:rPr>
        <w:tab/>
        <w:t>Bespoke Trading Entity</w:t>
      </w:r>
    </w:p>
    <w:p w:rsidR="009A4D14" w:rsidRPr="009A4D14" w:rsidP="009A4D14">
      <w:pPr>
        <w:spacing w:after="0" w:line="240" w:lineRule="auto"/>
        <w:jc w:val="both"/>
        <w:rPr>
          <w:rFonts w:eastAsiaTheme="minorEastAsia" w:cs="Arial"/>
        </w:rPr>
      </w:pPr>
      <w:r w:rsidRPr="009A4D14">
        <w:rPr>
          <w:rFonts w:eastAsiaTheme="minorEastAsia" w:cs="Arial"/>
        </w:rPr>
        <w:t>CDEL</w:t>
      </w:r>
      <w:r w:rsidRPr="009A4D14">
        <w:rPr>
          <w:rFonts w:eastAsiaTheme="minorEastAsia" w:cs="Arial"/>
        </w:rPr>
        <w:tab/>
      </w:r>
      <w:r w:rsidRPr="009A4D14">
        <w:rPr>
          <w:rFonts w:eastAsiaTheme="minorEastAsia" w:cs="Arial"/>
        </w:rPr>
        <w:tab/>
        <w:t>Capital Departmental Expenditure Limit</w:t>
      </w:r>
    </w:p>
    <w:p w:rsidR="009A4D14" w:rsidRPr="009A4D14" w:rsidP="009A4D14">
      <w:pPr>
        <w:spacing w:after="0" w:line="240" w:lineRule="auto"/>
        <w:jc w:val="both"/>
        <w:rPr>
          <w:rFonts w:eastAsiaTheme="minorEastAsia" w:cs="Arial"/>
        </w:rPr>
      </w:pPr>
      <w:r w:rsidRPr="009A4D14">
        <w:rPr>
          <w:rFonts w:eastAsiaTheme="minorEastAsia" w:cs="Arial"/>
        </w:rPr>
        <w:t>CLoS</w:t>
      </w:r>
      <w:r w:rsidRPr="009A4D14">
        <w:rPr>
          <w:rFonts w:eastAsiaTheme="minorEastAsia" w:cs="Arial"/>
        </w:rPr>
        <w:tab/>
      </w:r>
      <w:r w:rsidRPr="009A4D14">
        <w:rPr>
          <w:rFonts w:eastAsiaTheme="minorEastAsia" w:cs="Arial"/>
        </w:rPr>
        <w:tab/>
        <w:t>Clear Line of Sight</w:t>
      </w:r>
    </w:p>
    <w:p w:rsidR="009A4D14" w:rsidRPr="009A4D14" w:rsidP="009A4D14">
      <w:pPr>
        <w:spacing w:after="0" w:line="240" w:lineRule="auto"/>
        <w:jc w:val="both"/>
        <w:rPr>
          <w:rFonts w:eastAsiaTheme="minorEastAsia" w:cs="Arial"/>
        </w:rPr>
      </w:pPr>
      <w:r w:rsidRPr="009A4D14">
        <w:rPr>
          <w:rFonts w:eastAsiaTheme="minorEastAsia" w:cs="Arial"/>
        </w:rPr>
        <w:t>CRFCA</w:t>
      </w:r>
      <w:r w:rsidRPr="009A4D14">
        <w:rPr>
          <w:rFonts w:eastAsiaTheme="minorEastAsia" w:cs="Arial"/>
        </w:rPr>
        <w:tab/>
      </w:r>
      <w:r w:rsidRPr="009A4D14">
        <w:rPr>
          <w:rFonts w:eastAsiaTheme="minorEastAsia" w:cs="Arial"/>
        </w:rPr>
        <w:tab/>
        <w:t>Council for Reserve Forces and Cadets Association</w:t>
      </w:r>
    </w:p>
    <w:p w:rsidR="009A4D14" w:rsidRPr="009A4D14" w:rsidP="009A4D14">
      <w:pPr>
        <w:spacing w:after="0" w:line="240" w:lineRule="auto"/>
        <w:jc w:val="both"/>
        <w:rPr>
          <w:rFonts w:eastAsiaTheme="minorEastAsia" w:cs="Arial"/>
        </w:rPr>
      </w:pPr>
      <w:r w:rsidRPr="009A4D14">
        <w:rPr>
          <w:rFonts w:eastAsiaTheme="minorEastAsia" w:cs="Arial"/>
        </w:rPr>
        <w:t>CSR</w:t>
      </w:r>
      <w:r w:rsidRPr="009A4D14">
        <w:rPr>
          <w:rFonts w:eastAsiaTheme="minorEastAsia" w:cs="Arial"/>
        </w:rPr>
        <w:tab/>
      </w:r>
      <w:r w:rsidRPr="009A4D14">
        <w:rPr>
          <w:rFonts w:eastAsiaTheme="minorEastAsia" w:cs="Arial"/>
        </w:rPr>
        <w:tab/>
        <w:t>Comprehensive Spending Review</w:t>
      </w:r>
    </w:p>
    <w:p w:rsidR="009A4D14" w:rsidRPr="009A4D14" w:rsidP="009A4D14">
      <w:pPr>
        <w:spacing w:after="0" w:line="240" w:lineRule="auto"/>
        <w:jc w:val="both"/>
        <w:rPr>
          <w:rFonts w:eastAsiaTheme="minorEastAsia" w:cs="Arial"/>
        </w:rPr>
      </w:pPr>
      <w:r w:rsidRPr="009A4D14">
        <w:rPr>
          <w:rFonts w:eastAsiaTheme="minorEastAsia" w:cs="Arial"/>
        </w:rPr>
        <w:t>CWGC</w:t>
      </w:r>
      <w:r w:rsidRPr="009A4D14">
        <w:rPr>
          <w:rFonts w:eastAsiaTheme="minorEastAsia" w:cs="Arial"/>
        </w:rPr>
        <w:tab/>
      </w:r>
      <w:r w:rsidRPr="009A4D14">
        <w:rPr>
          <w:rFonts w:eastAsiaTheme="minorEastAsia" w:cs="Arial"/>
        </w:rPr>
        <w:tab/>
        <w:t xml:space="preserve">Commonwealth War Graves Commission </w:t>
      </w:r>
    </w:p>
    <w:p w:rsidR="009A4D14" w:rsidRPr="009A4D14" w:rsidP="009A4D14">
      <w:pPr>
        <w:spacing w:after="0" w:line="240" w:lineRule="auto"/>
        <w:jc w:val="both"/>
        <w:rPr>
          <w:rFonts w:eastAsiaTheme="minorEastAsia" w:cs="Arial"/>
        </w:rPr>
      </w:pPr>
      <w:r w:rsidRPr="009A4D14">
        <w:rPr>
          <w:rFonts w:eastAsiaTheme="minorEastAsia" w:cs="Arial"/>
        </w:rPr>
        <w:t>DCLG</w:t>
      </w:r>
      <w:r w:rsidRPr="009A4D14">
        <w:rPr>
          <w:rFonts w:eastAsiaTheme="minorEastAsia" w:cs="Arial"/>
        </w:rPr>
        <w:tab/>
      </w:r>
      <w:r w:rsidRPr="009A4D14">
        <w:rPr>
          <w:rFonts w:eastAsiaTheme="minorEastAsia" w:cs="Arial"/>
        </w:rPr>
        <w:tab/>
        <w:t>Department for Communities and Local Government</w:t>
      </w:r>
    </w:p>
    <w:p w:rsidR="009A4D14" w:rsidRPr="009A4D14" w:rsidP="009A4D14">
      <w:pPr>
        <w:spacing w:after="0" w:line="240" w:lineRule="auto"/>
        <w:jc w:val="both"/>
        <w:rPr>
          <w:rFonts w:eastAsiaTheme="minorEastAsia" w:cs="Arial"/>
        </w:rPr>
      </w:pPr>
      <w:r w:rsidRPr="009A4D14">
        <w:rPr>
          <w:rFonts w:eastAsiaTheme="minorEastAsia" w:cs="Arial"/>
        </w:rPr>
        <w:t>DOH</w:t>
      </w:r>
      <w:r w:rsidRPr="009A4D14">
        <w:rPr>
          <w:rFonts w:eastAsiaTheme="minorEastAsia" w:cs="Arial"/>
        </w:rPr>
        <w:tab/>
      </w:r>
      <w:r w:rsidRPr="009A4D14">
        <w:rPr>
          <w:rFonts w:eastAsiaTheme="minorEastAsia" w:cs="Arial"/>
        </w:rPr>
        <w:tab/>
        <w:t>Department of Health</w:t>
      </w:r>
    </w:p>
    <w:p w:rsidR="009A4D14" w:rsidRPr="009A4D14" w:rsidP="009A4D14">
      <w:pPr>
        <w:spacing w:after="0" w:line="240" w:lineRule="auto"/>
        <w:jc w:val="both"/>
        <w:rPr>
          <w:rFonts w:eastAsiaTheme="minorEastAsia" w:cs="Arial"/>
        </w:rPr>
      </w:pPr>
      <w:r w:rsidRPr="009A4D14">
        <w:rPr>
          <w:rFonts w:eastAsiaTheme="minorEastAsia" w:cs="Arial"/>
        </w:rPr>
        <w:t>DEL</w:t>
      </w:r>
      <w:r w:rsidRPr="009A4D14">
        <w:rPr>
          <w:rFonts w:eastAsiaTheme="minorEastAsia" w:cs="Arial"/>
        </w:rPr>
        <w:tab/>
      </w:r>
      <w:r w:rsidRPr="009A4D14">
        <w:rPr>
          <w:rFonts w:eastAsiaTheme="minorEastAsia" w:cs="Arial"/>
        </w:rPr>
        <w:tab/>
        <w:t>Departmental Expenditure Limits</w:t>
      </w:r>
    </w:p>
    <w:p w:rsidR="009A4D14" w:rsidRPr="009A4D14" w:rsidP="009A4D14">
      <w:pPr>
        <w:spacing w:after="0" w:line="240" w:lineRule="auto"/>
        <w:jc w:val="both"/>
        <w:rPr>
          <w:rFonts w:eastAsiaTheme="minorEastAsia" w:cs="Arial"/>
        </w:rPr>
      </w:pPr>
      <w:r w:rsidRPr="009A4D14">
        <w:rPr>
          <w:rFonts w:eastAsiaTheme="minorEastAsia" w:cs="Arial"/>
        </w:rPr>
        <w:t>DFID</w:t>
      </w:r>
      <w:r w:rsidRPr="009A4D14">
        <w:rPr>
          <w:rFonts w:eastAsiaTheme="minorEastAsia" w:cs="Arial"/>
        </w:rPr>
        <w:tab/>
      </w:r>
      <w:r w:rsidRPr="009A4D14">
        <w:rPr>
          <w:rFonts w:eastAsiaTheme="minorEastAsia" w:cs="Arial"/>
        </w:rPr>
        <w:tab/>
        <w:t>Department for International Development</w:t>
      </w:r>
    </w:p>
    <w:p w:rsidR="009A4D14" w:rsidRPr="009A4D14" w:rsidP="009A4D14">
      <w:pPr>
        <w:spacing w:after="0" w:line="240" w:lineRule="auto"/>
        <w:jc w:val="both"/>
        <w:rPr>
          <w:rFonts w:eastAsiaTheme="minorEastAsia" w:cs="Arial"/>
        </w:rPr>
      </w:pPr>
      <w:r w:rsidRPr="009A4D14">
        <w:rPr>
          <w:rFonts w:eastAsiaTheme="minorEastAsia" w:cs="Arial"/>
        </w:rPr>
        <w:t>DMAP</w:t>
      </w:r>
      <w:r w:rsidRPr="009A4D14">
        <w:rPr>
          <w:rFonts w:eastAsiaTheme="minorEastAsia" w:cs="Arial"/>
        </w:rPr>
        <w:tab/>
      </w:r>
      <w:r w:rsidRPr="009A4D14">
        <w:rPr>
          <w:rFonts w:eastAsiaTheme="minorEastAsia" w:cs="Arial"/>
        </w:rPr>
        <w:tab/>
        <w:t>Deployed Military Activity Pool</w:t>
      </w:r>
    </w:p>
    <w:p w:rsidR="009A4D14" w:rsidRPr="009A4D14" w:rsidP="009A4D14">
      <w:pPr>
        <w:spacing w:after="0" w:line="240" w:lineRule="auto"/>
        <w:jc w:val="both"/>
        <w:rPr>
          <w:rFonts w:eastAsiaTheme="minorEastAsia" w:cs="Arial"/>
        </w:rPr>
      </w:pPr>
      <w:r w:rsidRPr="009A4D14">
        <w:rPr>
          <w:rFonts w:eastAsiaTheme="minorEastAsia" w:cs="Arial"/>
        </w:rPr>
        <w:t>ERNIC</w:t>
      </w:r>
      <w:r w:rsidRPr="009A4D14">
        <w:rPr>
          <w:rFonts w:eastAsiaTheme="minorEastAsia" w:cs="Arial"/>
        </w:rPr>
        <w:tab/>
      </w:r>
      <w:r w:rsidRPr="009A4D14">
        <w:rPr>
          <w:rFonts w:eastAsiaTheme="minorEastAsia" w:cs="Arial"/>
        </w:rPr>
        <w:tab/>
        <w:t>Employer’s National Insurance Contribution</w:t>
      </w:r>
    </w:p>
    <w:p w:rsidR="009A4D14" w:rsidRPr="009A4D14" w:rsidP="009A4D14">
      <w:pPr>
        <w:spacing w:after="0" w:line="240" w:lineRule="auto"/>
        <w:jc w:val="both"/>
        <w:rPr>
          <w:rFonts w:eastAsiaTheme="minorEastAsia" w:cs="Arial"/>
        </w:rPr>
      </w:pPr>
      <w:r w:rsidRPr="009A4D14">
        <w:rPr>
          <w:rFonts w:eastAsiaTheme="minorEastAsia" w:cs="Arial"/>
        </w:rPr>
        <w:t>GCHQ</w:t>
      </w:r>
      <w:r w:rsidRPr="009A4D14">
        <w:rPr>
          <w:rFonts w:eastAsiaTheme="minorEastAsia" w:cs="Arial"/>
        </w:rPr>
        <w:tab/>
      </w:r>
      <w:r w:rsidRPr="009A4D14">
        <w:rPr>
          <w:rFonts w:eastAsiaTheme="minorEastAsia" w:cs="Arial"/>
        </w:rPr>
        <w:tab/>
        <w:t>Government Communication Headquarters</w:t>
      </w:r>
    </w:p>
    <w:p w:rsidR="009A4D14" w:rsidRPr="009A4D14" w:rsidP="009A4D14">
      <w:pPr>
        <w:spacing w:after="0" w:line="240" w:lineRule="auto"/>
        <w:jc w:val="both"/>
        <w:rPr>
          <w:rFonts w:eastAsiaTheme="minorEastAsia" w:cs="Arial"/>
        </w:rPr>
      </w:pPr>
      <w:r w:rsidRPr="009A4D14">
        <w:rPr>
          <w:rFonts w:eastAsiaTheme="minorEastAsia" w:cs="Arial"/>
        </w:rPr>
        <w:t>HMT</w:t>
      </w:r>
      <w:r w:rsidRPr="009A4D14">
        <w:rPr>
          <w:rFonts w:eastAsiaTheme="minorEastAsia" w:cs="Arial"/>
        </w:rPr>
        <w:tab/>
      </w:r>
      <w:r w:rsidRPr="009A4D14">
        <w:rPr>
          <w:rFonts w:eastAsiaTheme="minorEastAsia" w:cs="Arial"/>
        </w:rPr>
        <w:tab/>
        <w:t>Her Majesty’s Treasury</w:t>
      </w:r>
    </w:p>
    <w:p w:rsidR="009A4D14" w:rsidRPr="009A4D14" w:rsidP="009A4D14">
      <w:pPr>
        <w:spacing w:after="0" w:line="240" w:lineRule="auto"/>
        <w:jc w:val="both"/>
        <w:rPr>
          <w:rFonts w:eastAsiaTheme="minorEastAsia" w:cs="Arial"/>
        </w:rPr>
      </w:pPr>
      <w:r w:rsidRPr="009A4D14">
        <w:rPr>
          <w:rFonts w:eastAsiaTheme="minorEastAsia" w:cs="Arial"/>
        </w:rPr>
        <w:t>LIBOR</w:t>
      </w:r>
      <w:r w:rsidRPr="009A4D14">
        <w:rPr>
          <w:rFonts w:eastAsiaTheme="minorEastAsia" w:cs="Arial"/>
        </w:rPr>
        <w:tab/>
      </w:r>
      <w:r w:rsidRPr="009A4D14">
        <w:rPr>
          <w:rFonts w:eastAsiaTheme="minorEastAsia" w:cs="Arial"/>
        </w:rPr>
        <w:tab/>
        <w:t>London Inter Bank Offered Rate</w:t>
      </w:r>
    </w:p>
    <w:p w:rsidR="009A4D14" w:rsidRPr="009A4D14" w:rsidP="009A4D14">
      <w:pPr>
        <w:spacing w:after="0" w:line="240" w:lineRule="auto"/>
        <w:jc w:val="both"/>
        <w:rPr>
          <w:rFonts w:eastAsiaTheme="minorEastAsia" w:cs="Arial"/>
        </w:rPr>
      </w:pPr>
      <w:r w:rsidRPr="009A4D14">
        <w:rPr>
          <w:rFonts w:eastAsiaTheme="minorEastAsia" w:cs="Arial"/>
        </w:rPr>
        <w:t>ME</w:t>
      </w:r>
      <w:r w:rsidRPr="009A4D14">
        <w:rPr>
          <w:rFonts w:eastAsiaTheme="minorEastAsia" w:cs="Arial"/>
        </w:rPr>
        <w:tab/>
      </w:r>
      <w:r w:rsidRPr="009A4D14">
        <w:rPr>
          <w:rFonts w:eastAsiaTheme="minorEastAsia" w:cs="Arial"/>
        </w:rPr>
        <w:tab/>
        <w:t>Supplementary Estimate</w:t>
      </w:r>
    </w:p>
    <w:p w:rsidR="009A4D14" w:rsidRPr="009A4D14" w:rsidP="009A4D14">
      <w:pPr>
        <w:spacing w:after="0" w:line="240" w:lineRule="auto"/>
        <w:jc w:val="both"/>
        <w:rPr>
          <w:rFonts w:eastAsiaTheme="minorEastAsia" w:cs="Arial"/>
        </w:rPr>
      </w:pPr>
      <w:r w:rsidRPr="009A4D14">
        <w:rPr>
          <w:rFonts w:eastAsiaTheme="minorEastAsia" w:cs="Arial"/>
        </w:rPr>
        <w:t>MOD</w:t>
      </w:r>
      <w:r w:rsidRPr="009A4D14">
        <w:rPr>
          <w:rFonts w:eastAsiaTheme="minorEastAsia" w:cs="Arial"/>
        </w:rPr>
        <w:tab/>
      </w:r>
      <w:r w:rsidRPr="009A4D14">
        <w:rPr>
          <w:rFonts w:eastAsiaTheme="minorEastAsia" w:cs="Arial"/>
        </w:rPr>
        <w:tab/>
        <w:t xml:space="preserve">Ministry of Defence </w:t>
      </w:r>
    </w:p>
    <w:p w:rsidR="009A4D14" w:rsidRPr="009A4D14" w:rsidP="009A4D14">
      <w:pPr>
        <w:spacing w:after="0" w:line="240" w:lineRule="auto"/>
        <w:jc w:val="both"/>
        <w:rPr>
          <w:rFonts w:eastAsiaTheme="minorEastAsia" w:cs="Arial"/>
        </w:rPr>
      </w:pPr>
      <w:r w:rsidRPr="009A4D14">
        <w:rPr>
          <w:rFonts w:eastAsiaTheme="minorEastAsia" w:cs="Arial"/>
        </w:rPr>
        <w:t>MOG</w:t>
      </w:r>
      <w:r w:rsidRPr="009A4D14">
        <w:rPr>
          <w:rFonts w:eastAsiaTheme="minorEastAsia" w:cs="Arial"/>
        </w:rPr>
        <w:tab/>
      </w:r>
      <w:r w:rsidRPr="009A4D14">
        <w:rPr>
          <w:rFonts w:eastAsiaTheme="minorEastAsia" w:cs="Arial"/>
        </w:rPr>
        <w:tab/>
        <w:t>Machinery of Government</w:t>
      </w:r>
    </w:p>
    <w:p w:rsidR="009A4D14" w:rsidRPr="009A4D14" w:rsidP="009A4D14">
      <w:pPr>
        <w:spacing w:after="0" w:line="240" w:lineRule="auto"/>
        <w:jc w:val="both"/>
        <w:rPr>
          <w:rFonts w:eastAsiaTheme="minorEastAsia" w:cs="Arial"/>
        </w:rPr>
      </w:pPr>
      <w:r w:rsidRPr="009A4D14">
        <w:rPr>
          <w:rFonts w:eastAsiaTheme="minorEastAsia" w:cs="Arial"/>
        </w:rPr>
        <w:t>NATO</w:t>
      </w:r>
      <w:r w:rsidRPr="009A4D14">
        <w:rPr>
          <w:rFonts w:eastAsiaTheme="minorEastAsia" w:cs="Arial"/>
        </w:rPr>
        <w:tab/>
      </w:r>
      <w:r w:rsidRPr="009A4D14">
        <w:rPr>
          <w:rFonts w:eastAsiaTheme="minorEastAsia" w:cs="Arial"/>
        </w:rPr>
        <w:tab/>
        <w:t>North Atlantic Treaty Organisation</w:t>
      </w:r>
    </w:p>
    <w:p w:rsidR="009A4D14" w:rsidRPr="009A4D14" w:rsidP="009A4D14">
      <w:pPr>
        <w:spacing w:after="0" w:line="240" w:lineRule="auto"/>
        <w:jc w:val="both"/>
        <w:rPr>
          <w:rFonts w:eastAsiaTheme="minorEastAsia" w:cs="Arial"/>
        </w:rPr>
      </w:pPr>
      <w:r w:rsidRPr="009A4D14">
        <w:rPr>
          <w:rFonts w:eastAsiaTheme="minorEastAsia" w:cs="Arial"/>
        </w:rPr>
        <w:t>NDPB</w:t>
      </w:r>
      <w:r w:rsidRPr="009A4D14">
        <w:rPr>
          <w:rFonts w:eastAsiaTheme="minorEastAsia" w:cs="Arial"/>
        </w:rPr>
        <w:tab/>
      </w:r>
      <w:r w:rsidRPr="009A4D14">
        <w:rPr>
          <w:rFonts w:eastAsiaTheme="minorEastAsia" w:cs="Arial"/>
        </w:rPr>
        <w:tab/>
      </w:r>
      <w:r w:rsidRPr="009A4D14">
        <w:rPr>
          <w:rFonts w:eastAsiaTheme="minorEastAsia" w:cs="Arial"/>
        </w:rPr>
        <w:t>Non Departmental</w:t>
      </w:r>
      <w:r w:rsidRPr="009A4D14">
        <w:rPr>
          <w:rFonts w:eastAsiaTheme="minorEastAsia" w:cs="Arial"/>
        </w:rPr>
        <w:t xml:space="preserve"> Public Body</w:t>
      </w:r>
    </w:p>
    <w:p w:rsidR="009A4D14" w:rsidRPr="009A4D14" w:rsidP="009A4D14">
      <w:pPr>
        <w:spacing w:after="0" w:line="240" w:lineRule="auto"/>
        <w:jc w:val="both"/>
        <w:rPr>
          <w:rFonts w:eastAsiaTheme="minorEastAsia" w:cs="Arial"/>
        </w:rPr>
      </w:pPr>
      <w:r w:rsidRPr="009A4D14">
        <w:rPr>
          <w:rFonts w:eastAsiaTheme="minorEastAsia" w:cs="Arial"/>
        </w:rPr>
        <w:t>OSCAR</w:t>
      </w:r>
      <w:r w:rsidRPr="009A4D14">
        <w:rPr>
          <w:rFonts w:eastAsiaTheme="minorEastAsia" w:cs="Arial"/>
        </w:rPr>
        <w:tab/>
      </w:r>
      <w:r w:rsidRPr="009A4D14">
        <w:rPr>
          <w:rFonts w:eastAsiaTheme="minorEastAsia" w:cs="Arial"/>
        </w:rPr>
        <w:tab/>
        <w:t>Online System for Central Accounting and Reporting</w:t>
      </w:r>
    </w:p>
    <w:p w:rsidR="009A4D14" w:rsidRPr="009A4D14" w:rsidP="009A4D14">
      <w:pPr>
        <w:spacing w:after="0" w:line="240" w:lineRule="auto"/>
        <w:jc w:val="both"/>
        <w:rPr>
          <w:rFonts w:eastAsiaTheme="minorEastAsia" w:cs="Arial"/>
        </w:rPr>
      </w:pPr>
      <w:r w:rsidRPr="009A4D14">
        <w:rPr>
          <w:rFonts w:eastAsiaTheme="minorEastAsia" w:cs="Arial"/>
        </w:rPr>
        <w:t>ONS</w:t>
      </w:r>
      <w:r w:rsidRPr="009A4D14">
        <w:rPr>
          <w:rFonts w:eastAsiaTheme="minorEastAsia" w:cs="Arial"/>
        </w:rPr>
        <w:tab/>
      </w:r>
      <w:r w:rsidRPr="009A4D14">
        <w:rPr>
          <w:rFonts w:eastAsiaTheme="minorEastAsia" w:cs="Arial"/>
        </w:rPr>
        <w:tab/>
        <w:t>Office of National Statistics</w:t>
      </w:r>
    </w:p>
    <w:p w:rsidR="009A4D14" w:rsidRPr="009A4D14" w:rsidP="009A4D14">
      <w:pPr>
        <w:spacing w:after="0" w:line="240" w:lineRule="auto"/>
        <w:jc w:val="both"/>
        <w:rPr>
          <w:rFonts w:eastAsiaTheme="minorEastAsia" w:cs="Arial"/>
        </w:rPr>
      </w:pPr>
      <w:r w:rsidRPr="009A4D14">
        <w:rPr>
          <w:rFonts w:eastAsiaTheme="minorEastAsia" w:cs="Arial"/>
        </w:rPr>
        <w:t>RDEL</w:t>
      </w:r>
      <w:r w:rsidRPr="009A4D14">
        <w:rPr>
          <w:rFonts w:eastAsiaTheme="minorEastAsia" w:cs="Arial"/>
        </w:rPr>
        <w:tab/>
      </w:r>
      <w:r w:rsidRPr="009A4D14">
        <w:rPr>
          <w:rFonts w:eastAsiaTheme="minorEastAsia" w:cs="Arial"/>
        </w:rPr>
        <w:tab/>
        <w:t>Resource Departmental Expenditure Limit</w:t>
      </w:r>
    </w:p>
    <w:p w:rsidR="009A4D14" w:rsidRPr="009A4D14" w:rsidP="009A4D14">
      <w:pPr>
        <w:spacing w:after="0" w:line="240" w:lineRule="auto"/>
        <w:jc w:val="both"/>
        <w:rPr>
          <w:rFonts w:eastAsiaTheme="minorEastAsia" w:cs="Arial"/>
        </w:rPr>
      </w:pPr>
      <w:r w:rsidRPr="009A4D14">
        <w:rPr>
          <w:rFonts w:eastAsiaTheme="minorEastAsia" w:cs="Arial"/>
        </w:rPr>
        <w:t>RHC</w:t>
      </w:r>
      <w:r w:rsidRPr="009A4D14">
        <w:rPr>
          <w:rFonts w:eastAsiaTheme="minorEastAsia" w:cs="Arial"/>
        </w:rPr>
        <w:tab/>
      </w:r>
      <w:r w:rsidRPr="009A4D14">
        <w:rPr>
          <w:rFonts w:eastAsiaTheme="minorEastAsia" w:cs="Arial"/>
        </w:rPr>
        <w:tab/>
        <w:t>Royal Hospital Chelsea</w:t>
      </w:r>
    </w:p>
    <w:p w:rsidR="009A4D14" w:rsidRPr="009A4D14" w:rsidP="009A4D14">
      <w:pPr>
        <w:spacing w:after="0" w:line="240" w:lineRule="auto"/>
        <w:jc w:val="both"/>
        <w:rPr>
          <w:rFonts w:eastAsiaTheme="minorEastAsia" w:cs="Arial"/>
        </w:rPr>
      </w:pPr>
      <w:r w:rsidRPr="009A4D14">
        <w:rPr>
          <w:rFonts w:eastAsiaTheme="minorEastAsia" w:cs="Arial"/>
        </w:rPr>
        <w:t>SCAPE</w:t>
      </w:r>
      <w:r w:rsidRPr="009A4D14">
        <w:rPr>
          <w:rFonts w:eastAsiaTheme="minorEastAsia" w:cs="Arial"/>
        </w:rPr>
        <w:tab/>
      </w:r>
      <w:r w:rsidRPr="009A4D14">
        <w:rPr>
          <w:rFonts w:eastAsiaTheme="minorEastAsia" w:cs="Arial"/>
        </w:rPr>
        <w:tab/>
        <w:t>Superannuation Contribution Adjusted for Past Experience</w:t>
      </w:r>
    </w:p>
    <w:p w:rsidR="009A4D14" w:rsidRPr="009A4D14" w:rsidP="009A4D14">
      <w:pPr>
        <w:spacing w:after="0" w:line="240" w:lineRule="auto"/>
        <w:jc w:val="both"/>
        <w:rPr>
          <w:rFonts w:eastAsiaTheme="minorEastAsia" w:cs="Arial"/>
        </w:rPr>
      </w:pPr>
      <w:r w:rsidRPr="009A4D14">
        <w:rPr>
          <w:rFonts w:eastAsiaTheme="minorEastAsia" w:cs="Arial"/>
        </w:rPr>
        <w:t>SE</w:t>
      </w:r>
      <w:r w:rsidRPr="009A4D14">
        <w:rPr>
          <w:rFonts w:eastAsiaTheme="minorEastAsia" w:cs="Arial"/>
        </w:rPr>
        <w:tab/>
      </w:r>
      <w:r w:rsidRPr="009A4D14">
        <w:rPr>
          <w:rFonts w:eastAsiaTheme="minorEastAsia" w:cs="Arial"/>
        </w:rPr>
        <w:tab/>
        <w:t>Supplementary Estimates</w:t>
      </w:r>
    </w:p>
    <w:p w:rsidR="009A4D14" w:rsidRPr="009A4D14" w:rsidP="009A4D14">
      <w:pPr>
        <w:spacing w:after="0" w:line="240" w:lineRule="auto"/>
        <w:jc w:val="both"/>
        <w:rPr>
          <w:rFonts w:eastAsiaTheme="minorEastAsia" w:cs="Arial"/>
        </w:rPr>
      </w:pPr>
      <w:r w:rsidRPr="009A4D14">
        <w:rPr>
          <w:rFonts w:eastAsiaTheme="minorEastAsia" w:cs="Arial"/>
        </w:rPr>
        <w:t>SIA</w:t>
      </w:r>
      <w:r w:rsidRPr="009A4D14">
        <w:rPr>
          <w:rFonts w:eastAsiaTheme="minorEastAsia" w:cs="Arial"/>
        </w:rPr>
        <w:tab/>
      </w:r>
      <w:r w:rsidRPr="009A4D14">
        <w:rPr>
          <w:rFonts w:eastAsiaTheme="minorEastAsia" w:cs="Arial"/>
        </w:rPr>
        <w:tab/>
        <w:t>Single Intelligence Agency</w:t>
      </w:r>
    </w:p>
    <w:p w:rsidR="009A4D14" w:rsidRPr="009A4D14" w:rsidP="009A4D14">
      <w:pPr>
        <w:spacing w:after="0" w:line="240" w:lineRule="auto"/>
        <w:jc w:val="both"/>
        <w:rPr>
          <w:rFonts w:eastAsiaTheme="minorEastAsia" w:cs="Arial"/>
        </w:rPr>
      </w:pPr>
      <w:r w:rsidRPr="009A4D14">
        <w:rPr>
          <w:rFonts w:eastAsiaTheme="minorEastAsia" w:cs="Arial"/>
        </w:rPr>
        <w:t>SR</w:t>
      </w:r>
      <w:r w:rsidRPr="009A4D14">
        <w:rPr>
          <w:rFonts w:eastAsiaTheme="minorEastAsia" w:cs="Arial"/>
        </w:rPr>
        <w:tab/>
      </w:r>
      <w:r w:rsidRPr="009A4D14">
        <w:rPr>
          <w:rFonts w:eastAsiaTheme="minorEastAsia" w:cs="Arial"/>
        </w:rPr>
        <w:tab/>
        <w:t>Spending Review</w:t>
      </w:r>
    </w:p>
    <w:p w:rsidR="009A4D14" w:rsidRPr="009A4D14" w:rsidP="009A4D14">
      <w:pPr>
        <w:spacing w:after="0" w:line="240" w:lineRule="auto"/>
        <w:jc w:val="both"/>
        <w:rPr>
          <w:rFonts w:eastAsiaTheme="minorEastAsia" w:cs="Arial"/>
        </w:rPr>
      </w:pPr>
      <w:r w:rsidRPr="009A4D14">
        <w:rPr>
          <w:rFonts w:eastAsiaTheme="minorEastAsia" w:cs="Arial"/>
        </w:rPr>
        <w:t>SUME</w:t>
      </w:r>
      <w:r w:rsidRPr="009A4D14">
        <w:rPr>
          <w:rFonts w:eastAsiaTheme="minorEastAsia" w:cs="Arial"/>
        </w:rPr>
        <w:tab/>
      </w:r>
      <w:r w:rsidRPr="009A4D14">
        <w:rPr>
          <w:rFonts w:eastAsiaTheme="minorEastAsia" w:cs="Arial"/>
        </w:rPr>
        <w:tab/>
        <w:t>Single Use Military Equipment</w:t>
      </w:r>
    </w:p>
    <w:p w:rsidR="009A4D14" w:rsidRPr="009A4D14" w:rsidP="009A4D14">
      <w:pPr>
        <w:spacing w:after="0" w:line="240" w:lineRule="auto"/>
        <w:jc w:val="both"/>
        <w:rPr>
          <w:rFonts w:eastAsiaTheme="minorEastAsia" w:cs="Arial"/>
        </w:rPr>
      </w:pPr>
      <w:r w:rsidRPr="009A4D14">
        <w:rPr>
          <w:rFonts w:eastAsiaTheme="minorEastAsia" w:cs="Arial"/>
        </w:rPr>
        <w:t>TLB</w:t>
      </w:r>
      <w:r w:rsidRPr="009A4D14">
        <w:rPr>
          <w:rFonts w:eastAsiaTheme="minorEastAsia" w:cs="Arial"/>
        </w:rPr>
        <w:tab/>
      </w:r>
      <w:r w:rsidRPr="009A4D14">
        <w:rPr>
          <w:rFonts w:eastAsiaTheme="minorEastAsia" w:cs="Arial"/>
        </w:rPr>
        <w:tab/>
        <w:t xml:space="preserve">Top Level Budget </w:t>
      </w:r>
    </w:p>
    <w:p w:rsidR="009A4D14" w:rsidRPr="009A4D14" w:rsidP="009A4D14">
      <w:pPr>
        <w:spacing w:after="0" w:line="240" w:lineRule="auto"/>
        <w:jc w:val="both"/>
        <w:rPr>
          <w:rFonts w:eastAsiaTheme="minorEastAsia" w:cs="Arial"/>
        </w:rPr>
      </w:pPr>
      <w:r w:rsidRPr="009A4D14">
        <w:rPr>
          <w:rFonts w:eastAsiaTheme="minorEastAsia" w:cs="Arial"/>
        </w:rPr>
        <w:t>UK</w:t>
      </w:r>
      <w:r w:rsidRPr="009A4D14">
        <w:rPr>
          <w:rFonts w:eastAsiaTheme="minorEastAsia" w:cs="Arial"/>
        </w:rPr>
        <w:tab/>
      </w:r>
      <w:r w:rsidRPr="009A4D14">
        <w:rPr>
          <w:rFonts w:eastAsiaTheme="minorEastAsia" w:cs="Arial"/>
        </w:rPr>
        <w:tab/>
        <w:t xml:space="preserve">United Kingdom </w:t>
      </w:r>
    </w:p>
    <w:p w:rsidR="009A4D14" w:rsidRPr="009A4D14" w:rsidP="009A4D14">
      <w:pPr>
        <w:spacing w:after="0" w:line="240" w:lineRule="auto"/>
        <w:jc w:val="both"/>
        <w:rPr>
          <w:rFonts w:eastAsiaTheme="minorEastAsia" w:cs="Arial"/>
        </w:rPr>
      </w:pPr>
      <w:r w:rsidRPr="009A4D14">
        <w:rPr>
          <w:rFonts w:eastAsiaTheme="minorEastAsia" w:cs="Arial"/>
        </w:rPr>
        <w:t>UOR</w:t>
      </w:r>
      <w:r w:rsidRPr="009A4D14">
        <w:rPr>
          <w:rFonts w:eastAsiaTheme="minorEastAsia" w:cs="Arial"/>
        </w:rPr>
        <w:tab/>
      </w:r>
      <w:r w:rsidRPr="009A4D14">
        <w:rPr>
          <w:rFonts w:eastAsiaTheme="minorEastAsia" w:cs="Arial"/>
        </w:rPr>
        <w:tab/>
        <w:t>Urgent Operational Requirement</w:t>
      </w:r>
    </w:p>
    <w:p w:rsidR="009A4D14" w:rsidRPr="009A4D14" w:rsidP="009A4D14">
      <w:pPr>
        <w:spacing w:after="0" w:line="240" w:lineRule="auto"/>
        <w:jc w:val="right"/>
        <w:outlineLvl w:val="0"/>
        <w:rPr>
          <w:rFonts w:eastAsiaTheme="minorEastAsia" w:cs="Arial"/>
          <w:b/>
          <w:u w:val="single"/>
        </w:rPr>
      </w:pPr>
      <w:r w:rsidRPr="009A4D14">
        <w:rPr>
          <w:rFonts w:eastAsiaTheme="minorEastAsia" w:cs="Arial"/>
          <w:b/>
          <w:u w:val="single"/>
        </w:rPr>
        <w:br w:type="page"/>
      </w:r>
      <w:r w:rsidRPr="009A4D14">
        <w:rPr>
          <w:rFonts w:eastAsiaTheme="minorEastAsia" w:cs="Arial"/>
          <w:b/>
          <w:u w:val="single"/>
        </w:rPr>
        <w:t>Annex A.3</w:t>
      </w:r>
    </w:p>
    <w:p w:rsidR="009A4D14" w:rsidRPr="009A4D14" w:rsidP="009A4D14">
      <w:pPr>
        <w:spacing w:after="0" w:line="240" w:lineRule="auto"/>
        <w:jc w:val="both"/>
        <w:outlineLvl w:val="0"/>
        <w:rPr>
          <w:rFonts w:eastAsiaTheme="minorEastAsia" w:cs="Arial"/>
          <w:b/>
          <w:sz w:val="27"/>
          <w:szCs w:val="27"/>
          <w:u w:val="single"/>
        </w:rPr>
      </w:pPr>
    </w:p>
    <w:p w:rsidR="009A4D14" w:rsidRPr="009A4D14" w:rsidP="009A4D14">
      <w:pPr>
        <w:spacing w:after="0" w:line="240" w:lineRule="auto"/>
        <w:jc w:val="both"/>
        <w:outlineLvl w:val="0"/>
        <w:rPr>
          <w:rFonts w:eastAsiaTheme="minorEastAsia" w:cs="Arial"/>
          <w:b/>
          <w:sz w:val="27"/>
          <w:szCs w:val="27"/>
          <w:u w:val="single"/>
        </w:rPr>
      </w:pPr>
      <w:r w:rsidRPr="009A4D14">
        <w:rPr>
          <w:rFonts w:eastAsiaTheme="minorEastAsia" w:cs="Arial"/>
          <w:b/>
          <w:sz w:val="27"/>
          <w:szCs w:val="27"/>
          <w:u w:val="single"/>
        </w:rPr>
        <w:t>Current RDEL Commodity Structure</w:t>
      </w:r>
    </w:p>
    <w:p w:rsidR="009A4D14" w:rsidRPr="009A4D14" w:rsidP="009A4D14">
      <w:pPr>
        <w:spacing w:after="0" w:line="240" w:lineRule="auto"/>
        <w:jc w:val="both"/>
        <w:rPr>
          <w:rFonts w:eastAsiaTheme="minorEastAsia" w:cs="Arial"/>
          <w:b/>
          <w:sz w:val="27"/>
          <w:szCs w:val="27"/>
          <w:u w:val="single"/>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7440"/>
      </w:tblGrid>
      <w:tr w:rsidTr="009A4D14">
        <w:tblPrEx>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hRule="exact" w:val="794"/>
          <w:jc w:val="center"/>
        </w:trPr>
        <w:tc>
          <w:tcPr>
            <w:tcW w:w="2880" w:type="dxa"/>
            <w:shd w:val="clear" w:color="auto" w:fill="00CCFF"/>
          </w:tcPr>
          <w:p w:rsidR="009A4D14" w:rsidRPr="009A4D14" w:rsidP="009A4D14">
            <w:pPr>
              <w:spacing w:after="0" w:line="240" w:lineRule="auto"/>
              <w:rPr>
                <w:rFonts w:eastAsia="SimSun" w:cs="Arial"/>
                <w:b/>
              </w:rPr>
            </w:pPr>
            <w:r w:rsidRPr="009A4D14">
              <w:rPr>
                <w:rFonts w:eastAsia="SimSun" w:cs="Arial"/>
                <w:b/>
              </w:rPr>
              <w:t xml:space="preserve">Commodity Block </w:t>
            </w:r>
          </w:p>
        </w:tc>
        <w:tc>
          <w:tcPr>
            <w:tcW w:w="7440" w:type="dxa"/>
            <w:shd w:val="clear" w:color="auto" w:fill="00CCFF"/>
          </w:tcPr>
          <w:p w:rsidR="009A4D14" w:rsidRPr="009A4D14" w:rsidP="009A4D14">
            <w:pPr>
              <w:spacing w:after="0" w:line="240" w:lineRule="auto"/>
              <w:jc w:val="both"/>
              <w:rPr>
                <w:rFonts w:eastAsia="SimSun" w:cs="Arial"/>
                <w:b/>
              </w:rPr>
            </w:pPr>
            <w:r w:rsidRPr="009A4D14">
              <w:rPr>
                <w:rFonts w:eastAsia="SimSun" w:cs="Arial"/>
                <w:b/>
              </w:rPr>
              <w:t>Major Cost Categories</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Service Personnel Costs</w:t>
            </w:r>
          </w:p>
        </w:tc>
        <w:tc>
          <w:tcPr>
            <w:tcW w:w="7440" w:type="dxa"/>
          </w:tcPr>
          <w:p w:rsidR="009A4D14" w:rsidRPr="009A4D14" w:rsidP="009A4D14">
            <w:pPr>
              <w:spacing w:after="0" w:line="240" w:lineRule="auto"/>
              <w:jc w:val="both"/>
              <w:rPr>
                <w:rFonts w:eastAsia="SimSun" w:cs="Arial"/>
              </w:rPr>
            </w:pPr>
            <w:r w:rsidRPr="009A4D14">
              <w:rPr>
                <w:rFonts w:eastAsia="SimSun" w:cs="Arial"/>
              </w:rPr>
              <w:t>Military and other ranks pay and other allowances; SCAPE; Employer’s National Insurance Contributions (ERNIC)</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Civilian Personnel Costs</w:t>
            </w:r>
          </w:p>
        </w:tc>
        <w:tc>
          <w:tcPr>
            <w:tcW w:w="7440" w:type="dxa"/>
          </w:tcPr>
          <w:p w:rsidR="009A4D14" w:rsidRPr="009A4D14" w:rsidP="009A4D14">
            <w:pPr>
              <w:spacing w:after="0" w:line="240" w:lineRule="auto"/>
              <w:jc w:val="both"/>
              <w:rPr>
                <w:rFonts w:eastAsia="SimSun" w:cs="Arial"/>
              </w:rPr>
            </w:pPr>
            <w:r w:rsidRPr="009A4D14">
              <w:rPr>
                <w:rFonts w:eastAsia="SimSun" w:cs="Arial"/>
              </w:rPr>
              <w:t>Civilian pay and other allowances; pension contributions; Employer’s National Insurance Contributions (ERNIC)</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Infrastructure Costs</w:t>
            </w:r>
          </w:p>
        </w:tc>
        <w:tc>
          <w:tcPr>
            <w:tcW w:w="7440" w:type="dxa"/>
          </w:tcPr>
          <w:p w:rsidR="009A4D14" w:rsidRPr="009A4D14" w:rsidP="009A4D14">
            <w:pPr>
              <w:spacing w:after="0" w:line="240" w:lineRule="auto"/>
              <w:jc w:val="both"/>
              <w:rPr>
                <w:rFonts w:eastAsia="SimSun" w:cs="Arial"/>
              </w:rPr>
            </w:pPr>
            <w:r w:rsidRPr="009A4D14">
              <w:rPr>
                <w:rFonts w:eastAsia="SimSun" w:cs="Arial"/>
              </w:rPr>
              <w:t>Property management; service charges; IT &amp; communications costs; utilities costs.</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Inventory Consumption</w:t>
            </w:r>
          </w:p>
        </w:tc>
        <w:tc>
          <w:tcPr>
            <w:tcW w:w="7440" w:type="dxa"/>
          </w:tcPr>
          <w:p w:rsidR="009A4D14" w:rsidRPr="009A4D14" w:rsidP="009A4D14">
            <w:pPr>
              <w:spacing w:after="0" w:line="240" w:lineRule="auto"/>
              <w:jc w:val="both"/>
              <w:rPr>
                <w:rFonts w:eastAsia="SimSun" w:cs="Arial"/>
              </w:rPr>
            </w:pPr>
            <w:r w:rsidRPr="009A4D14">
              <w:rPr>
                <w:rFonts w:eastAsia="SimSun" w:cs="Arial"/>
              </w:rPr>
              <w:t>Munitions; stores; fuel (marine &amp; aviation); clothing; other materials consumed e.g. stationary, sundries, general stores etc.</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Equipment Support Costs</w:t>
            </w:r>
          </w:p>
        </w:tc>
        <w:tc>
          <w:tcPr>
            <w:tcW w:w="7440" w:type="dxa"/>
          </w:tcPr>
          <w:p w:rsidR="009A4D14" w:rsidRPr="009A4D14" w:rsidP="009A4D14">
            <w:pPr>
              <w:spacing w:after="0" w:line="240" w:lineRule="auto"/>
              <w:jc w:val="both"/>
              <w:rPr>
                <w:rFonts w:eastAsia="SimSun" w:cs="Arial"/>
              </w:rPr>
            </w:pPr>
            <w:r w:rsidRPr="009A4D14">
              <w:rPr>
                <w:rFonts w:eastAsia="SimSun" w:cs="Arial"/>
              </w:rPr>
              <w:t>Equipment support costs, including leases &amp; hire charges for plant, machinery and transport.</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Other Costs &amp; Services</w:t>
            </w:r>
          </w:p>
        </w:tc>
        <w:tc>
          <w:tcPr>
            <w:tcW w:w="7440" w:type="dxa"/>
          </w:tcPr>
          <w:p w:rsidR="009A4D14" w:rsidRPr="009A4D14" w:rsidP="009A4D14">
            <w:pPr>
              <w:spacing w:after="0" w:line="240" w:lineRule="auto"/>
              <w:jc w:val="both"/>
              <w:rPr>
                <w:rFonts w:eastAsia="SimSun" w:cs="Arial"/>
              </w:rPr>
            </w:pPr>
            <w:r w:rsidRPr="009A4D14">
              <w:rPr>
                <w:rFonts w:eastAsia="SimSun" w:cs="Arial"/>
              </w:rPr>
              <w:t>Travel &amp; subsistence; professional services &amp; fees; training.</w:t>
            </w:r>
          </w:p>
        </w:tc>
      </w:tr>
      <w:tr w:rsidTr="009A4D14">
        <w:tblPrEx>
          <w:tblW w:w="10320" w:type="dxa"/>
          <w:jc w:val="center"/>
          <w:tblLayout w:type="fixed"/>
          <w:tblLook w:val="01E0"/>
        </w:tblPrEx>
        <w:trPr>
          <w:trHeight w:hRule="exact" w:val="1509"/>
          <w:jc w:val="center"/>
        </w:trPr>
        <w:tc>
          <w:tcPr>
            <w:tcW w:w="2880" w:type="dxa"/>
          </w:tcPr>
          <w:p w:rsidR="009A4D14" w:rsidRPr="009A4D14" w:rsidP="009A4D14">
            <w:pPr>
              <w:spacing w:after="0" w:line="240" w:lineRule="auto"/>
              <w:rPr>
                <w:rFonts w:eastAsia="SimSun" w:cs="Arial"/>
                <w:b/>
              </w:rPr>
            </w:pPr>
            <w:r w:rsidRPr="009A4D14">
              <w:rPr>
                <w:rFonts w:eastAsia="SimSun" w:cs="Arial"/>
                <w:b/>
              </w:rPr>
              <w:t>Research and Development</w:t>
            </w:r>
          </w:p>
        </w:tc>
        <w:tc>
          <w:tcPr>
            <w:tcW w:w="7440" w:type="dxa"/>
          </w:tcPr>
          <w:p w:rsidR="009A4D14" w:rsidRPr="009A4D14" w:rsidP="009A4D14">
            <w:pPr>
              <w:spacing w:after="0" w:line="240" w:lineRule="auto"/>
              <w:jc w:val="both"/>
              <w:rPr>
                <w:rFonts w:eastAsia="SimSun" w:cs="Arial"/>
              </w:rPr>
            </w:pPr>
            <w:r w:rsidRPr="009A4D14">
              <w:rPr>
                <w:rFonts w:eastAsia="SimSun" w:cs="Arial"/>
              </w:rPr>
              <w:t>Research and Development expenditure is incurred Supplementary for the future benefit of the Department. Such expenditure is primarily incurred on the development of new single use military equipment (SUME) and on the improvement of the effectiveness and capability of existing single use military equipment.</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Receipts and Other Income</w:t>
            </w:r>
          </w:p>
        </w:tc>
        <w:tc>
          <w:tcPr>
            <w:tcW w:w="7440" w:type="dxa"/>
          </w:tcPr>
          <w:p w:rsidR="009A4D14" w:rsidRPr="009A4D14" w:rsidP="009A4D14">
            <w:pPr>
              <w:spacing w:after="0" w:line="240" w:lineRule="auto"/>
              <w:jc w:val="both"/>
              <w:rPr>
                <w:rFonts w:eastAsia="SimSun" w:cs="Arial"/>
              </w:rPr>
            </w:pPr>
            <w:r w:rsidRPr="009A4D14">
              <w:rPr>
                <w:rFonts w:eastAsia="SimSun" w:cs="Arial"/>
              </w:rPr>
              <w:t>Receipts from various sources; costs recoveries; dividends; interest.</w:t>
            </w:r>
          </w:p>
        </w:tc>
      </w:tr>
      <w:tr w:rsidTr="009A4D14">
        <w:tblPrEx>
          <w:tblW w:w="10320" w:type="dxa"/>
          <w:jc w:val="center"/>
          <w:tblLayout w:type="fixed"/>
          <w:tblLook w:val="01E0"/>
        </w:tblPrEx>
        <w:trPr>
          <w:trHeight w:hRule="exact" w:val="794"/>
          <w:jc w:val="center"/>
        </w:trPr>
        <w:tc>
          <w:tcPr>
            <w:tcW w:w="2880" w:type="dxa"/>
          </w:tcPr>
          <w:p w:rsidR="009A4D14" w:rsidRPr="009A4D14" w:rsidP="009A4D14">
            <w:pPr>
              <w:spacing w:after="0" w:line="240" w:lineRule="auto"/>
              <w:rPr>
                <w:rFonts w:eastAsia="SimSun" w:cs="Arial"/>
                <w:b/>
              </w:rPr>
            </w:pPr>
            <w:r w:rsidRPr="009A4D14">
              <w:rPr>
                <w:rFonts w:eastAsia="SimSun" w:cs="Arial"/>
                <w:b/>
              </w:rPr>
              <w:t>Cash Release of Provisions</w:t>
            </w:r>
          </w:p>
        </w:tc>
        <w:tc>
          <w:tcPr>
            <w:tcW w:w="7440" w:type="dxa"/>
          </w:tcPr>
          <w:p w:rsidR="009A4D14" w:rsidRPr="009A4D14" w:rsidP="009A4D14">
            <w:pPr>
              <w:spacing w:after="0" w:line="240" w:lineRule="auto"/>
              <w:jc w:val="both"/>
              <w:rPr>
                <w:rFonts w:eastAsia="SimSun" w:cs="Arial"/>
              </w:rPr>
            </w:pPr>
            <w:r w:rsidRPr="009A4D14">
              <w:rPr>
                <w:rFonts w:eastAsia="SimSun" w:cs="Arial"/>
              </w:rPr>
              <w:t>Nuclear and non-nuclear provisions e.g. staff redundancies, legal costs, environmental, etc.</w:t>
            </w:r>
          </w:p>
        </w:tc>
      </w:tr>
      <w:tr w:rsidTr="009A4D14">
        <w:tblPrEx>
          <w:tblW w:w="10320" w:type="dxa"/>
          <w:jc w:val="center"/>
          <w:tblLayout w:type="fixed"/>
          <w:tblLook w:val="01E0"/>
        </w:tblPrEx>
        <w:trPr>
          <w:trHeight w:hRule="exact" w:val="917"/>
          <w:jc w:val="center"/>
        </w:trPr>
        <w:tc>
          <w:tcPr>
            <w:tcW w:w="2880" w:type="dxa"/>
          </w:tcPr>
          <w:p w:rsidR="009A4D14" w:rsidRPr="009A4D14" w:rsidP="009A4D14">
            <w:pPr>
              <w:spacing w:after="0" w:line="240" w:lineRule="auto"/>
              <w:rPr>
                <w:rFonts w:eastAsia="SimSun" w:cs="Arial"/>
                <w:b/>
              </w:rPr>
            </w:pPr>
            <w:r w:rsidRPr="009A4D14">
              <w:rPr>
                <w:rFonts w:eastAsia="SimSun" w:cs="Arial"/>
                <w:b/>
              </w:rPr>
              <w:t>Arm’s Length Bodies</w:t>
            </w:r>
          </w:p>
        </w:tc>
        <w:tc>
          <w:tcPr>
            <w:tcW w:w="7440" w:type="dxa"/>
          </w:tcPr>
          <w:p w:rsidR="009A4D14" w:rsidRPr="009A4D14" w:rsidP="009A4D14">
            <w:pPr>
              <w:spacing w:after="0" w:line="240" w:lineRule="auto"/>
              <w:jc w:val="both"/>
              <w:rPr>
                <w:rFonts w:eastAsia="SimSun" w:cs="Arial"/>
              </w:rPr>
            </w:pPr>
            <w:r w:rsidRPr="009A4D14">
              <w:rPr>
                <w:rFonts w:eastAsia="SimSun" w:cs="Arial"/>
              </w:rPr>
              <w:t>CRFCA; Royal Hospital Chelsea; National Army Museum; RAF Museum; National Museum of the Royal Navy; Commonwealth War Graves Commission. Single Source Regulation Office</w:t>
            </w:r>
          </w:p>
        </w:tc>
      </w:tr>
      <w:tr w:rsidTr="009A4D14">
        <w:tblPrEx>
          <w:tblW w:w="10320" w:type="dxa"/>
          <w:jc w:val="center"/>
          <w:tblLayout w:type="fixed"/>
          <w:tblLook w:val="01E0"/>
        </w:tblPrEx>
        <w:trPr>
          <w:trHeight w:hRule="exact" w:val="1018"/>
          <w:jc w:val="center"/>
        </w:trPr>
        <w:tc>
          <w:tcPr>
            <w:tcW w:w="2880" w:type="dxa"/>
          </w:tcPr>
          <w:p w:rsidR="009A4D14" w:rsidRPr="009A4D14" w:rsidP="009A4D14">
            <w:pPr>
              <w:spacing w:after="0" w:line="240" w:lineRule="auto"/>
              <w:rPr>
                <w:rFonts w:eastAsia="SimSun" w:cs="Arial"/>
                <w:b/>
              </w:rPr>
            </w:pPr>
            <w:r w:rsidRPr="009A4D14">
              <w:rPr>
                <w:rFonts w:eastAsia="SimSun" w:cs="Arial"/>
                <w:b/>
              </w:rPr>
              <w:t xml:space="preserve">Ring-Fenced Non-Cash: Depreciation/ Impairments </w:t>
            </w:r>
          </w:p>
        </w:tc>
        <w:tc>
          <w:tcPr>
            <w:tcW w:w="7440" w:type="dxa"/>
          </w:tcPr>
          <w:p w:rsidR="009A4D14" w:rsidRPr="009A4D14" w:rsidP="009A4D14">
            <w:pPr>
              <w:spacing w:after="0" w:line="240" w:lineRule="auto"/>
              <w:jc w:val="both"/>
              <w:rPr>
                <w:rFonts w:eastAsia="SimSun" w:cs="Arial"/>
              </w:rPr>
            </w:pPr>
            <w:r w:rsidRPr="009A4D14">
              <w:rPr>
                <w:rFonts w:eastAsia="SimSun" w:cs="Arial"/>
              </w:rPr>
              <w:t>Depreciation and impairments on Non-current Assets (Property, SUME, dual purpose).</w:t>
            </w:r>
          </w:p>
        </w:tc>
      </w:tr>
    </w:tbl>
    <w:p w:rsidR="009A4D14" w:rsidRPr="009A4D14" w:rsidP="009A4D14">
      <w:pPr>
        <w:spacing w:after="0" w:line="240" w:lineRule="auto"/>
        <w:rPr>
          <w:rFonts w:eastAsiaTheme="minorEastAsia"/>
          <w:b/>
          <w:color w:val="333333"/>
          <w:sz w:val="29"/>
        </w:rPr>
      </w:pPr>
    </w:p>
    <w:p w:rsidR="009A4D14">
      <w:bookmarkStart w:id="1" w:name="_GoBack"/>
      <w:bookmarkEnd w:id="1"/>
    </w:p>
    <w:sectPr w:rsidSect="009A4D14">
      <w:headerReference w:type="default" r:id="rId10"/>
      <w:footerReference w:type="default"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mnst777 Lt B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9358948"/>
      <w:docPartObj>
        <w:docPartGallery w:val="Page Numbers (Bottom of Page)"/>
        <w:docPartUnique/>
      </w:docPartObj>
    </w:sdtPr>
    <w:sdtEndPr>
      <w:rPr>
        <w:noProof/>
      </w:rPr>
    </w:sdtEndPr>
    <w:sdtContent>
      <w:p w:rsidR="009A4D14">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rsidR="009A4D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F42BF" w:rsidP="009A4D14">
      <w:pPr>
        <w:spacing w:after="0" w:line="240" w:lineRule="auto"/>
      </w:pPr>
      <w:r>
        <w:separator/>
      </w:r>
    </w:p>
  </w:footnote>
  <w:footnote w:type="continuationSeparator" w:id="1">
    <w:p w:rsidR="00FF42BF" w:rsidP="009A4D14">
      <w:pPr>
        <w:spacing w:after="0" w:line="240" w:lineRule="auto"/>
      </w:pPr>
      <w:r>
        <w:continuationSeparator/>
      </w:r>
    </w:p>
  </w:footnote>
  <w:footnote w:id="2">
    <w:p w:rsidR="009A4D14" w:rsidP="009A4D14">
      <w:pPr>
        <w:pStyle w:val="FootnoteText"/>
      </w:pPr>
      <w:r>
        <w:rPr>
          <w:rStyle w:val="FootnoteReference"/>
        </w:rPr>
        <w:footnoteRef/>
      </w:r>
      <w:r>
        <w:t xml:space="preserve"> </w:t>
      </w:r>
      <w:r w:rsidRPr="00694539">
        <w:rPr>
          <w:sz w:val="16"/>
          <w:szCs w:val="16"/>
        </w:rPr>
        <w:t>https://www.gov.uk/government/publications/spending-review-2020-documents/spending-review-2020#departmental-settlements</w:t>
      </w:r>
      <w:r>
        <w:rPr>
          <w:sz w:val="16"/>
          <w:szCs w:val="16"/>
        </w:rPr>
        <w:t xml:space="preserve"> </w:t>
      </w:r>
      <w:r>
        <w:fldChar w:fldCharType="begin"/>
      </w:r>
      <w:r>
        <w:instrText xml:space="preserve"> HYPERLINK "https://www.gov.uk/government/publications/spending-review-2020-documents/spending-review-2020" </w:instrText>
      </w:r>
      <w:r>
        <w:fldChar w:fldCharType="separate"/>
      </w:r>
      <w:r w:rsidRPr="00B43BF6">
        <w:rPr>
          <w:rStyle w:val="Hyperlink"/>
          <w:rFonts w:eastAsiaTheme="minorEastAsia"/>
          <w:sz w:val="16"/>
          <w:szCs w:val="16"/>
        </w:rPr>
        <w:t>Spending Review 2020 - GOV.UK</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4D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67B86"/>
    <w:multiLevelType w:val="hybridMultilevel"/>
    <w:tmpl w:val="2D6AC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962510"/>
    <w:multiLevelType w:val="hybridMultilevel"/>
    <w:tmpl w:val="0E089D0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A934828"/>
    <w:multiLevelType w:val="multilevel"/>
    <w:tmpl w:val="D31674A6"/>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136946BB"/>
    <w:multiLevelType w:val="multilevel"/>
    <w:tmpl w:val="4D20279A"/>
    <w:lvl w:ilvl="0">
      <w:start w:val="2"/>
      <w:numFmt w:val="decimal"/>
      <w:lvlText w:val="%1"/>
      <w:lvlJc w:val="left"/>
      <w:pPr>
        <w:ind w:left="720" w:hanging="720"/>
      </w:pPr>
    </w:lvl>
    <w:lvl w:ilvl="1">
      <w:start w:val="1"/>
      <w:numFmt w:val="decimal"/>
      <w:lvlText w:val="%1.%2"/>
      <w:lvlJc w:val="left"/>
      <w:pPr>
        <w:ind w:left="4406"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15DA7CC1"/>
    <w:multiLevelType w:val="hybridMultilevel"/>
    <w:tmpl w:val="96ACE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2A06C0"/>
    <w:multiLevelType w:val="hybridMultilevel"/>
    <w:tmpl w:val="63841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821935"/>
    <w:multiLevelType w:val="hybridMultilevel"/>
    <w:tmpl w:val="93A22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0B11C3"/>
    <w:multiLevelType w:val="hybridMultilevel"/>
    <w:tmpl w:val="2C1A2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D52781"/>
    <w:multiLevelType w:val="hybridMultilevel"/>
    <w:tmpl w:val="4FA24BE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9F56B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C64226C"/>
    <w:multiLevelType w:val="hybridMultilevel"/>
    <w:tmpl w:val="6CA42E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AE02C9"/>
    <w:multiLevelType w:val="hybridMultilevel"/>
    <w:tmpl w:val="FB9C4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E3741D"/>
    <w:multiLevelType w:val="hybridMultilevel"/>
    <w:tmpl w:val="83909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79008A"/>
    <w:multiLevelType w:val="hybridMultilevel"/>
    <w:tmpl w:val="B76EAA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5A590F"/>
    <w:multiLevelType w:val="multilevel"/>
    <w:tmpl w:val="AD4E1386"/>
    <w:lvl w:ilvl="0">
      <w:start w:val="2"/>
      <w:numFmt w:val="decimal"/>
      <w:lvlText w:val="%1"/>
      <w:lvlJc w:val="left"/>
      <w:pPr>
        <w:ind w:left="360" w:hanging="360"/>
      </w:pPr>
    </w:lvl>
    <w:lvl w:ilvl="1">
      <w:start w:val="1"/>
      <w:numFmt w:val="decimal"/>
      <w:lvlText w:val="%1.%2"/>
      <w:lvlJc w:val="left"/>
      <w:pPr>
        <w:ind w:left="2628"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nsid w:val="3D1A49BE"/>
    <w:multiLevelType w:val="hybridMultilevel"/>
    <w:tmpl w:val="A334A9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04D09DF"/>
    <w:multiLevelType w:val="multilevel"/>
    <w:tmpl w:val="CE343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3A77F4"/>
    <w:multiLevelType w:val="hybridMultilevel"/>
    <w:tmpl w:val="5D0E3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58066A"/>
    <w:multiLevelType w:val="hybridMultilevel"/>
    <w:tmpl w:val="8B083B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5D54D70"/>
    <w:multiLevelType w:val="hybridMultilevel"/>
    <w:tmpl w:val="D77E89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7A72137"/>
    <w:multiLevelType w:val="hybridMultilevel"/>
    <w:tmpl w:val="FC6A23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D644457"/>
    <w:multiLevelType w:val="hybridMultilevel"/>
    <w:tmpl w:val="4F2A80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EF01AC1"/>
    <w:multiLevelType w:val="hybridMultilevel"/>
    <w:tmpl w:val="1A465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1712E3B"/>
    <w:multiLevelType w:val="hybridMultilevel"/>
    <w:tmpl w:val="B15EED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4">
    <w:nsid w:val="53EF36CF"/>
    <w:multiLevelType w:val="hybridMultilevel"/>
    <w:tmpl w:val="E1B461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3F35849"/>
    <w:multiLevelType w:val="hybridMultilevel"/>
    <w:tmpl w:val="6F466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88768CF"/>
    <w:multiLevelType w:val="hybridMultilevel"/>
    <w:tmpl w:val="41466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A801AFE"/>
    <w:multiLevelType w:val="hybridMultilevel"/>
    <w:tmpl w:val="5CEC3D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BAC2E3A"/>
    <w:multiLevelType w:val="hybridMultilevel"/>
    <w:tmpl w:val="D0BAE4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5831FD7"/>
    <w:multiLevelType w:val="hybridMultilevel"/>
    <w:tmpl w:val="5BAEA7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D54342"/>
    <w:multiLevelType w:val="hybridMultilevel"/>
    <w:tmpl w:val="DC80B3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79B66A1"/>
    <w:multiLevelType w:val="hybridMultilevel"/>
    <w:tmpl w:val="DC08A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8067349"/>
    <w:multiLevelType w:val="hybridMultilevel"/>
    <w:tmpl w:val="101089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8281B9E"/>
    <w:multiLevelType w:val="hybridMultilevel"/>
    <w:tmpl w:val="726E47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E9A5474"/>
    <w:multiLevelType w:val="hybridMultilevel"/>
    <w:tmpl w:val="6FF208F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6F73563F"/>
    <w:multiLevelType w:val="hybridMultilevel"/>
    <w:tmpl w:val="D28CCA6C"/>
    <w:lvl w:ilvl="0">
      <w:start w:val="1"/>
      <w:numFmt w:val="bullet"/>
      <w:lvlText w:val=""/>
      <w:lvlJc w:val="left"/>
      <w:pPr>
        <w:ind w:left="87" w:hanging="360"/>
      </w:pPr>
      <w:rPr>
        <w:rFonts w:ascii="Symbol" w:hAnsi="Symbol" w:hint="default"/>
      </w:rPr>
    </w:lvl>
    <w:lvl w:ilvl="1" w:tentative="1">
      <w:start w:val="1"/>
      <w:numFmt w:val="bullet"/>
      <w:lvlText w:val="o"/>
      <w:lvlJc w:val="left"/>
      <w:pPr>
        <w:ind w:left="807" w:hanging="360"/>
      </w:pPr>
      <w:rPr>
        <w:rFonts w:ascii="Courier New" w:hAnsi="Courier New" w:cs="Courier New" w:hint="default"/>
      </w:rPr>
    </w:lvl>
    <w:lvl w:ilvl="2" w:tentative="1">
      <w:start w:val="1"/>
      <w:numFmt w:val="bullet"/>
      <w:lvlText w:val=""/>
      <w:lvlJc w:val="left"/>
      <w:pPr>
        <w:ind w:left="1527" w:hanging="360"/>
      </w:pPr>
      <w:rPr>
        <w:rFonts w:ascii="Wingdings" w:hAnsi="Wingdings" w:hint="default"/>
      </w:rPr>
    </w:lvl>
    <w:lvl w:ilvl="3" w:tentative="1">
      <w:start w:val="1"/>
      <w:numFmt w:val="bullet"/>
      <w:lvlText w:val=""/>
      <w:lvlJc w:val="left"/>
      <w:pPr>
        <w:ind w:left="2247" w:hanging="360"/>
      </w:pPr>
      <w:rPr>
        <w:rFonts w:ascii="Symbol" w:hAnsi="Symbol" w:hint="default"/>
      </w:rPr>
    </w:lvl>
    <w:lvl w:ilvl="4" w:tentative="1">
      <w:start w:val="1"/>
      <w:numFmt w:val="bullet"/>
      <w:lvlText w:val="o"/>
      <w:lvlJc w:val="left"/>
      <w:pPr>
        <w:ind w:left="2967" w:hanging="360"/>
      </w:pPr>
      <w:rPr>
        <w:rFonts w:ascii="Courier New" w:hAnsi="Courier New" w:cs="Courier New" w:hint="default"/>
      </w:rPr>
    </w:lvl>
    <w:lvl w:ilvl="5" w:tentative="1">
      <w:start w:val="1"/>
      <w:numFmt w:val="bullet"/>
      <w:lvlText w:val=""/>
      <w:lvlJc w:val="left"/>
      <w:pPr>
        <w:ind w:left="3687" w:hanging="360"/>
      </w:pPr>
      <w:rPr>
        <w:rFonts w:ascii="Wingdings" w:hAnsi="Wingdings" w:hint="default"/>
      </w:rPr>
    </w:lvl>
    <w:lvl w:ilvl="6" w:tentative="1">
      <w:start w:val="1"/>
      <w:numFmt w:val="bullet"/>
      <w:lvlText w:val=""/>
      <w:lvlJc w:val="left"/>
      <w:pPr>
        <w:ind w:left="4407" w:hanging="360"/>
      </w:pPr>
      <w:rPr>
        <w:rFonts w:ascii="Symbol" w:hAnsi="Symbol" w:hint="default"/>
      </w:rPr>
    </w:lvl>
    <w:lvl w:ilvl="7" w:tentative="1">
      <w:start w:val="1"/>
      <w:numFmt w:val="bullet"/>
      <w:lvlText w:val="o"/>
      <w:lvlJc w:val="left"/>
      <w:pPr>
        <w:ind w:left="5127" w:hanging="360"/>
      </w:pPr>
      <w:rPr>
        <w:rFonts w:ascii="Courier New" w:hAnsi="Courier New" w:cs="Courier New" w:hint="default"/>
      </w:rPr>
    </w:lvl>
    <w:lvl w:ilvl="8" w:tentative="1">
      <w:start w:val="1"/>
      <w:numFmt w:val="bullet"/>
      <w:lvlText w:val=""/>
      <w:lvlJc w:val="left"/>
      <w:pPr>
        <w:ind w:left="5847" w:hanging="360"/>
      </w:pPr>
      <w:rPr>
        <w:rFonts w:ascii="Wingdings" w:hAnsi="Wingdings" w:hint="default"/>
      </w:rPr>
    </w:lvl>
  </w:abstractNum>
  <w:abstractNum w:abstractNumId="36">
    <w:nsid w:val="736E1F62"/>
    <w:multiLevelType w:val="hybridMultilevel"/>
    <w:tmpl w:val="56F6A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DC6D5F"/>
    <w:multiLevelType w:val="multilevel"/>
    <w:tmpl w:val="5158F9AC"/>
    <w:lvl w:ilvl="0">
      <w:start w:val="4"/>
      <w:numFmt w:val="decimal"/>
      <w:lvlText w:val="%1"/>
      <w:lvlJc w:val="left"/>
      <w:pPr>
        <w:ind w:left="435" w:hanging="435"/>
      </w:pPr>
      <w:rPr>
        <w:rFonts w:hint="default"/>
      </w:rPr>
    </w:lvl>
    <w:lvl w:ilvl="1">
      <w:start w:val="1"/>
      <w:numFmt w:val="decimal"/>
      <w:lvlText w:val="%1.%2"/>
      <w:lvlJc w:val="left"/>
      <w:pPr>
        <w:ind w:left="1569" w:hanging="43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8">
    <w:nsid w:val="77E96AD4"/>
    <w:multiLevelType w:val="hybridMultilevel"/>
    <w:tmpl w:val="2EF248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C7C78EB"/>
    <w:multiLevelType w:val="hybridMultilevel"/>
    <w:tmpl w:val="221E5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E69521E"/>
    <w:multiLevelType w:val="hybridMultilevel"/>
    <w:tmpl w:val="4C62B89A"/>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7EA83C82"/>
    <w:multiLevelType w:val="hybridMultilevel"/>
    <w:tmpl w:val="32F08B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25"/>
  </w:num>
  <w:num w:numId="4">
    <w:abstractNumId w:val="7"/>
  </w:num>
  <w:num w:numId="5">
    <w:abstractNumId w:val="4"/>
  </w:num>
  <w:num w:numId="6">
    <w:abstractNumId w:val="36"/>
  </w:num>
  <w:num w:numId="7">
    <w:abstractNumId w:val="39"/>
  </w:num>
  <w:num w:numId="8">
    <w:abstractNumId w:val="17"/>
  </w:num>
  <w:num w:numId="9">
    <w:abstractNumId w:val="32"/>
  </w:num>
  <w:num w:numId="10">
    <w:abstractNumId w:val="6"/>
  </w:num>
  <w:num w:numId="11">
    <w:abstractNumId w:val="33"/>
  </w:num>
  <w:num w:numId="12">
    <w:abstractNumId w:val="5"/>
  </w:num>
  <w:num w:numId="13">
    <w:abstractNumId w:val="28"/>
  </w:num>
  <w:num w:numId="14">
    <w:abstractNumId w:val="38"/>
  </w:num>
  <w:num w:numId="15">
    <w:abstractNumId w:val="20"/>
  </w:num>
  <w:num w:numId="16">
    <w:abstractNumId w:val="27"/>
  </w:num>
  <w:num w:numId="17">
    <w:abstractNumId w:val="26"/>
  </w:num>
  <w:num w:numId="18">
    <w:abstractNumId w:val="21"/>
  </w:num>
  <w:num w:numId="19">
    <w:abstractNumId w:val="11"/>
  </w:num>
  <w:num w:numId="20">
    <w:abstractNumId w:val="22"/>
  </w:num>
  <w:num w:numId="21">
    <w:abstractNumId w:val="29"/>
  </w:num>
  <w:num w:numId="22">
    <w:abstractNumId w:val="31"/>
  </w:num>
  <w:num w:numId="23">
    <w:abstractNumId w:val="0"/>
  </w:num>
  <w:num w:numId="24">
    <w:abstractNumId w:val="12"/>
  </w:num>
  <w:num w:numId="25">
    <w:abstractNumId w:val="34"/>
  </w:num>
  <w:num w:numId="26">
    <w:abstractNumId w:val="13"/>
  </w:num>
  <w:num w:numId="27">
    <w:abstractNumId w:val="41"/>
  </w:num>
  <w:num w:numId="28">
    <w:abstractNumId w:val="1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9"/>
  </w:num>
  <w:num w:numId="3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0"/>
  </w:num>
  <w:num w:numId="37">
    <w:abstractNumId w:val="24"/>
  </w:num>
  <w:num w:numId="38">
    <w:abstractNumId w:val="3"/>
  </w:num>
  <w:num w:numId="39">
    <w:abstractNumId w:val="14"/>
  </w:num>
  <w:num w:numId="40">
    <w:abstractNumId w:val="35"/>
  </w:num>
  <w:num w:numId="41">
    <w:abstractNumId w:val="23"/>
  </w:num>
  <w:num w:numId="42">
    <w:abstractNumId w:val="1"/>
  </w:num>
  <w:num w:numId="43">
    <w:abstractNumId w:val="18"/>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A4D14"/>
    <w:pPr>
      <w:keepNext/>
      <w:keepLines/>
      <w:numPr>
        <w:numId w:val="3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4D14"/>
    <w:pPr>
      <w:keepNext/>
      <w:keepLines/>
      <w:numPr>
        <w:ilvl w:val="1"/>
        <w:numId w:val="33"/>
      </w:numPr>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9A4D14"/>
    <w:pPr>
      <w:keepNext/>
      <w:keepLines/>
      <w:numPr>
        <w:ilvl w:val="2"/>
        <w:numId w:val="33"/>
      </w:numPr>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9A4D14"/>
    <w:pPr>
      <w:keepNext/>
      <w:keepLines/>
      <w:numPr>
        <w:ilvl w:val="3"/>
        <w:numId w:val="3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A4D14"/>
    <w:pPr>
      <w:keepNext/>
      <w:keepLines/>
      <w:numPr>
        <w:ilvl w:val="4"/>
        <w:numId w:val="3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9A4D14"/>
    <w:pPr>
      <w:keepNext/>
      <w:keepLines/>
      <w:numPr>
        <w:ilvl w:val="5"/>
        <w:numId w:val="33"/>
      </w:numPr>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9A4D14"/>
    <w:pPr>
      <w:keepNext/>
      <w:keepLines/>
      <w:numPr>
        <w:ilvl w:val="6"/>
        <w:numId w:val="33"/>
      </w:numPr>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9A4D14"/>
    <w:pPr>
      <w:keepNext/>
      <w:keepLines/>
      <w:numPr>
        <w:ilvl w:val="7"/>
        <w:numId w:val="33"/>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9A4D14"/>
    <w:pPr>
      <w:keepNext/>
      <w:keepLines/>
      <w:numPr>
        <w:ilvl w:val="8"/>
        <w:numId w:val="33"/>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D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A4D14"/>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9A4D14"/>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rsid w:val="009A4D1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A4D1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9A4D14"/>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9A4D14"/>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9A4D14"/>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9A4D14"/>
    <w:rPr>
      <w:rFonts w:asciiTheme="majorHAnsi" w:eastAsiaTheme="majorEastAsia" w:hAnsiTheme="majorHAnsi" w:cstheme="majorBidi"/>
      <w:i/>
      <w:iCs/>
      <w:color w:val="262626" w:themeColor="text1" w:themeTint="D9"/>
      <w:sz w:val="21"/>
      <w:szCs w:val="21"/>
    </w:rPr>
  </w:style>
  <w:style w:type="numbering" w:customStyle="1" w:styleId="NoList1">
    <w:name w:val="No List1"/>
    <w:next w:val="NoList"/>
    <w:uiPriority w:val="99"/>
    <w:semiHidden/>
    <w:unhideWhenUsed/>
    <w:rsid w:val="009A4D14"/>
  </w:style>
  <w:style w:type="paragraph" w:customStyle="1" w:styleId="appendixparacontinued">
    <w:name w:val="appendixparacontinued"/>
    <w:basedOn w:val="Normal"/>
    <w:rsid w:val="009A4D14"/>
    <w:pPr>
      <w:spacing w:after="180" w:line="288"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4D14"/>
    <w:rPr>
      <w:b/>
      <w:bCs/>
      <w:color w:val="auto"/>
    </w:rPr>
  </w:style>
  <w:style w:type="character" w:customStyle="1" w:styleId="strong-frutiger1">
    <w:name w:val="strong-frutiger1"/>
    <w:basedOn w:val="DefaultParagraphFont"/>
    <w:rsid w:val="009A4D14"/>
  </w:style>
  <w:style w:type="paragraph" w:customStyle="1" w:styleId="jcsipara-1-1">
    <w:name w:val="jcsi_para-1-1"/>
    <w:basedOn w:val="Normal"/>
    <w:rsid w:val="009A4D14"/>
    <w:pPr>
      <w:spacing w:after="180" w:line="288" w:lineRule="auto"/>
    </w:pPr>
    <w:rPr>
      <w:rFonts w:ascii="Times New Roman" w:eastAsia="Times New Roman" w:hAnsi="Times New Roman" w:cs="Times New Roman"/>
      <w:sz w:val="24"/>
      <w:szCs w:val="24"/>
      <w:lang w:eastAsia="en-GB"/>
    </w:rPr>
  </w:style>
  <w:style w:type="paragraph" w:customStyle="1" w:styleId="tablefrutiger-table-header-white">
    <w:name w:val="table_frutiger-table-header-white"/>
    <w:basedOn w:val="Normal"/>
    <w:rsid w:val="009A4D14"/>
    <w:pPr>
      <w:spacing w:after="180" w:line="288" w:lineRule="auto"/>
    </w:pPr>
    <w:rPr>
      <w:rFonts w:ascii="Times New Roman" w:eastAsia="Times New Roman" w:hAnsi="Times New Roman" w:cs="Times New Roman"/>
      <w:sz w:val="24"/>
      <w:szCs w:val="24"/>
      <w:lang w:eastAsia="en-GB"/>
    </w:rPr>
  </w:style>
  <w:style w:type="paragraph" w:customStyle="1" w:styleId="pastreportstitles">
    <w:name w:val="pastreportstitles"/>
    <w:basedOn w:val="Normal"/>
    <w:rsid w:val="009A4D14"/>
    <w:pPr>
      <w:spacing w:after="180" w:line="288" w:lineRule="auto"/>
    </w:pPr>
    <w:rPr>
      <w:rFonts w:ascii="Times New Roman" w:eastAsia="Times New Roman" w:hAnsi="Times New Roman" w:cs="Times New Roman"/>
      <w:sz w:val="24"/>
      <w:szCs w:val="24"/>
      <w:lang w:eastAsia="en-GB"/>
    </w:rPr>
  </w:style>
  <w:style w:type="paragraph" w:styleId="ListParagraph">
    <w:name w:val="List Paragraph"/>
    <w:aliases w:val="2,Bullet Styl,Bullet Style,Colorful List - Accent 12,Dot pt,Indicator Text,L,List Paragrap,List Paragraph12,List Paragraph3,No Spacing1,No Spacing11,Normal numbere,Numbered Para 1,OBC Bullet,Párrafo de lista,Recommendatio,Recommendation"/>
    <w:basedOn w:val="Normal"/>
    <w:link w:val="ListParagraphChar"/>
    <w:uiPriority w:val="34"/>
    <w:qFormat/>
    <w:rsid w:val="009A4D14"/>
    <w:pPr>
      <w:ind w:left="720"/>
      <w:contextualSpacing/>
    </w:pPr>
    <w:rPr>
      <w:rFonts w:eastAsiaTheme="minorEastAsia"/>
    </w:rPr>
  </w:style>
  <w:style w:type="table" w:styleId="TableGrid">
    <w:name w:val="Table Grid"/>
    <w:basedOn w:val="TableNormal"/>
    <w:uiPriority w:val="39"/>
    <w:rsid w:val="009A4D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A4D14"/>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A4D14"/>
  </w:style>
  <w:style w:type="character" w:customStyle="1" w:styleId="eop">
    <w:name w:val="eop"/>
    <w:basedOn w:val="DefaultParagraphFont"/>
    <w:rsid w:val="009A4D14"/>
  </w:style>
  <w:style w:type="character" w:customStyle="1" w:styleId="advancedproofingissue">
    <w:name w:val="advancedproofingissue"/>
    <w:basedOn w:val="DefaultParagraphFont"/>
    <w:rsid w:val="009A4D14"/>
  </w:style>
  <w:style w:type="paragraph" w:styleId="Header">
    <w:name w:val="header"/>
    <w:basedOn w:val="Normal"/>
    <w:link w:val="HeaderChar"/>
    <w:uiPriority w:val="99"/>
    <w:unhideWhenUsed/>
    <w:rsid w:val="009A4D14"/>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9A4D14"/>
    <w:rPr>
      <w:rFonts w:eastAsiaTheme="minorEastAsia"/>
    </w:rPr>
  </w:style>
  <w:style w:type="paragraph" w:styleId="Footer">
    <w:name w:val="footer"/>
    <w:basedOn w:val="Normal"/>
    <w:link w:val="FooterChar"/>
    <w:uiPriority w:val="99"/>
    <w:unhideWhenUsed/>
    <w:rsid w:val="009A4D14"/>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9A4D14"/>
    <w:rPr>
      <w:rFonts w:eastAsiaTheme="minorEastAsia"/>
    </w:rPr>
  </w:style>
  <w:style w:type="character" w:styleId="Hyperlink">
    <w:name w:val="Hyperlink"/>
    <w:basedOn w:val="DefaultParagraphFont"/>
    <w:uiPriority w:val="99"/>
    <w:unhideWhenUsed/>
    <w:rsid w:val="009A4D14"/>
    <w:rPr>
      <w:color w:val="0000FF"/>
      <w:u w:val="single"/>
    </w:rPr>
  </w:style>
  <w:style w:type="character" w:customStyle="1" w:styleId="gem-c-contents-listnumber">
    <w:name w:val="gem-c-contents-list__number"/>
    <w:basedOn w:val="DefaultParagraphFont"/>
    <w:rsid w:val="009A4D14"/>
  </w:style>
  <w:style w:type="character" w:customStyle="1" w:styleId="gem-c-contents-listnumbered-text">
    <w:name w:val="gem-c-contents-list__numbered-text"/>
    <w:basedOn w:val="DefaultParagraphFont"/>
    <w:rsid w:val="009A4D14"/>
  </w:style>
  <w:style w:type="paragraph" w:styleId="Subtitle">
    <w:name w:val="Subtitle"/>
    <w:basedOn w:val="Normal"/>
    <w:next w:val="Normal"/>
    <w:link w:val="SubtitleChar"/>
    <w:uiPriority w:val="11"/>
    <w:qFormat/>
    <w:rsid w:val="009A4D1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A4D14"/>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9A4D14"/>
    <w:rPr>
      <w:sz w:val="16"/>
      <w:szCs w:val="16"/>
    </w:rPr>
  </w:style>
  <w:style w:type="paragraph" w:styleId="CommentText">
    <w:name w:val="annotation text"/>
    <w:basedOn w:val="Normal"/>
    <w:link w:val="CommentTextChar"/>
    <w:uiPriority w:val="99"/>
    <w:semiHidden/>
    <w:unhideWhenUsed/>
    <w:rsid w:val="009A4D14"/>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A4D1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A4D14"/>
    <w:rPr>
      <w:b/>
      <w:bCs/>
    </w:rPr>
  </w:style>
  <w:style w:type="character" w:customStyle="1" w:styleId="CommentSubjectChar">
    <w:name w:val="Comment Subject Char"/>
    <w:basedOn w:val="CommentTextChar"/>
    <w:link w:val="CommentSubject"/>
    <w:uiPriority w:val="99"/>
    <w:semiHidden/>
    <w:rsid w:val="009A4D14"/>
    <w:rPr>
      <w:rFonts w:eastAsiaTheme="minorEastAsia"/>
      <w:b/>
      <w:bCs/>
      <w:sz w:val="20"/>
      <w:szCs w:val="20"/>
    </w:rPr>
  </w:style>
  <w:style w:type="paragraph" w:styleId="BalloonText">
    <w:name w:val="Balloon Text"/>
    <w:basedOn w:val="Normal"/>
    <w:link w:val="BalloonTextChar"/>
    <w:uiPriority w:val="99"/>
    <w:semiHidden/>
    <w:unhideWhenUsed/>
    <w:rsid w:val="009A4D14"/>
    <w:pPr>
      <w:spacing w:after="0" w:line="240" w:lineRule="auto"/>
    </w:pPr>
    <w:rPr>
      <w:rFonts w:ascii="Segoe UI" w:hAnsi="Segoe UI" w:eastAsiaTheme="minorEastAsia" w:cs="Segoe UI"/>
      <w:sz w:val="18"/>
      <w:szCs w:val="18"/>
    </w:rPr>
  </w:style>
  <w:style w:type="character" w:customStyle="1" w:styleId="BalloonTextChar">
    <w:name w:val="Balloon Text Char"/>
    <w:basedOn w:val="DefaultParagraphFont"/>
    <w:link w:val="BalloonText"/>
    <w:uiPriority w:val="99"/>
    <w:semiHidden/>
    <w:rsid w:val="009A4D14"/>
    <w:rPr>
      <w:rFonts w:ascii="Segoe UI" w:hAnsi="Segoe UI" w:eastAsiaTheme="minorEastAsia" w:cs="Segoe UI"/>
      <w:sz w:val="18"/>
      <w:szCs w:val="18"/>
    </w:rPr>
  </w:style>
  <w:style w:type="character" w:customStyle="1" w:styleId="number">
    <w:name w:val="number"/>
    <w:basedOn w:val="DefaultParagraphFont"/>
    <w:rsid w:val="009A4D14"/>
  </w:style>
  <w:style w:type="character" w:customStyle="1" w:styleId="UnresolvedMention">
    <w:name w:val="Unresolved Mention"/>
    <w:basedOn w:val="DefaultParagraphFont"/>
    <w:uiPriority w:val="99"/>
    <w:semiHidden/>
    <w:unhideWhenUsed/>
    <w:rsid w:val="009A4D14"/>
    <w:rPr>
      <w:color w:val="808080"/>
      <w:shd w:val="clear" w:color="auto" w:fill="E6E6E6"/>
    </w:rPr>
  </w:style>
  <w:style w:type="paragraph" w:customStyle="1" w:styleId="Default">
    <w:name w:val="Default"/>
    <w:rsid w:val="009A4D14"/>
    <w:pPr>
      <w:autoSpaceDE w:val="0"/>
      <w:autoSpaceDN w:val="0"/>
      <w:adjustRightInd w:val="0"/>
      <w:spacing w:after="0" w:line="240" w:lineRule="auto"/>
    </w:pPr>
    <w:rPr>
      <w:rFonts w:ascii="Humnst777 Lt BT" w:hAnsi="Humnst777 Lt BT" w:eastAsiaTheme="minorEastAsia" w:cs="Humnst777 Lt BT"/>
      <w:color w:val="000000"/>
      <w:sz w:val="24"/>
      <w:szCs w:val="24"/>
    </w:rPr>
  </w:style>
  <w:style w:type="paragraph" w:styleId="FootnoteText">
    <w:name w:val="footnote text"/>
    <w:basedOn w:val="Normal"/>
    <w:link w:val="FootnoteTextChar"/>
    <w:rsid w:val="009A4D14"/>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9A4D14"/>
    <w:rPr>
      <w:rFonts w:ascii="Arial" w:eastAsia="Times New Roman" w:hAnsi="Arial" w:cs="Times New Roman"/>
      <w:sz w:val="20"/>
      <w:szCs w:val="20"/>
    </w:rPr>
  </w:style>
  <w:style w:type="character" w:styleId="FootnoteReference">
    <w:name w:val="footnote reference"/>
    <w:basedOn w:val="DefaultParagraphFont"/>
    <w:rsid w:val="009A4D14"/>
    <w:rPr>
      <w:vertAlign w:val="superscript"/>
    </w:rPr>
  </w:style>
  <w:style w:type="table" w:customStyle="1" w:styleId="TableGrid1">
    <w:name w:val="Table Grid1"/>
    <w:basedOn w:val="TableNormal"/>
    <w:next w:val="TableGrid"/>
    <w:rsid w:val="009A4D1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9A4D14"/>
    <w:pPr>
      <w:spacing w:after="200" w:line="240" w:lineRule="auto"/>
    </w:pPr>
    <w:rPr>
      <w:rFonts w:eastAsiaTheme="minorEastAsia"/>
      <w:i/>
      <w:iCs/>
      <w:color w:val="44546A" w:themeColor="text2"/>
      <w:sz w:val="18"/>
      <w:szCs w:val="18"/>
    </w:rPr>
  </w:style>
  <w:style w:type="paragraph" w:styleId="Title">
    <w:name w:val="Title"/>
    <w:basedOn w:val="Normal"/>
    <w:next w:val="Normal"/>
    <w:link w:val="TitleChar"/>
    <w:uiPriority w:val="10"/>
    <w:qFormat/>
    <w:rsid w:val="009A4D14"/>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9A4D14"/>
    <w:rPr>
      <w:rFonts w:asciiTheme="majorHAnsi" w:eastAsiaTheme="majorEastAsia" w:hAnsiTheme="majorHAnsi" w:cstheme="majorBidi"/>
      <w:spacing w:val="-10"/>
      <w:sz w:val="56"/>
      <w:szCs w:val="56"/>
    </w:rPr>
  </w:style>
  <w:style w:type="character" w:styleId="Emphasis">
    <w:name w:val="Emphasis"/>
    <w:basedOn w:val="DefaultParagraphFont"/>
    <w:uiPriority w:val="20"/>
    <w:qFormat/>
    <w:rsid w:val="009A4D14"/>
    <w:rPr>
      <w:i/>
      <w:iCs/>
      <w:color w:val="auto"/>
    </w:rPr>
  </w:style>
  <w:style w:type="paragraph" w:styleId="NoSpacing">
    <w:name w:val="No Spacing"/>
    <w:uiPriority w:val="1"/>
    <w:qFormat/>
    <w:rsid w:val="009A4D14"/>
    <w:pPr>
      <w:spacing w:after="0" w:line="240" w:lineRule="auto"/>
    </w:pPr>
    <w:rPr>
      <w:rFonts w:eastAsiaTheme="minorEastAsia"/>
    </w:rPr>
  </w:style>
  <w:style w:type="paragraph" w:styleId="Quote">
    <w:name w:val="Quote"/>
    <w:basedOn w:val="Normal"/>
    <w:next w:val="Normal"/>
    <w:link w:val="QuoteChar"/>
    <w:uiPriority w:val="29"/>
    <w:qFormat/>
    <w:rsid w:val="009A4D14"/>
    <w:pPr>
      <w:spacing w:before="200"/>
      <w:ind w:left="864" w:right="864"/>
    </w:pPr>
    <w:rPr>
      <w:rFonts w:eastAsiaTheme="minorEastAsia"/>
      <w:i/>
      <w:iCs/>
      <w:color w:val="404040" w:themeColor="text1" w:themeTint="BF"/>
    </w:rPr>
  </w:style>
  <w:style w:type="character" w:customStyle="1" w:styleId="QuoteChar">
    <w:name w:val="Quote Char"/>
    <w:basedOn w:val="DefaultParagraphFont"/>
    <w:link w:val="Quote"/>
    <w:uiPriority w:val="29"/>
    <w:rsid w:val="009A4D14"/>
    <w:rPr>
      <w:rFonts w:eastAsiaTheme="minorEastAsia"/>
      <w:i/>
      <w:iCs/>
      <w:color w:val="404040" w:themeColor="text1" w:themeTint="BF"/>
    </w:rPr>
  </w:style>
  <w:style w:type="paragraph" w:styleId="IntenseQuote">
    <w:name w:val="Intense Quote"/>
    <w:basedOn w:val="Normal"/>
    <w:next w:val="Normal"/>
    <w:link w:val="IntenseQuoteChar"/>
    <w:uiPriority w:val="30"/>
    <w:qFormat/>
    <w:rsid w:val="009A4D14"/>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IntenseQuoteChar">
    <w:name w:val="Intense Quote Char"/>
    <w:basedOn w:val="DefaultParagraphFont"/>
    <w:link w:val="IntenseQuote"/>
    <w:uiPriority w:val="30"/>
    <w:rsid w:val="009A4D14"/>
    <w:rPr>
      <w:rFonts w:eastAsiaTheme="minorEastAsia"/>
      <w:i/>
      <w:iCs/>
      <w:color w:val="4472C4" w:themeColor="accent1"/>
    </w:rPr>
  </w:style>
  <w:style w:type="character" w:styleId="SubtleEmphasis">
    <w:name w:val="Subtle Emphasis"/>
    <w:basedOn w:val="DefaultParagraphFont"/>
    <w:uiPriority w:val="19"/>
    <w:qFormat/>
    <w:rsid w:val="009A4D14"/>
    <w:rPr>
      <w:i/>
      <w:iCs/>
      <w:color w:val="404040" w:themeColor="text1" w:themeTint="BF"/>
    </w:rPr>
  </w:style>
  <w:style w:type="character" w:styleId="IntenseEmphasis">
    <w:name w:val="Intense Emphasis"/>
    <w:basedOn w:val="DefaultParagraphFont"/>
    <w:uiPriority w:val="21"/>
    <w:qFormat/>
    <w:rsid w:val="009A4D14"/>
    <w:rPr>
      <w:i/>
      <w:iCs/>
      <w:color w:val="4472C4" w:themeColor="accent1"/>
    </w:rPr>
  </w:style>
  <w:style w:type="character" w:styleId="SubtleReference">
    <w:name w:val="Subtle Reference"/>
    <w:basedOn w:val="DefaultParagraphFont"/>
    <w:uiPriority w:val="31"/>
    <w:qFormat/>
    <w:rsid w:val="009A4D14"/>
    <w:rPr>
      <w:smallCaps/>
      <w:color w:val="404040" w:themeColor="text1" w:themeTint="BF"/>
    </w:rPr>
  </w:style>
  <w:style w:type="character" w:styleId="IntenseReference">
    <w:name w:val="Intense Reference"/>
    <w:basedOn w:val="DefaultParagraphFont"/>
    <w:uiPriority w:val="32"/>
    <w:qFormat/>
    <w:rsid w:val="009A4D14"/>
    <w:rPr>
      <w:b/>
      <w:bCs/>
      <w:smallCaps/>
      <w:color w:val="4472C4" w:themeColor="accent1"/>
      <w:spacing w:val="5"/>
    </w:rPr>
  </w:style>
  <w:style w:type="character" w:styleId="BookTitle">
    <w:name w:val="Book Title"/>
    <w:basedOn w:val="DefaultParagraphFont"/>
    <w:uiPriority w:val="33"/>
    <w:qFormat/>
    <w:rsid w:val="009A4D14"/>
    <w:rPr>
      <w:b/>
      <w:bCs/>
      <w:i/>
      <w:iCs/>
      <w:spacing w:val="5"/>
    </w:rPr>
  </w:style>
  <w:style w:type="paragraph" w:styleId="TOCHeading">
    <w:name w:val="TOC Heading"/>
    <w:basedOn w:val="Heading1"/>
    <w:next w:val="Normal"/>
    <w:uiPriority w:val="39"/>
    <w:semiHidden/>
    <w:unhideWhenUsed/>
    <w:qFormat/>
    <w:rsid w:val="009A4D14"/>
    <w:pPr>
      <w:outlineLvl w:val="9"/>
    </w:pPr>
  </w:style>
  <w:style w:type="paragraph" w:styleId="NormalWeb">
    <w:name w:val="Normal (Web)"/>
    <w:basedOn w:val="Normal"/>
    <w:uiPriority w:val="99"/>
    <w:semiHidden/>
    <w:unhideWhenUsed/>
    <w:rsid w:val="009A4D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A4D14"/>
    <w:rPr>
      <w:color w:val="954F72" w:themeColor="followedHyperlink"/>
      <w:u w:val="single"/>
    </w:rPr>
  </w:style>
  <w:style w:type="character" w:customStyle="1" w:styleId="ListParagraphChar">
    <w:name w:val="List Paragraph Char"/>
    <w:aliases w:val="Bullet Style Char,Colorful List - Accent 12 Char,L Char,List Paragrap Char,List Paragraph12 Char,List Paragraph3 Char,No Spacing11 Char,Normal numbere Char,OBC Bullet Char,Párrafo de lista Char,Recommendatio Char,Recommendation Char"/>
    <w:basedOn w:val="DefaultParagraphFont"/>
    <w:link w:val="ListParagraph"/>
    <w:uiPriority w:val="34"/>
    <w:locked/>
    <w:rsid w:val="009A4D1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chart" Target="charts/chart1.xml" /><Relationship Id="rId8" Type="http://schemas.openxmlformats.org/officeDocument/2006/relationships/chart" Target="charts/chart2.xml" /><Relationship Id="rId9" Type="http://schemas.openxmlformats.org/officeDocument/2006/relationships/image" Target="media/image3.png"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Office_Excel_Worksheet1.xlsx" /></Relationships>
</file>

<file path=word/charts/_rels/chart2.xml.rels>&#65279;<?xml version="1.0" encoding="utf-8" standalone="yes"?><Relationships xmlns="http://schemas.openxmlformats.org/package/2006/relationships"><Relationship Id="rId1" Type="http://schemas.openxmlformats.org/officeDocument/2006/relationships/package" Target="../embeddings/Microsoft_Office_Excel_Worksheet2.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MOD Budgets</a:t>
            </a:r>
          </a:p>
          <a:p>
            <a:pPr>
              <a:defRPr/>
            </a:pPr>
            <a:r>
              <a:rPr lang="en-GB" sz="1200" i="1"/>
              <a:t>(-</a:t>
            </a:r>
            <a:r>
              <a:rPr lang="en-GB" sz="1200" i="1" baseline="0"/>
              <a:t> </a:t>
            </a:r>
            <a:r>
              <a:rPr lang="en-GB" sz="1200" i="1"/>
              <a:t>all in £</a:t>
            </a:r>
            <a:r>
              <a:rPr lang="en-GB" sz="1200" i="1" baseline="0"/>
              <a:t> billion)</a:t>
            </a:r>
            <a:endParaRPr lang="en-GB" sz="1200" i="1"/>
          </a:p>
        </c:rich>
      </c:tx>
      <c:layout>
        <c:manualLayout>
          <c:xMode val="edge"/>
          <c:yMode val="edge"/>
          <c:x val="0.40393744531933506"/>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'Table 101'!$S$12</c:f>
              <c:strCache>
                <c:ptCount val="1"/>
                <c:pt idx="0">
                  <c:v>2020-21 Main Estimate</c:v>
                </c:pt>
              </c:strCache>
            </c:strRef>
          </c:tx>
          <c:spPr>
            <a:solidFill>
              <a:schemeClr val="accent1"/>
            </a:solidFill>
            <a:ln>
              <a:noFill/>
            </a:ln>
            <a:effectLst/>
          </c:spPr>
          <c:invertIfNegative val="0"/>
          <c:cat>
            <c:strRef>
              <c:f>'Table 101'!$T$11:$V$11</c:f>
              <c:strCache>
                <c:ptCount val="3"/>
                <c:pt idx="0">
                  <c:v>AME</c:v>
                </c:pt>
                <c:pt idx="1">
                  <c:v>Capital DEL</c:v>
                </c:pt>
                <c:pt idx="2">
                  <c:v>Resource DEL</c:v>
                </c:pt>
              </c:strCache>
            </c:strRef>
          </c:cat>
          <c:val>
            <c:numRef>
              <c:f>'Table 101'!$T$12:$V$12</c:f>
              <c:numCache>
                <c:formatCode>General</c:formatCode>
                <c:ptCount val="3"/>
                <c:pt idx="0">
                  <c:v>1.5189999999999999</c:v>
                </c:pt>
                <c:pt idx="1">
                  <c:v>10.535</c:v>
                </c:pt>
                <c:pt idx="2">
                  <c:v>39.249000000000002</c:v>
                </c:pt>
              </c:numCache>
            </c:numRef>
          </c:val>
          <c:extLst>
            <c:ext xmlns:c16="http://schemas.microsoft.com/office/drawing/2014/chart" uri="{C3380CC4-5D6E-409C-BE32-E72D297353CC}">
              <c16:uniqueId val="{00000000-37DF-4698-9850-225DE418A78A}"/>
            </c:ext>
          </c:extLst>
        </c:ser>
        <c:ser>
          <c:idx val="1"/>
          <c:order val="1"/>
          <c:tx>
            <c:strRef>
              <c:f>'Table 101'!$S$13</c:f>
              <c:strCache>
                <c:ptCount val="1"/>
                <c:pt idx="0">
                  <c:v>2020-21 Supplementary Estimate</c:v>
                </c:pt>
              </c:strCache>
            </c:strRef>
          </c:tx>
          <c:spPr>
            <a:solidFill>
              <a:schemeClr val="accent2"/>
            </a:solidFill>
            <a:ln>
              <a:noFill/>
            </a:ln>
            <a:effectLst/>
          </c:spPr>
          <c:invertIfNegative val="0"/>
          <c:cat>
            <c:strRef>
              <c:f>'Table 101'!$T$11:$V$11</c:f>
              <c:strCache>
                <c:ptCount val="3"/>
                <c:pt idx="0">
                  <c:v>AME</c:v>
                </c:pt>
                <c:pt idx="1">
                  <c:v>Capital DEL</c:v>
                </c:pt>
                <c:pt idx="2">
                  <c:v>Resource DEL</c:v>
                </c:pt>
              </c:strCache>
            </c:strRef>
          </c:cat>
          <c:val>
            <c:numRef>
              <c:f>'Table 101'!$T$13:$V$13</c:f>
              <c:numCache>
                <c:formatCode>General</c:formatCode>
                <c:ptCount val="3"/>
                <c:pt idx="0">
                  <c:v>2.7189999999999999</c:v>
                </c:pt>
                <c:pt idx="1">
                  <c:v>11.715999999999999</c:v>
                </c:pt>
                <c:pt idx="2">
                  <c:v>41.256999999999998</c:v>
                </c:pt>
              </c:numCache>
            </c:numRef>
          </c:val>
          <c:extLst>
            <c:ext xmlns:c16="http://schemas.microsoft.com/office/drawing/2014/chart" uri="{C3380CC4-5D6E-409C-BE32-E72D297353CC}">
              <c16:uniqueId val="{00000001-37DF-4698-9850-225DE418A78A}"/>
            </c:ext>
          </c:extLst>
        </c:ser>
        <c:ser>
          <c:idx val="2"/>
          <c:order val="2"/>
          <c:tx>
            <c:strRef>
              <c:f>'Table 101'!$S$14</c:f>
              <c:strCache>
                <c:ptCount val="1"/>
                <c:pt idx="0">
                  <c:v>2021-22 Main Estimate</c:v>
                </c:pt>
              </c:strCache>
            </c:strRef>
          </c:tx>
          <c:spPr>
            <a:solidFill>
              <a:schemeClr val="accent3"/>
            </a:solidFill>
            <a:ln>
              <a:noFill/>
            </a:ln>
            <a:effectLst/>
          </c:spPr>
          <c:invertIfNegative val="0"/>
          <c:cat>
            <c:strRef>
              <c:f>'Table 101'!$T$11:$V$11</c:f>
              <c:strCache>
                <c:ptCount val="3"/>
                <c:pt idx="0">
                  <c:v>AME</c:v>
                </c:pt>
                <c:pt idx="1">
                  <c:v>Capital DEL</c:v>
                </c:pt>
                <c:pt idx="2">
                  <c:v>Resource DEL</c:v>
                </c:pt>
              </c:strCache>
            </c:strRef>
          </c:cat>
          <c:val>
            <c:numRef>
              <c:f>'Table 101'!$T$14:$V$14</c:f>
              <c:numCache>
                <c:formatCode>General</c:formatCode>
                <c:ptCount val="3"/>
                <c:pt idx="0">
                  <c:v>1.5189999999999999</c:v>
                </c:pt>
                <c:pt idx="1">
                  <c:v>14.332000000000001</c:v>
                </c:pt>
                <c:pt idx="2">
                  <c:v>41.942999999999998</c:v>
                </c:pt>
              </c:numCache>
            </c:numRef>
          </c:val>
          <c:extLst>
            <c:ext xmlns:c16="http://schemas.microsoft.com/office/drawing/2014/chart" uri="{C3380CC4-5D6E-409C-BE32-E72D297353CC}">
              <c16:uniqueId val="{00000002-37DF-4698-9850-225DE418A78A}"/>
            </c:ext>
          </c:extLst>
        </c:ser>
        <c:dLbls>
          <c:showLegendKey val="0"/>
          <c:showVal val="0"/>
          <c:showCatName val="0"/>
          <c:showSerName val="0"/>
          <c:showPercent val="0"/>
          <c:showBubbleSize val="0"/>
        </c:dLbls>
        <c:gapWidth val="182"/>
        <c:axId val="546712488"/>
        <c:axId val="481667352"/>
      </c:barChart>
      <c:catAx>
        <c:axId val="54671248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667352"/>
        <c:crosses val="autoZero"/>
        <c:auto val="1"/>
        <c:lblAlgn val="ctr"/>
        <c:lblOffset val="100"/>
        <c:noMultiLvlLbl val="0"/>
      </c:catAx>
      <c:valAx>
        <c:axId val="481667352"/>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712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Spending Trend</a:t>
            </a:r>
          </a:p>
          <a:p>
            <a:pPr>
              <a:defRPr/>
            </a:pPr>
            <a:r>
              <a:rPr lang="en-US"/>
              <a:t>(- all in £ Billion)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'Table 100'!$B$11</c:f>
              <c:strCache>
                <c:ptCount val="1"/>
                <c:pt idx="0">
                  <c:v>Resource DEL</c:v>
                </c:pt>
              </c:strCache>
            </c:strRef>
          </c:tx>
          <c:spPr>
            <a:ln w="28575" cap="rnd">
              <a:solidFill>
                <a:schemeClr val="accent1"/>
              </a:solidFill>
              <a:round/>
            </a:ln>
            <a:effectLst/>
          </c:spPr>
          <c:marker>
            <c:symbol val="none"/>
          </c:marker>
          <c:cat>
            <c:strRef>
              <c:f>'Table 100'!$C$10:$I$10</c:f>
              <c:strCache>
                <c:ptCount val="7"/>
                <c:pt idx="0">
                  <c:v>2015-16
Outturn</c:v>
                </c:pt>
                <c:pt idx="1">
                  <c:v>2016-17
Outturn</c:v>
                </c:pt>
                <c:pt idx="2">
                  <c:v>2017-18
Outturn</c:v>
                </c:pt>
                <c:pt idx="3">
                  <c:v>2018-19
Outturn</c:v>
                </c:pt>
                <c:pt idx="4">
                  <c:v>2019-20
Outturn</c:v>
                </c:pt>
                <c:pt idx="5">
                  <c:v>2020-21
SE</c:v>
                </c:pt>
                <c:pt idx="6">
                  <c:v>2020-21
SE</c:v>
                </c:pt>
              </c:strCache>
            </c:strRef>
          </c:cat>
          <c:val>
            <c:numRef>
              <c:f>'Table 100'!$C$11:$I$11</c:f>
              <c:numCache>
                <c:formatCode>[$-3]\ #,##0.0_);[Black]\([$-3]\ #,##0.0\)</c:formatCode>
                <c:ptCount val="7"/>
                <c:pt idx="0">
                  <c:v>34.424019999999999</c:v>
                </c:pt>
                <c:pt idx="1">
                  <c:v>35.422775000000001</c:v>
                </c:pt>
                <c:pt idx="2">
                  <c:v>34.198735999999997</c:v>
                </c:pt>
                <c:pt idx="3">
                  <c:v>34.570999999999998</c:v>
                </c:pt>
                <c:pt idx="4">
                  <c:v>36.707037999999997</c:v>
                </c:pt>
                <c:pt idx="5">
                  <c:v>41.256646999999994</c:v>
                </c:pt>
                <c:pt idx="6">
                  <c:v>41.942999999999998</c:v>
                </c:pt>
              </c:numCache>
            </c:numRef>
          </c:val>
          <c:smooth val="0"/>
          <c:extLst>
            <c:ext xmlns:c16="http://schemas.microsoft.com/office/drawing/2014/chart" uri="{C3380CC4-5D6E-409C-BE32-E72D297353CC}">
              <c16:uniqueId val="{00000000-DD03-4A96-9DD8-C9164D1A42D3}"/>
            </c:ext>
          </c:extLst>
        </c:ser>
        <c:ser>
          <c:idx val="1"/>
          <c:order val="1"/>
          <c:tx>
            <c:strRef>
              <c:f>'Table 100'!$B$12</c:f>
              <c:strCache>
                <c:ptCount val="1"/>
                <c:pt idx="0">
                  <c:v>Capital DEL</c:v>
                </c:pt>
              </c:strCache>
            </c:strRef>
          </c:tx>
          <c:spPr>
            <a:ln w="28575" cap="rnd">
              <a:solidFill>
                <a:schemeClr val="accent2"/>
              </a:solidFill>
              <a:round/>
            </a:ln>
            <a:effectLst/>
          </c:spPr>
          <c:marker>
            <c:symbol val="none"/>
          </c:marker>
          <c:cat>
            <c:strRef>
              <c:f>'Table 100'!$C$10:$I$10</c:f>
              <c:strCache>
                <c:ptCount val="7"/>
                <c:pt idx="0">
                  <c:v>2015-16
Outturn</c:v>
                </c:pt>
                <c:pt idx="1">
                  <c:v>2016-17
Outturn</c:v>
                </c:pt>
                <c:pt idx="2">
                  <c:v>2017-18
Outturn</c:v>
                </c:pt>
                <c:pt idx="3">
                  <c:v>2018-19
Outturn</c:v>
                </c:pt>
                <c:pt idx="4">
                  <c:v>2019-20
Outturn</c:v>
                </c:pt>
                <c:pt idx="5">
                  <c:v>2020-21
SE</c:v>
                </c:pt>
                <c:pt idx="6">
                  <c:v>2020-21
SE</c:v>
                </c:pt>
              </c:strCache>
            </c:strRef>
          </c:cat>
          <c:val>
            <c:numRef>
              <c:f>'Table 100'!$C$12:$I$12</c:f>
              <c:numCache>
                <c:formatCode>[$-3]\ #,##0.0_);[Black]\([$-3]\ #,##0.0\)</c:formatCode>
                <c:ptCount val="7"/>
                <c:pt idx="0">
                  <c:v>8.4024680000000007</c:v>
                </c:pt>
                <c:pt idx="1">
                  <c:v>8.6885530000000006</c:v>
                </c:pt>
                <c:pt idx="2">
                  <c:v>9.7035859999999996</c:v>
                </c:pt>
                <c:pt idx="3">
                  <c:v>10.295</c:v>
                </c:pt>
                <c:pt idx="4">
                  <c:v>10.313857</c:v>
                </c:pt>
                <c:pt idx="5">
                  <c:v>11.716395</c:v>
                </c:pt>
                <c:pt idx="6">
                  <c:v>14.332664000000001</c:v>
                </c:pt>
              </c:numCache>
            </c:numRef>
          </c:val>
          <c:smooth val="0"/>
          <c:extLst>
            <c:ext xmlns:c16="http://schemas.microsoft.com/office/drawing/2014/chart" uri="{C3380CC4-5D6E-409C-BE32-E72D297353CC}">
              <c16:uniqueId val="{00000001-DD03-4A96-9DD8-C9164D1A42D3}"/>
            </c:ext>
          </c:extLst>
        </c:ser>
        <c:ser>
          <c:idx val="2"/>
          <c:order val="2"/>
          <c:tx>
            <c:strRef>
              <c:f>'Table 100'!$B$13</c:f>
              <c:strCache>
                <c:ptCount val="1"/>
                <c:pt idx="0">
                  <c:v>AME</c:v>
                </c:pt>
              </c:strCache>
            </c:strRef>
          </c:tx>
          <c:spPr>
            <a:ln w="28575" cap="rnd">
              <a:solidFill>
                <a:schemeClr val="accent3"/>
              </a:solidFill>
              <a:round/>
            </a:ln>
            <a:effectLst/>
          </c:spPr>
          <c:marker>
            <c:symbol val="none"/>
          </c:marker>
          <c:cat>
            <c:strRef>
              <c:f>'Table 100'!$C$10:$I$10</c:f>
              <c:strCache>
                <c:ptCount val="7"/>
                <c:pt idx="0">
                  <c:v>2015-16
Outturn</c:v>
                </c:pt>
                <c:pt idx="1">
                  <c:v>2016-17
Outturn</c:v>
                </c:pt>
                <c:pt idx="2">
                  <c:v>2017-18
Outturn</c:v>
                </c:pt>
                <c:pt idx="3">
                  <c:v>2018-19
Outturn</c:v>
                </c:pt>
                <c:pt idx="4">
                  <c:v>2019-20
Outturn</c:v>
                </c:pt>
                <c:pt idx="5">
                  <c:v>2020-21
SE</c:v>
                </c:pt>
                <c:pt idx="6">
                  <c:v>2020-21
SE</c:v>
                </c:pt>
              </c:strCache>
            </c:strRef>
          </c:cat>
          <c:val>
            <c:numRef>
              <c:f>'Table 100'!$C$13:$I$13</c:f>
              <c:numCache>
                <c:formatCode>[$-3]\ #,##0.0_);[Black]\([$-3]\ #,##0.0\)</c:formatCode>
                <c:ptCount val="7"/>
                <c:pt idx="0">
                  <c:v>6.1324530000000008</c:v>
                </c:pt>
                <c:pt idx="1">
                  <c:v>-0.21069399999999999</c:v>
                </c:pt>
                <c:pt idx="2">
                  <c:v>9.7348510000000008</c:v>
                </c:pt>
                <c:pt idx="3">
                  <c:v>-7.883</c:v>
                </c:pt>
                <c:pt idx="4">
                  <c:v>-0.29627199999999998</c:v>
                </c:pt>
                <c:pt idx="5">
                  <c:v>2.7192849999999997</c:v>
                </c:pt>
                <c:pt idx="6">
                  <c:v>1.5189999999999999</c:v>
                </c:pt>
              </c:numCache>
            </c:numRef>
          </c:val>
          <c:smooth val="0"/>
          <c:extLst>
            <c:ext xmlns:c16="http://schemas.microsoft.com/office/drawing/2014/chart" uri="{C3380CC4-5D6E-409C-BE32-E72D297353CC}">
              <c16:uniqueId val="{00000002-DD03-4A96-9DD8-C9164D1A42D3}"/>
            </c:ext>
          </c:extLst>
        </c:ser>
        <c:dLbls>
          <c:showLegendKey val="0"/>
          <c:showVal val="0"/>
          <c:showCatName val="0"/>
          <c:showSerName val="0"/>
          <c:showPercent val="0"/>
          <c:showBubbleSize val="0"/>
        </c:dLbls>
        <c:smooth val="0"/>
        <c:axId val="554222272"/>
        <c:axId val="554223256"/>
      </c:lineChart>
      <c:catAx>
        <c:axId val="55422227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223256"/>
        <c:crosses val="autoZero"/>
        <c:auto val="1"/>
        <c:lblAlgn val="ctr"/>
        <c:lblOffset val="100"/>
        <c:noMultiLvlLbl val="0"/>
      </c:catAx>
      <c:valAx>
        <c:axId val="554223256"/>
        <c:scaling>
          <c:orientation val="minMax"/>
        </c:scaling>
        <c:delete val="0"/>
        <c:axPos val="l"/>
        <c:majorGridlines>
          <c:spPr>
            <a:ln w="9525" cap="flat" cmpd="sng" algn="ctr">
              <a:solidFill>
                <a:schemeClr val="tx1">
                  <a:lumMod val="15000"/>
                  <a:lumOff val="85000"/>
                </a:schemeClr>
              </a:solidFill>
              <a:round/>
            </a:ln>
            <a:effectLst/>
          </c:spPr>
        </c:majorGridlines>
        <c:numFmt formatCode="[$-3]\ #,##0.0_);[Black]\([$-3]\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22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