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284D" w:rsidP="000F284D">
      <w:pPr>
        <w:pStyle w:val="Heading1"/>
        <w:rPr>
          <w:lang w:eastAsia="en-GB"/>
        </w:rPr>
      </w:pPr>
      <w:r>
        <w:t xml:space="preserve">Main Estimates 2021-22: Estimates memorandum </w:t>
      </w:r>
      <w:r w:rsidRPr="005C76BC">
        <w:rPr>
          <w:lang w:eastAsia="en-GB"/>
        </w:rPr>
        <w:t>for the Competition and Markets Authority (CMA)</w:t>
      </w:r>
    </w:p>
    <w:p w:rsidR="00FE33BD" w:rsidP="005C76BC">
      <w:pPr>
        <w:pStyle w:val="Heading1"/>
      </w:pPr>
    </w:p>
    <w:p w:rsidR="00740C96" w:rsidRPr="000E651E" w:rsidP="008554A9">
      <w:pPr>
        <w:pStyle w:val="Heading2"/>
        <w:rPr>
          <w:sz w:val="32"/>
          <w:szCs w:val="32"/>
        </w:rPr>
      </w:pPr>
      <w:r w:rsidRPr="000E651E">
        <w:rPr>
          <w:sz w:val="32"/>
          <w:szCs w:val="32"/>
        </w:rPr>
        <w:t>1</w:t>
      </w:r>
      <w:r w:rsidRPr="000E651E" w:rsidR="008554A9">
        <w:rPr>
          <w:sz w:val="32"/>
          <w:szCs w:val="32"/>
        </w:rPr>
        <w:tab/>
      </w:r>
      <w:r w:rsidRPr="000E651E">
        <w:rPr>
          <w:sz w:val="32"/>
          <w:szCs w:val="32"/>
        </w:rPr>
        <w:t>Overview</w:t>
      </w:r>
    </w:p>
    <w:p w:rsidR="00FE33BD" w:rsidP="00137ED6">
      <w:pPr>
        <w:pStyle w:val="Heading2"/>
      </w:pPr>
    </w:p>
    <w:p w:rsidR="003325FE" w:rsidP="00C71103">
      <w:pPr>
        <w:pStyle w:val="Heading2"/>
        <w:numPr>
          <w:ilvl w:val="1"/>
          <w:numId w:val="28"/>
        </w:numPr>
      </w:pPr>
      <w:r>
        <w:t>Objectives</w:t>
      </w:r>
    </w:p>
    <w:p w:rsidR="00C71103" w:rsidRPr="00C71103" w:rsidP="00C71103"/>
    <w:p w:rsidR="00C84CF3" w:rsidRPr="009C51F6" w:rsidP="00CF1A69">
      <w:pPr>
        <w:spacing w:line="276" w:lineRule="auto"/>
      </w:pPr>
      <w:r w:rsidRPr="009C51F6">
        <w:t xml:space="preserve">The </w:t>
      </w:r>
      <w:r w:rsidRPr="009C51F6">
        <w:t>Competition and Markets Authority (</w:t>
      </w:r>
      <w:r w:rsidRPr="009C51F6">
        <w:t>CMA</w:t>
      </w:r>
      <w:r w:rsidRPr="009C51F6">
        <w:t xml:space="preserve">) </w:t>
      </w:r>
      <w:r w:rsidRPr="009C51F6">
        <w:t>is an independent non-Ministerial government department and is the UK’s principal competition and consumer protection authority. We work to ensure that consumers get a good deal when buying goods and services, and that businesses operate within the law. Our statutory duty</w:t>
      </w:r>
      <w:r w:rsidRPr="009C51F6">
        <w:t xml:space="preserve"> and principal objective</w:t>
      </w:r>
      <w:r w:rsidRPr="009C51F6">
        <w:t xml:space="preserve"> is to promote competition, both within and outside the UK, for the benefit of consumers, and our mission is to make markets work well in the interests of consumers, businesses and the economy.</w:t>
      </w:r>
    </w:p>
    <w:p w:rsidR="003A7C20" w:rsidRPr="009C51F6" w:rsidP="00CF1A69">
      <w:pPr>
        <w:spacing w:line="276" w:lineRule="auto"/>
        <w:rPr>
          <w:lang w:eastAsia="en-GB"/>
        </w:rPr>
      </w:pPr>
      <w:r w:rsidRPr="009C51F6">
        <w:rPr>
          <w:lang w:eastAsia="en-GB"/>
        </w:rPr>
        <w:t>The CMA does this in a variety of ways by:</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 xml:space="preserve">Investigating mergers that have the potential to lead to a substantial lessening of competition. If a merger stands to reduce competition, the CMA can block it or impose remedies to address such </w:t>
      </w:r>
      <w:r w:rsidRPr="009C51F6" w:rsidR="00D9079A">
        <w:rPr>
          <w:lang w:eastAsia="en-GB"/>
        </w:rPr>
        <w:t>concerns.</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Conducting studies, investigations or other pieces of work into particular markets where there are suspected competition and consumer problems. The CMA can take action – and recommend action be taken by others – in markets where competition may not be working well;</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Investigating businesses and individuals to determine whether they have breached UK competition law and, if so, to end and deter such breaches, and pursue individuals who commit the criminal cartel offence;</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Enforcing a range of consumer protection legislation, tackling issues which suggest a systemic market problem, or which affect consumers’ ability to make choices;</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Promoting stronger competition in the regulated industries (gas, electricity, water, aviation, rail, communications and health), working with the sector regulators;</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Conducting regulatory appeals and references in relation to price controls, terms of licences or other regulatory arrangements under sector-specific legislation;</w:t>
      </w:r>
    </w:p>
    <w:p w:rsidR="003A7C20" w:rsidRPr="009C51F6" w:rsidP="00CF1A69">
      <w:pPr>
        <w:pStyle w:val="ListParagraph"/>
        <w:numPr>
          <w:ilvl w:val="0"/>
          <w:numId w:val="31"/>
        </w:numPr>
        <w:shd w:val="clear" w:color="auto" w:fill="FFFFFF"/>
        <w:spacing w:after="533" w:line="276" w:lineRule="auto"/>
        <w:rPr>
          <w:lang w:eastAsia="en-GB"/>
        </w:rPr>
      </w:pPr>
      <w:r w:rsidRPr="009C51F6">
        <w:rPr>
          <w:lang w:eastAsia="en-GB"/>
        </w:rPr>
        <w:t>Giving information or advice in respect of matters relating to any of the CMA’s functions to the public, policy makers and to Ministers about how they can design and implement policy in a way that harnesses the benefits of competition, and protects and promotes the interests of consumers.</w:t>
      </w:r>
    </w:p>
    <w:p w:rsidR="00CF1A69" w:rsidRPr="009C51F6" w:rsidP="00CF1A69">
      <w:pPr>
        <w:pStyle w:val="ListParagraph"/>
        <w:numPr>
          <w:ilvl w:val="0"/>
          <w:numId w:val="31"/>
        </w:numPr>
        <w:shd w:val="clear" w:color="auto" w:fill="FFFFFF"/>
        <w:spacing w:after="533" w:line="276" w:lineRule="auto"/>
        <w:rPr>
          <w:lang w:eastAsia="en-GB"/>
        </w:rPr>
      </w:pPr>
      <w:r w:rsidRPr="009C51F6">
        <w:rPr>
          <w:lang w:eastAsia="en-GB"/>
        </w:rPr>
        <w:t>From September 2021, providing technical advice, reporting and monitoring in relation to the UK internal market.</w:t>
      </w:r>
    </w:p>
    <w:p w:rsidR="00CF1A69" w:rsidRPr="009C51F6" w:rsidP="003A7C20">
      <w:pPr>
        <w:shd w:val="clear" w:color="auto" w:fill="FFFFFF"/>
        <w:spacing w:after="533" w:line="240" w:lineRule="auto"/>
      </w:pPr>
      <w:r w:rsidRPr="009C51F6">
        <w:t>The CMA ha</w:t>
      </w:r>
      <w:r w:rsidR="00DF7CED">
        <w:t xml:space="preserve">s </w:t>
      </w:r>
      <w:r w:rsidRPr="009C51F6">
        <w:t>a UK-wide remit</w:t>
      </w:r>
      <w:r w:rsidRPr="009C51F6" w:rsidR="00373223">
        <w:t xml:space="preserve"> and employs around </w:t>
      </w:r>
      <w:r w:rsidRPr="009C51F6" w:rsidR="008E5A53">
        <w:t>830 people</w:t>
      </w:r>
      <w:r w:rsidRPr="009C51F6">
        <w:t>. As well as our London office, where most of our staff are based, we have a significant presence in Scotland as well as offices in Northern Ireland and Wales.</w:t>
      </w:r>
    </w:p>
    <w:p w:rsidR="003A7C20" w:rsidP="005B2CA2">
      <w:pPr>
        <w:shd w:val="clear" w:color="auto" w:fill="FFFFFF"/>
        <w:spacing w:after="533" w:line="240" w:lineRule="auto"/>
      </w:pPr>
    </w:p>
    <w:p w:rsidR="00DE2997" w:rsidP="00137ED6">
      <w:pPr>
        <w:pStyle w:val="Heading2"/>
      </w:pPr>
      <w:r>
        <w:t>1.</w:t>
      </w:r>
      <w:r w:rsidR="007B4F10">
        <w:t>2</w:t>
      </w:r>
      <w:r w:rsidR="00F94CBD">
        <w:t xml:space="preserve"> </w:t>
      </w:r>
      <w:r w:rsidR="000E651E">
        <w:tab/>
      </w:r>
      <w:r w:rsidR="00F94CBD">
        <w:t>Spending controls</w:t>
      </w:r>
    </w:p>
    <w:p w:rsidR="000E0F4E" w:rsidP="00F94CBD"/>
    <w:p w:rsidR="0050667C" w:rsidRPr="009C51F6" w:rsidP="0050667C">
      <w:pPr>
        <w:rPr>
          <w:i/>
        </w:rPr>
      </w:pPr>
      <w:r w:rsidRPr="009C51F6">
        <w:t>The CMA’s net spending is broken down into a several different spending totals, for which Parliament’s approval is sought.</w:t>
      </w:r>
      <w:r w:rsidRPr="009C51F6">
        <w:rPr>
          <w:i/>
        </w:rPr>
        <w:t xml:space="preserve"> </w:t>
      </w:r>
    </w:p>
    <w:p w:rsidR="0050667C" w:rsidRPr="009C51F6" w:rsidP="0050667C">
      <w:r w:rsidRPr="009C51F6">
        <w:t>The spending totals which Parliament votes are:</w:t>
      </w:r>
    </w:p>
    <w:p w:rsidR="0050667C" w:rsidRPr="009C51F6" w:rsidP="0050667C">
      <w:pPr>
        <w:pStyle w:val="ListParagraph"/>
        <w:numPr>
          <w:ilvl w:val="0"/>
          <w:numId w:val="10"/>
        </w:numPr>
      </w:pPr>
      <w:r w:rsidRPr="009C51F6">
        <w:t>Resource Departmental Expenditure Limit (“</w:t>
      </w:r>
      <w:r w:rsidRPr="009C51F6">
        <w:rPr>
          <w:b/>
        </w:rPr>
        <w:t>Resource DEL</w:t>
      </w:r>
      <w:r w:rsidRPr="009C51F6">
        <w:t>”) - a net limit comprising day-to-day running costs, less income from Regulatory Appeals</w:t>
      </w:r>
    </w:p>
    <w:p w:rsidR="0050667C" w:rsidRPr="009C51F6" w:rsidP="0050667C">
      <w:pPr>
        <w:pStyle w:val="ListParagraph"/>
        <w:numPr>
          <w:ilvl w:val="0"/>
          <w:numId w:val="10"/>
        </w:numPr>
      </w:pPr>
      <w:r w:rsidRPr="009C51F6">
        <w:t>Capital Departmental Expenditure Limit (“</w:t>
      </w:r>
      <w:r w:rsidRPr="009C51F6">
        <w:rPr>
          <w:b/>
        </w:rPr>
        <w:t>Capital DEL</w:t>
      </w:r>
      <w:r w:rsidRPr="009C51F6">
        <w:t>”) – a net limit comprising investment in capital equipment</w:t>
      </w:r>
    </w:p>
    <w:p w:rsidR="0050667C" w:rsidRPr="009C51F6" w:rsidP="0050667C">
      <w:pPr>
        <w:pStyle w:val="ListParagraph"/>
        <w:numPr>
          <w:ilvl w:val="0"/>
          <w:numId w:val="10"/>
        </w:numPr>
      </w:pPr>
      <w:r w:rsidRPr="009C51F6">
        <w:t>Resource Annually Managed Expenditure Limit (“</w:t>
      </w:r>
      <w:r w:rsidRPr="009C51F6">
        <w:rPr>
          <w:b/>
        </w:rPr>
        <w:t>Resource AME</w:t>
      </w:r>
      <w:r w:rsidRPr="009C51F6">
        <w:t>”) – a net limit comprising provisions for pensions, early retirement, and adverse legal costs etc.</w:t>
      </w:r>
    </w:p>
    <w:p w:rsidR="0050667C" w:rsidRPr="009C51F6" w:rsidP="0050667C">
      <w:r w:rsidRPr="009C51F6">
        <w:t>In addition, Parliament votes a net cash requirement, designed to cover the elements of the above budgets which requires the CMA to pay out cash in year.</w:t>
      </w:r>
    </w:p>
    <w:p w:rsidR="008B7B4E" w:rsidP="0050667C"/>
    <w:p w:rsidR="00F94CBD" w:rsidP="000E0F4E">
      <w:pPr>
        <w:pStyle w:val="Heading2"/>
      </w:pPr>
      <w:r>
        <w:t>1.</w:t>
      </w:r>
      <w:r w:rsidR="001F58AE">
        <w:t>3</w:t>
      </w:r>
      <w:r>
        <w:t xml:space="preserve"> </w:t>
      </w:r>
      <w:r w:rsidR="000E651E">
        <w:tab/>
      </w:r>
      <w:r w:rsidR="00BA4D39">
        <w:t xml:space="preserve">Comparison of </w:t>
      </w:r>
      <w:r w:rsidR="004F1E1B">
        <w:t xml:space="preserve">net </w:t>
      </w:r>
      <w:r w:rsidR="00BA4D39">
        <w:t xml:space="preserve">spending totals sought </w:t>
      </w:r>
    </w:p>
    <w:p w:rsidR="000E0F4E" w:rsidP="00740C96">
      <w:pPr>
        <w:shd w:val="clear" w:color="auto" w:fill="FFFFFF"/>
        <w:spacing w:after="180" w:line="288" w:lineRule="auto"/>
        <w:rPr>
          <w:noProof/>
        </w:rPr>
      </w:pPr>
    </w:p>
    <w:p w:rsidR="00416336" w:rsidP="00740C96">
      <w:pPr>
        <w:shd w:val="clear" w:color="auto" w:fill="FFFFFF"/>
        <w:spacing w:after="180" w:line="288" w:lineRule="auto"/>
        <w:rPr>
          <w:noProof/>
        </w:rPr>
      </w:pPr>
      <w:r w:rsidRPr="00D905DC">
        <w:rPr>
          <w:noProof/>
        </w:rPr>
        <w:t>The table below shows how the net spending totals sought for t</w:t>
      </w:r>
      <w:r>
        <w:rPr>
          <w:noProof/>
        </w:rPr>
        <w:t>he CMA compares with last year</w:t>
      </w:r>
      <w:r w:rsidR="007B4F10">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1189"/>
        <w:gridCol w:w="1549"/>
        <w:gridCol w:w="1402"/>
        <w:gridCol w:w="1637"/>
        <w:gridCol w:w="1401"/>
      </w:tblGrid>
      <w:tr w:rsidTr="00255E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27" w:type="dxa"/>
            <w:gridSpan w:val="2"/>
            <w:vMerge w:val="restart"/>
          </w:tcPr>
          <w:p w:rsidR="005C581D" w:rsidRPr="00A96E0A" w:rsidP="005C581D">
            <w:pPr>
              <w:rPr>
                <w:rFonts w:ascii="Verdana" w:hAnsi="Verdana"/>
                <w:b/>
                <w:color w:val="000000" w:themeColor="text1"/>
                <w:sz w:val="19"/>
                <w:szCs w:val="19"/>
              </w:rPr>
            </w:pPr>
            <w:r w:rsidRPr="00A96E0A">
              <w:rPr>
                <w:rFonts w:ascii="Verdana" w:hAnsi="Verdana"/>
                <w:b/>
                <w:color w:val="000000" w:themeColor="text1"/>
                <w:sz w:val="19"/>
                <w:szCs w:val="19"/>
              </w:rPr>
              <w:t>Net Spending total</w:t>
            </w:r>
          </w:p>
          <w:p w:rsidR="005C581D" w:rsidRPr="00A96E0A" w:rsidP="005C581D">
            <w:pPr>
              <w:rPr>
                <w:rFonts w:ascii="Verdana" w:hAnsi="Verdana"/>
                <w:b/>
                <w:color w:val="000000" w:themeColor="text1"/>
                <w:sz w:val="19"/>
                <w:szCs w:val="19"/>
              </w:rPr>
            </w:pPr>
            <w:r w:rsidRPr="00A96E0A">
              <w:rPr>
                <w:rFonts w:ascii="Verdana" w:hAnsi="Verdana"/>
                <w:b/>
                <w:color w:val="000000" w:themeColor="text1"/>
                <w:sz w:val="19"/>
                <w:szCs w:val="19"/>
              </w:rPr>
              <w:t>Amounts sought this year</w:t>
            </w:r>
          </w:p>
          <w:p w:rsidR="005C581D" w:rsidRPr="00A96E0A" w:rsidP="005C581D">
            <w:pPr>
              <w:rPr>
                <w:rFonts w:ascii="Verdana" w:hAnsi="Verdana"/>
                <w:b/>
                <w:color w:val="000000" w:themeColor="text1"/>
                <w:sz w:val="19"/>
                <w:szCs w:val="19"/>
              </w:rPr>
            </w:pPr>
            <w:r w:rsidRPr="00A96E0A">
              <w:rPr>
                <w:rFonts w:ascii="Verdana" w:hAnsi="Verdana"/>
                <w:b/>
                <w:color w:val="000000" w:themeColor="text1"/>
                <w:sz w:val="19"/>
                <w:szCs w:val="19"/>
              </w:rPr>
              <w:t>(</w:t>
            </w:r>
            <w:r w:rsidRPr="00A96E0A" w:rsidR="00125B95">
              <w:rPr>
                <w:rFonts w:ascii="Verdana" w:hAnsi="Verdana"/>
                <w:b/>
                <w:color w:val="000000" w:themeColor="text1"/>
                <w:sz w:val="19"/>
                <w:szCs w:val="19"/>
              </w:rPr>
              <w:t>Main</w:t>
            </w:r>
            <w:r w:rsidRPr="00A96E0A">
              <w:rPr>
                <w:rFonts w:ascii="Verdana" w:hAnsi="Verdana"/>
                <w:b/>
                <w:color w:val="000000" w:themeColor="text1"/>
                <w:sz w:val="19"/>
                <w:szCs w:val="19"/>
              </w:rPr>
              <w:t xml:space="preserve"> Estimate 20</w:t>
            </w:r>
            <w:r w:rsidRPr="00A96E0A" w:rsidR="00FF1116">
              <w:rPr>
                <w:rFonts w:ascii="Verdana" w:hAnsi="Verdana"/>
                <w:b/>
                <w:color w:val="000000" w:themeColor="text1"/>
                <w:sz w:val="19"/>
                <w:szCs w:val="19"/>
              </w:rPr>
              <w:t>2</w:t>
            </w:r>
            <w:r w:rsidRPr="00A96E0A" w:rsidR="00125B95">
              <w:rPr>
                <w:rFonts w:ascii="Verdana" w:hAnsi="Verdana"/>
                <w:b/>
                <w:color w:val="000000" w:themeColor="text1"/>
                <w:sz w:val="19"/>
                <w:szCs w:val="19"/>
              </w:rPr>
              <w:t>1</w:t>
            </w:r>
            <w:r w:rsidRPr="00A96E0A">
              <w:rPr>
                <w:rFonts w:ascii="Verdana" w:hAnsi="Verdana"/>
                <w:b/>
                <w:color w:val="000000" w:themeColor="text1"/>
                <w:sz w:val="19"/>
                <w:szCs w:val="19"/>
              </w:rPr>
              <w:t>-2</w:t>
            </w:r>
            <w:r w:rsidRPr="00A96E0A" w:rsidR="00125B95">
              <w:rPr>
                <w:rFonts w:ascii="Verdana" w:hAnsi="Verdana"/>
                <w:b/>
                <w:color w:val="000000" w:themeColor="text1"/>
                <w:sz w:val="19"/>
                <w:szCs w:val="19"/>
              </w:rPr>
              <w:t>2</w:t>
            </w:r>
            <w:r w:rsidRPr="00A96E0A">
              <w:rPr>
                <w:rFonts w:ascii="Verdana" w:hAnsi="Verdana"/>
                <w:b/>
                <w:color w:val="000000" w:themeColor="text1"/>
                <w:sz w:val="19"/>
                <w:szCs w:val="19"/>
              </w:rPr>
              <w:t>)</w:t>
            </w:r>
          </w:p>
        </w:tc>
        <w:tc>
          <w:tcPr>
            <w:tcW w:w="2951" w:type="dxa"/>
            <w:gridSpan w:val="2"/>
          </w:tcPr>
          <w:p w:rsidR="00EC2108" w:rsidRPr="00A96E0A" w:rsidP="00EC2108">
            <w:pPr>
              <w:rPr>
                <w:rFonts w:ascii="Verdana" w:hAnsi="Verdana"/>
                <w:b/>
                <w:color w:val="000000" w:themeColor="text1"/>
                <w:sz w:val="19"/>
                <w:szCs w:val="19"/>
              </w:rPr>
            </w:pPr>
            <w:r w:rsidRPr="00A96E0A">
              <w:rPr>
                <w:rFonts w:ascii="Verdana" w:hAnsi="Verdana"/>
                <w:b/>
                <w:color w:val="000000" w:themeColor="text1"/>
                <w:sz w:val="19"/>
                <w:szCs w:val="19"/>
              </w:rPr>
              <w:t xml:space="preserve">Difference (+/-) compared to final budget last year </w:t>
            </w:r>
          </w:p>
          <w:p w:rsidR="005C581D" w:rsidRPr="00A96E0A" w:rsidP="005C581D">
            <w:pPr>
              <w:rPr>
                <w:rFonts w:ascii="Verdana" w:hAnsi="Verdana"/>
                <w:b/>
                <w:color w:val="000000" w:themeColor="text1"/>
                <w:sz w:val="19"/>
                <w:szCs w:val="19"/>
              </w:rPr>
            </w:pPr>
            <w:r w:rsidRPr="00A96E0A">
              <w:rPr>
                <w:rFonts w:ascii="Verdana" w:hAnsi="Verdana"/>
                <w:b/>
                <w:color w:val="000000" w:themeColor="text1"/>
                <w:sz w:val="19"/>
                <w:szCs w:val="19"/>
              </w:rPr>
              <w:t>(</w:t>
            </w:r>
            <w:r w:rsidRPr="00A96E0A" w:rsidR="00125B95">
              <w:rPr>
                <w:rFonts w:ascii="Verdana" w:hAnsi="Verdana"/>
                <w:b/>
                <w:color w:val="000000" w:themeColor="text1"/>
                <w:sz w:val="19"/>
                <w:szCs w:val="19"/>
              </w:rPr>
              <w:t>Supplementary</w:t>
            </w:r>
            <w:r w:rsidRPr="00A96E0A">
              <w:rPr>
                <w:rFonts w:ascii="Verdana" w:hAnsi="Verdana"/>
                <w:b/>
                <w:color w:val="000000" w:themeColor="text1"/>
                <w:sz w:val="19"/>
                <w:szCs w:val="19"/>
              </w:rPr>
              <w:t xml:space="preserve"> Estimate 20</w:t>
            </w:r>
            <w:r w:rsidRPr="00A96E0A" w:rsidR="00FF1116">
              <w:rPr>
                <w:rFonts w:ascii="Verdana" w:hAnsi="Verdana"/>
                <w:b/>
                <w:color w:val="000000" w:themeColor="text1"/>
                <w:sz w:val="19"/>
                <w:szCs w:val="19"/>
              </w:rPr>
              <w:t>2</w:t>
            </w:r>
            <w:r w:rsidRPr="00A96E0A" w:rsidR="00EC2108">
              <w:rPr>
                <w:rFonts w:ascii="Verdana" w:hAnsi="Verdana"/>
                <w:b/>
                <w:color w:val="000000" w:themeColor="text1"/>
                <w:sz w:val="19"/>
                <w:szCs w:val="19"/>
              </w:rPr>
              <w:t>0</w:t>
            </w:r>
            <w:r w:rsidRPr="00A96E0A">
              <w:rPr>
                <w:rFonts w:ascii="Verdana" w:hAnsi="Verdana"/>
                <w:b/>
                <w:color w:val="000000" w:themeColor="text1"/>
                <w:sz w:val="19"/>
                <w:szCs w:val="19"/>
              </w:rPr>
              <w:t>-2</w:t>
            </w:r>
            <w:r w:rsidRPr="00A96E0A" w:rsidR="00EC2108">
              <w:rPr>
                <w:rFonts w:ascii="Verdana" w:hAnsi="Verdana"/>
                <w:b/>
                <w:color w:val="000000" w:themeColor="text1"/>
                <w:sz w:val="19"/>
                <w:szCs w:val="19"/>
              </w:rPr>
              <w:t>1</w:t>
            </w:r>
            <w:r w:rsidRPr="00A96E0A">
              <w:rPr>
                <w:rFonts w:ascii="Verdana" w:hAnsi="Verdana"/>
                <w:b/>
                <w:color w:val="000000" w:themeColor="text1"/>
                <w:sz w:val="19"/>
                <w:szCs w:val="19"/>
              </w:rPr>
              <w:t>)</w:t>
            </w:r>
          </w:p>
          <w:p w:rsidR="005C581D" w:rsidRPr="00A96E0A" w:rsidP="005C581D">
            <w:pPr>
              <w:rPr>
                <w:rFonts w:ascii="Verdana" w:hAnsi="Verdana"/>
                <w:b/>
                <w:color w:val="000000" w:themeColor="text1"/>
                <w:sz w:val="19"/>
                <w:szCs w:val="19"/>
              </w:rPr>
            </w:pPr>
          </w:p>
        </w:tc>
        <w:tc>
          <w:tcPr>
            <w:tcW w:w="3038" w:type="dxa"/>
            <w:gridSpan w:val="2"/>
          </w:tcPr>
          <w:p w:rsidR="00EC2108" w:rsidRPr="00A96E0A" w:rsidP="00EC2108">
            <w:pPr>
              <w:rPr>
                <w:rFonts w:ascii="Verdana" w:hAnsi="Verdana"/>
                <w:b/>
                <w:color w:val="000000" w:themeColor="text1"/>
                <w:sz w:val="19"/>
                <w:szCs w:val="19"/>
              </w:rPr>
            </w:pPr>
            <w:r w:rsidRPr="00A96E0A">
              <w:rPr>
                <w:rFonts w:ascii="Verdana" w:hAnsi="Verdana"/>
                <w:b/>
                <w:color w:val="000000" w:themeColor="text1"/>
                <w:sz w:val="19"/>
                <w:szCs w:val="19"/>
              </w:rPr>
              <w:t xml:space="preserve">Difference (+/-) compared to original budget last year </w:t>
            </w:r>
          </w:p>
          <w:p w:rsidR="005C581D" w:rsidRPr="00A96E0A" w:rsidP="005C581D">
            <w:pPr>
              <w:rPr>
                <w:rFonts w:ascii="Verdana" w:hAnsi="Verdana"/>
                <w:b/>
                <w:color w:val="000000" w:themeColor="text1"/>
                <w:sz w:val="19"/>
                <w:szCs w:val="19"/>
              </w:rPr>
            </w:pPr>
            <w:r w:rsidRPr="00A96E0A">
              <w:rPr>
                <w:rFonts w:ascii="Verdana" w:hAnsi="Verdana"/>
                <w:b/>
                <w:color w:val="000000" w:themeColor="text1"/>
                <w:sz w:val="19"/>
                <w:szCs w:val="19"/>
              </w:rPr>
              <w:t>(</w:t>
            </w:r>
            <w:r w:rsidRPr="00A96E0A" w:rsidR="00125B95">
              <w:rPr>
                <w:rFonts w:ascii="Verdana" w:hAnsi="Verdana"/>
                <w:b/>
                <w:color w:val="000000" w:themeColor="text1"/>
                <w:sz w:val="19"/>
                <w:szCs w:val="19"/>
              </w:rPr>
              <w:t>Main Estimates</w:t>
            </w:r>
            <w:r w:rsidRPr="00A96E0A">
              <w:rPr>
                <w:rFonts w:ascii="Verdana" w:hAnsi="Verdana"/>
                <w:b/>
                <w:color w:val="000000" w:themeColor="text1"/>
                <w:sz w:val="19"/>
                <w:szCs w:val="19"/>
              </w:rPr>
              <w:t xml:space="preserve"> </w:t>
            </w:r>
            <w:r w:rsidRPr="00A96E0A" w:rsidR="00125B95">
              <w:rPr>
                <w:rFonts w:ascii="Verdana" w:hAnsi="Verdana"/>
                <w:b/>
                <w:color w:val="000000" w:themeColor="text1"/>
                <w:sz w:val="19"/>
                <w:szCs w:val="19"/>
              </w:rPr>
              <w:t>2020-21</w:t>
            </w:r>
            <w:r w:rsidRPr="00A96E0A">
              <w:rPr>
                <w:rFonts w:ascii="Verdana" w:hAnsi="Verdana"/>
                <w:b/>
                <w:color w:val="000000" w:themeColor="text1"/>
                <w:sz w:val="19"/>
                <w:szCs w:val="19"/>
              </w:rPr>
              <w:t>)</w:t>
            </w:r>
          </w:p>
        </w:tc>
      </w:tr>
      <w:tr w:rsidTr="00255E39">
        <w:tblPrEx>
          <w:tblW w:w="0" w:type="auto"/>
          <w:tblLook w:val="04A0"/>
        </w:tblPrEx>
        <w:tc>
          <w:tcPr>
            <w:tcW w:w="3027" w:type="dxa"/>
            <w:gridSpan w:val="2"/>
            <w:vMerge/>
          </w:tcPr>
          <w:p w:rsidR="00E60D27" w:rsidRPr="00A96E0A" w:rsidP="00740C96">
            <w:pPr>
              <w:rPr>
                <w:rFonts w:ascii="Verdana" w:hAnsi="Verdana"/>
                <w:color w:val="000000" w:themeColor="text1"/>
                <w:sz w:val="19"/>
                <w:szCs w:val="19"/>
              </w:rPr>
            </w:pPr>
          </w:p>
        </w:tc>
        <w:tc>
          <w:tcPr>
            <w:tcW w:w="1549" w:type="dxa"/>
          </w:tcPr>
          <w:p w:rsidR="00E60D27" w:rsidRPr="00A96E0A" w:rsidP="00740C96">
            <w:pPr>
              <w:rPr>
                <w:rFonts w:ascii="Verdana" w:hAnsi="Verdana"/>
                <w:color w:val="000000" w:themeColor="text1"/>
                <w:sz w:val="19"/>
                <w:szCs w:val="19"/>
              </w:rPr>
            </w:pPr>
            <w:r w:rsidRPr="00A96E0A">
              <w:rPr>
                <w:rFonts w:ascii="Verdana" w:hAnsi="Verdana"/>
                <w:b/>
                <w:color w:val="000000" w:themeColor="text1"/>
                <w:sz w:val="19"/>
                <w:szCs w:val="19"/>
              </w:rPr>
              <w:t>£ m</w:t>
            </w:r>
          </w:p>
        </w:tc>
        <w:tc>
          <w:tcPr>
            <w:tcW w:w="1402" w:type="dxa"/>
          </w:tcPr>
          <w:p w:rsidR="00E60D27" w:rsidRPr="00A96E0A" w:rsidP="00740C96">
            <w:pPr>
              <w:rPr>
                <w:rFonts w:ascii="Verdana" w:hAnsi="Verdana"/>
                <w:color w:val="000000" w:themeColor="text1"/>
                <w:sz w:val="19"/>
                <w:szCs w:val="19"/>
              </w:rPr>
            </w:pPr>
            <w:r w:rsidRPr="00A96E0A">
              <w:rPr>
                <w:rFonts w:ascii="Verdana" w:hAnsi="Verdana"/>
                <w:b/>
                <w:color w:val="000000" w:themeColor="text1"/>
                <w:sz w:val="19"/>
                <w:szCs w:val="19"/>
              </w:rPr>
              <w:t>%</w:t>
            </w:r>
          </w:p>
        </w:tc>
        <w:tc>
          <w:tcPr>
            <w:tcW w:w="1637" w:type="dxa"/>
          </w:tcPr>
          <w:p w:rsidR="00E60D27" w:rsidRPr="00A96E0A" w:rsidP="00740C96">
            <w:pPr>
              <w:rPr>
                <w:rFonts w:ascii="Verdana" w:hAnsi="Verdana"/>
                <w:color w:val="000000" w:themeColor="text1"/>
                <w:sz w:val="19"/>
                <w:szCs w:val="19"/>
              </w:rPr>
            </w:pPr>
            <w:r w:rsidRPr="00A96E0A">
              <w:rPr>
                <w:rFonts w:ascii="Verdana" w:hAnsi="Verdana"/>
                <w:b/>
                <w:color w:val="000000" w:themeColor="text1"/>
                <w:sz w:val="19"/>
                <w:szCs w:val="19"/>
              </w:rPr>
              <w:t>£m</w:t>
            </w:r>
          </w:p>
        </w:tc>
        <w:tc>
          <w:tcPr>
            <w:tcW w:w="1401" w:type="dxa"/>
          </w:tcPr>
          <w:p w:rsidR="00E60D27" w:rsidRPr="00A96E0A" w:rsidP="00740C96">
            <w:pPr>
              <w:rPr>
                <w:rFonts w:ascii="Verdana" w:hAnsi="Verdana"/>
                <w:color w:val="000000" w:themeColor="text1"/>
                <w:sz w:val="19"/>
                <w:szCs w:val="19"/>
              </w:rPr>
            </w:pPr>
            <w:r w:rsidRPr="00A96E0A">
              <w:rPr>
                <w:rFonts w:ascii="Verdana" w:hAnsi="Verdana"/>
                <w:b/>
                <w:color w:val="000000" w:themeColor="text1"/>
                <w:sz w:val="19"/>
                <w:szCs w:val="19"/>
              </w:rPr>
              <w:t>%</w:t>
            </w:r>
          </w:p>
        </w:tc>
      </w:tr>
      <w:tr w:rsidTr="00CD01B2">
        <w:tblPrEx>
          <w:tblW w:w="0" w:type="auto"/>
          <w:tblLook w:val="04A0"/>
        </w:tblPrEx>
        <w:tc>
          <w:tcPr>
            <w:tcW w:w="1838"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Resource DEL</w:t>
            </w:r>
            <w:r w:rsidRPr="00A96E0A" w:rsidR="00CD01B2">
              <w:rPr>
                <w:rFonts w:ascii="Verdana" w:hAnsi="Verdana"/>
                <w:color w:val="000000" w:themeColor="text1"/>
                <w:sz w:val="19"/>
                <w:szCs w:val="19"/>
              </w:rPr>
              <w:t>*</w:t>
            </w:r>
          </w:p>
        </w:tc>
        <w:tc>
          <w:tcPr>
            <w:tcW w:w="1189"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w:t>
            </w:r>
            <w:r w:rsidRPr="00A96E0A" w:rsidR="00036D29">
              <w:rPr>
                <w:rFonts w:ascii="Verdana" w:hAnsi="Verdana"/>
                <w:color w:val="000000" w:themeColor="text1"/>
                <w:sz w:val="19"/>
                <w:szCs w:val="19"/>
              </w:rPr>
              <w:t>1</w:t>
            </w:r>
            <w:r w:rsidRPr="00A96E0A" w:rsidR="00EC2108">
              <w:rPr>
                <w:rFonts w:ascii="Verdana" w:hAnsi="Verdana"/>
                <w:color w:val="000000" w:themeColor="text1"/>
                <w:sz w:val="19"/>
                <w:szCs w:val="19"/>
              </w:rPr>
              <w:t>15.6</w:t>
            </w:r>
            <w:r w:rsidRPr="00A96E0A">
              <w:rPr>
                <w:rFonts w:ascii="Verdana" w:hAnsi="Verdana"/>
                <w:color w:val="000000" w:themeColor="text1"/>
                <w:sz w:val="19"/>
                <w:szCs w:val="19"/>
              </w:rPr>
              <w:t>m</w:t>
            </w:r>
          </w:p>
        </w:tc>
        <w:tc>
          <w:tcPr>
            <w:tcW w:w="1549" w:type="dxa"/>
            <w:vAlign w:val="center"/>
          </w:tcPr>
          <w:p w:rsidR="00D84C62" w:rsidRPr="00A96E0A" w:rsidP="00D84C62">
            <w:pPr>
              <w:rPr>
                <w:rFonts w:ascii="Verdana" w:hAnsi="Verdana"/>
                <w:color w:val="000000" w:themeColor="text1"/>
                <w:sz w:val="19"/>
                <w:szCs w:val="19"/>
              </w:rPr>
            </w:pPr>
            <w:r w:rsidRPr="00A96E0A">
              <w:rPr>
                <w:rFonts w:ascii="Verdana" w:hAnsi="Verdana" w:cs="Calibri"/>
                <w:color w:val="000000" w:themeColor="text1"/>
                <w:sz w:val="19"/>
                <w:szCs w:val="19"/>
              </w:rPr>
              <w:t>£</w:t>
            </w:r>
            <w:r w:rsidRPr="00A96E0A" w:rsidR="008179E3">
              <w:rPr>
                <w:rFonts w:ascii="Verdana" w:hAnsi="Verdana" w:cs="Calibri"/>
                <w:color w:val="000000" w:themeColor="text1"/>
                <w:sz w:val="19"/>
                <w:szCs w:val="19"/>
              </w:rPr>
              <w:t>13.9</w:t>
            </w:r>
            <w:r w:rsidRPr="00A96E0A">
              <w:rPr>
                <w:rFonts w:ascii="Verdana" w:hAnsi="Verdana" w:cs="Calibri"/>
                <w:color w:val="000000" w:themeColor="text1"/>
                <w:sz w:val="19"/>
                <w:szCs w:val="19"/>
              </w:rPr>
              <w:t xml:space="preserve">m </w:t>
            </w:r>
          </w:p>
        </w:tc>
        <w:tc>
          <w:tcPr>
            <w:tcW w:w="1402"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13.7</w:t>
            </w:r>
            <w:r w:rsidRPr="00A96E0A">
              <w:rPr>
                <w:rFonts w:ascii="Calibri" w:hAnsi="Calibri" w:cs="Calibri"/>
                <w:color w:val="000000" w:themeColor="text1"/>
              </w:rPr>
              <w:t>%</w:t>
            </w:r>
          </w:p>
        </w:tc>
        <w:tc>
          <w:tcPr>
            <w:tcW w:w="1637"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w:t>
            </w:r>
            <w:r w:rsidRPr="00A96E0A" w:rsidR="008179E3">
              <w:rPr>
                <w:rFonts w:ascii="Calibri" w:hAnsi="Calibri" w:cs="Calibri"/>
                <w:color w:val="000000" w:themeColor="text1"/>
              </w:rPr>
              <w:t>20.3</w:t>
            </w:r>
            <w:r w:rsidRPr="00A96E0A">
              <w:rPr>
                <w:rFonts w:ascii="Calibri" w:hAnsi="Calibri" w:cs="Calibri"/>
                <w:color w:val="000000" w:themeColor="text1"/>
              </w:rPr>
              <w:t>m</w:t>
            </w:r>
          </w:p>
        </w:tc>
        <w:tc>
          <w:tcPr>
            <w:tcW w:w="1401"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21.3</w:t>
            </w:r>
            <w:r w:rsidRPr="00A96E0A">
              <w:rPr>
                <w:rFonts w:ascii="Calibri" w:hAnsi="Calibri" w:cs="Calibri"/>
                <w:color w:val="000000" w:themeColor="text1"/>
              </w:rPr>
              <w:t>%</w:t>
            </w:r>
          </w:p>
        </w:tc>
      </w:tr>
      <w:tr w:rsidTr="00962E70">
        <w:tblPrEx>
          <w:tblW w:w="0" w:type="auto"/>
          <w:tblLook w:val="04A0"/>
        </w:tblPrEx>
        <w:tc>
          <w:tcPr>
            <w:tcW w:w="1838"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Capital DEL</w:t>
            </w:r>
          </w:p>
        </w:tc>
        <w:tc>
          <w:tcPr>
            <w:tcW w:w="1189"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w:t>
            </w:r>
            <w:r w:rsidRPr="00A96E0A" w:rsidR="00EC2108">
              <w:rPr>
                <w:rFonts w:ascii="Verdana" w:hAnsi="Verdana"/>
                <w:color w:val="000000" w:themeColor="text1"/>
                <w:sz w:val="19"/>
                <w:szCs w:val="19"/>
              </w:rPr>
              <w:t>7.5</w:t>
            </w:r>
            <w:r w:rsidRPr="00A96E0A">
              <w:rPr>
                <w:rFonts w:ascii="Verdana" w:hAnsi="Verdana"/>
                <w:color w:val="000000" w:themeColor="text1"/>
                <w:sz w:val="19"/>
                <w:szCs w:val="19"/>
              </w:rPr>
              <w:t>m</w:t>
            </w:r>
          </w:p>
        </w:tc>
        <w:tc>
          <w:tcPr>
            <w:tcW w:w="1549" w:type="dxa"/>
            <w:vAlign w:val="center"/>
          </w:tcPr>
          <w:p w:rsidR="00D84C62" w:rsidRPr="00A96E0A" w:rsidP="00D84C62">
            <w:pPr>
              <w:rPr>
                <w:rFonts w:ascii="Verdana" w:hAnsi="Verdana"/>
                <w:color w:val="000000" w:themeColor="text1"/>
                <w:sz w:val="19"/>
                <w:szCs w:val="19"/>
              </w:rPr>
            </w:pPr>
            <w:r w:rsidRPr="00A96E0A">
              <w:rPr>
                <w:rFonts w:ascii="Verdana" w:hAnsi="Verdana" w:cs="Calibri"/>
                <w:color w:val="000000" w:themeColor="text1"/>
                <w:sz w:val="19"/>
                <w:szCs w:val="19"/>
              </w:rPr>
              <w:t>£</w:t>
            </w:r>
            <w:r w:rsidRPr="00A96E0A" w:rsidR="008179E3">
              <w:rPr>
                <w:rFonts w:ascii="Verdana" w:hAnsi="Verdana" w:cs="Calibri"/>
                <w:color w:val="000000" w:themeColor="text1"/>
                <w:sz w:val="19"/>
                <w:szCs w:val="19"/>
              </w:rPr>
              <w:t>4.2</w:t>
            </w:r>
            <w:r w:rsidRPr="00A96E0A">
              <w:rPr>
                <w:rFonts w:ascii="Verdana" w:hAnsi="Verdana" w:cs="Calibri"/>
                <w:color w:val="000000" w:themeColor="text1"/>
                <w:sz w:val="19"/>
                <w:szCs w:val="19"/>
              </w:rPr>
              <w:t>m</w:t>
            </w:r>
          </w:p>
        </w:tc>
        <w:tc>
          <w:tcPr>
            <w:tcW w:w="1402"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127.3</w:t>
            </w:r>
            <w:r w:rsidRPr="00A96E0A" w:rsidR="00105EED">
              <w:rPr>
                <w:rFonts w:ascii="Calibri" w:hAnsi="Calibri" w:cs="Calibri"/>
                <w:color w:val="000000" w:themeColor="text1"/>
              </w:rPr>
              <w:t>%</w:t>
            </w:r>
          </w:p>
        </w:tc>
        <w:tc>
          <w:tcPr>
            <w:tcW w:w="1637" w:type="dxa"/>
            <w:vAlign w:val="bottom"/>
          </w:tcPr>
          <w:p w:rsidR="00D84C62" w:rsidRPr="00A96E0A" w:rsidP="00D84C62">
            <w:pPr>
              <w:rPr>
                <w:rFonts w:ascii="Calibri" w:hAnsi="Calibri" w:cs="Calibri"/>
                <w:color w:val="000000" w:themeColor="text1"/>
              </w:rPr>
            </w:pPr>
            <w:r w:rsidRPr="00A96E0A">
              <w:rPr>
                <w:rFonts w:ascii="Calibri" w:hAnsi="Calibri" w:cs="Calibri"/>
                <w:color w:val="000000" w:themeColor="text1"/>
              </w:rPr>
              <w:t>£6.5</w:t>
            </w:r>
            <w:r w:rsidRPr="00A96E0A">
              <w:rPr>
                <w:rFonts w:ascii="Calibri" w:hAnsi="Calibri" w:cs="Calibri"/>
                <w:color w:val="000000" w:themeColor="text1"/>
              </w:rPr>
              <w:t>m</w:t>
            </w:r>
          </w:p>
        </w:tc>
        <w:tc>
          <w:tcPr>
            <w:tcW w:w="1401" w:type="dxa"/>
            <w:shd w:val="clear" w:color="auto" w:fill="auto"/>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650.0</w:t>
            </w:r>
            <w:r w:rsidRPr="00A96E0A">
              <w:rPr>
                <w:rFonts w:ascii="Calibri" w:hAnsi="Calibri" w:cs="Calibri"/>
                <w:color w:val="000000" w:themeColor="text1"/>
              </w:rPr>
              <w:t>%</w:t>
            </w:r>
          </w:p>
        </w:tc>
      </w:tr>
      <w:tr w:rsidTr="00CD01B2">
        <w:tblPrEx>
          <w:tblW w:w="0" w:type="auto"/>
          <w:tblLook w:val="04A0"/>
        </w:tblPrEx>
        <w:tc>
          <w:tcPr>
            <w:tcW w:w="1838"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Resource AME</w:t>
            </w:r>
          </w:p>
        </w:tc>
        <w:tc>
          <w:tcPr>
            <w:tcW w:w="1189" w:type="dxa"/>
          </w:tcPr>
          <w:p w:rsidR="00D84C62" w:rsidRPr="00A96E0A" w:rsidP="00D84C62">
            <w:pPr>
              <w:rPr>
                <w:rFonts w:ascii="Verdana" w:hAnsi="Verdana"/>
                <w:color w:val="000000" w:themeColor="text1"/>
                <w:sz w:val="19"/>
                <w:szCs w:val="19"/>
              </w:rPr>
            </w:pPr>
            <w:r w:rsidRPr="00A96E0A">
              <w:rPr>
                <w:rFonts w:ascii="Verdana" w:hAnsi="Verdana"/>
                <w:color w:val="000000" w:themeColor="text1"/>
                <w:sz w:val="19"/>
                <w:szCs w:val="19"/>
              </w:rPr>
              <w:t>£10.0m</w:t>
            </w:r>
          </w:p>
        </w:tc>
        <w:tc>
          <w:tcPr>
            <w:tcW w:w="1549" w:type="dxa"/>
            <w:vAlign w:val="center"/>
          </w:tcPr>
          <w:p w:rsidR="00D84C62" w:rsidRPr="00A96E0A" w:rsidP="00D84C62">
            <w:pPr>
              <w:rPr>
                <w:rFonts w:ascii="Verdana" w:hAnsi="Verdana"/>
                <w:color w:val="000000" w:themeColor="text1"/>
                <w:sz w:val="19"/>
                <w:szCs w:val="19"/>
              </w:rPr>
            </w:pPr>
            <w:r w:rsidRPr="00A96E0A">
              <w:rPr>
                <w:rFonts w:ascii="Verdana" w:hAnsi="Verdana" w:cs="Calibri"/>
                <w:color w:val="000000" w:themeColor="text1"/>
                <w:sz w:val="19"/>
                <w:szCs w:val="19"/>
              </w:rPr>
              <w:t>£0.0m</w:t>
            </w:r>
          </w:p>
        </w:tc>
        <w:tc>
          <w:tcPr>
            <w:tcW w:w="1402"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0.0%</w:t>
            </w:r>
          </w:p>
        </w:tc>
        <w:tc>
          <w:tcPr>
            <w:tcW w:w="1637"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w:t>
            </w:r>
            <w:r w:rsidRPr="00A96E0A" w:rsidR="008179E3">
              <w:rPr>
                <w:rFonts w:ascii="Calibri" w:hAnsi="Calibri" w:cs="Calibri"/>
                <w:color w:val="000000" w:themeColor="text1"/>
              </w:rPr>
              <w:t>10.0</w:t>
            </w:r>
            <w:r w:rsidRPr="00A96E0A">
              <w:rPr>
                <w:rFonts w:ascii="Calibri" w:hAnsi="Calibri" w:cs="Calibri"/>
                <w:color w:val="000000" w:themeColor="text1"/>
              </w:rPr>
              <w:t>m</w:t>
            </w:r>
          </w:p>
        </w:tc>
        <w:tc>
          <w:tcPr>
            <w:tcW w:w="1401" w:type="dxa"/>
            <w:vAlign w:val="bottom"/>
          </w:tcPr>
          <w:p w:rsidR="00D84C62" w:rsidRPr="00A96E0A" w:rsidP="00D84C62">
            <w:pPr>
              <w:rPr>
                <w:rFonts w:ascii="Verdana" w:hAnsi="Verdana"/>
                <w:color w:val="000000" w:themeColor="text1"/>
                <w:sz w:val="19"/>
                <w:szCs w:val="19"/>
              </w:rPr>
            </w:pPr>
            <w:r w:rsidRPr="00A96E0A">
              <w:rPr>
                <w:rFonts w:ascii="Calibri" w:hAnsi="Calibri" w:cs="Calibri"/>
                <w:color w:val="000000" w:themeColor="text1"/>
              </w:rPr>
              <w:t>0.0</w:t>
            </w:r>
            <w:r w:rsidRPr="00A96E0A">
              <w:rPr>
                <w:rFonts w:ascii="Calibri" w:hAnsi="Calibri" w:cs="Calibri"/>
                <w:color w:val="000000" w:themeColor="text1"/>
              </w:rPr>
              <w:t>%</w:t>
            </w:r>
          </w:p>
        </w:tc>
      </w:tr>
    </w:tbl>
    <w:p w:rsidR="00FC6AB6" w:rsidRPr="00660430" w:rsidP="00FC6AB6">
      <w:pPr>
        <w:shd w:val="clear" w:color="auto" w:fill="FFFFFF"/>
        <w:spacing w:after="180" w:line="288" w:lineRule="auto"/>
        <w:rPr>
          <w:rFonts w:eastAsia="Times New Roman" w:cs="Times New Roman"/>
          <w:iCs/>
          <w:color w:val="333333"/>
          <w:sz w:val="19"/>
          <w:szCs w:val="19"/>
          <w:lang w:eastAsia="en-GB"/>
        </w:rPr>
      </w:pPr>
      <w:r w:rsidRPr="00660430">
        <w:rPr>
          <w:rFonts w:eastAsia="Times New Roman" w:cs="Times New Roman"/>
          <w:iCs/>
          <w:color w:val="333333"/>
          <w:sz w:val="16"/>
          <w:szCs w:val="16"/>
          <w:lang w:eastAsia="en-GB"/>
        </w:rPr>
        <w:t>*including ringfenced depreciation budget.</w:t>
      </w:r>
      <w:r w:rsidRPr="00660430">
        <w:rPr>
          <w:rFonts w:eastAsia="Times New Roman" w:cs="Times New Roman"/>
          <w:iCs/>
          <w:color w:val="333333"/>
          <w:sz w:val="19"/>
          <w:szCs w:val="19"/>
          <w:lang w:eastAsia="en-GB"/>
        </w:rPr>
        <w:t xml:space="preserve"> </w:t>
      </w:r>
    </w:p>
    <w:p w:rsidR="00DF798D" w:rsidP="00DF798D">
      <w:pPr>
        <w:shd w:val="clear" w:color="auto" w:fill="FFFFFF"/>
        <w:spacing w:after="180" w:line="288" w:lineRule="auto"/>
        <w:rPr>
          <w:rFonts w:ascii="Verdana" w:eastAsia="Times New Roman" w:hAnsi="Verdana" w:cs="Times New Roman"/>
          <w:i/>
          <w:color w:val="333333"/>
          <w:sz w:val="19"/>
          <w:szCs w:val="19"/>
          <w:lang w:eastAsia="en-GB"/>
        </w:rPr>
      </w:pPr>
    </w:p>
    <w:p w:rsidR="00BE6A57" w:rsidP="003542D7">
      <w:r w:rsidRPr="00B24918">
        <w:t xml:space="preserve">A breakdown of spending and income within the net total is shown </w:t>
      </w:r>
      <w:r w:rsidRPr="00B24918" w:rsidR="00271A3E">
        <w:t>in</w:t>
      </w:r>
      <w:r w:rsidRPr="00B24918">
        <w:t xml:space="preserve"> section 2.1.</w:t>
      </w:r>
    </w:p>
    <w:p w:rsidR="00271A3E" w:rsidP="000E0F4E">
      <w:pPr>
        <w:pStyle w:val="Heading2"/>
      </w:pPr>
    </w:p>
    <w:p w:rsidR="00DD6E46" w:rsidP="000E0F4E">
      <w:pPr>
        <w:pStyle w:val="Heading2"/>
      </w:pPr>
      <w:r w:rsidRPr="00740C96">
        <w:t>1.</w:t>
      </w:r>
      <w:r w:rsidR="001F58AE">
        <w:t>4</w:t>
      </w:r>
      <w:r>
        <w:tab/>
      </w:r>
      <w:r w:rsidRPr="00E21706" w:rsidR="00E21706">
        <w:t xml:space="preserve">Key drivers of spending changes since this year </w:t>
      </w:r>
    </w:p>
    <w:p w:rsidR="00B97593" w:rsidP="00B97593"/>
    <w:p w:rsidR="00C7068B" w:rsidP="00B97593">
      <w:r>
        <w:t>The CMA’s 2021-22 Resource DEL</w:t>
      </w:r>
      <w:r>
        <w:t xml:space="preserve"> (RDEL)</w:t>
      </w:r>
      <w:r>
        <w:t xml:space="preserve"> budget is higher than our 2020-21 Main Estimate’s budget </w:t>
      </w:r>
      <w:r w:rsidR="00241F99">
        <w:t xml:space="preserve">as we have been allocated </w:t>
      </w:r>
      <w:r>
        <w:t xml:space="preserve">additional funding </w:t>
      </w:r>
      <w:r>
        <w:t>at</w:t>
      </w:r>
      <w:r>
        <w:t xml:space="preserve"> Spending Review 2020 (</w:t>
      </w:r>
      <w:r>
        <w:t>SR</w:t>
      </w:r>
      <w:r>
        <w:t>20), for the development and operation</w:t>
      </w:r>
      <w:r w:rsidR="00F56EE5">
        <w:t>s</w:t>
      </w:r>
      <w:r>
        <w:t xml:space="preserve"> of new functions.  These include the Office for the Internal Market, Digital Markets Unit and potentially an Office of Subsidy Control.  </w:t>
      </w:r>
      <w:r w:rsidRPr="00C7068B">
        <w:rPr>
          <w:b/>
          <w:bCs/>
        </w:rPr>
        <w:t xml:space="preserve">The CMA received </w:t>
      </w:r>
      <w:r w:rsidRPr="00C7068B">
        <w:rPr>
          <w:b/>
          <w:bCs/>
        </w:rPr>
        <w:t>£20.3m for these functions.</w:t>
      </w:r>
    </w:p>
    <w:p w:rsidR="00B97593" w:rsidP="00B97593">
      <w:r>
        <w:t>The CMA’s ring-fenced RDEL depreciation budget has also increased by £2.5m in 2021-22.  This is following our move to The Cabot in Canary Wharf and incurring additional depreciation charges mostly on the fit-out of the building.</w:t>
      </w:r>
    </w:p>
    <w:p w:rsidR="00B70E8A" w:rsidRPr="00C7068B" w:rsidP="00C7068B">
      <w:r>
        <w:t xml:space="preserve">The Capital DEL </w:t>
      </w:r>
      <w:r w:rsidR="00C7068B">
        <w:t xml:space="preserve">(CDEL) </w:t>
      </w:r>
      <w:r>
        <w:t xml:space="preserve">is </w:t>
      </w:r>
      <w:r w:rsidR="00C7068B">
        <w:t>650</w:t>
      </w:r>
      <w:r>
        <w:t xml:space="preserve">% </w:t>
      </w:r>
      <w:r w:rsidR="00C7068B">
        <w:t>more</w:t>
      </w:r>
      <w:r>
        <w:t xml:space="preserve"> than the original budget for 20</w:t>
      </w:r>
      <w:r w:rsidR="00C7068B">
        <w:t>20</w:t>
      </w:r>
      <w:r>
        <w:t>-2</w:t>
      </w:r>
      <w:r w:rsidR="00C7068B">
        <w:t xml:space="preserve">1.  A £1m capital budget </w:t>
      </w:r>
      <w:r w:rsidR="00F56EE5">
        <w:t>in 20</w:t>
      </w:r>
      <w:r w:rsidR="009F40B6">
        <w:t xml:space="preserve">20-21 </w:t>
      </w:r>
      <w:r w:rsidR="00C7068B">
        <w:t xml:space="preserve">was allocated to the CMA at SR15 and rolled forward in SR19.  The increase to £7.5m brings our capital requirements in line with our revised capitalisation policy, changes in the treatment of research spend under ESA10 and investments we will need to make to </w:t>
      </w:r>
      <w:r w:rsidR="00570046">
        <w:t xml:space="preserve">develop and </w:t>
      </w:r>
      <w:r w:rsidR="00C7068B">
        <w:t>operate the new functions.</w:t>
      </w:r>
    </w:p>
    <w:p w:rsidR="00B37C01" w:rsidP="00523207">
      <w:pPr>
        <w:spacing w:after="0" w:line="240" w:lineRule="auto"/>
      </w:pPr>
    </w:p>
    <w:p w:rsidR="00B37C01" w:rsidP="00523207">
      <w:pPr>
        <w:spacing w:after="0" w:line="240" w:lineRule="auto"/>
      </w:pPr>
    </w:p>
    <w:p w:rsidR="00DD6E46" w:rsidP="000E0F4E">
      <w:pPr>
        <w:pStyle w:val="Heading2"/>
      </w:pPr>
      <w:r w:rsidRPr="00740C96">
        <w:t>1.</w:t>
      </w:r>
      <w:r w:rsidR="001F58AE">
        <w:t>5</w:t>
      </w:r>
      <w:r>
        <w:t xml:space="preserve"> </w:t>
      </w:r>
      <w:r w:rsidR="000E651E">
        <w:tab/>
      </w:r>
      <w:r>
        <w:t>New policies and programmes</w:t>
      </w:r>
      <w:r w:rsidR="0038554F">
        <w:t>; ambit changes</w:t>
      </w:r>
    </w:p>
    <w:p w:rsidR="00E639BA" w:rsidRPr="00E639BA" w:rsidP="00E639BA"/>
    <w:p w:rsidR="008E5C93" w:rsidP="008E5C93">
      <w:pPr>
        <w:rPr>
          <w:bCs/>
          <w:lang w:eastAsia="en-GB"/>
        </w:rPr>
      </w:pPr>
      <w:r w:rsidRPr="008E499E">
        <w:rPr>
          <w:bCs/>
          <w:lang w:eastAsia="en-GB"/>
        </w:rPr>
        <w:t xml:space="preserve">The CMA’s ambit </w:t>
      </w:r>
      <w:r w:rsidR="004E4469">
        <w:rPr>
          <w:bCs/>
          <w:lang w:eastAsia="en-GB"/>
        </w:rPr>
        <w:t xml:space="preserve">is unchanged from </w:t>
      </w:r>
      <w:r w:rsidR="00733755">
        <w:rPr>
          <w:bCs/>
          <w:lang w:eastAsia="en-GB"/>
        </w:rPr>
        <w:t>our 2020-21 Supplementary Estimate whe</w:t>
      </w:r>
      <w:r w:rsidR="007025DC">
        <w:rPr>
          <w:bCs/>
          <w:lang w:eastAsia="en-GB"/>
        </w:rPr>
        <w:t>n</w:t>
      </w:r>
      <w:r w:rsidR="00733755">
        <w:rPr>
          <w:bCs/>
          <w:lang w:eastAsia="en-GB"/>
        </w:rPr>
        <w:t xml:space="preserve"> we</w:t>
      </w:r>
      <w:r w:rsidR="00982804">
        <w:rPr>
          <w:bCs/>
          <w:lang w:eastAsia="en-GB"/>
        </w:rPr>
        <w:t xml:space="preserve"> updated </w:t>
      </w:r>
      <w:r w:rsidR="007025DC">
        <w:rPr>
          <w:bCs/>
          <w:lang w:eastAsia="en-GB"/>
        </w:rPr>
        <w:t xml:space="preserve">it </w:t>
      </w:r>
      <w:r w:rsidRPr="008E499E">
        <w:rPr>
          <w:bCs/>
          <w:lang w:eastAsia="en-GB"/>
        </w:rPr>
        <w:t xml:space="preserve">to reflect the CMA’s </w:t>
      </w:r>
      <w:r w:rsidR="000E394C">
        <w:rPr>
          <w:bCs/>
          <w:lang w:eastAsia="en-GB"/>
        </w:rPr>
        <w:t xml:space="preserve">role in </w:t>
      </w:r>
      <w:r>
        <w:rPr>
          <w:bCs/>
          <w:lang w:eastAsia="en-GB"/>
        </w:rPr>
        <w:t xml:space="preserve">preparing to </w:t>
      </w:r>
      <w:r w:rsidRPr="008E5C93">
        <w:rPr>
          <w:bCs/>
          <w:lang w:eastAsia="en-GB"/>
        </w:rPr>
        <w:t xml:space="preserve">support </w:t>
      </w:r>
      <w:r w:rsidR="000E394C">
        <w:rPr>
          <w:bCs/>
          <w:lang w:eastAsia="en-GB"/>
        </w:rPr>
        <w:t xml:space="preserve">the government’s </w:t>
      </w:r>
      <w:r w:rsidRPr="008E5C93">
        <w:rPr>
          <w:bCs/>
          <w:lang w:eastAsia="en-GB"/>
        </w:rPr>
        <w:t>plans to monitor the running of the UK Internal Market through the Office for the Internal Market (OIM)</w:t>
      </w:r>
      <w:r w:rsidR="00D911C0">
        <w:rPr>
          <w:bCs/>
          <w:lang w:eastAsia="en-GB"/>
        </w:rPr>
        <w:t xml:space="preserve"> and </w:t>
      </w:r>
      <w:r w:rsidRPr="008E5C93">
        <w:rPr>
          <w:bCs/>
          <w:lang w:eastAsia="en-GB"/>
        </w:rPr>
        <w:t>set up a Digital Markets Unit (DMU) to oversee a pro-competition regime for online platforms.</w:t>
      </w:r>
      <w:r w:rsidR="00982804">
        <w:rPr>
          <w:bCs/>
          <w:lang w:eastAsia="en-GB"/>
        </w:rPr>
        <w:t xml:space="preserve"> The additional responsibility has now been incorporated into our ambit</w:t>
      </w:r>
      <w:r w:rsidR="00D57E33">
        <w:rPr>
          <w:bCs/>
          <w:lang w:eastAsia="en-GB"/>
        </w:rPr>
        <w:t xml:space="preserve"> with the following:</w:t>
      </w:r>
    </w:p>
    <w:p w:rsidR="007E2D43" w:rsidP="007E2D43">
      <w:pPr>
        <w:rPr>
          <w:lang w:eastAsia="en-GB"/>
        </w:rPr>
      </w:pPr>
      <w:r w:rsidRPr="00BD0DCF">
        <w:rPr>
          <w:lang w:eastAsia="en-GB"/>
        </w:rPr>
        <w:t>*Preparatory work to set up the Office for the Internal Market (OIM) and Digital Markets Unit (DMU)</w:t>
      </w:r>
    </w:p>
    <w:p w:rsidR="00300D8C" w:rsidP="000E0F4E">
      <w:pPr>
        <w:pStyle w:val="Heading2"/>
      </w:pPr>
    </w:p>
    <w:p w:rsidR="002A25F8" w:rsidP="000E0F4E">
      <w:pPr>
        <w:pStyle w:val="Heading2"/>
      </w:pPr>
      <w:r w:rsidRPr="00740C96">
        <w:t>1.</w:t>
      </w:r>
      <w:r w:rsidR="001F58AE">
        <w:t>6</w:t>
      </w:r>
      <w:r>
        <w:t xml:space="preserve"> </w:t>
      </w:r>
      <w:r w:rsidR="00E639BA">
        <w:tab/>
      </w:r>
      <w:r>
        <w:t xml:space="preserve">Spending </w:t>
      </w:r>
      <w:r w:rsidR="00271A3E">
        <w:t xml:space="preserve">and income </w:t>
      </w:r>
      <w:r>
        <w:t>trends</w:t>
      </w:r>
    </w:p>
    <w:p w:rsidR="00E639BA" w:rsidRPr="00E639BA" w:rsidP="00E639BA"/>
    <w:p w:rsidR="00E1549F" w:rsidP="00BE3DFE">
      <w:r w:rsidRPr="006404E6">
        <w:t xml:space="preserve">The charts below show </w:t>
      </w:r>
      <w:r w:rsidRPr="006404E6" w:rsidR="008A6C5E">
        <w:t xml:space="preserve">overall </w:t>
      </w:r>
      <w:r w:rsidRPr="006404E6" w:rsidR="00733D67">
        <w:t xml:space="preserve">resource DEL </w:t>
      </w:r>
      <w:r w:rsidRPr="006404E6">
        <w:t xml:space="preserve">spending </w:t>
      </w:r>
      <w:r w:rsidRPr="006404E6" w:rsidR="003542D7">
        <w:t xml:space="preserve">and income </w:t>
      </w:r>
      <w:r w:rsidRPr="006404E6" w:rsidR="004B68AB">
        <w:t>trends for the last five years and</w:t>
      </w:r>
      <w:r w:rsidRPr="006404E6">
        <w:t xml:space="preserve"> plans pr</w:t>
      </w:r>
      <w:r w:rsidRPr="006404E6" w:rsidR="004B68AB">
        <w:t xml:space="preserve">esented in </w:t>
      </w:r>
      <w:r w:rsidR="00C86CCF">
        <w:t xml:space="preserve">Main </w:t>
      </w:r>
      <w:r w:rsidRPr="006404E6" w:rsidR="004B68AB">
        <w:t>Estimates for 20</w:t>
      </w:r>
      <w:r w:rsidR="003C70CD">
        <w:t>2</w:t>
      </w:r>
      <w:r w:rsidR="00C86CCF">
        <w:t>1</w:t>
      </w:r>
      <w:r w:rsidRPr="006404E6">
        <w:t>-</w:t>
      </w:r>
      <w:r w:rsidRPr="006404E6" w:rsidR="004B68AB">
        <w:t>2</w:t>
      </w:r>
      <w:r w:rsidR="00C86CCF">
        <w:t>2</w:t>
      </w:r>
      <w:r w:rsidRPr="006404E6">
        <w:t>.</w:t>
      </w:r>
    </w:p>
    <w:p w:rsidR="00E1549F" w:rsidP="00B96311">
      <w:pPr>
        <w:pStyle w:val="Heading3"/>
        <w:jc w:val="center"/>
        <w:rPr>
          <w:noProof/>
        </w:rPr>
      </w:pPr>
    </w:p>
    <w:p w:rsidR="00E10321" w:rsidP="00B96311">
      <w:pPr>
        <w:jc w:val="center"/>
      </w:pPr>
      <w:r>
        <w:rPr>
          <w:noProof/>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7E3D" w:rsidP="00187E3D">
      <w:pPr>
        <w:jc w:val="center"/>
      </w:pPr>
      <w:r w:rsidRPr="00B96311">
        <w:t xml:space="preserve">* </w:t>
      </w:r>
      <w:r>
        <w:t xml:space="preserve">includes </w:t>
      </w:r>
      <w:r w:rsidR="00156187">
        <w:t>pre-audit outturn data</w:t>
      </w:r>
    </w:p>
    <w:p w:rsidR="00187E3D" w:rsidP="00B96311">
      <w:pPr>
        <w:jc w:val="center"/>
      </w:pPr>
    </w:p>
    <w:p w:rsidR="00A536EE" w:rsidP="00B96311">
      <w:pPr>
        <w:jc w:val="center"/>
      </w:pPr>
      <w:r>
        <w:rPr>
          <w:noProof/>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0D8C" w:rsidP="00E639BA">
      <w:pPr>
        <w:jc w:val="center"/>
      </w:pPr>
      <w:r w:rsidRPr="00B96311">
        <w:t xml:space="preserve">* </w:t>
      </w:r>
      <w:r w:rsidR="00156187">
        <w:t>includes pre-audit outturn data</w:t>
      </w:r>
    </w:p>
    <w:p w:rsidR="00E639BA" w:rsidP="00E639BA">
      <w:pPr>
        <w:jc w:val="center"/>
      </w:pPr>
    </w:p>
    <w:p w:rsidR="00570046" w:rsidP="00E639BA">
      <w:pPr>
        <w:jc w:val="center"/>
      </w:pPr>
    </w:p>
    <w:p w:rsidR="00570046" w:rsidP="00E639BA">
      <w:pPr>
        <w:jc w:val="center"/>
      </w:pPr>
    </w:p>
    <w:p w:rsidR="00570046" w:rsidP="00E639BA">
      <w:pPr>
        <w:jc w:val="center"/>
      </w:pPr>
    </w:p>
    <w:p w:rsidR="00570046" w:rsidP="00E639BA">
      <w:pPr>
        <w:jc w:val="center"/>
      </w:pPr>
    </w:p>
    <w:p w:rsidR="00570046" w:rsidP="00E639BA">
      <w:pPr>
        <w:jc w:val="center"/>
      </w:pPr>
    </w:p>
    <w:p w:rsidR="002A25F8" w:rsidP="000E0F4E">
      <w:pPr>
        <w:pStyle w:val="Heading2"/>
      </w:pPr>
      <w:r>
        <w:t>1</w:t>
      </w:r>
      <w:r w:rsidRPr="00740C96" w:rsidR="00740C96">
        <w:t>.</w:t>
      </w:r>
      <w:r w:rsidR="001F58AE">
        <w:t>7</w:t>
      </w:r>
      <w:r>
        <w:t xml:space="preserve"> </w:t>
      </w:r>
      <w:r w:rsidR="00E639BA">
        <w:tab/>
      </w:r>
      <w:r w:rsidR="00594756">
        <w:t>Administration costs and e</w:t>
      </w:r>
      <w:r>
        <w:t>fficiency plans</w:t>
      </w:r>
    </w:p>
    <w:p w:rsidR="00E639BA" w:rsidRPr="00E639BA" w:rsidP="00E639BA"/>
    <w:p w:rsidR="00171D80" w:rsidP="00171D80">
      <w:r>
        <w:t>A</w:t>
      </w:r>
      <w:r w:rsidRPr="00300D8C">
        <w:t xml:space="preserve">dministration costs </w:t>
      </w:r>
      <w:r>
        <w:t>are set to rise by</w:t>
      </w:r>
      <w:r w:rsidR="004D53DB">
        <w:t xml:space="preserve"> 1</w:t>
      </w:r>
      <w:r>
        <w:t>4.3%</w:t>
      </w:r>
      <w:r w:rsidRPr="00300D8C">
        <w:t xml:space="preserve"> to the </w:t>
      </w:r>
      <w:r>
        <w:t>compared to the original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1402"/>
        <w:gridCol w:w="1549"/>
        <w:gridCol w:w="1402"/>
        <w:gridCol w:w="1637"/>
        <w:gridCol w:w="1401"/>
      </w:tblGrid>
      <w:tr w:rsidTr="00255E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27" w:type="dxa"/>
            <w:gridSpan w:val="2"/>
            <w:vMerge w:val="restart"/>
          </w:tcPr>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Spending total</w:t>
            </w:r>
          </w:p>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Amounts sought this year</w:t>
            </w:r>
          </w:p>
          <w:p w:rsidR="008C269F"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(Main Estimate 2021-22)</w:t>
            </w:r>
          </w:p>
        </w:tc>
        <w:tc>
          <w:tcPr>
            <w:tcW w:w="2951" w:type="dxa"/>
            <w:gridSpan w:val="2"/>
          </w:tcPr>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 xml:space="preserve">Difference (+/-) compared to final budget last year </w:t>
            </w:r>
          </w:p>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(Supplementary Estimate 2020-21)</w:t>
            </w:r>
          </w:p>
          <w:p w:rsidR="00594756" w:rsidRPr="00A96E0A" w:rsidP="000E0F4E">
            <w:pPr>
              <w:rPr>
                <w:rFonts w:ascii="Verdana" w:hAnsi="Verdana"/>
                <w:b/>
                <w:color w:val="000000" w:themeColor="text1"/>
                <w:sz w:val="19"/>
                <w:szCs w:val="19"/>
              </w:rPr>
            </w:pPr>
          </w:p>
          <w:p w:rsidR="00594756" w:rsidRPr="00A96E0A" w:rsidP="000E0F4E">
            <w:pPr>
              <w:rPr>
                <w:rFonts w:ascii="Verdana" w:hAnsi="Verdana"/>
                <w:b/>
                <w:color w:val="000000" w:themeColor="text1"/>
                <w:sz w:val="19"/>
                <w:szCs w:val="19"/>
              </w:rPr>
            </w:pPr>
          </w:p>
        </w:tc>
        <w:tc>
          <w:tcPr>
            <w:tcW w:w="3038" w:type="dxa"/>
            <w:gridSpan w:val="2"/>
          </w:tcPr>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 xml:space="preserve">Difference (+/-) compared to original budget last year </w:t>
            </w:r>
          </w:p>
          <w:p w:rsidR="00125B95" w:rsidRPr="00A96E0A" w:rsidP="00125B95">
            <w:pPr>
              <w:rPr>
                <w:rFonts w:ascii="Verdana" w:hAnsi="Verdana"/>
                <w:b/>
                <w:color w:val="000000" w:themeColor="text1"/>
                <w:sz w:val="19"/>
                <w:szCs w:val="19"/>
              </w:rPr>
            </w:pPr>
            <w:r w:rsidRPr="00A96E0A">
              <w:rPr>
                <w:rFonts w:ascii="Verdana" w:hAnsi="Verdana"/>
                <w:b/>
                <w:color w:val="000000" w:themeColor="text1"/>
                <w:sz w:val="19"/>
                <w:szCs w:val="19"/>
              </w:rPr>
              <w:t>(Main Estimates 2020-21)</w:t>
            </w:r>
          </w:p>
          <w:p w:rsidR="00594756" w:rsidRPr="00A96E0A" w:rsidP="000E0F4E">
            <w:pPr>
              <w:rPr>
                <w:rFonts w:ascii="Verdana" w:hAnsi="Verdana"/>
                <w:b/>
                <w:color w:val="000000" w:themeColor="text1"/>
                <w:sz w:val="19"/>
                <w:szCs w:val="19"/>
              </w:rPr>
            </w:pPr>
          </w:p>
        </w:tc>
      </w:tr>
      <w:tr w:rsidTr="00255E39">
        <w:tblPrEx>
          <w:tblW w:w="0" w:type="auto"/>
          <w:tblLook w:val="04A0"/>
        </w:tblPrEx>
        <w:tc>
          <w:tcPr>
            <w:tcW w:w="3027" w:type="dxa"/>
            <w:gridSpan w:val="2"/>
            <w:vMerge/>
          </w:tcPr>
          <w:p w:rsidR="00594756" w:rsidRPr="00A96E0A" w:rsidP="000E0F4E">
            <w:pPr>
              <w:rPr>
                <w:rFonts w:ascii="Verdana" w:hAnsi="Verdana"/>
                <w:color w:val="000000" w:themeColor="text1"/>
                <w:sz w:val="19"/>
                <w:szCs w:val="19"/>
              </w:rPr>
            </w:pPr>
          </w:p>
        </w:tc>
        <w:tc>
          <w:tcPr>
            <w:tcW w:w="1549" w:type="dxa"/>
          </w:tcPr>
          <w:p w:rsidR="00594756" w:rsidRPr="00A96E0A" w:rsidP="000E0F4E">
            <w:pPr>
              <w:rPr>
                <w:rFonts w:ascii="Verdana" w:hAnsi="Verdana"/>
                <w:color w:val="000000" w:themeColor="text1"/>
                <w:sz w:val="19"/>
                <w:szCs w:val="19"/>
              </w:rPr>
            </w:pPr>
            <w:r w:rsidRPr="00A96E0A">
              <w:rPr>
                <w:rFonts w:ascii="Verdana" w:hAnsi="Verdana"/>
                <w:b/>
                <w:color w:val="000000" w:themeColor="text1"/>
                <w:sz w:val="19"/>
                <w:szCs w:val="19"/>
              </w:rPr>
              <w:t>£ m</w:t>
            </w:r>
          </w:p>
        </w:tc>
        <w:tc>
          <w:tcPr>
            <w:tcW w:w="1402" w:type="dxa"/>
          </w:tcPr>
          <w:p w:rsidR="00594756" w:rsidRPr="00A96E0A" w:rsidP="000E0F4E">
            <w:pPr>
              <w:rPr>
                <w:rFonts w:ascii="Verdana" w:hAnsi="Verdana"/>
                <w:color w:val="000000" w:themeColor="text1"/>
                <w:sz w:val="19"/>
                <w:szCs w:val="19"/>
              </w:rPr>
            </w:pPr>
            <w:r w:rsidRPr="00A96E0A">
              <w:rPr>
                <w:rFonts w:ascii="Verdana" w:hAnsi="Verdana"/>
                <w:b/>
                <w:color w:val="000000" w:themeColor="text1"/>
                <w:sz w:val="19"/>
                <w:szCs w:val="19"/>
              </w:rPr>
              <w:t>%</w:t>
            </w:r>
          </w:p>
        </w:tc>
        <w:tc>
          <w:tcPr>
            <w:tcW w:w="1637" w:type="dxa"/>
          </w:tcPr>
          <w:p w:rsidR="00594756" w:rsidRPr="00A96E0A" w:rsidP="000E0F4E">
            <w:pPr>
              <w:rPr>
                <w:rFonts w:ascii="Verdana" w:hAnsi="Verdana"/>
                <w:color w:val="000000" w:themeColor="text1"/>
                <w:sz w:val="19"/>
                <w:szCs w:val="19"/>
              </w:rPr>
            </w:pPr>
            <w:r w:rsidRPr="00A96E0A">
              <w:rPr>
                <w:rFonts w:ascii="Verdana" w:hAnsi="Verdana"/>
                <w:b/>
                <w:color w:val="000000" w:themeColor="text1"/>
                <w:sz w:val="19"/>
                <w:szCs w:val="19"/>
              </w:rPr>
              <w:t>£m</w:t>
            </w:r>
          </w:p>
        </w:tc>
        <w:tc>
          <w:tcPr>
            <w:tcW w:w="1401" w:type="dxa"/>
          </w:tcPr>
          <w:p w:rsidR="00594756" w:rsidRPr="00A96E0A" w:rsidP="000E0F4E">
            <w:pPr>
              <w:rPr>
                <w:rFonts w:ascii="Verdana" w:hAnsi="Verdana"/>
                <w:color w:val="000000" w:themeColor="text1"/>
                <w:sz w:val="19"/>
                <w:szCs w:val="19"/>
              </w:rPr>
            </w:pPr>
            <w:r w:rsidRPr="00A96E0A">
              <w:rPr>
                <w:rFonts w:ascii="Verdana" w:hAnsi="Verdana"/>
                <w:b/>
                <w:color w:val="000000" w:themeColor="text1"/>
                <w:sz w:val="19"/>
                <w:szCs w:val="19"/>
              </w:rPr>
              <w:t>%</w:t>
            </w:r>
          </w:p>
        </w:tc>
      </w:tr>
      <w:tr w:rsidTr="000A0D39">
        <w:tblPrEx>
          <w:tblW w:w="0" w:type="auto"/>
          <w:tblLook w:val="04A0"/>
        </w:tblPrEx>
        <w:tc>
          <w:tcPr>
            <w:tcW w:w="1625" w:type="dxa"/>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Administration costs</w:t>
            </w:r>
            <w:r w:rsidRPr="00A96E0A" w:rsidR="007B662E">
              <w:rPr>
                <w:rFonts w:ascii="Verdana" w:hAnsi="Verdana"/>
                <w:color w:val="000000" w:themeColor="text1"/>
                <w:sz w:val="19"/>
                <w:szCs w:val="19"/>
              </w:rPr>
              <w:t>*</w:t>
            </w:r>
          </w:p>
        </w:tc>
        <w:tc>
          <w:tcPr>
            <w:tcW w:w="1402" w:type="dxa"/>
            <w:shd w:val="clear" w:color="auto" w:fill="auto"/>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w:t>
            </w:r>
            <w:r w:rsidRPr="00A96E0A" w:rsidR="00756B7A">
              <w:rPr>
                <w:rFonts w:ascii="Verdana" w:hAnsi="Verdana"/>
                <w:color w:val="000000" w:themeColor="text1"/>
                <w:sz w:val="19"/>
                <w:szCs w:val="19"/>
              </w:rPr>
              <w:t>2</w:t>
            </w:r>
            <w:r w:rsidRPr="00A96E0A" w:rsidR="0027707B">
              <w:rPr>
                <w:rFonts w:ascii="Verdana" w:hAnsi="Verdana"/>
                <w:color w:val="000000" w:themeColor="text1"/>
                <w:sz w:val="19"/>
                <w:szCs w:val="19"/>
              </w:rPr>
              <w:t>6.6</w:t>
            </w:r>
            <w:r w:rsidRPr="00A96E0A">
              <w:rPr>
                <w:rFonts w:ascii="Verdana" w:hAnsi="Verdana"/>
                <w:color w:val="000000" w:themeColor="text1"/>
                <w:sz w:val="19"/>
                <w:szCs w:val="19"/>
              </w:rPr>
              <w:t>m</w:t>
            </w:r>
          </w:p>
        </w:tc>
        <w:tc>
          <w:tcPr>
            <w:tcW w:w="1549" w:type="dxa"/>
            <w:shd w:val="clear" w:color="auto" w:fill="auto"/>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w:t>
            </w:r>
            <w:r w:rsidRPr="00A96E0A" w:rsidR="0027707B">
              <w:rPr>
                <w:rFonts w:ascii="Verdana" w:hAnsi="Verdana"/>
                <w:color w:val="000000" w:themeColor="text1"/>
                <w:sz w:val="19"/>
                <w:szCs w:val="19"/>
              </w:rPr>
              <w:t>2.3</w:t>
            </w:r>
            <w:r w:rsidRPr="00A96E0A">
              <w:rPr>
                <w:rFonts w:ascii="Verdana" w:hAnsi="Verdana"/>
                <w:color w:val="000000" w:themeColor="text1"/>
                <w:sz w:val="19"/>
                <w:szCs w:val="19"/>
              </w:rPr>
              <w:t>m</w:t>
            </w:r>
          </w:p>
        </w:tc>
        <w:tc>
          <w:tcPr>
            <w:tcW w:w="1402" w:type="dxa"/>
            <w:shd w:val="clear" w:color="auto" w:fill="auto"/>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9.</w:t>
            </w:r>
            <w:r w:rsidR="00950493">
              <w:rPr>
                <w:rFonts w:ascii="Verdana" w:hAnsi="Verdana"/>
                <w:color w:val="000000" w:themeColor="text1"/>
                <w:sz w:val="19"/>
                <w:szCs w:val="19"/>
              </w:rPr>
              <w:t>5</w:t>
            </w:r>
            <w:r w:rsidRPr="00A96E0A" w:rsidR="00FE33BD">
              <w:rPr>
                <w:rFonts w:ascii="Verdana" w:hAnsi="Verdana"/>
                <w:color w:val="000000" w:themeColor="text1"/>
                <w:sz w:val="19"/>
                <w:szCs w:val="19"/>
              </w:rPr>
              <w:t>%</w:t>
            </w:r>
          </w:p>
        </w:tc>
        <w:tc>
          <w:tcPr>
            <w:tcW w:w="1637" w:type="dxa"/>
            <w:shd w:val="clear" w:color="auto" w:fill="auto"/>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w:t>
            </w:r>
            <w:r w:rsidRPr="00A96E0A" w:rsidR="00342C2E">
              <w:rPr>
                <w:rFonts w:ascii="Verdana" w:hAnsi="Verdana"/>
                <w:color w:val="000000" w:themeColor="text1"/>
                <w:sz w:val="19"/>
                <w:szCs w:val="19"/>
              </w:rPr>
              <w:t>3.</w:t>
            </w:r>
            <w:r w:rsidRPr="00A96E0A">
              <w:rPr>
                <w:rFonts w:ascii="Verdana" w:hAnsi="Verdana"/>
                <w:color w:val="000000" w:themeColor="text1"/>
                <w:sz w:val="19"/>
                <w:szCs w:val="19"/>
              </w:rPr>
              <w:t>3</w:t>
            </w:r>
            <w:r w:rsidRPr="00A96E0A" w:rsidR="0002572A">
              <w:rPr>
                <w:rFonts w:ascii="Verdana" w:hAnsi="Verdana"/>
                <w:color w:val="000000" w:themeColor="text1"/>
                <w:sz w:val="19"/>
                <w:szCs w:val="19"/>
              </w:rPr>
              <w:t>m</w:t>
            </w:r>
          </w:p>
        </w:tc>
        <w:tc>
          <w:tcPr>
            <w:tcW w:w="1401" w:type="dxa"/>
            <w:shd w:val="clear" w:color="auto" w:fill="auto"/>
          </w:tcPr>
          <w:p w:rsidR="00594756" w:rsidRPr="00A96E0A" w:rsidP="000E0F4E">
            <w:pPr>
              <w:rPr>
                <w:rFonts w:ascii="Verdana" w:hAnsi="Verdana"/>
                <w:color w:val="000000" w:themeColor="text1"/>
                <w:sz w:val="19"/>
                <w:szCs w:val="19"/>
              </w:rPr>
            </w:pPr>
            <w:r w:rsidRPr="00A96E0A">
              <w:rPr>
                <w:rFonts w:ascii="Verdana" w:hAnsi="Verdana"/>
                <w:color w:val="000000" w:themeColor="text1"/>
                <w:sz w:val="19"/>
                <w:szCs w:val="19"/>
              </w:rPr>
              <w:t>1</w:t>
            </w:r>
            <w:r w:rsidRPr="00A96E0A" w:rsidR="0027707B">
              <w:rPr>
                <w:rFonts w:ascii="Verdana" w:hAnsi="Verdana"/>
                <w:color w:val="000000" w:themeColor="text1"/>
                <w:sz w:val="19"/>
                <w:szCs w:val="19"/>
              </w:rPr>
              <w:t>4.3</w:t>
            </w:r>
            <w:r w:rsidRPr="00A96E0A" w:rsidR="00FE33BD">
              <w:rPr>
                <w:rFonts w:ascii="Verdana" w:hAnsi="Verdana"/>
                <w:color w:val="000000" w:themeColor="text1"/>
                <w:sz w:val="19"/>
                <w:szCs w:val="19"/>
              </w:rPr>
              <w:t>%</w:t>
            </w:r>
          </w:p>
        </w:tc>
      </w:tr>
    </w:tbl>
    <w:p w:rsidR="006871F3" w:rsidRPr="00660430" w:rsidP="006871F3">
      <w:pPr>
        <w:shd w:val="clear" w:color="auto" w:fill="FFFFFF"/>
        <w:spacing w:after="180" w:line="288" w:lineRule="auto"/>
        <w:rPr>
          <w:rFonts w:eastAsia="Times New Roman" w:cs="Times New Roman"/>
          <w:iCs/>
          <w:color w:val="333333"/>
          <w:sz w:val="19"/>
          <w:szCs w:val="19"/>
          <w:lang w:eastAsia="en-GB"/>
        </w:rPr>
      </w:pPr>
      <w:r w:rsidRPr="00660430">
        <w:rPr>
          <w:rFonts w:eastAsia="Times New Roman" w:cs="Times New Roman"/>
          <w:iCs/>
          <w:color w:val="333333"/>
          <w:sz w:val="16"/>
          <w:szCs w:val="16"/>
          <w:lang w:eastAsia="en-GB"/>
        </w:rPr>
        <w:t>*including ringfenced depreciation budget.</w:t>
      </w:r>
      <w:r w:rsidRPr="00660430">
        <w:rPr>
          <w:rFonts w:eastAsia="Times New Roman" w:cs="Times New Roman"/>
          <w:iCs/>
          <w:color w:val="333333"/>
          <w:sz w:val="19"/>
          <w:szCs w:val="19"/>
          <w:lang w:eastAsia="en-GB"/>
        </w:rPr>
        <w:t xml:space="preserve"> </w:t>
      </w:r>
    </w:p>
    <w:p w:rsidR="003931A9" w:rsidRPr="00D751B9" w:rsidP="00B419BD">
      <w:pPr>
        <w:rPr>
          <w:b/>
          <w:bCs/>
          <w:lang w:eastAsia="en-GB"/>
        </w:rPr>
      </w:pPr>
      <w:r>
        <w:rPr>
          <w:lang w:eastAsia="en-GB"/>
        </w:rPr>
        <w:t>The CMA’s</w:t>
      </w:r>
      <w:r w:rsidRPr="00AC0A42" w:rsidR="00B419BD">
        <w:rPr>
          <w:lang w:eastAsia="en-GB"/>
        </w:rPr>
        <w:t xml:space="preserve"> administration costs ha</w:t>
      </w:r>
      <w:r w:rsidR="00B67D2C">
        <w:rPr>
          <w:lang w:eastAsia="en-GB"/>
        </w:rPr>
        <w:t>s</w:t>
      </w:r>
      <w:r w:rsidRPr="00AC0A42" w:rsidR="00B419BD">
        <w:rPr>
          <w:lang w:eastAsia="en-GB"/>
        </w:rPr>
        <w:t xml:space="preserve"> increased </w:t>
      </w:r>
      <w:r w:rsidR="00733CB8">
        <w:rPr>
          <w:lang w:eastAsia="en-GB"/>
        </w:rPr>
        <w:t xml:space="preserve">in line with </w:t>
      </w:r>
      <w:r w:rsidR="004036DE">
        <w:rPr>
          <w:lang w:eastAsia="en-GB"/>
        </w:rPr>
        <w:t xml:space="preserve">a department </w:t>
      </w:r>
      <w:r w:rsidR="007620C5">
        <w:rPr>
          <w:lang w:eastAsia="en-GB"/>
        </w:rPr>
        <w:t xml:space="preserve">that is growing, </w:t>
      </w:r>
      <w:r w:rsidR="004036DE">
        <w:rPr>
          <w:lang w:eastAsia="en-GB"/>
        </w:rPr>
        <w:t xml:space="preserve">as we take on new functions.  An appropriate level of growth within our Corporate Services function </w:t>
      </w:r>
      <w:r>
        <w:rPr>
          <w:lang w:eastAsia="en-GB"/>
        </w:rPr>
        <w:t xml:space="preserve">is required to support </w:t>
      </w:r>
      <w:r w:rsidR="0068040C">
        <w:rPr>
          <w:lang w:eastAsia="en-GB"/>
        </w:rPr>
        <w:t xml:space="preserve">the </w:t>
      </w:r>
      <w:r>
        <w:rPr>
          <w:lang w:eastAsia="en-GB"/>
        </w:rPr>
        <w:t>frontline</w:t>
      </w:r>
      <w:r w:rsidR="004D53DB">
        <w:rPr>
          <w:lang w:eastAsia="en-GB"/>
        </w:rPr>
        <w:t xml:space="preserve"> and funding for this was allocated at SR20</w:t>
      </w:r>
      <w:r w:rsidR="001D4495">
        <w:rPr>
          <w:lang w:eastAsia="en-GB"/>
        </w:rPr>
        <w:t>.</w:t>
      </w:r>
    </w:p>
    <w:p w:rsidR="00171D80" w:rsidP="00171D80">
      <w:pPr>
        <w:rPr>
          <w:lang w:eastAsia="en-GB"/>
        </w:rPr>
      </w:pPr>
      <w:r w:rsidRPr="00AB3FA3">
        <w:rPr>
          <w:lang w:eastAsia="en-GB"/>
        </w:rPr>
        <w:t>The CMA</w:t>
      </w:r>
      <w:r>
        <w:rPr>
          <w:lang w:eastAsia="en-GB"/>
        </w:rPr>
        <w:t>’</w:t>
      </w:r>
      <w:r w:rsidR="00691575">
        <w:rPr>
          <w:lang w:eastAsia="en-GB"/>
        </w:rPr>
        <w:t>s</w:t>
      </w:r>
      <w:r w:rsidRPr="00AB3FA3">
        <w:rPr>
          <w:lang w:eastAsia="en-GB"/>
        </w:rPr>
        <w:t xml:space="preserve"> plan to realise efficiency savings remain the same as </w:t>
      </w:r>
      <w:r w:rsidR="001D4495">
        <w:rPr>
          <w:lang w:eastAsia="en-GB"/>
        </w:rPr>
        <w:t>last year</w:t>
      </w:r>
      <w:r w:rsidRPr="00AB3FA3">
        <w:rPr>
          <w:lang w:eastAsia="en-GB"/>
        </w:rPr>
        <w:t xml:space="preserve">. </w:t>
      </w:r>
      <w:r w:rsidR="007B7E6E">
        <w:rPr>
          <w:lang w:eastAsia="en-GB"/>
        </w:rPr>
        <w:t>Our</w:t>
      </w:r>
      <w:r w:rsidRPr="00AB3FA3">
        <w:rPr>
          <w:lang w:eastAsia="en-GB"/>
        </w:rPr>
        <w:t xml:space="preserve"> accommodation in</w:t>
      </w:r>
      <w:r w:rsidR="003D6525">
        <w:rPr>
          <w:lang w:eastAsia="en-GB"/>
        </w:rPr>
        <w:t xml:space="preserve"> London will be used efficiently as we grow</w:t>
      </w:r>
      <w:r w:rsidR="00BF31A1">
        <w:rPr>
          <w:lang w:eastAsia="en-GB"/>
        </w:rPr>
        <w:t xml:space="preserve">, taking into consideration </w:t>
      </w:r>
      <w:r w:rsidR="005940B0">
        <w:rPr>
          <w:lang w:eastAsia="en-GB"/>
        </w:rPr>
        <w:t xml:space="preserve">a </w:t>
      </w:r>
      <w:r w:rsidR="00BF31A1">
        <w:rPr>
          <w:lang w:eastAsia="en-GB"/>
        </w:rPr>
        <w:t>Covid</w:t>
      </w:r>
      <w:r w:rsidR="00890C42">
        <w:rPr>
          <w:lang w:eastAsia="en-GB"/>
        </w:rPr>
        <w:t xml:space="preserve">19 </w:t>
      </w:r>
      <w:r w:rsidR="001C18B3">
        <w:rPr>
          <w:lang w:eastAsia="en-GB"/>
        </w:rPr>
        <w:t>enforced future operating model</w:t>
      </w:r>
      <w:r w:rsidR="005940B0">
        <w:rPr>
          <w:lang w:eastAsia="en-GB"/>
        </w:rPr>
        <w:t xml:space="preserve">.  </w:t>
      </w:r>
      <w:r>
        <w:rPr>
          <w:lang w:eastAsia="en-GB"/>
        </w:rPr>
        <w:t xml:space="preserve"> </w:t>
      </w:r>
      <w:r w:rsidR="005940B0">
        <w:rPr>
          <w:lang w:eastAsia="en-GB"/>
        </w:rPr>
        <w:t>W</w:t>
      </w:r>
      <w:r>
        <w:rPr>
          <w:lang w:eastAsia="en-GB"/>
        </w:rPr>
        <w:t>e are</w:t>
      </w:r>
      <w:r w:rsidRPr="00AB3FA3">
        <w:rPr>
          <w:lang w:eastAsia="en-GB"/>
        </w:rPr>
        <w:t xml:space="preserve"> </w:t>
      </w:r>
      <w:r w:rsidR="005940B0">
        <w:rPr>
          <w:lang w:eastAsia="en-GB"/>
        </w:rPr>
        <w:t xml:space="preserve">also </w:t>
      </w:r>
      <w:r w:rsidRPr="00AB3FA3">
        <w:rPr>
          <w:lang w:eastAsia="en-GB"/>
        </w:rPr>
        <w:t>continuing to increase our presence in the Devolved Nations</w:t>
      </w:r>
      <w:r w:rsidR="005940B0">
        <w:rPr>
          <w:lang w:eastAsia="en-GB"/>
        </w:rPr>
        <w:t xml:space="preserve"> and will look at accommodation options outside of </w:t>
      </w:r>
      <w:r w:rsidR="000878D6">
        <w:rPr>
          <w:lang w:eastAsia="en-GB"/>
        </w:rPr>
        <w:t>South East England to support the Government’s Levelling Up agenda.</w:t>
      </w:r>
    </w:p>
    <w:p w:rsidR="00477DCE">
      <w:pPr>
        <w:rPr>
          <w:lang w:eastAsia="en-GB"/>
        </w:rPr>
      </w:pPr>
    </w:p>
    <w:p w:rsidR="00464D21" w:rsidP="007656A6">
      <w:pPr>
        <w:pStyle w:val="Heading2"/>
        <w:rPr>
          <w:lang w:eastAsia="en-GB"/>
        </w:rPr>
      </w:pPr>
      <w:r>
        <w:rPr>
          <w:lang w:eastAsia="en-GB"/>
        </w:rPr>
        <w:t>1.</w:t>
      </w:r>
      <w:r w:rsidR="001F58AE">
        <w:rPr>
          <w:lang w:eastAsia="en-GB"/>
        </w:rPr>
        <w:t>8</w:t>
      </w:r>
      <w:r>
        <w:rPr>
          <w:lang w:eastAsia="en-GB"/>
        </w:rPr>
        <w:t xml:space="preserve"> </w:t>
      </w:r>
      <w:r w:rsidR="00E639BA">
        <w:rPr>
          <w:lang w:eastAsia="en-GB"/>
        </w:rPr>
        <w:tab/>
      </w:r>
      <w:r>
        <w:rPr>
          <w:lang w:eastAsia="en-GB"/>
        </w:rPr>
        <w:t>Funding</w:t>
      </w:r>
      <w:r w:rsidR="00E22BAE">
        <w:rPr>
          <w:lang w:eastAsia="en-GB"/>
        </w:rPr>
        <w:t xml:space="preserve">: Spending Review and Budgets </w:t>
      </w:r>
    </w:p>
    <w:p w:rsidR="00E639BA" w:rsidRPr="00E639BA" w:rsidP="00E639BA">
      <w:pPr>
        <w:rPr>
          <w:lang w:eastAsia="en-GB"/>
        </w:rPr>
      </w:pPr>
    </w:p>
    <w:p w:rsidR="000B266F" w:rsidRPr="000B266F" w:rsidP="00165D31">
      <w:pPr>
        <w:rPr>
          <w:lang w:eastAsia="en-GB"/>
        </w:rPr>
      </w:pPr>
      <w:r w:rsidRPr="000B266F">
        <w:rPr>
          <w:lang w:eastAsia="en-GB"/>
        </w:rPr>
        <w:t>In the 2020 Spending Review (SR20), HMT allocated the CMA a</w:t>
      </w:r>
      <w:r w:rsidRPr="000B266F" w:rsidR="00585BB1">
        <w:rPr>
          <w:lang w:eastAsia="en-GB"/>
        </w:rPr>
        <w:t xml:space="preserve"> core Resource Departmental Expenditure Limit (RDEL) (</w:t>
      </w:r>
      <w:r>
        <w:rPr>
          <w:lang w:eastAsia="en-GB"/>
        </w:rPr>
        <w:t>ex</w:t>
      </w:r>
      <w:r w:rsidRPr="000B266F" w:rsidR="00C717D9">
        <w:rPr>
          <w:lang w:eastAsia="en-GB"/>
        </w:rPr>
        <w:t>cluding</w:t>
      </w:r>
      <w:r w:rsidRPr="000B266F" w:rsidR="00585BB1">
        <w:rPr>
          <w:lang w:eastAsia="en-GB"/>
        </w:rPr>
        <w:t xml:space="preserve"> depreciation) </w:t>
      </w:r>
      <w:r w:rsidRPr="000B266F" w:rsidR="00C717D9">
        <w:rPr>
          <w:lang w:eastAsia="en-GB"/>
        </w:rPr>
        <w:t>budget of</w:t>
      </w:r>
      <w:r w:rsidRPr="000B266F" w:rsidR="00585BB1">
        <w:rPr>
          <w:lang w:eastAsia="en-GB"/>
        </w:rPr>
        <w:t xml:space="preserve"> £1</w:t>
      </w:r>
      <w:r>
        <w:rPr>
          <w:lang w:eastAsia="en-GB"/>
        </w:rPr>
        <w:t>09</w:t>
      </w:r>
      <w:r w:rsidRPr="000B266F" w:rsidR="00585BB1">
        <w:rPr>
          <w:lang w:eastAsia="en-GB"/>
        </w:rPr>
        <w:t xml:space="preserve">.6 million </w:t>
      </w:r>
      <w:r w:rsidRPr="000B266F" w:rsidR="00C717D9">
        <w:rPr>
          <w:lang w:eastAsia="en-GB"/>
        </w:rPr>
        <w:t>for</w:t>
      </w:r>
      <w:r w:rsidRPr="000B266F" w:rsidR="00585BB1">
        <w:rPr>
          <w:lang w:eastAsia="en-GB"/>
        </w:rPr>
        <w:t xml:space="preserve"> 2021-22. </w:t>
      </w:r>
      <w:r w:rsidRPr="000B266F" w:rsidR="00316C62">
        <w:rPr>
          <w:lang w:eastAsia="en-GB"/>
        </w:rPr>
        <w:t xml:space="preserve"> </w:t>
      </w:r>
      <w:r w:rsidRPr="000B266F" w:rsidR="00594C64">
        <w:rPr>
          <w:lang w:eastAsia="en-GB"/>
        </w:rPr>
        <w:t xml:space="preserve"> This allocation was a roll</w:t>
      </w:r>
      <w:r w:rsidRPr="000B266F" w:rsidR="00530D96">
        <w:rPr>
          <w:lang w:eastAsia="en-GB"/>
        </w:rPr>
        <w:t>over of our SR19 budget</w:t>
      </w:r>
      <w:r w:rsidRPr="000B266F" w:rsidR="00F510CD">
        <w:rPr>
          <w:lang w:eastAsia="en-GB"/>
        </w:rPr>
        <w:t xml:space="preserve">, </w:t>
      </w:r>
      <w:r w:rsidRPr="000B266F" w:rsidR="00530D96">
        <w:rPr>
          <w:lang w:eastAsia="en-GB"/>
        </w:rPr>
        <w:t xml:space="preserve">excluding funding </w:t>
      </w:r>
      <w:r w:rsidRPr="000B266F" w:rsidR="00F510CD">
        <w:rPr>
          <w:lang w:eastAsia="en-GB"/>
        </w:rPr>
        <w:t>previously received for</w:t>
      </w:r>
      <w:r w:rsidRPr="000B266F" w:rsidR="00530D96">
        <w:rPr>
          <w:lang w:eastAsia="en-GB"/>
        </w:rPr>
        <w:t xml:space="preserve"> Subsidy Control</w:t>
      </w:r>
      <w:r w:rsidRPr="000B266F" w:rsidR="00F510CD">
        <w:rPr>
          <w:lang w:eastAsia="en-GB"/>
        </w:rPr>
        <w:t xml:space="preserve"> </w:t>
      </w:r>
      <w:r w:rsidRPr="000B266F" w:rsidR="00F031B6">
        <w:rPr>
          <w:lang w:eastAsia="en-GB"/>
        </w:rPr>
        <w:t>and increased by £20.3</w:t>
      </w:r>
      <w:r w:rsidRPr="000B266F" w:rsidR="00995628">
        <w:rPr>
          <w:lang w:eastAsia="en-GB"/>
        </w:rPr>
        <w:t xml:space="preserve">m for developing and operating The Office for the Internal Market, </w:t>
      </w:r>
      <w:r w:rsidRPr="000B266F">
        <w:rPr>
          <w:lang w:eastAsia="en-GB"/>
        </w:rPr>
        <w:t>t</w:t>
      </w:r>
      <w:r w:rsidRPr="000B266F" w:rsidR="00995628">
        <w:rPr>
          <w:lang w:eastAsia="en-GB"/>
        </w:rPr>
        <w:t xml:space="preserve">he Digital Markets Unit and </w:t>
      </w:r>
      <w:r w:rsidRPr="000B266F">
        <w:rPr>
          <w:lang w:eastAsia="en-GB"/>
        </w:rPr>
        <w:t>a potential</w:t>
      </w:r>
      <w:r w:rsidRPr="000B266F" w:rsidR="003A3380">
        <w:rPr>
          <w:lang w:eastAsia="en-GB"/>
        </w:rPr>
        <w:t xml:space="preserve"> Office of Subsidy Contro</w:t>
      </w:r>
      <w:r w:rsidRPr="000B266F">
        <w:rPr>
          <w:lang w:eastAsia="en-GB"/>
        </w:rPr>
        <w:t>l.</w:t>
      </w:r>
    </w:p>
    <w:p w:rsidR="00165D31" w:rsidP="008E4A28">
      <w:pPr>
        <w:rPr>
          <w:lang w:eastAsia="en-GB"/>
        </w:rPr>
      </w:pPr>
      <w:r>
        <w:rPr>
          <w:lang w:eastAsia="en-GB"/>
        </w:rPr>
        <w:t xml:space="preserve">The CMA’s </w:t>
      </w:r>
      <w:r w:rsidRPr="003D04A6">
        <w:rPr>
          <w:lang w:eastAsia="en-GB"/>
        </w:rPr>
        <w:t>core Capital Departmental Expenditure Limits (CDEL) for 2021-22 will be £7.5 million</w:t>
      </w:r>
      <w:r w:rsidR="00741704">
        <w:rPr>
          <w:lang w:eastAsia="en-GB"/>
        </w:rPr>
        <w:t>, allocated at SR20.</w:t>
      </w:r>
    </w:p>
    <w:p w:rsidR="00740C96" w:rsidRPr="00E639BA" w:rsidP="00EF63D2">
      <w:pPr>
        <w:pStyle w:val="Heading2"/>
        <w:rPr>
          <w:sz w:val="32"/>
          <w:szCs w:val="32"/>
        </w:rPr>
      </w:pPr>
      <w:r w:rsidRPr="00E639BA">
        <w:rPr>
          <w:sz w:val="32"/>
          <w:szCs w:val="32"/>
        </w:rPr>
        <w:t>2</w:t>
      </w:r>
      <w:r w:rsidRPr="00E639BA" w:rsidR="00F00274">
        <w:rPr>
          <w:sz w:val="32"/>
          <w:szCs w:val="32"/>
        </w:rPr>
        <w:t xml:space="preserve"> </w:t>
      </w:r>
      <w:r w:rsidR="00E639BA">
        <w:rPr>
          <w:sz w:val="32"/>
          <w:szCs w:val="32"/>
        </w:rPr>
        <w:tab/>
      </w:r>
      <w:r w:rsidRPr="00E639BA" w:rsidR="00FD38EB">
        <w:rPr>
          <w:sz w:val="32"/>
          <w:szCs w:val="32"/>
        </w:rPr>
        <w:t xml:space="preserve">Spending </w:t>
      </w:r>
      <w:r w:rsidRPr="00E639BA" w:rsidR="00406DDA">
        <w:rPr>
          <w:sz w:val="32"/>
          <w:szCs w:val="32"/>
        </w:rPr>
        <w:t xml:space="preserve">and income </w:t>
      </w:r>
      <w:r w:rsidRPr="00E639BA" w:rsidR="00FD38EB">
        <w:rPr>
          <w:sz w:val="32"/>
          <w:szCs w:val="32"/>
        </w:rPr>
        <w:t>detail</w:t>
      </w:r>
    </w:p>
    <w:p w:rsidR="00591EFD" w:rsidRPr="00591EFD" w:rsidP="00591EFD"/>
    <w:p w:rsidR="006F30CB" w:rsidRPr="00E639BA" w:rsidP="00137ED6">
      <w:pPr>
        <w:pStyle w:val="Heading3"/>
        <w:rPr>
          <w:sz w:val="28"/>
          <w:szCs w:val="28"/>
        </w:rPr>
      </w:pPr>
      <w:r w:rsidRPr="00E639BA">
        <w:rPr>
          <w:sz w:val="28"/>
          <w:szCs w:val="28"/>
        </w:rPr>
        <w:t xml:space="preserve">2.1 </w:t>
      </w:r>
      <w:r w:rsidRPr="00E639BA" w:rsidR="00E639BA">
        <w:rPr>
          <w:sz w:val="28"/>
          <w:szCs w:val="28"/>
        </w:rPr>
        <w:tab/>
      </w:r>
      <w:r w:rsidRPr="00E639BA" w:rsidR="00EC2B9F">
        <w:rPr>
          <w:sz w:val="28"/>
          <w:szCs w:val="28"/>
        </w:rPr>
        <w:t>Explanation</w:t>
      </w:r>
      <w:r w:rsidRPr="00E639BA" w:rsidR="00EE5BFD">
        <w:rPr>
          <w:sz w:val="28"/>
          <w:szCs w:val="28"/>
        </w:rPr>
        <w:t>s</w:t>
      </w:r>
      <w:r w:rsidRPr="00E639BA" w:rsidR="00EC2B9F">
        <w:rPr>
          <w:sz w:val="28"/>
          <w:szCs w:val="28"/>
        </w:rPr>
        <w:t xml:space="preserve"> of changes in spending </w:t>
      </w:r>
      <w:r w:rsidRPr="00E639BA" w:rsidR="00406DDA">
        <w:rPr>
          <w:sz w:val="28"/>
          <w:szCs w:val="28"/>
        </w:rPr>
        <w:t>and income</w:t>
      </w:r>
    </w:p>
    <w:p w:rsidR="00E639BA" w:rsidRPr="00E639BA" w:rsidP="00881583">
      <w:pPr>
        <w:spacing w:after="0"/>
      </w:pPr>
    </w:p>
    <w:p w:rsidR="000720A2" w:rsidP="00137ED6">
      <w:pPr>
        <w:pStyle w:val="Heading4"/>
      </w:pPr>
      <w:r>
        <w:rPr>
          <w:rFonts w:eastAsia="Times New Roman"/>
        </w:rPr>
        <w:t>Resource DEL</w:t>
      </w:r>
      <w:r w:rsidR="00EC2B9F">
        <w:rPr>
          <w:rFonts w:eastAsia="Times New Roman"/>
        </w:rPr>
        <w:t xml:space="preserve"> </w:t>
      </w:r>
    </w:p>
    <w:p w:rsidR="00D3272A" w:rsidP="00D3272A">
      <w:pPr>
        <w:rPr>
          <w:rFonts w:eastAsia="Times New Roman"/>
        </w:rPr>
      </w:pPr>
      <w:r>
        <w:t xml:space="preserve">The table below shows how spending plans for Resource DEL compare with last year.  </w:t>
      </w:r>
    </w:p>
    <w:tbl>
      <w:tblPr>
        <w:tblW w:w="8805" w:type="dxa"/>
        <w:tblLook w:val="04A0"/>
      </w:tblPr>
      <w:tblGrid>
        <w:gridCol w:w="980"/>
        <w:gridCol w:w="2180"/>
        <w:gridCol w:w="1441"/>
        <w:gridCol w:w="1044"/>
        <w:gridCol w:w="960"/>
        <w:gridCol w:w="960"/>
        <w:gridCol w:w="1240"/>
      </w:tblGrid>
      <w:tr w:rsidTr="00426EBF">
        <w:tblPrEx>
          <w:tblW w:w="8805" w:type="dxa"/>
          <w:tblLook w:val="04A0"/>
        </w:tblPrEx>
        <w:trPr>
          <w:trHeight w:val="300"/>
        </w:trPr>
        <w:tc>
          <w:tcPr>
            <w:tcW w:w="980" w:type="dxa"/>
            <w:tcBorders>
              <w:top w:val="nil"/>
              <w:left w:val="nil"/>
              <w:bottom w:val="nil"/>
              <w:right w:val="nil"/>
            </w:tcBorders>
            <w:shd w:val="clear" w:color="auto" w:fill="auto"/>
            <w:noWrap/>
            <w:vAlign w:val="bottom"/>
            <w:hideMark/>
          </w:tcPr>
          <w:p w:rsidR="00A545AA" w:rsidRPr="005B0062" w:rsidP="00A545AA">
            <w:pPr>
              <w:spacing w:after="0" w:line="240" w:lineRule="auto"/>
              <w:rPr>
                <w:rFonts w:ascii="Times New Roman" w:eastAsia="Times New Roman" w:hAnsi="Times New Roman" w:cs="Times New Roman"/>
                <w:color w:val="000000" w:themeColor="text1"/>
                <w:sz w:val="24"/>
                <w:szCs w:val="24"/>
                <w:lang w:eastAsia="en-GB"/>
              </w:rPr>
            </w:pPr>
          </w:p>
        </w:tc>
        <w:tc>
          <w:tcPr>
            <w:tcW w:w="2180" w:type="dxa"/>
            <w:tcBorders>
              <w:top w:val="nil"/>
              <w:left w:val="nil"/>
              <w:bottom w:val="nil"/>
              <w:right w:val="single" w:sz="4" w:space="0" w:color="auto"/>
            </w:tcBorders>
            <w:shd w:val="clear" w:color="auto" w:fill="auto"/>
            <w:noWrap/>
            <w:vAlign w:val="bottom"/>
            <w:hideMark/>
          </w:tcPr>
          <w:p w:rsidR="00A545AA" w:rsidRPr="005B0062" w:rsidP="00A545AA">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 </w:t>
            </w:r>
          </w:p>
        </w:tc>
        <w:tc>
          <w:tcPr>
            <w:tcW w:w="1441" w:type="dxa"/>
            <w:tcBorders>
              <w:top w:val="single" w:sz="4" w:space="0" w:color="auto"/>
              <w:left w:val="nil"/>
              <w:bottom w:val="single" w:sz="4" w:space="0" w:color="auto"/>
              <w:right w:val="nil"/>
            </w:tcBorders>
            <w:shd w:val="clear" w:color="auto" w:fill="auto"/>
            <w:noWrap/>
            <w:vAlign w:val="bottom"/>
            <w:hideMark/>
          </w:tcPr>
          <w:p w:rsidR="00A545AA" w:rsidRPr="005B0062" w:rsidP="00A545AA">
            <w:pPr>
              <w:spacing w:after="0" w:line="240" w:lineRule="auto"/>
              <w:rPr>
                <w:rFonts w:ascii="Calibri" w:eastAsia="Times New Roman" w:hAnsi="Calibri" w:cs="Calibri"/>
                <w:b/>
                <w:bCs/>
                <w:color w:val="000000" w:themeColor="text1"/>
                <w:sz w:val="20"/>
                <w:szCs w:val="20"/>
                <w:lang w:eastAsia="en-GB"/>
              </w:rPr>
            </w:pPr>
            <w:r w:rsidRPr="005B0062">
              <w:rPr>
                <w:rFonts w:ascii="Calibri" w:eastAsia="Times New Roman" w:hAnsi="Calibri" w:cs="Calibri"/>
                <w:b/>
                <w:bCs/>
                <w:color w:val="000000" w:themeColor="text1"/>
                <w:sz w:val="20"/>
                <w:szCs w:val="20"/>
                <w:lang w:eastAsia="en-GB"/>
              </w:rPr>
              <w:t>Resource</w:t>
            </w:r>
          </w:p>
        </w:tc>
        <w:tc>
          <w:tcPr>
            <w:tcW w:w="1044" w:type="dxa"/>
            <w:tcBorders>
              <w:top w:val="single" w:sz="4" w:space="0" w:color="auto"/>
              <w:left w:val="nil"/>
              <w:bottom w:val="single" w:sz="4" w:space="0" w:color="auto"/>
              <w:right w:val="nil"/>
            </w:tcBorders>
            <w:shd w:val="clear" w:color="auto" w:fill="auto"/>
            <w:noWrap/>
            <w:vAlign w:val="bottom"/>
            <w:hideMark/>
          </w:tcPr>
          <w:p w:rsidR="00A545AA" w:rsidRPr="005B0062" w:rsidP="00A545AA">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DEL</w:t>
            </w:r>
            <w:r w:rsidRPr="005B0062" w:rsidR="00AC009A">
              <w:rPr>
                <w:rFonts w:ascii="Calibri" w:eastAsia="Times New Roman" w:hAnsi="Calibri" w:cs="Calibri"/>
                <w:color w:val="000000" w:themeColor="text1"/>
                <w:sz w:val="20"/>
                <w:szCs w:val="20"/>
                <w:lang w:eastAsia="en-GB"/>
              </w:rPr>
              <w:t>*</w:t>
            </w:r>
          </w:p>
        </w:tc>
        <w:tc>
          <w:tcPr>
            <w:tcW w:w="960" w:type="dxa"/>
            <w:tcBorders>
              <w:top w:val="single" w:sz="4" w:space="0" w:color="auto"/>
              <w:left w:val="nil"/>
              <w:bottom w:val="single" w:sz="4" w:space="0" w:color="auto"/>
              <w:right w:val="nil"/>
            </w:tcBorders>
            <w:shd w:val="clear" w:color="auto" w:fill="auto"/>
            <w:noWrap/>
            <w:vAlign w:val="bottom"/>
            <w:hideMark/>
          </w:tcPr>
          <w:p w:rsidR="00A545AA" w:rsidRPr="005B0062" w:rsidP="00A545AA">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w:t>
            </w:r>
          </w:p>
        </w:tc>
        <w:tc>
          <w:tcPr>
            <w:tcW w:w="960" w:type="dxa"/>
            <w:tcBorders>
              <w:top w:val="single" w:sz="4" w:space="0" w:color="auto"/>
              <w:left w:val="nil"/>
              <w:bottom w:val="single" w:sz="4" w:space="0" w:color="auto"/>
              <w:right w:val="nil"/>
            </w:tcBorders>
            <w:shd w:val="clear" w:color="auto" w:fill="auto"/>
            <w:noWrap/>
            <w:vAlign w:val="bottom"/>
            <w:hideMark/>
          </w:tcPr>
          <w:p w:rsidR="00A545AA" w:rsidRPr="005B0062" w:rsidP="00A545AA">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545AA" w:rsidRPr="005B0062" w:rsidP="00A545AA">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w:t>
            </w:r>
          </w:p>
        </w:tc>
      </w:tr>
      <w:tr w:rsidTr="00426EBF">
        <w:tblPrEx>
          <w:tblW w:w="8805" w:type="dxa"/>
          <w:tblLook w:val="04A0"/>
        </w:tblPrEx>
        <w:trPr>
          <w:trHeight w:val="780"/>
        </w:trPr>
        <w:tc>
          <w:tcPr>
            <w:tcW w:w="980" w:type="dxa"/>
            <w:tcBorders>
              <w:top w:val="nil"/>
              <w:left w:val="nil"/>
              <w:bottom w:val="nil"/>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p>
        </w:tc>
        <w:tc>
          <w:tcPr>
            <w:tcW w:w="2180" w:type="dxa"/>
            <w:tcBorders>
              <w:top w:val="nil"/>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 </w:t>
            </w:r>
          </w:p>
        </w:tc>
        <w:tc>
          <w:tcPr>
            <w:tcW w:w="1441" w:type="dxa"/>
            <w:tcBorders>
              <w:top w:val="nil"/>
              <w:left w:val="nil"/>
              <w:bottom w:val="single" w:sz="4" w:space="0" w:color="auto"/>
              <w:right w:val="nil"/>
            </w:tcBorders>
            <w:shd w:val="clear" w:color="auto" w:fill="auto"/>
            <w:noWrap/>
            <w:vAlign w:val="bottom"/>
            <w:hideMark/>
          </w:tcPr>
          <w:p w:rsidR="00125B95" w:rsidRPr="005B0062" w:rsidP="00125B95">
            <w:pPr>
              <w:spacing w:after="0" w:line="240" w:lineRule="auto"/>
              <w:rPr>
                <w:rFonts w:ascii="Calibri" w:eastAsia="Times New Roman" w:hAnsi="Calibri" w:cs="Calibri"/>
                <w:i/>
                <w:iCs/>
                <w:color w:val="000000" w:themeColor="text1"/>
                <w:sz w:val="20"/>
                <w:szCs w:val="20"/>
                <w:lang w:eastAsia="en-GB"/>
              </w:rPr>
            </w:pPr>
            <w:r w:rsidRPr="005B0062">
              <w:rPr>
                <w:rFonts w:ascii="Calibri" w:eastAsia="Times New Roman" w:hAnsi="Calibri" w:cs="Calibri"/>
                <w:i/>
                <w:iCs/>
                <w:color w:val="000000" w:themeColor="text1"/>
                <w:sz w:val="20"/>
                <w:szCs w:val="20"/>
                <w:lang w:eastAsia="en-GB"/>
              </w:rPr>
              <w:t>This year (2021-22 Main Estimates budget sought)</w:t>
            </w:r>
          </w:p>
        </w:tc>
        <w:tc>
          <w:tcPr>
            <w:tcW w:w="1044" w:type="dxa"/>
            <w:tcBorders>
              <w:top w:val="nil"/>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i/>
                <w:iCs/>
                <w:color w:val="000000" w:themeColor="text1"/>
                <w:sz w:val="20"/>
                <w:szCs w:val="20"/>
                <w:lang w:eastAsia="en-GB"/>
              </w:rPr>
            </w:pPr>
            <w:r w:rsidRPr="005B0062">
              <w:rPr>
                <w:rFonts w:ascii="Calibri" w:eastAsia="Times New Roman" w:hAnsi="Calibri" w:cs="Calibri"/>
                <w:i/>
                <w:iCs/>
                <w:color w:val="000000" w:themeColor="text1"/>
                <w:sz w:val="20"/>
                <w:szCs w:val="20"/>
                <w:lang w:eastAsia="en-GB"/>
              </w:rPr>
              <w:t xml:space="preserve">Last year (2020-21 </w:t>
            </w:r>
            <w:r w:rsidR="003B497D">
              <w:rPr>
                <w:rFonts w:ascii="Calibri" w:eastAsia="Times New Roman" w:hAnsi="Calibri" w:cs="Calibri"/>
                <w:i/>
                <w:iCs/>
                <w:color w:val="000000" w:themeColor="text1"/>
                <w:sz w:val="20"/>
                <w:szCs w:val="20"/>
                <w:lang w:eastAsia="en-GB"/>
              </w:rPr>
              <w:t>Supp</w:t>
            </w:r>
            <w:r w:rsidRPr="005B0062" w:rsidR="00B15C83">
              <w:rPr>
                <w:rFonts w:ascii="Calibri" w:eastAsia="Times New Roman" w:hAnsi="Calibri" w:cs="Calibri"/>
                <w:i/>
                <w:iCs/>
                <w:color w:val="000000" w:themeColor="text1"/>
                <w:sz w:val="20"/>
                <w:szCs w:val="20"/>
                <w:lang w:eastAsia="en-GB"/>
              </w:rPr>
              <w:t xml:space="preserve"> Estimates </w:t>
            </w:r>
            <w:r w:rsidRPr="005B0062">
              <w:rPr>
                <w:rFonts w:ascii="Calibri" w:eastAsia="Times New Roman" w:hAnsi="Calibri" w:cs="Calibri"/>
                <w:i/>
                <w:iCs/>
                <w:color w:val="000000" w:themeColor="text1"/>
                <w:sz w:val="20"/>
                <w:szCs w:val="20"/>
                <w:lang w:eastAsia="en-GB"/>
              </w:rPr>
              <w:t>budget approved)</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change from last year</w:t>
            </w:r>
          </w:p>
        </w:tc>
        <w:tc>
          <w:tcPr>
            <w:tcW w:w="1240" w:type="dxa"/>
            <w:tcBorders>
              <w:top w:val="nil"/>
              <w:left w:val="nil"/>
              <w:bottom w:val="nil"/>
              <w:right w:val="single" w:sz="4" w:space="0" w:color="auto"/>
            </w:tcBorders>
            <w:shd w:val="clear" w:color="auto" w:fill="auto"/>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xml:space="preserve">is change significant? </w:t>
            </w:r>
          </w:p>
        </w:tc>
      </w:tr>
      <w:tr w:rsidTr="00426EBF">
        <w:tblPrEx>
          <w:tblW w:w="8805" w:type="dxa"/>
          <w:tblLook w:val="04A0"/>
        </w:tblPrEx>
        <w:trPr>
          <w:trHeight w:val="1035"/>
        </w:trPr>
        <w:tc>
          <w:tcPr>
            <w:tcW w:w="980" w:type="dxa"/>
            <w:tcBorders>
              <w:top w:val="single" w:sz="4" w:space="0" w:color="auto"/>
              <w:left w:val="single" w:sz="4" w:space="0" w:color="auto"/>
              <w:bottom w:val="single" w:sz="4" w:space="0" w:color="auto"/>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subhead</w:t>
            </w:r>
          </w:p>
        </w:tc>
        <w:tc>
          <w:tcPr>
            <w:tcW w:w="2180" w:type="dxa"/>
            <w:tcBorders>
              <w:top w:val="nil"/>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 </w:t>
            </w:r>
          </w:p>
        </w:tc>
        <w:tc>
          <w:tcPr>
            <w:tcW w:w="1441" w:type="dxa"/>
            <w:tcBorders>
              <w:top w:val="nil"/>
              <w:left w:val="nil"/>
              <w:bottom w:val="single" w:sz="4" w:space="0" w:color="auto"/>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million</w:t>
            </w:r>
          </w:p>
        </w:tc>
        <w:tc>
          <w:tcPr>
            <w:tcW w:w="1044" w:type="dxa"/>
            <w:tcBorders>
              <w:top w:val="nil"/>
              <w:left w:val="nil"/>
              <w:bottom w:val="single" w:sz="4" w:space="0" w:color="auto"/>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w:t>
            </w:r>
          </w:p>
        </w:tc>
        <w:tc>
          <w:tcPr>
            <w:tcW w:w="1240" w:type="dxa"/>
            <w:tcBorders>
              <w:top w:val="nil"/>
              <w:left w:val="nil"/>
              <w:bottom w:val="single" w:sz="4" w:space="0" w:color="auto"/>
              <w:right w:val="single" w:sz="4" w:space="0" w:color="auto"/>
            </w:tcBorders>
            <w:shd w:val="clear" w:color="auto" w:fill="auto"/>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see explanation, note number</w:t>
            </w:r>
          </w:p>
        </w:tc>
      </w:tr>
      <w:tr w:rsidTr="00426EBF">
        <w:tblPrEx>
          <w:tblW w:w="8805" w:type="dxa"/>
          <w:tblLook w:val="04A0"/>
        </w:tblPrEx>
        <w:trPr>
          <w:trHeight w:val="300"/>
        </w:trPr>
        <w:tc>
          <w:tcPr>
            <w:tcW w:w="980" w:type="dxa"/>
            <w:tcBorders>
              <w:top w:val="nil"/>
              <w:left w:val="single" w:sz="4" w:space="0" w:color="auto"/>
              <w:bottom w:val="nil"/>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A</w:t>
            </w:r>
          </w:p>
        </w:tc>
        <w:tc>
          <w:tcPr>
            <w:tcW w:w="2180"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Competition Promotion</w:t>
            </w:r>
          </w:p>
        </w:tc>
        <w:tc>
          <w:tcPr>
            <w:tcW w:w="1441"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jc w:val="right"/>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115.6</w:t>
            </w:r>
          </w:p>
        </w:tc>
        <w:tc>
          <w:tcPr>
            <w:tcW w:w="1044"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jc w:val="right"/>
              <w:rPr>
                <w:rFonts w:ascii="Calibri" w:eastAsia="Times New Roman" w:hAnsi="Calibri" w:cs="Calibri"/>
                <w:color w:val="000000" w:themeColor="text1"/>
                <w:sz w:val="20"/>
                <w:szCs w:val="20"/>
                <w:lang w:eastAsia="en-GB"/>
              </w:rPr>
            </w:pPr>
            <w:r>
              <w:rPr>
                <w:rFonts w:ascii="Calibri" w:eastAsia="Times New Roman" w:hAnsi="Calibri" w:cs="Calibri"/>
                <w:color w:val="000000" w:themeColor="text1"/>
                <w:sz w:val="20"/>
                <w:szCs w:val="20"/>
                <w:lang w:eastAsia="en-GB"/>
              </w:rPr>
              <w:t>101.7</w:t>
            </w:r>
          </w:p>
        </w:tc>
        <w:tc>
          <w:tcPr>
            <w:tcW w:w="960"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jc w:val="right"/>
              <w:rPr>
                <w:rFonts w:ascii="Calibri" w:eastAsia="Times New Roman" w:hAnsi="Calibri" w:cs="Calibri"/>
                <w:color w:val="000000" w:themeColor="text1"/>
                <w:sz w:val="20"/>
                <w:szCs w:val="20"/>
                <w:lang w:eastAsia="en-GB"/>
              </w:rPr>
            </w:pPr>
            <w:r>
              <w:rPr>
                <w:rFonts w:ascii="Calibri" w:eastAsia="Times New Roman" w:hAnsi="Calibri" w:cs="Calibri"/>
                <w:color w:val="000000" w:themeColor="text1"/>
                <w:sz w:val="20"/>
                <w:szCs w:val="20"/>
                <w:lang w:eastAsia="en-GB"/>
              </w:rPr>
              <w:t>13.9</w:t>
            </w:r>
          </w:p>
        </w:tc>
        <w:tc>
          <w:tcPr>
            <w:tcW w:w="960"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jc w:val="right"/>
              <w:rPr>
                <w:rFonts w:ascii="Calibri" w:eastAsia="Times New Roman" w:hAnsi="Calibri" w:cs="Calibri"/>
                <w:color w:val="000000" w:themeColor="text1"/>
                <w:sz w:val="20"/>
                <w:szCs w:val="20"/>
                <w:lang w:eastAsia="en-GB"/>
              </w:rPr>
            </w:pPr>
            <w:r>
              <w:rPr>
                <w:rFonts w:ascii="Calibri" w:eastAsia="Times New Roman" w:hAnsi="Calibri" w:cs="Calibri"/>
                <w:color w:val="000000" w:themeColor="text1"/>
                <w:sz w:val="20"/>
                <w:szCs w:val="20"/>
                <w:lang w:eastAsia="en-GB"/>
              </w:rPr>
              <w:t>9.6</w:t>
            </w:r>
            <w:r w:rsidRPr="005B0062">
              <w:rPr>
                <w:rFonts w:ascii="Calibri" w:eastAsia="Times New Roman" w:hAnsi="Calibri" w:cs="Calibri"/>
                <w:color w:val="000000" w:themeColor="text1"/>
                <w:sz w:val="20"/>
                <w:szCs w:val="20"/>
                <w:lang w:eastAsia="en-GB"/>
              </w:rPr>
              <w:t>%</w:t>
            </w:r>
          </w:p>
        </w:tc>
        <w:tc>
          <w:tcPr>
            <w:tcW w:w="1240" w:type="dxa"/>
            <w:tcBorders>
              <w:top w:val="nil"/>
              <w:left w:val="nil"/>
              <w:bottom w:val="nil"/>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sz w:val="20"/>
                <w:szCs w:val="20"/>
                <w:lang w:eastAsia="en-GB"/>
              </w:rPr>
            </w:pPr>
            <w:r w:rsidRPr="005B0062">
              <w:rPr>
                <w:rFonts w:ascii="Calibri" w:eastAsia="Times New Roman" w:hAnsi="Calibri" w:cs="Calibri"/>
                <w:color w:val="000000" w:themeColor="text1"/>
                <w:sz w:val="20"/>
                <w:szCs w:val="20"/>
                <w:lang w:eastAsia="en-GB"/>
              </w:rPr>
              <w:t> 1</w:t>
            </w:r>
          </w:p>
        </w:tc>
      </w:tr>
      <w:tr w:rsidTr="00426EBF">
        <w:tblPrEx>
          <w:tblW w:w="8805" w:type="dxa"/>
          <w:tblLook w:val="04A0"/>
        </w:tblPrEx>
        <w:trPr>
          <w:trHeight w:val="300"/>
        </w:trPr>
        <w:tc>
          <w:tcPr>
            <w:tcW w:w="980" w:type="dxa"/>
            <w:tcBorders>
              <w:top w:val="nil"/>
              <w:left w:val="single" w:sz="4" w:space="0" w:color="auto"/>
              <w:bottom w:val="single" w:sz="4" w:space="0" w:color="auto"/>
              <w:right w:val="nil"/>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125B95" w:rsidRPr="005B0062" w:rsidP="00125B95">
            <w:pPr>
              <w:spacing w:after="0" w:line="240" w:lineRule="auto"/>
              <w:rPr>
                <w:rFonts w:ascii="Calibri" w:eastAsia="Times New Roman" w:hAnsi="Calibri" w:cs="Calibri"/>
                <w:color w:val="000000" w:themeColor="text1"/>
                <w:lang w:eastAsia="en-GB"/>
              </w:rPr>
            </w:pPr>
            <w:r w:rsidRPr="005B0062">
              <w:rPr>
                <w:rFonts w:ascii="Calibri" w:eastAsia="Times New Roman" w:hAnsi="Calibri" w:cs="Calibri"/>
                <w:color w:val="000000" w:themeColor="text1"/>
                <w:lang w:eastAsia="en-GB"/>
              </w:rPr>
              <w:t>Total Voted and Non-Voted</w:t>
            </w:r>
          </w:p>
        </w:tc>
        <w:tc>
          <w:tcPr>
            <w:tcW w:w="1441" w:type="dxa"/>
            <w:tcBorders>
              <w:top w:val="single" w:sz="4" w:space="0" w:color="auto"/>
              <w:left w:val="nil"/>
              <w:bottom w:val="single" w:sz="4" w:space="0" w:color="auto"/>
              <w:right w:val="single" w:sz="4" w:space="0" w:color="auto"/>
            </w:tcBorders>
            <w:shd w:val="clear" w:color="auto" w:fill="auto"/>
            <w:noWrap/>
            <w:hideMark/>
          </w:tcPr>
          <w:p w:rsidR="00125B95" w:rsidRPr="005B0062" w:rsidP="00125B95">
            <w:pPr>
              <w:spacing w:after="0" w:line="240" w:lineRule="auto"/>
              <w:jc w:val="right"/>
              <w:rPr>
                <w:rFonts w:ascii="Calibri" w:eastAsia="Times New Roman" w:hAnsi="Calibri" w:cs="Calibri"/>
                <w:b/>
                <w:color w:val="000000" w:themeColor="text1"/>
                <w:sz w:val="20"/>
                <w:szCs w:val="20"/>
                <w:lang w:eastAsia="en-GB"/>
              </w:rPr>
            </w:pPr>
            <w:r w:rsidRPr="005B0062">
              <w:rPr>
                <w:b/>
                <w:color w:val="000000" w:themeColor="text1"/>
                <w:sz w:val="20"/>
                <w:szCs w:val="20"/>
              </w:rPr>
              <w:t>1</w:t>
            </w:r>
            <w:r w:rsidRPr="005B0062" w:rsidR="0027707B">
              <w:rPr>
                <w:b/>
                <w:color w:val="000000" w:themeColor="text1"/>
                <w:sz w:val="20"/>
                <w:szCs w:val="20"/>
              </w:rPr>
              <w:t>15.6</w:t>
            </w:r>
          </w:p>
        </w:tc>
        <w:tc>
          <w:tcPr>
            <w:tcW w:w="1044" w:type="dxa"/>
            <w:tcBorders>
              <w:top w:val="single" w:sz="4" w:space="0" w:color="auto"/>
              <w:left w:val="nil"/>
              <w:bottom w:val="single" w:sz="4" w:space="0" w:color="auto"/>
              <w:right w:val="single" w:sz="4" w:space="0" w:color="auto"/>
            </w:tcBorders>
            <w:shd w:val="clear" w:color="auto" w:fill="auto"/>
            <w:noWrap/>
            <w:hideMark/>
          </w:tcPr>
          <w:p w:rsidR="00125B95" w:rsidRPr="005B0062" w:rsidP="00125B95">
            <w:pPr>
              <w:spacing w:after="0" w:line="240" w:lineRule="auto"/>
              <w:jc w:val="right"/>
              <w:rPr>
                <w:rFonts w:ascii="Calibri" w:eastAsia="Times New Roman" w:hAnsi="Calibri" w:cs="Calibri"/>
                <w:b/>
                <w:color w:val="000000" w:themeColor="text1"/>
                <w:sz w:val="20"/>
                <w:szCs w:val="20"/>
                <w:lang w:eastAsia="en-GB"/>
              </w:rPr>
            </w:pPr>
            <w:r>
              <w:rPr>
                <w:b/>
                <w:color w:val="000000" w:themeColor="text1"/>
                <w:sz w:val="20"/>
                <w:szCs w:val="20"/>
              </w:rPr>
              <w:t>101.7</w:t>
            </w:r>
          </w:p>
        </w:tc>
        <w:tc>
          <w:tcPr>
            <w:tcW w:w="960" w:type="dxa"/>
            <w:tcBorders>
              <w:top w:val="single" w:sz="4" w:space="0" w:color="auto"/>
              <w:left w:val="nil"/>
              <w:bottom w:val="single" w:sz="4" w:space="0" w:color="auto"/>
              <w:right w:val="single" w:sz="4" w:space="0" w:color="auto"/>
            </w:tcBorders>
            <w:shd w:val="clear" w:color="auto" w:fill="auto"/>
            <w:noWrap/>
            <w:hideMark/>
          </w:tcPr>
          <w:p w:rsidR="00125B95" w:rsidRPr="005B0062" w:rsidP="00125B95">
            <w:pPr>
              <w:spacing w:after="0" w:line="240" w:lineRule="auto"/>
              <w:jc w:val="right"/>
              <w:rPr>
                <w:rFonts w:ascii="Calibri" w:eastAsia="Times New Roman" w:hAnsi="Calibri" w:cs="Calibri"/>
                <w:b/>
                <w:color w:val="000000" w:themeColor="text1"/>
                <w:sz w:val="20"/>
                <w:szCs w:val="20"/>
                <w:lang w:eastAsia="en-GB"/>
              </w:rPr>
            </w:pPr>
            <w:r>
              <w:rPr>
                <w:b/>
                <w:color w:val="000000" w:themeColor="text1"/>
                <w:sz w:val="20"/>
                <w:szCs w:val="20"/>
              </w:rPr>
              <w:t>13.9</w:t>
            </w:r>
          </w:p>
        </w:tc>
        <w:tc>
          <w:tcPr>
            <w:tcW w:w="960" w:type="dxa"/>
            <w:tcBorders>
              <w:top w:val="single" w:sz="4" w:space="0" w:color="auto"/>
              <w:left w:val="nil"/>
              <w:bottom w:val="single" w:sz="4" w:space="0" w:color="auto"/>
              <w:right w:val="single" w:sz="4" w:space="0" w:color="auto"/>
            </w:tcBorders>
            <w:shd w:val="clear" w:color="auto" w:fill="auto"/>
            <w:noWrap/>
            <w:hideMark/>
          </w:tcPr>
          <w:p w:rsidR="00125B95" w:rsidRPr="005B0062" w:rsidP="00125B95">
            <w:pPr>
              <w:spacing w:after="0" w:line="240" w:lineRule="auto"/>
              <w:jc w:val="right"/>
              <w:rPr>
                <w:rFonts w:ascii="Calibri" w:eastAsia="Times New Roman" w:hAnsi="Calibri" w:cs="Calibri"/>
                <w:b/>
                <w:color w:val="000000" w:themeColor="text1"/>
                <w:sz w:val="20"/>
                <w:szCs w:val="20"/>
                <w:lang w:eastAsia="en-GB"/>
              </w:rPr>
            </w:pPr>
            <w:r>
              <w:rPr>
                <w:b/>
                <w:color w:val="000000" w:themeColor="text1"/>
                <w:sz w:val="20"/>
                <w:szCs w:val="20"/>
              </w:rPr>
              <w:t>9.6</w:t>
            </w:r>
            <w:r w:rsidRPr="005B0062">
              <w:rPr>
                <w:b/>
                <w:color w:val="000000" w:themeColor="text1"/>
                <w:sz w:val="20"/>
                <w:szCs w:val="20"/>
              </w:rPr>
              <w:t>%</w:t>
            </w:r>
          </w:p>
        </w:tc>
        <w:tc>
          <w:tcPr>
            <w:tcW w:w="1240" w:type="dxa"/>
            <w:tcBorders>
              <w:top w:val="single" w:sz="4" w:space="0" w:color="auto"/>
              <w:left w:val="nil"/>
              <w:bottom w:val="single" w:sz="4" w:space="0" w:color="auto"/>
              <w:right w:val="single" w:sz="4" w:space="0" w:color="auto"/>
            </w:tcBorders>
            <w:shd w:val="clear" w:color="auto" w:fill="auto"/>
            <w:noWrap/>
          </w:tcPr>
          <w:p w:rsidR="00125B95" w:rsidRPr="005B0062" w:rsidP="00125B95">
            <w:pPr>
              <w:spacing w:after="0" w:line="240" w:lineRule="auto"/>
              <w:jc w:val="right"/>
              <w:rPr>
                <w:rFonts w:ascii="Calibri" w:eastAsia="Times New Roman" w:hAnsi="Calibri" w:cs="Calibri"/>
                <w:b/>
                <w:color w:val="000000" w:themeColor="text1"/>
                <w:sz w:val="20"/>
                <w:szCs w:val="20"/>
                <w:lang w:eastAsia="en-GB"/>
              </w:rPr>
            </w:pPr>
          </w:p>
        </w:tc>
      </w:tr>
    </w:tbl>
    <w:p w:rsidR="00426EBF" w:rsidRPr="00D757E4" w:rsidP="00426EBF">
      <w:pPr>
        <w:shd w:val="clear" w:color="auto" w:fill="FFFFFF"/>
        <w:spacing w:after="180" w:line="288" w:lineRule="auto"/>
        <w:rPr>
          <w:color w:val="000000" w:themeColor="text1"/>
        </w:rPr>
      </w:pPr>
      <w:r w:rsidRPr="00D757E4">
        <w:rPr>
          <w:rFonts w:eastAsia="Times New Roman" w:cs="Times New Roman"/>
          <w:iCs/>
          <w:color w:val="000000" w:themeColor="text1"/>
          <w:sz w:val="16"/>
          <w:szCs w:val="16"/>
          <w:lang w:eastAsia="en-GB"/>
        </w:rPr>
        <w:t>*including ringfenced depreciation budget.</w:t>
      </w:r>
      <w:r w:rsidRPr="00D757E4">
        <w:rPr>
          <w:rFonts w:eastAsia="Times New Roman" w:cs="Times New Roman"/>
          <w:iCs/>
          <w:color w:val="000000" w:themeColor="text1"/>
          <w:sz w:val="19"/>
          <w:szCs w:val="19"/>
          <w:lang w:eastAsia="en-GB"/>
        </w:rPr>
        <w:t xml:space="preserve"> </w:t>
      </w:r>
    </w:p>
    <w:p w:rsidR="003D0893" w:rsidRPr="00841A5B" w:rsidP="003D0893">
      <w:pPr>
        <w:rPr>
          <w:color w:val="538135" w:themeColor="accent6" w:themeShade="BF"/>
        </w:rPr>
      </w:pPr>
    </w:p>
    <w:p w:rsidR="00F86853" w:rsidP="00F01F44">
      <w:r>
        <w:rPr>
          <w:rFonts w:eastAsia="Times New Roman"/>
        </w:rPr>
        <w:t xml:space="preserve">Capital DEL </w:t>
      </w:r>
    </w:p>
    <w:p w:rsidR="00F86853" w:rsidP="00F86853">
      <w:pPr>
        <w:rPr>
          <w:rFonts w:eastAsia="Times New Roman"/>
        </w:rPr>
      </w:pPr>
      <w:r>
        <w:t xml:space="preserve">The table below shows how spending plans for Capital DEL compare with last year.  </w:t>
      </w:r>
    </w:p>
    <w:tbl>
      <w:tblPr>
        <w:tblW w:w="8260" w:type="dxa"/>
        <w:tblLook w:val="04A0"/>
      </w:tblPr>
      <w:tblGrid>
        <w:gridCol w:w="980"/>
        <w:gridCol w:w="2180"/>
        <w:gridCol w:w="1006"/>
        <w:gridCol w:w="1044"/>
        <w:gridCol w:w="960"/>
        <w:gridCol w:w="960"/>
        <w:gridCol w:w="1240"/>
      </w:tblGrid>
      <w:tr w:rsidTr="005249E7">
        <w:tblPrEx>
          <w:tblW w:w="8260" w:type="dxa"/>
          <w:tblLook w:val="04A0"/>
        </w:tblPrEx>
        <w:trPr>
          <w:trHeight w:val="300"/>
        </w:trPr>
        <w:tc>
          <w:tcPr>
            <w:tcW w:w="980" w:type="dxa"/>
            <w:tcBorders>
              <w:top w:val="nil"/>
              <w:left w:val="nil"/>
              <w:bottom w:val="nil"/>
              <w:right w:val="nil"/>
            </w:tcBorders>
            <w:shd w:val="clear" w:color="auto" w:fill="auto"/>
            <w:noWrap/>
            <w:vAlign w:val="bottom"/>
            <w:hideMark/>
          </w:tcPr>
          <w:p w:rsidR="00F86853" w:rsidRPr="00D6759F" w:rsidP="005249E7">
            <w:pPr>
              <w:spacing w:after="0" w:line="240" w:lineRule="auto"/>
              <w:rPr>
                <w:rFonts w:ascii="Times New Roman" w:eastAsia="Times New Roman" w:hAnsi="Times New Roman" w:cs="Times New Roman"/>
                <w:color w:val="000000" w:themeColor="text1"/>
                <w:sz w:val="24"/>
                <w:szCs w:val="24"/>
                <w:lang w:eastAsia="en-GB"/>
              </w:rPr>
            </w:pPr>
          </w:p>
        </w:tc>
        <w:tc>
          <w:tcPr>
            <w:tcW w:w="218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980" w:type="dxa"/>
            <w:tcBorders>
              <w:top w:val="single" w:sz="4" w:space="0" w:color="auto"/>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b/>
                <w:bCs/>
                <w:color w:val="000000" w:themeColor="text1"/>
                <w:sz w:val="20"/>
                <w:szCs w:val="20"/>
                <w:lang w:eastAsia="en-GB"/>
              </w:rPr>
            </w:pPr>
            <w:r w:rsidRPr="00D6759F">
              <w:rPr>
                <w:rFonts w:ascii="Calibri" w:eastAsia="Times New Roman" w:hAnsi="Calibri" w:cs="Calibri"/>
                <w:b/>
                <w:bCs/>
                <w:color w:val="000000" w:themeColor="text1"/>
                <w:sz w:val="20"/>
                <w:szCs w:val="20"/>
                <w:lang w:eastAsia="en-GB"/>
              </w:rPr>
              <w:t>Capital</w:t>
            </w:r>
          </w:p>
        </w:tc>
        <w:tc>
          <w:tcPr>
            <w:tcW w:w="960" w:type="dxa"/>
            <w:tcBorders>
              <w:top w:val="single" w:sz="4" w:space="0" w:color="auto"/>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DEL</w:t>
            </w:r>
          </w:p>
        </w:tc>
        <w:tc>
          <w:tcPr>
            <w:tcW w:w="960" w:type="dxa"/>
            <w:tcBorders>
              <w:top w:val="single" w:sz="4" w:space="0" w:color="auto"/>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single" w:sz="4" w:space="0" w:color="auto"/>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r>
      <w:tr w:rsidTr="005249E7">
        <w:tblPrEx>
          <w:tblW w:w="8260" w:type="dxa"/>
          <w:tblLook w:val="04A0"/>
        </w:tblPrEx>
        <w:trPr>
          <w:trHeight w:val="780"/>
        </w:trPr>
        <w:tc>
          <w:tcPr>
            <w:tcW w:w="980" w:type="dxa"/>
            <w:tcBorders>
              <w:top w:val="nil"/>
              <w:left w:val="nil"/>
              <w:bottom w:val="nil"/>
              <w:right w:val="nil"/>
            </w:tcBorders>
            <w:shd w:val="clear" w:color="auto" w:fill="auto"/>
            <w:noWrap/>
            <w:vAlign w:val="bottom"/>
            <w:hideMark/>
          </w:tcPr>
          <w:p w:rsidR="00321088" w:rsidRPr="00D6759F" w:rsidP="00321088">
            <w:pPr>
              <w:spacing w:after="0" w:line="240" w:lineRule="auto"/>
              <w:rPr>
                <w:rFonts w:ascii="Calibri" w:eastAsia="Times New Roman" w:hAnsi="Calibri" w:cs="Calibri"/>
                <w:color w:val="000000" w:themeColor="text1"/>
                <w:sz w:val="20"/>
                <w:szCs w:val="20"/>
                <w:lang w:eastAsia="en-GB"/>
              </w:rPr>
            </w:pPr>
          </w:p>
        </w:tc>
        <w:tc>
          <w:tcPr>
            <w:tcW w:w="2180" w:type="dxa"/>
            <w:tcBorders>
              <w:top w:val="nil"/>
              <w:left w:val="nil"/>
              <w:bottom w:val="single" w:sz="4" w:space="0" w:color="auto"/>
              <w:right w:val="single" w:sz="4" w:space="0" w:color="auto"/>
            </w:tcBorders>
            <w:shd w:val="clear" w:color="auto" w:fill="auto"/>
            <w:noWrap/>
            <w:vAlign w:val="bottom"/>
            <w:hideMark/>
          </w:tcPr>
          <w:p w:rsidR="00321088" w:rsidRPr="00D6759F" w:rsidP="00321088">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980" w:type="dxa"/>
            <w:tcBorders>
              <w:top w:val="nil"/>
              <w:left w:val="nil"/>
              <w:bottom w:val="single" w:sz="4" w:space="0" w:color="auto"/>
              <w:right w:val="nil"/>
            </w:tcBorders>
            <w:shd w:val="clear" w:color="auto" w:fill="auto"/>
            <w:noWrap/>
            <w:vAlign w:val="bottom"/>
            <w:hideMark/>
          </w:tcPr>
          <w:p w:rsidR="00321088" w:rsidRPr="00D6759F" w:rsidP="00321088">
            <w:pPr>
              <w:spacing w:after="0" w:line="240" w:lineRule="auto"/>
              <w:rPr>
                <w:rFonts w:ascii="Calibri" w:eastAsia="Times New Roman" w:hAnsi="Calibri" w:cs="Calibri"/>
                <w:i/>
                <w:iCs/>
                <w:color w:val="000000" w:themeColor="text1"/>
                <w:sz w:val="20"/>
                <w:szCs w:val="20"/>
                <w:lang w:eastAsia="en-GB"/>
              </w:rPr>
            </w:pPr>
            <w:r w:rsidRPr="00D6759F">
              <w:rPr>
                <w:rFonts w:ascii="Calibri" w:eastAsia="Times New Roman" w:hAnsi="Calibri" w:cs="Calibri"/>
                <w:i/>
                <w:iCs/>
                <w:color w:val="000000" w:themeColor="text1"/>
                <w:sz w:val="20"/>
                <w:szCs w:val="20"/>
                <w:lang w:eastAsia="en-GB"/>
              </w:rPr>
              <w:t>This year (2021-22 Main Estimates budget sought)</w:t>
            </w:r>
          </w:p>
        </w:tc>
        <w:tc>
          <w:tcPr>
            <w:tcW w:w="960" w:type="dxa"/>
            <w:tcBorders>
              <w:top w:val="nil"/>
              <w:left w:val="nil"/>
              <w:bottom w:val="single" w:sz="4" w:space="0" w:color="auto"/>
              <w:right w:val="single" w:sz="4" w:space="0" w:color="auto"/>
            </w:tcBorders>
            <w:shd w:val="clear" w:color="auto" w:fill="auto"/>
            <w:noWrap/>
            <w:vAlign w:val="bottom"/>
            <w:hideMark/>
          </w:tcPr>
          <w:p w:rsidR="00321088" w:rsidRPr="00D6759F" w:rsidP="00321088">
            <w:pPr>
              <w:spacing w:after="0" w:line="240" w:lineRule="auto"/>
              <w:rPr>
                <w:rFonts w:ascii="Calibri" w:eastAsia="Times New Roman" w:hAnsi="Calibri" w:cs="Calibri"/>
                <w:i/>
                <w:iCs/>
                <w:color w:val="000000" w:themeColor="text1"/>
                <w:sz w:val="20"/>
                <w:szCs w:val="20"/>
                <w:lang w:eastAsia="en-GB"/>
              </w:rPr>
            </w:pPr>
            <w:r>
              <w:rPr>
                <w:rFonts w:ascii="Calibri" w:eastAsia="Times New Roman" w:hAnsi="Calibri" w:cs="Calibri"/>
                <w:i/>
                <w:iCs/>
                <w:color w:val="000000" w:themeColor="text1"/>
                <w:sz w:val="20"/>
                <w:szCs w:val="20"/>
                <w:lang w:eastAsia="en-GB"/>
              </w:rPr>
              <w:t>Last</w:t>
            </w:r>
            <w:r w:rsidRPr="00D6759F">
              <w:rPr>
                <w:rFonts w:ascii="Calibri" w:eastAsia="Times New Roman" w:hAnsi="Calibri" w:cs="Calibri"/>
                <w:i/>
                <w:iCs/>
                <w:color w:val="000000" w:themeColor="text1"/>
                <w:sz w:val="20"/>
                <w:szCs w:val="20"/>
                <w:lang w:eastAsia="en-GB"/>
              </w:rPr>
              <w:t xml:space="preserve"> year (20</w:t>
            </w:r>
            <w:r w:rsidRPr="00D6759F" w:rsidR="0042356B">
              <w:rPr>
                <w:rFonts w:ascii="Calibri" w:eastAsia="Times New Roman" w:hAnsi="Calibri" w:cs="Calibri"/>
                <w:i/>
                <w:iCs/>
                <w:color w:val="000000" w:themeColor="text1"/>
                <w:sz w:val="20"/>
                <w:szCs w:val="20"/>
                <w:lang w:eastAsia="en-GB"/>
              </w:rPr>
              <w:t>20</w:t>
            </w:r>
            <w:r w:rsidRPr="00D6759F">
              <w:rPr>
                <w:rFonts w:ascii="Calibri" w:eastAsia="Times New Roman" w:hAnsi="Calibri" w:cs="Calibri"/>
                <w:i/>
                <w:iCs/>
                <w:color w:val="000000" w:themeColor="text1"/>
                <w:sz w:val="20"/>
                <w:szCs w:val="20"/>
                <w:lang w:eastAsia="en-GB"/>
              </w:rPr>
              <w:t>-2</w:t>
            </w:r>
            <w:r w:rsidRPr="00D6759F" w:rsidR="0042356B">
              <w:rPr>
                <w:rFonts w:ascii="Calibri" w:eastAsia="Times New Roman" w:hAnsi="Calibri" w:cs="Calibri"/>
                <w:i/>
                <w:iCs/>
                <w:color w:val="000000" w:themeColor="text1"/>
                <w:sz w:val="20"/>
                <w:szCs w:val="20"/>
                <w:lang w:eastAsia="en-GB"/>
              </w:rPr>
              <w:t>1</w:t>
            </w:r>
            <w:r w:rsidRPr="00D6759F">
              <w:rPr>
                <w:rFonts w:ascii="Calibri" w:eastAsia="Times New Roman" w:hAnsi="Calibri" w:cs="Calibri"/>
                <w:i/>
                <w:iCs/>
                <w:color w:val="000000" w:themeColor="text1"/>
                <w:sz w:val="20"/>
                <w:szCs w:val="20"/>
                <w:lang w:eastAsia="en-GB"/>
              </w:rPr>
              <w:t xml:space="preserve"> </w:t>
            </w:r>
            <w:r w:rsidRPr="00D6759F" w:rsidR="00C81380">
              <w:rPr>
                <w:rFonts w:ascii="Calibri" w:eastAsia="Times New Roman" w:hAnsi="Calibri" w:cs="Calibri"/>
                <w:i/>
                <w:iCs/>
                <w:color w:val="000000" w:themeColor="text1"/>
                <w:sz w:val="20"/>
                <w:szCs w:val="20"/>
                <w:lang w:eastAsia="en-GB"/>
              </w:rPr>
              <w:t>Supp</w:t>
            </w:r>
            <w:r w:rsidRPr="00D6759F" w:rsidR="00B15C83">
              <w:rPr>
                <w:rFonts w:ascii="Calibri" w:eastAsia="Times New Roman" w:hAnsi="Calibri" w:cs="Calibri"/>
                <w:i/>
                <w:iCs/>
                <w:color w:val="000000" w:themeColor="text1"/>
                <w:sz w:val="20"/>
                <w:szCs w:val="20"/>
                <w:lang w:eastAsia="en-GB"/>
              </w:rPr>
              <w:t xml:space="preserve"> Estimates </w:t>
            </w:r>
            <w:r w:rsidRPr="00D6759F">
              <w:rPr>
                <w:rFonts w:ascii="Calibri" w:eastAsia="Times New Roman" w:hAnsi="Calibri" w:cs="Calibri"/>
                <w:i/>
                <w:iCs/>
                <w:color w:val="000000" w:themeColor="text1"/>
                <w:sz w:val="20"/>
                <w:szCs w:val="20"/>
                <w:lang w:eastAsia="en-GB"/>
              </w:rPr>
              <w:t>budget approved)</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21088" w:rsidRPr="00D6759F" w:rsidP="00321088">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change from last year</w:t>
            </w:r>
          </w:p>
        </w:tc>
        <w:tc>
          <w:tcPr>
            <w:tcW w:w="1240" w:type="dxa"/>
            <w:tcBorders>
              <w:top w:val="nil"/>
              <w:left w:val="nil"/>
              <w:bottom w:val="nil"/>
              <w:right w:val="single" w:sz="4" w:space="0" w:color="auto"/>
            </w:tcBorders>
            <w:shd w:val="clear" w:color="auto" w:fill="auto"/>
            <w:vAlign w:val="bottom"/>
            <w:hideMark/>
          </w:tcPr>
          <w:p w:rsidR="00321088" w:rsidRPr="00D6759F" w:rsidP="00321088">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xml:space="preserve">is change significant? </w:t>
            </w:r>
          </w:p>
        </w:tc>
      </w:tr>
      <w:tr w:rsidTr="005249E7">
        <w:tblPrEx>
          <w:tblW w:w="8260" w:type="dxa"/>
          <w:tblLook w:val="04A0"/>
        </w:tblPrEx>
        <w:trPr>
          <w:trHeight w:val="1035"/>
        </w:trPr>
        <w:tc>
          <w:tcPr>
            <w:tcW w:w="980" w:type="dxa"/>
            <w:tcBorders>
              <w:top w:val="single" w:sz="4" w:space="0" w:color="auto"/>
              <w:left w:val="single" w:sz="4" w:space="0" w:color="auto"/>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subhead</w:t>
            </w:r>
          </w:p>
        </w:tc>
        <w:tc>
          <w:tcPr>
            <w:tcW w:w="2180" w:type="dxa"/>
            <w:tcBorders>
              <w:top w:val="nil"/>
              <w:left w:val="nil"/>
              <w:bottom w:val="single" w:sz="4" w:space="0" w:color="auto"/>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980" w:type="dxa"/>
            <w:tcBorders>
              <w:top w:val="nil"/>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million</w:t>
            </w:r>
          </w:p>
        </w:tc>
        <w:tc>
          <w:tcPr>
            <w:tcW w:w="960" w:type="dxa"/>
            <w:tcBorders>
              <w:top w:val="nil"/>
              <w:left w:val="nil"/>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w:t>
            </w:r>
          </w:p>
        </w:tc>
        <w:tc>
          <w:tcPr>
            <w:tcW w:w="1240" w:type="dxa"/>
            <w:tcBorders>
              <w:top w:val="nil"/>
              <w:left w:val="nil"/>
              <w:bottom w:val="single" w:sz="4" w:space="0" w:color="auto"/>
              <w:right w:val="single" w:sz="4" w:space="0" w:color="auto"/>
            </w:tcBorders>
            <w:shd w:val="clear" w:color="auto" w:fill="auto"/>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see explanation, note number</w:t>
            </w:r>
          </w:p>
        </w:tc>
      </w:tr>
      <w:tr w:rsidTr="005249E7">
        <w:tblPrEx>
          <w:tblW w:w="8260" w:type="dxa"/>
          <w:tblLook w:val="04A0"/>
        </w:tblPrEx>
        <w:trPr>
          <w:trHeight w:val="300"/>
        </w:trPr>
        <w:tc>
          <w:tcPr>
            <w:tcW w:w="980" w:type="dxa"/>
            <w:tcBorders>
              <w:top w:val="nil"/>
              <w:left w:val="single" w:sz="4" w:space="0" w:color="auto"/>
              <w:bottom w:val="nil"/>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A</w:t>
            </w:r>
          </w:p>
        </w:tc>
        <w:tc>
          <w:tcPr>
            <w:tcW w:w="218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Competition Promotion</w:t>
            </w:r>
          </w:p>
        </w:tc>
        <w:tc>
          <w:tcPr>
            <w:tcW w:w="98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7.5</w:t>
            </w:r>
          </w:p>
        </w:tc>
        <w:tc>
          <w:tcPr>
            <w:tcW w:w="96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3.3</w:t>
            </w:r>
          </w:p>
        </w:tc>
        <w:tc>
          <w:tcPr>
            <w:tcW w:w="96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4</w:t>
            </w:r>
            <w:r w:rsidRPr="00D6759F" w:rsidR="00F022F8">
              <w:rPr>
                <w:rFonts w:ascii="Calibri" w:eastAsia="Times New Roman" w:hAnsi="Calibri" w:cs="Calibri"/>
                <w:color w:val="000000" w:themeColor="text1"/>
                <w:sz w:val="20"/>
                <w:szCs w:val="20"/>
                <w:lang w:eastAsia="en-GB"/>
              </w:rPr>
              <w:t>.</w:t>
            </w:r>
            <w:r w:rsidRPr="00D6759F">
              <w:rPr>
                <w:rFonts w:ascii="Calibri" w:eastAsia="Times New Roman" w:hAnsi="Calibri" w:cs="Calibri"/>
                <w:color w:val="000000" w:themeColor="text1"/>
                <w:sz w:val="20"/>
                <w:szCs w:val="20"/>
                <w:lang w:eastAsia="en-GB"/>
              </w:rPr>
              <w:t>2</w:t>
            </w:r>
          </w:p>
        </w:tc>
        <w:tc>
          <w:tcPr>
            <w:tcW w:w="960" w:type="dxa"/>
            <w:tcBorders>
              <w:top w:val="nil"/>
              <w:left w:val="nil"/>
              <w:bottom w:val="nil"/>
              <w:right w:val="single" w:sz="4" w:space="0" w:color="auto"/>
            </w:tcBorders>
            <w:shd w:val="clear" w:color="auto" w:fill="auto"/>
            <w:noWrap/>
            <w:vAlign w:val="bottom"/>
            <w:hideMark/>
          </w:tcPr>
          <w:p w:rsidR="00F86853" w:rsidRPr="00D6759F" w:rsidP="00F86853">
            <w:pPr>
              <w:spacing w:after="0" w:line="240" w:lineRule="auto"/>
              <w:jc w:val="center"/>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127.3</w:t>
            </w:r>
            <w:r w:rsidRPr="00D6759F" w:rsidR="00F022F8">
              <w:rPr>
                <w:rFonts w:ascii="Calibri" w:eastAsia="Times New Roman" w:hAnsi="Calibri" w:cs="Calibri"/>
                <w:color w:val="000000" w:themeColor="text1"/>
                <w:sz w:val="20"/>
                <w:szCs w:val="20"/>
                <w:lang w:eastAsia="en-GB"/>
              </w:rPr>
              <w:t>%</w:t>
            </w:r>
          </w:p>
        </w:tc>
        <w:tc>
          <w:tcPr>
            <w:tcW w:w="1240" w:type="dxa"/>
            <w:tcBorders>
              <w:top w:val="nil"/>
              <w:left w:val="nil"/>
              <w:bottom w:val="nil"/>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r w:rsidR="00B5273B">
              <w:rPr>
                <w:rFonts w:ascii="Calibri" w:eastAsia="Times New Roman" w:hAnsi="Calibri" w:cs="Calibri"/>
                <w:color w:val="000000" w:themeColor="text1"/>
                <w:sz w:val="20"/>
                <w:szCs w:val="20"/>
                <w:lang w:eastAsia="en-GB"/>
              </w:rPr>
              <w:t>2</w:t>
            </w:r>
          </w:p>
        </w:tc>
      </w:tr>
      <w:tr w:rsidTr="005249E7">
        <w:tblPrEx>
          <w:tblW w:w="8260" w:type="dxa"/>
          <w:tblLook w:val="04A0"/>
        </w:tblPrEx>
        <w:trPr>
          <w:trHeight w:val="300"/>
        </w:trPr>
        <w:tc>
          <w:tcPr>
            <w:tcW w:w="980" w:type="dxa"/>
            <w:tcBorders>
              <w:top w:val="nil"/>
              <w:left w:val="single" w:sz="4" w:space="0" w:color="auto"/>
              <w:bottom w:val="single" w:sz="4" w:space="0" w:color="auto"/>
              <w:right w:val="nil"/>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F86853"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Gross expenditure</w:t>
            </w:r>
          </w:p>
        </w:tc>
        <w:tc>
          <w:tcPr>
            <w:tcW w:w="980" w:type="dxa"/>
            <w:tcBorders>
              <w:top w:val="single" w:sz="4" w:space="0" w:color="auto"/>
              <w:left w:val="nil"/>
              <w:bottom w:val="single" w:sz="4" w:space="0" w:color="auto"/>
              <w:right w:val="single" w:sz="4" w:space="0" w:color="auto"/>
            </w:tcBorders>
            <w:shd w:val="clear" w:color="auto" w:fill="auto"/>
            <w:noWrap/>
            <w:hideMark/>
          </w:tcPr>
          <w:p w:rsidR="00F86853" w:rsidRPr="00D6759F" w:rsidP="00841A5B">
            <w:pPr>
              <w:spacing w:after="0" w:line="240" w:lineRule="auto"/>
              <w:jc w:val="right"/>
              <w:rPr>
                <w:rFonts w:ascii="Calibri" w:eastAsia="Times New Roman" w:hAnsi="Calibri" w:cs="Calibri"/>
                <w:b/>
                <w:color w:val="000000" w:themeColor="text1"/>
                <w:sz w:val="20"/>
                <w:szCs w:val="20"/>
                <w:lang w:eastAsia="en-GB"/>
              </w:rPr>
            </w:pPr>
            <w:r w:rsidRPr="00D6759F">
              <w:rPr>
                <w:rFonts w:ascii="Calibri" w:eastAsia="Times New Roman" w:hAnsi="Calibri" w:cs="Calibri"/>
                <w:b/>
                <w:color w:val="000000" w:themeColor="text1"/>
                <w:sz w:val="20"/>
                <w:szCs w:val="20"/>
                <w:lang w:eastAsia="en-GB"/>
              </w:rPr>
              <w:t>7.5</w:t>
            </w:r>
          </w:p>
        </w:tc>
        <w:tc>
          <w:tcPr>
            <w:tcW w:w="960" w:type="dxa"/>
            <w:tcBorders>
              <w:top w:val="single" w:sz="4" w:space="0" w:color="auto"/>
              <w:left w:val="nil"/>
              <w:bottom w:val="single" w:sz="4" w:space="0" w:color="auto"/>
              <w:right w:val="single" w:sz="4" w:space="0" w:color="auto"/>
            </w:tcBorders>
            <w:shd w:val="clear" w:color="auto" w:fill="auto"/>
            <w:noWrap/>
            <w:hideMark/>
          </w:tcPr>
          <w:p w:rsidR="00F86853" w:rsidRPr="00D6759F" w:rsidP="005249E7">
            <w:pPr>
              <w:spacing w:after="0" w:line="240" w:lineRule="auto"/>
              <w:jc w:val="right"/>
              <w:rPr>
                <w:rFonts w:ascii="Calibri" w:eastAsia="Times New Roman" w:hAnsi="Calibri" w:cs="Calibri"/>
                <w:b/>
                <w:color w:val="000000" w:themeColor="text1"/>
                <w:sz w:val="20"/>
                <w:szCs w:val="20"/>
                <w:lang w:eastAsia="en-GB"/>
              </w:rPr>
            </w:pPr>
            <w:r w:rsidRPr="00D6759F">
              <w:rPr>
                <w:b/>
                <w:color w:val="000000" w:themeColor="text1"/>
                <w:sz w:val="20"/>
                <w:szCs w:val="20"/>
              </w:rPr>
              <w:t>3.3</w:t>
            </w:r>
          </w:p>
        </w:tc>
        <w:tc>
          <w:tcPr>
            <w:tcW w:w="960" w:type="dxa"/>
            <w:tcBorders>
              <w:top w:val="single" w:sz="4" w:space="0" w:color="auto"/>
              <w:left w:val="nil"/>
              <w:bottom w:val="single" w:sz="4" w:space="0" w:color="auto"/>
              <w:right w:val="single" w:sz="4" w:space="0" w:color="auto"/>
            </w:tcBorders>
            <w:shd w:val="clear" w:color="auto" w:fill="auto"/>
            <w:noWrap/>
            <w:hideMark/>
          </w:tcPr>
          <w:p w:rsidR="00F86853" w:rsidRPr="00D6759F" w:rsidP="005249E7">
            <w:pPr>
              <w:spacing w:after="0" w:line="240" w:lineRule="auto"/>
              <w:jc w:val="right"/>
              <w:rPr>
                <w:rFonts w:ascii="Calibri" w:eastAsia="Times New Roman" w:hAnsi="Calibri" w:cs="Calibri"/>
                <w:b/>
                <w:color w:val="000000" w:themeColor="text1"/>
                <w:sz w:val="20"/>
                <w:szCs w:val="20"/>
                <w:lang w:eastAsia="en-GB"/>
              </w:rPr>
            </w:pPr>
            <w:r w:rsidRPr="00D6759F">
              <w:rPr>
                <w:rFonts w:ascii="Calibri" w:eastAsia="Times New Roman" w:hAnsi="Calibri" w:cs="Calibri"/>
                <w:b/>
                <w:color w:val="000000" w:themeColor="text1"/>
                <w:sz w:val="20"/>
                <w:szCs w:val="20"/>
                <w:lang w:eastAsia="en-GB"/>
              </w:rPr>
              <w:t>4</w:t>
            </w:r>
            <w:r w:rsidRPr="00D6759F" w:rsidR="00F022F8">
              <w:rPr>
                <w:rFonts w:ascii="Calibri" w:eastAsia="Times New Roman" w:hAnsi="Calibri" w:cs="Calibri"/>
                <w:b/>
                <w:color w:val="000000" w:themeColor="text1"/>
                <w:sz w:val="20"/>
                <w:szCs w:val="20"/>
                <w:lang w:eastAsia="en-GB"/>
              </w:rPr>
              <w:t>.</w:t>
            </w:r>
            <w:r w:rsidRPr="00D6759F">
              <w:rPr>
                <w:rFonts w:ascii="Calibri" w:eastAsia="Times New Roman" w:hAnsi="Calibri" w:cs="Calibri"/>
                <w:b/>
                <w:color w:val="000000" w:themeColor="text1"/>
                <w:sz w:val="20"/>
                <w:szCs w:val="20"/>
                <w:lang w:eastAsia="en-GB"/>
              </w:rPr>
              <w:t>2</w:t>
            </w:r>
          </w:p>
        </w:tc>
        <w:tc>
          <w:tcPr>
            <w:tcW w:w="960" w:type="dxa"/>
            <w:tcBorders>
              <w:top w:val="single" w:sz="4" w:space="0" w:color="auto"/>
              <w:left w:val="nil"/>
              <w:bottom w:val="single" w:sz="4" w:space="0" w:color="auto"/>
              <w:right w:val="single" w:sz="4" w:space="0" w:color="auto"/>
            </w:tcBorders>
            <w:shd w:val="clear" w:color="auto" w:fill="auto"/>
            <w:noWrap/>
            <w:hideMark/>
          </w:tcPr>
          <w:p w:rsidR="00F86853" w:rsidRPr="00D6759F" w:rsidP="00F022F8">
            <w:pPr>
              <w:spacing w:after="0" w:line="240" w:lineRule="auto"/>
              <w:jc w:val="center"/>
              <w:rPr>
                <w:b/>
                <w:color w:val="000000" w:themeColor="text1"/>
                <w:sz w:val="20"/>
                <w:szCs w:val="20"/>
              </w:rPr>
            </w:pPr>
            <w:r w:rsidRPr="00D6759F">
              <w:rPr>
                <w:b/>
                <w:color w:val="000000" w:themeColor="text1"/>
                <w:sz w:val="20"/>
                <w:szCs w:val="20"/>
              </w:rPr>
              <w:t>127.3</w:t>
            </w:r>
            <w:r w:rsidRPr="00D6759F" w:rsidR="00F022F8">
              <w:rPr>
                <w:b/>
                <w:color w:val="000000" w:themeColor="text1"/>
                <w:sz w:val="20"/>
                <w:szCs w:val="20"/>
              </w:rPr>
              <w:t>%</w:t>
            </w:r>
          </w:p>
          <w:p w:rsidR="00F022F8" w:rsidRPr="00D6759F" w:rsidP="00F022F8">
            <w:pPr>
              <w:spacing w:after="0" w:line="240" w:lineRule="auto"/>
              <w:jc w:val="center"/>
              <w:rPr>
                <w:rFonts w:ascii="Calibri" w:eastAsia="Times New Roman" w:hAnsi="Calibri" w:cs="Calibri"/>
                <w:b/>
                <w:color w:val="000000" w:themeColor="text1"/>
                <w:sz w:val="20"/>
                <w:szCs w:val="20"/>
                <w:lang w:eastAsia="en-GB"/>
              </w:rPr>
            </w:pPr>
          </w:p>
        </w:tc>
        <w:tc>
          <w:tcPr>
            <w:tcW w:w="1240" w:type="dxa"/>
            <w:tcBorders>
              <w:top w:val="single" w:sz="4" w:space="0" w:color="auto"/>
              <w:left w:val="nil"/>
              <w:bottom w:val="single" w:sz="4" w:space="0" w:color="auto"/>
              <w:right w:val="single" w:sz="4" w:space="0" w:color="auto"/>
            </w:tcBorders>
            <w:shd w:val="clear" w:color="auto" w:fill="auto"/>
            <w:noWrap/>
          </w:tcPr>
          <w:p w:rsidR="00F86853" w:rsidRPr="00D6759F" w:rsidP="00841A5B">
            <w:pPr>
              <w:spacing w:after="0" w:line="240" w:lineRule="auto"/>
              <w:rPr>
                <w:rFonts w:ascii="Calibri" w:eastAsia="Times New Roman" w:hAnsi="Calibri" w:cs="Calibri"/>
                <w:b/>
                <w:color w:val="000000" w:themeColor="text1"/>
                <w:sz w:val="20"/>
                <w:szCs w:val="20"/>
                <w:lang w:eastAsia="en-GB"/>
              </w:rPr>
            </w:pPr>
          </w:p>
        </w:tc>
      </w:tr>
    </w:tbl>
    <w:p w:rsidR="00F86853" w:rsidP="003D0893"/>
    <w:p w:rsidR="00AF3991" w:rsidRPr="006C5E29" w:rsidP="008208EF">
      <w:pPr>
        <w:spacing w:after="0" w:line="240" w:lineRule="auto"/>
        <w:rPr>
          <w:u w:val="single"/>
        </w:rPr>
      </w:pPr>
      <w:r w:rsidRPr="006C5E29">
        <w:rPr>
          <w:b/>
          <w:u w:val="single"/>
        </w:rPr>
        <w:t xml:space="preserve">Note </w:t>
      </w:r>
      <w:r w:rsidRPr="006C5E29" w:rsidR="00A545AA">
        <w:rPr>
          <w:b/>
          <w:u w:val="single"/>
        </w:rPr>
        <w:t>1</w:t>
      </w:r>
    </w:p>
    <w:p w:rsidR="00EF1104" w:rsidRPr="006C5E29" w:rsidP="00EF1104">
      <w:pPr>
        <w:spacing w:after="0" w:line="240" w:lineRule="auto"/>
      </w:pPr>
    </w:p>
    <w:p w:rsidR="00B23818" w:rsidRPr="006C5E29" w:rsidP="00EF1104">
      <w:pPr>
        <w:spacing w:after="0" w:line="240" w:lineRule="auto"/>
      </w:pPr>
      <w:r w:rsidRPr="006C5E29">
        <w:t xml:space="preserve">The </w:t>
      </w:r>
      <w:r w:rsidRPr="006C5E29" w:rsidR="00167070">
        <w:t xml:space="preserve">9.6% increase in our budget from our </w:t>
      </w:r>
      <w:r w:rsidRPr="006C5E29" w:rsidR="00A2338B">
        <w:t xml:space="preserve">20-21 </w:t>
      </w:r>
      <w:r w:rsidRPr="006C5E29" w:rsidR="00125064">
        <w:t>Supplementary Estimate position</w:t>
      </w:r>
      <w:r w:rsidRPr="006C5E29">
        <w:t xml:space="preserve"> </w:t>
      </w:r>
      <w:r w:rsidRPr="006C5E29" w:rsidR="00A2338B">
        <w:t>relates to t</w:t>
      </w:r>
      <w:r w:rsidRPr="006C5E29" w:rsidR="00A645BA">
        <w:t xml:space="preserve">he additional funding allocated at SR20 for the development and operations of new functions, which include </w:t>
      </w:r>
      <w:r w:rsidRPr="006C5E29" w:rsidR="009A7AD5">
        <w:t xml:space="preserve">Office for the Internal Market and the Digital Markets Unit.  </w:t>
      </w:r>
    </w:p>
    <w:p w:rsidR="00CC67F8" w:rsidRPr="006C5E29" w:rsidP="006404E6">
      <w:pPr>
        <w:spacing w:after="0" w:line="240" w:lineRule="auto"/>
      </w:pPr>
    </w:p>
    <w:p w:rsidR="00EF1104" w:rsidRPr="006C5E29" w:rsidP="00EF1104">
      <w:pPr>
        <w:spacing w:after="0" w:line="240" w:lineRule="auto"/>
        <w:rPr>
          <w:u w:val="single"/>
        </w:rPr>
      </w:pPr>
      <w:r w:rsidRPr="006C5E29">
        <w:rPr>
          <w:b/>
          <w:u w:val="single"/>
        </w:rPr>
        <w:t>Note 2</w:t>
      </w:r>
    </w:p>
    <w:p w:rsidR="00343152" w:rsidRPr="008A235D" w:rsidP="004E0259">
      <w:pPr>
        <w:pStyle w:val="Heading4"/>
        <w:rPr>
          <w:rFonts w:eastAsia="Times New Roman"/>
          <w:i w:val="0"/>
          <w:iCs w:val="0"/>
          <w:color w:val="auto"/>
        </w:rPr>
      </w:pPr>
      <w:r w:rsidRPr="008A235D">
        <w:rPr>
          <w:rFonts w:eastAsia="Times New Roman"/>
          <w:i w:val="0"/>
          <w:iCs w:val="0"/>
          <w:color w:val="auto"/>
        </w:rPr>
        <w:t>The CMA’s capital budget has increased by 12</w:t>
      </w:r>
      <w:r w:rsidRPr="008A235D" w:rsidR="0004025E">
        <w:rPr>
          <w:rFonts w:eastAsia="Times New Roman"/>
          <w:i w:val="0"/>
          <w:iCs w:val="0"/>
          <w:color w:val="auto"/>
        </w:rPr>
        <w:t xml:space="preserve">7.3% from 20-21 Supplementary Estimates due to </w:t>
      </w:r>
      <w:r w:rsidRPr="008A235D" w:rsidR="00D310D2">
        <w:rPr>
          <w:rFonts w:eastAsia="Times New Roman"/>
          <w:i w:val="0"/>
          <w:iCs w:val="0"/>
          <w:color w:val="auto"/>
        </w:rPr>
        <w:t>investments in technology and accommodation required for the new functions</w:t>
      </w:r>
      <w:r w:rsidRPr="008A235D" w:rsidR="000B58D3">
        <w:rPr>
          <w:rFonts w:eastAsia="Times New Roman"/>
          <w:i w:val="0"/>
          <w:iCs w:val="0"/>
          <w:color w:val="auto"/>
        </w:rPr>
        <w:t>.</w:t>
      </w:r>
    </w:p>
    <w:p w:rsidR="00343152" w:rsidP="004E0259">
      <w:pPr>
        <w:pStyle w:val="Heading4"/>
        <w:rPr>
          <w:rFonts w:eastAsia="Times New Roman"/>
        </w:rPr>
      </w:pPr>
    </w:p>
    <w:p w:rsidR="004E0259" w:rsidP="004E0259">
      <w:pPr>
        <w:pStyle w:val="Heading4"/>
      </w:pPr>
      <w:r>
        <w:rPr>
          <w:rFonts w:eastAsia="Times New Roman"/>
        </w:rPr>
        <w:t>Resource AME</w:t>
      </w:r>
    </w:p>
    <w:p w:rsidR="004E0259" w:rsidP="004E0259">
      <w:pPr>
        <w:rPr>
          <w:rFonts w:eastAsia="Times New Roman"/>
        </w:rPr>
      </w:pPr>
      <w:r>
        <w:t xml:space="preserve">The table below shows how spending plans for Resource AME compare with last year.  </w:t>
      </w:r>
    </w:p>
    <w:p w:rsidR="004E0259" w:rsidP="00881583">
      <w:pPr>
        <w:spacing w:after="0"/>
      </w:pPr>
    </w:p>
    <w:tbl>
      <w:tblPr>
        <w:tblW w:w="9901" w:type="dxa"/>
        <w:tblLook w:val="04A0"/>
      </w:tblPr>
      <w:tblGrid>
        <w:gridCol w:w="980"/>
        <w:gridCol w:w="2180"/>
        <w:gridCol w:w="1441"/>
        <w:gridCol w:w="1044"/>
        <w:gridCol w:w="960"/>
        <w:gridCol w:w="960"/>
        <w:gridCol w:w="2336"/>
      </w:tblGrid>
      <w:tr w:rsidTr="004E1138">
        <w:tblPrEx>
          <w:tblW w:w="9901" w:type="dxa"/>
          <w:tblLook w:val="04A0"/>
        </w:tblPrEx>
        <w:trPr>
          <w:trHeight w:val="300"/>
        </w:trPr>
        <w:tc>
          <w:tcPr>
            <w:tcW w:w="980" w:type="dxa"/>
            <w:tcBorders>
              <w:top w:val="nil"/>
              <w:left w:val="nil"/>
              <w:bottom w:val="nil"/>
              <w:right w:val="nil"/>
            </w:tcBorders>
            <w:shd w:val="clear" w:color="auto" w:fill="auto"/>
            <w:noWrap/>
            <w:vAlign w:val="bottom"/>
            <w:hideMark/>
          </w:tcPr>
          <w:p w:rsidR="00C375E0" w:rsidRPr="00D6759F" w:rsidP="005249E7">
            <w:pPr>
              <w:spacing w:after="0" w:line="240" w:lineRule="auto"/>
              <w:rPr>
                <w:rFonts w:ascii="Times New Roman" w:eastAsia="Times New Roman" w:hAnsi="Times New Roman" w:cs="Times New Roman"/>
                <w:color w:val="000000" w:themeColor="text1"/>
                <w:sz w:val="24"/>
                <w:szCs w:val="24"/>
                <w:lang w:eastAsia="en-GB"/>
              </w:rPr>
            </w:pPr>
          </w:p>
        </w:tc>
        <w:tc>
          <w:tcPr>
            <w:tcW w:w="2180"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1441" w:type="dxa"/>
            <w:tcBorders>
              <w:top w:val="single" w:sz="4" w:space="0" w:color="auto"/>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b/>
                <w:bCs/>
                <w:color w:val="000000" w:themeColor="text1"/>
                <w:sz w:val="20"/>
                <w:szCs w:val="20"/>
                <w:lang w:eastAsia="en-GB"/>
              </w:rPr>
            </w:pPr>
            <w:r w:rsidRPr="00D6759F">
              <w:rPr>
                <w:rFonts w:ascii="Calibri" w:eastAsia="Times New Roman" w:hAnsi="Calibri" w:cs="Calibri"/>
                <w:b/>
                <w:bCs/>
                <w:color w:val="000000" w:themeColor="text1"/>
                <w:sz w:val="20"/>
                <w:szCs w:val="20"/>
                <w:lang w:eastAsia="en-GB"/>
              </w:rPr>
              <w:t>Resource</w:t>
            </w:r>
          </w:p>
        </w:tc>
        <w:tc>
          <w:tcPr>
            <w:tcW w:w="1044" w:type="dxa"/>
            <w:tcBorders>
              <w:top w:val="single" w:sz="4" w:space="0" w:color="auto"/>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AME</w:t>
            </w:r>
          </w:p>
        </w:tc>
        <w:tc>
          <w:tcPr>
            <w:tcW w:w="960" w:type="dxa"/>
            <w:tcBorders>
              <w:top w:val="single" w:sz="4" w:space="0" w:color="auto"/>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single" w:sz="4" w:space="0" w:color="auto"/>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2336" w:type="dxa"/>
            <w:tcBorders>
              <w:top w:val="single" w:sz="4" w:space="0" w:color="auto"/>
              <w:left w:val="nil"/>
              <w:bottom w:val="single" w:sz="4" w:space="0" w:color="auto"/>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r>
      <w:tr w:rsidTr="004E1138">
        <w:tblPrEx>
          <w:tblW w:w="9901" w:type="dxa"/>
          <w:tblLook w:val="04A0"/>
        </w:tblPrEx>
        <w:trPr>
          <w:trHeight w:val="780"/>
        </w:trPr>
        <w:tc>
          <w:tcPr>
            <w:tcW w:w="980" w:type="dxa"/>
            <w:tcBorders>
              <w:top w:val="nil"/>
              <w:left w:val="nil"/>
              <w:bottom w:val="nil"/>
              <w:right w:val="nil"/>
            </w:tcBorders>
            <w:shd w:val="clear" w:color="auto" w:fill="auto"/>
            <w:noWrap/>
            <w:vAlign w:val="bottom"/>
            <w:hideMark/>
          </w:tcPr>
          <w:p w:rsidR="004E1138" w:rsidRPr="00D6759F" w:rsidP="004E1138">
            <w:pPr>
              <w:spacing w:after="0" w:line="240" w:lineRule="auto"/>
              <w:rPr>
                <w:rFonts w:ascii="Calibri" w:eastAsia="Times New Roman" w:hAnsi="Calibri" w:cs="Calibri"/>
                <w:color w:val="000000" w:themeColor="text1"/>
                <w:sz w:val="20"/>
                <w:szCs w:val="20"/>
                <w:lang w:eastAsia="en-GB"/>
              </w:rPr>
            </w:pPr>
          </w:p>
        </w:tc>
        <w:tc>
          <w:tcPr>
            <w:tcW w:w="2180" w:type="dxa"/>
            <w:tcBorders>
              <w:top w:val="nil"/>
              <w:left w:val="nil"/>
              <w:bottom w:val="single" w:sz="4" w:space="0" w:color="auto"/>
              <w:right w:val="single" w:sz="4" w:space="0" w:color="auto"/>
            </w:tcBorders>
            <w:shd w:val="clear" w:color="auto" w:fill="auto"/>
            <w:noWrap/>
            <w:vAlign w:val="bottom"/>
            <w:hideMark/>
          </w:tcPr>
          <w:p w:rsidR="004E1138" w:rsidRPr="00D6759F" w:rsidP="004E1138">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1441" w:type="dxa"/>
            <w:tcBorders>
              <w:top w:val="nil"/>
              <w:left w:val="nil"/>
              <w:bottom w:val="single" w:sz="4" w:space="0" w:color="auto"/>
              <w:right w:val="nil"/>
            </w:tcBorders>
            <w:shd w:val="clear" w:color="auto" w:fill="auto"/>
            <w:noWrap/>
            <w:vAlign w:val="bottom"/>
            <w:hideMark/>
          </w:tcPr>
          <w:p w:rsidR="004E1138" w:rsidRPr="00D6759F" w:rsidP="004E1138">
            <w:pPr>
              <w:spacing w:after="0" w:line="240" w:lineRule="auto"/>
              <w:rPr>
                <w:rFonts w:ascii="Calibri" w:eastAsia="Times New Roman" w:hAnsi="Calibri" w:cs="Calibri"/>
                <w:i/>
                <w:iCs/>
                <w:color w:val="000000" w:themeColor="text1"/>
                <w:sz w:val="20"/>
                <w:szCs w:val="20"/>
                <w:lang w:eastAsia="en-GB"/>
              </w:rPr>
            </w:pPr>
            <w:r w:rsidRPr="00D6759F">
              <w:rPr>
                <w:rFonts w:ascii="Calibri" w:eastAsia="Times New Roman" w:hAnsi="Calibri" w:cs="Calibri"/>
                <w:i/>
                <w:iCs/>
                <w:color w:val="000000" w:themeColor="text1"/>
                <w:sz w:val="20"/>
                <w:szCs w:val="20"/>
                <w:lang w:eastAsia="en-GB"/>
              </w:rPr>
              <w:t>This year (2021-22 Main Estimates)</w:t>
            </w:r>
          </w:p>
        </w:tc>
        <w:tc>
          <w:tcPr>
            <w:tcW w:w="1044" w:type="dxa"/>
            <w:tcBorders>
              <w:top w:val="nil"/>
              <w:left w:val="nil"/>
              <w:bottom w:val="single" w:sz="4" w:space="0" w:color="auto"/>
              <w:right w:val="single" w:sz="4" w:space="0" w:color="auto"/>
            </w:tcBorders>
            <w:shd w:val="clear" w:color="auto" w:fill="auto"/>
            <w:noWrap/>
            <w:vAlign w:val="bottom"/>
            <w:hideMark/>
          </w:tcPr>
          <w:p w:rsidR="004E1138" w:rsidRPr="00D6759F" w:rsidP="004E1138">
            <w:pPr>
              <w:spacing w:after="0" w:line="240" w:lineRule="auto"/>
              <w:rPr>
                <w:rFonts w:ascii="Calibri" w:eastAsia="Times New Roman" w:hAnsi="Calibri" w:cs="Calibri"/>
                <w:i/>
                <w:iCs/>
                <w:color w:val="000000" w:themeColor="text1"/>
                <w:sz w:val="20"/>
                <w:szCs w:val="20"/>
                <w:lang w:eastAsia="en-GB"/>
              </w:rPr>
            </w:pPr>
            <w:r w:rsidRPr="00D6759F">
              <w:rPr>
                <w:rFonts w:ascii="Calibri" w:eastAsia="Times New Roman" w:hAnsi="Calibri" w:cs="Calibri"/>
                <w:i/>
                <w:iCs/>
                <w:color w:val="000000" w:themeColor="text1"/>
                <w:sz w:val="20"/>
                <w:szCs w:val="20"/>
                <w:lang w:eastAsia="en-GB"/>
              </w:rPr>
              <w:t>Last year (2020-21 Main Estimates</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1138" w:rsidRPr="00D6759F" w:rsidP="004E1138">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change from last year</w:t>
            </w:r>
          </w:p>
        </w:tc>
        <w:tc>
          <w:tcPr>
            <w:tcW w:w="2336" w:type="dxa"/>
            <w:tcBorders>
              <w:top w:val="nil"/>
              <w:left w:val="nil"/>
              <w:bottom w:val="nil"/>
              <w:right w:val="single" w:sz="4" w:space="0" w:color="auto"/>
            </w:tcBorders>
            <w:shd w:val="clear" w:color="auto" w:fill="auto"/>
            <w:vAlign w:val="bottom"/>
            <w:hideMark/>
          </w:tcPr>
          <w:p w:rsidR="004E1138" w:rsidRPr="00D6759F" w:rsidP="004E1138">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xml:space="preserve">is change significant? </w:t>
            </w:r>
          </w:p>
        </w:tc>
      </w:tr>
      <w:tr w:rsidTr="004E1138">
        <w:tblPrEx>
          <w:tblW w:w="9901" w:type="dxa"/>
          <w:tblLook w:val="04A0"/>
        </w:tblPrEx>
        <w:trPr>
          <w:trHeight w:val="572"/>
        </w:trPr>
        <w:tc>
          <w:tcPr>
            <w:tcW w:w="980" w:type="dxa"/>
            <w:tcBorders>
              <w:top w:val="single" w:sz="4" w:space="0" w:color="auto"/>
              <w:left w:val="single" w:sz="4" w:space="0" w:color="auto"/>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subhead</w:t>
            </w:r>
          </w:p>
        </w:tc>
        <w:tc>
          <w:tcPr>
            <w:tcW w:w="2180" w:type="dxa"/>
            <w:tcBorders>
              <w:top w:val="nil"/>
              <w:left w:val="nil"/>
              <w:bottom w:val="single" w:sz="4" w:space="0" w:color="auto"/>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1441" w:type="dxa"/>
            <w:tcBorders>
              <w:top w:val="nil"/>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million</w:t>
            </w:r>
          </w:p>
        </w:tc>
        <w:tc>
          <w:tcPr>
            <w:tcW w:w="1044" w:type="dxa"/>
            <w:tcBorders>
              <w:top w:val="nil"/>
              <w:left w:val="nil"/>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w:t>
            </w:r>
          </w:p>
        </w:tc>
        <w:tc>
          <w:tcPr>
            <w:tcW w:w="2336" w:type="dxa"/>
            <w:tcBorders>
              <w:top w:val="nil"/>
              <w:left w:val="nil"/>
              <w:bottom w:val="single" w:sz="4" w:space="0" w:color="auto"/>
              <w:right w:val="single" w:sz="4" w:space="0" w:color="auto"/>
            </w:tcBorders>
            <w:shd w:val="clear" w:color="auto" w:fill="auto"/>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see explanation, note number</w:t>
            </w:r>
          </w:p>
        </w:tc>
      </w:tr>
      <w:tr w:rsidTr="004E1138">
        <w:tblPrEx>
          <w:tblW w:w="9901" w:type="dxa"/>
          <w:tblLook w:val="04A0"/>
        </w:tblPrEx>
        <w:trPr>
          <w:trHeight w:val="300"/>
        </w:trPr>
        <w:tc>
          <w:tcPr>
            <w:tcW w:w="980" w:type="dxa"/>
            <w:tcBorders>
              <w:top w:val="nil"/>
              <w:left w:val="single" w:sz="4" w:space="0" w:color="auto"/>
              <w:bottom w:val="nil"/>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B</w:t>
            </w:r>
          </w:p>
        </w:tc>
        <w:tc>
          <w:tcPr>
            <w:tcW w:w="2180"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Competition Promotion</w:t>
            </w:r>
          </w:p>
        </w:tc>
        <w:tc>
          <w:tcPr>
            <w:tcW w:w="1441"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10.0</w:t>
            </w:r>
          </w:p>
        </w:tc>
        <w:tc>
          <w:tcPr>
            <w:tcW w:w="1044"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10.0</w:t>
            </w:r>
          </w:p>
        </w:tc>
        <w:tc>
          <w:tcPr>
            <w:tcW w:w="960"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jc w:val="right"/>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0</w:t>
            </w:r>
          </w:p>
        </w:tc>
        <w:tc>
          <w:tcPr>
            <w:tcW w:w="960"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jc w:val="center"/>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0</w:t>
            </w:r>
            <w:r w:rsidRPr="00D6759F">
              <w:rPr>
                <w:rFonts w:ascii="Calibri" w:eastAsia="Times New Roman" w:hAnsi="Calibri" w:cs="Calibri"/>
                <w:color w:val="000000" w:themeColor="text1"/>
                <w:sz w:val="20"/>
                <w:szCs w:val="20"/>
                <w:lang w:eastAsia="en-GB"/>
              </w:rPr>
              <w:t>.0%</w:t>
            </w:r>
          </w:p>
        </w:tc>
        <w:tc>
          <w:tcPr>
            <w:tcW w:w="2336" w:type="dxa"/>
            <w:tcBorders>
              <w:top w:val="nil"/>
              <w:left w:val="nil"/>
              <w:bottom w:val="nil"/>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sz w:val="20"/>
                <w:szCs w:val="20"/>
                <w:lang w:eastAsia="en-GB"/>
              </w:rPr>
            </w:pPr>
            <w:r w:rsidRPr="00D6759F">
              <w:rPr>
                <w:rFonts w:ascii="Calibri" w:eastAsia="Times New Roman" w:hAnsi="Calibri" w:cs="Calibri"/>
                <w:color w:val="000000" w:themeColor="text1"/>
                <w:sz w:val="20"/>
                <w:szCs w:val="20"/>
                <w:lang w:eastAsia="en-GB"/>
              </w:rPr>
              <w:t> </w:t>
            </w:r>
            <w:r w:rsidRPr="00D6759F" w:rsidR="00ED40F5">
              <w:rPr>
                <w:rFonts w:ascii="Calibri" w:eastAsia="Times New Roman" w:hAnsi="Calibri" w:cs="Calibri"/>
                <w:color w:val="000000" w:themeColor="text1"/>
                <w:sz w:val="20"/>
                <w:szCs w:val="20"/>
                <w:lang w:eastAsia="en-GB"/>
              </w:rPr>
              <w:t>N/A</w:t>
            </w:r>
          </w:p>
        </w:tc>
      </w:tr>
      <w:tr w:rsidTr="004E1138">
        <w:tblPrEx>
          <w:tblW w:w="9901" w:type="dxa"/>
          <w:tblLook w:val="04A0"/>
        </w:tblPrEx>
        <w:trPr>
          <w:trHeight w:val="300"/>
        </w:trPr>
        <w:tc>
          <w:tcPr>
            <w:tcW w:w="980" w:type="dxa"/>
            <w:tcBorders>
              <w:top w:val="nil"/>
              <w:left w:val="single" w:sz="4" w:space="0" w:color="auto"/>
              <w:bottom w:val="single" w:sz="4" w:space="0" w:color="auto"/>
              <w:right w:val="nil"/>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C375E0" w:rsidRPr="00D6759F" w:rsidP="005249E7">
            <w:pPr>
              <w:spacing w:after="0" w:line="240" w:lineRule="auto"/>
              <w:rPr>
                <w:rFonts w:ascii="Calibri" w:eastAsia="Times New Roman" w:hAnsi="Calibri" w:cs="Calibri"/>
                <w:color w:val="000000" w:themeColor="text1"/>
                <w:lang w:eastAsia="en-GB"/>
              </w:rPr>
            </w:pPr>
            <w:r w:rsidRPr="00D6759F">
              <w:rPr>
                <w:rFonts w:ascii="Calibri" w:eastAsia="Times New Roman" w:hAnsi="Calibri" w:cs="Calibri"/>
                <w:color w:val="000000" w:themeColor="text1"/>
                <w:lang w:eastAsia="en-GB"/>
              </w:rPr>
              <w:t>Gross expenditure</w:t>
            </w:r>
          </w:p>
        </w:tc>
        <w:tc>
          <w:tcPr>
            <w:tcW w:w="1441" w:type="dxa"/>
            <w:tcBorders>
              <w:top w:val="single" w:sz="4" w:space="0" w:color="auto"/>
              <w:left w:val="nil"/>
              <w:bottom w:val="single" w:sz="4" w:space="0" w:color="auto"/>
              <w:right w:val="single" w:sz="4" w:space="0" w:color="auto"/>
            </w:tcBorders>
            <w:shd w:val="clear" w:color="auto" w:fill="auto"/>
            <w:noWrap/>
            <w:hideMark/>
          </w:tcPr>
          <w:p w:rsidR="00C375E0" w:rsidRPr="00D6759F" w:rsidP="005249E7">
            <w:pPr>
              <w:spacing w:after="0" w:line="240" w:lineRule="auto"/>
              <w:jc w:val="right"/>
              <w:rPr>
                <w:rFonts w:ascii="Calibri" w:eastAsia="Times New Roman" w:hAnsi="Calibri" w:cs="Calibri"/>
                <w:b/>
                <w:color w:val="000000" w:themeColor="text1"/>
                <w:sz w:val="20"/>
                <w:szCs w:val="20"/>
                <w:lang w:eastAsia="en-GB"/>
              </w:rPr>
            </w:pPr>
            <w:r w:rsidRPr="00D6759F">
              <w:rPr>
                <w:b/>
                <w:color w:val="000000" w:themeColor="text1"/>
                <w:sz w:val="20"/>
                <w:szCs w:val="20"/>
              </w:rPr>
              <w:t>10.0</w:t>
            </w:r>
          </w:p>
        </w:tc>
        <w:tc>
          <w:tcPr>
            <w:tcW w:w="1044" w:type="dxa"/>
            <w:tcBorders>
              <w:top w:val="single" w:sz="4" w:space="0" w:color="auto"/>
              <w:left w:val="nil"/>
              <w:bottom w:val="single" w:sz="4" w:space="0" w:color="auto"/>
              <w:right w:val="single" w:sz="4" w:space="0" w:color="auto"/>
            </w:tcBorders>
            <w:shd w:val="clear" w:color="auto" w:fill="auto"/>
            <w:noWrap/>
            <w:hideMark/>
          </w:tcPr>
          <w:p w:rsidR="00C375E0" w:rsidRPr="00D6759F" w:rsidP="005249E7">
            <w:pPr>
              <w:spacing w:after="0" w:line="240" w:lineRule="auto"/>
              <w:jc w:val="right"/>
              <w:rPr>
                <w:rFonts w:ascii="Calibri" w:eastAsia="Times New Roman" w:hAnsi="Calibri" w:cs="Calibri"/>
                <w:b/>
                <w:color w:val="000000" w:themeColor="text1"/>
                <w:sz w:val="20"/>
                <w:szCs w:val="20"/>
                <w:lang w:eastAsia="en-GB"/>
              </w:rPr>
            </w:pPr>
            <w:r w:rsidRPr="00D6759F">
              <w:rPr>
                <w:b/>
                <w:color w:val="000000" w:themeColor="text1"/>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hideMark/>
          </w:tcPr>
          <w:p w:rsidR="00C375E0" w:rsidRPr="00D6759F" w:rsidP="005249E7">
            <w:pPr>
              <w:spacing w:after="0" w:line="240" w:lineRule="auto"/>
              <w:jc w:val="right"/>
              <w:rPr>
                <w:rFonts w:ascii="Calibri" w:eastAsia="Times New Roman" w:hAnsi="Calibri" w:cs="Calibri"/>
                <w:b/>
                <w:color w:val="000000" w:themeColor="text1"/>
                <w:sz w:val="20"/>
                <w:szCs w:val="20"/>
                <w:lang w:eastAsia="en-GB"/>
              </w:rPr>
            </w:pPr>
            <w:r w:rsidRPr="00D6759F">
              <w:rPr>
                <w:b/>
                <w:color w:val="000000" w:themeColor="text1"/>
                <w:sz w:val="20"/>
                <w:szCs w:val="20"/>
              </w:rPr>
              <w:t>0</w:t>
            </w:r>
          </w:p>
        </w:tc>
        <w:tc>
          <w:tcPr>
            <w:tcW w:w="960" w:type="dxa"/>
            <w:tcBorders>
              <w:top w:val="single" w:sz="4" w:space="0" w:color="auto"/>
              <w:left w:val="nil"/>
              <w:bottom w:val="single" w:sz="4" w:space="0" w:color="auto"/>
              <w:right w:val="single" w:sz="4" w:space="0" w:color="auto"/>
            </w:tcBorders>
            <w:shd w:val="clear" w:color="auto" w:fill="auto"/>
            <w:noWrap/>
            <w:hideMark/>
          </w:tcPr>
          <w:p w:rsidR="00C375E0" w:rsidRPr="00D6759F" w:rsidP="00A96E0A">
            <w:pPr>
              <w:spacing w:after="0" w:line="240" w:lineRule="auto"/>
              <w:jc w:val="center"/>
              <w:rPr>
                <w:rFonts w:ascii="Calibri" w:eastAsia="Times New Roman" w:hAnsi="Calibri" w:cs="Calibri"/>
                <w:b/>
                <w:color w:val="000000" w:themeColor="text1"/>
                <w:sz w:val="20"/>
                <w:szCs w:val="20"/>
                <w:lang w:eastAsia="en-GB"/>
              </w:rPr>
            </w:pPr>
            <w:r w:rsidRPr="00D6759F">
              <w:rPr>
                <w:b/>
                <w:color w:val="000000" w:themeColor="text1"/>
                <w:sz w:val="20"/>
                <w:szCs w:val="20"/>
              </w:rPr>
              <w:t>0</w:t>
            </w:r>
            <w:r w:rsidRPr="00D6759F">
              <w:rPr>
                <w:b/>
                <w:color w:val="000000" w:themeColor="text1"/>
                <w:sz w:val="20"/>
                <w:szCs w:val="20"/>
              </w:rPr>
              <w:t>.0%</w:t>
            </w:r>
          </w:p>
        </w:tc>
        <w:tc>
          <w:tcPr>
            <w:tcW w:w="2336" w:type="dxa"/>
            <w:tcBorders>
              <w:top w:val="single" w:sz="4" w:space="0" w:color="auto"/>
              <w:left w:val="nil"/>
              <w:bottom w:val="single" w:sz="4" w:space="0" w:color="auto"/>
              <w:right w:val="single" w:sz="4" w:space="0" w:color="auto"/>
            </w:tcBorders>
            <w:shd w:val="clear" w:color="auto" w:fill="auto"/>
            <w:noWrap/>
          </w:tcPr>
          <w:p w:rsidR="00C375E0" w:rsidRPr="00D6759F" w:rsidP="005249E7">
            <w:pPr>
              <w:spacing w:after="0" w:line="240" w:lineRule="auto"/>
              <w:jc w:val="right"/>
              <w:rPr>
                <w:rFonts w:ascii="Calibri" w:eastAsia="Times New Roman" w:hAnsi="Calibri" w:cs="Calibri"/>
                <w:b/>
                <w:color w:val="000000" w:themeColor="text1"/>
                <w:sz w:val="20"/>
                <w:szCs w:val="20"/>
                <w:lang w:eastAsia="en-GB"/>
              </w:rPr>
            </w:pPr>
          </w:p>
        </w:tc>
      </w:tr>
    </w:tbl>
    <w:p w:rsidR="006C5E29" w:rsidP="00D21ECE">
      <w:pPr>
        <w:pStyle w:val="Heading2"/>
      </w:pPr>
    </w:p>
    <w:p w:rsidR="005130E2" w:rsidP="00D21ECE">
      <w:pPr>
        <w:pStyle w:val="Heading2"/>
      </w:pPr>
      <w:r>
        <w:t>2.</w:t>
      </w:r>
      <w:r w:rsidR="004251D1">
        <w:t>2</w:t>
      </w:r>
      <w:r>
        <w:t xml:space="preserve"> </w:t>
      </w:r>
      <w:r w:rsidR="00E639BA">
        <w:tab/>
      </w:r>
      <w:r w:rsidR="00653A76">
        <w:t>Re</w:t>
      </w:r>
      <w:r w:rsidR="00B859CC">
        <w:t>structuring</w:t>
      </w:r>
    </w:p>
    <w:p w:rsidR="00D21ECE" w:rsidP="005130E2">
      <w:pPr>
        <w:rPr>
          <w:lang w:eastAsia="en-GB"/>
        </w:rPr>
      </w:pPr>
      <w:r>
        <w:rPr>
          <w:lang w:eastAsia="en-GB"/>
        </w:rPr>
        <w:t>Not applicable</w:t>
      </w:r>
    </w:p>
    <w:p w:rsidR="00B12064" w:rsidRPr="005130E2" w:rsidP="006020EF">
      <w:pPr>
        <w:spacing w:after="0"/>
      </w:pPr>
    </w:p>
    <w:p w:rsidR="00137ED6" w:rsidP="00137ED6">
      <w:pPr>
        <w:pStyle w:val="Heading2"/>
      </w:pPr>
      <w:r>
        <w:t>2.</w:t>
      </w:r>
      <w:r w:rsidR="004251D1">
        <w:t>3</w:t>
      </w:r>
      <w:r>
        <w:t xml:space="preserve"> </w:t>
      </w:r>
      <w:r w:rsidR="00E639BA">
        <w:tab/>
      </w:r>
      <w:r w:rsidRPr="00137ED6" w:rsidR="00594756">
        <w:t>Ring fenced budgets</w:t>
      </w:r>
    </w:p>
    <w:p w:rsidR="00E639BA" w:rsidRPr="00E639BA" w:rsidP="00E157B9">
      <w:pPr>
        <w:spacing w:after="0"/>
      </w:pPr>
    </w:p>
    <w:p w:rsidR="00B40678" w:rsidRPr="00137ED6" w:rsidP="00137ED6">
      <w:pPr>
        <w:pStyle w:val="Heading2"/>
        <w:rPr>
          <w:rFonts w:ascii="Verdana" w:hAnsi="Verdana"/>
          <w:bCs/>
          <w:color w:val="333333"/>
          <w:sz w:val="19"/>
          <w:szCs w:val="19"/>
        </w:rPr>
      </w:pPr>
      <w:r w:rsidRPr="00137ED6">
        <w:rPr>
          <w:rFonts w:ascii="Verdana" w:hAnsi="Verdana"/>
          <w:bCs/>
          <w:color w:val="333333"/>
          <w:sz w:val="19"/>
          <w:szCs w:val="19"/>
        </w:rPr>
        <w:t>Within the totals, the following elements are ring fenced ie savings in these budgets may not be used to fund pressures on other budgets</w:t>
      </w:r>
    </w:p>
    <w:p w:rsidR="00B40678" w:rsidRPr="00137ED6" w:rsidP="00B40678">
      <w:pPr>
        <w:pStyle w:val="Heading3"/>
        <w:rPr>
          <w:rFonts w:ascii="Verdana" w:hAnsi="Verdana"/>
          <w:bCs/>
          <w:color w:val="333333"/>
          <w:sz w:val="19"/>
          <w:szCs w:val="19"/>
        </w:rPr>
      </w:pPr>
      <w:r w:rsidRPr="00137ED6">
        <w:rPr>
          <w:rFonts w:ascii="Verdana" w:hAnsi="Verdana"/>
          <w:bCs/>
          <w:color w:val="333333"/>
          <w:sz w:val="19"/>
          <w:szCs w:val="19"/>
        </w:rPr>
        <w:t>Resource 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1402"/>
        <w:gridCol w:w="1549"/>
        <w:gridCol w:w="1402"/>
        <w:gridCol w:w="1637"/>
        <w:gridCol w:w="1401"/>
      </w:tblGrid>
      <w:tr w:rsidTr="003D089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27" w:type="dxa"/>
            <w:gridSpan w:val="2"/>
            <w:vMerge w:val="restart"/>
          </w:tcPr>
          <w:p w:rsidR="005C581D" w:rsidRPr="00D6759F" w:rsidP="005C581D">
            <w:pPr>
              <w:rPr>
                <w:rFonts w:ascii="Verdana" w:hAnsi="Verdana"/>
                <w:b/>
                <w:color w:val="000000" w:themeColor="text1"/>
                <w:sz w:val="19"/>
                <w:szCs w:val="19"/>
              </w:rPr>
            </w:pPr>
            <w:r w:rsidRPr="00D6759F">
              <w:rPr>
                <w:rFonts w:ascii="Verdana" w:hAnsi="Verdana"/>
                <w:b/>
                <w:color w:val="000000" w:themeColor="text1"/>
                <w:sz w:val="19"/>
                <w:szCs w:val="19"/>
              </w:rPr>
              <w:t>Ring fenced budgets</w:t>
            </w:r>
          </w:p>
          <w:p w:rsidR="005C581D" w:rsidRPr="00D6759F" w:rsidP="005C581D">
            <w:pPr>
              <w:rPr>
                <w:rFonts w:ascii="Verdana" w:hAnsi="Verdana"/>
                <w:b/>
                <w:color w:val="000000" w:themeColor="text1"/>
                <w:sz w:val="19"/>
                <w:szCs w:val="19"/>
              </w:rPr>
            </w:pPr>
            <w:r w:rsidRPr="00D6759F">
              <w:rPr>
                <w:rFonts w:ascii="Verdana" w:hAnsi="Verdana"/>
                <w:b/>
                <w:color w:val="000000" w:themeColor="text1"/>
                <w:sz w:val="19"/>
                <w:szCs w:val="19"/>
              </w:rPr>
              <w:t>Amounts sought this year</w:t>
            </w:r>
          </w:p>
          <w:p w:rsidR="00C81380" w:rsidRPr="00D6759F" w:rsidP="005C581D">
            <w:pPr>
              <w:rPr>
                <w:rFonts w:ascii="Verdana" w:hAnsi="Verdana"/>
                <w:b/>
                <w:color w:val="000000" w:themeColor="text1"/>
                <w:sz w:val="19"/>
                <w:szCs w:val="19"/>
              </w:rPr>
            </w:pPr>
            <w:r w:rsidRPr="00D6759F">
              <w:rPr>
                <w:rFonts w:ascii="Verdana" w:hAnsi="Verdana"/>
                <w:b/>
                <w:color w:val="000000" w:themeColor="text1"/>
                <w:sz w:val="19"/>
                <w:szCs w:val="19"/>
              </w:rPr>
              <w:t>(Main Estimate 2021-22)</w:t>
            </w:r>
          </w:p>
        </w:tc>
        <w:tc>
          <w:tcPr>
            <w:tcW w:w="2951" w:type="dxa"/>
            <w:gridSpan w:val="2"/>
          </w:tcPr>
          <w:p w:rsidR="004E1138" w:rsidRPr="00D6759F" w:rsidP="004E1138">
            <w:pPr>
              <w:rPr>
                <w:rFonts w:ascii="Verdana" w:hAnsi="Verdana"/>
                <w:b/>
                <w:color w:val="000000" w:themeColor="text1"/>
                <w:sz w:val="19"/>
                <w:szCs w:val="19"/>
              </w:rPr>
            </w:pPr>
            <w:r w:rsidRPr="00D6759F">
              <w:rPr>
                <w:rFonts w:ascii="Verdana" w:hAnsi="Verdana"/>
                <w:b/>
                <w:color w:val="000000" w:themeColor="text1"/>
                <w:sz w:val="19"/>
                <w:szCs w:val="19"/>
              </w:rPr>
              <w:t xml:space="preserve">Difference (+/-) compared to final budget last year </w:t>
            </w:r>
          </w:p>
          <w:p w:rsidR="004E1138" w:rsidRPr="00D6759F" w:rsidP="004E1138">
            <w:pPr>
              <w:rPr>
                <w:rFonts w:ascii="Verdana" w:hAnsi="Verdana"/>
                <w:b/>
                <w:color w:val="000000" w:themeColor="text1"/>
                <w:sz w:val="19"/>
                <w:szCs w:val="19"/>
              </w:rPr>
            </w:pPr>
            <w:r w:rsidRPr="00D6759F">
              <w:rPr>
                <w:rFonts w:ascii="Verdana" w:hAnsi="Verdana"/>
                <w:b/>
                <w:color w:val="000000" w:themeColor="text1"/>
                <w:sz w:val="19"/>
                <w:szCs w:val="19"/>
              </w:rPr>
              <w:t>(Supplementary Estimate 20</w:t>
            </w:r>
            <w:r w:rsidRPr="00D6759F" w:rsidR="00B15C83">
              <w:rPr>
                <w:rFonts w:ascii="Verdana" w:hAnsi="Verdana"/>
                <w:b/>
                <w:color w:val="000000" w:themeColor="text1"/>
                <w:sz w:val="19"/>
                <w:szCs w:val="19"/>
              </w:rPr>
              <w:t>20</w:t>
            </w:r>
            <w:r w:rsidRPr="00D6759F">
              <w:rPr>
                <w:rFonts w:ascii="Verdana" w:hAnsi="Verdana"/>
                <w:b/>
                <w:color w:val="000000" w:themeColor="text1"/>
                <w:sz w:val="19"/>
                <w:szCs w:val="19"/>
              </w:rPr>
              <w:t>-2</w:t>
            </w:r>
            <w:r w:rsidRPr="00D6759F" w:rsidR="00B15C83">
              <w:rPr>
                <w:rFonts w:ascii="Verdana" w:hAnsi="Verdana"/>
                <w:b/>
                <w:color w:val="000000" w:themeColor="text1"/>
                <w:sz w:val="19"/>
                <w:szCs w:val="19"/>
              </w:rPr>
              <w:t>1</w:t>
            </w:r>
            <w:r w:rsidRPr="00D6759F">
              <w:rPr>
                <w:rFonts w:ascii="Verdana" w:hAnsi="Verdana"/>
                <w:b/>
                <w:color w:val="000000" w:themeColor="text1"/>
                <w:sz w:val="19"/>
                <w:szCs w:val="19"/>
              </w:rPr>
              <w:t>)</w:t>
            </w:r>
          </w:p>
          <w:p w:rsidR="005C581D" w:rsidRPr="00D6759F" w:rsidP="005C581D">
            <w:pPr>
              <w:rPr>
                <w:rFonts w:ascii="Verdana" w:hAnsi="Verdana"/>
                <w:b/>
                <w:color w:val="000000" w:themeColor="text1"/>
                <w:sz w:val="19"/>
                <w:szCs w:val="19"/>
              </w:rPr>
            </w:pPr>
          </w:p>
        </w:tc>
        <w:tc>
          <w:tcPr>
            <w:tcW w:w="3038" w:type="dxa"/>
            <w:gridSpan w:val="2"/>
          </w:tcPr>
          <w:p w:rsidR="00EC2108" w:rsidRPr="00D6759F" w:rsidP="00EC2108">
            <w:pPr>
              <w:rPr>
                <w:rFonts w:ascii="Verdana" w:hAnsi="Verdana"/>
                <w:b/>
                <w:color w:val="000000" w:themeColor="text1"/>
                <w:sz w:val="19"/>
                <w:szCs w:val="19"/>
              </w:rPr>
            </w:pPr>
            <w:r w:rsidRPr="00D6759F">
              <w:rPr>
                <w:rFonts w:ascii="Verdana" w:hAnsi="Verdana"/>
                <w:b/>
                <w:color w:val="000000" w:themeColor="text1"/>
                <w:sz w:val="19"/>
                <w:szCs w:val="19"/>
              </w:rPr>
              <w:t xml:space="preserve">Difference (+/-) compared to original budget last year </w:t>
            </w:r>
          </w:p>
          <w:p w:rsidR="005C581D" w:rsidRPr="00D6759F" w:rsidP="00EC2108">
            <w:pPr>
              <w:rPr>
                <w:rFonts w:ascii="Verdana" w:hAnsi="Verdana"/>
                <w:b/>
                <w:color w:val="000000" w:themeColor="text1"/>
                <w:sz w:val="19"/>
                <w:szCs w:val="19"/>
              </w:rPr>
            </w:pPr>
            <w:r w:rsidRPr="00D6759F">
              <w:rPr>
                <w:rFonts w:ascii="Verdana" w:hAnsi="Verdana"/>
                <w:b/>
                <w:color w:val="000000" w:themeColor="text1"/>
                <w:sz w:val="19"/>
                <w:szCs w:val="19"/>
              </w:rPr>
              <w:t xml:space="preserve">(Main Estimate </w:t>
            </w:r>
            <w:r w:rsidRPr="00D6759F" w:rsidR="00B15C83">
              <w:rPr>
                <w:rFonts w:ascii="Verdana" w:hAnsi="Verdana"/>
                <w:b/>
                <w:color w:val="000000" w:themeColor="text1"/>
                <w:sz w:val="19"/>
                <w:szCs w:val="19"/>
              </w:rPr>
              <w:t>2020-21</w:t>
            </w:r>
            <w:r w:rsidRPr="00D6759F">
              <w:rPr>
                <w:rFonts w:ascii="Verdana" w:hAnsi="Verdana"/>
                <w:b/>
                <w:color w:val="000000" w:themeColor="text1"/>
                <w:sz w:val="19"/>
                <w:szCs w:val="19"/>
              </w:rPr>
              <w:t>)</w:t>
            </w:r>
          </w:p>
        </w:tc>
      </w:tr>
      <w:tr w:rsidTr="003D0893">
        <w:tblPrEx>
          <w:tblW w:w="0" w:type="auto"/>
          <w:tblLook w:val="04A0"/>
        </w:tblPrEx>
        <w:tc>
          <w:tcPr>
            <w:tcW w:w="3027" w:type="dxa"/>
            <w:gridSpan w:val="2"/>
            <w:vMerge/>
          </w:tcPr>
          <w:p w:rsidR="00B40678" w:rsidRPr="00D6759F" w:rsidP="000E0F4E">
            <w:pPr>
              <w:rPr>
                <w:rFonts w:ascii="Verdana" w:hAnsi="Verdana"/>
                <w:color w:val="000000" w:themeColor="text1"/>
                <w:sz w:val="19"/>
                <w:szCs w:val="19"/>
              </w:rPr>
            </w:pPr>
          </w:p>
        </w:tc>
        <w:tc>
          <w:tcPr>
            <w:tcW w:w="1549" w:type="dxa"/>
          </w:tcPr>
          <w:p w:rsidR="00B40678" w:rsidRPr="00D6759F" w:rsidP="000E0F4E">
            <w:pPr>
              <w:rPr>
                <w:rFonts w:ascii="Verdana" w:hAnsi="Verdana"/>
                <w:color w:val="000000" w:themeColor="text1"/>
                <w:sz w:val="19"/>
                <w:szCs w:val="19"/>
              </w:rPr>
            </w:pPr>
            <w:r w:rsidRPr="00D6759F">
              <w:rPr>
                <w:rFonts w:ascii="Verdana" w:hAnsi="Verdana"/>
                <w:b/>
                <w:color w:val="000000" w:themeColor="text1"/>
                <w:sz w:val="19"/>
                <w:szCs w:val="19"/>
              </w:rPr>
              <w:t>£ m</w:t>
            </w:r>
          </w:p>
        </w:tc>
        <w:tc>
          <w:tcPr>
            <w:tcW w:w="1402" w:type="dxa"/>
          </w:tcPr>
          <w:p w:rsidR="00B40678" w:rsidRPr="00D6759F" w:rsidP="000E0F4E">
            <w:pPr>
              <w:rPr>
                <w:rFonts w:ascii="Verdana" w:hAnsi="Verdana"/>
                <w:color w:val="000000" w:themeColor="text1"/>
                <w:sz w:val="19"/>
                <w:szCs w:val="19"/>
              </w:rPr>
            </w:pPr>
            <w:r w:rsidRPr="00D6759F">
              <w:rPr>
                <w:rFonts w:ascii="Verdana" w:hAnsi="Verdana"/>
                <w:b/>
                <w:color w:val="000000" w:themeColor="text1"/>
                <w:sz w:val="19"/>
                <w:szCs w:val="19"/>
              </w:rPr>
              <w:t>%</w:t>
            </w:r>
          </w:p>
        </w:tc>
        <w:tc>
          <w:tcPr>
            <w:tcW w:w="1637" w:type="dxa"/>
          </w:tcPr>
          <w:p w:rsidR="00B40678" w:rsidRPr="00D6759F" w:rsidP="000E0F4E">
            <w:pPr>
              <w:rPr>
                <w:rFonts w:ascii="Verdana" w:hAnsi="Verdana"/>
                <w:color w:val="000000" w:themeColor="text1"/>
                <w:sz w:val="19"/>
                <w:szCs w:val="19"/>
              </w:rPr>
            </w:pPr>
            <w:r w:rsidRPr="00D6759F">
              <w:rPr>
                <w:rFonts w:ascii="Verdana" w:hAnsi="Verdana"/>
                <w:b/>
                <w:color w:val="000000" w:themeColor="text1"/>
                <w:sz w:val="19"/>
                <w:szCs w:val="19"/>
              </w:rPr>
              <w:t>£m</w:t>
            </w:r>
          </w:p>
        </w:tc>
        <w:tc>
          <w:tcPr>
            <w:tcW w:w="1401" w:type="dxa"/>
          </w:tcPr>
          <w:p w:rsidR="00B40678" w:rsidRPr="00D6759F" w:rsidP="000E0F4E">
            <w:pPr>
              <w:rPr>
                <w:rFonts w:ascii="Verdana" w:hAnsi="Verdana"/>
                <w:color w:val="000000" w:themeColor="text1"/>
                <w:sz w:val="19"/>
                <w:szCs w:val="19"/>
              </w:rPr>
            </w:pPr>
            <w:r w:rsidRPr="00D6759F">
              <w:rPr>
                <w:rFonts w:ascii="Verdana" w:hAnsi="Verdana"/>
                <w:b/>
                <w:color w:val="000000" w:themeColor="text1"/>
                <w:sz w:val="19"/>
                <w:szCs w:val="19"/>
              </w:rPr>
              <w:t>%</w:t>
            </w:r>
          </w:p>
        </w:tc>
      </w:tr>
      <w:tr w:rsidTr="003D0893">
        <w:tblPrEx>
          <w:tblW w:w="0" w:type="auto"/>
          <w:tblLook w:val="04A0"/>
        </w:tblPrEx>
        <w:tc>
          <w:tcPr>
            <w:tcW w:w="1625"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D</w:t>
            </w:r>
            <w:r w:rsidRPr="00D6759F">
              <w:rPr>
                <w:rFonts w:ascii="Verdana" w:hAnsi="Verdana"/>
                <w:color w:val="000000" w:themeColor="text1"/>
                <w:sz w:val="19"/>
                <w:szCs w:val="19"/>
              </w:rPr>
              <w:t>epreciation</w:t>
            </w:r>
          </w:p>
        </w:tc>
        <w:tc>
          <w:tcPr>
            <w:tcW w:w="1402"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w:t>
            </w:r>
            <w:r w:rsidRPr="00D6759F" w:rsidR="00415E8C">
              <w:rPr>
                <w:rFonts w:ascii="Verdana" w:hAnsi="Verdana"/>
                <w:color w:val="000000" w:themeColor="text1"/>
                <w:sz w:val="19"/>
                <w:szCs w:val="19"/>
              </w:rPr>
              <w:t>6</w:t>
            </w:r>
            <w:r w:rsidRPr="00D6759F">
              <w:rPr>
                <w:rFonts w:ascii="Verdana" w:hAnsi="Verdana"/>
                <w:color w:val="000000" w:themeColor="text1"/>
                <w:sz w:val="19"/>
                <w:szCs w:val="19"/>
              </w:rPr>
              <w:t>.</w:t>
            </w:r>
            <w:r w:rsidRPr="00D6759F" w:rsidR="00415E8C">
              <w:rPr>
                <w:rFonts w:ascii="Verdana" w:hAnsi="Verdana"/>
                <w:color w:val="000000" w:themeColor="text1"/>
                <w:sz w:val="19"/>
                <w:szCs w:val="19"/>
              </w:rPr>
              <w:t>0</w:t>
            </w:r>
            <w:r w:rsidRPr="00D6759F">
              <w:rPr>
                <w:rFonts w:ascii="Verdana" w:hAnsi="Verdana"/>
                <w:color w:val="000000" w:themeColor="text1"/>
                <w:sz w:val="19"/>
                <w:szCs w:val="19"/>
              </w:rPr>
              <w:t>m</w:t>
            </w:r>
          </w:p>
        </w:tc>
        <w:tc>
          <w:tcPr>
            <w:tcW w:w="1549"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w:t>
            </w:r>
            <w:r w:rsidRPr="00D6759F" w:rsidR="00EF61BD">
              <w:rPr>
                <w:rFonts w:ascii="Verdana" w:hAnsi="Verdana"/>
                <w:color w:val="000000" w:themeColor="text1"/>
                <w:sz w:val="19"/>
                <w:szCs w:val="19"/>
              </w:rPr>
              <w:t>6.0</w:t>
            </w:r>
            <w:r w:rsidRPr="00D6759F" w:rsidR="005C581D">
              <w:rPr>
                <w:rFonts w:ascii="Verdana" w:hAnsi="Verdana"/>
                <w:color w:val="000000" w:themeColor="text1"/>
                <w:sz w:val="19"/>
                <w:szCs w:val="19"/>
              </w:rPr>
              <w:t>m</w:t>
            </w:r>
          </w:p>
        </w:tc>
        <w:tc>
          <w:tcPr>
            <w:tcW w:w="1402"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0.0</w:t>
            </w:r>
            <w:r w:rsidRPr="00D6759F" w:rsidR="00AC2287">
              <w:rPr>
                <w:rFonts w:ascii="Verdana" w:hAnsi="Verdana"/>
                <w:color w:val="000000" w:themeColor="text1"/>
                <w:sz w:val="19"/>
                <w:szCs w:val="19"/>
              </w:rPr>
              <w:t>%</w:t>
            </w:r>
          </w:p>
        </w:tc>
        <w:tc>
          <w:tcPr>
            <w:tcW w:w="1637"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w:t>
            </w:r>
            <w:r w:rsidRPr="00D6759F" w:rsidR="00EF61BD">
              <w:rPr>
                <w:rFonts w:ascii="Verdana" w:hAnsi="Verdana"/>
                <w:color w:val="000000" w:themeColor="text1"/>
                <w:sz w:val="19"/>
                <w:szCs w:val="19"/>
              </w:rPr>
              <w:t>2</w:t>
            </w:r>
            <w:r w:rsidRPr="00D6759F" w:rsidR="009A6CF8">
              <w:rPr>
                <w:rFonts w:ascii="Verdana" w:hAnsi="Verdana"/>
                <w:color w:val="000000" w:themeColor="text1"/>
                <w:sz w:val="19"/>
                <w:szCs w:val="19"/>
              </w:rPr>
              <w:t>.</w:t>
            </w:r>
            <w:r w:rsidRPr="00D6759F" w:rsidR="00B15C83">
              <w:rPr>
                <w:rFonts w:ascii="Verdana" w:hAnsi="Verdana"/>
                <w:color w:val="000000" w:themeColor="text1"/>
                <w:sz w:val="19"/>
                <w:szCs w:val="19"/>
              </w:rPr>
              <w:t>5</w:t>
            </w:r>
            <w:r w:rsidRPr="00D6759F" w:rsidR="00AC2287">
              <w:rPr>
                <w:rFonts w:ascii="Verdana" w:hAnsi="Verdana"/>
                <w:color w:val="000000" w:themeColor="text1"/>
                <w:sz w:val="19"/>
                <w:szCs w:val="19"/>
              </w:rPr>
              <w:t>m</w:t>
            </w:r>
          </w:p>
        </w:tc>
        <w:tc>
          <w:tcPr>
            <w:tcW w:w="1401" w:type="dxa"/>
          </w:tcPr>
          <w:p w:rsidR="00190837" w:rsidRPr="00D6759F" w:rsidP="000E0F4E">
            <w:pPr>
              <w:rPr>
                <w:rFonts w:ascii="Verdana" w:hAnsi="Verdana"/>
                <w:color w:val="000000" w:themeColor="text1"/>
                <w:sz w:val="19"/>
                <w:szCs w:val="19"/>
              </w:rPr>
            </w:pPr>
            <w:r w:rsidRPr="00D6759F">
              <w:rPr>
                <w:rFonts w:ascii="Verdana" w:hAnsi="Verdana"/>
                <w:color w:val="000000" w:themeColor="text1"/>
                <w:sz w:val="19"/>
                <w:szCs w:val="19"/>
              </w:rPr>
              <w:t>71.4</w:t>
            </w:r>
            <w:r w:rsidRPr="00D6759F" w:rsidR="00AC2287">
              <w:rPr>
                <w:rFonts w:ascii="Verdana" w:hAnsi="Verdana"/>
                <w:color w:val="000000" w:themeColor="text1"/>
                <w:sz w:val="19"/>
                <w:szCs w:val="19"/>
              </w:rPr>
              <w:t>%</w:t>
            </w:r>
          </w:p>
        </w:tc>
      </w:tr>
    </w:tbl>
    <w:p w:rsidR="006041C7" w:rsidP="00EF63D2">
      <w:pPr>
        <w:pStyle w:val="Heading2"/>
      </w:pPr>
    </w:p>
    <w:p w:rsidR="00B859CC" w:rsidP="006020EF">
      <w:pPr>
        <w:spacing w:after="0"/>
      </w:pPr>
    </w:p>
    <w:p w:rsidR="00B859CC" w:rsidP="00B859CC">
      <w:pPr>
        <w:pStyle w:val="Heading2"/>
      </w:pPr>
      <w:r>
        <w:t xml:space="preserve">2.4 </w:t>
      </w:r>
      <w:r w:rsidR="00E639BA">
        <w:tab/>
      </w:r>
      <w:r>
        <w:t>C</w:t>
      </w:r>
      <w:r w:rsidR="000E797E">
        <w:t>hanges to contingent liabilities</w:t>
      </w:r>
    </w:p>
    <w:p w:rsidR="00E73FA4" w:rsidP="00C52293">
      <w:pPr>
        <w:spacing w:after="0"/>
      </w:pPr>
    </w:p>
    <w:p w:rsidR="00423AB3" w:rsidP="00B859CC">
      <w:pPr>
        <w:rPr>
          <w:lang w:eastAsia="en-GB"/>
        </w:rPr>
      </w:pPr>
      <w:r>
        <w:rPr>
          <w:lang w:eastAsia="en-GB"/>
        </w:rPr>
        <w:t>Not applicable</w:t>
      </w:r>
    </w:p>
    <w:p w:rsidR="00E73FA4" w:rsidRPr="00B859CC" w:rsidP="00B859CC"/>
    <w:p w:rsidR="00740C96" w:rsidRPr="00E639BA" w:rsidP="00EF63D2">
      <w:pPr>
        <w:pStyle w:val="Heading2"/>
        <w:rPr>
          <w:sz w:val="32"/>
          <w:szCs w:val="32"/>
        </w:rPr>
      </w:pPr>
      <w:r w:rsidRPr="00E639BA">
        <w:rPr>
          <w:sz w:val="32"/>
          <w:szCs w:val="32"/>
        </w:rPr>
        <w:t>3</w:t>
      </w:r>
      <w:r w:rsidRPr="00E639BA" w:rsidR="00165E62">
        <w:rPr>
          <w:sz w:val="32"/>
          <w:szCs w:val="32"/>
        </w:rPr>
        <w:tab/>
      </w:r>
      <w:r w:rsidRPr="00E639BA">
        <w:rPr>
          <w:sz w:val="32"/>
          <w:szCs w:val="32"/>
        </w:rPr>
        <w:t>P</w:t>
      </w:r>
      <w:r w:rsidRPr="00E639BA" w:rsidR="00165E62">
        <w:rPr>
          <w:sz w:val="32"/>
          <w:szCs w:val="32"/>
        </w:rPr>
        <w:t>riorities and performance</w:t>
      </w:r>
    </w:p>
    <w:p w:rsidR="00E639BA" w:rsidRPr="00E639BA" w:rsidP="000B025E">
      <w:pPr>
        <w:spacing w:after="0"/>
      </w:pPr>
    </w:p>
    <w:p w:rsidR="0012374E" w:rsidP="00B24918">
      <w:pPr>
        <w:pStyle w:val="Heading2"/>
      </w:pPr>
      <w:r w:rsidRPr="00740C96">
        <w:t>3.1</w:t>
      </w:r>
      <w:r w:rsidR="00165E62">
        <w:tab/>
        <w:t>How spending relates to objectives</w:t>
      </w:r>
      <w:r w:rsidRPr="00740C96">
        <w:t xml:space="preserve"> </w:t>
      </w:r>
    </w:p>
    <w:p w:rsidR="00B24918" w:rsidRPr="00B24918" w:rsidP="00C52293">
      <w:pPr>
        <w:spacing w:after="0"/>
      </w:pPr>
    </w:p>
    <w:p w:rsidR="00317D05" w:rsidP="00D45B54">
      <w:pPr>
        <w:spacing w:after="0"/>
      </w:pPr>
      <w:r w:rsidRPr="0012374E">
        <w:t>Expenditure under subheads A</w:t>
      </w:r>
      <w:r>
        <w:t xml:space="preserve"> and</w:t>
      </w:r>
      <w:r w:rsidRPr="0012374E">
        <w:t xml:space="preserve"> B supports </w:t>
      </w:r>
      <w:r w:rsidRPr="0012374E" w:rsidR="00481D64">
        <w:t>all</w:t>
      </w:r>
      <w:r w:rsidRPr="0012374E">
        <w:t xml:space="preserve"> the objectives se</w:t>
      </w:r>
      <w:r>
        <w:t>t out in the annual plan.</w:t>
      </w:r>
    </w:p>
    <w:p w:rsidR="006020EF" w:rsidP="00137ED6">
      <w:pPr>
        <w:pStyle w:val="Heading2"/>
      </w:pPr>
    </w:p>
    <w:p w:rsidR="006C5E29" w:rsidRPr="006C5E29" w:rsidP="006C5E29"/>
    <w:p w:rsidR="003A7C20" w:rsidP="00E00EDD">
      <w:pPr>
        <w:pStyle w:val="Heading2"/>
      </w:pPr>
      <w:bookmarkStart w:id="0" w:name="_Hlk69829098"/>
      <w:r w:rsidRPr="00740C96">
        <w:t>3.2</w:t>
      </w:r>
      <w:r w:rsidR="00165E62">
        <w:tab/>
        <w:t xml:space="preserve">Measures of performance against each </w:t>
      </w:r>
      <w:r w:rsidRPr="00740C96">
        <w:t xml:space="preserve">priority </w:t>
      </w:r>
    </w:p>
    <w:p w:rsidR="00E00EDD" w:rsidRPr="00E00EDD" w:rsidP="00E00EDD"/>
    <w:p w:rsidR="00092403" w:rsidRPr="006C5E29" w:rsidP="00E00EDD">
      <w:pPr>
        <w:spacing w:line="240" w:lineRule="auto"/>
        <w:rPr>
          <w:lang w:eastAsia="en-GB"/>
        </w:rPr>
      </w:pPr>
      <w:bookmarkStart w:id="1" w:name="_Hlk69461546"/>
      <w:r w:rsidRPr="006C5E29">
        <w:rPr>
          <w:lang w:eastAsia="en-GB"/>
        </w:rPr>
        <w:t>The CMA’s</w:t>
      </w:r>
      <w:r w:rsidRPr="006C5E29" w:rsidR="00E00EDD">
        <w:rPr>
          <w:lang w:eastAsia="en-GB"/>
        </w:rPr>
        <w:t xml:space="preserve"> 2021-22</w:t>
      </w:r>
      <w:r w:rsidRPr="006C5E29">
        <w:rPr>
          <w:lang w:eastAsia="en-GB"/>
        </w:rPr>
        <w:t xml:space="preserve"> Annual Plan (see </w:t>
      </w:r>
      <w:r>
        <w:fldChar w:fldCharType="begin"/>
      </w:r>
      <w:r>
        <w:instrText xml:space="preserve"> HYPERLINK "https://www.gov.uk/government/publications/competition-and-markets-authority-annual-plan-2021-to-2022/annual-plan-2021-to-2022" </w:instrText>
      </w:r>
      <w:r>
        <w:fldChar w:fldCharType="separate"/>
      </w:r>
      <w:r w:rsidRPr="006C5E29">
        <w:rPr>
          <w:rStyle w:val="Hyperlink"/>
          <w:color w:val="auto"/>
          <w:lang w:eastAsia="en-GB"/>
        </w:rPr>
        <w:t>here</w:t>
      </w:r>
      <w:r>
        <w:fldChar w:fldCharType="end"/>
      </w:r>
      <w:r w:rsidRPr="006C5E29">
        <w:rPr>
          <w:lang w:eastAsia="en-GB"/>
        </w:rPr>
        <w:t>) sets out our high-level objectives, what work we have done in the past to achieve these and how the department plans to drive forward programmes of work in the current financial year to continue to meet the objectives.</w:t>
      </w:r>
      <w:r w:rsidRPr="006C5E29">
        <w:rPr>
          <w:lang w:eastAsia="en-GB"/>
        </w:rPr>
        <w:t xml:space="preserve"> </w:t>
      </w:r>
      <w:r w:rsidRPr="006C5E29">
        <w:rPr>
          <w:lang w:eastAsia="en-GB"/>
        </w:rPr>
        <w:t xml:space="preserve"> The high-level objectives are as follows:</w:t>
      </w:r>
    </w:p>
    <w:p w:rsidR="00092403" w:rsidRPr="006C5E29" w:rsidP="00E00EDD">
      <w:pPr>
        <w:pStyle w:val="ListParagraph"/>
        <w:numPr>
          <w:ilvl w:val="0"/>
          <w:numId w:val="16"/>
        </w:numPr>
        <w:spacing w:before="240" w:line="276" w:lineRule="auto"/>
        <w:rPr>
          <w:lang w:eastAsia="en-GB"/>
        </w:rPr>
      </w:pPr>
      <w:r w:rsidRPr="006C5E29">
        <w:rPr>
          <w:lang w:eastAsia="en-GB"/>
        </w:rPr>
        <w:t>Protecting consumers and driving recovery during and after the coronavirus pandemic. We will do so with a particular focus on:</w:t>
      </w:r>
    </w:p>
    <w:p w:rsidR="00E00EDD" w:rsidRPr="006C5E29" w:rsidP="00E00EDD">
      <w:pPr>
        <w:pStyle w:val="ListParagraph"/>
        <w:numPr>
          <w:ilvl w:val="1"/>
          <w:numId w:val="16"/>
        </w:numPr>
        <w:spacing w:before="240" w:line="276" w:lineRule="auto"/>
        <w:rPr>
          <w:lang w:eastAsia="en-GB"/>
        </w:rPr>
      </w:pPr>
      <w:r w:rsidRPr="006C5E29">
        <w:rPr>
          <w:lang w:eastAsia="en-GB"/>
        </w:rPr>
        <w:t>Protecting the vulnerable from breaches of competition and consumer protection laws and poorly functioning markets;</w:t>
      </w:r>
    </w:p>
    <w:p w:rsidR="00E00EDD" w:rsidRPr="006C5E29" w:rsidP="00E00EDD">
      <w:pPr>
        <w:pStyle w:val="ListParagraph"/>
        <w:numPr>
          <w:ilvl w:val="1"/>
          <w:numId w:val="16"/>
        </w:numPr>
        <w:spacing w:before="240" w:line="276" w:lineRule="auto"/>
        <w:rPr>
          <w:lang w:eastAsia="en-GB"/>
        </w:rPr>
      </w:pPr>
      <w:r w:rsidRPr="006C5E29">
        <w:rPr>
          <w:lang w:eastAsia="en-GB"/>
        </w:rPr>
        <w:t>Supporting the UK economy by fostering competition to promote innovation, productivity and growth;</w:t>
      </w:r>
    </w:p>
    <w:p w:rsidR="00E00EDD" w:rsidRPr="006C5E29" w:rsidP="00E00EDD">
      <w:pPr>
        <w:pStyle w:val="ListParagraph"/>
        <w:spacing w:before="240" w:line="276" w:lineRule="auto"/>
        <w:ind w:left="1440"/>
        <w:rPr>
          <w:lang w:eastAsia="en-GB"/>
        </w:rPr>
      </w:pPr>
    </w:p>
    <w:p w:rsidR="00092403" w:rsidRPr="006C5E29" w:rsidP="00E00EDD">
      <w:pPr>
        <w:pStyle w:val="ListParagraph"/>
        <w:numPr>
          <w:ilvl w:val="0"/>
          <w:numId w:val="16"/>
        </w:numPr>
        <w:spacing w:before="240" w:line="276" w:lineRule="auto"/>
        <w:rPr>
          <w:lang w:eastAsia="en-GB"/>
        </w:rPr>
      </w:pPr>
      <w:r w:rsidRPr="006C5E29">
        <w:rPr>
          <w:lang w:eastAsia="en-GB"/>
        </w:rPr>
        <w:t>Taking our place as a global competition and consumer protection authority as we assume our new responsibilities after the EU Exit transition period;</w:t>
      </w:r>
    </w:p>
    <w:p w:rsidR="00E00EDD" w:rsidRPr="006C5E29" w:rsidP="00E00EDD">
      <w:pPr>
        <w:pStyle w:val="ListParagraph"/>
        <w:numPr>
          <w:ilvl w:val="0"/>
          <w:numId w:val="16"/>
        </w:numPr>
        <w:spacing w:before="240" w:line="276" w:lineRule="auto"/>
        <w:rPr>
          <w:lang w:eastAsia="en-GB"/>
        </w:rPr>
      </w:pPr>
      <w:r w:rsidRPr="006C5E29">
        <w:rPr>
          <w:lang w:eastAsia="en-GB"/>
        </w:rPr>
        <w:t xml:space="preserve">Fostering effective competition in digital markets </w:t>
      </w:r>
    </w:p>
    <w:p w:rsidR="00E00EDD" w:rsidRPr="006C5E29" w:rsidP="00E00EDD">
      <w:pPr>
        <w:pStyle w:val="ListParagraph"/>
        <w:numPr>
          <w:ilvl w:val="0"/>
          <w:numId w:val="16"/>
        </w:numPr>
        <w:spacing w:before="240" w:line="276" w:lineRule="auto"/>
        <w:rPr>
          <w:lang w:eastAsia="en-GB"/>
        </w:rPr>
      </w:pPr>
      <w:r w:rsidRPr="006C5E29">
        <w:rPr>
          <w:lang w:eastAsia="en-GB"/>
        </w:rPr>
        <w:t>Supporting the transition to a low carbon economy</w:t>
      </w:r>
    </w:p>
    <w:p w:rsidR="00092403" w:rsidRPr="006C5E29" w:rsidP="00092403">
      <w:pPr>
        <w:rPr>
          <w:lang w:eastAsia="en-GB"/>
        </w:rPr>
      </w:pPr>
      <w:r w:rsidRPr="006C5E29">
        <w:rPr>
          <w:lang w:eastAsia="en-GB"/>
        </w:rPr>
        <w:t>The CMA’s 20</w:t>
      </w:r>
      <w:r w:rsidRPr="006C5E29" w:rsidR="00E00EDD">
        <w:rPr>
          <w:lang w:eastAsia="en-GB"/>
        </w:rPr>
        <w:t>20</w:t>
      </w:r>
      <w:r w:rsidRPr="006C5E29">
        <w:rPr>
          <w:lang w:eastAsia="en-GB"/>
        </w:rPr>
        <w:t>-2</w:t>
      </w:r>
      <w:r w:rsidRPr="006C5E29" w:rsidR="00E00EDD">
        <w:rPr>
          <w:lang w:eastAsia="en-GB"/>
        </w:rPr>
        <w:t>1</w:t>
      </w:r>
      <w:r w:rsidRPr="006C5E29">
        <w:rPr>
          <w:lang w:eastAsia="en-GB"/>
        </w:rPr>
        <w:t xml:space="preserve"> high-level objectives can be found </w:t>
      </w:r>
      <w:r>
        <w:fldChar w:fldCharType="begin"/>
      </w:r>
      <w:r>
        <w:instrText xml:space="preserve"> HYPERLINK "https://www.gov.uk/government/publications/competition-and-markets-authority-annual-plan-2020-to-2021/annual-plan-2020-to-2021" \l "about-the-cma" </w:instrText>
      </w:r>
      <w:r>
        <w:fldChar w:fldCharType="separate"/>
      </w:r>
      <w:r w:rsidRPr="006C5E29">
        <w:rPr>
          <w:rStyle w:val="Hyperlink"/>
          <w:color w:val="auto"/>
          <w:lang w:eastAsia="en-GB"/>
        </w:rPr>
        <w:t>here</w:t>
      </w:r>
      <w:r>
        <w:fldChar w:fldCharType="end"/>
      </w:r>
      <w:r w:rsidRPr="006C5E29">
        <w:rPr>
          <w:lang w:eastAsia="en-GB"/>
        </w:rPr>
        <w:t xml:space="preserve"> and our performance against these objectives </w:t>
      </w:r>
      <w:r w:rsidRPr="006C5E29" w:rsidR="00670352">
        <w:rPr>
          <w:lang w:eastAsia="en-GB"/>
        </w:rPr>
        <w:t>w</w:t>
      </w:r>
      <w:r w:rsidRPr="006C5E29" w:rsidR="001B78AE">
        <w:rPr>
          <w:lang w:eastAsia="en-GB"/>
        </w:rPr>
        <w:t>ill</w:t>
      </w:r>
      <w:r w:rsidRPr="006C5E29" w:rsidR="00DE21BF">
        <w:rPr>
          <w:lang w:eastAsia="en-GB"/>
        </w:rPr>
        <w:t xml:space="preserve"> be</w:t>
      </w:r>
      <w:r w:rsidRPr="006C5E29" w:rsidR="00670352">
        <w:rPr>
          <w:lang w:eastAsia="en-GB"/>
        </w:rPr>
        <w:t xml:space="preserve"> </w:t>
      </w:r>
      <w:r w:rsidRPr="006C5E29">
        <w:rPr>
          <w:lang w:eastAsia="en-GB"/>
        </w:rPr>
        <w:t xml:space="preserve">published in the </w:t>
      </w:r>
      <w:r w:rsidRPr="00EC5A17">
        <w:t>Annual Report and Accounts</w:t>
      </w:r>
      <w:bookmarkEnd w:id="1"/>
      <w:r w:rsidR="00EC5A17">
        <w:rPr>
          <w:lang w:eastAsia="en-GB"/>
        </w:rPr>
        <w:t xml:space="preserve"> in July 2021.</w:t>
      </w:r>
    </w:p>
    <w:p w:rsidR="00670352" w:rsidP="00092403">
      <w:pPr>
        <w:rPr>
          <w:lang w:eastAsia="en-GB"/>
        </w:rPr>
      </w:pPr>
      <w:bookmarkEnd w:id="0"/>
    </w:p>
    <w:p w:rsidR="00C35C41" w:rsidP="00EF63D2">
      <w:pPr>
        <w:rPr>
          <w:lang w:eastAsia="en-GB"/>
        </w:rPr>
      </w:pPr>
    </w:p>
    <w:p w:rsidR="00496574" w:rsidP="00496574">
      <w:pPr>
        <w:pStyle w:val="Heading2"/>
        <w:rPr>
          <w:rFonts w:eastAsiaTheme="minorHAnsi"/>
        </w:rPr>
      </w:pPr>
      <w:r>
        <w:rPr>
          <w:rFonts w:eastAsiaTheme="minorHAnsi"/>
        </w:rPr>
        <w:t xml:space="preserve">3.3 </w:t>
      </w:r>
      <w:r w:rsidR="00E639BA">
        <w:rPr>
          <w:rFonts w:eastAsiaTheme="minorHAnsi"/>
        </w:rPr>
        <w:tab/>
      </w:r>
      <w:r w:rsidR="00687CF7">
        <w:rPr>
          <w:rFonts w:eastAsiaTheme="minorHAnsi"/>
        </w:rPr>
        <w:t xml:space="preserve">Commentary on steps being taken to address </w:t>
      </w:r>
      <w:r w:rsidR="00FA3F09">
        <w:rPr>
          <w:rFonts w:eastAsiaTheme="minorHAnsi"/>
        </w:rPr>
        <w:t>performance issues</w:t>
      </w:r>
    </w:p>
    <w:p w:rsidR="00DE4EBC" w:rsidP="006020EF">
      <w:pPr>
        <w:spacing w:after="0"/>
        <w:rPr>
          <w:lang w:eastAsia="en-GB"/>
        </w:rPr>
      </w:pPr>
    </w:p>
    <w:p w:rsidR="00C35C41" w:rsidP="00EF63D2">
      <w:pPr>
        <w:rPr>
          <w:lang w:eastAsia="en-GB"/>
        </w:rPr>
      </w:pPr>
      <w:r>
        <w:rPr>
          <w:lang w:eastAsia="en-GB"/>
        </w:rPr>
        <w:t>Not applicable</w:t>
      </w:r>
    </w:p>
    <w:p w:rsidR="00C35C41" w:rsidRPr="00AA222E" w:rsidP="00EF63D2">
      <w:pPr>
        <w:rPr>
          <w:lang w:eastAsia="en-GB"/>
        </w:rPr>
      </w:pPr>
    </w:p>
    <w:p w:rsidR="00BF5108" w:rsidP="00BF5108">
      <w:pPr>
        <w:pStyle w:val="Heading2"/>
        <w:rPr>
          <w:rFonts w:eastAsiaTheme="minorHAnsi"/>
        </w:rPr>
      </w:pPr>
      <w:r>
        <w:rPr>
          <w:rFonts w:eastAsiaTheme="minorHAnsi"/>
        </w:rPr>
        <w:t>3.</w:t>
      </w:r>
      <w:r w:rsidR="00CB1249">
        <w:rPr>
          <w:rFonts w:eastAsiaTheme="minorHAnsi"/>
        </w:rPr>
        <w:t>4</w:t>
      </w:r>
      <w:r>
        <w:rPr>
          <w:rFonts w:eastAsiaTheme="minorHAnsi"/>
        </w:rPr>
        <w:t xml:space="preserve"> </w:t>
      </w:r>
      <w:r w:rsidR="00E639BA">
        <w:rPr>
          <w:rFonts w:eastAsiaTheme="minorHAnsi"/>
        </w:rPr>
        <w:tab/>
      </w:r>
      <w:r>
        <w:rPr>
          <w:rFonts w:eastAsiaTheme="minorHAnsi"/>
        </w:rPr>
        <w:t>Major projects</w:t>
      </w:r>
    </w:p>
    <w:p w:rsidR="009E2B7F" w:rsidRPr="009E2B7F" w:rsidP="006020EF">
      <w:pPr>
        <w:spacing w:after="0"/>
      </w:pPr>
    </w:p>
    <w:p w:rsidR="004F04A7" w:rsidP="006020EF">
      <w:pPr>
        <w:spacing w:after="0"/>
        <w:rPr>
          <w:rFonts w:eastAsiaTheme="minorHAnsi"/>
        </w:rPr>
      </w:pPr>
      <w:r>
        <w:rPr>
          <w:rFonts w:eastAsiaTheme="minorHAnsi"/>
        </w:rPr>
        <w:t>Not applicable.</w:t>
      </w:r>
    </w:p>
    <w:p w:rsidR="001A1975">
      <w:pPr>
        <w:rPr>
          <w:rFonts w:eastAsiaTheme="minorHAnsi"/>
        </w:rPr>
      </w:pPr>
    </w:p>
    <w:p w:rsidR="00137ED6" w:rsidP="00137ED6">
      <w:pPr>
        <w:pStyle w:val="Heading1"/>
      </w:pPr>
      <w:r>
        <w:t>4.</w:t>
      </w:r>
      <w:r>
        <w:tab/>
        <w:t>Other information</w:t>
      </w:r>
    </w:p>
    <w:p w:rsidR="0038554F" w:rsidRPr="0038554F" w:rsidP="0038554F"/>
    <w:p w:rsidR="00740C96" w:rsidP="00137ED6">
      <w:pPr>
        <w:pStyle w:val="Heading2"/>
      </w:pPr>
      <w:r>
        <w:t xml:space="preserve">4.1 </w:t>
      </w:r>
      <w:r w:rsidR="00E639BA">
        <w:tab/>
      </w:r>
      <w:r w:rsidRPr="00740C96">
        <w:t>Additional specific information required by the select committee</w:t>
      </w:r>
    </w:p>
    <w:p w:rsidR="009E2B7F" w:rsidRPr="009E2B7F" w:rsidP="006020EF">
      <w:pPr>
        <w:spacing w:after="0"/>
      </w:pPr>
    </w:p>
    <w:p w:rsidR="001A1975" w:rsidRPr="0035337E">
      <w:pPr>
        <w:rPr>
          <w:rFonts w:eastAsia="Times New Roman" w:cstheme="minorHAnsi"/>
          <w:bCs/>
          <w:color w:val="333333"/>
          <w:lang w:eastAsia="en-GB"/>
        </w:rPr>
      </w:pPr>
      <w:r w:rsidRPr="00B24918">
        <w:rPr>
          <w:rFonts w:eastAsia="Times New Roman" w:cstheme="minorHAnsi"/>
          <w:bCs/>
          <w:color w:val="333333"/>
          <w:lang w:eastAsia="en-GB"/>
        </w:rPr>
        <w:t>No additional information has been requested by BEIS’ select committee</w:t>
      </w:r>
      <w:r>
        <w:br w:type="page"/>
      </w:r>
    </w:p>
    <w:p w:rsidR="00B24918" w:rsidP="00B24918">
      <w:pPr>
        <w:pStyle w:val="Heading1"/>
      </w:pPr>
      <w:r>
        <w:t>5</w:t>
      </w:r>
      <w:r w:rsidRPr="00863267">
        <w:t xml:space="preserve"> </w:t>
      </w:r>
      <w:r w:rsidR="00E639BA">
        <w:tab/>
      </w:r>
      <w:r w:rsidRPr="00863267">
        <w:t xml:space="preserve">Accounting Officer Approval </w:t>
      </w:r>
    </w:p>
    <w:p w:rsidR="009E2B7F" w:rsidRPr="009E2B7F" w:rsidP="006020EF">
      <w:pPr>
        <w:spacing w:after="0"/>
      </w:pPr>
    </w:p>
    <w:p w:rsidR="00B24918" w:rsidRPr="00863267" w:rsidP="00B24918">
      <w:r w:rsidRPr="00863267">
        <w:t>This memorandum has been prepared according to the requirements and guidance set out by HM Treasury and the House of Commons Scrutiny Unit, available on the Scrutiny Unit website.</w:t>
      </w:r>
    </w:p>
    <w:p w:rsidR="00B24918" w:rsidP="00B24918">
      <w:r w:rsidRPr="00863267">
        <w:t xml:space="preserve">The information in this Estimates Memorandum has been approved by myself as Additional Accounting Officer. </w:t>
      </w:r>
    </w:p>
    <w:p w:rsidR="00B24918" w:rsidRPr="00863267" w:rsidP="00E16E09">
      <w:pPr>
        <w:spacing w:after="0"/>
      </w:pPr>
    </w:p>
    <w:p w:rsidR="00B24918" w:rsidRPr="00863267" w:rsidP="009F2D7F">
      <w:r w:rsidRPr="00863267">
        <w:t>Erik Wilson</w:t>
      </w:r>
      <w:r w:rsidR="00E90595">
        <w:t>, CBE</w:t>
      </w:r>
    </w:p>
    <w:p w:rsidR="00B24918" w:rsidRPr="00863267" w:rsidP="009F2D7F">
      <w:r w:rsidRPr="00863267">
        <w:t>Additional Accounting Officer</w:t>
      </w:r>
    </w:p>
    <w:p w:rsidR="00B24918" w:rsidRPr="00863267" w:rsidP="009F2D7F">
      <w:r w:rsidRPr="00863267">
        <w:t>CMA</w:t>
      </w:r>
    </w:p>
    <w:p w:rsidR="00B24918" w:rsidRPr="009A1F85" w:rsidP="009F2D7F">
      <w:r>
        <w:t>13</w:t>
      </w:r>
      <w:r w:rsidRPr="00863267">
        <w:t xml:space="preserve"> </w:t>
      </w:r>
      <w:r w:rsidR="00417C0B">
        <w:t>May</w:t>
      </w:r>
      <w:r w:rsidRPr="00863267">
        <w:t xml:space="preserve"> 20</w:t>
      </w:r>
      <w:r w:rsidR="00B02C68">
        <w:t>2</w:t>
      </w:r>
      <w:r w:rsidR="0042356B">
        <w:t>1</w:t>
      </w:r>
    </w:p>
    <w:p w:rsidR="002062F9" w:rsidRPr="002A579E" w:rsidP="00FF2C24">
      <w:pPr>
        <w:rPr>
          <w:rFonts w:ascii="Times New Roman" w:eastAsia="Times New Roman" w:hAnsi="Times New Roman" w:cs="Times New Roman"/>
          <w:b/>
          <w:bCs/>
          <w:color w:val="333333"/>
          <w:sz w:val="29"/>
          <w:szCs w:val="29"/>
          <w:lang w:eastAsia="en-GB"/>
        </w:rPr>
      </w:pPr>
    </w:p>
    <w:sectPr w:rsidSect="00CA2C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umnst777 Lt BT">
    <w:altName w:val="Calibri"/>
    <w:charset w:val="00"/>
    <w:family w:val="swiss"/>
    <w:pitch w:val="variable"/>
    <w:sig w:usb0="800000AF" w:usb1="1000204A" w:usb2="00000000" w:usb3="00000000" w:csb0="0000001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67B86"/>
    <w:multiLevelType w:val="hybridMultilevel"/>
    <w:tmpl w:val="2D6AC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AE5586"/>
    <w:multiLevelType w:val="hybridMultilevel"/>
    <w:tmpl w:val="40BA7D8A"/>
    <w:lvl w:ilvl="0">
      <w:start w:val="26"/>
      <w:numFmt w:val="bullet"/>
      <w:lvlText w:val="-"/>
      <w:lvlJc w:val="left"/>
      <w:pPr>
        <w:ind w:left="360" w:hanging="360"/>
      </w:pPr>
      <w:rPr>
        <w:rFonts w:ascii="Calibri" w:hAnsi="Calibri" w:eastAsiaTheme="minorEastAsia"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5DA7CC1"/>
    <w:multiLevelType w:val="hybridMultilevel"/>
    <w:tmpl w:val="96ACE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2A06C0"/>
    <w:multiLevelType w:val="hybridMultilevel"/>
    <w:tmpl w:val="63841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821935"/>
    <w:multiLevelType w:val="hybridMultilevel"/>
    <w:tmpl w:val="93A22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0B11C3"/>
    <w:multiLevelType w:val="hybridMultilevel"/>
    <w:tmpl w:val="2C1A2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D52781"/>
    <w:multiLevelType w:val="hybridMultilevel"/>
    <w:tmpl w:val="00400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AE02C9"/>
    <w:multiLevelType w:val="hybridMultilevel"/>
    <w:tmpl w:val="FB9C4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E3741D"/>
    <w:multiLevelType w:val="hybridMultilevel"/>
    <w:tmpl w:val="83909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AB539A"/>
    <w:multiLevelType w:val="multilevel"/>
    <w:tmpl w:val="0E8C50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3D78B0"/>
    <w:multiLevelType w:val="hybridMultilevel"/>
    <w:tmpl w:val="8F229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0E0195"/>
    <w:multiLevelType w:val="multilevel"/>
    <w:tmpl w:val="A04277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453A77F4"/>
    <w:multiLevelType w:val="hybridMultilevel"/>
    <w:tmpl w:val="5D0E3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57560E3"/>
    <w:multiLevelType w:val="hybridMultilevel"/>
    <w:tmpl w:val="7048F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5D54D70"/>
    <w:multiLevelType w:val="hybridMultilevel"/>
    <w:tmpl w:val="D77E8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7A72137"/>
    <w:multiLevelType w:val="hybridMultilevel"/>
    <w:tmpl w:val="FC6A23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D644457"/>
    <w:multiLevelType w:val="hybridMultilevel"/>
    <w:tmpl w:val="4F2A8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EF01AC1"/>
    <w:multiLevelType w:val="hybridMultilevel"/>
    <w:tmpl w:val="1A46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F35849"/>
    <w:multiLevelType w:val="hybridMultilevel"/>
    <w:tmpl w:val="6F466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88768CF"/>
    <w:multiLevelType w:val="hybridMultilevel"/>
    <w:tmpl w:val="41466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801AFE"/>
    <w:multiLevelType w:val="hybridMultilevel"/>
    <w:tmpl w:val="66AE90D8"/>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BAC2E3A"/>
    <w:multiLevelType w:val="hybridMultilevel"/>
    <w:tmpl w:val="D0BAE4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BEF29C8"/>
    <w:multiLevelType w:val="hybridMultilevel"/>
    <w:tmpl w:val="BF941A4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0740F5A"/>
    <w:multiLevelType w:val="hybridMultilevel"/>
    <w:tmpl w:val="4FD87A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5831FD7"/>
    <w:multiLevelType w:val="hybridMultilevel"/>
    <w:tmpl w:val="5BAEA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9B66A1"/>
    <w:multiLevelType w:val="hybridMultilevel"/>
    <w:tmpl w:val="DC08A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067349"/>
    <w:multiLevelType w:val="hybridMultilevel"/>
    <w:tmpl w:val="10108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8281B9E"/>
    <w:multiLevelType w:val="hybridMultilevel"/>
    <w:tmpl w:val="726E4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6E1F62"/>
    <w:multiLevelType w:val="hybridMultilevel"/>
    <w:tmpl w:val="56F6A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E96AD4"/>
    <w:multiLevelType w:val="hybridMultilevel"/>
    <w:tmpl w:val="2EF24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C7C78EB"/>
    <w:multiLevelType w:val="hybridMultilevel"/>
    <w:tmpl w:val="221E5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8"/>
  </w:num>
  <w:num w:numId="4">
    <w:abstractNumId w:val="5"/>
  </w:num>
  <w:num w:numId="5">
    <w:abstractNumId w:val="2"/>
  </w:num>
  <w:num w:numId="6">
    <w:abstractNumId w:val="28"/>
  </w:num>
  <w:num w:numId="7">
    <w:abstractNumId w:val="30"/>
  </w:num>
  <w:num w:numId="8">
    <w:abstractNumId w:val="12"/>
  </w:num>
  <w:num w:numId="9">
    <w:abstractNumId w:val="26"/>
  </w:num>
  <w:num w:numId="10">
    <w:abstractNumId w:val="4"/>
  </w:num>
  <w:num w:numId="11">
    <w:abstractNumId w:val="27"/>
  </w:num>
  <w:num w:numId="12">
    <w:abstractNumId w:val="3"/>
  </w:num>
  <w:num w:numId="13">
    <w:abstractNumId w:val="21"/>
  </w:num>
  <w:num w:numId="14">
    <w:abstractNumId w:val="29"/>
  </w:num>
  <w:num w:numId="15">
    <w:abstractNumId w:val="15"/>
  </w:num>
  <w:num w:numId="16">
    <w:abstractNumId w:val="20"/>
  </w:num>
  <w:num w:numId="17">
    <w:abstractNumId w:val="19"/>
  </w:num>
  <w:num w:numId="18">
    <w:abstractNumId w:val="16"/>
  </w:num>
  <w:num w:numId="19">
    <w:abstractNumId w:val="7"/>
  </w:num>
  <w:num w:numId="20">
    <w:abstractNumId w:val="17"/>
  </w:num>
  <w:num w:numId="21">
    <w:abstractNumId w:val="24"/>
  </w:num>
  <w:num w:numId="22">
    <w:abstractNumId w:val="25"/>
  </w:num>
  <w:num w:numId="23">
    <w:abstractNumId w:val="0"/>
  </w:num>
  <w:num w:numId="24">
    <w:abstractNumId w:val="8"/>
  </w:num>
  <w:num w:numId="25">
    <w:abstractNumId w:val="11"/>
  </w:num>
  <w:num w:numId="26">
    <w:abstractNumId w:val="13"/>
  </w:num>
  <w:num w:numId="27">
    <w:abstractNumId w:val="10"/>
  </w:num>
  <w:num w:numId="28">
    <w:abstractNumId w:val="9"/>
  </w:num>
  <w:num w:numId="29">
    <w:abstractNumId w:val="1"/>
  </w:num>
  <w:num w:numId="30">
    <w:abstractNumId w:val="22"/>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BFD"/>
  </w:style>
  <w:style w:type="paragraph" w:styleId="Heading1">
    <w:name w:val="heading 1"/>
    <w:basedOn w:val="Normal"/>
    <w:next w:val="Normal"/>
    <w:link w:val="Heading1Char"/>
    <w:uiPriority w:val="9"/>
    <w:qFormat/>
    <w:rsid w:val="00EE5B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BF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EE5BF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EE5B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E5BF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E5BFD"/>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EE5BF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EE5BF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EE5BF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B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BFD"/>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EE5BFD"/>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rsid w:val="00EE5B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E5B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E5BFD"/>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EE5BFD"/>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EE5BF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EE5BFD"/>
    <w:rPr>
      <w:rFonts w:asciiTheme="majorHAnsi" w:eastAsiaTheme="majorEastAsia" w:hAnsiTheme="majorHAnsi" w:cstheme="majorBidi"/>
      <w:i/>
      <w:iCs/>
      <w:color w:val="262626" w:themeColor="text1" w:themeTint="D9"/>
      <w:sz w:val="21"/>
      <w:szCs w:val="21"/>
    </w:rPr>
  </w:style>
  <w:style w:type="paragraph" w:customStyle="1" w:styleId="appendixparacontinued">
    <w:name w:val="appendixparacontinued"/>
    <w:basedOn w:val="Normal"/>
    <w:rsid w:val="00740C96"/>
    <w:pPr>
      <w:spacing w:after="180" w:line="288"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5BFD"/>
    <w:rPr>
      <w:b/>
      <w:bCs/>
      <w:color w:val="auto"/>
    </w:rPr>
  </w:style>
  <w:style w:type="character" w:customStyle="1" w:styleId="strong-frutiger1">
    <w:name w:val="strong-frutiger1"/>
    <w:basedOn w:val="DefaultParagraphFont"/>
    <w:rsid w:val="00740C96"/>
  </w:style>
  <w:style w:type="paragraph" w:customStyle="1" w:styleId="jcsipara-1-1">
    <w:name w:val="jcsi_para-1-1"/>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tablefrutiger-table-header-white">
    <w:name w:val="table_frutiger-table-header-white"/>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pastreportstitles">
    <w:name w:val="pastreportstitles"/>
    <w:basedOn w:val="Normal"/>
    <w:rsid w:val="00740C96"/>
    <w:pPr>
      <w:spacing w:after="180" w:line="288"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325FE"/>
    <w:pPr>
      <w:ind w:left="720"/>
      <w:contextualSpacing/>
    </w:pPr>
  </w:style>
  <w:style w:type="table" w:styleId="TableGrid">
    <w:name w:val="Table Grid"/>
    <w:basedOn w:val="TableNormal"/>
    <w:uiPriority w:val="39"/>
    <w:rsid w:val="00D5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6379"/>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E6379"/>
  </w:style>
  <w:style w:type="character" w:customStyle="1" w:styleId="eop">
    <w:name w:val="eop"/>
    <w:basedOn w:val="DefaultParagraphFont"/>
    <w:rsid w:val="009E6379"/>
  </w:style>
  <w:style w:type="character" w:customStyle="1" w:styleId="advancedproofingissue">
    <w:name w:val="advancedproofingissue"/>
    <w:basedOn w:val="DefaultParagraphFont"/>
    <w:rsid w:val="006F30CB"/>
  </w:style>
  <w:style w:type="paragraph" w:styleId="Header">
    <w:name w:val="header"/>
    <w:basedOn w:val="Normal"/>
    <w:link w:val="HeaderChar"/>
    <w:uiPriority w:val="99"/>
    <w:unhideWhenUsed/>
    <w:rsid w:val="00EF6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3D2"/>
  </w:style>
  <w:style w:type="paragraph" w:styleId="Footer">
    <w:name w:val="footer"/>
    <w:basedOn w:val="Normal"/>
    <w:link w:val="FooterChar"/>
    <w:uiPriority w:val="99"/>
    <w:unhideWhenUsed/>
    <w:rsid w:val="00EF6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3D2"/>
  </w:style>
  <w:style w:type="character" w:styleId="Hyperlink">
    <w:name w:val="Hyperlink"/>
    <w:basedOn w:val="DefaultParagraphFont"/>
    <w:uiPriority w:val="99"/>
    <w:unhideWhenUsed/>
    <w:rsid w:val="00D3514F"/>
    <w:rPr>
      <w:color w:val="0000FF"/>
      <w:u w:val="single"/>
    </w:rPr>
  </w:style>
  <w:style w:type="character" w:customStyle="1" w:styleId="gem-c-contents-listnumber">
    <w:name w:val="gem-c-contents-list__number"/>
    <w:basedOn w:val="DefaultParagraphFont"/>
    <w:rsid w:val="00D3514F"/>
  </w:style>
  <w:style w:type="character" w:customStyle="1" w:styleId="gem-c-contents-listnumbered-text">
    <w:name w:val="gem-c-contents-list__numbered-text"/>
    <w:basedOn w:val="DefaultParagraphFont"/>
    <w:rsid w:val="00D3514F"/>
  </w:style>
  <w:style w:type="paragraph" w:styleId="Subtitle">
    <w:name w:val="Subtitle"/>
    <w:basedOn w:val="Normal"/>
    <w:next w:val="Normal"/>
    <w:link w:val="SubtitleChar"/>
    <w:uiPriority w:val="11"/>
    <w:qFormat/>
    <w:rsid w:val="00EE5BF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E5BFD"/>
    <w:rPr>
      <w:color w:val="5A5A5A" w:themeColor="text1" w:themeTint="A5"/>
      <w:spacing w:val="15"/>
    </w:rPr>
  </w:style>
  <w:style w:type="character" w:styleId="CommentReference">
    <w:name w:val="annotation reference"/>
    <w:basedOn w:val="DefaultParagraphFont"/>
    <w:uiPriority w:val="99"/>
    <w:semiHidden/>
    <w:unhideWhenUsed/>
    <w:rsid w:val="00561797"/>
    <w:rPr>
      <w:sz w:val="16"/>
      <w:szCs w:val="16"/>
    </w:rPr>
  </w:style>
  <w:style w:type="paragraph" w:styleId="CommentText">
    <w:name w:val="annotation text"/>
    <w:basedOn w:val="Normal"/>
    <w:link w:val="CommentTextChar"/>
    <w:uiPriority w:val="99"/>
    <w:unhideWhenUsed/>
    <w:rsid w:val="00561797"/>
    <w:pPr>
      <w:spacing w:line="240" w:lineRule="auto"/>
    </w:pPr>
    <w:rPr>
      <w:sz w:val="20"/>
      <w:szCs w:val="20"/>
    </w:rPr>
  </w:style>
  <w:style w:type="character" w:customStyle="1" w:styleId="CommentTextChar">
    <w:name w:val="Comment Text Char"/>
    <w:basedOn w:val="DefaultParagraphFont"/>
    <w:link w:val="CommentText"/>
    <w:uiPriority w:val="99"/>
    <w:rsid w:val="00561797"/>
    <w:rPr>
      <w:sz w:val="20"/>
      <w:szCs w:val="20"/>
    </w:rPr>
  </w:style>
  <w:style w:type="paragraph" w:styleId="CommentSubject">
    <w:name w:val="annotation subject"/>
    <w:basedOn w:val="CommentText"/>
    <w:next w:val="CommentText"/>
    <w:link w:val="CommentSubjectChar"/>
    <w:uiPriority w:val="99"/>
    <w:semiHidden/>
    <w:unhideWhenUsed/>
    <w:rsid w:val="00561797"/>
    <w:rPr>
      <w:b/>
      <w:bCs/>
    </w:rPr>
  </w:style>
  <w:style w:type="character" w:customStyle="1" w:styleId="CommentSubjectChar">
    <w:name w:val="Comment Subject Char"/>
    <w:basedOn w:val="CommentTextChar"/>
    <w:link w:val="CommentSubject"/>
    <w:uiPriority w:val="99"/>
    <w:semiHidden/>
    <w:rsid w:val="00561797"/>
    <w:rPr>
      <w:b/>
      <w:bCs/>
      <w:sz w:val="20"/>
      <w:szCs w:val="20"/>
    </w:rPr>
  </w:style>
  <w:style w:type="paragraph" w:styleId="BalloonText">
    <w:name w:val="Balloon Text"/>
    <w:basedOn w:val="Normal"/>
    <w:link w:val="BalloonTextChar"/>
    <w:uiPriority w:val="99"/>
    <w:semiHidden/>
    <w:unhideWhenUsed/>
    <w:rsid w:val="00561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797"/>
    <w:rPr>
      <w:rFonts w:ascii="Segoe UI" w:hAnsi="Segoe UI" w:cs="Segoe UI"/>
      <w:sz w:val="18"/>
      <w:szCs w:val="18"/>
    </w:rPr>
  </w:style>
  <w:style w:type="character" w:customStyle="1" w:styleId="number">
    <w:name w:val="number"/>
    <w:basedOn w:val="DefaultParagraphFont"/>
    <w:rsid w:val="007A4142"/>
  </w:style>
  <w:style w:type="character" w:customStyle="1" w:styleId="UnresolvedMention">
    <w:name w:val="Unresolved Mention"/>
    <w:basedOn w:val="DefaultParagraphFont"/>
    <w:uiPriority w:val="99"/>
    <w:semiHidden/>
    <w:unhideWhenUsed/>
    <w:rsid w:val="001A0DB4"/>
    <w:rPr>
      <w:color w:val="808080"/>
      <w:shd w:val="clear" w:color="auto" w:fill="E6E6E6"/>
    </w:rPr>
  </w:style>
  <w:style w:type="paragraph" w:customStyle="1" w:styleId="Default">
    <w:name w:val="Default"/>
    <w:rsid w:val="008302F2"/>
    <w:pPr>
      <w:autoSpaceDE w:val="0"/>
      <w:autoSpaceDN w:val="0"/>
      <w:adjustRightInd w:val="0"/>
      <w:spacing w:after="0" w:line="240" w:lineRule="auto"/>
    </w:pPr>
    <w:rPr>
      <w:rFonts w:ascii="Humnst777 Lt BT" w:hAnsi="Humnst777 Lt BT" w:cs="Humnst777 Lt BT"/>
      <w:color w:val="000000"/>
      <w:sz w:val="24"/>
      <w:szCs w:val="24"/>
    </w:rPr>
  </w:style>
  <w:style w:type="paragraph" w:styleId="FootnoteText">
    <w:name w:val="footnote text"/>
    <w:basedOn w:val="Normal"/>
    <w:link w:val="FootnoteTextChar"/>
    <w:rsid w:val="004D18B6"/>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D18B6"/>
    <w:rPr>
      <w:rFonts w:ascii="Arial" w:eastAsia="Times New Roman" w:hAnsi="Arial" w:cs="Times New Roman"/>
      <w:sz w:val="20"/>
      <w:szCs w:val="20"/>
    </w:rPr>
  </w:style>
  <w:style w:type="character" w:styleId="FootnoteReference">
    <w:name w:val="footnote reference"/>
    <w:basedOn w:val="DefaultParagraphFont"/>
    <w:rsid w:val="004D18B6"/>
    <w:rPr>
      <w:vertAlign w:val="superscript"/>
    </w:rPr>
  </w:style>
  <w:style w:type="table" w:customStyle="1" w:styleId="TableGrid1">
    <w:name w:val="Table Grid1"/>
    <w:basedOn w:val="TableNormal"/>
    <w:next w:val="TableGrid"/>
    <w:rsid w:val="004D18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EE5BF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E5BF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E5BFD"/>
    <w:rPr>
      <w:rFonts w:asciiTheme="majorHAnsi" w:eastAsiaTheme="majorEastAsia" w:hAnsiTheme="majorHAnsi" w:cstheme="majorBidi"/>
      <w:spacing w:val="-10"/>
      <w:sz w:val="56"/>
      <w:szCs w:val="56"/>
    </w:rPr>
  </w:style>
  <w:style w:type="character" w:styleId="Emphasis">
    <w:name w:val="Emphasis"/>
    <w:basedOn w:val="DefaultParagraphFont"/>
    <w:uiPriority w:val="20"/>
    <w:qFormat/>
    <w:rsid w:val="00EE5BFD"/>
    <w:rPr>
      <w:i/>
      <w:iCs/>
      <w:color w:val="auto"/>
    </w:rPr>
  </w:style>
  <w:style w:type="paragraph" w:styleId="NoSpacing">
    <w:name w:val="No Spacing"/>
    <w:uiPriority w:val="1"/>
    <w:qFormat/>
    <w:rsid w:val="00EE5BFD"/>
    <w:pPr>
      <w:spacing w:after="0" w:line="240" w:lineRule="auto"/>
    </w:pPr>
  </w:style>
  <w:style w:type="paragraph" w:styleId="Quote">
    <w:name w:val="Quote"/>
    <w:basedOn w:val="Normal"/>
    <w:next w:val="Normal"/>
    <w:link w:val="QuoteChar"/>
    <w:uiPriority w:val="29"/>
    <w:qFormat/>
    <w:rsid w:val="00EE5BF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E5BFD"/>
    <w:rPr>
      <w:i/>
      <w:iCs/>
      <w:color w:val="404040" w:themeColor="text1" w:themeTint="BF"/>
    </w:rPr>
  </w:style>
  <w:style w:type="paragraph" w:styleId="IntenseQuote">
    <w:name w:val="Intense Quote"/>
    <w:basedOn w:val="Normal"/>
    <w:next w:val="Normal"/>
    <w:link w:val="IntenseQuoteChar"/>
    <w:uiPriority w:val="30"/>
    <w:qFormat/>
    <w:rsid w:val="00EE5B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5BFD"/>
    <w:rPr>
      <w:i/>
      <w:iCs/>
      <w:color w:val="4472C4" w:themeColor="accent1"/>
    </w:rPr>
  </w:style>
  <w:style w:type="character" w:styleId="SubtleEmphasis">
    <w:name w:val="Subtle Emphasis"/>
    <w:basedOn w:val="DefaultParagraphFont"/>
    <w:uiPriority w:val="19"/>
    <w:qFormat/>
    <w:rsid w:val="00EE5BFD"/>
    <w:rPr>
      <w:i/>
      <w:iCs/>
      <w:color w:val="404040" w:themeColor="text1" w:themeTint="BF"/>
    </w:rPr>
  </w:style>
  <w:style w:type="character" w:styleId="IntenseEmphasis">
    <w:name w:val="Intense Emphasis"/>
    <w:basedOn w:val="DefaultParagraphFont"/>
    <w:uiPriority w:val="21"/>
    <w:qFormat/>
    <w:rsid w:val="00EE5BFD"/>
    <w:rPr>
      <w:i/>
      <w:iCs/>
      <w:color w:val="4472C4" w:themeColor="accent1"/>
    </w:rPr>
  </w:style>
  <w:style w:type="character" w:styleId="SubtleReference">
    <w:name w:val="Subtle Reference"/>
    <w:basedOn w:val="DefaultParagraphFont"/>
    <w:uiPriority w:val="31"/>
    <w:qFormat/>
    <w:rsid w:val="00EE5BFD"/>
    <w:rPr>
      <w:smallCaps/>
      <w:color w:val="404040" w:themeColor="text1" w:themeTint="BF"/>
    </w:rPr>
  </w:style>
  <w:style w:type="character" w:styleId="IntenseReference">
    <w:name w:val="Intense Reference"/>
    <w:basedOn w:val="DefaultParagraphFont"/>
    <w:uiPriority w:val="32"/>
    <w:qFormat/>
    <w:rsid w:val="00EE5BFD"/>
    <w:rPr>
      <w:b/>
      <w:bCs/>
      <w:smallCaps/>
      <w:color w:val="4472C4" w:themeColor="accent1"/>
      <w:spacing w:val="5"/>
    </w:rPr>
  </w:style>
  <w:style w:type="character" w:styleId="BookTitle">
    <w:name w:val="Book Title"/>
    <w:basedOn w:val="DefaultParagraphFont"/>
    <w:uiPriority w:val="33"/>
    <w:qFormat/>
    <w:rsid w:val="00EE5BFD"/>
    <w:rPr>
      <w:b/>
      <w:bCs/>
      <w:i/>
      <w:iCs/>
      <w:spacing w:val="5"/>
    </w:rPr>
  </w:style>
  <w:style w:type="paragraph" w:styleId="TOCHeading">
    <w:name w:val="TOC Heading"/>
    <w:basedOn w:val="Heading1"/>
    <w:next w:val="Normal"/>
    <w:uiPriority w:val="39"/>
    <w:semiHidden/>
    <w:unhideWhenUsed/>
    <w:qFormat/>
    <w:rsid w:val="00EE5BFD"/>
    <w:pPr>
      <w:outlineLvl w:val="9"/>
    </w:pPr>
  </w:style>
  <w:style w:type="paragraph" w:styleId="NormalWeb">
    <w:name w:val="Normal (Web)"/>
    <w:basedOn w:val="Normal"/>
    <w:uiPriority w:val="99"/>
    <w:semiHidden/>
    <w:unhideWhenUsed/>
    <w:rsid w:val="005C5F37"/>
    <w:pPr>
      <w:spacing w:after="533"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03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hart" Target="charts/chart1.xml" /><Relationship Id="rId9" Type="http://schemas.openxmlformats.org/officeDocument/2006/relationships/chart" Target="charts/chart2.xml" /></Relationships>
</file>

<file path=word/charts/_rels/chart1.xml.rels>&#65279;<?xml version="1.0" encoding="utf-8" standalone="yes"?><Relationships xmlns="http://schemas.openxmlformats.org/package/2006/relationships"><Relationship Id="rId1" Type="http://schemas.openxmlformats.org/officeDocument/2006/relationships/oleObject" Target="https://competitionandmarkets.sharepoint.com/sites/StrategicFinance/Shared%20Documents/HMT%20Estimates/Main%20Estimates/2021-22%20Main%20Estimates%20Memorandum%20CMA%20budget%20graph.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https://competitionandmarkets.sharepoint.com/sites/StrategicFinance/Shared%20Documents/HMT%20Estimates/Main%20Estimates/2021-22%20Main%20Estimates%20Memorandum%20CMA%20budget%20graph.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CMA Net Resource DEL spending trends (£000)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RDEL budget</c:v>
                </c:pt>
              </c:strCache>
            </c:strRef>
          </c:tx>
          <c:spPr>
            <a:ln w="28575" cap="rnd">
              <a:solidFill>
                <a:schemeClr val="accent1"/>
              </a:solidFill>
              <a:round/>
            </a:ln>
            <a:effectLst/>
          </c:spPr>
          <c:marker>
            <c:symbol val="none"/>
          </c:marker>
          <c:cat>
            <c:strRef>
              <c:f>Sheet1!$D$1:$I$1</c:f>
              <c:strCache>
                <c:ptCount val="6"/>
                <c:pt idx="0">
                  <c:v>2016/17</c:v>
                </c:pt>
                <c:pt idx="1">
                  <c:v>2017/18</c:v>
                </c:pt>
                <c:pt idx="2">
                  <c:v>2018/19</c:v>
                </c:pt>
                <c:pt idx="3">
                  <c:v>2019/20</c:v>
                </c:pt>
                <c:pt idx="4">
                  <c:v>2020/21*</c:v>
                </c:pt>
                <c:pt idx="5">
                  <c:v>2021/22</c:v>
                </c:pt>
              </c:strCache>
            </c:strRef>
          </c:cat>
          <c:val>
            <c:numRef>
              <c:f>Sheet1!$D$2:$I$2</c:f>
              <c:numCache>
                <c:formatCode>#,##0_ ;[Red]\-#,##0\ </c:formatCode>
                <c:ptCount val="6"/>
                <c:pt idx="0">
                  <c:v>139426</c:v>
                </c:pt>
                <c:pt idx="1">
                  <c:v>140426</c:v>
                </c:pt>
                <c:pt idx="2">
                  <c:v>94126</c:v>
                </c:pt>
                <c:pt idx="3">
                  <c:v>95969</c:v>
                </c:pt>
                <c:pt idx="4">
                  <c:v>101673</c:v>
                </c:pt>
                <c:pt idx="5">
                  <c:v>115600</c:v>
                </c:pt>
              </c:numCache>
            </c:numRef>
          </c:val>
          <c:smooth val="0"/>
          <c:extLst>
            <c:ext xmlns:c16="http://schemas.microsoft.com/office/drawing/2014/chart" uri="{C3380CC4-5D6E-409C-BE32-E72D297353CC}">
              <c16:uniqueId val="{00000000-2433-4BEE-9719-F27E086D9F06}"/>
            </c:ext>
          </c:extLst>
        </c:ser>
        <c:ser>
          <c:idx val="1"/>
          <c:order val="1"/>
          <c:tx>
            <c:strRef>
              <c:f>Sheet1!$A$3</c:f>
              <c:strCache>
                <c:ptCount val="1"/>
                <c:pt idx="0">
                  <c:v>RDEL expenditure</c:v>
                </c:pt>
              </c:strCache>
            </c:strRef>
          </c:tx>
          <c:spPr>
            <a:ln w="28575" cap="rnd">
              <a:solidFill>
                <a:schemeClr val="accent2"/>
              </a:solidFill>
              <a:round/>
            </a:ln>
            <a:effectLst/>
          </c:spPr>
          <c:marker>
            <c:symbol val="none"/>
          </c:marker>
          <c:cat>
            <c:strRef>
              <c:f>Sheet1!$D$1:$I$1</c:f>
              <c:strCache>
                <c:ptCount val="6"/>
                <c:pt idx="0">
                  <c:v>2016/17</c:v>
                </c:pt>
                <c:pt idx="1">
                  <c:v>2017/18</c:v>
                </c:pt>
                <c:pt idx="2">
                  <c:v>2018/19</c:v>
                </c:pt>
                <c:pt idx="3">
                  <c:v>2019/20</c:v>
                </c:pt>
                <c:pt idx="4">
                  <c:v>2020/21*</c:v>
                </c:pt>
                <c:pt idx="5">
                  <c:v>2021/22</c:v>
                </c:pt>
              </c:strCache>
            </c:strRef>
          </c:cat>
          <c:val>
            <c:numRef>
              <c:f>Sheet1!$D$3:$I$3</c:f>
              <c:numCache>
                <c:formatCode>#,##0_ ;[Red]\-#,##0\ </c:formatCode>
                <c:ptCount val="6"/>
                <c:pt idx="0">
                  <c:v>64469</c:v>
                </c:pt>
                <c:pt idx="1">
                  <c:v>63175</c:v>
                </c:pt>
                <c:pt idx="2">
                  <c:v>78182</c:v>
                </c:pt>
                <c:pt idx="3">
                  <c:v>95292</c:v>
                </c:pt>
                <c:pt idx="4">
                  <c:v>92343</c:v>
                </c:pt>
                <c:pt idx="5">
                  <c:v>115600</c:v>
                </c:pt>
              </c:numCache>
            </c:numRef>
          </c:val>
          <c:smooth val="0"/>
          <c:extLst>
            <c:ext xmlns:c16="http://schemas.microsoft.com/office/drawing/2014/chart" uri="{C3380CC4-5D6E-409C-BE32-E72D297353CC}">
              <c16:uniqueId val="{00000001-2433-4BEE-9719-F27E086D9F06}"/>
            </c:ext>
          </c:extLst>
        </c:ser>
        <c:dLbls>
          <c:showLegendKey val="0"/>
          <c:showVal val="0"/>
          <c:showCatName val="0"/>
          <c:showSerName val="0"/>
          <c:showPercent val="0"/>
          <c:showBubbleSize val="0"/>
        </c:dLbls>
        <c:smooth val="0"/>
        <c:axId val="720860344"/>
        <c:axId val="720864936"/>
      </c:lineChart>
      <c:catAx>
        <c:axId val="720860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864936"/>
        <c:crosses val="autoZero"/>
        <c:auto val="1"/>
        <c:lblAlgn val="ctr"/>
        <c:lblOffset val="100"/>
        <c:noMultiLvlLbl val="0"/>
      </c:catAx>
      <c:valAx>
        <c:axId val="720864936"/>
        <c:scaling>
          <c:orientation val="minMax"/>
        </c:scaling>
        <c:delete val="0"/>
        <c:axPos val="l"/>
        <c:majorGridlines>
          <c:spPr>
            <a:ln w="9525" cap="flat" cmpd="sng" algn="ctr">
              <a:solidFill>
                <a:schemeClr val="tx1">
                  <a:lumMod val="15000"/>
                  <a:lumOff val="85000"/>
                </a:schemeClr>
              </a:solidFill>
              <a:round/>
            </a:ln>
            <a:effectLst/>
          </c:spPr>
        </c:majorGridlines>
        <c:numFmt formatCode="#,##0_ ;[Red]\-#,##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860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rPr>
              <a:t>CMA Capital DEL spending trends (£000)</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Sheet1!$A$6</c:f>
              <c:strCache>
                <c:ptCount val="1"/>
                <c:pt idx="0">
                  <c:v>CDEL budget</c:v>
                </c:pt>
              </c:strCache>
            </c:strRef>
          </c:tx>
          <c:spPr>
            <a:ln w="28575" cap="rnd">
              <a:solidFill>
                <a:schemeClr val="accent1"/>
              </a:solidFill>
              <a:round/>
            </a:ln>
            <a:effectLst/>
          </c:spPr>
          <c:marker>
            <c:symbol val="none"/>
          </c:marker>
          <c:cat>
            <c:strRef>
              <c:f>Sheet1!$D$5:$I$5</c:f>
              <c:strCache>
                <c:ptCount val="6"/>
                <c:pt idx="0">
                  <c:v>2016/17</c:v>
                </c:pt>
                <c:pt idx="1">
                  <c:v>2017/18</c:v>
                </c:pt>
                <c:pt idx="2">
                  <c:v>2018/19</c:v>
                </c:pt>
                <c:pt idx="3">
                  <c:v>2019/20</c:v>
                </c:pt>
                <c:pt idx="4">
                  <c:v>2020/21*</c:v>
                </c:pt>
                <c:pt idx="5">
                  <c:v>2021-22</c:v>
                </c:pt>
              </c:strCache>
            </c:strRef>
          </c:cat>
          <c:val>
            <c:numRef>
              <c:f>Sheet1!$D$6:$I$6</c:f>
              <c:numCache>
                <c:formatCode>#,##0_ ;[Red]\-#,##0\ </c:formatCode>
                <c:ptCount val="6"/>
                <c:pt idx="0">
                  <c:v>2200</c:v>
                </c:pt>
                <c:pt idx="1">
                  <c:v>1300</c:v>
                </c:pt>
                <c:pt idx="2">
                  <c:v>23100</c:v>
                </c:pt>
                <c:pt idx="3">
                  <c:v>19800</c:v>
                </c:pt>
                <c:pt idx="4">
                  <c:v>3300</c:v>
                </c:pt>
                <c:pt idx="5">
                  <c:v>7500</c:v>
                </c:pt>
              </c:numCache>
            </c:numRef>
          </c:val>
          <c:smooth val="0"/>
          <c:extLst>
            <c:ext xmlns:c16="http://schemas.microsoft.com/office/drawing/2014/chart" uri="{C3380CC4-5D6E-409C-BE32-E72D297353CC}">
              <c16:uniqueId val="{00000000-CF78-4217-B067-DFB2EFA81BA6}"/>
            </c:ext>
          </c:extLst>
        </c:ser>
        <c:ser>
          <c:idx val="1"/>
          <c:order val="1"/>
          <c:tx>
            <c:strRef>
              <c:f>Sheet1!$A$7</c:f>
              <c:strCache>
                <c:ptCount val="1"/>
                <c:pt idx="0">
                  <c:v>CDEL expenditure</c:v>
                </c:pt>
              </c:strCache>
            </c:strRef>
          </c:tx>
          <c:spPr>
            <a:ln w="28575" cap="rnd">
              <a:solidFill>
                <a:schemeClr val="accent2"/>
              </a:solidFill>
              <a:round/>
            </a:ln>
            <a:effectLst/>
          </c:spPr>
          <c:marker>
            <c:symbol val="none"/>
          </c:marker>
          <c:cat>
            <c:strRef>
              <c:f>Sheet1!$D$5:$I$5</c:f>
              <c:strCache>
                <c:ptCount val="6"/>
                <c:pt idx="0">
                  <c:v>2016/17</c:v>
                </c:pt>
                <c:pt idx="1">
                  <c:v>2017/18</c:v>
                </c:pt>
                <c:pt idx="2">
                  <c:v>2018/19</c:v>
                </c:pt>
                <c:pt idx="3">
                  <c:v>2019/20</c:v>
                </c:pt>
                <c:pt idx="4">
                  <c:v>2020/21*</c:v>
                </c:pt>
                <c:pt idx="5">
                  <c:v>2021-22</c:v>
                </c:pt>
              </c:strCache>
            </c:strRef>
          </c:cat>
          <c:val>
            <c:numRef>
              <c:f>Sheet1!$D$7:$I$7</c:f>
              <c:numCache>
                <c:formatCode>#,##0_ ;[Red]\-#,##0\ </c:formatCode>
                <c:ptCount val="6"/>
                <c:pt idx="0">
                  <c:v>1790</c:v>
                </c:pt>
                <c:pt idx="1">
                  <c:v>791</c:v>
                </c:pt>
                <c:pt idx="2">
                  <c:v>21755</c:v>
                </c:pt>
                <c:pt idx="3">
                  <c:v>17574</c:v>
                </c:pt>
                <c:pt idx="4">
                  <c:v>2524</c:v>
                </c:pt>
                <c:pt idx="5">
                  <c:v>7500</c:v>
                </c:pt>
              </c:numCache>
            </c:numRef>
          </c:val>
          <c:smooth val="0"/>
          <c:extLst>
            <c:ext xmlns:c16="http://schemas.microsoft.com/office/drawing/2014/chart" uri="{C3380CC4-5D6E-409C-BE32-E72D297353CC}">
              <c16:uniqueId val="{00000001-CF78-4217-B067-DFB2EFA81BA6}"/>
            </c:ext>
          </c:extLst>
        </c:ser>
        <c:dLbls>
          <c:showLegendKey val="0"/>
          <c:showVal val="0"/>
          <c:showCatName val="0"/>
          <c:showSerName val="0"/>
          <c:showPercent val="0"/>
          <c:showBubbleSize val="0"/>
        </c:dLbls>
        <c:smooth val="0"/>
        <c:axId val="720861984"/>
        <c:axId val="720862640"/>
      </c:lineChart>
      <c:catAx>
        <c:axId val="72086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862640"/>
        <c:crosses val="autoZero"/>
        <c:auto val="1"/>
        <c:lblAlgn val="ctr"/>
        <c:lblOffset val="100"/>
        <c:noMultiLvlLbl val="0"/>
      </c:catAx>
      <c:valAx>
        <c:axId val="720862640"/>
        <c:scaling>
          <c:orientation val="minMax"/>
        </c:scaling>
        <c:delete val="0"/>
        <c:axPos val="l"/>
        <c:majorGridlines>
          <c:spPr>
            <a:ln w="9525" cap="flat" cmpd="sng" algn="ctr">
              <a:solidFill>
                <a:schemeClr val="tx1">
                  <a:lumMod val="15000"/>
                  <a:lumOff val="85000"/>
                </a:schemeClr>
              </a:solidFill>
              <a:round/>
            </a:ln>
            <a:effectLst/>
          </c:spPr>
        </c:majorGridlines>
        <c:numFmt formatCode="#,##0_ ;[Red]\-#,##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86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Strategic Finance Document" ma:contentTypeID="0x0101004F55BAE9C7AB02478A0AB157131B337000421D39D623973042AB5117E191DCD6C3" ma:contentTypeVersion="7" ma:contentTypeDescription="Create a new document." ma:contentTypeScope="" ma:versionID="2511b0d88e4ea311e59c9246ec81cacb">
  <xsd:schema xmlns:xsd="http://www.w3.org/2001/XMLSchema" xmlns:xs="http://www.w3.org/2001/XMLSchema" xmlns:p="http://schemas.microsoft.com/office/2006/metadata/properties" xmlns:ns2="66f6cb04-fae1-4e8e-ba27-db26c265f18f" xmlns:ns3="0a1df42e-367b-4209-8cc2-8a8938bb6c48" targetNamespace="http://schemas.microsoft.com/office/2006/metadata/properties" ma:root="true" ma:fieldsID="9fdade022a10a16dbd207742afc93677" ns2:_="" ns3:_="">
    <xsd:import namespace="66f6cb04-fae1-4e8e-ba27-db26c265f18f"/>
    <xsd:import namespace="0a1df42e-367b-4209-8cc2-8a8938bb6c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6cb04-fae1-4e8e-ba27-db26c265f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1df42e-367b-4209-8cc2-8a8938bb6c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6FD7D-D9D9-4F7E-BC81-4ADF28B8DD72}">
  <ds:schemaRefs>
    <ds:schemaRef ds:uri="http://schemas.openxmlformats.org/officeDocument/2006/bibliography"/>
  </ds:schemaRefs>
</ds:datastoreItem>
</file>

<file path=customXml/itemProps2.xml><?xml version="1.0" encoding="utf-8"?>
<ds:datastoreItem xmlns:ds="http://schemas.openxmlformats.org/officeDocument/2006/customXml" ds:itemID="{85F01862-B8AC-4CAC-BD00-DBE02D0FD5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a1df42e-367b-4209-8cc2-8a8938bb6c48"/>
    <ds:schemaRef ds:uri="http://purl.org/dc/elements/1.1/"/>
    <ds:schemaRef ds:uri="http://schemas.microsoft.com/office/2006/metadata/properties"/>
    <ds:schemaRef ds:uri="66f6cb04-fae1-4e8e-ba27-db26c265f18f"/>
    <ds:schemaRef ds:uri="http://www.w3.org/XML/1998/namespace"/>
    <ds:schemaRef ds:uri="http://purl.org/dc/dcmitype/"/>
  </ds:schemaRefs>
</ds:datastoreItem>
</file>

<file path=customXml/itemProps3.xml><?xml version="1.0" encoding="utf-8"?>
<ds:datastoreItem xmlns:ds="http://schemas.openxmlformats.org/officeDocument/2006/customXml" ds:itemID="{AB117699-2984-49D6-9332-802B02A53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6cb04-fae1-4e8e-ba27-db26c265f18f"/>
    <ds:schemaRef ds:uri="0a1df42e-367b-4209-8cc2-8a8938bb6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DA52A0-A497-4B9D-A4C5-3FB64F25A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